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EA29BF">
      <w:pPr>
        <w:jc w:val="center"/>
        <w:rPr>
          <w:rFonts w:hint="eastAsia" w:ascii="宋体" w:hAnsi="宋体" w:eastAsia="宋体"/>
          <w:b/>
          <w:bCs/>
          <w:sz w:val="60"/>
          <w:szCs w:val="60"/>
          <w:lang w:eastAsia="zh-CN"/>
        </w:rPr>
      </w:pPr>
      <w:r>
        <w:rPr>
          <w:rFonts w:hint="eastAsia" w:ascii="宋体" w:hAnsi="宋体"/>
          <w:b/>
          <w:bCs/>
          <w:sz w:val="60"/>
          <w:szCs w:val="60"/>
          <w:lang w:eastAsia="zh-CN"/>
        </w:rPr>
        <w:t>采石北路提升改造项目采购项目-永定路街道采石北路提升改造项目</w:t>
      </w:r>
    </w:p>
    <w:p w14:paraId="6D50706E">
      <w:pPr>
        <w:jc w:val="center"/>
        <w:rPr>
          <w:rFonts w:hint="eastAsia" w:ascii="宋体" w:hAnsi="宋体"/>
          <w:b/>
          <w:bCs/>
          <w:sz w:val="60"/>
          <w:szCs w:val="60"/>
        </w:rPr>
      </w:pPr>
    </w:p>
    <w:p w14:paraId="41F62977">
      <w:pPr>
        <w:jc w:val="center"/>
        <w:rPr>
          <w:rFonts w:hint="eastAsia" w:ascii="宋体" w:hAnsi="宋体"/>
          <w:b/>
          <w:bCs/>
          <w:sz w:val="60"/>
          <w:szCs w:val="60"/>
        </w:rPr>
      </w:pPr>
    </w:p>
    <w:p w14:paraId="1BA19DAA">
      <w:pPr>
        <w:jc w:val="center"/>
        <w:rPr>
          <w:rFonts w:hint="eastAsia" w:ascii="宋体" w:hAnsi="宋体"/>
          <w:b/>
          <w:bCs/>
          <w:sz w:val="60"/>
          <w:szCs w:val="60"/>
        </w:rPr>
      </w:pPr>
    </w:p>
    <w:p w14:paraId="222A37A9">
      <w:pPr>
        <w:jc w:val="center"/>
        <w:rPr>
          <w:rFonts w:hint="eastAsia" w:ascii="宋体" w:hAnsi="宋体"/>
          <w:b/>
          <w:bCs/>
          <w:sz w:val="60"/>
          <w:szCs w:val="60"/>
        </w:rPr>
      </w:pPr>
      <w:r>
        <w:rPr>
          <w:rFonts w:ascii="宋体" w:hAnsi="宋体"/>
          <w:b/>
          <w:bCs/>
          <w:sz w:val="60"/>
          <w:szCs w:val="60"/>
        </w:rPr>
        <w:t>竞争性磋商文件</w:t>
      </w:r>
    </w:p>
    <w:p w14:paraId="48A60B03">
      <w:pPr>
        <w:spacing w:line="360" w:lineRule="auto"/>
        <w:jc w:val="center"/>
        <w:rPr>
          <w:rFonts w:hint="eastAsia" w:ascii="宋体" w:hAnsi="宋体"/>
          <w:b/>
          <w:bCs/>
          <w:sz w:val="60"/>
          <w:szCs w:val="60"/>
        </w:rPr>
      </w:pPr>
    </w:p>
    <w:p w14:paraId="250149E8">
      <w:pPr>
        <w:spacing w:line="360" w:lineRule="auto"/>
        <w:jc w:val="center"/>
        <w:rPr>
          <w:rFonts w:hint="eastAsia" w:ascii="宋体" w:hAnsi="宋体"/>
          <w:b/>
          <w:bCs/>
          <w:sz w:val="60"/>
          <w:szCs w:val="60"/>
        </w:rPr>
      </w:pPr>
    </w:p>
    <w:p w14:paraId="3D7D1EA0">
      <w:pPr>
        <w:spacing w:line="360" w:lineRule="auto"/>
        <w:jc w:val="center"/>
        <w:rPr>
          <w:rFonts w:hint="eastAsia" w:ascii="宋体" w:hAnsi="宋体"/>
          <w:b/>
          <w:bCs/>
          <w:sz w:val="60"/>
          <w:szCs w:val="60"/>
        </w:rPr>
      </w:pPr>
    </w:p>
    <w:p w14:paraId="040CB5B2">
      <w:pPr>
        <w:tabs>
          <w:tab w:val="left" w:pos="5609"/>
        </w:tabs>
        <w:spacing w:line="360" w:lineRule="auto"/>
        <w:ind w:left="2621" w:leftChars="444" w:hanging="1689" w:hangingChars="528"/>
        <w:jc w:val="left"/>
        <w:rPr>
          <w:rFonts w:hint="eastAsia" w:ascii="宋体" w:hAnsi="宋体" w:eastAsia="宋体"/>
          <w:bCs/>
          <w:sz w:val="32"/>
          <w:szCs w:val="32"/>
          <w:lang w:eastAsia="zh-CN"/>
        </w:rPr>
      </w:pPr>
      <w:r>
        <w:rPr>
          <w:rFonts w:ascii="宋体" w:hAnsi="宋体"/>
          <w:bCs/>
          <w:sz w:val="32"/>
          <w:szCs w:val="32"/>
        </w:rPr>
        <w:t>项目名称</w:t>
      </w:r>
      <w:r>
        <w:rPr>
          <w:rFonts w:hint="eastAsia" w:ascii="宋体" w:hAnsi="宋体"/>
          <w:bCs/>
          <w:sz w:val="32"/>
          <w:szCs w:val="32"/>
        </w:rPr>
        <w:t>：</w:t>
      </w:r>
      <w:r>
        <w:rPr>
          <w:rFonts w:hint="eastAsia" w:ascii="宋体" w:hAnsi="宋体"/>
          <w:bCs/>
          <w:sz w:val="32"/>
          <w:szCs w:val="32"/>
          <w:lang w:val="en-US" w:eastAsia="zh-CN"/>
        </w:rPr>
        <w:t>采石北路提升改造项目采购项目-永定路街道采石北路提升改造项目</w:t>
      </w:r>
    </w:p>
    <w:p w14:paraId="76A331C5">
      <w:pPr>
        <w:tabs>
          <w:tab w:val="left" w:pos="3240"/>
          <w:tab w:val="left" w:pos="3420"/>
        </w:tabs>
        <w:spacing w:line="360" w:lineRule="auto"/>
        <w:ind w:left="2621" w:leftChars="444" w:hanging="1689" w:hangingChars="528"/>
        <w:jc w:val="left"/>
        <w:rPr>
          <w:rFonts w:hint="eastAsia" w:ascii="宋体" w:hAnsi="宋体" w:eastAsia="宋体"/>
          <w:bCs/>
          <w:sz w:val="32"/>
          <w:szCs w:val="32"/>
          <w:lang w:eastAsia="zh-CN"/>
        </w:rPr>
      </w:pPr>
      <w:r>
        <w:rPr>
          <w:rFonts w:ascii="宋体" w:hAnsi="宋体"/>
          <w:bCs/>
          <w:sz w:val="32"/>
          <w:szCs w:val="32"/>
        </w:rPr>
        <w:t>项目编号：</w:t>
      </w:r>
      <w:r>
        <w:rPr>
          <w:rFonts w:hint="eastAsia" w:ascii="宋体" w:hAnsi="宋体"/>
          <w:bCs/>
          <w:sz w:val="32"/>
          <w:szCs w:val="32"/>
          <w:lang w:eastAsia="zh-CN"/>
        </w:rPr>
        <w:t>ZYZX-GC-25188</w:t>
      </w:r>
    </w:p>
    <w:p w14:paraId="6DB9570A">
      <w:pPr>
        <w:tabs>
          <w:tab w:val="left" w:pos="3240"/>
          <w:tab w:val="left" w:pos="3420"/>
        </w:tabs>
        <w:spacing w:line="360" w:lineRule="auto"/>
        <w:ind w:left="2621" w:leftChars="444" w:hanging="1689" w:hangingChars="528"/>
        <w:jc w:val="left"/>
        <w:rPr>
          <w:rFonts w:hint="eastAsia" w:ascii="宋体" w:hAnsi="宋体"/>
          <w:bCs/>
          <w:sz w:val="32"/>
          <w:szCs w:val="32"/>
        </w:rPr>
      </w:pPr>
      <w:r>
        <w:rPr>
          <w:rFonts w:ascii="宋体" w:hAnsi="宋体"/>
          <w:bCs/>
          <w:sz w:val="32"/>
          <w:szCs w:val="32"/>
        </w:rPr>
        <w:t>采 购 人：</w:t>
      </w:r>
      <w:r>
        <w:rPr>
          <w:rFonts w:hint="eastAsia" w:ascii="宋体" w:hAnsi="宋体"/>
          <w:bCs/>
          <w:sz w:val="32"/>
          <w:szCs w:val="32"/>
        </w:rPr>
        <w:t>北京市海淀区人民政府永定路街道办事处</w:t>
      </w:r>
    </w:p>
    <w:p w14:paraId="7A4CF9DD">
      <w:pPr>
        <w:tabs>
          <w:tab w:val="left" w:pos="3240"/>
          <w:tab w:val="left" w:pos="3420"/>
        </w:tabs>
        <w:spacing w:line="360" w:lineRule="auto"/>
        <w:ind w:left="2621" w:leftChars="444" w:hanging="1689" w:hangingChars="528"/>
        <w:jc w:val="left"/>
        <w:rPr>
          <w:rFonts w:hint="eastAsia" w:ascii="宋体" w:hAnsi="宋体"/>
          <w:bCs/>
          <w:sz w:val="32"/>
          <w:szCs w:val="32"/>
        </w:rPr>
      </w:pPr>
      <w:r>
        <w:rPr>
          <w:rFonts w:hint="eastAsia" w:ascii="宋体" w:hAnsi="宋体"/>
          <w:bCs/>
          <w:sz w:val="32"/>
          <w:szCs w:val="32"/>
        </w:rPr>
        <w:t>采购</w:t>
      </w:r>
      <w:r>
        <w:rPr>
          <w:rFonts w:ascii="宋体" w:hAnsi="宋体"/>
          <w:bCs/>
          <w:sz w:val="32"/>
          <w:szCs w:val="32"/>
        </w:rPr>
        <w:t>代理机构：</w:t>
      </w:r>
      <w:r>
        <w:rPr>
          <w:rFonts w:hint="eastAsia" w:ascii="宋体" w:hAnsi="宋体"/>
          <w:bCs/>
          <w:sz w:val="32"/>
          <w:szCs w:val="32"/>
        </w:rPr>
        <w:t>北京中域正信工程咨询有限公司</w:t>
      </w:r>
    </w:p>
    <w:p w14:paraId="761A8E64">
      <w:pPr>
        <w:widowControl/>
        <w:jc w:val="left"/>
        <w:rPr>
          <w:rFonts w:hint="eastAsia" w:ascii="宋体" w:hAnsi="宋体"/>
          <w:bCs/>
          <w:sz w:val="32"/>
          <w:szCs w:val="32"/>
        </w:rPr>
      </w:pPr>
      <w:r>
        <w:rPr>
          <w:rFonts w:ascii="宋体" w:hAnsi="宋体"/>
          <w:bCs/>
          <w:sz w:val="32"/>
          <w:szCs w:val="32"/>
        </w:rPr>
        <w:br w:type="page"/>
      </w:r>
    </w:p>
    <w:p w14:paraId="73D57CF3">
      <w:pPr>
        <w:widowControl/>
        <w:jc w:val="left"/>
        <w:rPr>
          <w:rFonts w:hint="eastAsia" w:ascii="宋体" w:hAnsi="宋体"/>
          <w:bCs/>
          <w:sz w:val="36"/>
          <w:szCs w:val="36"/>
        </w:rPr>
      </w:pPr>
    </w:p>
    <w:p w14:paraId="60276266">
      <w:pPr>
        <w:pStyle w:val="30"/>
        <w:rPr>
          <w:rFonts w:hint="eastAsia"/>
        </w:rPr>
      </w:pPr>
      <w:r>
        <w:rPr>
          <w:rFonts w:hint="eastAsia"/>
        </w:rPr>
        <w:t>目录</w:t>
      </w:r>
    </w:p>
    <w:p w14:paraId="61F6C117">
      <w:pPr>
        <w:pStyle w:val="30"/>
        <w:rPr>
          <w:rFonts w:hint="eastAsia" w:asciiTheme="minorHAnsi" w:hAnsiTheme="minorHAnsi" w:eastAsiaTheme="minorEastAsia" w:cstheme="minorBidi"/>
          <w:b w:val="0"/>
          <w:bCs/>
        </w:rPr>
      </w:pPr>
      <w:r>
        <w:rPr>
          <w:b w:val="0"/>
          <w:bCs/>
        </w:rPr>
        <w:fldChar w:fldCharType="begin"/>
      </w:r>
      <w:r>
        <w:rPr>
          <w:b w:val="0"/>
          <w:bCs/>
        </w:rPr>
        <w:instrText xml:space="preserve"> TOC \o "1-1" \h \z \u </w:instrText>
      </w:r>
      <w:r>
        <w:rPr>
          <w:b w:val="0"/>
          <w:bCs/>
        </w:rPr>
        <w:fldChar w:fldCharType="separate"/>
      </w:r>
      <w:r>
        <w:fldChar w:fldCharType="begin"/>
      </w:r>
      <w:r>
        <w:instrText xml:space="preserve"> HYPERLINK \l "_Toc165576328" </w:instrText>
      </w:r>
      <w:r>
        <w:fldChar w:fldCharType="separate"/>
      </w:r>
      <w:r>
        <w:rPr>
          <w:rStyle w:val="49"/>
          <w:b w:val="0"/>
          <w:bCs/>
          <w:color w:val="auto"/>
        </w:rPr>
        <w:t>第一章   采购邀请</w:t>
      </w:r>
      <w:r>
        <w:rPr>
          <w:b w:val="0"/>
          <w:bCs/>
        </w:rPr>
        <w:tab/>
      </w:r>
      <w:r>
        <w:rPr>
          <w:b w:val="0"/>
          <w:bCs/>
        </w:rPr>
        <w:fldChar w:fldCharType="begin"/>
      </w:r>
      <w:r>
        <w:rPr>
          <w:b w:val="0"/>
          <w:bCs/>
        </w:rPr>
        <w:instrText xml:space="preserve"> PAGEREF _Toc165576328 \h </w:instrText>
      </w:r>
      <w:r>
        <w:rPr>
          <w:b w:val="0"/>
          <w:bCs/>
        </w:rPr>
        <w:fldChar w:fldCharType="separate"/>
      </w:r>
      <w:r>
        <w:rPr>
          <w:b w:val="0"/>
          <w:bCs/>
        </w:rPr>
        <w:t>1</w:t>
      </w:r>
      <w:r>
        <w:rPr>
          <w:b w:val="0"/>
          <w:bCs/>
        </w:rPr>
        <w:fldChar w:fldCharType="end"/>
      </w:r>
      <w:r>
        <w:rPr>
          <w:b w:val="0"/>
          <w:bCs/>
        </w:rPr>
        <w:fldChar w:fldCharType="end"/>
      </w:r>
    </w:p>
    <w:p w14:paraId="525A679F">
      <w:pPr>
        <w:pStyle w:val="30"/>
        <w:rPr>
          <w:rFonts w:hint="eastAsia" w:asciiTheme="minorHAnsi" w:hAnsiTheme="minorHAnsi" w:eastAsiaTheme="minorEastAsia" w:cstheme="minorBidi"/>
          <w:b w:val="0"/>
          <w:bCs/>
        </w:rPr>
      </w:pPr>
      <w:r>
        <w:fldChar w:fldCharType="begin"/>
      </w:r>
      <w:r>
        <w:instrText xml:space="preserve"> HYPERLINK \l "_Toc165576329" </w:instrText>
      </w:r>
      <w:r>
        <w:fldChar w:fldCharType="separate"/>
      </w:r>
      <w:r>
        <w:rPr>
          <w:rStyle w:val="49"/>
          <w:b w:val="0"/>
          <w:bCs/>
          <w:color w:val="auto"/>
        </w:rPr>
        <w:t>第二章   供应商须知</w:t>
      </w:r>
      <w:r>
        <w:rPr>
          <w:b w:val="0"/>
          <w:bCs/>
        </w:rPr>
        <w:tab/>
      </w:r>
      <w:r>
        <w:rPr>
          <w:b w:val="0"/>
          <w:bCs/>
        </w:rPr>
        <w:fldChar w:fldCharType="begin"/>
      </w:r>
      <w:r>
        <w:rPr>
          <w:b w:val="0"/>
          <w:bCs/>
        </w:rPr>
        <w:instrText xml:space="preserve"> PAGEREF _Toc165576329 \h </w:instrText>
      </w:r>
      <w:r>
        <w:rPr>
          <w:b w:val="0"/>
          <w:bCs/>
        </w:rPr>
        <w:fldChar w:fldCharType="separate"/>
      </w:r>
      <w:r>
        <w:rPr>
          <w:b w:val="0"/>
          <w:bCs/>
        </w:rPr>
        <w:t>6</w:t>
      </w:r>
      <w:r>
        <w:rPr>
          <w:b w:val="0"/>
          <w:bCs/>
        </w:rPr>
        <w:fldChar w:fldCharType="end"/>
      </w:r>
      <w:r>
        <w:rPr>
          <w:b w:val="0"/>
          <w:bCs/>
        </w:rPr>
        <w:fldChar w:fldCharType="end"/>
      </w:r>
    </w:p>
    <w:p w14:paraId="7146178D">
      <w:pPr>
        <w:pStyle w:val="30"/>
        <w:rPr>
          <w:rFonts w:hint="eastAsia" w:asciiTheme="minorHAnsi" w:hAnsiTheme="minorHAnsi" w:eastAsiaTheme="minorEastAsia" w:cstheme="minorBidi"/>
          <w:b w:val="0"/>
          <w:bCs/>
        </w:rPr>
      </w:pPr>
      <w:r>
        <w:fldChar w:fldCharType="begin"/>
      </w:r>
      <w:r>
        <w:instrText xml:space="preserve"> HYPERLINK \l "_Toc165576330" </w:instrText>
      </w:r>
      <w:r>
        <w:fldChar w:fldCharType="separate"/>
      </w:r>
      <w:r>
        <w:rPr>
          <w:rStyle w:val="49"/>
          <w:b w:val="0"/>
          <w:bCs/>
          <w:color w:val="auto"/>
        </w:rPr>
        <w:t>第三章   评审方法和评审标准</w:t>
      </w:r>
      <w:r>
        <w:rPr>
          <w:b w:val="0"/>
          <w:bCs/>
        </w:rPr>
        <w:tab/>
      </w:r>
      <w:r>
        <w:rPr>
          <w:b w:val="0"/>
          <w:bCs/>
        </w:rPr>
        <w:fldChar w:fldCharType="begin"/>
      </w:r>
      <w:r>
        <w:rPr>
          <w:b w:val="0"/>
          <w:bCs/>
        </w:rPr>
        <w:instrText xml:space="preserve"> PAGEREF _Toc165576330 \h </w:instrText>
      </w:r>
      <w:r>
        <w:rPr>
          <w:b w:val="0"/>
          <w:bCs/>
        </w:rPr>
        <w:fldChar w:fldCharType="separate"/>
      </w:r>
      <w:r>
        <w:rPr>
          <w:b w:val="0"/>
          <w:bCs/>
        </w:rPr>
        <w:t>22</w:t>
      </w:r>
      <w:r>
        <w:rPr>
          <w:b w:val="0"/>
          <w:bCs/>
        </w:rPr>
        <w:fldChar w:fldCharType="end"/>
      </w:r>
      <w:r>
        <w:rPr>
          <w:b w:val="0"/>
          <w:bCs/>
        </w:rPr>
        <w:fldChar w:fldCharType="end"/>
      </w:r>
    </w:p>
    <w:p w14:paraId="29025F6E">
      <w:pPr>
        <w:pStyle w:val="30"/>
        <w:rPr>
          <w:rFonts w:hint="eastAsia" w:asciiTheme="minorHAnsi" w:hAnsiTheme="minorHAnsi" w:eastAsiaTheme="minorEastAsia" w:cstheme="minorBidi"/>
          <w:b w:val="0"/>
          <w:bCs/>
        </w:rPr>
      </w:pPr>
      <w:r>
        <w:fldChar w:fldCharType="begin"/>
      </w:r>
      <w:r>
        <w:instrText xml:space="preserve"> HYPERLINK \l "_Toc165576331" </w:instrText>
      </w:r>
      <w:r>
        <w:fldChar w:fldCharType="separate"/>
      </w:r>
      <w:r>
        <w:rPr>
          <w:rStyle w:val="49"/>
          <w:b w:val="0"/>
          <w:bCs/>
          <w:color w:val="auto"/>
        </w:rPr>
        <w:t>第四章   采购需求</w:t>
      </w:r>
      <w:r>
        <w:rPr>
          <w:b w:val="0"/>
          <w:bCs/>
        </w:rPr>
        <w:tab/>
      </w:r>
      <w:r>
        <w:rPr>
          <w:b w:val="0"/>
          <w:bCs/>
        </w:rPr>
        <w:fldChar w:fldCharType="begin"/>
      </w:r>
      <w:r>
        <w:rPr>
          <w:b w:val="0"/>
          <w:bCs/>
        </w:rPr>
        <w:instrText xml:space="preserve"> PAGEREF _Toc165576331 \h </w:instrText>
      </w:r>
      <w:r>
        <w:rPr>
          <w:b w:val="0"/>
          <w:bCs/>
        </w:rPr>
        <w:fldChar w:fldCharType="separate"/>
      </w:r>
      <w:r>
        <w:rPr>
          <w:b w:val="0"/>
          <w:bCs/>
        </w:rPr>
        <w:t>30</w:t>
      </w:r>
      <w:r>
        <w:rPr>
          <w:b w:val="0"/>
          <w:bCs/>
        </w:rPr>
        <w:fldChar w:fldCharType="end"/>
      </w:r>
      <w:r>
        <w:rPr>
          <w:b w:val="0"/>
          <w:bCs/>
        </w:rPr>
        <w:fldChar w:fldCharType="end"/>
      </w:r>
    </w:p>
    <w:p w14:paraId="5B13C551">
      <w:pPr>
        <w:pStyle w:val="30"/>
        <w:rPr>
          <w:rFonts w:hint="eastAsia" w:asciiTheme="minorHAnsi" w:hAnsiTheme="minorHAnsi" w:eastAsiaTheme="minorEastAsia" w:cstheme="minorBidi"/>
          <w:b w:val="0"/>
          <w:bCs/>
        </w:rPr>
      </w:pPr>
      <w:r>
        <w:fldChar w:fldCharType="begin"/>
      </w:r>
      <w:r>
        <w:instrText xml:space="preserve"> HYPERLINK \l "_Toc165576332" </w:instrText>
      </w:r>
      <w:r>
        <w:fldChar w:fldCharType="separate"/>
      </w:r>
      <w:r>
        <w:rPr>
          <w:rStyle w:val="49"/>
          <w:b w:val="0"/>
          <w:bCs/>
          <w:color w:val="auto"/>
        </w:rPr>
        <w:t>第五章   合同草案条款</w:t>
      </w:r>
      <w:r>
        <w:rPr>
          <w:b w:val="0"/>
          <w:bCs/>
        </w:rPr>
        <w:tab/>
      </w:r>
      <w:r>
        <w:rPr>
          <w:b w:val="0"/>
          <w:bCs/>
        </w:rPr>
        <w:fldChar w:fldCharType="begin"/>
      </w:r>
      <w:r>
        <w:rPr>
          <w:b w:val="0"/>
          <w:bCs/>
        </w:rPr>
        <w:instrText xml:space="preserve"> PAGEREF _Toc165576332 \h </w:instrText>
      </w:r>
      <w:r>
        <w:rPr>
          <w:b w:val="0"/>
          <w:bCs/>
        </w:rPr>
        <w:fldChar w:fldCharType="separate"/>
      </w:r>
      <w:r>
        <w:rPr>
          <w:b w:val="0"/>
          <w:bCs/>
        </w:rPr>
        <w:t>31</w:t>
      </w:r>
      <w:r>
        <w:rPr>
          <w:b w:val="0"/>
          <w:bCs/>
        </w:rPr>
        <w:fldChar w:fldCharType="end"/>
      </w:r>
      <w:r>
        <w:rPr>
          <w:b w:val="0"/>
          <w:bCs/>
        </w:rPr>
        <w:fldChar w:fldCharType="end"/>
      </w:r>
    </w:p>
    <w:p w14:paraId="2085A3C5">
      <w:pPr>
        <w:pStyle w:val="30"/>
        <w:rPr>
          <w:rFonts w:hint="eastAsia" w:asciiTheme="minorHAnsi" w:hAnsiTheme="minorHAnsi" w:eastAsiaTheme="minorEastAsia" w:cstheme="minorBidi"/>
          <w:b w:val="0"/>
          <w:bCs/>
        </w:rPr>
      </w:pPr>
      <w:r>
        <w:fldChar w:fldCharType="begin"/>
      </w:r>
      <w:r>
        <w:instrText xml:space="preserve"> HYPERLINK \l "_Toc165576333" </w:instrText>
      </w:r>
      <w:r>
        <w:fldChar w:fldCharType="separate"/>
      </w:r>
      <w:r>
        <w:rPr>
          <w:rStyle w:val="49"/>
          <w:b w:val="0"/>
          <w:bCs/>
          <w:color w:val="auto"/>
        </w:rPr>
        <w:t>第六章   响应文件格式</w:t>
      </w:r>
      <w:r>
        <w:rPr>
          <w:b w:val="0"/>
          <w:bCs/>
        </w:rPr>
        <w:tab/>
      </w:r>
      <w:r>
        <w:rPr>
          <w:b w:val="0"/>
          <w:bCs/>
        </w:rPr>
        <w:fldChar w:fldCharType="begin"/>
      </w:r>
      <w:r>
        <w:rPr>
          <w:b w:val="0"/>
          <w:bCs/>
        </w:rPr>
        <w:instrText xml:space="preserve"> PAGEREF _Toc165576333 \h </w:instrText>
      </w:r>
      <w:r>
        <w:rPr>
          <w:b w:val="0"/>
          <w:bCs/>
        </w:rPr>
        <w:fldChar w:fldCharType="separate"/>
      </w:r>
      <w:r>
        <w:rPr>
          <w:b w:val="0"/>
          <w:bCs/>
        </w:rPr>
        <w:t>126</w:t>
      </w:r>
      <w:r>
        <w:rPr>
          <w:b w:val="0"/>
          <w:bCs/>
        </w:rPr>
        <w:fldChar w:fldCharType="end"/>
      </w:r>
      <w:r>
        <w:rPr>
          <w:b w:val="0"/>
          <w:bCs/>
        </w:rPr>
        <w:fldChar w:fldCharType="end"/>
      </w:r>
    </w:p>
    <w:p w14:paraId="41E89342">
      <w:pPr>
        <w:tabs>
          <w:tab w:val="left" w:pos="3240"/>
          <w:tab w:val="left" w:pos="3420"/>
        </w:tabs>
        <w:spacing w:line="720" w:lineRule="auto"/>
        <w:ind w:left="2410" w:leftChars="444" w:hanging="1478" w:hangingChars="528"/>
        <w:jc w:val="left"/>
        <w:rPr>
          <w:rFonts w:hint="eastAsia" w:ascii="宋体" w:hAnsi="宋体"/>
          <w:bCs/>
          <w:sz w:val="36"/>
          <w:szCs w:val="36"/>
        </w:rPr>
        <w:sectPr>
          <w:pgSz w:w="11906" w:h="16838"/>
          <w:pgMar w:top="1911" w:right="1474" w:bottom="1882" w:left="1587" w:header="851" w:footer="992" w:gutter="0"/>
          <w:cols w:space="720" w:num="1"/>
          <w:docGrid w:linePitch="312" w:charSpace="0"/>
        </w:sectPr>
      </w:pPr>
      <w:r>
        <w:rPr>
          <w:rFonts w:ascii="宋体" w:hAnsi="宋体"/>
          <w:bCs/>
          <w:sz w:val="28"/>
          <w:szCs w:val="28"/>
        </w:rPr>
        <w:fldChar w:fldCharType="end"/>
      </w:r>
    </w:p>
    <w:p w14:paraId="12662AE3">
      <w:pPr>
        <w:spacing w:line="360" w:lineRule="auto"/>
        <w:jc w:val="center"/>
        <w:outlineLvl w:val="0"/>
        <w:rPr>
          <w:rFonts w:hint="eastAsia" w:ascii="宋体" w:hAnsi="宋体"/>
          <w:b/>
          <w:sz w:val="36"/>
          <w:szCs w:val="36"/>
        </w:rPr>
      </w:pPr>
      <w:bookmarkStart w:id="0" w:name="_Toc165576328"/>
      <w:bookmarkStart w:id="1" w:name="_Toc103153301"/>
      <w:r>
        <w:rPr>
          <w:rFonts w:ascii="宋体" w:hAnsi="宋体"/>
          <w:b/>
          <w:sz w:val="36"/>
          <w:szCs w:val="36"/>
        </w:rPr>
        <w:t>第一章   采购邀请</w:t>
      </w:r>
      <w:bookmarkEnd w:id="0"/>
      <w:bookmarkEnd w:id="1"/>
      <w:bookmarkStart w:id="2" w:name="_Toc28359079"/>
      <w:bookmarkStart w:id="3" w:name="_Toc35393621"/>
      <w:bookmarkStart w:id="4" w:name="_Toc28359002"/>
      <w:bookmarkStart w:id="5" w:name="_Toc35393790"/>
      <w:bookmarkStart w:id="6" w:name="_Hlk24379207"/>
    </w:p>
    <w:p w14:paraId="74880D1F">
      <w:pPr>
        <w:pStyle w:val="3"/>
        <w:spacing w:before="0" w:line="360" w:lineRule="auto"/>
        <w:jc w:val="left"/>
        <w:rPr>
          <w:rFonts w:hint="eastAsia" w:ascii="宋体" w:hAnsi="宋体" w:eastAsia="宋体"/>
          <w:sz w:val="24"/>
          <w:szCs w:val="24"/>
        </w:rPr>
      </w:pPr>
      <w:r>
        <w:rPr>
          <w:rFonts w:ascii="宋体" w:hAnsi="宋体" w:eastAsia="宋体"/>
          <w:sz w:val="24"/>
          <w:szCs w:val="24"/>
        </w:rPr>
        <w:t>一、项目基本情况</w:t>
      </w:r>
      <w:bookmarkEnd w:id="2"/>
      <w:bookmarkEnd w:id="3"/>
      <w:bookmarkEnd w:id="4"/>
      <w:bookmarkEnd w:id="5"/>
    </w:p>
    <w:p w14:paraId="1CECA443">
      <w:pPr>
        <w:spacing w:line="360" w:lineRule="auto"/>
        <w:ind w:firstLine="480" w:firstLineChars="200"/>
        <w:rPr>
          <w:rFonts w:hint="eastAsia" w:ascii="宋体" w:hAnsi="宋体" w:eastAsia="宋体"/>
          <w:sz w:val="24"/>
          <w:lang w:eastAsia="zh-CN"/>
        </w:rPr>
      </w:pPr>
      <w:r>
        <w:rPr>
          <w:rFonts w:ascii="宋体" w:hAnsi="宋体"/>
          <w:sz w:val="24"/>
        </w:rPr>
        <w:t>1.项目编号：</w:t>
      </w:r>
      <w:r>
        <w:rPr>
          <w:rFonts w:hint="eastAsia" w:ascii="宋体" w:hAnsi="宋体"/>
          <w:sz w:val="24"/>
          <w:lang w:eastAsia="zh-CN"/>
        </w:rPr>
        <w:t>ZYZX-GC-25188</w:t>
      </w:r>
    </w:p>
    <w:p w14:paraId="2E579C42">
      <w:pPr>
        <w:spacing w:line="360" w:lineRule="auto"/>
        <w:ind w:firstLine="480" w:firstLineChars="200"/>
        <w:rPr>
          <w:rFonts w:hint="eastAsia" w:ascii="宋体" w:hAnsi="宋体" w:eastAsia="宋体"/>
          <w:sz w:val="24"/>
          <w:lang w:eastAsia="zh-CN"/>
        </w:rPr>
      </w:pPr>
      <w:r>
        <w:rPr>
          <w:rFonts w:ascii="宋体" w:hAnsi="宋体"/>
          <w:sz w:val="24"/>
        </w:rPr>
        <w:t>2.项目名称：</w:t>
      </w:r>
      <w:r>
        <w:rPr>
          <w:rFonts w:hint="eastAsia" w:ascii="宋体" w:hAnsi="宋体"/>
          <w:sz w:val="24"/>
          <w:lang w:eastAsia="zh-CN"/>
        </w:rPr>
        <w:t>采石北路提升改造项目采购项目-永定路街道采石北路提升改造项目</w:t>
      </w:r>
    </w:p>
    <w:p w14:paraId="721258F4">
      <w:pPr>
        <w:spacing w:line="360" w:lineRule="auto"/>
        <w:ind w:firstLine="480" w:firstLineChars="200"/>
        <w:rPr>
          <w:rFonts w:hint="eastAsia" w:ascii="宋体" w:hAnsi="宋体"/>
          <w:sz w:val="24"/>
        </w:rPr>
      </w:pPr>
      <w:r>
        <w:rPr>
          <w:rFonts w:ascii="宋体" w:hAnsi="宋体"/>
          <w:sz w:val="24"/>
        </w:rPr>
        <w:t>3.采购方式：竞争性磋商</w:t>
      </w:r>
    </w:p>
    <w:bookmarkEnd w:id="6"/>
    <w:p w14:paraId="44EB85B2">
      <w:pPr>
        <w:spacing w:line="360" w:lineRule="auto"/>
        <w:ind w:firstLine="480" w:firstLineChars="200"/>
        <w:rPr>
          <w:rFonts w:hint="eastAsia" w:ascii="宋体" w:hAnsi="宋体"/>
          <w:sz w:val="24"/>
        </w:rPr>
      </w:pPr>
      <w:r>
        <w:rPr>
          <w:rFonts w:ascii="宋体" w:hAnsi="宋体"/>
          <w:sz w:val="24"/>
        </w:rPr>
        <w:t>4.项目预算金额：</w:t>
      </w:r>
      <w:r>
        <w:rPr>
          <w:rFonts w:hint="eastAsia" w:ascii="宋体" w:hAnsi="宋体"/>
          <w:sz w:val="24"/>
          <w:lang w:eastAsia="zh-CN"/>
        </w:rPr>
        <w:t>460.164419</w:t>
      </w:r>
      <w:r>
        <w:rPr>
          <w:rFonts w:hint="eastAsia" w:ascii="宋体" w:hAnsi="宋体"/>
          <w:sz w:val="24"/>
        </w:rPr>
        <w:t>万元</w:t>
      </w:r>
      <w:r>
        <w:rPr>
          <w:rFonts w:ascii="宋体" w:hAnsi="宋体"/>
          <w:sz w:val="24"/>
        </w:rPr>
        <w:t>、项目最高限价（如有）：</w:t>
      </w:r>
      <w:r>
        <w:rPr>
          <w:rFonts w:hint="eastAsia" w:ascii="宋体" w:hAnsi="宋体"/>
          <w:sz w:val="24"/>
          <w:lang w:val="en-US" w:eastAsia="zh-CN"/>
        </w:rPr>
        <w:t>460.164419</w:t>
      </w:r>
      <w:r>
        <w:rPr>
          <w:rFonts w:hint="eastAsia" w:ascii="宋体" w:hAnsi="宋体"/>
          <w:sz w:val="24"/>
        </w:rPr>
        <w:t>万元</w:t>
      </w:r>
    </w:p>
    <w:p w14:paraId="1A74DDA6">
      <w:pPr>
        <w:spacing w:line="360" w:lineRule="auto"/>
        <w:ind w:firstLine="480" w:firstLineChars="200"/>
        <w:rPr>
          <w:rFonts w:hint="eastAsia" w:ascii="宋体" w:hAnsi="宋体"/>
          <w:sz w:val="24"/>
        </w:rPr>
      </w:pPr>
      <w:r>
        <w:rPr>
          <w:rFonts w:ascii="宋体" w:hAnsi="宋体"/>
          <w:sz w:val="24"/>
        </w:rPr>
        <w:t>5.采购需求：</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1482"/>
        <w:gridCol w:w="882"/>
        <w:gridCol w:w="4263"/>
      </w:tblGrid>
      <w:tr w14:paraId="0F24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7" w:hRule="atLeast"/>
        </w:trPr>
        <w:tc>
          <w:tcPr>
            <w:tcW w:w="1200" w:type="pct"/>
            <w:shd w:val="clear" w:color="auto" w:fill="auto"/>
            <w:vAlign w:val="center"/>
          </w:tcPr>
          <w:p w14:paraId="7F78E931">
            <w:pPr>
              <w:spacing w:line="360" w:lineRule="auto"/>
              <w:jc w:val="center"/>
              <w:rPr>
                <w:rFonts w:hint="eastAsia" w:ascii="宋体" w:hAnsi="宋体"/>
                <w:sz w:val="24"/>
              </w:rPr>
            </w:pPr>
            <w:r>
              <w:rPr>
                <w:rFonts w:ascii="宋体" w:hAnsi="宋体" w:cs="宋体"/>
                <w:spacing w:val="8"/>
                <w:sz w:val="24"/>
              </w:rPr>
              <w:t>标</w:t>
            </w:r>
            <w:r>
              <w:rPr>
                <w:rFonts w:ascii="宋体" w:hAnsi="宋体" w:cs="宋体"/>
                <w:spacing w:val="7"/>
                <w:sz w:val="24"/>
              </w:rPr>
              <w:t>的名称</w:t>
            </w:r>
          </w:p>
        </w:tc>
        <w:tc>
          <w:tcPr>
            <w:tcW w:w="850" w:type="pct"/>
            <w:shd w:val="clear" w:color="auto" w:fill="auto"/>
            <w:vAlign w:val="center"/>
          </w:tcPr>
          <w:p w14:paraId="5C96E9BF">
            <w:pPr>
              <w:spacing w:before="36" w:line="228" w:lineRule="auto"/>
              <w:ind w:left="119"/>
              <w:jc w:val="center"/>
              <w:rPr>
                <w:rFonts w:hint="eastAsia" w:ascii="宋体" w:hAnsi="宋体" w:cs="宋体"/>
                <w:sz w:val="24"/>
              </w:rPr>
            </w:pPr>
            <w:r>
              <w:rPr>
                <w:rFonts w:ascii="宋体" w:hAnsi="宋体" w:cs="宋体"/>
                <w:spacing w:val="9"/>
                <w:sz w:val="24"/>
              </w:rPr>
              <w:t>预算金</w:t>
            </w:r>
            <w:r>
              <w:rPr>
                <w:rFonts w:ascii="宋体" w:hAnsi="宋体" w:cs="宋体"/>
                <w:spacing w:val="8"/>
                <w:sz w:val="24"/>
              </w:rPr>
              <w:t>额</w:t>
            </w:r>
          </w:p>
          <w:p w14:paraId="2492226C">
            <w:pPr>
              <w:spacing w:line="360" w:lineRule="auto"/>
              <w:jc w:val="center"/>
              <w:rPr>
                <w:rFonts w:hint="eastAsia" w:ascii="宋体" w:hAnsi="宋体"/>
                <w:sz w:val="24"/>
              </w:rPr>
            </w:pPr>
            <w:r>
              <w:rPr>
                <w:rFonts w:ascii="宋体" w:hAnsi="宋体" w:cs="宋体"/>
                <w:spacing w:val="26"/>
                <w:sz w:val="24"/>
              </w:rPr>
              <w:t>(</w:t>
            </w:r>
            <w:r>
              <w:rPr>
                <w:rFonts w:ascii="宋体" w:hAnsi="宋体" w:cs="宋体"/>
                <w:spacing w:val="25"/>
                <w:sz w:val="24"/>
              </w:rPr>
              <w:t>万元)</w:t>
            </w:r>
          </w:p>
        </w:tc>
        <w:tc>
          <w:tcPr>
            <w:tcW w:w="506" w:type="pct"/>
            <w:shd w:val="clear" w:color="auto" w:fill="auto"/>
            <w:vAlign w:val="center"/>
          </w:tcPr>
          <w:p w14:paraId="153F6181">
            <w:pPr>
              <w:spacing w:line="360" w:lineRule="auto"/>
              <w:jc w:val="center"/>
              <w:rPr>
                <w:rFonts w:hint="eastAsia" w:ascii="宋体" w:hAnsi="宋体"/>
                <w:sz w:val="24"/>
              </w:rPr>
            </w:pPr>
            <w:r>
              <w:rPr>
                <w:rFonts w:ascii="宋体" w:hAnsi="宋体" w:cs="宋体"/>
                <w:spacing w:val="4"/>
                <w:sz w:val="24"/>
              </w:rPr>
              <w:t>数量</w:t>
            </w:r>
          </w:p>
        </w:tc>
        <w:tc>
          <w:tcPr>
            <w:tcW w:w="2444" w:type="pct"/>
            <w:shd w:val="clear" w:color="auto" w:fill="auto"/>
            <w:vAlign w:val="center"/>
          </w:tcPr>
          <w:p w14:paraId="3B8C444A">
            <w:pPr>
              <w:spacing w:line="360" w:lineRule="auto"/>
              <w:jc w:val="center"/>
              <w:rPr>
                <w:rFonts w:hint="eastAsia" w:ascii="宋体" w:hAnsi="宋体"/>
                <w:sz w:val="24"/>
              </w:rPr>
            </w:pPr>
            <w:r>
              <w:rPr>
                <w:rFonts w:ascii="宋体" w:hAnsi="宋体" w:cs="宋体"/>
                <w:spacing w:val="9"/>
                <w:sz w:val="24"/>
              </w:rPr>
              <w:t>简要技术需求或服务要</w:t>
            </w:r>
            <w:r>
              <w:rPr>
                <w:rFonts w:ascii="宋体" w:hAnsi="宋体" w:cs="宋体"/>
                <w:spacing w:val="8"/>
                <w:sz w:val="24"/>
              </w:rPr>
              <w:t>求</w:t>
            </w:r>
          </w:p>
        </w:tc>
      </w:tr>
      <w:tr w14:paraId="057C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200" w:type="pct"/>
            <w:shd w:val="clear" w:color="auto" w:fill="auto"/>
            <w:vAlign w:val="center"/>
          </w:tcPr>
          <w:p w14:paraId="229F2B76">
            <w:pPr>
              <w:spacing w:line="360" w:lineRule="auto"/>
              <w:jc w:val="center"/>
              <w:rPr>
                <w:rFonts w:hint="eastAsia" w:ascii="宋体" w:hAnsi="宋体" w:eastAsia="宋体"/>
                <w:sz w:val="24"/>
                <w:lang w:eastAsia="zh-CN"/>
              </w:rPr>
            </w:pPr>
            <w:bookmarkStart w:id="7" w:name="_Hlk191387864"/>
            <w:r>
              <w:rPr>
                <w:rFonts w:hint="eastAsia" w:ascii="宋体" w:hAnsi="宋体"/>
                <w:sz w:val="24"/>
                <w:lang w:eastAsia="zh-CN"/>
              </w:rPr>
              <w:t>采石北路提升改造项目采购项目-永定路街道采石北路提升改造项目</w:t>
            </w:r>
          </w:p>
        </w:tc>
        <w:tc>
          <w:tcPr>
            <w:tcW w:w="850" w:type="pct"/>
            <w:shd w:val="clear" w:color="auto" w:fill="auto"/>
            <w:vAlign w:val="center"/>
          </w:tcPr>
          <w:p w14:paraId="4F53248F">
            <w:pPr>
              <w:spacing w:line="360" w:lineRule="auto"/>
              <w:jc w:val="center"/>
              <w:rPr>
                <w:rFonts w:hint="eastAsia" w:ascii="宋体" w:hAnsi="宋体" w:eastAsia="宋体"/>
                <w:sz w:val="24"/>
                <w:lang w:eastAsia="zh-CN"/>
              </w:rPr>
            </w:pPr>
            <w:r>
              <w:rPr>
                <w:rFonts w:hint="eastAsia" w:ascii="宋体" w:hAnsi="宋体"/>
                <w:sz w:val="24"/>
                <w:lang w:eastAsia="zh-CN"/>
              </w:rPr>
              <w:t>460.164419</w:t>
            </w:r>
          </w:p>
        </w:tc>
        <w:tc>
          <w:tcPr>
            <w:tcW w:w="506" w:type="pct"/>
            <w:shd w:val="clear" w:color="auto" w:fill="auto"/>
            <w:vAlign w:val="center"/>
          </w:tcPr>
          <w:p w14:paraId="43AE61DC">
            <w:pPr>
              <w:spacing w:line="360" w:lineRule="auto"/>
              <w:jc w:val="center"/>
              <w:rPr>
                <w:rFonts w:hint="eastAsia" w:ascii="宋体" w:hAnsi="宋体"/>
                <w:sz w:val="24"/>
              </w:rPr>
            </w:pPr>
            <w:r>
              <w:rPr>
                <w:rFonts w:hint="eastAsia" w:ascii="宋体" w:hAnsi="宋体"/>
                <w:sz w:val="24"/>
              </w:rPr>
              <w:t>1</w:t>
            </w:r>
          </w:p>
        </w:tc>
        <w:tc>
          <w:tcPr>
            <w:tcW w:w="2444" w:type="pct"/>
            <w:shd w:val="clear" w:color="auto" w:fill="auto"/>
            <w:vAlign w:val="center"/>
          </w:tcPr>
          <w:p w14:paraId="13ECFB95">
            <w:pPr>
              <w:spacing w:line="360" w:lineRule="auto"/>
              <w:jc w:val="center"/>
              <w:rPr>
                <w:rFonts w:hint="eastAsia" w:ascii="宋体" w:hAnsi="宋体"/>
                <w:sz w:val="24"/>
              </w:rPr>
            </w:pPr>
            <w:r>
              <w:rPr>
                <w:rFonts w:hint="eastAsia" w:ascii="宋体" w:hAnsi="宋体"/>
                <w:sz w:val="24"/>
                <w:lang w:eastAsia="zh-CN"/>
              </w:rPr>
              <w:t>采石北路提升改造项目采购项目-永定路街道采石北路提升改造项目</w:t>
            </w:r>
            <w:r>
              <w:rPr>
                <w:rFonts w:hint="eastAsia" w:ascii="宋体" w:hAnsi="宋体"/>
                <w:sz w:val="24"/>
              </w:rPr>
              <w:t>,具体详见工程量清单</w:t>
            </w:r>
          </w:p>
        </w:tc>
      </w:tr>
      <w:bookmarkEnd w:id="7"/>
    </w:tbl>
    <w:p w14:paraId="0AEE36F9">
      <w:pPr>
        <w:spacing w:line="360" w:lineRule="auto"/>
        <w:ind w:firstLine="480" w:firstLineChars="200"/>
        <w:rPr>
          <w:rFonts w:hint="eastAsia" w:ascii="宋体" w:hAnsi="宋体"/>
          <w:sz w:val="24"/>
          <w:u w:val="single"/>
        </w:rPr>
      </w:pPr>
      <w:r>
        <w:rPr>
          <w:rFonts w:ascii="宋体" w:hAnsi="宋体"/>
          <w:sz w:val="24"/>
        </w:rPr>
        <w:t>6.</w:t>
      </w:r>
      <w:r>
        <w:rPr>
          <w:rFonts w:hint="eastAsia" w:ascii="宋体" w:hAnsi="宋体"/>
          <w:sz w:val="24"/>
        </w:rPr>
        <w:t>合同履行期限</w:t>
      </w:r>
      <w:r>
        <w:rPr>
          <w:rFonts w:ascii="宋体" w:hAnsi="宋体"/>
          <w:sz w:val="24"/>
        </w:rPr>
        <w:t>：</w:t>
      </w:r>
      <w:r>
        <w:rPr>
          <w:rFonts w:hint="eastAsia" w:ascii="宋体" w:hAnsi="宋体"/>
          <w:sz w:val="24"/>
          <w:lang w:val="en-US" w:eastAsia="zh-CN"/>
        </w:rPr>
        <w:t>工期：365日历天</w:t>
      </w:r>
      <w:r>
        <w:rPr>
          <w:rFonts w:hint="eastAsia" w:ascii="宋体" w:hAnsi="宋体"/>
          <w:sz w:val="24"/>
        </w:rPr>
        <w:t>。</w:t>
      </w:r>
    </w:p>
    <w:p w14:paraId="6FBFA97F">
      <w:pPr>
        <w:spacing w:line="360" w:lineRule="auto"/>
        <w:ind w:firstLine="480" w:firstLineChars="200"/>
        <w:rPr>
          <w:rFonts w:hint="eastAsia" w:ascii="宋体" w:hAnsi="宋体"/>
          <w:sz w:val="24"/>
        </w:rPr>
      </w:pPr>
      <w:r>
        <w:rPr>
          <w:rFonts w:ascii="宋体" w:hAnsi="宋体"/>
          <w:sz w:val="24"/>
        </w:rPr>
        <w:t>7.本项目是否接受联合体：</w:t>
      </w:r>
      <w:r>
        <w:rPr>
          <w:rFonts w:ascii="宋体" w:hAnsi="宋体"/>
        </w:rPr>
        <w:t>□</w:t>
      </w:r>
      <w:r>
        <w:rPr>
          <w:rFonts w:ascii="宋体" w:hAnsi="宋体"/>
          <w:sz w:val="24"/>
        </w:rPr>
        <w:t xml:space="preserve">是  </w:t>
      </w:r>
      <w:r>
        <w:rPr>
          <w:rFonts w:ascii="宋体" w:hAnsi="宋体"/>
          <w:sz w:val="32"/>
          <w:szCs w:val="32"/>
        </w:rPr>
        <w:t>■</w:t>
      </w:r>
      <w:r>
        <w:rPr>
          <w:rFonts w:ascii="宋体" w:hAnsi="宋体"/>
          <w:sz w:val="24"/>
        </w:rPr>
        <w:t>否。</w:t>
      </w:r>
    </w:p>
    <w:p w14:paraId="26D67270">
      <w:pPr>
        <w:pStyle w:val="3"/>
        <w:spacing w:before="0" w:line="360" w:lineRule="auto"/>
        <w:jc w:val="left"/>
        <w:rPr>
          <w:rFonts w:hint="eastAsia" w:ascii="宋体" w:hAnsi="宋体" w:eastAsia="宋体"/>
          <w:sz w:val="24"/>
          <w:szCs w:val="24"/>
        </w:rPr>
      </w:pPr>
      <w:bookmarkStart w:id="8" w:name="_Toc28359080"/>
      <w:bookmarkStart w:id="9" w:name="_Toc28359003"/>
      <w:bookmarkStart w:id="10" w:name="_Toc35393791"/>
      <w:bookmarkStart w:id="11" w:name="_Toc35393622"/>
      <w:r>
        <w:rPr>
          <w:rFonts w:ascii="宋体" w:hAnsi="宋体" w:eastAsia="宋体"/>
          <w:sz w:val="24"/>
          <w:szCs w:val="24"/>
        </w:rPr>
        <w:t>二、申请人的资格要求（须同时满足）</w:t>
      </w:r>
      <w:bookmarkEnd w:id="8"/>
      <w:bookmarkEnd w:id="9"/>
      <w:bookmarkEnd w:id="10"/>
      <w:bookmarkEnd w:id="11"/>
    </w:p>
    <w:p w14:paraId="0BF0EB90">
      <w:pPr>
        <w:spacing w:line="360" w:lineRule="auto"/>
        <w:ind w:firstLine="480" w:firstLineChars="200"/>
        <w:rPr>
          <w:rFonts w:hint="eastAsia" w:ascii="宋体" w:hAnsi="宋体"/>
          <w:sz w:val="24"/>
        </w:rPr>
      </w:pPr>
      <w:r>
        <w:rPr>
          <w:rFonts w:ascii="宋体" w:hAnsi="宋体"/>
          <w:sz w:val="24"/>
        </w:rPr>
        <w:t>1.满足《中华人民共和国政府采购法》第二十二条规定；</w:t>
      </w:r>
    </w:p>
    <w:p w14:paraId="3489A19F">
      <w:pPr>
        <w:spacing w:line="360" w:lineRule="auto"/>
        <w:ind w:firstLine="480" w:firstLineChars="200"/>
        <w:rPr>
          <w:rFonts w:hint="eastAsia" w:ascii="宋体" w:hAnsi="宋体"/>
          <w:sz w:val="24"/>
        </w:rPr>
      </w:pPr>
      <w:bookmarkStart w:id="12" w:name="_Toc28359081"/>
      <w:bookmarkStart w:id="13" w:name="_Toc28359004"/>
      <w:r>
        <w:rPr>
          <w:rFonts w:ascii="宋体" w:hAnsi="宋体"/>
          <w:sz w:val="24"/>
        </w:rPr>
        <w:t>2.落实政府采购政策需满足的资格要求：</w:t>
      </w:r>
    </w:p>
    <w:p w14:paraId="1F0A0DFB">
      <w:pPr>
        <w:spacing w:line="360" w:lineRule="auto"/>
        <w:ind w:firstLine="480" w:firstLineChars="200"/>
        <w:rPr>
          <w:rFonts w:hint="eastAsia" w:ascii="宋体" w:hAnsi="宋体"/>
          <w:sz w:val="24"/>
        </w:rPr>
      </w:pPr>
      <w:r>
        <w:rPr>
          <w:rFonts w:ascii="宋体" w:hAnsi="宋体"/>
          <w:sz w:val="24"/>
        </w:rPr>
        <w:t>2.1 中小企业政策</w:t>
      </w:r>
    </w:p>
    <w:p w14:paraId="5FC71905">
      <w:pPr>
        <w:spacing w:line="360" w:lineRule="auto"/>
        <w:ind w:firstLine="420" w:firstLineChars="200"/>
        <w:rPr>
          <w:rFonts w:hint="eastAsia" w:ascii="宋体" w:hAnsi="宋体"/>
          <w:sz w:val="24"/>
          <w:highlight w:val="none"/>
        </w:rPr>
      </w:pPr>
      <w:r>
        <w:rPr>
          <w:rFonts w:ascii="宋体" w:hAnsi="宋体"/>
          <w:highlight w:val="none"/>
        </w:rPr>
        <w:t>□</w:t>
      </w:r>
      <w:r>
        <w:rPr>
          <w:rFonts w:ascii="宋体" w:hAnsi="宋体"/>
          <w:sz w:val="24"/>
          <w:highlight w:val="none"/>
        </w:rPr>
        <w:t>本项目不专门面向中小企业预留采购份额。</w:t>
      </w:r>
    </w:p>
    <w:p w14:paraId="7417AF8D">
      <w:pPr>
        <w:spacing w:line="360" w:lineRule="auto"/>
        <w:ind w:firstLine="420" w:firstLineChars="200"/>
        <w:rPr>
          <w:rFonts w:hint="eastAsia" w:ascii="宋体" w:hAnsi="宋体"/>
          <w:sz w:val="24"/>
        </w:rPr>
      </w:pPr>
      <w:r>
        <w:rPr>
          <w:rFonts w:hint="eastAsia" w:ascii="宋体" w:hAnsi="宋体"/>
          <w:highlight w:val="none"/>
        </w:rPr>
        <w:t>■</w:t>
      </w:r>
      <w:r>
        <w:rPr>
          <w:rFonts w:ascii="宋体" w:hAnsi="宋体"/>
          <w:sz w:val="24"/>
          <w:highlight w:val="none"/>
        </w:rPr>
        <w:t xml:space="preserve">本项目专门面向  </w:t>
      </w:r>
      <w:r>
        <w:rPr>
          <w:rFonts w:ascii="宋体" w:hAnsi="宋体"/>
          <w:highlight w:val="none"/>
        </w:rPr>
        <w:t>□</w:t>
      </w:r>
      <w:r>
        <w:rPr>
          <w:rFonts w:ascii="宋体" w:hAnsi="宋体"/>
          <w:sz w:val="24"/>
          <w:highlight w:val="none"/>
        </w:rPr>
        <w:t xml:space="preserve">中小  </w:t>
      </w:r>
      <w:r>
        <w:rPr>
          <w:rFonts w:hint="eastAsia" w:ascii="宋体" w:hAnsi="宋体"/>
          <w:highlight w:val="none"/>
        </w:rPr>
        <w:t>■</w:t>
      </w:r>
      <w:r>
        <w:rPr>
          <w:rFonts w:ascii="宋体" w:hAnsi="宋体"/>
          <w:sz w:val="24"/>
          <w:highlight w:val="none"/>
        </w:rPr>
        <w:t>小微企业  采</w:t>
      </w:r>
      <w:r>
        <w:rPr>
          <w:rFonts w:ascii="宋体" w:hAnsi="宋体"/>
          <w:sz w:val="24"/>
        </w:rPr>
        <w:t>购。即：提供的货物全部由符合政策要求的中小/小微企业制造、服务全部由符合政策要求的中小/小微企业承接。</w:t>
      </w:r>
    </w:p>
    <w:p w14:paraId="4BB6B327">
      <w:pPr>
        <w:spacing w:line="360" w:lineRule="auto"/>
        <w:ind w:firstLine="420" w:firstLineChars="200"/>
        <w:rPr>
          <w:rFonts w:hint="eastAsia" w:ascii="宋体" w:hAnsi="宋体"/>
          <w:sz w:val="24"/>
          <w:u w:val="none"/>
        </w:rPr>
      </w:pPr>
      <w:r>
        <w:rPr>
          <w:rFonts w:ascii="宋体" w:hAnsi="宋体"/>
        </w:rPr>
        <w:t>□</w:t>
      </w: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sz w:val="24"/>
          <w:u w:val="none"/>
        </w:rPr>
        <w:t>：____/___</w:t>
      </w:r>
      <w:r>
        <w:rPr>
          <w:rFonts w:hint="eastAsia" w:ascii="宋体" w:hAnsi="宋体"/>
          <w:sz w:val="24"/>
          <w:u w:val="none"/>
        </w:rPr>
        <w:t>。</w:t>
      </w:r>
    </w:p>
    <w:p w14:paraId="3B03AD9E">
      <w:pPr>
        <w:spacing w:line="360" w:lineRule="auto"/>
        <w:ind w:firstLine="480" w:firstLineChars="200"/>
        <w:rPr>
          <w:rFonts w:hint="eastAsia" w:ascii="宋体" w:hAnsi="宋体"/>
          <w:sz w:val="24"/>
          <w:u w:val="none"/>
        </w:rPr>
      </w:pPr>
      <w:r>
        <w:rPr>
          <w:rFonts w:ascii="宋体" w:hAnsi="宋体"/>
          <w:sz w:val="24"/>
          <w:u w:val="none"/>
        </w:rPr>
        <w:t>2.2 其它落实政府采购政策的资格要求（如有）： ___/___</w:t>
      </w:r>
      <w:r>
        <w:rPr>
          <w:rFonts w:hint="eastAsia" w:ascii="宋体" w:hAnsi="宋体"/>
          <w:sz w:val="24"/>
          <w:u w:val="none"/>
        </w:rPr>
        <w:t>。</w:t>
      </w:r>
    </w:p>
    <w:p w14:paraId="1728670F">
      <w:pPr>
        <w:spacing w:line="360" w:lineRule="auto"/>
        <w:ind w:firstLine="480" w:firstLineChars="200"/>
        <w:rPr>
          <w:rFonts w:hint="eastAsia" w:ascii="宋体" w:hAnsi="宋体"/>
          <w:i/>
          <w:iCs/>
          <w:sz w:val="24"/>
          <w:u w:val="single"/>
        </w:rPr>
      </w:pPr>
      <w:r>
        <w:rPr>
          <w:rFonts w:ascii="宋体" w:hAnsi="宋体"/>
          <w:sz w:val="24"/>
        </w:rPr>
        <w:t>3.本项目的特定资格要求：</w:t>
      </w:r>
    </w:p>
    <w:p w14:paraId="04066A11">
      <w:pPr>
        <w:tabs>
          <w:tab w:val="left" w:pos="900"/>
          <w:tab w:val="left" w:pos="1134"/>
          <w:tab w:val="left" w:pos="1589"/>
          <w:tab w:val="left" w:pos="5521"/>
        </w:tabs>
        <w:snapToGrid w:val="0"/>
        <w:spacing w:line="360" w:lineRule="auto"/>
        <w:ind w:firstLine="480" w:firstLineChars="200"/>
        <w:rPr>
          <w:rFonts w:hint="eastAsia" w:ascii="宋体" w:hAnsi="宋体"/>
          <w:sz w:val="24"/>
        </w:rPr>
      </w:pPr>
      <w:r>
        <w:rPr>
          <w:rFonts w:ascii="宋体" w:hAnsi="宋体"/>
          <w:sz w:val="24"/>
        </w:rPr>
        <w:t>3.</w:t>
      </w:r>
      <w:r>
        <w:rPr>
          <w:rFonts w:hint="eastAsia" w:ascii="宋体" w:hAnsi="宋体"/>
          <w:sz w:val="24"/>
        </w:rPr>
        <w:t>1</w:t>
      </w:r>
      <w:r>
        <w:rPr>
          <w:rFonts w:ascii="宋体" w:hAnsi="宋体"/>
          <w:sz w:val="24"/>
        </w:rPr>
        <w:t>本项目是否属于政府购买服务：</w:t>
      </w:r>
    </w:p>
    <w:p w14:paraId="051FC9D3">
      <w:pPr>
        <w:tabs>
          <w:tab w:val="left" w:pos="900"/>
          <w:tab w:val="left" w:pos="1134"/>
          <w:tab w:val="left" w:pos="1589"/>
          <w:tab w:val="left" w:pos="5521"/>
        </w:tabs>
        <w:snapToGrid w:val="0"/>
        <w:spacing w:line="360" w:lineRule="auto"/>
        <w:ind w:left="991" w:leftChars="472" w:firstLine="2"/>
        <w:rPr>
          <w:rFonts w:hint="eastAsia" w:ascii="宋体" w:hAnsi="宋体"/>
          <w:sz w:val="24"/>
        </w:rPr>
      </w:pPr>
      <w:r>
        <w:rPr>
          <w:rFonts w:hint="eastAsia" w:ascii="宋体" w:hAnsi="宋体"/>
        </w:rPr>
        <w:t>■</w:t>
      </w:r>
      <w:r>
        <w:rPr>
          <w:rFonts w:ascii="宋体" w:hAnsi="宋体"/>
          <w:sz w:val="24"/>
        </w:rPr>
        <w:t>否</w:t>
      </w:r>
    </w:p>
    <w:p w14:paraId="2F8E473F">
      <w:pPr>
        <w:tabs>
          <w:tab w:val="left" w:pos="900"/>
          <w:tab w:val="left" w:pos="1134"/>
          <w:tab w:val="left" w:pos="1589"/>
          <w:tab w:val="left" w:pos="5521"/>
        </w:tabs>
        <w:snapToGrid w:val="0"/>
        <w:spacing w:line="360" w:lineRule="auto"/>
        <w:ind w:left="991" w:leftChars="472" w:firstLine="2"/>
        <w:rPr>
          <w:rFonts w:hint="eastAsia" w:ascii="宋体" w:hAnsi="宋体"/>
          <w:sz w:val="24"/>
        </w:rPr>
      </w:pPr>
      <w:r>
        <w:rPr>
          <w:rFonts w:ascii="宋体" w:hAnsi="宋体"/>
        </w:rPr>
        <w:t>□</w:t>
      </w:r>
      <w:r>
        <w:rPr>
          <w:rFonts w:ascii="宋体" w:hAnsi="宋体"/>
          <w:sz w:val="24"/>
        </w:rPr>
        <w:t>是，公益一类事业单位、使用事业编制且由财政拨款保障的群团组织，不得作为承接主体；</w:t>
      </w:r>
    </w:p>
    <w:p w14:paraId="56F73C7F">
      <w:pPr>
        <w:tabs>
          <w:tab w:val="left" w:pos="900"/>
          <w:tab w:val="left" w:pos="1134"/>
          <w:tab w:val="left" w:pos="1589"/>
          <w:tab w:val="left" w:pos="5521"/>
        </w:tabs>
        <w:snapToGrid w:val="0"/>
        <w:spacing w:line="360" w:lineRule="auto"/>
        <w:ind w:firstLine="480" w:firstLineChars="200"/>
        <w:rPr>
          <w:rFonts w:hint="eastAsia" w:ascii="宋体" w:hAnsi="宋体"/>
          <w:sz w:val="24"/>
        </w:rPr>
      </w:pPr>
      <w:r>
        <w:rPr>
          <w:rFonts w:ascii="宋体" w:hAnsi="宋体"/>
          <w:sz w:val="24"/>
        </w:rPr>
        <w:t>3.</w:t>
      </w:r>
      <w:r>
        <w:rPr>
          <w:rFonts w:hint="eastAsia" w:ascii="宋体" w:hAnsi="宋体"/>
          <w:sz w:val="24"/>
          <w:lang w:val="en-US" w:eastAsia="zh-CN"/>
        </w:rPr>
        <w:t>2</w:t>
      </w:r>
      <w:r>
        <w:rPr>
          <w:rFonts w:ascii="宋体" w:hAnsi="宋体"/>
          <w:sz w:val="24"/>
        </w:rPr>
        <w:t>其他特定资格要求：</w:t>
      </w:r>
      <w:bookmarkEnd w:id="12"/>
      <w:bookmarkEnd w:id="13"/>
      <w:bookmarkStart w:id="14" w:name="_Toc35393623"/>
      <w:bookmarkStart w:id="15" w:name="_Toc35393792"/>
      <w:r>
        <w:rPr>
          <w:rFonts w:hint="eastAsia" w:ascii="宋体" w:hAnsi="宋体"/>
          <w:sz w:val="24"/>
        </w:rPr>
        <w:t>（1）供应商须具备市政公用工程施工总承包三级（含）以上资质，安全生产许可证。其中,供应商拟派项目经理须具备市政工程专业二级（含以上）注册建造师执业资格，具备有效的安全生产考核合格证书（B本）。</w:t>
      </w:r>
    </w:p>
    <w:p w14:paraId="1739A1F7">
      <w:pPr>
        <w:pStyle w:val="3"/>
        <w:widowControl/>
        <w:spacing w:before="0" w:line="360" w:lineRule="auto"/>
        <w:jc w:val="left"/>
        <w:rPr>
          <w:rFonts w:hint="eastAsia" w:ascii="宋体" w:hAnsi="宋体" w:eastAsia="宋体"/>
          <w:sz w:val="24"/>
          <w:szCs w:val="24"/>
        </w:rPr>
      </w:pPr>
      <w:r>
        <w:rPr>
          <w:rFonts w:ascii="宋体" w:hAnsi="宋体" w:eastAsia="宋体"/>
          <w:sz w:val="24"/>
          <w:szCs w:val="24"/>
        </w:rPr>
        <w:t>三、获取采购文件</w:t>
      </w:r>
      <w:bookmarkEnd w:id="14"/>
      <w:bookmarkEnd w:id="15"/>
    </w:p>
    <w:p w14:paraId="19074C43">
      <w:pPr>
        <w:adjustRightInd w:val="0"/>
        <w:snapToGrid w:val="0"/>
        <w:spacing w:line="360" w:lineRule="auto"/>
        <w:ind w:firstLine="480" w:firstLineChars="200"/>
        <w:rPr>
          <w:rFonts w:hint="eastAsia" w:ascii="宋体" w:hAnsi="宋体"/>
          <w:sz w:val="24"/>
        </w:rPr>
      </w:pPr>
      <w:r>
        <w:rPr>
          <w:rFonts w:ascii="宋体" w:hAnsi="宋体"/>
          <w:sz w:val="24"/>
        </w:rPr>
        <w:t>1.时间：2025年</w:t>
      </w:r>
      <w:r>
        <w:rPr>
          <w:rFonts w:hint="eastAsia" w:ascii="宋体" w:hAnsi="宋体"/>
          <w:sz w:val="24"/>
          <w:lang w:val="en-US" w:eastAsia="zh-CN"/>
        </w:rPr>
        <w:t>10</w:t>
      </w:r>
      <w:r>
        <w:rPr>
          <w:rFonts w:ascii="宋体" w:hAnsi="宋体"/>
          <w:sz w:val="24"/>
        </w:rPr>
        <w:t>月</w:t>
      </w:r>
      <w:r>
        <w:rPr>
          <w:rFonts w:hint="eastAsia" w:ascii="宋体" w:hAnsi="宋体"/>
          <w:sz w:val="24"/>
          <w:lang w:val="en-US" w:eastAsia="zh-CN"/>
        </w:rPr>
        <w:t>24</w:t>
      </w:r>
      <w:r>
        <w:rPr>
          <w:rFonts w:ascii="宋体" w:hAnsi="宋体"/>
          <w:sz w:val="24"/>
        </w:rPr>
        <w:t>日至202</w:t>
      </w:r>
      <w:r>
        <w:rPr>
          <w:rFonts w:hint="eastAsia" w:ascii="宋体" w:hAnsi="宋体"/>
          <w:sz w:val="24"/>
          <w:lang w:val="en-US" w:eastAsia="zh-CN"/>
        </w:rPr>
        <w:t>5</w:t>
      </w:r>
      <w:r>
        <w:rPr>
          <w:rFonts w:ascii="宋体" w:hAnsi="宋体"/>
          <w:sz w:val="24"/>
        </w:rPr>
        <w:t>年</w:t>
      </w:r>
      <w:r>
        <w:rPr>
          <w:rFonts w:hint="eastAsia" w:ascii="宋体" w:hAnsi="宋体"/>
          <w:sz w:val="24"/>
          <w:lang w:val="en-US" w:eastAsia="zh-CN"/>
        </w:rPr>
        <w:t>10</w:t>
      </w:r>
      <w:r>
        <w:rPr>
          <w:rFonts w:ascii="宋体" w:hAnsi="宋体"/>
          <w:sz w:val="24"/>
        </w:rPr>
        <w:t>月</w:t>
      </w:r>
      <w:r>
        <w:rPr>
          <w:rFonts w:hint="eastAsia" w:ascii="宋体" w:hAnsi="宋体"/>
          <w:sz w:val="24"/>
          <w:lang w:val="en-US" w:eastAsia="zh-CN"/>
        </w:rPr>
        <w:t>30</w:t>
      </w:r>
      <w:r>
        <w:rPr>
          <w:rFonts w:ascii="宋体" w:hAnsi="宋体"/>
          <w:sz w:val="24"/>
        </w:rPr>
        <w:t>日</w:t>
      </w:r>
      <w:r>
        <w:rPr>
          <w:rFonts w:hint="eastAsia" w:ascii="宋体" w:hAnsi="宋体"/>
          <w:sz w:val="24"/>
        </w:rPr>
        <w:t>，每日</w:t>
      </w:r>
      <w:r>
        <w:rPr>
          <w:rFonts w:ascii="宋体" w:hAnsi="宋体"/>
          <w:sz w:val="24"/>
        </w:rPr>
        <w:t>上午</w:t>
      </w:r>
      <w:r>
        <w:rPr>
          <w:rFonts w:hint="eastAsia" w:ascii="宋体" w:hAnsi="宋体"/>
          <w:sz w:val="24"/>
        </w:rPr>
        <w:t>0:00至12:00，</w:t>
      </w:r>
      <w:r>
        <w:rPr>
          <w:rFonts w:ascii="宋体" w:hAnsi="宋体"/>
          <w:sz w:val="24"/>
        </w:rPr>
        <w:t>下午</w:t>
      </w:r>
      <w:r>
        <w:rPr>
          <w:rFonts w:hint="eastAsia" w:ascii="宋体" w:hAnsi="宋体"/>
          <w:sz w:val="24"/>
        </w:rPr>
        <w:t>12:00至24:00</w:t>
      </w:r>
      <w:r>
        <w:rPr>
          <w:rFonts w:ascii="宋体" w:hAnsi="宋体"/>
          <w:sz w:val="24"/>
        </w:rPr>
        <w:t>。</w:t>
      </w:r>
      <w:bookmarkStart w:id="2193" w:name="_GoBack"/>
      <w:bookmarkEnd w:id="2193"/>
    </w:p>
    <w:p w14:paraId="48056BC8">
      <w:pPr>
        <w:adjustRightInd w:val="0"/>
        <w:snapToGrid w:val="0"/>
        <w:spacing w:line="360" w:lineRule="auto"/>
        <w:ind w:firstLine="480" w:firstLineChars="200"/>
        <w:rPr>
          <w:rFonts w:hint="eastAsia" w:ascii="宋体" w:hAnsi="宋体"/>
          <w:sz w:val="24"/>
        </w:rPr>
      </w:pPr>
      <w:r>
        <w:rPr>
          <w:rFonts w:ascii="宋体" w:hAnsi="宋体"/>
          <w:sz w:val="24"/>
        </w:rPr>
        <w:t>2.地点：</w:t>
      </w:r>
      <w:r>
        <w:rPr>
          <w:rFonts w:hint="eastAsia" w:ascii="宋体" w:hAnsi="宋体"/>
          <w:sz w:val="24"/>
        </w:rPr>
        <w:t>北京市政府采购电子交易平台</w:t>
      </w:r>
    </w:p>
    <w:p w14:paraId="1304A198">
      <w:pPr>
        <w:widowControl/>
        <w:wordWrap w:val="0"/>
        <w:adjustRightInd w:val="0"/>
        <w:snapToGrid w:val="0"/>
        <w:spacing w:line="360" w:lineRule="auto"/>
        <w:ind w:firstLine="480" w:firstLineChars="200"/>
        <w:jc w:val="left"/>
        <w:rPr>
          <w:rFonts w:hint="eastAsia" w:ascii="宋体" w:hAnsi="宋体"/>
          <w:sz w:val="24"/>
        </w:rPr>
      </w:pPr>
      <w:r>
        <w:rPr>
          <w:rFonts w:ascii="宋体" w:hAnsi="宋体"/>
          <w:sz w:val="24"/>
        </w:rPr>
        <w:t>3.方式：</w:t>
      </w:r>
      <w:r>
        <w:rPr>
          <w:rFonts w:hint="eastAsia" w:ascii="宋体" w:hAnsi="宋体"/>
          <w:sz w:val="24"/>
        </w:rPr>
        <w:t>供应商使用CA数字证书或电子营业执照登录北京市政府采购电子交易平台（http://zbcg-bjzc.zhongcy.com/bjczj-portal-site/index.html#/home）获取电子版竞争性磋商文件。</w:t>
      </w:r>
    </w:p>
    <w:p w14:paraId="33B80A47">
      <w:pPr>
        <w:widowControl/>
        <w:adjustRightInd w:val="0"/>
        <w:snapToGrid w:val="0"/>
        <w:spacing w:line="360" w:lineRule="auto"/>
        <w:ind w:firstLine="480" w:firstLineChars="200"/>
        <w:jc w:val="left"/>
        <w:rPr>
          <w:rFonts w:hint="eastAsia" w:ascii="宋体" w:hAnsi="宋体"/>
          <w:sz w:val="24"/>
        </w:rPr>
      </w:pPr>
      <w:r>
        <w:rPr>
          <w:rFonts w:ascii="宋体" w:hAnsi="宋体"/>
          <w:sz w:val="24"/>
        </w:rPr>
        <w:t>4.售价：0</w:t>
      </w:r>
      <w:r>
        <w:rPr>
          <w:rFonts w:hint="eastAsia" w:ascii="宋体" w:hAnsi="宋体"/>
          <w:sz w:val="24"/>
        </w:rPr>
        <w:t>元</w:t>
      </w:r>
      <w:r>
        <w:rPr>
          <w:rFonts w:ascii="宋体" w:hAnsi="宋体"/>
          <w:sz w:val="24"/>
        </w:rPr>
        <w:t>。</w:t>
      </w:r>
    </w:p>
    <w:p w14:paraId="366F1944">
      <w:pPr>
        <w:pStyle w:val="3"/>
        <w:widowControl/>
        <w:spacing w:before="0" w:line="360" w:lineRule="auto"/>
        <w:jc w:val="left"/>
        <w:rPr>
          <w:rFonts w:hint="eastAsia" w:ascii="宋体" w:hAnsi="宋体" w:eastAsia="宋体"/>
          <w:sz w:val="24"/>
          <w:szCs w:val="24"/>
        </w:rPr>
      </w:pPr>
      <w:bookmarkStart w:id="16" w:name="_Toc35393624"/>
      <w:bookmarkStart w:id="17" w:name="_Toc28359082"/>
      <w:bookmarkStart w:id="18" w:name="_Toc28359005"/>
      <w:bookmarkStart w:id="19" w:name="_Toc35393793"/>
      <w:r>
        <w:rPr>
          <w:rFonts w:ascii="宋体" w:hAnsi="宋体" w:eastAsia="宋体"/>
          <w:sz w:val="24"/>
          <w:szCs w:val="24"/>
        </w:rPr>
        <w:t>四、</w:t>
      </w:r>
      <w:bookmarkEnd w:id="16"/>
      <w:bookmarkEnd w:id="17"/>
      <w:bookmarkEnd w:id="18"/>
      <w:bookmarkEnd w:id="19"/>
      <w:r>
        <w:rPr>
          <w:rFonts w:ascii="宋体" w:hAnsi="宋体" w:eastAsia="宋体"/>
          <w:sz w:val="24"/>
          <w:szCs w:val="24"/>
        </w:rPr>
        <w:t>响应文件提交</w:t>
      </w:r>
    </w:p>
    <w:p w14:paraId="5F290684">
      <w:pPr>
        <w:spacing w:line="360" w:lineRule="auto"/>
        <w:ind w:firstLine="480" w:firstLineChars="200"/>
        <w:rPr>
          <w:rFonts w:hint="eastAsia" w:ascii="宋体" w:hAnsi="宋体"/>
          <w:bCs/>
          <w:sz w:val="24"/>
          <w:u w:val="single"/>
        </w:rPr>
      </w:pPr>
      <w:r>
        <w:rPr>
          <w:rFonts w:ascii="宋体" w:hAnsi="宋体"/>
          <w:sz w:val="24"/>
        </w:rPr>
        <w:t>截止时间：2025年</w:t>
      </w:r>
      <w:r>
        <w:rPr>
          <w:rFonts w:hint="eastAsia" w:ascii="宋体" w:hAnsi="宋体"/>
          <w:sz w:val="24"/>
          <w:lang w:val="en-US" w:eastAsia="zh-CN"/>
        </w:rPr>
        <w:t>11</w:t>
      </w:r>
      <w:r>
        <w:rPr>
          <w:rFonts w:ascii="宋体" w:hAnsi="宋体"/>
          <w:sz w:val="24"/>
        </w:rPr>
        <w:t>月</w:t>
      </w:r>
      <w:r>
        <w:rPr>
          <w:rFonts w:hint="eastAsia" w:ascii="宋体" w:hAnsi="宋体"/>
          <w:sz w:val="24"/>
          <w:lang w:val="en-US" w:eastAsia="zh-CN"/>
        </w:rPr>
        <w:t>3</w:t>
      </w:r>
      <w:r>
        <w:rPr>
          <w:rFonts w:ascii="宋体" w:hAnsi="宋体"/>
          <w:sz w:val="24"/>
        </w:rPr>
        <w:t>日09点</w:t>
      </w:r>
      <w:r>
        <w:rPr>
          <w:rFonts w:hint="eastAsia" w:ascii="宋体" w:hAnsi="宋体"/>
          <w:sz w:val="24"/>
        </w:rPr>
        <w:t>0</w:t>
      </w:r>
      <w:r>
        <w:rPr>
          <w:rFonts w:ascii="宋体" w:hAnsi="宋体"/>
          <w:sz w:val="24"/>
        </w:rPr>
        <w:t>0分</w:t>
      </w:r>
      <w:r>
        <w:rPr>
          <w:rFonts w:ascii="宋体" w:hAnsi="宋体"/>
          <w:bCs/>
          <w:sz w:val="24"/>
        </w:rPr>
        <w:t>（北京时间）</w:t>
      </w:r>
      <w:r>
        <w:rPr>
          <w:rFonts w:ascii="宋体" w:hAnsi="宋体"/>
          <w:iCs/>
          <w:sz w:val="24"/>
        </w:rPr>
        <w:t>。</w:t>
      </w:r>
    </w:p>
    <w:p w14:paraId="43EBD45D">
      <w:pPr>
        <w:wordWrap w:val="0"/>
        <w:spacing w:line="360" w:lineRule="auto"/>
        <w:ind w:firstLine="480" w:firstLineChars="200"/>
        <w:rPr>
          <w:rFonts w:hint="eastAsia" w:ascii="宋体" w:hAnsi="宋体"/>
          <w:sz w:val="24"/>
          <w:lang w:val="zh-TW"/>
        </w:rPr>
      </w:pPr>
      <w:r>
        <w:rPr>
          <w:rFonts w:ascii="宋体" w:hAnsi="宋体"/>
          <w:sz w:val="24"/>
        </w:rPr>
        <w:t>地点：</w:t>
      </w:r>
      <w:r>
        <w:rPr>
          <w:rFonts w:hint="eastAsia" w:ascii="宋体" w:hAnsi="宋体"/>
          <w:sz w:val="24"/>
        </w:rPr>
        <w:t>北京市政府采购电子交易平台（http://zbcg-bjzc.zhongcy.com/bjczj-portal-site/index.html#/home）</w:t>
      </w:r>
      <w:r>
        <w:rPr>
          <w:rFonts w:ascii="宋体" w:hAnsi="宋体"/>
          <w:sz w:val="24"/>
          <w:lang w:val="zh-TW"/>
        </w:rPr>
        <w:t>。</w:t>
      </w:r>
    </w:p>
    <w:p w14:paraId="493EC887">
      <w:pPr>
        <w:pStyle w:val="3"/>
        <w:spacing w:before="0" w:line="360" w:lineRule="auto"/>
        <w:jc w:val="left"/>
        <w:rPr>
          <w:rFonts w:hint="eastAsia" w:ascii="宋体" w:hAnsi="宋体" w:eastAsia="宋体"/>
          <w:sz w:val="24"/>
          <w:szCs w:val="24"/>
        </w:rPr>
      </w:pPr>
      <w:r>
        <w:rPr>
          <w:rFonts w:ascii="宋体" w:hAnsi="宋体" w:eastAsia="宋体"/>
          <w:sz w:val="24"/>
          <w:szCs w:val="24"/>
        </w:rPr>
        <w:t>五、开启</w:t>
      </w:r>
    </w:p>
    <w:p w14:paraId="089FCD98">
      <w:pPr>
        <w:spacing w:line="360" w:lineRule="auto"/>
        <w:ind w:firstLine="480" w:firstLineChars="200"/>
        <w:rPr>
          <w:rFonts w:hint="eastAsia" w:ascii="宋体" w:hAnsi="宋体"/>
          <w:bCs/>
          <w:sz w:val="24"/>
          <w:u w:val="single"/>
        </w:rPr>
      </w:pPr>
      <w:r>
        <w:rPr>
          <w:rFonts w:ascii="宋体" w:hAnsi="宋体"/>
          <w:sz w:val="24"/>
        </w:rPr>
        <w:t>时间：2025年</w:t>
      </w:r>
      <w:r>
        <w:rPr>
          <w:rFonts w:hint="eastAsia" w:ascii="宋体" w:hAnsi="宋体"/>
          <w:sz w:val="24"/>
          <w:lang w:val="en-US" w:eastAsia="zh-CN"/>
        </w:rPr>
        <w:t>11</w:t>
      </w:r>
      <w:r>
        <w:rPr>
          <w:rFonts w:ascii="宋体" w:hAnsi="宋体"/>
          <w:sz w:val="24"/>
        </w:rPr>
        <w:t>月</w:t>
      </w:r>
      <w:r>
        <w:rPr>
          <w:rFonts w:hint="eastAsia" w:ascii="宋体" w:hAnsi="宋体"/>
          <w:sz w:val="24"/>
          <w:lang w:val="en-US" w:eastAsia="zh-CN"/>
        </w:rPr>
        <w:t>3</w:t>
      </w:r>
      <w:r>
        <w:rPr>
          <w:rFonts w:ascii="宋体" w:hAnsi="宋体"/>
          <w:sz w:val="24"/>
        </w:rPr>
        <w:t>日09点</w:t>
      </w:r>
      <w:r>
        <w:rPr>
          <w:rFonts w:hint="eastAsia" w:ascii="宋体" w:hAnsi="宋体"/>
          <w:sz w:val="24"/>
        </w:rPr>
        <w:t>0</w:t>
      </w:r>
      <w:r>
        <w:rPr>
          <w:rFonts w:ascii="宋体" w:hAnsi="宋体"/>
          <w:sz w:val="24"/>
        </w:rPr>
        <w:t>0分</w:t>
      </w:r>
      <w:r>
        <w:rPr>
          <w:rFonts w:ascii="宋体" w:hAnsi="宋体"/>
          <w:bCs/>
          <w:sz w:val="24"/>
        </w:rPr>
        <w:t>（北京时间）</w:t>
      </w:r>
      <w:r>
        <w:rPr>
          <w:rFonts w:ascii="宋体" w:hAnsi="宋体"/>
          <w:iCs/>
          <w:sz w:val="24"/>
        </w:rPr>
        <w:t>。</w:t>
      </w:r>
    </w:p>
    <w:p w14:paraId="759EFEEE">
      <w:pPr>
        <w:wordWrap w:val="0"/>
        <w:spacing w:line="360" w:lineRule="auto"/>
        <w:ind w:firstLine="480" w:firstLineChars="200"/>
        <w:rPr>
          <w:rFonts w:hint="eastAsia" w:ascii="宋体" w:hAnsi="宋体"/>
          <w:sz w:val="24"/>
          <w:u w:val="single"/>
          <w:lang w:val="zh-TW"/>
        </w:rPr>
      </w:pPr>
      <w:r>
        <w:rPr>
          <w:rFonts w:ascii="宋体" w:hAnsi="宋体"/>
          <w:sz w:val="24"/>
        </w:rPr>
        <w:t>地点：</w:t>
      </w:r>
      <w:r>
        <w:rPr>
          <w:rFonts w:hint="eastAsia" w:ascii="宋体" w:hAnsi="宋体"/>
          <w:sz w:val="24"/>
        </w:rPr>
        <w:t>北京市政府采购电子交易平台（http://zbcg-bjzc.zhongcy.com/bjczj-portal-site/index.html#/home）。</w:t>
      </w:r>
      <w:r>
        <w:rPr>
          <w:rFonts w:hint="eastAsia" w:ascii="宋体" w:hAnsi="宋体"/>
          <w:sz w:val="24"/>
          <w:u w:val="single"/>
        </w:rPr>
        <w:t>本项目采用远程电子开标方式，由投标人自行对电子投标文件进行解密，不接受纸质文件，无须或不强制要求投标人到达现场。</w:t>
      </w:r>
    </w:p>
    <w:p w14:paraId="6FA6F1EF">
      <w:pPr>
        <w:pStyle w:val="3"/>
        <w:spacing w:before="0" w:line="360" w:lineRule="auto"/>
        <w:jc w:val="left"/>
        <w:rPr>
          <w:rFonts w:hint="eastAsia" w:ascii="宋体" w:hAnsi="宋体" w:eastAsia="宋体"/>
          <w:sz w:val="24"/>
          <w:szCs w:val="24"/>
        </w:rPr>
      </w:pPr>
      <w:r>
        <w:rPr>
          <w:rFonts w:hint="eastAsia" w:ascii="宋体" w:hAnsi="宋体" w:eastAsia="宋体"/>
          <w:sz w:val="24"/>
          <w:szCs w:val="24"/>
        </w:rPr>
        <w:t>六、公告期限</w:t>
      </w:r>
    </w:p>
    <w:p w14:paraId="729C593A">
      <w:pPr>
        <w:spacing w:line="360" w:lineRule="auto"/>
        <w:rPr>
          <w:rFonts w:hint="eastAsia" w:ascii="宋体" w:hAnsi="宋体"/>
          <w:sz w:val="24"/>
          <w:lang w:val="zh-TW"/>
        </w:rPr>
      </w:pPr>
      <w:r>
        <w:rPr>
          <w:rFonts w:hint="eastAsia" w:ascii="宋体" w:hAnsi="宋体"/>
          <w:sz w:val="24"/>
          <w:lang w:val="zh-TW"/>
        </w:rPr>
        <w:t>自本公告发布之日起3个工作日。</w:t>
      </w:r>
    </w:p>
    <w:p w14:paraId="73180C90">
      <w:pPr>
        <w:pStyle w:val="3"/>
        <w:spacing w:before="0" w:line="360" w:lineRule="auto"/>
        <w:jc w:val="left"/>
        <w:rPr>
          <w:rFonts w:hint="eastAsia" w:ascii="宋体" w:hAnsi="宋体" w:eastAsia="宋体"/>
          <w:sz w:val="24"/>
          <w:szCs w:val="24"/>
        </w:rPr>
      </w:pPr>
      <w:bookmarkStart w:id="20" w:name="_Toc35393795"/>
      <w:bookmarkStart w:id="21" w:name="_Toc35393626"/>
      <w:r>
        <w:rPr>
          <w:rFonts w:hint="eastAsia" w:ascii="宋体" w:hAnsi="宋体" w:eastAsia="宋体"/>
          <w:sz w:val="24"/>
          <w:szCs w:val="24"/>
        </w:rPr>
        <w:t>七</w:t>
      </w:r>
      <w:r>
        <w:rPr>
          <w:rFonts w:ascii="宋体" w:hAnsi="宋体" w:eastAsia="宋体"/>
          <w:sz w:val="24"/>
          <w:szCs w:val="24"/>
        </w:rPr>
        <w:t>、其他补充事宜</w:t>
      </w:r>
      <w:bookmarkEnd w:id="20"/>
      <w:bookmarkEnd w:id="21"/>
    </w:p>
    <w:p w14:paraId="7CA6F24F">
      <w:p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.本项目需要落实的政府采购政策：</w:t>
      </w:r>
    </w:p>
    <w:p w14:paraId="2BAAC699">
      <w:pPr>
        <w:widowControl/>
        <w:snapToGrid w:val="0"/>
        <w:spacing w:line="360" w:lineRule="auto"/>
        <w:ind w:left="481" w:leftChars="229" w:right="17"/>
        <w:rPr>
          <w:rFonts w:hint="eastAsia" w:ascii="宋体" w:hAnsi="宋体"/>
          <w:sz w:val="24"/>
        </w:rPr>
      </w:pPr>
      <w:r>
        <w:rPr>
          <w:rFonts w:hint="eastAsia" w:ascii="宋体" w:hAnsi="宋体"/>
          <w:sz w:val="24"/>
        </w:rPr>
        <w:t>（1）《政府采购促进中小企业发展管理办法》（财库（2020）46号）；</w:t>
      </w:r>
    </w:p>
    <w:p w14:paraId="5191A5D6">
      <w:pPr>
        <w:widowControl/>
        <w:snapToGrid w:val="0"/>
        <w:spacing w:line="360" w:lineRule="auto"/>
        <w:ind w:left="481" w:leftChars="229" w:right="17"/>
        <w:rPr>
          <w:rFonts w:hint="eastAsia" w:ascii="宋体" w:hAnsi="宋体"/>
          <w:sz w:val="24"/>
        </w:rPr>
      </w:pPr>
      <w:r>
        <w:rPr>
          <w:rFonts w:hint="eastAsia" w:ascii="宋体" w:hAnsi="宋体"/>
          <w:sz w:val="24"/>
        </w:rPr>
        <w:t>（2）财政部司法部关于政府采购支持监狱企业发展有关问题的通知--财库〔2014〕68号；</w:t>
      </w:r>
    </w:p>
    <w:p w14:paraId="5B93DCCE">
      <w:pPr>
        <w:widowControl/>
        <w:snapToGrid w:val="0"/>
        <w:spacing w:line="360" w:lineRule="auto"/>
        <w:ind w:right="17" w:firstLine="480" w:firstLineChars="200"/>
        <w:rPr>
          <w:rFonts w:hint="eastAsia" w:ascii="宋体" w:hAnsi="宋体"/>
          <w:sz w:val="24"/>
        </w:rPr>
      </w:pPr>
      <w:r>
        <w:rPr>
          <w:rFonts w:hint="eastAsia" w:ascii="宋体" w:hAnsi="宋体"/>
          <w:sz w:val="24"/>
        </w:rPr>
        <w:t>（3）《关于促进残疾人就业政府采购政策的通知》--财库〔2017〕141号；</w:t>
      </w:r>
    </w:p>
    <w:p w14:paraId="528AB169">
      <w:pPr>
        <w:widowControl/>
        <w:snapToGrid w:val="0"/>
        <w:spacing w:line="360" w:lineRule="auto"/>
        <w:ind w:left="481" w:leftChars="229" w:right="17"/>
        <w:rPr>
          <w:rFonts w:hint="eastAsia" w:ascii="宋体" w:hAnsi="宋体"/>
          <w:sz w:val="24"/>
        </w:rPr>
      </w:pPr>
      <w:r>
        <w:rPr>
          <w:rFonts w:hint="eastAsia" w:ascii="宋体" w:hAnsi="宋体"/>
          <w:sz w:val="24"/>
        </w:rPr>
        <w:t>（4）《国务院办公厅关于建立政府强制采购节能产品制度的通知》-国办发〔2007〕51号；</w:t>
      </w:r>
    </w:p>
    <w:p w14:paraId="2DC4FC89">
      <w:pPr>
        <w:widowControl/>
        <w:snapToGrid w:val="0"/>
        <w:spacing w:line="360" w:lineRule="auto"/>
        <w:ind w:right="17" w:firstLine="480" w:firstLineChars="200"/>
        <w:rPr>
          <w:rFonts w:hint="eastAsia" w:ascii="宋体" w:hAnsi="宋体"/>
          <w:sz w:val="24"/>
        </w:rPr>
      </w:pPr>
      <w:r>
        <w:rPr>
          <w:rFonts w:hint="eastAsia" w:ascii="宋体" w:hAnsi="宋体"/>
          <w:sz w:val="24"/>
        </w:rPr>
        <w:t>（5）《环境标志产品政府采购实施的意见》-财库[2006]90号；</w:t>
      </w:r>
    </w:p>
    <w:p w14:paraId="7918E31E">
      <w:pPr>
        <w:widowControl/>
        <w:snapToGrid w:val="0"/>
        <w:spacing w:line="360" w:lineRule="auto"/>
        <w:ind w:left="481" w:leftChars="229" w:right="17"/>
        <w:rPr>
          <w:rFonts w:hint="eastAsia" w:ascii="宋体" w:hAnsi="宋体"/>
          <w:sz w:val="24"/>
        </w:rPr>
      </w:pPr>
      <w:r>
        <w:rPr>
          <w:rFonts w:hint="eastAsia" w:ascii="宋体" w:hAnsi="宋体"/>
          <w:sz w:val="24"/>
        </w:rPr>
        <w:t>（6）《关于调整优化节能产品、环境标志产品政府采购执行机制的通知》-财库〔2019〕9号；</w:t>
      </w:r>
    </w:p>
    <w:p w14:paraId="4ACDDD73">
      <w:pPr>
        <w:widowControl/>
        <w:snapToGrid w:val="0"/>
        <w:spacing w:line="360" w:lineRule="auto"/>
        <w:ind w:left="481" w:leftChars="229" w:right="17"/>
        <w:rPr>
          <w:rFonts w:hint="eastAsia" w:ascii="宋体" w:hAnsi="宋体"/>
          <w:sz w:val="24"/>
        </w:rPr>
      </w:pPr>
      <w:r>
        <w:rPr>
          <w:rFonts w:hint="eastAsia" w:ascii="宋体" w:hAnsi="宋体"/>
          <w:sz w:val="24"/>
        </w:rPr>
        <w:t>（7）《关于印发环境标志产品政府采购品目清单的通知》（财库〔2019〕18号）。</w:t>
      </w:r>
    </w:p>
    <w:p w14:paraId="56B55FD0">
      <w:pPr>
        <w:widowControl/>
        <w:snapToGrid w:val="0"/>
        <w:spacing w:line="360" w:lineRule="auto"/>
        <w:ind w:left="481" w:leftChars="229" w:right="17"/>
        <w:rPr>
          <w:rFonts w:hint="eastAsia" w:ascii="宋体" w:hAnsi="宋体"/>
          <w:sz w:val="24"/>
        </w:rPr>
      </w:pPr>
      <w:r>
        <w:rPr>
          <w:rFonts w:hint="eastAsia" w:ascii="宋体" w:hAnsi="宋体"/>
          <w:sz w:val="24"/>
        </w:rPr>
        <w:t>2.</w:t>
      </w:r>
      <w:r>
        <w:rPr>
          <w:rFonts w:hint="eastAsia" w:ascii="宋体" w:hAnsi="宋体"/>
        </w:rPr>
        <w:t xml:space="preserve"> </w:t>
      </w:r>
      <w:r>
        <w:rPr>
          <w:rFonts w:hint="eastAsia" w:ascii="宋体" w:hAnsi="宋体"/>
          <w:sz w:val="24"/>
        </w:rPr>
        <w:t>本公告同时在中国政府采购网（http://www.ccgp.gov.cn）、北京市政府采购网（http://www.ccgp-beijing.gov.cn/）发布。</w:t>
      </w:r>
    </w:p>
    <w:p w14:paraId="0729A301">
      <w:pPr>
        <w:widowControl/>
        <w:snapToGrid w:val="0"/>
        <w:spacing w:line="360" w:lineRule="auto"/>
        <w:ind w:left="481" w:leftChars="229" w:right="17"/>
        <w:rPr>
          <w:rFonts w:hint="eastAsia" w:ascii="宋体" w:hAnsi="宋体"/>
          <w:sz w:val="24"/>
        </w:rPr>
      </w:pPr>
      <w:r>
        <w:rPr>
          <w:rFonts w:hint="eastAsia" w:ascii="宋体" w:hAnsi="宋体"/>
          <w:sz w:val="24"/>
        </w:rPr>
        <w:t>3.</w:t>
      </w:r>
      <w:r>
        <w:rPr>
          <w:rFonts w:hint="eastAsia"/>
        </w:rPr>
        <w:t xml:space="preserve"> </w:t>
      </w:r>
      <w:r>
        <w:rPr>
          <w:rFonts w:hint="eastAsia" w:ascii="宋体" w:hAnsi="宋体"/>
          <w:sz w:val="24"/>
        </w:rPr>
        <w:t>本项目采用全流程电子化采购方式，请供应商认真学习北京市政府采购电子交易</w:t>
      </w:r>
    </w:p>
    <w:p w14:paraId="635F1B2D">
      <w:pPr>
        <w:widowControl/>
        <w:snapToGrid w:val="0"/>
        <w:spacing w:line="360" w:lineRule="auto"/>
        <w:ind w:left="481" w:leftChars="229" w:right="17"/>
        <w:rPr>
          <w:rFonts w:hint="eastAsia" w:ascii="宋体" w:hAnsi="宋体"/>
          <w:sz w:val="24"/>
        </w:rPr>
      </w:pPr>
      <w:r>
        <w:rPr>
          <w:rFonts w:hint="eastAsia" w:ascii="宋体" w:hAnsi="宋体"/>
          <w:sz w:val="24"/>
        </w:rPr>
        <w:t>平台发布的相关操作手册（供应商可在交易平台下载相关手册），办理 CA 数字证书或</w:t>
      </w:r>
    </w:p>
    <w:p w14:paraId="52A287EE">
      <w:pPr>
        <w:widowControl/>
        <w:snapToGrid w:val="0"/>
        <w:spacing w:line="360" w:lineRule="auto"/>
        <w:ind w:left="481" w:leftChars="229" w:right="17"/>
        <w:rPr>
          <w:rFonts w:hint="eastAsia" w:ascii="宋体" w:hAnsi="宋体"/>
          <w:sz w:val="24"/>
        </w:rPr>
      </w:pPr>
      <w:r>
        <w:rPr>
          <w:rFonts w:hint="eastAsia" w:ascii="宋体" w:hAnsi="宋体"/>
          <w:sz w:val="24"/>
        </w:rPr>
        <w:t>电子营业执照、进行北京市政府采购电子交易平台注册绑定，并认真核实 CA 数字证书</w:t>
      </w:r>
    </w:p>
    <w:p w14:paraId="40459598">
      <w:pPr>
        <w:widowControl/>
        <w:snapToGrid w:val="0"/>
        <w:spacing w:line="360" w:lineRule="auto"/>
        <w:ind w:left="481" w:leftChars="229" w:right="17"/>
        <w:rPr>
          <w:rFonts w:hint="eastAsia" w:ascii="宋体" w:hAnsi="宋体"/>
          <w:sz w:val="24"/>
        </w:rPr>
      </w:pPr>
      <w:r>
        <w:rPr>
          <w:rFonts w:hint="eastAsia" w:ascii="宋体" w:hAnsi="宋体"/>
          <w:sz w:val="24"/>
        </w:rPr>
        <w:t>或电子营业执照情况确认是否符合本项目电子化采购流程要求。</w:t>
      </w:r>
    </w:p>
    <w:p w14:paraId="4888C3C8">
      <w:pPr>
        <w:widowControl/>
        <w:snapToGrid w:val="0"/>
        <w:spacing w:line="360" w:lineRule="auto"/>
        <w:ind w:left="481" w:leftChars="229" w:right="17"/>
        <w:rPr>
          <w:rFonts w:hint="eastAsia" w:ascii="宋体" w:hAnsi="宋体"/>
          <w:sz w:val="24"/>
        </w:rPr>
      </w:pPr>
      <w:r>
        <w:rPr>
          <w:rFonts w:hint="eastAsia" w:ascii="宋体" w:hAnsi="宋体"/>
          <w:sz w:val="24"/>
        </w:rPr>
        <w:t>CA 数字证书服务热线 010-58511086</w:t>
      </w:r>
    </w:p>
    <w:p w14:paraId="41CBA826">
      <w:pPr>
        <w:widowControl/>
        <w:snapToGrid w:val="0"/>
        <w:spacing w:line="360" w:lineRule="auto"/>
        <w:ind w:left="481" w:leftChars="229" w:right="17"/>
        <w:rPr>
          <w:rFonts w:hint="eastAsia" w:ascii="宋体" w:hAnsi="宋体"/>
          <w:sz w:val="24"/>
        </w:rPr>
      </w:pPr>
      <w:r>
        <w:rPr>
          <w:rFonts w:hint="eastAsia" w:ascii="宋体" w:hAnsi="宋体"/>
          <w:sz w:val="24"/>
        </w:rPr>
        <w:t>电子营业执照服务热线 400-699-7000</w:t>
      </w:r>
    </w:p>
    <w:p w14:paraId="3CFE8123">
      <w:pPr>
        <w:widowControl/>
        <w:snapToGrid w:val="0"/>
        <w:spacing w:line="360" w:lineRule="auto"/>
        <w:ind w:left="481" w:leftChars="229" w:right="17"/>
        <w:rPr>
          <w:rFonts w:hint="eastAsia" w:ascii="宋体" w:hAnsi="宋体"/>
          <w:sz w:val="24"/>
        </w:rPr>
      </w:pPr>
      <w:r>
        <w:rPr>
          <w:rFonts w:hint="eastAsia" w:ascii="宋体" w:hAnsi="宋体"/>
          <w:sz w:val="24"/>
        </w:rPr>
        <w:t>技术支持服务热线 010-86483801</w:t>
      </w:r>
    </w:p>
    <w:p w14:paraId="0AACF28F">
      <w:pPr>
        <w:widowControl/>
        <w:snapToGrid w:val="0"/>
        <w:spacing w:line="360" w:lineRule="auto"/>
        <w:ind w:left="481" w:leftChars="229" w:right="17"/>
        <w:rPr>
          <w:rFonts w:hint="eastAsia" w:ascii="宋体" w:hAnsi="宋体"/>
          <w:sz w:val="24"/>
        </w:rPr>
      </w:pPr>
      <w:r>
        <w:rPr>
          <w:rFonts w:hint="eastAsia" w:ascii="宋体" w:hAnsi="宋体"/>
          <w:sz w:val="24"/>
        </w:rPr>
        <w:t>3.1 办理 CA 数字证书或电子营业执照</w:t>
      </w:r>
    </w:p>
    <w:p w14:paraId="27E21F6F">
      <w:pPr>
        <w:widowControl/>
        <w:snapToGrid w:val="0"/>
        <w:spacing w:line="360" w:lineRule="auto"/>
        <w:ind w:left="481" w:leftChars="229" w:right="17"/>
        <w:rPr>
          <w:rFonts w:hint="eastAsia" w:ascii="宋体" w:hAnsi="宋体"/>
          <w:sz w:val="24"/>
        </w:rPr>
      </w:pPr>
      <w:r>
        <w:rPr>
          <w:rFonts w:hint="eastAsia" w:ascii="宋体" w:hAnsi="宋体"/>
          <w:sz w:val="24"/>
        </w:rPr>
        <w:t>供应商登录北京市政府采购电子交易平台查阅 “用户指南”—“操作指南”—“市场主体 CA 办理操作流程指引” /“电子营业执照使用指南”，按照程序要求办理。</w:t>
      </w:r>
    </w:p>
    <w:p w14:paraId="28DCA3BE">
      <w:pPr>
        <w:widowControl/>
        <w:snapToGrid w:val="0"/>
        <w:spacing w:line="360" w:lineRule="auto"/>
        <w:ind w:left="481" w:leftChars="229" w:right="17"/>
        <w:rPr>
          <w:rFonts w:hint="eastAsia" w:ascii="宋体" w:hAnsi="宋体"/>
          <w:sz w:val="24"/>
        </w:rPr>
      </w:pPr>
      <w:r>
        <w:rPr>
          <w:rFonts w:hint="eastAsia" w:ascii="宋体" w:hAnsi="宋体"/>
          <w:sz w:val="24"/>
        </w:rPr>
        <w:t>3.2 注册</w:t>
      </w:r>
    </w:p>
    <w:p w14:paraId="33826F44">
      <w:pPr>
        <w:widowControl/>
        <w:snapToGrid w:val="0"/>
        <w:spacing w:line="360" w:lineRule="auto"/>
        <w:ind w:left="481" w:leftChars="229" w:right="17"/>
        <w:rPr>
          <w:rFonts w:hint="eastAsia" w:ascii="宋体" w:hAnsi="宋体"/>
          <w:sz w:val="24"/>
        </w:rPr>
      </w:pPr>
      <w:r>
        <w:rPr>
          <w:rFonts w:hint="eastAsia" w:ascii="宋体" w:hAnsi="宋体"/>
          <w:sz w:val="24"/>
        </w:rPr>
        <w:t>供应商登录北京市政府采购电子交易平台“用户指南”—“操作指南”—“市场主体注册入库操作流程指引”进行自助注册绑定。</w:t>
      </w:r>
    </w:p>
    <w:p w14:paraId="2DF342DE">
      <w:pPr>
        <w:widowControl/>
        <w:snapToGrid w:val="0"/>
        <w:spacing w:line="360" w:lineRule="auto"/>
        <w:ind w:left="481" w:leftChars="229" w:right="17"/>
        <w:rPr>
          <w:rFonts w:hint="eastAsia" w:ascii="宋体" w:hAnsi="宋体"/>
          <w:sz w:val="24"/>
        </w:rPr>
      </w:pPr>
      <w:r>
        <w:rPr>
          <w:rFonts w:hint="eastAsia" w:ascii="宋体" w:hAnsi="宋体"/>
          <w:sz w:val="24"/>
        </w:rPr>
        <w:t>3.3 驱动、客户端下载</w:t>
      </w:r>
    </w:p>
    <w:p w14:paraId="68591D35">
      <w:pPr>
        <w:widowControl/>
        <w:snapToGrid w:val="0"/>
        <w:spacing w:line="360" w:lineRule="auto"/>
        <w:ind w:left="481" w:leftChars="229" w:right="17"/>
        <w:rPr>
          <w:rFonts w:hint="eastAsia" w:ascii="宋体" w:hAnsi="宋体"/>
          <w:sz w:val="24"/>
        </w:rPr>
      </w:pPr>
      <w:r>
        <w:rPr>
          <w:rFonts w:hint="eastAsia" w:ascii="宋体" w:hAnsi="宋体"/>
          <w:sz w:val="24"/>
        </w:rPr>
        <w:t>供应商登录北京市政府采购电子交易平台“用户指南”—“工具下载”—“招标采购系统文件驱动安装包”下载相关驱动。</w:t>
      </w:r>
    </w:p>
    <w:p w14:paraId="3DC25CEF">
      <w:pPr>
        <w:widowControl/>
        <w:snapToGrid w:val="0"/>
        <w:spacing w:line="360" w:lineRule="auto"/>
        <w:ind w:left="481" w:leftChars="229" w:right="17"/>
        <w:rPr>
          <w:rFonts w:hint="eastAsia" w:ascii="宋体" w:hAnsi="宋体"/>
          <w:sz w:val="24"/>
        </w:rPr>
      </w:pPr>
      <w:r>
        <w:rPr>
          <w:rFonts w:hint="eastAsia" w:ascii="宋体" w:hAnsi="宋体"/>
          <w:sz w:val="24"/>
        </w:rPr>
        <w:t>供应商登录北京市政府采购电子交易平台“用户指南”—“工具下载”—“投标文件编制工具”下载相关客户端。</w:t>
      </w:r>
    </w:p>
    <w:p w14:paraId="64741F21">
      <w:pPr>
        <w:widowControl/>
        <w:snapToGrid w:val="0"/>
        <w:spacing w:line="360" w:lineRule="auto"/>
        <w:ind w:left="481" w:leftChars="229" w:right="17"/>
        <w:rPr>
          <w:rFonts w:hint="eastAsia" w:ascii="宋体" w:hAnsi="宋体"/>
          <w:sz w:val="24"/>
        </w:rPr>
      </w:pPr>
      <w:r>
        <w:rPr>
          <w:rFonts w:hint="eastAsia" w:ascii="宋体" w:hAnsi="宋体"/>
          <w:sz w:val="24"/>
        </w:rPr>
        <w:t>3.4 获取电子竞争性磋商文件</w:t>
      </w:r>
    </w:p>
    <w:p w14:paraId="55DB1AD1">
      <w:pPr>
        <w:widowControl/>
        <w:snapToGrid w:val="0"/>
        <w:spacing w:line="360" w:lineRule="auto"/>
        <w:ind w:left="481" w:leftChars="229" w:right="17"/>
        <w:rPr>
          <w:rFonts w:hint="eastAsia" w:ascii="宋体" w:hAnsi="宋体"/>
          <w:sz w:val="24"/>
        </w:rPr>
      </w:pPr>
      <w:r>
        <w:rPr>
          <w:rFonts w:hint="eastAsia" w:ascii="宋体" w:hAnsi="宋体"/>
          <w:sz w:val="24"/>
        </w:rPr>
        <w:t>供应商使用 CA 数字证书或电子营业执照登录北京市政府采购电子交易平台获取电子竞争性磋商文件。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51A097FF">
      <w:pPr>
        <w:widowControl/>
        <w:snapToGrid w:val="0"/>
        <w:spacing w:line="360" w:lineRule="auto"/>
        <w:ind w:left="481" w:leftChars="229" w:right="17"/>
        <w:rPr>
          <w:rFonts w:hint="eastAsia" w:ascii="宋体" w:hAnsi="宋体"/>
          <w:sz w:val="24"/>
        </w:rPr>
      </w:pPr>
      <w:r>
        <w:rPr>
          <w:rFonts w:hint="eastAsia" w:ascii="宋体" w:hAnsi="宋体"/>
          <w:sz w:val="24"/>
        </w:rPr>
        <w:t>3.5 编制电子响应文件</w:t>
      </w:r>
    </w:p>
    <w:p w14:paraId="18F3E3D6">
      <w:pPr>
        <w:widowControl/>
        <w:snapToGrid w:val="0"/>
        <w:spacing w:line="360" w:lineRule="auto"/>
        <w:ind w:left="481" w:leftChars="229" w:right="17"/>
        <w:rPr>
          <w:rFonts w:hint="eastAsia" w:ascii="宋体" w:hAnsi="宋体"/>
          <w:sz w:val="24"/>
        </w:rPr>
      </w:pPr>
      <w:r>
        <w:rPr>
          <w:rFonts w:hint="eastAsia" w:ascii="宋体" w:hAnsi="宋体"/>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5F78462F">
      <w:pPr>
        <w:widowControl/>
        <w:snapToGrid w:val="0"/>
        <w:spacing w:line="360" w:lineRule="auto"/>
        <w:ind w:left="481" w:leftChars="229" w:right="17"/>
        <w:rPr>
          <w:rFonts w:hint="eastAsia" w:ascii="宋体" w:hAnsi="宋体"/>
          <w:sz w:val="24"/>
        </w:rPr>
      </w:pPr>
      <w:r>
        <w:rPr>
          <w:rFonts w:hint="eastAsia" w:ascii="宋体" w:hAnsi="宋体"/>
          <w:sz w:val="24"/>
        </w:rPr>
        <w:t>3.6 提交电子响应文件</w:t>
      </w:r>
    </w:p>
    <w:p w14:paraId="242950D1">
      <w:pPr>
        <w:widowControl/>
        <w:snapToGrid w:val="0"/>
        <w:spacing w:line="360" w:lineRule="auto"/>
        <w:ind w:left="481" w:leftChars="229" w:right="17"/>
        <w:rPr>
          <w:rFonts w:hint="eastAsia" w:ascii="宋体" w:hAnsi="宋体"/>
          <w:sz w:val="24"/>
        </w:rPr>
      </w:pPr>
      <w:r>
        <w:rPr>
          <w:rFonts w:hint="eastAsia" w:ascii="宋体" w:hAnsi="宋体"/>
          <w:sz w:val="24"/>
        </w:rPr>
        <w:t>供应商应于响应文件提交截止时间前在北京市政府采购电子交易平台提交电子响应文件，上传电子响应文件过程中请保持与互联网的连接畅通。</w:t>
      </w:r>
    </w:p>
    <w:p w14:paraId="600E304D">
      <w:pPr>
        <w:widowControl/>
        <w:snapToGrid w:val="0"/>
        <w:spacing w:line="360" w:lineRule="auto"/>
        <w:ind w:left="481" w:leftChars="229" w:right="17"/>
        <w:rPr>
          <w:rFonts w:hint="eastAsia" w:ascii="宋体" w:hAnsi="宋体"/>
          <w:sz w:val="24"/>
        </w:rPr>
      </w:pPr>
      <w:r>
        <w:rPr>
          <w:rFonts w:hint="eastAsia" w:ascii="宋体" w:hAnsi="宋体"/>
          <w:sz w:val="24"/>
        </w:rPr>
        <w:t>3.7 开启响应文件</w:t>
      </w:r>
    </w:p>
    <w:p w14:paraId="1B5FD3AA">
      <w:pPr>
        <w:widowControl/>
        <w:snapToGrid w:val="0"/>
        <w:spacing w:line="360" w:lineRule="auto"/>
        <w:ind w:left="481" w:leftChars="229" w:right="17"/>
        <w:rPr>
          <w:rFonts w:hint="eastAsia" w:ascii="宋体" w:hAnsi="宋体"/>
          <w:sz w:val="24"/>
        </w:rPr>
      </w:pPr>
      <w:r>
        <w:rPr>
          <w:rFonts w:hint="eastAsia" w:ascii="宋体" w:hAnsi="宋体"/>
          <w:sz w:val="24"/>
        </w:rPr>
        <w:t>供应商于磋商文件规定的开启时间、在开启地点使用 CA 数字证书或电子营业执照登录北京市政府采购电子交易平台解密并开启响应文件。如因供应商问题，解密不成功，则响应无效。</w:t>
      </w:r>
    </w:p>
    <w:p w14:paraId="76C2FC34">
      <w:pPr>
        <w:widowControl/>
        <w:snapToGrid w:val="0"/>
        <w:spacing w:line="360" w:lineRule="auto"/>
        <w:ind w:left="481" w:leftChars="229" w:right="17"/>
        <w:rPr>
          <w:rFonts w:hint="eastAsia" w:ascii="宋体" w:hAnsi="宋体"/>
          <w:sz w:val="24"/>
        </w:rPr>
      </w:pPr>
      <w:r>
        <w:rPr>
          <w:rFonts w:hint="eastAsia" w:ascii="宋体" w:hAnsi="宋体"/>
          <w:sz w:val="24"/>
        </w:rPr>
        <w:t>采购人监督管理联系人及电话：李昭、010-88223957</w:t>
      </w:r>
    </w:p>
    <w:p w14:paraId="4647E47E">
      <w:pPr>
        <w:pStyle w:val="3"/>
        <w:spacing w:before="0" w:line="360" w:lineRule="auto"/>
        <w:jc w:val="left"/>
        <w:rPr>
          <w:rFonts w:hint="eastAsia" w:ascii="宋体" w:hAnsi="宋体" w:eastAsia="宋体"/>
          <w:sz w:val="24"/>
          <w:szCs w:val="24"/>
        </w:rPr>
      </w:pPr>
      <w:bookmarkStart w:id="22" w:name="_Toc28359085"/>
      <w:bookmarkStart w:id="23" w:name="_Toc28359008"/>
      <w:bookmarkStart w:id="24" w:name="_Toc35393796"/>
      <w:bookmarkStart w:id="25" w:name="_Toc35393627"/>
      <w:r>
        <w:rPr>
          <w:rFonts w:ascii="宋体" w:hAnsi="宋体" w:eastAsia="宋体"/>
          <w:sz w:val="24"/>
          <w:szCs w:val="24"/>
        </w:rPr>
        <w:t>八、对本项目提出询问，请按以下方式联系。</w:t>
      </w:r>
      <w:bookmarkEnd w:id="22"/>
      <w:bookmarkEnd w:id="23"/>
      <w:bookmarkEnd w:id="24"/>
      <w:bookmarkEnd w:id="25"/>
    </w:p>
    <w:p w14:paraId="4F159768">
      <w:pPr>
        <w:widowControl/>
        <w:spacing w:line="360" w:lineRule="auto"/>
        <w:jc w:val="left"/>
        <w:rPr>
          <w:rFonts w:hint="eastAsia" w:ascii="宋体" w:hAnsi="宋体"/>
          <w:b/>
          <w:sz w:val="24"/>
        </w:rPr>
      </w:pPr>
      <w:r>
        <w:rPr>
          <w:rFonts w:ascii="宋体" w:hAnsi="宋体"/>
          <w:sz w:val="24"/>
        </w:rPr>
        <w:t>　　　</w:t>
      </w:r>
      <w:r>
        <w:rPr>
          <w:rFonts w:ascii="宋体" w:hAnsi="宋体"/>
          <w:b/>
          <w:sz w:val="24"/>
        </w:rPr>
        <w:t>1.采购人信息</w:t>
      </w:r>
    </w:p>
    <w:p w14:paraId="0A5E3E43">
      <w:pPr>
        <w:spacing w:line="360" w:lineRule="auto"/>
        <w:ind w:left="1079" w:leftChars="371" w:hanging="300" w:hangingChars="125"/>
        <w:jc w:val="left"/>
        <w:rPr>
          <w:rFonts w:hint="eastAsia" w:ascii="宋体" w:hAnsi="宋体"/>
          <w:sz w:val="24"/>
        </w:rPr>
      </w:pPr>
      <w:bookmarkStart w:id="26" w:name="_Toc28359009"/>
      <w:bookmarkStart w:id="27" w:name="_Toc28359086"/>
      <w:r>
        <w:rPr>
          <w:rFonts w:ascii="宋体" w:hAnsi="宋体"/>
          <w:sz w:val="24"/>
        </w:rPr>
        <w:t>名称：</w:t>
      </w:r>
      <w:r>
        <w:rPr>
          <w:rFonts w:hint="eastAsia" w:ascii="宋体" w:hAnsi="宋体"/>
          <w:sz w:val="24"/>
        </w:rPr>
        <w:t>北京市海淀区人民政府永定路街道办事处</w:t>
      </w:r>
    </w:p>
    <w:p w14:paraId="5C873CC5">
      <w:pPr>
        <w:spacing w:line="360" w:lineRule="auto"/>
        <w:ind w:left="1079" w:leftChars="371" w:hanging="300" w:hangingChars="125"/>
        <w:jc w:val="left"/>
        <w:rPr>
          <w:rFonts w:hint="eastAsia" w:ascii="宋体" w:hAnsi="宋体"/>
          <w:sz w:val="24"/>
          <w:u w:val="single"/>
        </w:rPr>
      </w:pPr>
      <w:r>
        <w:rPr>
          <w:rFonts w:ascii="宋体" w:hAnsi="宋体"/>
          <w:sz w:val="24"/>
        </w:rPr>
        <w:t>地址：</w:t>
      </w:r>
      <w:r>
        <w:rPr>
          <w:rFonts w:hint="eastAsia" w:ascii="宋体" w:hAnsi="宋体"/>
          <w:sz w:val="24"/>
        </w:rPr>
        <w:t>北京市海淀区采石北路18号</w:t>
      </w:r>
    </w:p>
    <w:p w14:paraId="4B3346C1">
      <w:pPr>
        <w:spacing w:line="360" w:lineRule="auto"/>
        <w:ind w:left="1079" w:leftChars="371" w:hanging="300" w:hangingChars="125"/>
        <w:jc w:val="left"/>
        <w:rPr>
          <w:rFonts w:hint="eastAsia" w:ascii="宋体" w:hAnsi="宋体"/>
          <w:sz w:val="24"/>
          <w:u w:val="single"/>
        </w:rPr>
      </w:pPr>
      <w:r>
        <w:rPr>
          <w:rFonts w:ascii="宋体" w:hAnsi="宋体"/>
          <w:sz w:val="24"/>
        </w:rPr>
        <w:t>联系方式</w:t>
      </w:r>
      <w:r>
        <w:rPr>
          <w:rFonts w:hint="eastAsia" w:ascii="宋体" w:hAnsi="宋体"/>
          <w:sz w:val="24"/>
        </w:rPr>
        <w:t>：杨老师 010-</w:t>
      </w:r>
      <w:r>
        <w:rPr>
          <w:rFonts w:ascii="宋体" w:hAnsi="宋体"/>
          <w:sz w:val="24"/>
        </w:rPr>
        <w:t>88223959</w:t>
      </w:r>
    </w:p>
    <w:p w14:paraId="092E3741">
      <w:pPr>
        <w:spacing w:line="360" w:lineRule="auto"/>
        <w:ind w:left="1080" w:leftChars="371" w:hanging="301" w:hangingChars="125"/>
        <w:jc w:val="left"/>
        <w:rPr>
          <w:rFonts w:hint="eastAsia" w:ascii="宋体" w:hAnsi="宋体"/>
          <w:b/>
          <w:sz w:val="24"/>
        </w:rPr>
      </w:pPr>
      <w:r>
        <w:rPr>
          <w:rFonts w:ascii="宋体" w:hAnsi="宋体"/>
          <w:b/>
          <w:sz w:val="24"/>
        </w:rPr>
        <w:t>2.采购代理机构信息</w:t>
      </w:r>
      <w:bookmarkEnd w:id="26"/>
      <w:bookmarkEnd w:id="27"/>
    </w:p>
    <w:p w14:paraId="4D0A639F">
      <w:pPr>
        <w:spacing w:line="360" w:lineRule="auto"/>
        <w:ind w:left="1076" w:leftChars="371" w:hanging="297" w:hangingChars="124"/>
        <w:jc w:val="left"/>
        <w:rPr>
          <w:rFonts w:hint="eastAsia" w:ascii="宋体" w:hAnsi="宋体"/>
          <w:sz w:val="24"/>
        </w:rPr>
      </w:pPr>
      <w:bookmarkStart w:id="28" w:name="_Toc28359010"/>
      <w:bookmarkStart w:id="29" w:name="_Toc28359087"/>
      <w:r>
        <w:rPr>
          <w:rFonts w:ascii="宋体" w:hAnsi="宋体"/>
          <w:sz w:val="24"/>
        </w:rPr>
        <w:t>名    称：</w:t>
      </w:r>
      <w:r>
        <w:rPr>
          <w:rFonts w:hint="eastAsia" w:ascii="宋体" w:hAnsi="宋体"/>
          <w:sz w:val="24"/>
        </w:rPr>
        <w:t>北京中域正信工程咨询有限公司</w:t>
      </w:r>
    </w:p>
    <w:p w14:paraId="229CAEA5">
      <w:pPr>
        <w:spacing w:line="360" w:lineRule="auto"/>
        <w:ind w:left="1076" w:leftChars="371" w:hanging="297" w:hangingChars="124"/>
        <w:jc w:val="left"/>
        <w:rPr>
          <w:rFonts w:hint="eastAsia" w:ascii="宋体" w:hAnsi="宋体"/>
          <w:sz w:val="24"/>
        </w:rPr>
      </w:pPr>
      <w:r>
        <w:rPr>
          <w:rFonts w:ascii="宋体" w:hAnsi="宋体"/>
          <w:sz w:val="24"/>
        </w:rPr>
        <w:t>地    址：</w:t>
      </w:r>
      <w:r>
        <w:rPr>
          <w:rFonts w:hint="eastAsia" w:ascii="宋体" w:hAnsi="宋体"/>
          <w:sz w:val="24"/>
        </w:rPr>
        <w:t>北京市昌平区碧水庄园3-20</w:t>
      </w:r>
    </w:p>
    <w:p w14:paraId="6FE4A849">
      <w:pPr>
        <w:spacing w:line="360" w:lineRule="auto"/>
        <w:ind w:left="1076" w:leftChars="371" w:hanging="297" w:hangingChars="124"/>
        <w:jc w:val="left"/>
        <w:rPr>
          <w:rFonts w:hint="eastAsia" w:ascii="宋体" w:hAnsi="宋体"/>
          <w:sz w:val="24"/>
        </w:rPr>
      </w:pPr>
      <w:r>
        <w:rPr>
          <w:rFonts w:ascii="宋体" w:hAnsi="宋体"/>
          <w:sz w:val="24"/>
        </w:rPr>
        <w:t>联系方式：</w:t>
      </w:r>
      <w:r>
        <w:rPr>
          <w:rFonts w:hint="eastAsia" w:ascii="宋体" w:hAnsi="宋体"/>
          <w:sz w:val="24"/>
        </w:rPr>
        <w:t>张建明</w:t>
      </w:r>
      <w:r>
        <w:rPr>
          <w:rFonts w:ascii="宋体" w:hAnsi="宋体"/>
          <w:sz w:val="24"/>
        </w:rPr>
        <w:tab/>
      </w:r>
      <w:r>
        <w:rPr>
          <w:rFonts w:ascii="宋体" w:hAnsi="宋体"/>
          <w:sz w:val="24"/>
        </w:rPr>
        <w:tab/>
      </w:r>
    </w:p>
    <w:p w14:paraId="3218E923">
      <w:pPr>
        <w:spacing w:line="360" w:lineRule="auto"/>
        <w:ind w:left="1078" w:leftChars="371" w:hanging="299" w:hangingChars="124"/>
        <w:rPr>
          <w:rFonts w:hint="eastAsia" w:ascii="宋体" w:hAnsi="宋体"/>
          <w:b/>
          <w:sz w:val="24"/>
        </w:rPr>
      </w:pPr>
      <w:r>
        <w:rPr>
          <w:rFonts w:ascii="宋体" w:hAnsi="宋体"/>
          <w:b/>
          <w:sz w:val="24"/>
        </w:rPr>
        <w:t>3.项目联系方式</w:t>
      </w:r>
      <w:bookmarkEnd w:id="28"/>
      <w:bookmarkEnd w:id="29"/>
    </w:p>
    <w:p w14:paraId="00B4BDDC">
      <w:pPr>
        <w:pStyle w:val="23"/>
        <w:spacing w:line="360" w:lineRule="auto"/>
        <w:ind w:left="1076" w:leftChars="371" w:hanging="297" w:hangingChars="124"/>
        <w:rPr>
          <w:rFonts w:hint="eastAsia" w:hAnsi="宋体"/>
          <w:sz w:val="24"/>
        </w:rPr>
      </w:pPr>
      <w:r>
        <w:rPr>
          <w:rFonts w:hAnsi="宋体"/>
          <w:sz w:val="24"/>
          <w:szCs w:val="24"/>
        </w:rPr>
        <w:t>项目联系人</w:t>
      </w:r>
      <w:r>
        <w:rPr>
          <w:rFonts w:hint="eastAsia" w:hAnsi="宋体"/>
          <w:sz w:val="24"/>
          <w:szCs w:val="24"/>
        </w:rPr>
        <w:t>：张建明</w:t>
      </w:r>
    </w:p>
    <w:p w14:paraId="30E441BE">
      <w:pPr>
        <w:spacing w:line="360" w:lineRule="auto"/>
        <w:ind w:left="1076" w:leftChars="371" w:hanging="297" w:hangingChars="124"/>
        <w:jc w:val="left"/>
        <w:rPr>
          <w:rFonts w:hint="eastAsia" w:ascii="宋体" w:hAnsi="宋体"/>
          <w:sz w:val="24"/>
        </w:rPr>
      </w:pPr>
      <w:r>
        <w:rPr>
          <w:rFonts w:ascii="宋体" w:hAnsi="宋体"/>
          <w:sz w:val="24"/>
        </w:rPr>
        <w:t>电      话：</w:t>
      </w:r>
      <w:r>
        <w:rPr>
          <w:rFonts w:hint="eastAsia" w:ascii="宋体" w:hAnsi="宋体"/>
          <w:sz w:val="24"/>
        </w:rPr>
        <w:t>15011275036</w:t>
      </w:r>
    </w:p>
    <w:p w14:paraId="3FBADEEE">
      <w:pPr>
        <w:rPr>
          <w:rFonts w:hint="eastAsia" w:ascii="宋体" w:hAnsi="宋体"/>
        </w:rPr>
      </w:pPr>
    </w:p>
    <w:p w14:paraId="7F072BAF">
      <w:pPr>
        <w:spacing w:line="360" w:lineRule="auto"/>
        <w:jc w:val="center"/>
        <w:outlineLvl w:val="0"/>
        <w:rPr>
          <w:rFonts w:hint="eastAsia" w:ascii="宋体" w:hAnsi="宋体"/>
          <w:b/>
          <w:sz w:val="32"/>
          <w:szCs w:val="32"/>
        </w:rPr>
      </w:pPr>
      <w:r>
        <w:rPr>
          <w:rFonts w:ascii="宋体" w:hAnsi="宋体"/>
        </w:rPr>
        <w:br w:type="page"/>
      </w:r>
      <w:bookmarkStart w:id="30" w:name="_Toc512937850"/>
      <w:bookmarkStart w:id="31" w:name="_Toc150774783"/>
      <w:bookmarkStart w:id="32" w:name="_Toc305158928"/>
      <w:bookmarkStart w:id="33" w:name="_Toc353825548"/>
      <w:bookmarkStart w:id="34" w:name="_Toc165576329"/>
      <w:bookmarkStart w:id="35" w:name="_Toc103153302"/>
      <w:bookmarkStart w:id="36" w:name="_Toc226965856"/>
      <w:bookmarkStart w:id="37" w:name="_Toc353873938"/>
      <w:bookmarkStart w:id="38" w:name="_Toc127151777"/>
      <w:bookmarkStart w:id="39" w:name="_Toc195842950"/>
      <w:bookmarkStart w:id="40" w:name="_Toc305158854"/>
      <w:bookmarkStart w:id="41" w:name="_Toc127161488"/>
      <w:bookmarkStart w:id="42" w:name="_Toc264969275"/>
      <w:bookmarkStart w:id="43" w:name="_Toc265228423"/>
      <w:r>
        <w:rPr>
          <w:rFonts w:ascii="宋体" w:hAnsi="宋体"/>
          <w:b/>
          <w:sz w:val="36"/>
          <w:szCs w:val="36"/>
        </w:rPr>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5123CB37">
      <w:pPr>
        <w:pStyle w:val="62"/>
        <w:jc w:val="center"/>
        <w:rPr>
          <w:rFonts w:hint="eastAsia" w:ascii="宋体" w:hAnsi="宋体" w:eastAsia="宋体"/>
          <w:b/>
          <w:bCs/>
          <w:sz w:val="28"/>
          <w:szCs w:val="36"/>
        </w:rPr>
      </w:pPr>
      <w:r>
        <w:rPr>
          <w:rFonts w:ascii="宋体" w:hAnsi="宋体" w:eastAsia="宋体"/>
          <w:b/>
          <w:bCs/>
          <w:sz w:val="28"/>
          <w:szCs w:val="36"/>
        </w:rPr>
        <w:t>供应商须知资料表</w:t>
      </w:r>
    </w:p>
    <w:p w14:paraId="6537D385">
      <w:pPr>
        <w:spacing w:line="360" w:lineRule="auto"/>
        <w:ind w:firstLine="480"/>
        <w:rPr>
          <w:rFonts w:hint="eastAsia" w:ascii="宋体" w:hAnsi="宋体"/>
          <w:sz w:val="24"/>
        </w:rPr>
      </w:pPr>
      <w:r>
        <w:rPr>
          <w:rFonts w:ascii="宋体" w:hAnsi="宋体"/>
          <w:sz w:val="24"/>
        </w:rPr>
        <w:t>本表是对供应商须知的具体补充和修改，如有矛盾，均以本资料表为准。标记“</w:t>
      </w:r>
      <w:r>
        <w:rPr>
          <w:rFonts w:ascii="宋体" w:hAnsi="宋体"/>
          <w:b/>
          <w:sz w:val="24"/>
        </w:rPr>
        <w:t>■</w:t>
      </w:r>
      <w:r>
        <w:rPr>
          <w:rFonts w:ascii="宋体" w:hAnsi="宋体"/>
          <w:sz w:val="24"/>
        </w:rPr>
        <w:t>”的选项意为适用于本项目，标记“</w:t>
      </w:r>
      <w:r>
        <w:rPr>
          <w:rFonts w:ascii="宋体" w:hAnsi="宋体"/>
        </w:rPr>
        <w:t>□</w:t>
      </w:r>
      <w:r>
        <w:rPr>
          <w:rFonts w:ascii="宋体" w:hAnsi="宋体"/>
          <w:sz w:val="24"/>
        </w:rPr>
        <w:t>”的选项意为不适用于本项目。</w:t>
      </w:r>
    </w:p>
    <w:tbl>
      <w:tblPr>
        <w:tblStyle w:val="4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560"/>
        <w:gridCol w:w="7253"/>
      </w:tblGrid>
      <w:tr w14:paraId="09F42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9" w:type="dxa"/>
            <w:vAlign w:val="center"/>
          </w:tcPr>
          <w:p w14:paraId="29BA8DA7">
            <w:pPr>
              <w:jc w:val="center"/>
              <w:rPr>
                <w:rFonts w:hint="eastAsia" w:ascii="宋体" w:hAnsi="宋体"/>
                <w:b/>
                <w:bCs/>
                <w:sz w:val="24"/>
              </w:rPr>
            </w:pPr>
            <w:r>
              <w:rPr>
                <w:rFonts w:ascii="宋体" w:hAnsi="宋体"/>
                <w:b/>
                <w:sz w:val="24"/>
              </w:rPr>
              <w:t>条款号</w:t>
            </w:r>
          </w:p>
        </w:tc>
        <w:tc>
          <w:tcPr>
            <w:tcW w:w="1560" w:type="dxa"/>
            <w:vAlign w:val="center"/>
          </w:tcPr>
          <w:p w14:paraId="74D90E91">
            <w:pPr>
              <w:jc w:val="center"/>
              <w:rPr>
                <w:rFonts w:hint="eastAsia" w:ascii="宋体" w:hAnsi="宋体"/>
                <w:b/>
                <w:bCs/>
                <w:sz w:val="24"/>
              </w:rPr>
            </w:pPr>
            <w:r>
              <w:rPr>
                <w:rFonts w:ascii="宋体" w:hAnsi="宋体"/>
                <w:b/>
                <w:bCs/>
                <w:sz w:val="24"/>
              </w:rPr>
              <w:t>条目</w:t>
            </w:r>
          </w:p>
        </w:tc>
        <w:tc>
          <w:tcPr>
            <w:tcW w:w="7253" w:type="dxa"/>
            <w:vAlign w:val="center"/>
          </w:tcPr>
          <w:p w14:paraId="4610B4C8">
            <w:pPr>
              <w:jc w:val="center"/>
              <w:rPr>
                <w:rFonts w:hint="eastAsia" w:ascii="宋体" w:hAnsi="宋体"/>
                <w:b/>
                <w:bCs/>
                <w:sz w:val="24"/>
              </w:rPr>
            </w:pPr>
            <w:r>
              <w:rPr>
                <w:rFonts w:ascii="宋体" w:hAnsi="宋体"/>
                <w:b/>
                <w:bCs/>
                <w:sz w:val="24"/>
              </w:rPr>
              <w:t>内容</w:t>
            </w:r>
          </w:p>
        </w:tc>
      </w:tr>
      <w:tr w14:paraId="20776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76F88D88">
            <w:pPr>
              <w:pStyle w:val="23"/>
              <w:adjustRightInd w:val="0"/>
              <w:snapToGrid w:val="0"/>
              <w:jc w:val="center"/>
              <w:rPr>
                <w:rFonts w:hint="eastAsia" w:hAnsi="宋体"/>
                <w:sz w:val="24"/>
                <w:szCs w:val="24"/>
              </w:rPr>
            </w:pPr>
            <w:r>
              <w:rPr>
                <w:rFonts w:hAnsi="宋体"/>
                <w:sz w:val="24"/>
                <w:szCs w:val="24"/>
              </w:rPr>
              <w:t>2.2</w:t>
            </w:r>
          </w:p>
        </w:tc>
        <w:tc>
          <w:tcPr>
            <w:tcW w:w="1560" w:type="dxa"/>
            <w:vAlign w:val="center"/>
          </w:tcPr>
          <w:p w14:paraId="385A9BF5">
            <w:pPr>
              <w:jc w:val="center"/>
              <w:rPr>
                <w:rFonts w:hint="eastAsia" w:ascii="宋体" w:hAnsi="宋体"/>
                <w:sz w:val="24"/>
              </w:rPr>
            </w:pPr>
            <w:r>
              <w:rPr>
                <w:rFonts w:ascii="宋体" w:hAnsi="宋体"/>
                <w:sz w:val="24"/>
              </w:rPr>
              <w:t>项目属性</w:t>
            </w:r>
          </w:p>
        </w:tc>
        <w:tc>
          <w:tcPr>
            <w:tcW w:w="7253" w:type="dxa"/>
            <w:vAlign w:val="center"/>
          </w:tcPr>
          <w:p w14:paraId="071DE218">
            <w:pPr>
              <w:spacing w:line="360" w:lineRule="auto"/>
              <w:jc w:val="left"/>
              <w:rPr>
                <w:rFonts w:hint="eastAsia" w:ascii="宋体" w:hAnsi="宋体"/>
                <w:sz w:val="24"/>
                <w:u w:val="single"/>
              </w:rPr>
            </w:pPr>
            <w:r>
              <w:rPr>
                <w:rFonts w:ascii="宋体" w:hAnsi="宋体"/>
                <w:sz w:val="24"/>
              </w:rPr>
              <w:t>项目属性：□服务</w:t>
            </w:r>
            <w:r>
              <w:rPr>
                <w:rFonts w:hint="eastAsia" w:ascii="宋体" w:hAnsi="宋体"/>
                <w:sz w:val="24"/>
              </w:rPr>
              <w:t xml:space="preserve">      </w:t>
            </w:r>
            <w:r>
              <w:rPr>
                <w:rFonts w:ascii="宋体" w:hAnsi="宋体"/>
                <w:sz w:val="24"/>
              </w:rPr>
              <w:t>□货物</w:t>
            </w:r>
            <w:r>
              <w:rPr>
                <w:rFonts w:hint="eastAsia" w:ascii="宋体" w:hAnsi="宋体"/>
                <w:sz w:val="24"/>
              </w:rPr>
              <w:t xml:space="preserve">      ■工程</w:t>
            </w:r>
          </w:p>
        </w:tc>
      </w:tr>
      <w:tr w14:paraId="5D32A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20F42E31">
            <w:pPr>
              <w:pStyle w:val="23"/>
              <w:adjustRightInd w:val="0"/>
              <w:snapToGrid w:val="0"/>
              <w:jc w:val="center"/>
              <w:rPr>
                <w:rFonts w:hint="eastAsia" w:hAnsi="宋体"/>
                <w:sz w:val="24"/>
                <w:szCs w:val="24"/>
              </w:rPr>
            </w:pPr>
            <w:r>
              <w:rPr>
                <w:rFonts w:hAnsi="宋体"/>
                <w:sz w:val="24"/>
                <w:szCs w:val="24"/>
              </w:rPr>
              <w:t>2.3</w:t>
            </w:r>
          </w:p>
        </w:tc>
        <w:tc>
          <w:tcPr>
            <w:tcW w:w="1560" w:type="dxa"/>
            <w:vAlign w:val="center"/>
          </w:tcPr>
          <w:p w14:paraId="529CC0E7">
            <w:pPr>
              <w:jc w:val="center"/>
              <w:rPr>
                <w:rFonts w:hint="eastAsia" w:ascii="宋体" w:hAnsi="宋体"/>
                <w:sz w:val="24"/>
              </w:rPr>
            </w:pPr>
            <w:r>
              <w:rPr>
                <w:rFonts w:ascii="宋体" w:hAnsi="宋体"/>
                <w:sz w:val="24"/>
              </w:rPr>
              <w:t>科研仪器设备</w:t>
            </w:r>
          </w:p>
        </w:tc>
        <w:tc>
          <w:tcPr>
            <w:tcW w:w="7253" w:type="dxa"/>
            <w:vAlign w:val="center"/>
          </w:tcPr>
          <w:p w14:paraId="62A1331C">
            <w:pPr>
              <w:spacing w:line="360" w:lineRule="auto"/>
              <w:jc w:val="left"/>
              <w:rPr>
                <w:rFonts w:hint="eastAsia" w:ascii="宋体" w:hAnsi="宋体"/>
                <w:sz w:val="24"/>
              </w:rPr>
            </w:pPr>
            <w:r>
              <w:rPr>
                <w:rFonts w:ascii="宋体" w:hAnsi="宋体"/>
                <w:sz w:val="24"/>
              </w:rPr>
              <w:t>是否属于科研仪器设备采购项目：□是</w:t>
            </w:r>
            <w:r>
              <w:rPr>
                <w:rFonts w:hint="eastAsia" w:ascii="宋体" w:hAnsi="宋体"/>
                <w:sz w:val="24"/>
              </w:rPr>
              <w:t xml:space="preserve">         </w:t>
            </w:r>
            <w:r>
              <w:rPr>
                <w:rFonts w:ascii="宋体" w:hAnsi="宋体"/>
                <w:b/>
                <w:sz w:val="24"/>
              </w:rPr>
              <w:t>■</w:t>
            </w:r>
            <w:r>
              <w:rPr>
                <w:rFonts w:ascii="宋体" w:hAnsi="宋体"/>
                <w:sz w:val="24"/>
              </w:rPr>
              <w:t>否</w:t>
            </w:r>
          </w:p>
        </w:tc>
      </w:tr>
      <w:tr w14:paraId="6B74A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restart"/>
            <w:vAlign w:val="center"/>
          </w:tcPr>
          <w:p w14:paraId="7B43E8F8">
            <w:pPr>
              <w:pStyle w:val="23"/>
              <w:adjustRightInd w:val="0"/>
              <w:snapToGrid w:val="0"/>
              <w:jc w:val="center"/>
              <w:rPr>
                <w:rFonts w:hint="eastAsia" w:hAnsi="宋体"/>
                <w:sz w:val="24"/>
                <w:szCs w:val="24"/>
              </w:rPr>
            </w:pPr>
            <w:r>
              <w:rPr>
                <w:rFonts w:hAnsi="宋体"/>
                <w:sz w:val="24"/>
                <w:szCs w:val="24"/>
              </w:rPr>
              <w:t>3.1</w:t>
            </w:r>
          </w:p>
        </w:tc>
        <w:tc>
          <w:tcPr>
            <w:tcW w:w="1560" w:type="dxa"/>
            <w:vAlign w:val="center"/>
          </w:tcPr>
          <w:p w14:paraId="774D75D1">
            <w:pPr>
              <w:jc w:val="center"/>
              <w:rPr>
                <w:rFonts w:hint="eastAsia" w:ascii="宋体" w:hAnsi="宋体"/>
                <w:sz w:val="24"/>
              </w:rPr>
            </w:pPr>
            <w:r>
              <w:rPr>
                <w:rFonts w:ascii="宋体" w:hAnsi="宋体"/>
                <w:sz w:val="24"/>
              </w:rPr>
              <w:t>现场考察</w:t>
            </w:r>
          </w:p>
        </w:tc>
        <w:tc>
          <w:tcPr>
            <w:tcW w:w="7253" w:type="dxa"/>
            <w:vAlign w:val="center"/>
          </w:tcPr>
          <w:p w14:paraId="71ADB95A">
            <w:pPr>
              <w:spacing w:line="360" w:lineRule="auto"/>
              <w:jc w:val="left"/>
              <w:rPr>
                <w:rFonts w:hint="eastAsia" w:ascii="宋体" w:hAnsi="宋体"/>
                <w:sz w:val="24"/>
              </w:rPr>
            </w:pPr>
            <w:r>
              <w:rPr>
                <w:rFonts w:ascii="宋体" w:hAnsi="宋体"/>
                <w:b/>
                <w:sz w:val="24"/>
              </w:rPr>
              <w:t>■</w:t>
            </w:r>
            <w:r>
              <w:rPr>
                <w:rFonts w:ascii="宋体" w:hAnsi="宋体"/>
                <w:sz w:val="24"/>
              </w:rPr>
              <w:t>不组织</w:t>
            </w:r>
          </w:p>
          <w:p w14:paraId="30AC9739">
            <w:pPr>
              <w:spacing w:line="360" w:lineRule="auto"/>
              <w:jc w:val="left"/>
              <w:rPr>
                <w:rFonts w:hint="eastAsia" w:ascii="宋体" w:hAnsi="宋体"/>
                <w:bCs/>
                <w:sz w:val="24"/>
              </w:rPr>
            </w:pPr>
            <w:r>
              <w:rPr>
                <w:rFonts w:ascii="宋体" w:hAnsi="宋体"/>
                <w:sz w:val="24"/>
              </w:rPr>
              <w:t>□组织，考察时间：*年*月*日至*年*月*日*点*分</w:t>
            </w:r>
          </w:p>
          <w:p w14:paraId="68324457">
            <w:pPr>
              <w:pStyle w:val="23"/>
              <w:adjustRightInd w:val="0"/>
              <w:snapToGrid w:val="0"/>
              <w:spacing w:line="360" w:lineRule="auto"/>
              <w:rPr>
                <w:rFonts w:hint="eastAsia" w:hAnsi="宋体"/>
                <w:sz w:val="24"/>
                <w:szCs w:val="24"/>
              </w:rPr>
            </w:pPr>
            <w:r>
              <w:rPr>
                <w:rFonts w:hAnsi="宋体"/>
                <w:sz w:val="24"/>
                <w:szCs w:val="24"/>
              </w:rPr>
              <w:t>考察地点：___________。</w:t>
            </w:r>
          </w:p>
        </w:tc>
      </w:tr>
      <w:tr w14:paraId="6783F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continue"/>
            <w:vAlign w:val="center"/>
          </w:tcPr>
          <w:p w14:paraId="754146CC">
            <w:pPr>
              <w:pStyle w:val="23"/>
              <w:adjustRightInd w:val="0"/>
              <w:snapToGrid w:val="0"/>
              <w:jc w:val="center"/>
              <w:rPr>
                <w:rFonts w:hint="eastAsia" w:hAnsi="宋体"/>
                <w:sz w:val="24"/>
                <w:szCs w:val="24"/>
              </w:rPr>
            </w:pPr>
          </w:p>
        </w:tc>
        <w:tc>
          <w:tcPr>
            <w:tcW w:w="1560" w:type="dxa"/>
            <w:vAlign w:val="center"/>
          </w:tcPr>
          <w:p w14:paraId="6445E662">
            <w:pPr>
              <w:jc w:val="center"/>
              <w:rPr>
                <w:rFonts w:hint="eastAsia" w:ascii="宋体" w:hAnsi="宋体"/>
                <w:sz w:val="24"/>
              </w:rPr>
            </w:pPr>
            <w:r>
              <w:rPr>
                <w:rFonts w:ascii="宋体" w:hAnsi="宋体"/>
                <w:sz w:val="24"/>
              </w:rPr>
              <w:t>磋商前答疑会</w:t>
            </w:r>
          </w:p>
        </w:tc>
        <w:tc>
          <w:tcPr>
            <w:tcW w:w="7253" w:type="dxa"/>
            <w:vAlign w:val="center"/>
          </w:tcPr>
          <w:p w14:paraId="68A43B8E">
            <w:pPr>
              <w:spacing w:line="360" w:lineRule="auto"/>
              <w:jc w:val="left"/>
              <w:rPr>
                <w:rFonts w:hint="eastAsia" w:ascii="宋体" w:hAnsi="宋体"/>
                <w:sz w:val="24"/>
              </w:rPr>
            </w:pPr>
            <w:r>
              <w:rPr>
                <w:rFonts w:ascii="宋体" w:hAnsi="宋体"/>
                <w:b/>
                <w:sz w:val="24"/>
              </w:rPr>
              <w:t>■</w:t>
            </w:r>
            <w:r>
              <w:rPr>
                <w:rFonts w:ascii="宋体" w:hAnsi="宋体"/>
                <w:sz w:val="24"/>
              </w:rPr>
              <w:t>不召开</w:t>
            </w:r>
          </w:p>
          <w:p w14:paraId="7F8D9D62">
            <w:pPr>
              <w:spacing w:line="360" w:lineRule="auto"/>
              <w:jc w:val="left"/>
              <w:rPr>
                <w:rFonts w:hint="eastAsia" w:ascii="宋体" w:hAnsi="宋体"/>
                <w:sz w:val="24"/>
              </w:rPr>
            </w:pPr>
            <w:r>
              <w:rPr>
                <w:rFonts w:ascii="宋体" w:hAnsi="宋体"/>
                <w:sz w:val="24"/>
              </w:rPr>
              <w:t>□召开，召开时间：*年*月*日至*年*月*日*点*分</w:t>
            </w:r>
          </w:p>
          <w:p w14:paraId="76DBC0E5">
            <w:pPr>
              <w:spacing w:line="360" w:lineRule="auto"/>
              <w:jc w:val="left"/>
              <w:rPr>
                <w:rFonts w:hint="eastAsia" w:ascii="宋体" w:hAnsi="宋体"/>
                <w:sz w:val="24"/>
              </w:rPr>
            </w:pPr>
            <w:r>
              <w:rPr>
                <w:rFonts w:ascii="宋体" w:hAnsi="宋体"/>
                <w:sz w:val="24"/>
              </w:rPr>
              <w:t>召开地点：___________</w:t>
            </w:r>
            <w:r>
              <w:rPr>
                <w:rFonts w:hint="eastAsia" w:ascii="宋体" w:hAnsi="宋体"/>
                <w:sz w:val="24"/>
              </w:rPr>
              <w:t>。</w:t>
            </w:r>
          </w:p>
        </w:tc>
      </w:tr>
      <w:tr w14:paraId="38164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129" w:type="dxa"/>
            <w:vAlign w:val="center"/>
          </w:tcPr>
          <w:p w14:paraId="4D3248C1">
            <w:pPr>
              <w:pStyle w:val="23"/>
              <w:adjustRightInd w:val="0"/>
              <w:snapToGrid w:val="0"/>
              <w:jc w:val="center"/>
              <w:rPr>
                <w:rFonts w:hint="eastAsia" w:hAnsi="宋体"/>
                <w:sz w:val="24"/>
                <w:szCs w:val="24"/>
              </w:rPr>
            </w:pPr>
            <w:r>
              <w:rPr>
                <w:rFonts w:hAnsi="宋体"/>
                <w:sz w:val="24"/>
                <w:szCs w:val="24"/>
              </w:rPr>
              <w:t>4.2.5</w:t>
            </w:r>
          </w:p>
        </w:tc>
        <w:tc>
          <w:tcPr>
            <w:tcW w:w="1560" w:type="dxa"/>
            <w:vAlign w:val="center"/>
          </w:tcPr>
          <w:p w14:paraId="1D1DE749">
            <w:pPr>
              <w:jc w:val="center"/>
              <w:rPr>
                <w:rFonts w:hint="eastAsia" w:ascii="宋体" w:hAnsi="宋体"/>
                <w:sz w:val="24"/>
              </w:rPr>
            </w:pPr>
            <w:r>
              <w:rPr>
                <w:rFonts w:ascii="宋体" w:hAnsi="宋体"/>
                <w:sz w:val="24"/>
              </w:rPr>
              <w:t>标的所属行业</w:t>
            </w:r>
          </w:p>
        </w:tc>
        <w:tc>
          <w:tcPr>
            <w:tcW w:w="7253" w:type="dxa"/>
            <w:vAlign w:val="center"/>
          </w:tcPr>
          <w:p w14:paraId="1F3EA6D3">
            <w:pPr>
              <w:spacing w:line="360" w:lineRule="auto"/>
              <w:jc w:val="left"/>
              <w:rPr>
                <w:rFonts w:hint="eastAsia" w:ascii="宋体" w:hAnsi="宋体"/>
                <w:sz w:val="24"/>
              </w:rPr>
            </w:pPr>
            <w:r>
              <w:rPr>
                <w:rFonts w:ascii="宋体" w:hAnsi="宋体"/>
                <w:sz w:val="24"/>
              </w:rPr>
              <w:t>本项目采购标的对应的中小企业划分标准所属行业：</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3B15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14:paraId="4192B52F">
                  <w:pPr>
                    <w:spacing w:line="360" w:lineRule="auto"/>
                    <w:jc w:val="center"/>
                    <w:rPr>
                      <w:rFonts w:hint="eastAsia" w:ascii="宋体" w:hAnsi="宋体"/>
                      <w:bCs/>
                      <w:sz w:val="24"/>
                    </w:rPr>
                  </w:pPr>
                  <w:r>
                    <w:rPr>
                      <w:rFonts w:ascii="宋体" w:hAnsi="宋体"/>
                      <w:bCs/>
                      <w:sz w:val="24"/>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14:paraId="343D9F52">
                  <w:pPr>
                    <w:spacing w:line="360" w:lineRule="auto"/>
                    <w:jc w:val="center"/>
                    <w:rPr>
                      <w:rFonts w:hint="eastAsia" w:ascii="宋体" w:hAnsi="宋体"/>
                      <w:sz w:val="24"/>
                    </w:rPr>
                  </w:pPr>
                  <w:r>
                    <w:rPr>
                      <w:rFonts w:ascii="宋体" w:hAnsi="宋体"/>
                      <w:sz w:val="24"/>
                    </w:rPr>
                    <w:t>中小企业划分标准所属行业</w:t>
                  </w:r>
                </w:p>
              </w:tc>
            </w:tr>
            <w:tr w14:paraId="6F5FE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14:paraId="511B2D39">
                  <w:pPr>
                    <w:spacing w:line="360" w:lineRule="auto"/>
                    <w:jc w:val="center"/>
                    <w:rPr>
                      <w:rFonts w:hint="eastAsia" w:ascii="宋体" w:hAnsi="宋体" w:eastAsia="宋体"/>
                      <w:bCs/>
                      <w:sz w:val="24"/>
                      <w:lang w:eastAsia="zh-CN"/>
                    </w:rPr>
                  </w:pPr>
                  <w:r>
                    <w:rPr>
                      <w:rFonts w:hint="eastAsia" w:ascii="宋体" w:hAnsi="宋体"/>
                      <w:sz w:val="24"/>
                      <w:lang w:eastAsia="zh-CN"/>
                    </w:rPr>
                    <w:t>采石北路提升改造项目采购项目-永定路街道采石北路提升改造项目</w:t>
                  </w:r>
                </w:p>
              </w:tc>
              <w:tc>
                <w:tcPr>
                  <w:tcW w:w="2505" w:type="pct"/>
                  <w:tcBorders>
                    <w:top w:val="single" w:color="auto" w:sz="4" w:space="0"/>
                    <w:left w:val="single" w:color="auto" w:sz="4" w:space="0"/>
                    <w:bottom w:val="single" w:color="auto" w:sz="4" w:space="0"/>
                    <w:right w:val="single" w:color="auto" w:sz="4" w:space="0"/>
                  </w:tcBorders>
                  <w:vAlign w:val="center"/>
                </w:tcPr>
                <w:p w14:paraId="1AA2B754">
                  <w:pPr>
                    <w:spacing w:line="360" w:lineRule="auto"/>
                    <w:jc w:val="center"/>
                    <w:rPr>
                      <w:rFonts w:hint="eastAsia" w:ascii="宋体" w:hAnsi="宋体"/>
                      <w:kern w:val="0"/>
                      <w:sz w:val="24"/>
                    </w:rPr>
                  </w:pPr>
                  <w:r>
                    <w:rPr>
                      <w:rFonts w:hint="eastAsia" w:ascii="宋体" w:hAnsi="宋体"/>
                      <w:kern w:val="0"/>
                      <w:sz w:val="24"/>
                    </w:rPr>
                    <w:t>建筑业</w:t>
                  </w:r>
                </w:p>
              </w:tc>
            </w:tr>
          </w:tbl>
          <w:p w14:paraId="4C2B66DF">
            <w:pPr>
              <w:spacing w:line="360" w:lineRule="auto"/>
              <w:jc w:val="left"/>
              <w:rPr>
                <w:rFonts w:hint="eastAsia" w:ascii="宋体" w:hAnsi="宋体"/>
                <w:sz w:val="24"/>
              </w:rPr>
            </w:pPr>
          </w:p>
        </w:tc>
      </w:tr>
      <w:tr w14:paraId="200A3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129" w:type="dxa"/>
            <w:vAlign w:val="center"/>
          </w:tcPr>
          <w:p w14:paraId="4AD44E1C">
            <w:pPr>
              <w:pStyle w:val="23"/>
              <w:adjustRightInd w:val="0"/>
              <w:snapToGrid w:val="0"/>
              <w:jc w:val="center"/>
              <w:rPr>
                <w:rFonts w:hint="eastAsia" w:hAnsi="宋体"/>
                <w:sz w:val="24"/>
                <w:szCs w:val="24"/>
              </w:rPr>
            </w:pPr>
            <w:r>
              <w:rPr>
                <w:rFonts w:hAnsi="宋体"/>
                <w:sz w:val="24"/>
                <w:szCs w:val="24"/>
              </w:rPr>
              <w:t>10.2</w:t>
            </w:r>
          </w:p>
        </w:tc>
        <w:tc>
          <w:tcPr>
            <w:tcW w:w="1560" w:type="dxa"/>
            <w:vAlign w:val="center"/>
          </w:tcPr>
          <w:p w14:paraId="4DC56229">
            <w:pPr>
              <w:jc w:val="center"/>
              <w:rPr>
                <w:rFonts w:hint="eastAsia" w:ascii="宋体" w:hAnsi="宋体"/>
                <w:sz w:val="24"/>
              </w:rPr>
            </w:pPr>
            <w:r>
              <w:rPr>
                <w:rFonts w:ascii="宋体" w:hAnsi="宋体"/>
                <w:sz w:val="24"/>
              </w:rPr>
              <w:t>报价</w:t>
            </w:r>
          </w:p>
        </w:tc>
        <w:tc>
          <w:tcPr>
            <w:tcW w:w="7253" w:type="dxa"/>
            <w:vAlign w:val="center"/>
          </w:tcPr>
          <w:p w14:paraId="28539E81">
            <w:pPr>
              <w:spacing w:line="360" w:lineRule="auto"/>
              <w:jc w:val="left"/>
              <w:rPr>
                <w:rFonts w:hint="eastAsia" w:ascii="宋体" w:hAnsi="宋体"/>
                <w:sz w:val="24"/>
              </w:rPr>
            </w:pPr>
            <w:r>
              <w:rPr>
                <w:rFonts w:ascii="宋体" w:hAnsi="宋体"/>
                <w:sz w:val="24"/>
              </w:rPr>
              <w:t>报价的特殊规定：</w:t>
            </w:r>
          </w:p>
          <w:p w14:paraId="2AF48C03">
            <w:pPr>
              <w:spacing w:line="360" w:lineRule="auto"/>
              <w:jc w:val="left"/>
              <w:rPr>
                <w:rFonts w:hint="eastAsia" w:ascii="宋体" w:hAnsi="宋体"/>
                <w:sz w:val="24"/>
              </w:rPr>
            </w:pPr>
            <w:r>
              <w:rPr>
                <w:rFonts w:ascii="宋体" w:hAnsi="宋体"/>
                <w:b/>
                <w:sz w:val="24"/>
              </w:rPr>
              <w:t>■</w:t>
            </w:r>
            <w:r>
              <w:rPr>
                <w:rFonts w:ascii="宋体" w:hAnsi="宋体"/>
                <w:sz w:val="24"/>
              </w:rPr>
              <w:t>无</w:t>
            </w:r>
          </w:p>
          <w:p w14:paraId="02AC1E11">
            <w:pPr>
              <w:spacing w:line="360" w:lineRule="auto"/>
              <w:jc w:val="left"/>
              <w:rPr>
                <w:rFonts w:hint="eastAsia" w:ascii="宋体" w:hAnsi="宋体"/>
                <w:sz w:val="24"/>
              </w:rPr>
            </w:pPr>
            <w:r>
              <w:rPr>
                <w:rFonts w:ascii="宋体" w:hAnsi="宋体"/>
                <w:sz w:val="24"/>
              </w:rPr>
              <w:t>□有，具体情形：</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tc>
      </w:tr>
      <w:tr w14:paraId="7BAD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2E86B99">
            <w:pPr>
              <w:pStyle w:val="23"/>
              <w:adjustRightInd w:val="0"/>
              <w:snapToGrid w:val="0"/>
              <w:jc w:val="center"/>
              <w:rPr>
                <w:rFonts w:hint="eastAsia" w:hAnsi="宋体"/>
                <w:sz w:val="24"/>
                <w:szCs w:val="24"/>
              </w:rPr>
            </w:pPr>
            <w:r>
              <w:rPr>
                <w:rFonts w:hAnsi="宋体"/>
                <w:sz w:val="24"/>
                <w:szCs w:val="24"/>
              </w:rPr>
              <w:t>11.1</w:t>
            </w:r>
          </w:p>
        </w:tc>
        <w:tc>
          <w:tcPr>
            <w:tcW w:w="1560" w:type="dxa"/>
            <w:vMerge w:val="restart"/>
            <w:vAlign w:val="center"/>
          </w:tcPr>
          <w:p w14:paraId="6974A1D9">
            <w:pPr>
              <w:jc w:val="center"/>
              <w:rPr>
                <w:rFonts w:hint="eastAsia" w:ascii="宋体" w:hAnsi="宋体"/>
                <w:sz w:val="24"/>
              </w:rPr>
            </w:pPr>
            <w:r>
              <w:rPr>
                <w:rFonts w:ascii="宋体" w:hAnsi="宋体"/>
                <w:sz w:val="24"/>
              </w:rPr>
              <w:t>磋商保证金</w:t>
            </w:r>
          </w:p>
        </w:tc>
        <w:tc>
          <w:tcPr>
            <w:tcW w:w="7253" w:type="dxa"/>
            <w:vAlign w:val="center"/>
          </w:tcPr>
          <w:p w14:paraId="3A71F6CC">
            <w:pPr>
              <w:pStyle w:val="23"/>
              <w:adjustRightInd w:val="0"/>
              <w:snapToGrid w:val="0"/>
              <w:spacing w:line="360" w:lineRule="auto"/>
              <w:rPr>
                <w:rFonts w:hint="eastAsia" w:hAnsi="宋体"/>
                <w:sz w:val="24"/>
                <w:szCs w:val="24"/>
              </w:rPr>
            </w:pPr>
            <w:r>
              <w:rPr>
                <w:rFonts w:hAnsi="宋体"/>
                <w:sz w:val="24"/>
                <w:szCs w:val="24"/>
              </w:rPr>
              <w:t>磋商保证金金额：</w:t>
            </w:r>
            <w:r>
              <w:rPr>
                <w:rFonts w:hint="eastAsia" w:hAnsi="宋体"/>
                <w:sz w:val="24"/>
                <w:szCs w:val="24"/>
              </w:rPr>
              <w:t>0</w:t>
            </w:r>
            <w:r>
              <w:rPr>
                <w:rFonts w:hAnsi="宋体"/>
                <w:sz w:val="24"/>
                <w:szCs w:val="24"/>
              </w:rPr>
              <w:t>元</w:t>
            </w:r>
            <w:r>
              <w:rPr>
                <w:rFonts w:hint="eastAsia" w:hAnsi="宋体"/>
                <w:sz w:val="24"/>
                <w:szCs w:val="24"/>
              </w:rPr>
              <w:t>。</w:t>
            </w:r>
          </w:p>
          <w:p w14:paraId="4115B857">
            <w:pPr>
              <w:pStyle w:val="23"/>
              <w:adjustRightInd w:val="0"/>
              <w:snapToGrid w:val="0"/>
              <w:spacing w:line="360" w:lineRule="auto"/>
              <w:rPr>
                <w:rFonts w:hint="eastAsia" w:hAnsi="宋体"/>
                <w:sz w:val="24"/>
                <w:szCs w:val="24"/>
              </w:rPr>
            </w:pPr>
            <w:r>
              <w:rPr>
                <w:rFonts w:hint="eastAsia" w:hAnsi="宋体"/>
                <w:sz w:val="24"/>
                <w:szCs w:val="24"/>
              </w:rPr>
              <w:t xml:space="preserve">保证金缴纳形式： □支票  □汇票  □本票   </w:t>
            </w:r>
            <w:r>
              <w:rPr>
                <w:rFonts w:hAnsi="宋体"/>
                <w:b/>
                <w:sz w:val="24"/>
              </w:rPr>
              <w:t>■</w:t>
            </w:r>
            <w:r>
              <w:rPr>
                <w:rFonts w:hint="eastAsia" w:hAnsi="宋体"/>
                <w:sz w:val="24"/>
                <w:szCs w:val="24"/>
              </w:rPr>
              <w:t xml:space="preserve">电汇   </w:t>
            </w:r>
            <w:r>
              <w:rPr>
                <w:rFonts w:hAnsi="宋体"/>
                <w:b/>
                <w:sz w:val="24"/>
              </w:rPr>
              <w:t>■</w:t>
            </w:r>
            <w:r>
              <w:rPr>
                <w:rFonts w:hint="eastAsia" w:hAnsi="宋体"/>
                <w:sz w:val="24"/>
                <w:szCs w:val="24"/>
              </w:rPr>
              <w:t>金融机构、担保机构出具的保函（含电子保函）</w:t>
            </w:r>
          </w:p>
          <w:p w14:paraId="794DBF56">
            <w:pPr>
              <w:spacing w:line="360" w:lineRule="auto"/>
              <w:jc w:val="left"/>
              <w:rPr>
                <w:rFonts w:hint="eastAsia" w:ascii="宋体" w:hAnsi="宋体"/>
                <w:sz w:val="24"/>
              </w:rPr>
            </w:pPr>
            <w:r>
              <w:rPr>
                <w:rFonts w:ascii="宋体" w:hAnsi="宋体"/>
                <w:sz w:val="24"/>
              </w:rPr>
              <w:t>磋商保证金收受人信息：</w:t>
            </w:r>
          </w:p>
          <w:p w14:paraId="36B24F5D">
            <w:pPr>
              <w:spacing w:line="360" w:lineRule="auto"/>
              <w:jc w:val="left"/>
              <w:rPr>
                <w:rFonts w:hint="eastAsia" w:ascii="宋体" w:hAnsi="宋体"/>
                <w:sz w:val="24"/>
              </w:rPr>
            </w:pPr>
            <w:r>
              <w:rPr>
                <w:rFonts w:hint="eastAsia" w:ascii="宋体" w:hAnsi="宋体"/>
                <w:sz w:val="24"/>
              </w:rPr>
              <w:t>户    名：北京中域正信工程咨询有限公司</w:t>
            </w:r>
          </w:p>
          <w:p w14:paraId="719B65D8">
            <w:pPr>
              <w:spacing w:line="360" w:lineRule="auto"/>
              <w:jc w:val="left"/>
              <w:rPr>
                <w:rFonts w:hint="eastAsia" w:ascii="宋体" w:hAnsi="宋体" w:eastAsia="宋体"/>
                <w:sz w:val="24"/>
                <w:lang w:eastAsia="zh-CN"/>
              </w:rPr>
            </w:pPr>
            <w:r>
              <w:rPr>
                <w:rFonts w:hint="eastAsia" w:ascii="宋体" w:hAnsi="宋体"/>
                <w:sz w:val="24"/>
              </w:rPr>
              <w:t>开户银行：</w:t>
            </w:r>
            <w:r>
              <w:rPr>
                <w:rFonts w:hint="eastAsia" w:ascii="宋体" w:hAnsi="宋体"/>
                <w:sz w:val="24"/>
                <w:lang w:eastAsia="zh-CN"/>
              </w:rPr>
              <w:t>中国工商银行股份有限公司北京沙河支行</w:t>
            </w:r>
          </w:p>
          <w:p w14:paraId="719EFF1C">
            <w:pPr>
              <w:spacing w:line="360" w:lineRule="auto"/>
              <w:jc w:val="left"/>
              <w:rPr>
                <w:rFonts w:hint="eastAsia" w:ascii="宋体" w:hAnsi="宋体" w:eastAsia="宋体"/>
                <w:sz w:val="24"/>
                <w:lang w:eastAsia="zh-CN"/>
              </w:rPr>
            </w:pPr>
            <w:r>
              <w:rPr>
                <w:rFonts w:hint="eastAsia" w:ascii="宋体" w:hAnsi="宋体"/>
                <w:sz w:val="24"/>
              </w:rPr>
              <w:t>帐    号：</w:t>
            </w:r>
            <w:r>
              <w:rPr>
                <w:rFonts w:hint="eastAsia" w:ascii="宋体" w:hAnsi="宋体"/>
                <w:sz w:val="24"/>
                <w:lang w:eastAsia="zh-CN"/>
              </w:rPr>
              <w:t>0200011719200311623</w:t>
            </w:r>
          </w:p>
        </w:tc>
      </w:tr>
      <w:tr w14:paraId="1C7AD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54DA2CE6">
            <w:pPr>
              <w:pStyle w:val="23"/>
              <w:adjustRightInd w:val="0"/>
              <w:snapToGrid w:val="0"/>
              <w:jc w:val="center"/>
              <w:rPr>
                <w:rFonts w:hint="eastAsia" w:hAnsi="宋体"/>
                <w:sz w:val="24"/>
                <w:szCs w:val="24"/>
              </w:rPr>
            </w:pPr>
            <w:r>
              <w:rPr>
                <w:rFonts w:hAnsi="宋体"/>
                <w:sz w:val="24"/>
                <w:szCs w:val="24"/>
              </w:rPr>
              <w:t>11.</w:t>
            </w:r>
            <w:r>
              <w:rPr>
                <w:rFonts w:hint="eastAsia" w:hAnsi="宋体"/>
                <w:sz w:val="24"/>
                <w:szCs w:val="24"/>
              </w:rPr>
              <w:t>8.</w:t>
            </w:r>
            <w:r>
              <w:rPr>
                <w:rFonts w:hAnsi="宋体"/>
                <w:sz w:val="24"/>
                <w:szCs w:val="24"/>
              </w:rPr>
              <w:t>5</w:t>
            </w:r>
          </w:p>
        </w:tc>
        <w:tc>
          <w:tcPr>
            <w:tcW w:w="1560" w:type="dxa"/>
            <w:vMerge w:val="continue"/>
            <w:vAlign w:val="center"/>
          </w:tcPr>
          <w:p w14:paraId="50F960E0">
            <w:pPr>
              <w:jc w:val="center"/>
              <w:rPr>
                <w:rFonts w:hint="eastAsia" w:ascii="宋体" w:hAnsi="宋体"/>
                <w:sz w:val="24"/>
              </w:rPr>
            </w:pPr>
          </w:p>
        </w:tc>
        <w:tc>
          <w:tcPr>
            <w:tcW w:w="7253" w:type="dxa"/>
            <w:vAlign w:val="center"/>
          </w:tcPr>
          <w:p w14:paraId="0A064BBE">
            <w:pPr>
              <w:spacing w:line="360" w:lineRule="auto"/>
              <w:jc w:val="left"/>
              <w:rPr>
                <w:rFonts w:hint="eastAsia" w:ascii="宋体" w:hAnsi="宋体"/>
                <w:sz w:val="24"/>
              </w:rPr>
            </w:pPr>
            <w:r>
              <w:rPr>
                <w:rFonts w:ascii="宋体" w:hAnsi="宋体"/>
                <w:sz w:val="24"/>
              </w:rPr>
              <w:t>磋商保证金不予退还的其他情形：</w:t>
            </w:r>
          </w:p>
          <w:p w14:paraId="2E946DC0">
            <w:pPr>
              <w:spacing w:line="360" w:lineRule="auto"/>
              <w:jc w:val="left"/>
              <w:rPr>
                <w:rFonts w:hint="eastAsia" w:ascii="宋体" w:hAnsi="宋体"/>
                <w:sz w:val="24"/>
              </w:rPr>
            </w:pPr>
            <w:r>
              <w:rPr>
                <w:rFonts w:ascii="宋体" w:hAnsi="宋体"/>
                <w:b/>
                <w:sz w:val="24"/>
              </w:rPr>
              <w:t>■</w:t>
            </w:r>
            <w:r>
              <w:rPr>
                <w:rFonts w:ascii="宋体" w:hAnsi="宋体"/>
                <w:sz w:val="24"/>
              </w:rPr>
              <w:t>无</w:t>
            </w:r>
          </w:p>
          <w:p w14:paraId="0F431B4C">
            <w:pPr>
              <w:pStyle w:val="23"/>
              <w:adjustRightInd w:val="0"/>
              <w:snapToGrid w:val="0"/>
              <w:spacing w:line="360" w:lineRule="auto"/>
              <w:rPr>
                <w:rFonts w:hint="eastAsia" w:hAnsi="宋体"/>
                <w:sz w:val="24"/>
                <w:szCs w:val="24"/>
              </w:rPr>
            </w:pPr>
            <w:r>
              <w:rPr>
                <w:rFonts w:hAnsi="宋体"/>
                <w:sz w:val="24"/>
                <w:szCs w:val="24"/>
              </w:rPr>
              <w:t>□有，具体情形：___________。</w:t>
            </w:r>
          </w:p>
        </w:tc>
      </w:tr>
      <w:tr w14:paraId="15980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080BB2F">
            <w:pPr>
              <w:pStyle w:val="23"/>
              <w:adjustRightInd w:val="0"/>
              <w:snapToGrid w:val="0"/>
              <w:jc w:val="center"/>
              <w:rPr>
                <w:rFonts w:hint="eastAsia" w:hAnsi="宋体"/>
                <w:sz w:val="24"/>
                <w:szCs w:val="24"/>
              </w:rPr>
            </w:pPr>
            <w:r>
              <w:rPr>
                <w:rFonts w:hAnsi="宋体"/>
                <w:sz w:val="24"/>
                <w:szCs w:val="24"/>
              </w:rPr>
              <w:t>12.1</w:t>
            </w:r>
          </w:p>
        </w:tc>
        <w:tc>
          <w:tcPr>
            <w:tcW w:w="1560" w:type="dxa"/>
            <w:vAlign w:val="center"/>
          </w:tcPr>
          <w:p w14:paraId="5599CF44">
            <w:pPr>
              <w:jc w:val="center"/>
              <w:rPr>
                <w:rFonts w:hint="eastAsia" w:ascii="宋体" w:hAnsi="宋体"/>
                <w:sz w:val="24"/>
              </w:rPr>
            </w:pPr>
            <w:r>
              <w:rPr>
                <w:rFonts w:ascii="宋体" w:hAnsi="宋体"/>
                <w:sz w:val="24"/>
              </w:rPr>
              <w:t>响应有效期</w:t>
            </w:r>
          </w:p>
        </w:tc>
        <w:tc>
          <w:tcPr>
            <w:tcW w:w="7253" w:type="dxa"/>
            <w:vAlign w:val="center"/>
          </w:tcPr>
          <w:p w14:paraId="08B151B4">
            <w:pPr>
              <w:spacing w:line="360" w:lineRule="auto"/>
              <w:jc w:val="left"/>
              <w:rPr>
                <w:rFonts w:hint="eastAsia" w:ascii="宋体" w:hAnsi="宋体"/>
                <w:sz w:val="24"/>
              </w:rPr>
            </w:pPr>
            <w:r>
              <w:rPr>
                <w:rFonts w:ascii="宋体" w:hAnsi="宋体"/>
                <w:sz w:val="24"/>
              </w:rPr>
              <w:t>自提交响应文件的截止之日起算</w:t>
            </w:r>
            <w:r>
              <w:rPr>
                <w:rFonts w:ascii="宋体" w:hAnsi="宋体"/>
                <w:sz w:val="24"/>
                <w:u w:val="single"/>
              </w:rPr>
              <w:t>90</w:t>
            </w:r>
            <w:r>
              <w:rPr>
                <w:rFonts w:ascii="宋体" w:hAnsi="宋体"/>
                <w:sz w:val="24"/>
              </w:rPr>
              <w:t>日历天。</w:t>
            </w:r>
          </w:p>
        </w:tc>
      </w:tr>
      <w:tr w14:paraId="4592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051FC29A">
            <w:pPr>
              <w:pStyle w:val="23"/>
              <w:adjustRightInd w:val="0"/>
              <w:snapToGrid w:val="0"/>
              <w:jc w:val="center"/>
              <w:rPr>
                <w:rFonts w:hint="eastAsia" w:hAnsi="宋体"/>
                <w:sz w:val="24"/>
                <w:szCs w:val="24"/>
              </w:rPr>
            </w:pPr>
            <w:r>
              <w:rPr>
                <w:rFonts w:hint="eastAsia" w:hAnsi="宋体"/>
                <w:sz w:val="24"/>
                <w:szCs w:val="24"/>
              </w:rPr>
              <w:t>17.2</w:t>
            </w:r>
          </w:p>
        </w:tc>
        <w:tc>
          <w:tcPr>
            <w:tcW w:w="1560" w:type="dxa"/>
            <w:vAlign w:val="center"/>
          </w:tcPr>
          <w:p w14:paraId="2E794DDC">
            <w:pPr>
              <w:jc w:val="center"/>
              <w:rPr>
                <w:rFonts w:hint="eastAsia" w:ascii="宋体" w:hAnsi="宋体"/>
                <w:sz w:val="24"/>
              </w:rPr>
            </w:pPr>
            <w:r>
              <w:rPr>
                <w:rFonts w:hint="eastAsia" w:ascii="宋体" w:hAnsi="宋体"/>
                <w:sz w:val="24"/>
              </w:rPr>
              <w:t>解密时间</w:t>
            </w:r>
          </w:p>
        </w:tc>
        <w:tc>
          <w:tcPr>
            <w:tcW w:w="7253" w:type="dxa"/>
            <w:vAlign w:val="center"/>
          </w:tcPr>
          <w:p w14:paraId="7EACC86F">
            <w:pPr>
              <w:spacing w:line="360" w:lineRule="auto"/>
              <w:jc w:val="left"/>
              <w:rPr>
                <w:rFonts w:hint="eastAsia" w:ascii="宋体" w:hAnsi="宋体"/>
                <w:sz w:val="24"/>
              </w:rPr>
            </w:pPr>
            <w:r>
              <w:rPr>
                <w:rFonts w:hint="eastAsia" w:ascii="宋体" w:hAnsi="宋体"/>
                <w:sz w:val="24"/>
              </w:rPr>
              <w:t>解密时间：10分钟</w:t>
            </w:r>
          </w:p>
        </w:tc>
      </w:tr>
      <w:tr w14:paraId="066AB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927E472">
            <w:pPr>
              <w:pStyle w:val="23"/>
              <w:adjustRightInd w:val="0"/>
              <w:snapToGrid w:val="0"/>
              <w:jc w:val="center"/>
              <w:rPr>
                <w:rFonts w:hint="eastAsia" w:hAnsi="宋体"/>
                <w:sz w:val="24"/>
                <w:szCs w:val="24"/>
              </w:rPr>
            </w:pPr>
            <w:r>
              <w:rPr>
                <w:rFonts w:hAnsi="宋体"/>
                <w:sz w:val="24"/>
                <w:szCs w:val="24"/>
              </w:rPr>
              <w:t>20.1</w:t>
            </w:r>
          </w:p>
        </w:tc>
        <w:tc>
          <w:tcPr>
            <w:tcW w:w="1560" w:type="dxa"/>
            <w:vAlign w:val="center"/>
          </w:tcPr>
          <w:p w14:paraId="2A73B2FF">
            <w:pPr>
              <w:jc w:val="center"/>
              <w:rPr>
                <w:rFonts w:hint="eastAsia" w:ascii="宋体" w:hAnsi="宋体"/>
                <w:sz w:val="24"/>
              </w:rPr>
            </w:pPr>
            <w:r>
              <w:rPr>
                <w:rFonts w:ascii="宋体" w:hAnsi="宋体"/>
                <w:sz w:val="24"/>
              </w:rPr>
              <w:t>成交供应商的确认</w:t>
            </w:r>
          </w:p>
        </w:tc>
        <w:tc>
          <w:tcPr>
            <w:tcW w:w="7253" w:type="dxa"/>
            <w:vAlign w:val="center"/>
          </w:tcPr>
          <w:p w14:paraId="33A6A25A">
            <w:pPr>
              <w:pStyle w:val="23"/>
              <w:adjustRightInd w:val="0"/>
              <w:snapToGrid w:val="0"/>
              <w:spacing w:line="360" w:lineRule="auto"/>
              <w:rPr>
                <w:rFonts w:hint="eastAsia" w:hAnsi="宋体"/>
                <w:sz w:val="24"/>
                <w:szCs w:val="24"/>
              </w:rPr>
            </w:pPr>
            <w:r>
              <w:rPr>
                <w:rFonts w:hAnsi="宋体"/>
                <w:sz w:val="24"/>
                <w:szCs w:val="24"/>
              </w:rPr>
              <w:t>采购人是否授权磋商小组直接确定成交供应商：</w:t>
            </w:r>
          </w:p>
          <w:p w14:paraId="1AAF15A3">
            <w:pPr>
              <w:pStyle w:val="23"/>
              <w:adjustRightInd w:val="0"/>
              <w:snapToGrid w:val="0"/>
              <w:spacing w:line="360" w:lineRule="auto"/>
              <w:rPr>
                <w:rFonts w:hint="eastAsia" w:hAnsi="宋体"/>
                <w:sz w:val="24"/>
                <w:szCs w:val="24"/>
              </w:rPr>
            </w:pPr>
            <w:r>
              <w:rPr>
                <w:rFonts w:hAnsi="宋体"/>
                <w:b/>
                <w:sz w:val="24"/>
                <w:szCs w:val="24"/>
              </w:rPr>
              <w:t>■</w:t>
            </w:r>
            <w:r>
              <w:rPr>
                <w:rFonts w:hAnsi="宋体"/>
                <w:sz w:val="24"/>
                <w:szCs w:val="24"/>
              </w:rPr>
              <w:t>否</w:t>
            </w:r>
          </w:p>
          <w:p w14:paraId="49DDD7DE">
            <w:pPr>
              <w:spacing w:line="360" w:lineRule="auto"/>
              <w:jc w:val="left"/>
              <w:rPr>
                <w:rFonts w:hint="eastAsia" w:ascii="宋体" w:hAnsi="宋体"/>
                <w:sz w:val="24"/>
              </w:rPr>
            </w:pPr>
            <w:r>
              <w:rPr>
                <w:rFonts w:ascii="宋体" w:hAnsi="宋体"/>
                <w:sz w:val="24"/>
              </w:rPr>
              <w:t>□是</w:t>
            </w:r>
          </w:p>
          <w:p w14:paraId="5EAF4EB1">
            <w:pPr>
              <w:spacing w:line="360" w:lineRule="auto"/>
              <w:jc w:val="left"/>
              <w:rPr>
                <w:rFonts w:hint="eastAsia" w:ascii="宋体" w:hAnsi="宋体"/>
                <w:sz w:val="24"/>
                <w:u w:val="single"/>
              </w:rPr>
            </w:pPr>
            <w:r>
              <w:rPr>
                <w:rFonts w:ascii="宋体" w:hAnsi="宋体"/>
                <w:sz w:val="24"/>
              </w:rPr>
              <w:t>成交候选人并列的，按照以下方式确定成交供应商：</w:t>
            </w:r>
            <w:r>
              <w:rPr>
                <w:rFonts w:hint="eastAsia" w:ascii="宋体" w:hAnsi="宋体"/>
                <w:sz w:val="24"/>
                <w:u w:val="single"/>
              </w:rPr>
              <w:t>评审得分相同的，按照最后报价由低到高的顺序推荐。</w:t>
            </w:r>
          </w:p>
        </w:tc>
      </w:tr>
      <w:tr w14:paraId="69DB7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7F40813">
            <w:pPr>
              <w:pStyle w:val="23"/>
              <w:adjustRightInd w:val="0"/>
              <w:snapToGrid w:val="0"/>
              <w:jc w:val="center"/>
              <w:rPr>
                <w:rFonts w:hint="eastAsia" w:hAnsi="宋体"/>
                <w:sz w:val="24"/>
                <w:szCs w:val="24"/>
              </w:rPr>
            </w:pPr>
            <w:r>
              <w:rPr>
                <w:rFonts w:hAnsi="宋体"/>
                <w:sz w:val="24"/>
                <w:szCs w:val="24"/>
              </w:rPr>
              <w:t>23.5</w:t>
            </w:r>
          </w:p>
        </w:tc>
        <w:tc>
          <w:tcPr>
            <w:tcW w:w="1560" w:type="dxa"/>
            <w:vAlign w:val="center"/>
          </w:tcPr>
          <w:p w14:paraId="77E6AC6C">
            <w:pPr>
              <w:jc w:val="center"/>
              <w:rPr>
                <w:rFonts w:hint="eastAsia" w:ascii="宋体" w:hAnsi="宋体"/>
                <w:sz w:val="24"/>
              </w:rPr>
            </w:pPr>
            <w:r>
              <w:rPr>
                <w:rFonts w:ascii="宋体" w:hAnsi="宋体"/>
                <w:sz w:val="24"/>
              </w:rPr>
              <w:t>分包</w:t>
            </w:r>
          </w:p>
        </w:tc>
        <w:tc>
          <w:tcPr>
            <w:tcW w:w="7253" w:type="dxa"/>
            <w:vAlign w:val="center"/>
          </w:tcPr>
          <w:p w14:paraId="67719E2C">
            <w:pPr>
              <w:spacing w:line="360" w:lineRule="auto"/>
              <w:jc w:val="left"/>
              <w:rPr>
                <w:rFonts w:hint="eastAsia" w:ascii="宋体" w:hAnsi="宋体"/>
                <w:sz w:val="24"/>
              </w:rPr>
            </w:pPr>
            <w:r>
              <w:rPr>
                <w:rFonts w:ascii="宋体" w:hAnsi="宋体"/>
                <w:sz w:val="24"/>
              </w:rPr>
              <w:t xml:space="preserve">本项目是否允许分包： </w:t>
            </w:r>
          </w:p>
          <w:p w14:paraId="0CCDF067">
            <w:pPr>
              <w:spacing w:line="360" w:lineRule="auto"/>
              <w:jc w:val="left"/>
              <w:rPr>
                <w:rFonts w:hint="eastAsia" w:ascii="宋体" w:hAnsi="宋体"/>
                <w:sz w:val="24"/>
              </w:rPr>
            </w:pPr>
            <w:r>
              <w:rPr>
                <w:rFonts w:ascii="宋体" w:hAnsi="宋体"/>
                <w:b/>
                <w:sz w:val="24"/>
              </w:rPr>
              <w:t>■</w:t>
            </w:r>
            <w:r>
              <w:rPr>
                <w:rFonts w:ascii="宋体" w:hAnsi="宋体"/>
                <w:sz w:val="24"/>
              </w:rPr>
              <w:t>不允许</w:t>
            </w:r>
          </w:p>
          <w:p w14:paraId="538C60E8">
            <w:pPr>
              <w:spacing w:line="360" w:lineRule="auto"/>
              <w:jc w:val="left"/>
              <w:rPr>
                <w:rFonts w:hint="eastAsia" w:ascii="宋体" w:hAnsi="宋体"/>
                <w:sz w:val="24"/>
              </w:rPr>
            </w:pPr>
            <w:r>
              <w:rPr>
                <w:rFonts w:ascii="宋体" w:hAnsi="宋体"/>
                <w:sz w:val="24"/>
              </w:rPr>
              <w:t>□允许，具体要求：_______。</w:t>
            </w:r>
          </w:p>
          <w:p w14:paraId="4B6E74AE">
            <w:pPr>
              <w:spacing w:line="360" w:lineRule="auto"/>
              <w:jc w:val="left"/>
              <w:rPr>
                <w:rFonts w:hint="eastAsia" w:ascii="宋体" w:hAnsi="宋体"/>
                <w:sz w:val="24"/>
              </w:rPr>
            </w:pPr>
            <w:r>
              <w:rPr>
                <w:rFonts w:ascii="宋体" w:hAnsi="宋体"/>
                <w:sz w:val="24"/>
              </w:rPr>
              <w:t>（1）可以分包履行的具体内容：_______；</w:t>
            </w:r>
          </w:p>
          <w:p w14:paraId="677F0D3A">
            <w:pPr>
              <w:spacing w:line="360" w:lineRule="auto"/>
              <w:jc w:val="left"/>
              <w:rPr>
                <w:rFonts w:hint="eastAsia" w:ascii="宋体" w:hAnsi="宋体"/>
                <w:sz w:val="24"/>
              </w:rPr>
            </w:pPr>
            <w:r>
              <w:rPr>
                <w:rFonts w:ascii="宋体" w:hAnsi="宋体"/>
                <w:sz w:val="24"/>
              </w:rPr>
              <w:t>（2）允许分包的金额或者比例：_______；</w:t>
            </w:r>
          </w:p>
          <w:p w14:paraId="102B57FE">
            <w:pPr>
              <w:spacing w:line="360" w:lineRule="auto"/>
              <w:jc w:val="left"/>
              <w:rPr>
                <w:rFonts w:hint="eastAsia" w:ascii="宋体" w:hAnsi="宋体"/>
                <w:sz w:val="24"/>
                <w:u w:val="single"/>
              </w:rPr>
            </w:pPr>
            <w:r>
              <w:rPr>
                <w:rFonts w:ascii="宋体" w:hAnsi="宋体"/>
                <w:sz w:val="24"/>
              </w:rPr>
              <w:t>（3）其他要求：_______。</w:t>
            </w:r>
          </w:p>
        </w:tc>
      </w:tr>
      <w:tr w14:paraId="6160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227DBE84">
            <w:pPr>
              <w:pStyle w:val="23"/>
              <w:adjustRightInd w:val="0"/>
              <w:snapToGrid w:val="0"/>
              <w:jc w:val="center"/>
              <w:rPr>
                <w:rFonts w:hint="eastAsia" w:hAnsi="宋体"/>
                <w:sz w:val="24"/>
                <w:szCs w:val="24"/>
              </w:rPr>
            </w:pPr>
            <w:r>
              <w:rPr>
                <w:rFonts w:hint="eastAsia" w:hAnsi="宋体"/>
                <w:sz w:val="24"/>
                <w:szCs w:val="24"/>
              </w:rPr>
              <w:t>23.6</w:t>
            </w:r>
          </w:p>
        </w:tc>
        <w:tc>
          <w:tcPr>
            <w:tcW w:w="1560" w:type="dxa"/>
            <w:vAlign w:val="center"/>
          </w:tcPr>
          <w:p w14:paraId="4D028D7E">
            <w:pPr>
              <w:jc w:val="center"/>
              <w:rPr>
                <w:rFonts w:hint="eastAsia" w:ascii="宋体" w:hAnsi="宋体"/>
                <w:sz w:val="24"/>
              </w:rPr>
            </w:pPr>
            <w:r>
              <w:rPr>
                <w:rFonts w:hint="eastAsia" w:ascii="宋体" w:hAnsi="宋体"/>
                <w:sz w:val="24"/>
              </w:rPr>
              <w:t>政采贷</w:t>
            </w:r>
          </w:p>
        </w:tc>
        <w:tc>
          <w:tcPr>
            <w:tcW w:w="7253" w:type="dxa"/>
            <w:vAlign w:val="center"/>
          </w:tcPr>
          <w:p w14:paraId="75FAF5CF">
            <w:pPr>
              <w:spacing w:line="360" w:lineRule="auto"/>
              <w:jc w:val="left"/>
              <w:rPr>
                <w:rFonts w:hint="eastAsia" w:ascii="宋体" w:hAnsi="宋体"/>
                <w:sz w:val="24"/>
              </w:rPr>
            </w:pPr>
            <w:r>
              <w:rPr>
                <w:rFonts w:hint="eastAsia" w:ascii="宋体" w:hAnsi="宋体"/>
                <w:sz w:val="24"/>
              </w:rPr>
              <w:t>为更大力度激发市场活力和社会创造力，增强发展动力，按照《北</w:t>
            </w:r>
          </w:p>
          <w:p w14:paraId="37B4FAA3">
            <w:pPr>
              <w:spacing w:line="360" w:lineRule="auto"/>
              <w:jc w:val="left"/>
              <w:rPr>
                <w:rFonts w:hint="eastAsia" w:ascii="宋体" w:hAnsi="宋体"/>
                <w:sz w:val="24"/>
              </w:rPr>
            </w:pPr>
            <w:r>
              <w:rPr>
                <w:rFonts w:hint="eastAsia" w:ascii="宋体" w:hAnsi="宋体"/>
                <w:sz w:val="24"/>
              </w:rPr>
              <w:t>京市全面优化营商环境助力企业高质量发展实施方案》（京政办发</w:t>
            </w:r>
          </w:p>
          <w:p w14:paraId="3500238B">
            <w:pPr>
              <w:spacing w:line="360" w:lineRule="auto"/>
              <w:jc w:val="left"/>
              <w:rPr>
                <w:rFonts w:hint="eastAsia" w:ascii="宋体" w:hAnsi="宋体"/>
                <w:sz w:val="24"/>
              </w:rPr>
            </w:pPr>
            <w:r>
              <w:rPr>
                <w:rFonts w:hint="eastAsia" w:ascii="宋体" w:hAnsi="宋体"/>
                <w:sz w:val="24"/>
              </w:rPr>
              <w:t>〔2023〕8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2E4A0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B5B778F">
            <w:pPr>
              <w:pStyle w:val="23"/>
              <w:adjustRightInd w:val="0"/>
              <w:snapToGrid w:val="0"/>
              <w:jc w:val="center"/>
              <w:rPr>
                <w:rFonts w:hint="eastAsia" w:hAnsi="宋体"/>
                <w:sz w:val="24"/>
                <w:szCs w:val="24"/>
              </w:rPr>
            </w:pPr>
            <w:r>
              <w:rPr>
                <w:rFonts w:hAnsi="宋体"/>
                <w:sz w:val="24"/>
                <w:szCs w:val="24"/>
              </w:rPr>
              <w:t>24.1.1</w:t>
            </w:r>
          </w:p>
        </w:tc>
        <w:tc>
          <w:tcPr>
            <w:tcW w:w="1560" w:type="dxa"/>
            <w:vAlign w:val="center"/>
          </w:tcPr>
          <w:p w14:paraId="0F068544">
            <w:pPr>
              <w:jc w:val="center"/>
              <w:rPr>
                <w:rFonts w:hint="eastAsia" w:ascii="宋体" w:hAnsi="宋体"/>
                <w:sz w:val="24"/>
              </w:rPr>
            </w:pPr>
            <w:r>
              <w:rPr>
                <w:rFonts w:ascii="宋体" w:hAnsi="宋体"/>
                <w:sz w:val="24"/>
              </w:rPr>
              <w:t>询问</w:t>
            </w:r>
          </w:p>
        </w:tc>
        <w:tc>
          <w:tcPr>
            <w:tcW w:w="7253" w:type="dxa"/>
            <w:vAlign w:val="center"/>
          </w:tcPr>
          <w:p w14:paraId="08332CCA">
            <w:pPr>
              <w:spacing w:line="360" w:lineRule="auto"/>
              <w:jc w:val="left"/>
              <w:rPr>
                <w:rFonts w:hint="eastAsia" w:ascii="宋体" w:hAnsi="宋体"/>
                <w:sz w:val="24"/>
              </w:rPr>
            </w:pPr>
            <w:r>
              <w:rPr>
                <w:rFonts w:ascii="宋体" w:hAnsi="宋体"/>
                <w:sz w:val="24"/>
              </w:rPr>
              <w:t>询问送达形式：</w:t>
            </w:r>
            <w:r>
              <w:rPr>
                <w:rFonts w:hint="eastAsia" w:ascii="宋体" w:hAnsi="宋体"/>
                <w:sz w:val="24"/>
                <w:u w:val="single"/>
              </w:rPr>
              <w:t>以书面加盖单位公章形式</w:t>
            </w:r>
            <w:r>
              <w:rPr>
                <w:rFonts w:ascii="宋体" w:hAnsi="宋体"/>
                <w:sz w:val="24"/>
              </w:rPr>
              <w:t>。</w:t>
            </w:r>
          </w:p>
        </w:tc>
      </w:tr>
      <w:tr w14:paraId="3177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68CFF03C">
            <w:pPr>
              <w:pStyle w:val="23"/>
              <w:adjustRightInd w:val="0"/>
              <w:snapToGrid w:val="0"/>
              <w:jc w:val="center"/>
              <w:rPr>
                <w:rFonts w:hint="eastAsia" w:hAnsi="宋体"/>
                <w:sz w:val="24"/>
                <w:szCs w:val="24"/>
              </w:rPr>
            </w:pPr>
            <w:r>
              <w:rPr>
                <w:rFonts w:hAnsi="宋体"/>
                <w:sz w:val="24"/>
                <w:szCs w:val="24"/>
              </w:rPr>
              <w:t>24.3</w:t>
            </w:r>
          </w:p>
        </w:tc>
        <w:tc>
          <w:tcPr>
            <w:tcW w:w="1560" w:type="dxa"/>
            <w:vAlign w:val="center"/>
          </w:tcPr>
          <w:p w14:paraId="0C401ECB">
            <w:pPr>
              <w:jc w:val="center"/>
              <w:rPr>
                <w:rFonts w:hint="eastAsia" w:ascii="宋体" w:hAnsi="宋体"/>
                <w:sz w:val="24"/>
              </w:rPr>
            </w:pPr>
            <w:r>
              <w:rPr>
                <w:rFonts w:ascii="宋体" w:hAnsi="宋体"/>
                <w:sz w:val="24"/>
              </w:rPr>
              <w:t>联系方式</w:t>
            </w:r>
          </w:p>
        </w:tc>
        <w:tc>
          <w:tcPr>
            <w:tcW w:w="7253" w:type="dxa"/>
            <w:vAlign w:val="center"/>
          </w:tcPr>
          <w:p w14:paraId="12EA01EE">
            <w:pPr>
              <w:spacing w:line="360" w:lineRule="auto"/>
              <w:jc w:val="left"/>
              <w:rPr>
                <w:rFonts w:hint="eastAsia" w:ascii="宋体" w:hAnsi="宋体"/>
                <w:sz w:val="24"/>
              </w:rPr>
            </w:pPr>
            <w:r>
              <w:rPr>
                <w:rFonts w:ascii="宋体" w:hAnsi="宋体"/>
                <w:sz w:val="24"/>
              </w:rPr>
              <w:t>接收询问和质疑的联系方式</w:t>
            </w:r>
          </w:p>
          <w:p w14:paraId="3658B312">
            <w:pPr>
              <w:spacing w:line="360" w:lineRule="auto"/>
              <w:jc w:val="left"/>
              <w:rPr>
                <w:rFonts w:hint="eastAsia" w:ascii="宋体" w:hAnsi="宋体"/>
                <w:sz w:val="24"/>
              </w:rPr>
            </w:pPr>
            <w:r>
              <w:rPr>
                <w:rFonts w:ascii="宋体" w:hAnsi="宋体"/>
                <w:sz w:val="24"/>
              </w:rPr>
              <w:t>联系部门：</w:t>
            </w:r>
            <w:r>
              <w:rPr>
                <w:rFonts w:hint="eastAsia" w:ascii="宋体" w:hAnsi="宋体"/>
                <w:sz w:val="24"/>
                <w:u w:val="single"/>
              </w:rPr>
              <w:t>北京中域正信工程咨询有限公司</w:t>
            </w:r>
            <w:r>
              <w:rPr>
                <w:rFonts w:ascii="宋体" w:hAnsi="宋体"/>
                <w:sz w:val="24"/>
              </w:rPr>
              <w:t>；</w:t>
            </w:r>
          </w:p>
          <w:p w14:paraId="03DA8871">
            <w:pPr>
              <w:spacing w:line="360" w:lineRule="auto"/>
              <w:jc w:val="left"/>
              <w:rPr>
                <w:rFonts w:hint="eastAsia" w:ascii="宋体" w:hAnsi="宋体"/>
                <w:sz w:val="24"/>
              </w:rPr>
            </w:pPr>
            <w:r>
              <w:rPr>
                <w:rFonts w:ascii="宋体" w:hAnsi="宋体"/>
                <w:sz w:val="24"/>
              </w:rPr>
              <w:t>联系电话：</w:t>
            </w:r>
            <w:r>
              <w:rPr>
                <w:rFonts w:hint="eastAsia" w:ascii="宋体" w:hAnsi="宋体"/>
                <w:sz w:val="24"/>
                <w:u w:val="single"/>
              </w:rPr>
              <w:t>15011275036</w:t>
            </w:r>
            <w:r>
              <w:rPr>
                <w:rFonts w:ascii="宋体" w:hAnsi="宋体"/>
                <w:sz w:val="24"/>
                <w:u w:val="single"/>
              </w:rPr>
              <w:t>；</w:t>
            </w:r>
          </w:p>
          <w:p w14:paraId="71B114CA">
            <w:pPr>
              <w:spacing w:line="360" w:lineRule="auto"/>
              <w:jc w:val="left"/>
              <w:rPr>
                <w:rFonts w:hint="eastAsia" w:ascii="宋体" w:hAnsi="宋体"/>
                <w:sz w:val="24"/>
              </w:rPr>
            </w:pPr>
            <w:r>
              <w:rPr>
                <w:rFonts w:ascii="宋体" w:hAnsi="宋体"/>
                <w:sz w:val="24"/>
              </w:rPr>
              <w:t>通讯地址：</w:t>
            </w:r>
            <w:r>
              <w:rPr>
                <w:rFonts w:hint="eastAsia" w:ascii="宋体" w:hAnsi="宋体" w:cs="宋体"/>
                <w:sz w:val="24"/>
                <w:u w:val="single"/>
              </w:rPr>
              <w:t>北京市昌平区碧水庄园3-20</w:t>
            </w:r>
            <w:r>
              <w:rPr>
                <w:rFonts w:ascii="宋体" w:hAnsi="宋体"/>
                <w:sz w:val="24"/>
              </w:rPr>
              <w:t>。</w:t>
            </w:r>
          </w:p>
        </w:tc>
      </w:tr>
      <w:tr w14:paraId="338DB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500326F7">
            <w:pPr>
              <w:pStyle w:val="23"/>
              <w:adjustRightInd w:val="0"/>
              <w:snapToGrid w:val="0"/>
              <w:jc w:val="center"/>
              <w:rPr>
                <w:rFonts w:hint="eastAsia" w:hAnsi="宋体"/>
                <w:sz w:val="24"/>
                <w:szCs w:val="24"/>
              </w:rPr>
            </w:pPr>
            <w:r>
              <w:rPr>
                <w:rFonts w:hAnsi="宋体"/>
                <w:sz w:val="24"/>
                <w:szCs w:val="24"/>
              </w:rPr>
              <w:t>25</w:t>
            </w:r>
          </w:p>
        </w:tc>
        <w:tc>
          <w:tcPr>
            <w:tcW w:w="1560" w:type="dxa"/>
            <w:vAlign w:val="center"/>
          </w:tcPr>
          <w:p w14:paraId="23FAB3E3">
            <w:pPr>
              <w:jc w:val="center"/>
              <w:rPr>
                <w:rFonts w:hint="eastAsia" w:ascii="宋体" w:hAnsi="宋体"/>
                <w:sz w:val="24"/>
              </w:rPr>
            </w:pPr>
            <w:r>
              <w:rPr>
                <w:rFonts w:ascii="宋体" w:hAnsi="宋体"/>
                <w:sz w:val="24"/>
              </w:rPr>
              <w:t>代理费</w:t>
            </w:r>
          </w:p>
        </w:tc>
        <w:tc>
          <w:tcPr>
            <w:tcW w:w="7253" w:type="dxa"/>
            <w:vAlign w:val="center"/>
          </w:tcPr>
          <w:p w14:paraId="63D3E35B">
            <w:pPr>
              <w:spacing w:line="360" w:lineRule="auto"/>
              <w:jc w:val="left"/>
              <w:rPr>
                <w:rFonts w:hint="eastAsia" w:ascii="宋体" w:hAnsi="宋体"/>
                <w:sz w:val="24"/>
              </w:rPr>
            </w:pPr>
            <w:r>
              <w:rPr>
                <w:rFonts w:ascii="宋体" w:hAnsi="宋体"/>
                <w:sz w:val="24"/>
              </w:rPr>
              <w:t>收费对象：</w:t>
            </w:r>
          </w:p>
          <w:p w14:paraId="52C5F65F">
            <w:pPr>
              <w:spacing w:line="360" w:lineRule="auto"/>
              <w:jc w:val="left"/>
              <w:rPr>
                <w:rFonts w:hint="eastAsia" w:ascii="宋体" w:hAnsi="宋体"/>
                <w:sz w:val="24"/>
              </w:rPr>
            </w:pPr>
            <w:r>
              <w:rPr>
                <w:rFonts w:ascii="宋体" w:hAnsi="宋体"/>
                <w:sz w:val="24"/>
              </w:rPr>
              <w:t>□采购人</w:t>
            </w:r>
          </w:p>
          <w:p w14:paraId="0F896BF6">
            <w:pPr>
              <w:spacing w:line="360" w:lineRule="auto"/>
              <w:jc w:val="left"/>
              <w:rPr>
                <w:rFonts w:hint="eastAsia" w:ascii="宋体" w:hAnsi="宋体"/>
                <w:sz w:val="24"/>
              </w:rPr>
            </w:pPr>
            <w:r>
              <w:rPr>
                <w:rFonts w:ascii="宋体" w:hAnsi="宋体"/>
                <w:b/>
                <w:sz w:val="24"/>
              </w:rPr>
              <w:t>■</w:t>
            </w:r>
            <w:r>
              <w:rPr>
                <w:rFonts w:ascii="宋体" w:hAnsi="宋体"/>
                <w:sz w:val="24"/>
              </w:rPr>
              <w:t>成交供应商</w:t>
            </w:r>
          </w:p>
          <w:p w14:paraId="25FF80DB">
            <w:pPr>
              <w:spacing w:line="360" w:lineRule="auto"/>
              <w:jc w:val="left"/>
              <w:rPr>
                <w:rStyle w:val="63"/>
                <w:rFonts w:hint="eastAsia" w:ascii="宋体" w:hAnsi="宋体"/>
                <w:sz w:val="24"/>
                <w:u w:val="single"/>
              </w:rPr>
            </w:pPr>
            <w:r>
              <w:rPr>
                <w:rFonts w:ascii="宋体" w:hAnsi="宋体"/>
                <w:sz w:val="24"/>
              </w:rPr>
              <w:t>收费标准：</w:t>
            </w:r>
            <w:r>
              <w:rPr>
                <w:rStyle w:val="63"/>
                <w:rFonts w:ascii="宋体" w:hAnsi="宋体"/>
                <w:sz w:val="24"/>
                <w:u w:val="single"/>
              </w:rPr>
              <w:t>采购代理服务费</w:t>
            </w:r>
            <w:r>
              <w:rPr>
                <w:rStyle w:val="63"/>
                <w:rFonts w:hint="eastAsia" w:ascii="宋体" w:hAnsi="宋体"/>
                <w:sz w:val="24"/>
                <w:u w:val="single"/>
              </w:rPr>
              <w:t>参照国家计委计价格[2002]1980号文件及国家发改委发改办价格[2003]857号文件规定执行。</w:t>
            </w:r>
          </w:p>
          <w:p w14:paraId="55FF05C8">
            <w:pPr>
              <w:spacing w:line="360" w:lineRule="auto"/>
              <w:jc w:val="left"/>
              <w:rPr>
                <w:rFonts w:hint="eastAsia" w:ascii="宋体" w:hAnsi="宋体"/>
                <w:sz w:val="24"/>
              </w:rPr>
            </w:pPr>
            <w:r>
              <w:rPr>
                <w:rFonts w:ascii="宋体" w:hAnsi="宋体"/>
                <w:sz w:val="24"/>
              </w:rPr>
              <w:t>缴纳时间：</w:t>
            </w:r>
            <w:r>
              <w:rPr>
                <w:rStyle w:val="63"/>
                <w:rFonts w:ascii="宋体" w:hAnsi="宋体"/>
                <w:sz w:val="24"/>
                <w:u w:val="single"/>
              </w:rPr>
              <w:t>领取成交通</w:t>
            </w:r>
            <w:r>
              <w:rPr>
                <w:rStyle w:val="63"/>
                <w:rFonts w:hint="eastAsia" w:ascii="宋体" w:hAnsi="宋体"/>
                <w:sz w:val="24"/>
                <w:u w:val="single"/>
              </w:rPr>
              <w:t>知书时</w:t>
            </w:r>
            <w:r>
              <w:rPr>
                <w:rStyle w:val="63"/>
                <w:rFonts w:ascii="宋体" w:hAnsi="宋体"/>
                <w:sz w:val="24"/>
                <w:u w:val="single"/>
              </w:rPr>
              <w:t>向贵公司即</w:t>
            </w:r>
            <w:r>
              <w:rPr>
                <w:rStyle w:val="63"/>
                <w:rFonts w:hint="eastAsia" w:ascii="宋体" w:hAnsi="宋体"/>
                <w:sz w:val="24"/>
                <w:u w:val="single"/>
              </w:rPr>
              <w:t>北京中域正信工程咨询有限公司</w:t>
            </w:r>
            <w:r>
              <w:rPr>
                <w:rStyle w:val="63"/>
                <w:rFonts w:ascii="宋体" w:hAnsi="宋体"/>
                <w:sz w:val="24"/>
                <w:u w:val="single"/>
              </w:rPr>
              <w:t>，一次性支付应该交纳的采购代理服务费用</w:t>
            </w:r>
            <w:r>
              <w:rPr>
                <w:rFonts w:ascii="宋体" w:hAnsi="宋体"/>
                <w:sz w:val="24"/>
                <w:u w:val="single"/>
              </w:rPr>
              <w:t>。</w:t>
            </w:r>
          </w:p>
        </w:tc>
      </w:tr>
    </w:tbl>
    <w:p w14:paraId="5F3E48D8">
      <w:pPr>
        <w:rPr>
          <w:rFonts w:hint="eastAsia" w:ascii="宋体" w:hAnsi="宋体"/>
        </w:rPr>
      </w:pPr>
    </w:p>
    <w:p w14:paraId="737D7ECD">
      <w:pPr>
        <w:widowControl/>
        <w:jc w:val="left"/>
        <w:rPr>
          <w:rFonts w:hint="eastAsia" w:ascii="宋体" w:hAnsi="宋体"/>
        </w:rPr>
      </w:pPr>
      <w:r>
        <w:rPr>
          <w:rFonts w:ascii="宋体" w:hAnsi="宋体"/>
        </w:rPr>
        <w:br w:type="page"/>
      </w:r>
    </w:p>
    <w:p w14:paraId="307673BD">
      <w:pPr>
        <w:jc w:val="center"/>
        <w:rPr>
          <w:rFonts w:hint="eastAsia" w:ascii="宋体" w:hAnsi="宋体"/>
          <w:b/>
          <w:bCs/>
          <w:sz w:val="28"/>
          <w:szCs w:val="36"/>
        </w:rPr>
      </w:pPr>
      <w:r>
        <w:rPr>
          <w:rFonts w:ascii="宋体" w:hAnsi="宋体"/>
          <w:b/>
          <w:bCs/>
          <w:sz w:val="28"/>
          <w:szCs w:val="36"/>
        </w:rPr>
        <w:t>供应商须知</w:t>
      </w:r>
    </w:p>
    <w:p w14:paraId="4B42D77A">
      <w:pPr>
        <w:jc w:val="center"/>
        <w:outlineLvl w:val="1"/>
        <w:rPr>
          <w:rFonts w:hint="eastAsia" w:ascii="宋体" w:hAnsi="宋体"/>
          <w:b/>
          <w:bCs/>
          <w:sz w:val="28"/>
        </w:rPr>
      </w:pPr>
      <w:bookmarkStart w:id="44" w:name="_Toc151193906"/>
      <w:bookmarkStart w:id="45" w:name="_Toc226965791"/>
      <w:bookmarkStart w:id="46" w:name="_Toc151193760"/>
      <w:bookmarkStart w:id="47" w:name="_Toc151193616"/>
      <w:bookmarkStart w:id="48" w:name="_Toc226309762"/>
      <w:bookmarkStart w:id="49" w:name="_Toc195842883"/>
      <w:bookmarkStart w:id="50" w:name="_Toc264969208"/>
      <w:bookmarkStart w:id="51" w:name="_Toc150480756"/>
      <w:bookmarkStart w:id="52" w:name="_Toc305158786"/>
      <w:bookmarkStart w:id="53" w:name="_Toc151190145"/>
      <w:bookmarkStart w:id="54" w:name="_Toc150774618"/>
      <w:bookmarkStart w:id="55" w:name="_Toc151193688"/>
      <w:bookmarkStart w:id="56" w:name="_Toc520356143"/>
      <w:bookmarkStart w:id="57" w:name="_Toc305158860"/>
      <w:bookmarkStart w:id="58" w:name="_Toc150509269"/>
      <w:bookmarkStart w:id="59" w:name="_Toc265228356"/>
      <w:bookmarkStart w:id="60" w:name="_Toc151193832"/>
      <w:bookmarkStart w:id="61" w:name="_Toc226337214"/>
      <w:bookmarkStart w:id="62" w:name="_Toc142311020"/>
      <w:bookmarkStart w:id="63" w:name="_Toc127151518"/>
      <w:bookmarkStart w:id="64" w:name="_Toc150774723"/>
      <w:bookmarkStart w:id="65" w:name="_Toc226965708"/>
      <w:r>
        <w:rPr>
          <w:rFonts w:ascii="宋体" w:hAnsi="宋体"/>
          <w:b/>
          <w:bCs/>
          <w:sz w:val="28"/>
          <w:szCs w:val="36"/>
        </w:rPr>
        <w:t>一   说  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5E51378A">
      <w:pPr>
        <w:numPr>
          <w:ilvl w:val="0"/>
          <w:numId w:val="1"/>
        </w:numPr>
        <w:tabs>
          <w:tab w:val="left" w:pos="360"/>
          <w:tab w:val="clear" w:pos="900"/>
        </w:tabs>
        <w:snapToGrid w:val="0"/>
        <w:spacing w:line="360" w:lineRule="auto"/>
        <w:ind w:left="357" w:hanging="357"/>
        <w:outlineLvl w:val="2"/>
        <w:rPr>
          <w:rFonts w:hint="eastAsia" w:ascii="宋体" w:hAnsi="宋体"/>
          <w:sz w:val="24"/>
        </w:rPr>
      </w:pPr>
      <w:bookmarkStart w:id="66" w:name="_Toc305158787"/>
      <w:bookmarkStart w:id="67" w:name="_Toc305158861"/>
      <w:bookmarkStart w:id="68" w:name="_Toc265228357"/>
      <w:bookmarkStart w:id="69" w:name="_Toc264969209"/>
      <w:r>
        <w:rPr>
          <w:rFonts w:ascii="宋体" w:hAnsi="宋体"/>
          <w:sz w:val="24"/>
        </w:rPr>
        <w:t>采购人、采购代理机构、供应商</w:t>
      </w:r>
      <w:bookmarkEnd w:id="66"/>
      <w:bookmarkEnd w:id="67"/>
      <w:bookmarkEnd w:id="68"/>
      <w:bookmarkEnd w:id="69"/>
      <w:r>
        <w:rPr>
          <w:rFonts w:ascii="宋体" w:hAnsi="宋体"/>
          <w:sz w:val="24"/>
        </w:rPr>
        <w:t>、联合体</w:t>
      </w:r>
    </w:p>
    <w:p w14:paraId="6CCC8943">
      <w:pPr>
        <w:numPr>
          <w:ilvl w:val="1"/>
          <w:numId w:val="1"/>
        </w:numPr>
        <w:tabs>
          <w:tab w:val="left" w:pos="1080"/>
          <w:tab w:val="left" w:pos="2014"/>
          <w:tab w:val="left" w:pos="5521"/>
        </w:tabs>
        <w:snapToGrid w:val="0"/>
        <w:spacing w:line="360" w:lineRule="auto"/>
        <w:ind w:left="1080" w:hanging="720"/>
        <w:rPr>
          <w:rFonts w:hint="eastAsia" w:ascii="宋体" w:hAnsi="宋体"/>
          <w:sz w:val="24"/>
        </w:rPr>
      </w:pPr>
      <w:r>
        <w:rPr>
          <w:rFonts w:ascii="宋体" w:hAnsi="宋体"/>
          <w:sz w:val="24"/>
        </w:rPr>
        <w:t>采购人、采购代理机构：指依法进行政府采购的国家机关、事业单位、团体组织，及其委托的采购代理机构。本项目采购人、采购代理机构见第一章《采购邀请》。</w:t>
      </w:r>
    </w:p>
    <w:p w14:paraId="7DBAD143">
      <w:pPr>
        <w:numPr>
          <w:ilvl w:val="1"/>
          <w:numId w:val="1"/>
        </w:numPr>
        <w:tabs>
          <w:tab w:val="left" w:pos="1080"/>
          <w:tab w:val="left" w:pos="2014"/>
          <w:tab w:val="left" w:pos="5521"/>
        </w:tabs>
        <w:snapToGrid w:val="0"/>
        <w:spacing w:line="360" w:lineRule="auto"/>
        <w:ind w:left="1080" w:hanging="720"/>
        <w:rPr>
          <w:rFonts w:hint="eastAsia" w:ascii="宋体" w:hAnsi="宋体"/>
          <w:sz w:val="24"/>
        </w:rPr>
      </w:pPr>
      <w:r>
        <w:rPr>
          <w:rFonts w:ascii="宋体" w:hAnsi="宋体"/>
          <w:sz w:val="24"/>
        </w:rPr>
        <w:t>供应商（也称“申请人”）：指向采购人提供货物、工程或者服务的法人、其他组织或者自然人。</w:t>
      </w:r>
    </w:p>
    <w:p w14:paraId="02FAF659">
      <w:pPr>
        <w:numPr>
          <w:ilvl w:val="1"/>
          <w:numId w:val="1"/>
        </w:numPr>
        <w:tabs>
          <w:tab w:val="left" w:pos="1080"/>
          <w:tab w:val="left" w:pos="2014"/>
          <w:tab w:val="left" w:pos="5521"/>
        </w:tabs>
        <w:snapToGrid w:val="0"/>
        <w:spacing w:line="360" w:lineRule="auto"/>
        <w:ind w:left="1080" w:hanging="720"/>
        <w:rPr>
          <w:rFonts w:hint="eastAsia" w:ascii="宋体" w:hAnsi="宋体"/>
          <w:sz w:val="24"/>
        </w:rPr>
      </w:pPr>
      <w:r>
        <w:rPr>
          <w:rFonts w:ascii="宋体" w:hAnsi="宋体"/>
          <w:sz w:val="24"/>
        </w:rPr>
        <w:t>联合体：指两个以上的自然人、法人或者其他组织组成一个联合体，以一个供应商的身份共同参加政府采购。</w:t>
      </w:r>
    </w:p>
    <w:p w14:paraId="70C9634F">
      <w:pPr>
        <w:numPr>
          <w:ilvl w:val="0"/>
          <w:numId w:val="1"/>
        </w:numPr>
        <w:tabs>
          <w:tab w:val="left" w:pos="360"/>
          <w:tab w:val="clear" w:pos="900"/>
        </w:tabs>
        <w:snapToGrid w:val="0"/>
        <w:spacing w:line="360" w:lineRule="auto"/>
        <w:ind w:left="357" w:hanging="357"/>
        <w:outlineLvl w:val="2"/>
        <w:rPr>
          <w:rFonts w:hint="eastAsia" w:ascii="宋体" w:hAnsi="宋体"/>
          <w:sz w:val="24"/>
        </w:rPr>
      </w:pPr>
      <w:bookmarkStart w:id="70" w:name="_Toc127161434"/>
      <w:bookmarkStart w:id="71" w:name="_Toc149720813"/>
      <w:bookmarkStart w:id="72" w:name="_Toc164351614"/>
      <w:bookmarkStart w:id="73" w:name="_Toc142311022"/>
      <w:bookmarkStart w:id="74" w:name="_Toc264969210"/>
      <w:bookmarkStart w:id="75" w:name="_Toc127151721"/>
      <w:bookmarkStart w:id="76" w:name="_Toc226965793"/>
      <w:bookmarkStart w:id="77" w:name="_Toc305158788"/>
      <w:bookmarkStart w:id="78" w:name="_Toc265228358"/>
      <w:bookmarkStart w:id="79" w:name="_Toc226309764"/>
      <w:bookmarkStart w:id="80" w:name="_Toc150774620"/>
      <w:bookmarkStart w:id="81" w:name="_Toc164608789"/>
      <w:bookmarkStart w:id="82" w:name="_Toc151193618"/>
      <w:bookmarkStart w:id="83" w:name="_Toc305158862"/>
      <w:bookmarkStart w:id="84" w:name="_Toc226337216"/>
      <w:bookmarkStart w:id="85" w:name="_Toc150480758"/>
      <w:bookmarkStart w:id="86" w:name="_Toc164229361"/>
      <w:bookmarkStart w:id="87" w:name="_Toc164608634"/>
      <w:bookmarkStart w:id="88" w:name="_Toc150509271"/>
      <w:bookmarkStart w:id="89" w:name="_Toc151193690"/>
      <w:bookmarkStart w:id="90" w:name="_Toc150774725"/>
      <w:bookmarkStart w:id="91" w:name="_Toc151190147"/>
      <w:bookmarkStart w:id="92" w:name="_Toc151193834"/>
      <w:bookmarkStart w:id="93" w:name="_Toc226965710"/>
      <w:bookmarkStart w:id="94" w:name="_Toc195842885"/>
      <w:bookmarkStart w:id="95" w:name="_Toc151193762"/>
      <w:bookmarkStart w:id="96" w:name="_Toc164229215"/>
      <w:bookmarkStart w:id="97" w:name="_Toc151193908"/>
      <w:bookmarkStart w:id="98" w:name="_Toc127151520"/>
      <w:r>
        <w:rPr>
          <w:rFonts w:ascii="宋体" w:hAnsi="宋体"/>
          <w:sz w:val="24"/>
        </w:rPr>
        <w:t>资金来源</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rFonts w:ascii="宋体" w:hAnsi="宋体"/>
          <w:sz w:val="24"/>
        </w:rPr>
        <w:t>、项目属性、科研仪器设备采购</w:t>
      </w:r>
    </w:p>
    <w:p w14:paraId="78F3C9A1">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资金来源为财政性资金和/或本项目采购中无法与财政性资金分割的非财政性资金。</w:t>
      </w:r>
    </w:p>
    <w:p w14:paraId="3B8B270A">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项目属性见《供应商须知资料表》。</w:t>
      </w:r>
    </w:p>
    <w:p w14:paraId="646586B8">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是否属于科研仪器设备采购见《供应商须知资料表》。</w:t>
      </w:r>
    </w:p>
    <w:p w14:paraId="25EE23C0">
      <w:pPr>
        <w:numPr>
          <w:ilvl w:val="0"/>
          <w:numId w:val="1"/>
        </w:numPr>
        <w:tabs>
          <w:tab w:val="left" w:pos="360"/>
        </w:tabs>
        <w:snapToGrid w:val="0"/>
        <w:spacing w:line="360" w:lineRule="auto"/>
        <w:ind w:left="357" w:hanging="357"/>
        <w:outlineLvl w:val="2"/>
        <w:rPr>
          <w:rFonts w:hint="eastAsia" w:ascii="宋体" w:hAnsi="宋体"/>
          <w:sz w:val="24"/>
        </w:rPr>
      </w:pPr>
      <w:r>
        <w:rPr>
          <w:rFonts w:ascii="宋体" w:hAnsi="宋体"/>
          <w:sz w:val="24"/>
        </w:rPr>
        <w:t>现场考察、磋商前答疑会</w:t>
      </w:r>
    </w:p>
    <w:p w14:paraId="3BDE4D99">
      <w:pPr>
        <w:numPr>
          <w:ilvl w:val="1"/>
          <w:numId w:val="1"/>
        </w:numPr>
        <w:tabs>
          <w:tab w:val="left" w:pos="1080"/>
          <w:tab w:val="left" w:pos="2014"/>
        </w:tabs>
        <w:snapToGrid w:val="0"/>
        <w:spacing w:line="360" w:lineRule="auto"/>
        <w:ind w:left="1080" w:hanging="720"/>
        <w:rPr>
          <w:rFonts w:hint="eastAsia" w:ascii="宋体" w:hAnsi="宋体"/>
          <w:sz w:val="28"/>
        </w:rPr>
      </w:pPr>
      <w:r>
        <w:rPr>
          <w:rFonts w:ascii="宋体" w:hAnsi="宋体"/>
          <w:sz w:val="24"/>
        </w:rPr>
        <w:t>若《供应商须知资料表》中规定了组织现场考察、召开磋商前答疑会，则供应商应按要求在规定的时间和地点参加。</w:t>
      </w:r>
    </w:p>
    <w:p w14:paraId="5A53C00C">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由于未参加现场考察或磋商前答疑会而导致对项目实际情况不了解，影响响应文件编制、报价准确性、综合因素响应不全面等问题的，由供应商自行承担不利评审后果。</w:t>
      </w:r>
    </w:p>
    <w:p w14:paraId="59FB618D">
      <w:pPr>
        <w:numPr>
          <w:ilvl w:val="0"/>
          <w:numId w:val="1"/>
        </w:numPr>
        <w:tabs>
          <w:tab w:val="left" w:pos="360"/>
          <w:tab w:val="clear" w:pos="900"/>
        </w:tabs>
        <w:snapToGrid w:val="0"/>
        <w:spacing w:line="360" w:lineRule="auto"/>
        <w:ind w:left="357" w:hanging="357"/>
        <w:outlineLvl w:val="2"/>
        <w:rPr>
          <w:rFonts w:hint="eastAsia" w:ascii="宋体" w:hAnsi="宋体"/>
          <w:sz w:val="24"/>
        </w:rPr>
      </w:pPr>
      <w:r>
        <w:rPr>
          <w:rFonts w:ascii="宋体" w:hAnsi="宋体"/>
          <w:sz w:val="24"/>
        </w:rPr>
        <w:t>政府采购政策（包括但不限于下列具体政策要求）</w:t>
      </w:r>
    </w:p>
    <w:p w14:paraId="1BDA4C38">
      <w:pPr>
        <w:numPr>
          <w:ilvl w:val="1"/>
          <w:numId w:val="1"/>
        </w:numPr>
        <w:tabs>
          <w:tab w:val="left" w:pos="1080"/>
          <w:tab w:val="left" w:pos="2014"/>
        </w:tabs>
        <w:snapToGrid w:val="0"/>
        <w:spacing w:line="360" w:lineRule="auto"/>
        <w:ind w:left="1080" w:hanging="720"/>
        <w:rPr>
          <w:rFonts w:hint="eastAsia" w:ascii="宋体" w:hAnsi="宋体"/>
          <w:sz w:val="24"/>
        </w:rPr>
      </w:pPr>
      <w:r>
        <w:rPr>
          <w:rFonts w:hint="eastAsia" w:ascii="宋体" w:hAnsi="宋体"/>
          <w:sz w:val="24"/>
        </w:rPr>
        <w:t>采购本国货物、工程和服务</w:t>
      </w:r>
    </w:p>
    <w:p w14:paraId="20AACCB3">
      <w:pPr>
        <w:numPr>
          <w:ilvl w:val="2"/>
          <w:numId w:val="1"/>
        </w:numPr>
        <w:tabs>
          <w:tab w:val="left" w:pos="2014"/>
        </w:tabs>
        <w:snapToGrid w:val="0"/>
        <w:spacing w:line="360" w:lineRule="auto"/>
        <w:rPr>
          <w:rFonts w:hint="eastAsia" w:ascii="宋体" w:hAnsi="宋体"/>
          <w:sz w:val="24"/>
        </w:rPr>
      </w:pPr>
      <w:r>
        <w:rPr>
          <w:rFonts w:hint="eastAsia" w:ascii="宋体" w:hAnsi="宋体"/>
          <w:sz w:val="24"/>
        </w:rPr>
        <w:t>政府采购应当采购本国货物、工程和服务。但有《中华人民共和国政府采购法》第十条规定的除外</w:t>
      </w:r>
    </w:p>
    <w:p w14:paraId="537BA606">
      <w:pPr>
        <w:numPr>
          <w:ilvl w:val="2"/>
          <w:numId w:val="1"/>
        </w:numPr>
        <w:tabs>
          <w:tab w:val="left" w:pos="2014"/>
        </w:tabs>
        <w:snapToGrid w:val="0"/>
        <w:spacing w:line="360" w:lineRule="auto"/>
        <w:rPr>
          <w:rFonts w:hint="eastAsia" w:ascii="宋体" w:hAnsi="宋体"/>
          <w:sz w:val="24"/>
        </w:rPr>
      </w:pPr>
      <w:r>
        <w:rPr>
          <w:rFonts w:ascii="宋体" w:hAnsi="宋体"/>
          <w:sz w:val="24"/>
        </w:rPr>
        <w:t>本项目</w:t>
      </w:r>
      <w:r>
        <w:rPr>
          <w:rFonts w:hint="eastAsia" w:ascii="宋体" w:hAnsi="宋体"/>
          <w:sz w:val="24"/>
        </w:rPr>
        <w:t>如接受非本国货物、工程、服务参与响应，则具体要求见第四章</w:t>
      </w:r>
      <w:r>
        <w:rPr>
          <w:rFonts w:ascii="宋体" w:hAnsi="宋体"/>
          <w:sz w:val="24"/>
        </w:rPr>
        <w:t>《采购需求》。</w:t>
      </w:r>
    </w:p>
    <w:p w14:paraId="499D1A75">
      <w:pPr>
        <w:numPr>
          <w:ilvl w:val="2"/>
          <w:numId w:val="1"/>
        </w:numPr>
        <w:tabs>
          <w:tab w:val="left" w:pos="2014"/>
        </w:tabs>
        <w:snapToGrid w:val="0"/>
        <w:spacing w:line="360" w:lineRule="auto"/>
        <w:rPr>
          <w:rFonts w:hint="eastAsia" w:ascii="宋体" w:hAnsi="宋体"/>
          <w:sz w:val="24"/>
        </w:rPr>
      </w:pPr>
      <w:r>
        <w:rPr>
          <w:rFonts w:hint="eastAsia" w:ascii="宋体" w:hAnsi="宋体"/>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2B0CD206">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中小企业、监狱企业及残疾人福利性单位</w:t>
      </w:r>
    </w:p>
    <w:p w14:paraId="25E1E9A7">
      <w:pPr>
        <w:numPr>
          <w:ilvl w:val="2"/>
          <w:numId w:val="1"/>
        </w:numPr>
        <w:snapToGrid w:val="0"/>
        <w:spacing w:line="360" w:lineRule="auto"/>
        <w:rPr>
          <w:rFonts w:hint="eastAsia" w:ascii="宋体" w:hAnsi="宋体"/>
          <w:sz w:val="24"/>
        </w:rPr>
      </w:pPr>
      <w:r>
        <w:rPr>
          <w:rFonts w:ascii="宋体" w:hAnsi="宋体"/>
          <w:sz w:val="24"/>
        </w:rPr>
        <w:t>中小企业定义：</w:t>
      </w:r>
    </w:p>
    <w:p w14:paraId="66CD6B5B">
      <w:pPr>
        <w:pStyle w:val="66"/>
        <w:numPr>
          <w:ilvl w:val="0"/>
          <w:numId w:val="2"/>
        </w:numPr>
        <w:tabs>
          <w:tab w:val="left" w:pos="1980"/>
          <w:tab w:val="left" w:pos="2035"/>
          <w:tab w:val="left" w:pos="2977"/>
        </w:tabs>
        <w:snapToGrid w:val="0"/>
        <w:spacing w:line="360" w:lineRule="auto"/>
        <w:ind w:firstLineChars="0"/>
        <w:rPr>
          <w:rFonts w:hint="eastAsia" w:ascii="宋体" w:hAnsi="宋体"/>
          <w:vanish/>
          <w:sz w:val="24"/>
          <w:szCs w:val="24"/>
        </w:rPr>
      </w:pPr>
    </w:p>
    <w:p w14:paraId="719C6B08">
      <w:pPr>
        <w:pStyle w:val="66"/>
        <w:numPr>
          <w:ilvl w:val="0"/>
          <w:numId w:val="2"/>
        </w:numPr>
        <w:tabs>
          <w:tab w:val="left" w:pos="1980"/>
          <w:tab w:val="left" w:pos="2035"/>
          <w:tab w:val="left" w:pos="2977"/>
        </w:tabs>
        <w:snapToGrid w:val="0"/>
        <w:spacing w:line="360" w:lineRule="auto"/>
        <w:ind w:firstLineChars="0"/>
        <w:rPr>
          <w:rFonts w:hint="eastAsia" w:ascii="宋体" w:hAnsi="宋体"/>
          <w:vanish/>
          <w:sz w:val="24"/>
          <w:szCs w:val="24"/>
        </w:rPr>
      </w:pPr>
    </w:p>
    <w:p w14:paraId="18C2FE1B">
      <w:pPr>
        <w:pStyle w:val="66"/>
        <w:numPr>
          <w:ilvl w:val="0"/>
          <w:numId w:val="2"/>
        </w:numPr>
        <w:tabs>
          <w:tab w:val="left" w:pos="1980"/>
          <w:tab w:val="left" w:pos="2035"/>
          <w:tab w:val="left" w:pos="2977"/>
        </w:tabs>
        <w:snapToGrid w:val="0"/>
        <w:spacing w:line="360" w:lineRule="auto"/>
        <w:ind w:firstLineChars="0"/>
        <w:rPr>
          <w:rFonts w:hint="eastAsia" w:ascii="宋体" w:hAnsi="宋体"/>
          <w:vanish/>
          <w:sz w:val="24"/>
          <w:szCs w:val="24"/>
        </w:rPr>
      </w:pPr>
    </w:p>
    <w:p w14:paraId="0B9B1061">
      <w:pPr>
        <w:pStyle w:val="66"/>
        <w:numPr>
          <w:ilvl w:val="0"/>
          <w:numId w:val="2"/>
        </w:numPr>
        <w:tabs>
          <w:tab w:val="left" w:pos="1980"/>
          <w:tab w:val="left" w:pos="2035"/>
          <w:tab w:val="left" w:pos="2977"/>
        </w:tabs>
        <w:snapToGrid w:val="0"/>
        <w:spacing w:line="360" w:lineRule="auto"/>
        <w:ind w:firstLineChars="0"/>
        <w:rPr>
          <w:rFonts w:hint="eastAsia" w:ascii="宋体" w:hAnsi="宋体"/>
          <w:vanish/>
          <w:sz w:val="24"/>
          <w:szCs w:val="24"/>
        </w:rPr>
      </w:pPr>
    </w:p>
    <w:p w14:paraId="56D0000D">
      <w:pPr>
        <w:pStyle w:val="66"/>
        <w:numPr>
          <w:ilvl w:val="1"/>
          <w:numId w:val="2"/>
        </w:numPr>
        <w:tabs>
          <w:tab w:val="left" w:pos="1980"/>
          <w:tab w:val="left" w:pos="2035"/>
          <w:tab w:val="left" w:pos="2977"/>
        </w:tabs>
        <w:snapToGrid w:val="0"/>
        <w:spacing w:line="360" w:lineRule="auto"/>
        <w:ind w:firstLineChars="0"/>
        <w:rPr>
          <w:rFonts w:hint="eastAsia" w:ascii="宋体" w:hAnsi="宋体"/>
          <w:vanish/>
          <w:sz w:val="24"/>
          <w:szCs w:val="24"/>
        </w:rPr>
      </w:pPr>
    </w:p>
    <w:p w14:paraId="049ED003">
      <w:pPr>
        <w:pStyle w:val="66"/>
        <w:numPr>
          <w:ilvl w:val="1"/>
          <w:numId w:val="2"/>
        </w:numPr>
        <w:tabs>
          <w:tab w:val="left" w:pos="1980"/>
          <w:tab w:val="left" w:pos="2035"/>
          <w:tab w:val="left" w:pos="2977"/>
        </w:tabs>
        <w:snapToGrid w:val="0"/>
        <w:spacing w:line="360" w:lineRule="auto"/>
        <w:ind w:firstLineChars="0"/>
        <w:rPr>
          <w:rFonts w:hint="eastAsia" w:ascii="宋体" w:hAnsi="宋体"/>
          <w:vanish/>
          <w:sz w:val="24"/>
          <w:szCs w:val="24"/>
        </w:rPr>
      </w:pPr>
    </w:p>
    <w:p w14:paraId="5B9EBC09">
      <w:pPr>
        <w:pStyle w:val="66"/>
        <w:numPr>
          <w:ilvl w:val="2"/>
          <w:numId w:val="2"/>
        </w:numPr>
        <w:tabs>
          <w:tab w:val="left" w:pos="2035"/>
          <w:tab w:val="left" w:pos="2977"/>
        </w:tabs>
        <w:snapToGrid w:val="0"/>
        <w:spacing w:line="360" w:lineRule="auto"/>
        <w:ind w:firstLineChars="0"/>
        <w:rPr>
          <w:rFonts w:hint="eastAsia" w:ascii="宋体" w:hAnsi="宋体"/>
          <w:vanish/>
          <w:sz w:val="24"/>
          <w:szCs w:val="24"/>
        </w:rPr>
      </w:pPr>
    </w:p>
    <w:p w14:paraId="73A080E7">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sz w:val="24"/>
        </w:rPr>
        <w:t>关于进一步加大政府采购支持中小企业力度的通知</w:t>
      </w:r>
      <w:r>
        <w:rPr>
          <w:rFonts w:ascii="宋体" w:hAnsi="宋体"/>
          <w:sz w:val="24"/>
        </w:rPr>
        <w:t>》（财库〔202</w:t>
      </w:r>
      <w:r>
        <w:rPr>
          <w:rFonts w:hint="eastAsia" w:ascii="宋体" w:hAnsi="宋体"/>
          <w:sz w:val="24"/>
        </w:rPr>
        <w:t>2</w:t>
      </w:r>
      <w:r>
        <w:rPr>
          <w:rFonts w:ascii="宋体" w:hAnsi="宋体"/>
          <w:sz w:val="24"/>
        </w:rPr>
        <w:t>〕</w:t>
      </w:r>
      <w:r>
        <w:rPr>
          <w:rFonts w:hint="eastAsia" w:ascii="宋体" w:hAnsi="宋体"/>
          <w:sz w:val="24"/>
        </w:rPr>
        <w:t>19</w:t>
      </w:r>
      <w:r>
        <w:rPr>
          <w:rFonts w:ascii="宋体" w:hAnsi="宋体"/>
          <w:sz w:val="24"/>
        </w:rPr>
        <w:t>号）、《关于印发中小企业划型标准规定的通知》（工信部联企业〔2011〕300 号）、《</w:t>
      </w:r>
      <w:r>
        <w:rPr>
          <w:rFonts w:hint="eastAsia" w:ascii="宋体" w:hAnsi="宋体"/>
          <w:sz w:val="24"/>
        </w:rPr>
        <w:t>金融业企业划型标准规定</w:t>
      </w:r>
      <w:r>
        <w:rPr>
          <w:rFonts w:ascii="宋体" w:hAnsi="宋体"/>
          <w:sz w:val="24"/>
        </w:rPr>
        <w:t>》（〔</w:t>
      </w:r>
      <w:r>
        <w:rPr>
          <w:rFonts w:hint="eastAsia" w:ascii="宋体" w:hAnsi="宋体"/>
          <w:sz w:val="24"/>
        </w:rPr>
        <w:t>2015</w:t>
      </w:r>
      <w:r>
        <w:rPr>
          <w:rFonts w:ascii="宋体" w:hAnsi="宋体"/>
          <w:sz w:val="24"/>
        </w:rPr>
        <w:t>〕3</w:t>
      </w:r>
      <w:r>
        <w:rPr>
          <w:rFonts w:hint="eastAsia" w:ascii="宋体" w:hAnsi="宋体"/>
          <w:sz w:val="24"/>
        </w:rPr>
        <w:t>09</w:t>
      </w:r>
      <w:r>
        <w:rPr>
          <w:rFonts w:ascii="宋体" w:hAnsi="宋体"/>
          <w:sz w:val="24"/>
        </w:rPr>
        <w:t>号）</w:t>
      </w:r>
      <w:r>
        <w:rPr>
          <w:rFonts w:hint="eastAsia" w:ascii="宋体" w:hAnsi="宋体"/>
          <w:sz w:val="24"/>
        </w:rPr>
        <w:t>等国务院批准的中小企业划分标准执行</w:t>
      </w:r>
      <w:r>
        <w:rPr>
          <w:rFonts w:ascii="宋体" w:hAnsi="宋体"/>
          <w:sz w:val="24"/>
        </w:rPr>
        <w:t>。</w:t>
      </w:r>
    </w:p>
    <w:p w14:paraId="6F7E23BD">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sz w:val="24"/>
        </w:rPr>
        <w:t>供应商提供的货物、工程或者服务符合下列情形的，享受中小企业扶持政策：</w:t>
      </w:r>
    </w:p>
    <w:p w14:paraId="552DF362">
      <w:pPr>
        <w:tabs>
          <w:tab w:val="left" w:pos="1980"/>
        </w:tabs>
        <w:snapToGrid w:val="0"/>
        <w:spacing w:line="360" w:lineRule="auto"/>
        <w:ind w:left="2835" w:leftChars="1350"/>
        <w:rPr>
          <w:rFonts w:hint="eastAsia" w:ascii="宋体" w:hAnsi="宋体"/>
          <w:sz w:val="24"/>
        </w:rPr>
      </w:pPr>
      <w:r>
        <w:rPr>
          <w:rFonts w:ascii="宋体" w:hAnsi="宋体"/>
          <w:sz w:val="24"/>
        </w:rPr>
        <w:t>（1）在货物采购项目中，货物由中小企业制造，即货物由中小企业生产且使用该中小企业商号或者注册商标；</w:t>
      </w:r>
    </w:p>
    <w:p w14:paraId="5EDEDBD4">
      <w:pPr>
        <w:tabs>
          <w:tab w:val="left" w:pos="1980"/>
        </w:tabs>
        <w:snapToGrid w:val="0"/>
        <w:spacing w:line="360" w:lineRule="auto"/>
        <w:ind w:left="2835" w:leftChars="1350"/>
        <w:rPr>
          <w:rFonts w:hint="eastAsia" w:ascii="宋体" w:hAnsi="宋体"/>
          <w:sz w:val="24"/>
        </w:rPr>
      </w:pPr>
      <w:r>
        <w:rPr>
          <w:rFonts w:ascii="宋体" w:hAnsi="宋体"/>
          <w:sz w:val="24"/>
        </w:rPr>
        <w:t>（2）在工程采购项目中，工程由中小企业承建，即工程施工单位为中小企业；</w:t>
      </w:r>
    </w:p>
    <w:p w14:paraId="26A43D11">
      <w:pPr>
        <w:tabs>
          <w:tab w:val="left" w:pos="1980"/>
        </w:tabs>
        <w:snapToGrid w:val="0"/>
        <w:spacing w:line="360" w:lineRule="auto"/>
        <w:ind w:left="2835" w:leftChars="1350"/>
        <w:rPr>
          <w:rFonts w:hint="eastAsia" w:ascii="宋体" w:hAnsi="宋体"/>
          <w:sz w:val="24"/>
        </w:rPr>
      </w:pPr>
      <w:r>
        <w:rPr>
          <w:rFonts w:ascii="宋体" w:hAnsi="宋体"/>
          <w:sz w:val="24"/>
        </w:rPr>
        <w:t>（3）在服务采购项目中，服务由中小企业承接，即提供服务的人员为中小企业依照《中华人民共和国劳动合同法》订立劳动合同的从业人员。</w:t>
      </w:r>
    </w:p>
    <w:p w14:paraId="05C781FB">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sz w:val="24"/>
        </w:rPr>
        <w:t>在货物采购项目中，供应商提供的货物既有中小企业制造货物，也有大型企业制造货物的，不享受中小企业扶持政策。</w:t>
      </w:r>
    </w:p>
    <w:p w14:paraId="51D234A0">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sz w:val="24"/>
        </w:rPr>
        <w:t>以联合体形式参加政府采购活动，联合体各方均为中小企业的，联合体视同中小企业。其中，联合体各方均为小微企业的，联合体视同小微企业。</w:t>
      </w:r>
    </w:p>
    <w:p w14:paraId="0839D20B">
      <w:pPr>
        <w:numPr>
          <w:ilvl w:val="2"/>
          <w:numId w:val="1"/>
        </w:numPr>
        <w:snapToGrid w:val="0"/>
        <w:spacing w:line="360" w:lineRule="auto"/>
        <w:rPr>
          <w:rFonts w:hint="eastAsia" w:ascii="宋体" w:hAnsi="宋体"/>
          <w:sz w:val="24"/>
        </w:rPr>
      </w:pPr>
      <w:r>
        <w:rPr>
          <w:rFonts w:hint="eastAsia" w:ascii="宋体" w:hAnsi="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D3BA366">
      <w:pPr>
        <w:numPr>
          <w:ilvl w:val="2"/>
          <w:numId w:val="1"/>
        </w:numPr>
        <w:snapToGrid w:val="0"/>
        <w:spacing w:line="360" w:lineRule="auto"/>
        <w:rPr>
          <w:rFonts w:hint="eastAsia" w:ascii="宋体" w:hAnsi="宋体"/>
          <w:sz w:val="24"/>
        </w:rPr>
      </w:pPr>
      <w:r>
        <w:rPr>
          <w:rFonts w:hint="eastAsia" w:ascii="宋体" w:hAnsi="宋体"/>
          <w:sz w:val="24"/>
        </w:rPr>
        <w:t>在政府采购活动中，监狱企业视同小型、微型企业，享受预留份额、评审中价格扣除等政府采购促进中小企业发展的政府采购政策。残疾人福利性单位定义：享受政府采购支持政策的残疾人福利性单位应当同时满足以下条件：</w:t>
      </w:r>
    </w:p>
    <w:p w14:paraId="63F84AC2">
      <w:pPr>
        <w:pStyle w:val="66"/>
        <w:numPr>
          <w:ilvl w:val="2"/>
          <w:numId w:val="2"/>
        </w:numPr>
        <w:tabs>
          <w:tab w:val="left" w:pos="2035"/>
          <w:tab w:val="left" w:pos="2977"/>
        </w:tabs>
        <w:snapToGrid w:val="0"/>
        <w:spacing w:line="360" w:lineRule="auto"/>
        <w:ind w:firstLineChars="0"/>
        <w:rPr>
          <w:rFonts w:hint="eastAsia" w:ascii="宋体" w:hAnsi="宋体"/>
          <w:vanish/>
          <w:sz w:val="24"/>
          <w:szCs w:val="24"/>
        </w:rPr>
      </w:pPr>
    </w:p>
    <w:p w14:paraId="4758D1FD">
      <w:pPr>
        <w:pStyle w:val="66"/>
        <w:numPr>
          <w:ilvl w:val="2"/>
          <w:numId w:val="2"/>
        </w:numPr>
        <w:tabs>
          <w:tab w:val="left" w:pos="2035"/>
          <w:tab w:val="left" w:pos="2977"/>
        </w:tabs>
        <w:snapToGrid w:val="0"/>
        <w:spacing w:line="360" w:lineRule="auto"/>
        <w:ind w:firstLineChars="0"/>
        <w:rPr>
          <w:rFonts w:hint="eastAsia" w:ascii="宋体" w:hAnsi="宋体"/>
          <w:vanish/>
          <w:sz w:val="24"/>
          <w:szCs w:val="24"/>
        </w:rPr>
      </w:pPr>
    </w:p>
    <w:p w14:paraId="357CA4C3">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sz w:val="24"/>
        </w:rPr>
        <w:t>安置的残疾人占本单位在职职工人数的比例不低于25%（含25%），并且安置的残疾人人数不少于10 人（含10 人）；</w:t>
      </w:r>
    </w:p>
    <w:p w14:paraId="09C99C1E">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sz w:val="24"/>
        </w:rPr>
        <w:t>依法与安置的每位残疾人签订了一年以上（含一年）的劳动合同或服务协议；</w:t>
      </w:r>
    </w:p>
    <w:p w14:paraId="1676E51F">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sz w:val="24"/>
        </w:rPr>
        <w:t>为安置的每位残疾人按月足额缴纳了基本养老保险、基本医疗保险、失业保险、工伤保险和生育保险等社会保险费；</w:t>
      </w:r>
    </w:p>
    <w:p w14:paraId="6A408EE8">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sz w:val="24"/>
        </w:rPr>
        <w:t>通过银行等金融机构向安置的每位残疾人，按月支付了不低于单位所在区县适用的经省级人民政府批准的月最低工资标准的工资；</w:t>
      </w:r>
    </w:p>
    <w:p w14:paraId="49B74069">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sz w:val="24"/>
        </w:rPr>
        <w:t>提供本单位制造的货物、承担的工程或者服务（以下简称产品），或者提供其他残疾人福利性单位制造的货物（不包括使用非残疾人福利性单位注册商标的货物）；</w:t>
      </w:r>
    </w:p>
    <w:p w14:paraId="162EC5BA">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B643249">
      <w:pPr>
        <w:numPr>
          <w:ilvl w:val="2"/>
          <w:numId w:val="1"/>
        </w:numPr>
        <w:snapToGrid w:val="0"/>
        <w:spacing w:line="360" w:lineRule="auto"/>
        <w:rPr>
          <w:rFonts w:hint="eastAsia" w:ascii="宋体" w:hAnsi="宋体"/>
          <w:sz w:val="24"/>
        </w:rPr>
      </w:pPr>
      <w:r>
        <w:rPr>
          <w:rFonts w:ascii="宋体" w:hAnsi="宋体"/>
          <w:sz w:val="24"/>
        </w:rPr>
        <w:t>本项目是否专门面向中小企业预留采购份额见第一章《采购邀请》。</w:t>
      </w:r>
    </w:p>
    <w:p w14:paraId="6DE9D975">
      <w:pPr>
        <w:numPr>
          <w:ilvl w:val="2"/>
          <w:numId w:val="1"/>
        </w:numPr>
        <w:snapToGrid w:val="0"/>
        <w:spacing w:line="360" w:lineRule="auto"/>
        <w:rPr>
          <w:rFonts w:hint="eastAsia" w:ascii="宋体" w:hAnsi="宋体"/>
          <w:sz w:val="24"/>
        </w:rPr>
      </w:pPr>
      <w:r>
        <w:rPr>
          <w:rFonts w:ascii="宋体" w:hAnsi="宋体"/>
          <w:sz w:val="24"/>
        </w:rPr>
        <w:t>采购标的对应的中小企业划分标准所属行业见《供应商须知资料表》。</w:t>
      </w:r>
    </w:p>
    <w:p w14:paraId="3F484D86">
      <w:pPr>
        <w:numPr>
          <w:ilvl w:val="2"/>
          <w:numId w:val="1"/>
        </w:numPr>
        <w:snapToGrid w:val="0"/>
        <w:spacing w:line="360" w:lineRule="auto"/>
        <w:rPr>
          <w:rFonts w:hint="eastAsia" w:ascii="宋体" w:hAnsi="宋体"/>
          <w:sz w:val="24"/>
        </w:rPr>
      </w:pPr>
      <w:r>
        <w:rPr>
          <w:rFonts w:ascii="宋体" w:hAnsi="宋体"/>
          <w:sz w:val="24"/>
        </w:rPr>
        <w:t>小微企业价格评审优惠的政策调整：见第三章《评审方法和评审标准》。</w:t>
      </w:r>
    </w:p>
    <w:p w14:paraId="53D2D66F">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政府采购节能产品、环境标志产品</w:t>
      </w:r>
    </w:p>
    <w:p w14:paraId="5A794879">
      <w:pPr>
        <w:numPr>
          <w:ilvl w:val="2"/>
          <w:numId w:val="1"/>
        </w:numPr>
        <w:snapToGrid w:val="0"/>
        <w:spacing w:line="360" w:lineRule="auto"/>
        <w:rPr>
          <w:rFonts w:hint="eastAsia" w:ascii="宋体" w:hAnsi="宋体"/>
          <w:sz w:val="24"/>
        </w:rPr>
      </w:pP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9DE363A">
      <w:pPr>
        <w:numPr>
          <w:ilvl w:val="2"/>
          <w:numId w:val="1"/>
        </w:numPr>
        <w:snapToGrid w:val="0"/>
        <w:spacing w:line="360" w:lineRule="auto"/>
        <w:rPr>
          <w:rFonts w:hint="eastAsia"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CD33AF7">
      <w:pPr>
        <w:numPr>
          <w:ilvl w:val="2"/>
          <w:numId w:val="1"/>
        </w:numPr>
        <w:snapToGrid w:val="0"/>
        <w:spacing w:line="360" w:lineRule="auto"/>
        <w:rPr>
          <w:rFonts w:hint="eastAsia" w:ascii="宋体" w:hAnsi="宋体"/>
          <w:sz w:val="24"/>
        </w:rPr>
      </w:pPr>
      <w:r>
        <w:rPr>
          <w:rFonts w:ascii="宋体" w:hAnsi="宋体"/>
          <w:sz w:val="24"/>
        </w:rPr>
        <w:t>如本项目采购产品属于实施政府强制采购品目清单范围的节能产品，则供应商所报产品必须获得国家确定的认证机构出具的、处于有效期之内的节能产品认证证书，</w:t>
      </w:r>
      <w:r>
        <w:rPr>
          <w:rFonts w:ascii="宋体" w:hAnsi="宋体"/>
          <w:kern w:val="0"/>
          <w:sz w:val="24"/>
        </w:rPr>
        <w:t>否则</w:t>
      </w:r>
      <w:r>
        <w:rPr>
          <w:rFonts w:ascii="宋体" w:hAnsi="宋体"/>
          <w:b/>
          <w:kern w:val="0"/>
          <w:sz w:val="24"/>
        </w:rPr>
        <w:t>响应无效</w:t>
      </w:r>
      <w:r>
        <w:rPr>
          <w:rFonts w:ascii="宋体" w:hAnsi="宋体"/>
          <w:sz w:val="24"/>
        </w:rPr>
        <w:t>；</w:t>
      </w:r>
    </w:p>
    <w:p w14:paraId="2E8A0526">
      <w:pPr>
        <w:numPr>
          <w:ilvl w:val="2"/>
          <w:numId w:val="1"/>
        </w:numPr>
        <w:snapToGrid w:val="0"/>
        <w:spacing w:line="360" w:lineRule="auto"/>
        <w:rPr>
          <w:rFonts w:hint="eastAsia" w:ascii="宋体" w:hAnsi="宋体"/>
          <w:sz w:val="24"/>
        </w:rPr>
      </w:pPr>
      <w:r>
        <w:rPr>
          <w:rFonts w:ascii="宋体" w:hAnsi="宋体"/>
          <w:sz w:val="24"/>
        </w:rPr>
        <w:t>非政府强制采购的节能产品或环境标志产品，依据品目清单和认证证书实施政府优先采购。优先采购的具体规定见第三章《评审方法和评审标准》（如涉及）。</w:t>
      </w:r>
    </w:p>
    <w:p w14:paraId="7FF46076">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正版软件</w:t>
      </w:r>
    </w:p>
    <w:p w14:paraId="5D259104">
      <w:pPr>
        <w:numPr>
          <w:ilvl w:val="2"/>
          <w:numId w:val="1"/>
        </w:numPr>
        <w:snapToGrid w:val="0"/>
        <w:spacing w:line="360" w:lineRule="auto"/>
        <w:rPr>
          <w:rFonts w:hint="eastAsia" w:ascii="宋体" w:hAnsi="宋体"/>
          <w:sz w:val="24"/>
        </w:rPr>
      </w:pP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53933ED">
      <w:pPr>
        <w:numPr>
          <w:ilvl w:val="1"/>
          <w:numId w:val="1"/>
        </w:numPr>
        <w:tabs>
          <w:tab w:val="left" w:pos="1080"/>
          <w:tab w:val="left" w:pos="2014"/>
        </w:tabs>
        <w:snapToGrid w:val="0"/>
        <w:spacing w:line="360" w:lineRule="auto"/>
        <w:ind w:left="1080" w:hanging="720"/>
        <w:rPr>
          <w:rFonts w:hint="eastAsia" w:ascii="宋体" w:hAnsi="宋体"/>
          <w:sz w:val="24"/>
        </w:rPr>
      </w:pPr>
      <w:r>
        <w:rPr>
          <w:rFonts w:hint="eastAsia" w:ascii="宋体" w:hAnsi="宋体"/>
          <w:sz w:val="24"/>
        </w:rPr>
        <w:t>网络安全专用</w:t>
      </w:r>
      <w:r>
        <w:rPr>
          <w:rFonts w:ascii="宋体" w:hAnsi="宋体"/>
          <w:sz w:val="24"/>
        </w:rPr>
        <w:t>产品</w:t>
      </w:r>
    </w:p>
    <w:p w14:paraId="7E89CD08">
      <w:pPr>
        <w:tabs>
          <w:tab w:val="left" w:pos="1080"/>
          <w:tab w:val="left" w:pos="1589"/>
          <w:tab w:val="left" w:pos="2014"/>
        </w:tabs>
        <w:snapToGrid w:val="0"/>
        <w:spacing w:line="360" w:lineRule="auto"/>
        <w:ind w:left="1080"/>
        <w:rPr>
          <w:rFonts w:hint="eastAsia" w:ascii="宋体" w:hAnsi="宋体"/>
          <w:sz w:val="24"/>
        </w:rPr>
      </w:pPr>
      <w:r>
        <w:rPr>
          <w:rFonts w:hint="eastAsia" w:ascii="宋体" w:hAnsi="宋体"/>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78BA61E">
      <w:pPr>
        <w:numPr>
          <w:ilvl w:val="1"/>
          <w:numId w:val="1"/>
        </w:numPr>
        <w:tabs>
          <w:tab w:val="left" w:pos="1080"/>
          <w:tab w:val="left" w:pos="2014"/>
        </w:tabs>
        <w:snapToGrid w:val="0"/>
        <w:spacing w:line="360" w:lineRule="auto"/>
        <w:rPr>
          <w:rFonts w:hint="eastAsia" w:ascii="宋体" w:hAnsi="宋体"/>
          <w:sz w:val="24"/>
        </w:rPr>
      </w:pPr>
      <w:r>
        <w:rPr>
          <w:rFonts w:ascii="宋体" w:hAnsi="宋体"/>
          <w:sz w:val="24"/>
        </w:rPr>
        <w:t>推广使用低挥发性有机化合物（VOCs）</w:t>
      </w:r>
    </w:p>
    <w:p w14:paraId="13708A45">
      <w:pPr>
        <w:numPr>
          <w:ilvl w:val="2"/>
          <w:numId w:val="1"/>
        </w:numPr>
        <w:snapToGrid w:val="0"/>
        <w:spacing w:line="360" w:lineRule="auto"/>
        <w:rPr>
          <w:rFonts w:hint="eastAsia" w:ascii="宋体" w:hAnsi="宋体"/>
          <w:sz w:val="24"/>
        </w:rPr>
      </w:pP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宋体" w:hAnsi="宋体"/>
          <w:kern w:val="0"/>
          <w:sz w:val="24"/>
        </w:rPr>
        <w:t>否则</w:t>
      </w:r>
      <w:r>
        <w:rPr>
          <w:rFonts w:ascii="宋体" w:hAnsi="宋体"/>
          <w:b/>
          <w:kern w:val="0"/>
          <w:sz w:val="24"/>
        </w:rPr>
        <w:t>响应无效</w:t>
      </w:r>
      <w:r>
        <w:rPr>
          <w:rFonts w:ascii="宋体" w:hAnsi="宋体"/>
          <w:sz w:val="24"/>
        </w:rPr>
        <w:t>；属于推荐性标准的，优先采购，具体见第三章《评审方法和评审标准》。</w:t>
      </w:r>
    </w:p>
    <w:p w14:paraId="5F752379">
      <w:pPr>
        <w:pStyle w:val="65"/>
        <w:numPr>
          <w:ilvl w:val="1"/>
          <w:numId w:val="1"/>
        </w:numPr>
        <w:tabs>
          <w:tab w:val="left" w:pos="1980"/>
        </w:tabs>
        <w:snapToGrid w:val="0"/>
        <w:spacing w:line="360" w:lineRule="auto"/>
        <w:ind w:firstLineChars="0"/>
        <w:rPr>
          <w:rFonts w:hint="eastAsia" w:ascii="宋体" w:hAnsi="宋体"/>
          <w:sz w:val="24"/>
        </w:rPr>
      </w:pPr>
      <w:r>
        <w:rPr>
          <w:rFonts w:ascii="宋体" w:hAnsi="宋体"/>
          <w:sz w:val="24"/>
        </w:rPr>
        <w:t>采购需求标准</w:t>
      </w:r>
    </w:p>
    <w:p w14:paraId="2BDED1D1">
      <w:pPr>
        <w:pStyle w:val="65"/>
        <w:numPr>
          <w:ilvl w:val="2"/>
          <w:numId w:val="1"/>
        </w:numPr>
        <w:snapToGrid w:val="0"/>
        <w:spacing w:line="360" w:lineRule="auto"/>
        <w:ind w:firstLineChars="0"/>
        <w:rPr>
          <w:rFonts w:hint="eastAsia" w:ascii="宋体" w:hAnsi="宋体"/>
          <w:sz w:val="24"/>
        </w:rPr>
      </w:pPr>
      <w:r>
        <w:rPr>
          <w:rFonts w:hint="eastAsia" w:ascii="宋体" w:hAnsi="宋体"/>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1E24183E">
      <w:pPr>
        <w:pStyle w:val="65"/>
        <w:numPr>
          <w:ilvl w:val="2"/>
          <w:numId w:val="1"/>
        </w:numPr>
        <w:snapToGrid w:val="0"/>
        <w:spacing w:line="360" w:lineRule="auto"/>
        <w:ind w:firstLineChars="0"/>
        <w:rPr>
          <w:rFonts w:hint="eastAsia" w:ascii="宋体" w:hAnsi="宋体"/>
          <w:sz w:val="24"/>
        </w:rPr>
      </w:pPr>
      <w:r>
        <w:rPr>
          <w:rFonts w:hint="eastAsia" w:ascii="宋体" w:hAnsi="宋体"/>
          <w:sz w:val="24"/>
        </w:rPr>
        <w:t>其他政府采购需求标准</w:t>
      </w:r>
    </w:p>
    <w:p w14:paraId="69C2C9C7">
      <w:pPr>
        <w:pStyle w:val="65"/>
        <w:tabs>
          <w:tab w:val="left" w:pos="1980"/>
        </w:tabs>
        <w:snapToGrid w:val="0"/>
        <w:spacing w:line="360" w:lineRule="auto"/>
        <w:ind w:left="1980" w:firstLine="0" w:firstLineChars="0"/>
        <w:rPr>
          <w:rFonts w:hint="eastAsia" w:ascii="宋体" w:hAnsi="宋体"/>
          <w:sz w:val="24"/>
        </w:rPr>
      </w:pPr>
      <w:r>
        <w:rPr>
          <w:rFonts w:hint="eastAsia" w:ascii="宋体" w:hAnsi="宋体"/>
          <w:sz w:val="24"/>
        </w:rPr>
        <w:t>为贯彻落实《深化政府采购制度改革方案》有关要求，推动政府采购需求标准建设，财政部门会同有关部门制定发布的其他政府采购需求标准，本项目如涉及，则具体要求见第四章《采购需求》。</w:t>
      </w:r>
    </w:p>
    <w:p w14:paraId="70C3CD87">
      <w:pPr>
        <w:numPr>
          <w:ilvl w:val="0"/>
          <w:numId w:val="1"/>
        </w:numPr>
        <w:tabs>
          <w:tab w:val="left" w:pos="360"/>
        </w:tabs>
        <w:snapToGrid w:val="0"/>
        <w:spacing w:line="360" w:lineRule="auto"/>
        <w:ind w:left="357" w:hanging="357"/>
        <w:outlineLvl w:val="2"/>
        <w:rPr>
          <w:rFonts w:hint="eastAsia" w:ascii="宋体" w:hAnsi="宋体"/>
          <w:sz w:val="24"/>
        </w:rPr>
      </w:pPr>
      <w:r>
        <w:rPr>
          <w:rFonts w:ascii="宋体" w:hAnsi="宋体"/>
          <w:sz w:val="24"/>
        </w:rPr>
        <w:t>响应费用</w:t>
      </w:r>
    </w:p>
    <w:p w14:paraId="22B0A603">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供应商应自行承担所有与准备和参加磋商有关的费用，无论磋商的结果如何，采购人或采购代理机构在任何情况下均无承担这些费用的义务和责任。</w:t>
      </w:r>
    </w:p>
    <w:p w14:paraId="6DDD7F34">
      <w:pPr>
        <w:jc w:val="center"/>
        <w:outlineLvl w:val="1"/>
        <w:rPr>
          <w:rFonts w:hint="eastAsia" w:ascii="宋体" w:hAnsi="宋体"/>
          <w:b/>
          <w:bCs/>
          <w:sz w:val="28"/>
          <w:szCs w:val="36"/>
        </w:rPr>
      </w:pPr>
      <w:r>
        <w:rPr>
          <w:rFonts w:ascii="宋体" w:hAnsi="宋体"/>
          <w:b/>
          <w:bCs/>
          <w:sz w:val="28"/>
          <w:szCs w:val="36"/>
        </w:rPr>
        <w:t>二   竞争性磋商文件</w:t>
      </w:r>
    </w:p>
    <w:p w14:paraId="6565DDFB">
      <w:pPr>
        <w:numPr>
          <w:ilvl w:val="0"/>
          <w:numId w:val="1"/>
        </w:numPr>
        <w:tabs>
          <w:tab w:val="left" w:pos="360"/>
        </w:tabs>
        <w:snapToGrid w:val="0"/>
        <w:spacing w:line="360" w:lineRule="auto"/>
        <w:ind w:left="357" w:hanging="357"/>
        <w:outlineLvl w:val="2"/>
        <w:rPr>
          <w:rFonts w:hint="eastAsia" w:ascii="宋体" w:hAnsi="宋体"/>
          <w:sz w:val="24"/>
        </w:rPr>
      </w:pPr>
      <w:bookmarkStart w:id="99" w:name="_Toc226965713"/>
      <w:bookmarkStart w:id="100" w:name="_Toc164351617"/>
      <w:bookmarkStart w:id="101" w:name="_Toc265228361"/>
      <w:bookmarkStart w:id="102" w:name="_Toc142311025"/>
      <w:bookmarkStart w:id="103" w:name="_Toc151193837"/>
      <w:bookmarkStart w:id="104" w:name="_Toc226965796"/>
      <w:bookmarkStart w:id="105" w:name="_Toc151193911"/>
      <w:bookmarkStart w:id="106" w:name="_Toc164608792"/>
      <w:bookmarkStart w:id="107" w:name="_Toc127151724"/>
      <w:bookmarkStart w:id="108" w:name="_Toc520356147"/>
      <w:bookmarkStart w:id="109" w:name="_Toc195842888"/>
      <w:bookmarkStart w:id="110" w:name="_Toc164229364"/>
      <w:bookmarkStart w:id="111" w:name="_Toc151193621"/>
      <w:bookmarkStart w:id="112" w:name="_Toc151190150"/>
      <w:bookmarkStart w:id="113" w:name="_Toc149720816"/>
      <w:bookmarkStart w:id="114" w:name="_Toc226337219"/>
      <w:bookmarkStart w:id="115" w:name="_Toc264969213"/>
      <w:bookmarkStart w:id="116" w:name="_Toc150509274"/>
      <w:bookmarkStart w:id="117" w:name="_Toc150774728"/>
      <w:bookmarkStart w:id="118" w:name="_Toc164229218"/>
      <w:bookmarkStart w:id="119" w:name="_Toc305158791"/>
      <w:bookmarkStart w:id="120" w:name="_Toc151193693"/>
      <w:bookmarkStart w:id="121" w:name="_Toc226309767"/>
      <w:bookmarkStart w:id="122" w:name="_Toc164608637"/>
      <w:bookmarkStart w:id="123" w:name="_Toc127161437"/>
      <w:bookmarkStart w:id="124" w:name="_Toc151193765"/>
      <w:bookmarkStart w:id="125" w:name="_Toc150480761"/>
      <w:bookmarkStart w:id="126" w:name="_Toc127151523"/>
      <w:bookmarkStart w:id="127" w:name="_Toc150774623"/>
      <w:bookmarkStart w:id="128" w:name="_Toc305158865"/>
      <w:r>
        <w:rPr>
          <w:rFonts w:ascii="宋体" w:hAnsi="宋体"/>
          <w:sz w:val="24"/>
        </w:rPr>
        <w:t>竞争性磋商文件构</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ascii="宋体" w:hAnsi="宋体"/>
          <w:sz w:val="24"/>
        </w:rPr>
        <w:t>成</w:t>
      </w:r>
    </w:p>
    <w:p w14:paraId="1001DC33">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竞争性磋商文件包括以下部分：</w:t>
      </w:r>
    </w:p>
    <w:p w14:paraId="3269473A">
      <w:pPr>
        <w:numPr>
          <w:ilvl w:val="0"/>
          <w:numId w:val="3"/>
        </w:numPr>
        <w:tabs>
          <w:tab w:val="left" w:pos="1980"/>
          <w:tab w:val="left" w:pos="2520"/>
        </w:tabs>
        <w:snapToGrid w:val="0"/>
        <w:spacing w:line="360" w:lineRule="auto"/>
        <w:ind w:left="1440" w:firstLine="5"/>
        <w:rPr>
          <w:rFonts w:hint="eastAsia" w:ascii="宋体" w:hAnsi="宋体"/>
          <w:sz w:val="24"/>
        </w:rPr>
      </w:pPr>
      <w:r>
        <w:rPr>
          <w:rFonts w:ascii="宋体" w:hAnsi="宋体"/>
          <w:sz w:val="24"/>
        </w:rPr>
        <w:t>采购邀请</w:t>
      </w:r>
    </w:p>
    <w:p w14:paraId="0BDE467A">
      <w:pPr>
        <w:numPr>
          <w:ilvl w:val="0"/>
          <w:numId w:val="3"/>
        </w:numPr>
        <w:tabs>
          <w:tab w:val="left" w:pos="1980"/>
          <w:tab w:val="left" w:pos="2520"/>
        </w:tabs>
        <w:snapToGrid w:val="0"/>
        <w:spacing w:line="360" w:lineRule="auto"/>
        <w:ind w:left="1440" w:firstLine="5"/>
        <w:rPr>
          <w:rFonts w:hint="eastAsia" w:ascii="宋体" w:hAnsi="宋体"/>
          <w:sz w:val="24"/>
        </w:rPr>
      </w:pPr>
      <w:r>
        <w:rPr>
          <w:rFonts w:ascii="宋体" w:hAnsi="宋体"/>
          <w:sz w:val="24"/>
        </w:rPr>
        <w:t>供应商须知</w:t>
      </w:r>
    </w:p>
    <w:p w14:paraId="694277F5">
      <w:pPr>
        <w:numPr>
          <w:ilvl w:val="0"/>
          <w:numId w:val="3"/>
        </w:numPr>
        <w:tabs>
          <w:tab w:val="left" w:pos="1980"/>
          <w:tab w:val="left" w:pos="2520"/>
        </w:tabs>
        <w:snapToGrid w:val="0"/>
        <w:spacing w:line="360" w:lineRule="auto"/>
        <w:ind w:left="1440" w:firstLine="5"/>
        <w:rPr>
          <w:rFonts w:hint="eastAsia" w:ascii="宋体" w:hAnsi="宋体"/>
          <w:sz w:val="24"/>
        </w:rPr>
      </w:pPr>
      <w:r>
        <w:rPr>
          <w:rFonts w:ascii="宋体" w:hAnsi="宋体"/>
          <w:sz w:val="24"/>
        </w:rPr>
        <w:t>评审方法和评审标准</w:t>
      </w:r>
    </w:p>
    <w:p w14:paraId="3600D057">
      <w:pPr>
        <w:numPr>
          <w:ilvl w:val="0"/>
          <w:numId w:val="3"/>
        </w:numPr>
        <w:tabs>
          <w:tab w:val="left" w:pos="1980"/>
          <w:tab w:val="left" w:pos="2520"/>
        </w:tabs>
        <w:snapToGrid w:val="0"/>
        <w:spacing w:line="360" w:lineRule="auto"/>
        <w:ind w:left="1440" w:firstLine="5"/>
        <w:rPr>
          <w:rFonts w:hint="eastAsia" w:ascii="宋体" w:hAnsi="宋体"/>
          <w:sz w:val="24"/>
        </w:rPr>
      </w:pPr>
      <w:r>
        <w:rPr>
          <w:rFonts w:ascii="宋体" w:hAnsi="宋体"/>
          <w:sz w:val="24"/>
        </w:rPr>
        <w:t>采购需求</w:t>
      </w:r>
    </w:p>
    <w:p w14:paraId="58456761">
      <w:pPr>
        <w:numPr>
          <w:ilvl w:val="0"/>
          <w:numId w:val="3"/>
        </w:numPr>
        <w:tabs>
          <w:tab w:val="left" w:pos="1980"/>
          <w:tab w:val="left" w:pos="2520"/>
        </w:tabs>
        <w:snapToGrid w:val="0"/>
        <w:spacing w:line="360" w:lineRule="auto"/>
        <w:ind w:left="1440" w:firstLine="5"/>
        <w:rPr>
          <w:rFonts w:hint="eastAsia" w:ascii="宋体" w:hAnsi="宋体"/>
          <w:sz w:val="24"/>
        </w:rPr>
      </w:pPr>
      <w:r>
        <w:rPr>
          <w:rFonts w:ascii="宋体" w:hAnsi="宋体"/>
          <w:sz w:val="24"/>
        </w:rPr>
        <w:t>合同草案条款</w:t>
      </w:r>
    </w:p>
    <w:p w14:paraId="799BE2E7">
      <w:pPr>
        <w:numPr>
          <w:ilvl w:val="0"/>
          <w:numId w:val="3"/>
        </w:numPr>
        <w:tabs>
          <w:tab w:val="left" w:pos="1980"/>
          <w:tab w:val="left" w:pos="2520"/>
        </w:tabs>
        <w:snapToGrid w:val="0"/>
        <w:spacing w:line="360" w:lineRule="auto"/>
        <w:ind w:left="1440" w:firstLine="5"/>
        <w:rPr>
          <w:rFonts w:hint="eastAsia" w:ascii="宋体" w:hAnsi="宋体"/>
          <w:sz w:val="24"/>
        </w:rPr>
      </w:pPr>
      <w:r>
        <w:rPr>
          <w:rFonts w:ascii="宋体" w:hAnsi="宋体"/>
          <w:sz w:val="24"/>
        </w:rPr>
        <w:t>响应文件格式</w:t>
      </w:r>
    </w:p>
    <w:p w14:paraId="6C5CC2FC">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sz w:val="24"/>
        </w:rPr>
        <w:t>响应无效</w:t>
      </w:r>
      <w:r>
        <w:rPr>
          <w:rFonts w:ascii="宋体" w:hAnsi="宋体"/>
          <w:sz w:val="24"/>
        </w:rPr>
        <w:t>。</w:t>
      </w:r>
    </w:p>
    <w:p w14:paraId="3DB11C2F">
      <w:pPr>
        <w:numPr>
          <w:ilvl w:val="0"/>
          <w:numId w:val="1"/>
        </w:numPr>
        <w:tabs>
          <w:tab w:val="left" w:pos="1080"/>
          <w:tab w:val="left" w:pos="2014"/>
        </w:tabs>
        <w:snapToGrid w:val="0"/>
        <w:spacing w:line="360" w:lineRule="auto"/>
        <w:ind w:left="357" w:hanging="357"/>
        <w:outlineLvl w:val="2"/>
        <w:rPr>
          <w:rFonts w:hint="eastAsia" w:ascii="宋体" w:hAnsi="宋体"/>
          <w:sz w:val="24"/>
        </w:rPr>
      </w:pPr>
      <w:r>
        <w:rPr>
          <w:rFonts w:ascii="宋体" w:hAnsi="宋体"/>
          <w:sz w:val="24"/>
        </w:rPr>
        <w:t>对竞争性磋商文件的澄清或修改</w:t>
      </w:r>
    </w:p>
    <w:p w14:paraId="4E92FA6F">
      <w:pPr>
        <w:numPr>
          <w:ilvl w:val="1"/>
          <w:numId w:val="1"/>
        </w:numPr>
        <w:tabs>
          <w:tab w:val="left" w:pos="1080"/>
          <w:tab w:val="left" w:pos="1561"/>
          <w:tab w:val="left" w:pos="2014"/>
        </w:tabs>
        <w:snapToGrid w:val="0"/>
        <w:spacing w:line="360" w:lineRule="auto"/>
        <w:ind w:left="1080" w:hanging="720"/>
        <w:rPr>
          <w:rFonts w:hint="eastAsia" w:ascii="宋体" w:hAnsi="宋体"/>
          <w:sz w:val="24"/>
        </w:rPr>
      </w:pPr>
      <w:r>
        <w:rPr>
          <w:rFonts w:ascii="宋体" w:hAnsi="宋体"/>
          <w:sz w:val="24"/>
        </w:rPr>
        <w:t>采购人或采购代理机构对已发出的竞争性磋商文件进行必要澄清或者修改的，</w:t>
      </w:r>
      <w:r>
        <w:rPr>
          <w:rFonts w:hint="eastAsia" w:ascii="宋体" w:hAnsi="宋体"/>
          <w:sz w:val="24"/>
        </w:rPr>
        <w:t>将</w:t>
      </w:r>
      <w:r>
        <w:rPr>
          <w:rFonts w:ascii="宋体" w:hAnsi="宋体"/>
          <w:sz w:val="24"/>
        </w:rPr>
        <w:t>以书面形式通知所有获取竞争性磋商文件的潜在供应商。</w:t>
      </w:r>
      <w:r>
        <w:rPr>
          <w:rFonts w:hint="eastAsia" w:ascii="宋体" w:hAnsi="宋体"/>
          <w:sz w:val="24"/>
        </w:rPr>
        <w:t>采用公告方式邀请供应商参与的，还将</w:t>
      </w:r>
      <w:r>
        <w:rPr>
          <w:rFonts w:ascii="宋体" w:hAnsi="宋体"/>
          <w:sz w:val="24"/>
        </w:rPr>
        <w:t>在原公告发布媒体上发布更正公告</w:t>
      </w:r>
      <w:r>
        <w:rPr>
          <w:rFonts w:hint="eastAsia" w:ascii="宋体" w:hAnsi="宋体"/>
          <w:sz w:val="24"/>
        </w:rPr>
        <w:t>。</w:t>
      </w:r>
    </w:p>
    <w:p w14:paraId="779E5979">
      <w:pPr>
        <w:numPr>
          <w:ilvl w:val="1"/>
          <w:numId w:val="1"/>
        </w:numPr>
        <w:tabs>
          <w:tab w:val="left" w:pos="1080"/>
          <w:tab w:val="left" w:pos="1561"/>
          <w:tab w:val="left" w:pos="2014"/>
        </w:tabs>
        <w:snapToGrid w:val="0"/>
        <w:spacing w:line="360" w:lineRule="auto"/>
        <w:ind w:left="1080" w:hanging="720"/>
        <w:rPr>
          <w:rFonts w:hint="eastAsia" w:ascii="宋体" w:hAnsi="宋体"/>
          <w:sz w:val="24"/>
        </w:rPr>
      </w:pPr>
      <w:r>
        <w:rPr>
          <w:rFonts w:ascii="宋体" w:hAnsi="宋体"/>
          <w:sz w:val="24"/>
        </w:rPr>
        <w:t>上述书面通知，按照获取竞争性磋商文件的潜在供应商提供的联系方式发出，因提供的信息有误导致通知延迟或无法通知的，采购人或采购代理机构不承担责任。</w:t>
      </w:r>
    </w:p>
    <w:p w14:paraId="10DB7F68">
      <w:pPr>
        <w:numPr>
          <w:ilvl w:val="1"/>
          <w:numId w:val="1"/>
        </w:numPr>
        <w:tabs>
          <w:tab w:val="left" w:pos="1080"/>
          <w:tab w:val="left" w:pos="1561"/>
          <w:tab w:val="left" w:pos="2014"/>
        </w:tabs>
        <w:snapToGrid w:val="0"/>
        <w:spacing w:line="360" w:lineRule="auto"/>
        <w:ind w:left="1080" w:hanging="720"/>
        <w:rPr>
          <w:rFonts w:hint="eastAsia" w:ascii="宋体" w:hAnsi="宋体"/>
          <w:sz w:val="24"/>
        </w:rPr>
      </w:pPr>
      <w:r>
        <w:rPr>
          <w:rFonts w:ascii="宋体" w:hAnsi="宋体"/>
          <w:sz w:val="24"/>
        </w:rPr>
        <w:t>澄清或者修改的内容为竞争性磋商文件的组成部分，并对所有获取竞争性磋商文件的潜在供应商具有约束力。</w:t>
      </w:r>
      <w:bookmarkStart w:id="129" w:name="OLE_LINK1"/>
      <w:r>
        <w:rPr>
          <w:rFonts w:ascii="宋体" w:hAnsi="宋体"/>
          <w:sz w:val="24"/>
        </w:rPr>
        <w:t>澄清或者修改的内容可能影响响应文件编制的，将在提交首次响应文件截止之日</w:t>
      </w:r>
      <w:r>
        <w:rPr>
          <w:rFonts w:hint="eastAsia" w:ascii="宋体" w:hAnsi="宋体"/>
          <w:sz w:val="24"/>
        </w:rPr>
        <w:t>3个</w:t>
      </w:r>
      <w:r>
        <w:rPr>
          <w:rFonts w:ascii="宋体" w:hAnsi="宋体"/>
          <w:sz w:val="24"/>
        </w:rPr>
        <w:t>工作日前</w:t>
      </w:r>
      <w:bookmarkEnd w:id="129"/>
      <w:r>
        <w:rPr>
          <w:rFonts w:ascii="宋体" w:hAnsi="宋体"/>
          <w:sz w:val="24"/>
        </w:rPr>
        <w:t>；</w:t>
      </w:r>
      <w:r>
        <w:rPr>
          <w:rFonts w:hint="eastAsia" w:ascii="宋体" w:hAnsi="宋体"/>
          <w:sz w:val="24"/>
        </w:rPr>
        <w:t>以书面形式通知所有获取磋商文件的供应商；</w:t>
      </w:r>
      <w:r>
        <w:rPr>
          <w:rFonts w:ascii="宋体" w:hAnsi="宋体"/>
          <w:sz w:val="24"/>
        </w:rPr>
        <w:t>不足上述时间的，将顺延提交响应文件的截止时间。</w:t>
      </w:r>
    </w:p>
    <w:p w14:paraId="4FB3636A">
      <w:pPr>
        <w:jc w:val="center"/>
        <w:outlineLvl w:val="1"/>
        <w:rPr>
          <w:rFonts w:hint="eastAsia" w:ascii="宋体" w:hAnsi="宋体"/>
          <w:b/>
          <w:bCs/>
          <w:sz w:val="28"/>
          <w:szCs w:val="36"/>
        </w:rPr>
      </w:pPr>
      <w:r>
        <w:rPr>
          <w:rFonts w:ascii="宋体" w:hAnsi="宋体"/>
          <w:b/>
          <w:bCs/>
          <w:sz w:val="28"/>
          <w:szCs w:val="36"/>
        </w:rPr>
        <w:t>三   响应文件的编制</w:t>
      </w:r>
    </w:p>
    <w:p w14:paraId="2FF9C0E9">
      <w:pPr>
        <w:numPr>
          <w:ilvl w:val="0"/>
          <w:numId w:val="1"/>
        </w:numPr>
        <w:tabs>
          <w:tab w:val="left" w:pos="360"/>
        </w:tabs>
        <w:snapToGrid w:val="0"/>
        <w:spacing w:line="360" w:lineRule="auto"/>
        <w:ind w:left="357" w:hanging="357"/>
        <w:outlineLvl w:val="2"/>
        <w:rPr>
          <w:rFonts w:hint="eastAsia" w:ascii="宋体" w:hAnsi="宋体"/>
          <w:sz w:val="24"/>
        </w:rPr>
      </w:pPr>
      <w:bookmarkStart w:id="130" w:name="_Toc149720820"/>
      <w:bookmarkStart w:id="131" w:name="_Toc150509278"/>
      <w:bookmarkStart w:id="132" w:name="_Toc164229368"/>
      <w:bookmarkStart w:id="133" w:name="_Toc127151527"/>
      <w:bookmarkStart w:id="134" w:name="_Toc151190154"/>
      <w:bookmarkStart w:id="135" w:name="_Toc516367021"/>
      <w:bookmarkStart w:id="136" w:name="_Toc520356151"/>
      <w:bookmarkStart w:id="137" w:name="_Toc164351621"/>
      <w:bookmarkStart w:id="138" w:name="_Toc150774627"/>
      <w:bookmarkStart w:id="139" w:name="_Toc151193769"/>
      <w:bookmarkStart w:id="140" w:name="_Toc226337223"/>
      <w:bookmarkStart w:id="141" w:name="_Toc226965800"/>
      <w:bookmarkStart w:id="142" w:name="_Toc151193625"/>
      <w:bookmarkStart w:id="143" w:name="_Toc164229222"/>
      <w:bookmarkStart w:id="144" w:name="_Toc305158869"/>
      <w:bookmarkStart w:id="145" w:name="_Toc142311029"/>
      <w:bookmarkStart w:id="146" w:name="_Toc305158795"/>
      <w:bookmarkStart w:id="147" w:name="_Toc195842892"/>
      <w:bookmarkStart w:id="148" w:name="_Toc127151728"/>
      <w:bookmarkStart w:id="149" w:name="_Toc226965717"/>
      <w:bookmarkStart w:id="150" w:name="_Toc226309771"/>
      <w:bookmarkStart w:id="151" w:name="_Toc150480765"/>
      <w:bookmarkStart w:id="152" w:name="_Toc265228365"/>
      <w:bookmarkStart w:id="153" w:name="_Toc164608796"/>
      <w:bookmarkStart w:id="154" w:name="_Toc164608641"/>
      <w:bookmarkStart w:id="155" w:name="_Toc151193915"/>
      <w:bookmarkStart w:id="156" w:name="_Toc151193697"/>
      <w:bookmarkStart w:id="157" w:name="_Toc264969217"/>
      <w:bookmarkStart w:id="158" w:name="_Toc127161441"/>
      <w:bookmarkStart w:id="159" w:name="_Toc150774732"/>
      <w:bookmarkStart w:id="160" w:name="_Toc151193841"/>
      <w:r>
        <w:rPr>
          <w:rFonts w:ascii="宋体" w:hAnsi="宋体"/>
          <w:sz w:val="24"/>
        </w:rPr>
        <w:t>响应范围、竞争性磋商文件中计量单位的使用</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Pr>
          <w:rFonts w:ascii="宋体" w:hAnsi="宋体"/>
          <w:sz w:val="24"/>
        </w:rPr>
        <w:t>及磋商语言</w:t>
      </w:r>
    </w:p>
    <w:p w14:paraId="1B6A7799">
      <w:pPr>
        <w:numPr>
          <w:ilvl w:val="1"/>
          <w:numId w:val="1"/>
        </w:numPr>
        <w:tabs>
          <w:tab w:val="left" w:pos="1080"/>
          <w:tab w:val="left" w:pos="2014"/>
        </w:tabs>
        <w:snapToGrid w:val="0"/>
        <w:spacing w:line="360" w:lineRule="auto"/>
        <w:rPr>
          <w:rFonts w:hint="eastAsia" w:ascii="宋体" w:hAnsi="宋体"/>
          <w:sz w:val="24"/>
        </w:rPr>
      </w:pPr>
      <w:r>
        <w:rPr>
          <w:rFonts w:hint="eastAsia" w:ascii="宋体" w:hAnsi="宋体"/>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5E7AF0F6">
      <w:pPr>
        <w:numPr>
          <w:ilvl w:val="1"/>
          <w:numId w:val="1"/>
        </w:numPr>
        <w:tabs>
          <w:tab w:val="left" w:pos="1080"/>
          <w:tab w:val="left" w:pos="2014"/>
        </w:tabs>
        <w:snapToGrid w:val="0"/>
        <w:spacing w:line="360" w:lineRule="auto"/>
        <w:rPr>
          <w:rFonts w:hint="eastAsia" w:ascii="宋体" w:hAnsi="宋体"/>
          <w:sz w:val="24"/>
        </w:rPr>
      </w:pPr>
      <w:r>
        <w:rPr>
          <w:rFonts w:ascii="宋体" w:hAnsi="宋体"/>
          <w:sz w:val="24"/>
        </w:rPr>
        <w:t>除竞争性磋商文件有特殊要求外，本项目磋商所使用的计量单位，应采用中华人民共和国法定计量单位。</w:t>
      </w:r>
    </w:p>
    <w:p w14:paraId="2D7AF90A">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1B0CF25">
      <w:pPr>
        <w:numPr>
          <w:ilvl w:val="0"/>
          <w:numId w:val="1"/>
        </w:numPr>
        <w:tabs>
          <w:tab w:val="left" w:pos="360"/>
        </w:tabs>
        <w:snapToGrid w:val="0"/>
        <w:spacing w:line="360" w:lineRule="auto"/>
        <w:ind w:left="357" w:hanging="357"/>
        <w:outlineLvl w:val="2"/>
        <w:rPr>
          <w:rFonts w:hint="eastAsia" w:ascii="宋体" w:hAnsi="宋体"/>
          <w:sz w:val="24"/>
        </w:rPr>
      </w:pPr>
      <w:bookmarkStart w:id="161" w:name="_Toc516367022"/>
      <w:bookmarkStart w:id="162" w:name="_Ref467306195"/>
      <w:bookmarkStart w:id="163" w:name="_Ref467306676"/>
      <w:bookmarkStart w:id="164" w:name="_Toc150774733"/>
      <w:bookmarkStart w:id="165" w:name="_Toc226309772"/>
      <w:bookmarkStart w:id="166" w:name="_Toc164229369"/>
      <w:bookmarkStart w:id="167" w:name="_Toc150480766"/>
      <w:bookmarkStart w:id="168" w:name="_Toc151193626"/>
      <w:bookmarkStart w:id="169" w:name="_Toc151193770"/>
      <w:bookmarkStart w:id="170" w:name="_Toc226965801"/>
      <w:bookmarkStart w:id="171" w:name="_Toc142311030"/>
      <w:bookmarkStart w:id="172" w:name="_Toc127161442"/>
      <w:bookmarkStart w:id="173" w:name="_Toc305158796"/>
      <w:bookmarkStart w:id="174" w:name="_Toc127151528"/>
      <w:bookmarkStart w:id="175" w:name="_Toc226965718"/>
      <w:bookmarkStart w:id="176" w:name="_Toc149720821"/>
      <w:bookmarkStart w:id="177" w:name="_Toc265228366"/>
      <w:bookmarkStart w:id="178" w:name="_Toc164229223"/>
      <w:bookmarkStart w:id="179" w:name="_Toc264969218"/>
      <w:bookmarkStart w:id="180" w:name="_Toc164608797"/>
      <w:bookmarkStart w:id="181" w:name="_Toc151193842"/>
      <w:bookmarkStart w:id="182" w:name="_Toc150509279"/>
      <w:bookmarkStart w:id="183" w:name="_Toc164608642"/>
      <w:bookmarkStart w:id="184" w:name="_Toc151193916"/>
      <w:bookmarkStart w:id="185" w:name="_Toc127151729"/>
      <w:bookmarkStart w:id="186" w:name="_Toc151190155"/>
      <w:bookmarkStart w:id="187" w:name="_Toc305158870"/>
      <w:bookmarkStart w:id="188" w:name="_Toc164351622"/>
      <w:bookmarkStart w:id="189" w:name="_Toc226337224"/>
      <w:bookmarkStart w:id="190" w:name="_Toc520356152"/>
      <w:bookmarkStart w:id="191" w:name="_Toc150774628"/>
      <w:bookmarkStart w:id="192" w:name="_Toc151193698"/>
      <w:bookmarkStart w:id="193" w:name="_Toc195842893"/>
      <w:r>
        <w:rPr>
          <w:rFonts w:ascii="宋体" w:hAnsi="宋体"/>
          <w:sz w:val="24"/>
        </w:rPr>
        <w:t>响应文件</w:t>
      </w:r>
      <w:bookmarkEnd w:id="161"/>
      <w:bookmarkEnd w:id="162"/>
      <w:bookmarkEnd w:id="163"/>
      <w:r>
        <w:rPr>
          <w:rFonts w:ascii="宋体" w:hAnsi="宋体"/>
          <w:sz w:val="24"/>
        </w:rPr>
        <w:t>构成</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5707A877">
      <w:pPr>
        <w:numPr>
          <w:ilvl w:val="1"/>
          <w:numId w:val="1"/>
        </w:numPr>
        <w:tabs>
          <w:tab w:val="left" w:pos="1080"/>
          <w:tab w:val="left" w:pos="2014"/>
        </w:tabs>
        <w:snapToGrid w:val="0"/>
        <w:spacing w:line="360" w:lineRule="auto"/>
        <w:ind w:left="1077" w:hanging="720"/>
        <w:rPr>
          <w:rFonts w:hint="eastAsia" w:ascii="宋体" w:hAnsi="宋体"/>
          <w:sz w:val="24"/>
        </w:rPr>
      </w:pPr>
      <w:bookmarkStart w:id="194" w:name="_Ref467052588"/>
      <w:r>
        <w:rPr>
          <w:rFonts w:ascii="宋体" w:hAnsi="宋体"/>
          <w:sz w:val="24"/>
        </w:rPr>
        <w:t>供应商应当按照竞争性磋商文件的要求编制响应文件，</w:t>
      </w:r>
      <w:r>
        <w:rPr>
          <w:rFonts w:ascii="宋体" w:hAnsi="宋体"/>
          <w:kern w:val="0"/>
          <w:sz w:val="24"/>
        </w:rPr>
        <w:t>并对其提交的响应文件的真实性、合法性承担法律责任</w:t>
      </w:r>
      <w:r>
        <w:rPr>
          <w:rFonts w:ascii="宋体" w:hAnsi="宋体"/>
          <w:sz w:val="24"/>
        </w:rPr>
        <w:t>。响应文件的部分格式要求，见第六章《响应文件格式》。</w:t>
      </w:r>
    </w:p>
    <w:p w14:paraId="5BD6B7E4">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kern w:val="0"/>
          <w:sz w:val="24"/>
        </w:rPr>
        <w:t>对于竞争性磋商文件中标记了“实质性格式”文件的，</w:t>
      </w:r>
      <w:r>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 w:val="24"/>
        </w:rPr>
        <w:t>否则响应无效</w:t>
      </w:r>
      <w:r>
        <w:rPr>
          <w:rFonts w:ascii="宋体" w:hAnsi="宋体"/>
          <w:kern w:val="0"/>
          <w:sz w:val="24"/>
        </w:rPr>
        <w:t>。未标记“实质性格式”的文件和竞争性磋商文件未提供格式的内容，可由供应商自行编写。</w:t>
      </w:r>
    </w:p>
    <w:p w14:paraId="57599DCA">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第三章《评审方法和评审标准》中涉及的证明文件。</w:t>
      </w:r>
    </w:p>
    <w:p w14:paraId="240720CE">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082512F">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供应商认为应附的其他材料。</w:t>
      </w:r>
      <w:bookmarkEnd w:id="194"/>
    </w:p>
    <w:p w14:paraId="62714373">
      <w:pPr>
        <w:numPr>
          <w:ilvl w:val="0"/>
          <w:numId w:val="1"/>
        </w:numPr>
        <w:tabs>
          <w:tab w:val="left" w:pos="360"/>
        </w:tabs>
        <w:snapToGrid w:val="0"/>
        <w:spacing w:line="360" w:lineRule="auto"/>
        <w:ind w:left="357" w:hanging="357"/>
        <w:outlineLvl w:val="2"/>
        <w:rPr>
          <w:rFonts w:hint="eastAsia" w:ascii="宋体" w:hAnsi="宋体"/>
          <w:sz w:val="24"/>
        </w:rPr>
      </w:pPr>
      <w:bookmarkStart w:id="195" w:name="_Toc150774630"/>
      <w:bookmarkStart w:id="196" w:name="_Toc150480768"/>
      <w:bookmarkStart w:id="197" w:name="_Toc142311032"/>
      <w:bookmarkStart w:id="198" w:name="_Toc127151731"/>
      <w:bookmarkStart w:id="199" w:name="_Toc151193700"/>
      <w:bookmarkStart w:id="200" w:name="_Toc151193918"/>
      <w:bookmarkStart w:id="201" w:name="_Toc149720823"/>
      <w:bookmarkStart w:id="202" w:name="_Toc127151530"/>
      <w:bookmarkStart w:id="203" w:name="_Toc195842895"/>
      <w:bookmarkStart w:id="204" w:name="_Toc127161444"/>
      <w:bookmarkStart w:id="205" w:name="_Toc151193772"/>
      <w:bookmarkStart w:id="206" w:name="_Toc151193844"/>
      <w:bookmarkStart w:id="207" w:name="_Toc164351624"/>
      <w:bookmarkStart w:id="208" w:name="_Toc164608644"/>
      <w:bookmarkStart w:id="209" w:name="_Toc164229371"/>
      <w:bookmarkStart w:id="210" w:name="_Toc151190157"/>
      <w:bookmarkStart w:id="211" w:name="_Toc520356155"/>
      <w:bookmarkStart w:id="212" w:name="_Toc164229225"/>
      <w:bookmarkStart w:id="213" w:name="_Toc150774735"/>
      <w:bookmarkStart w:id="214" w:name="_Toc150509281"/>
      <w:bookmarkStart w:id="215" w:name="_Toc151193628"/>
      <w:bookmarkStart w:id="216" w:name="_Toc164608799"/>
      <w:r>
        <w:rPr>
          <w:rFonts w:ascii="宋体" w:hAnsi="宋体"/>
          <w:sz w:val="24"/>
        </w:rPr>
        <w:t>报价</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2E3588A4">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所有响应均以人民币报价。</w:t>
      </w:r>
    </w:p>
    <w:p w14:paraId="56C7CAB4">
      <w:pPr>
        <w:numPr>
          <w:ilvl w:val="1"/>
          <w:numId w:val="1"/>
        </w:numPr>
        <w:tabs>
          <w:tab w:val="left" w:pos="1080"/>
        </w:tabs>
        <w:snapToGrid w:val="0"/>
        <w:spacing w:line="360" w:lineRule="auto"/>
        <w:rPr>
          <w:rFonts w:hint="eastAsia" w:ascii="宋体" w:hAnsi="宋体"/>
          <w:sz w:val="24"/>
        </w:rPr>
      </w:pPr>
      <w:r>
        <w:rPr>
          <w:rFonts w:ascii="宋体" w:hAnsi="宋体"/>
          <w:sz w:val="24"/>
        </w:rPr>
        <w:t>供应商的报价应包括为完成本项目所发生的一切费用和税费，采购人将不再支付报价以外的任何费用。</w:t>
      </w:r>
      <w:r>
        <w:rPr>
          <w:rFonts w:hint="eastAsia" w:ascii="宋体" w:hAnsi="宋体"/>
          <w:sz w:val="24"/>
        </w:rPr>
        <w:t>供应商的报价应包括但不限于下列内容，《供应商须知资料表》中有特殊规定的，从其规定。</w:t>
      </w:r>
    </w:p>
    <w:p w14:paraId="49B82E09">
      <w:pPr>
        <w:numPr>
          <w:ilvl w:val="2"/>
          <w:numId w:val="1"/>
        </w:numPr>
        <w:snapToGrid w:val="0"/>
        <w:spacing w:line="360" w:lineRule="auto"/>
        <w:rPr>
          <w:rFonts w:hint="eastAsia" w:ascii="宋体" w:hAnsi="宋体"/>
          <w:sz w:val="24"/>
        </w:rPr>
      </w:pPr>
      <w:r>
        <w:rPr>
          <w:rFonts w:ascii="宋体" w:hAnsi="宋体"/>
          <w:sz w:val="24"/>
        </w:rPr>
        <w:t>响应货物</w:t>
      </w:r>
      <w:r>
        <w:rPr>
          <w:rFonts w:hint="eastAsia" w:ascii="宋体" w:hAnsi="宋体"/>
          <w:sz w:val="24"/>
        </w:rPr>
        <w:t>及</w:t>
      </w:r>
      <w:r>
        <w:rPr>
          <w:rFonts w:ascii="宋体" w:hAnsi="宋体"/>
          <w:sz w:val="24"/>
        </w:rPr>
        <w:t>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9CAF685">
      <w:pPr>
        <w:numPr>
          <w:ilvl w:val="2"/>
          <w:numId w:val="1"/>
        </w:numPr>
        <w:snapToGrid w:val="0"/>
        <w:spacing w:line="360" w:lineRule="auto"/>
        <w:rPr>
          <w:rFonts w:hint="eastAsia" w:ascii="宋体" w:hAnsi="宋体"/>
          <w:sz w:val="24"/>
        </w:rPr>
      </w:pPr>
      <w:r>
        <w:rPr>
          <w:rFonts w:ascii="宋体" w:hAnsi="宋体"/>
          <w:sz w:val="24"/>
        </w:rPr>
        <w:t>按照竞争性磋商文件要求完成本项</w:t>
      </w:r>
      <w:r>
        <w:rPr>
          <w:rFonts w:hint="eastAsia" w:ascii="宋体" w:hAnsi="宋体"/>
          <w:sz w:val="24"/>
        </w:rPr>
        <w:t>目的全部相关费用。</w:t>
      </w:r>
    </w:p>
    <w:p w14:paraId="3A6031B2">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采购人不得向供应商索要或者接受其给予的赠品、回扣或者与采购无关的其他商品、服务。</w:t>
      </w:r>
    </w:p>
    <w:p w14:paraId="175F4A4A">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供应商不能提供任何有选择性或可调整的最后报价（</w:t>
      </w:r>
      <w:r>
        <w:rPr>
          <w:rFonts w:ascii="宋体" w:hAnsi="宋体"/>
          <w:kern w:val="0"/>
          <w:sz w:val="24"/>
        </w:rPr>
        <w:t>竞争性磋商文件</w:t>
      </w:r>
      <w:r>
        <w:rPr>
          <w:rFonts w:ascii="宋体" w:hAnsi="宋体"/>
          <w:sz w:val="24"/>
        </w:rPr>
        <w:t>另有规定的除外），否则其</w:t>
      </w:r>
      <w:r>
        <w:rPr>
          <w:rFonts w:ascii="宋体" w:hAnsi="宋体"/>
          <w:b/>
          <w:sz w:val="24"/>
        </w:rPr>
        <w:t>响应无效</w:t>
      </w:r>
      <w:r>
        <w:rPr>
          <w:rFonts w:ascii="宋体" w:hAnsi="宋体"/>
          <w:sz w:val="24"/>
        </w:rPr>
        <w:t>。</w:t>
      </w:r>
    </w:p>
    <w:p w14:paraId="3DB1BD71">
      <w:pPr>
        <w:numPr>
          <w:ilvl w:val="0"/>
          <w:numId w:val="1"/>
        </w:numPr>
        <w:tabs>
          <w:tab w:val="left" w:pos="360"/>
        </w:tabs>
        <w:snapToGrid w:val="0"/>
        <w:spacing w:line="360" w:lineRule="auto"/>
        <w:ind w:left="357" w:hanging="357"/>
        <w:outlineLvl w:val="2"/>
        <w:rPr>
          <w:rFonts w:hint="eastAsia" w:ascii="宋体" w:hAnsi="宋体"/>
          <w:sz w:val="24"/>
        </w:rPr>
      </w:pPr>
      <w:r>
        <w:rPr>
          <w:rFonts w:ascii="宋体" w:hAnsi="宋体"/>
          <w:sz w:val="24"/>
        </w:rPr>
        <w:t>磋商保证金</w:t>
      </w:r>
    </w:p>
    <w:p w14:paraId="66BD799B">
      <w:pPr>
        <w:numPr>
          <w:ilvl w:val="1"/>
          <w:numId w:val="1"/>
        </w:numPr>
        <w:tabs>
          <w:tab w:val="left" w:pos="1080"/>
          <w:tab w:val="left" w:pos="2014"/>
        </w:tabs>
        <w:snapToGrid w:val="0"/>
        <w:spacing w:line="360" w:lineRule="auto"/>
        <w:ind w:left="1077" w:hanging="720"/>
        <w:rPr>
          <w:rFonts w:hint="eastAsia" w:ascii="宋体" w:hAnsi="宋体"/>
          <w:sz w:val="24"/>
        </w:rPr>
      </w:pPr>
      <w:bookmarkStart w:id="217" w:name="_Ref467306302"/>
      <w:r>
        <w:rPr>
          <w:rFonts w:ascii="宋体" w:hAnsi="宋体"/>
          <w:sz w:val="24"/>
        </w:rPr>
        <w:t>供应商应按《供应商须知资料表》中规定的金额及要求交纳磋商保证金</w:t>
      </w:r>
      <w:bookmarkEnd w:id="217"/>
      <w:r>
        <w:rPr>
          <w:rFonts w:ascii="宋体" w:hAnsi="宋体"/>
          <w:sz w:val="24"/>
        </w:rPr>
        <w:t>，</w:t>
      </w:r>
      <w:r>
        <w:rPr>
          <w:rFonts w:hint="eastAsia" w:ascii="宋体" w:hAnsi="宋体"/>
          <w:sz w:val="24"/>
        </w:rPr>
        <w:t>供应商自愿超额缴纳磋商保证金的，响应文件不做无效处理。</w:t>
      </w:r>
    </w:p>
    <w:p w14:paraId="0DEF1C2F">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交纳磋商保证金可采用的形式：政府采购法律法规接受的支票、汇票、本票、网上银行支付或者金融机构、担保机构出具的保函等非现金形式。</w:t>
      </w:r>
    </w:p>
    <w:p w14:paraId="2918E7A1">
      <w:pPr>
        <w:numPr>
          <w:ilvl w:val="1"/>
          <w:numId w:val="1"/>
        </w:numPr>
        <w:tabs>
          <w:tab w:val="left" w:pos="1080"/>
          <w:tab w:val="left" w:pos="2014"/>
        </w:tabs>
        <w:snapToGrid w:val="0"/>
        <w:spacing w:line="360" w:lineRule="auto"/>
        <w:rPr>
          <w:rFonts w:hint="eastAsia" w:ascii="宋体" w:hAnsi="宋体"/>
          <w:sz w:val="24"/>
        </w:rPr>
      </w:pPr>
      <w:r>
        <w:rPr>
          <w:rFonts w:ascii="宋体" w:hAnsi="宋体"/>
          <w:sz w:val="24"/>
        </w:rPr>
        <w:t>磋商保证金到账（保函提交）截止时间同首次响应文件提交截止时间。以支票、汇票、本票、网上银行支付等形式提交磋商保证金的，应在首次响应文件提交截止时间前</w:t>
      </w:r>
      <w:r>
        <w:rPr>
          <w:rFonts w:hint="eastAsia" w:ascii="宋体" w:hAnsi="宋体"/>
          <w:sz w:val="24"/>
        </w:rPr>
        <w:t>到账</w:t>
      </w:r>
      <w:r>
        <w:rPr>
          <w:rFonts w:ascii="宋体" w:hAnsi="宋体"/>
          <w:sz w:val="24"/>
        </w:rPr>
        <w:t>；</w:t>
      </w:r>
      <w:r>
        <w:rPr>
          <w:rFonts w:hint="eastAsia" w:ascii="宋体" w:hAnsi="宋体"/>
          <w:sz w:val="24"/>
        </w:rPr>
        <w:t>以</w:t>
      </w:r>
      <w:r>
        <w:rPr>
          <w:rFonts w:ascii="宋体" w:hAnsi="宋体"/>
          <w:sz w:val="24"/>
        </w:rPr>
        <w:t>金融机构、担保机构出具的纸质</w:t>
      </w:r>
      <w:r>
        <w:rPr>
          <w:rFonts w:hint="eastAsia" w:ascii="宋体" w:hAnsi="宋体"/>
          <w:sz w:val="24"/>
        </w:rPr>
        <w:t>保函</w:t>
      </w:r>
      <w:r>
        <w:rPr>
          <w:rFonts w:ascii="宋体" w:hAnsi="宋体"/>
          <w:sz w:val="24"/>
        </w:rPr>
        <w:t>等形式提交</w:t>
      </w:r>
      <w:r>
        <w:rPr>
          <w:rFonts w:hint="eastAsia" w:ascii="宋体" w:hAnsi="宋体"/>
          <w:sz w:val="24"/>
        </w:rPr>
        <w:t>磋商</w:t>
      </w:r>
      <w:r>
        <w:rPr>
          <w:rFonts w:ascii="宋体" w:hAnsi="宋体"/>
          <w:sz w:val="24"/>
        </w:rPr>
        <w:t>保证金的，应在首次响应文件</w:t>
      </w:r>
      <w:r>
        <w:rPr>
          <w:rFonts w:hint="eastAsia" w:ascii="宋体" w:hAnsi="宋体"/>
          <w:sz w:val="24"/>
        </w:rPr>
        <w:t>提交</w:t>
      </w:r>
      <w:r>
        <w:rPr>
          <w:rFonts w:ascii="宋体" w:hAnsi="宋体"/>
          <w:sz w:val="24"/>
        </w:rPr>
        <w:t>截止时间前将原件提交至采购代理机构；</w:t>
      </w:r>
      <w:r>
        <w:rPr>
          <w:rFonts w:hint="eastAsia" w:ascii="宋体" w:hAnsi="宋体"/>
          <w:sz w:val="24"/>
        </w:rPr>
        <w:t>以电子保函形式提交磋商保证金的，应在首次响应文件提交截止时间前通过北京市政府采购电子交易平台完成电子保函在线办理。未按上述要求缴纳保证金的，</w:t>
      </w:r>
      <w:r>
        <w:rPr>
          <w:rFonts w:ascii="宋体" w:hAnsi="宋体"/>
          <w:sz w:val="24"/>
        </w:rPr>
        <w:t>其</w:t>
      </w:r>
      <w:r>
        <w:rPr>
          <w:rFonts w:ascii="宋体" w:hAnsi="宋体"/>
          <w:b/>
          <w:sz w:val="24"/>
        </w:rPr>
        <w:t>响应无效</w:t>
      </w:r>
      <w:r>
        <w:rPr>
          <w:rFonts w:ascii="宋体" w:hAnsi="宋体"/>
          <w:sz w:val="24"/>
        </w:rPr>
        <w:t>。</w:t>
      </w:r>
    </w:p>
    <w:p w14:paraId="3B7AD9F0">
      <w:pPr>
        <w:numPr>
          <w:ilvl w:val="1"/>
          <w:numId w:val="1"/>
        </w:numPr>
        <w:tabs>
          <w:tab w:val="left" w:pos="1080"/>
          <w:tab w:val="left" w:pos="2014"/>
        </w:tabs>
        <w:snapToGrid w:val="0"/>
        <w:spacing w:line="360" w:lineRule="auto"/>
        <w:rPr>
          <w:rFonts w:hint="eastAsia" w:ascii="宋体" w:hAnsi="宋体"/>
          <w:sz w:val="24"/>
        </w:rPr>
      </w:pPr>
      <w:r>
        <w:rPr>
          <w:rFonts w:hint="eastAsia" w:ascii="宋体" w:hAnsi="宋体"/>
          <w:sz w:val="24"/>
        </w:rPr>
        <w:t xml:space="preserve">  </w:t>
      </w:r>
      <w:r>
        <w:rPr>
          <w:rFonts w:ascii="宋体" w:hAnsi="宋体"/>
          <w:sz w:val="24"/>
        </w:rPr>
        <w:t>供应商除需在响应文件中提供“磋商保证金凭证</w:t>
      </w:r>
      <w:r>
        <w:rPr>
          <w:rFonts w:hint="eastAsia" w:ascii="宋体" w:hAnsi="宋体"/>
          <w:sz w:val="24"/>
        </w:rPr>
        <w:t>/</w:t>
      </w:r>
      <w:r>
        <w:rPr>
          <w:rFonts w:ascii="宋体" w:hAnsi="宋体"/>
          <w:sz w:val="24"/>
        </w:rPr>
        <w:t>交款单据电子件”，还需要在首次响应文件提交截止时间前，通过电子交易平台上传</w:t>
      </w:r>
      <w:r>
        <w:rPr>
          <w:rFonts w:hint="eastAsia" w:ascii="宋体" w:hAnsi="宋体"/>
          <w:sz w:val="24"/>
        </w:rPr>
        <w:t>“磋商保证金凭证/交款单据电子件”</w:t>
      </w:r>
    </w:p>
    <w:p w14:paraId="7307ACD8">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磋商保证金（保函）有效期同响应有效期。</w:t>
      </w:r>
    </w:p>
    <w:p w14:paraId="087EC073">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供应商为联合体的，可以由联合体中的一方或者多方共同交纳磋商保证金，其交纳的保证金对联合体各方均具有约束力。</w:t>
      </w:r>
    </w:p>
    <w:p w14:paraId="01A9B780">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6F1540F">
      <w:pPr>
        <w:numPr>
          <w:ilvl w:val="2"/>
          <w:numId w:val="1"/>
        </w:numPr>
        <w:snapToGrid w:val="0"/>
        <w:spacing w:line="360" w:lineRule="auto"/>
        <w:rPr>
          <w:rFonts w:hint="eastAsia" w:ascii="宋体" w:hAnsi="宋体"/>
          <w:sz w:val="24"/>
        </w:rPr>
      </w:pPr>
      <w:r>
        <w:rPr>
          <w:rFonts w:ascii="宋体" w:hAnsi="宋体"/>
          <w:snapToGrid w:val="0"/>
          <w:kern w:val="0"/>
          <w:sz w:val="24"/>
        </w:rPr>
        <w:t>已提交响应文件的供应商，在提交最后报价之前，可以根据磋商情况退出磋商。采购人、采购代理机构将退还退出磋商的供应商的磋商保证金</w:t>
      </w:r>
      <w:r>
        <w:rPr>
          <w:rFonts w:hint="eastAsia" w:ascii="宋体" w:hAnsi="宋体"/>
          <w:snapToGrid w:val="0"/>
          <w:kern w:val="0"/>
          <w:sz w:val="24"/>
        </w:rPr>
        <w:t>；</w:t>
      </w:r>
    </w:p>
    <w:p w14:paraId="5332A3E2">
      <w:pPr>
        <w:numPr>
          <w:ilvl w:val="2"/>
          <w:numId w:val="1"/>
        </w:numPr>
        <w:snapToGrid w:val="0"/>
        <w:spacing w:line="360" w:lineRule="auto"/>
        <w:rPr>
          <w:rFonts w:hint="eastAsia" w:ascii="宋体" w:hAnsi="宋体"/>
          <w:sz w:val="24"/>
        </w:rPr>
      </w:pPr>
      <w:r>
        <w:rPr>
          <w:rFonts w:ascii="宋体" w:hAnsi="宋体"/>
          <w:sz w:val="24"/>
        </w:rPr>
        <w:t>成交供应商的磋商保证金，在采购合同签订后5个工作日内退还成交供应商；</w:t>
      </w:r>
    </w:p>
    <w:p w14:paraId="58C5F1A3">
      <w:pPr>
        <w:tabs>
          <w:tab w:val="left" w:pos="1980"/>
        </w:tabs>
        <w:snapToGrid w:val="0"/>
        <w:spacing w:line="360" w:lineRule="auto"/>
        <w:ind w:left="1080"/>
        <w:rPr>
          <w:rFonts w:hint="eastAsia" w:ascii="宋体" w:hAnsi="宋体"/>
          <w:sz w:val="24"/>
        </w:rPr>
      </w:pPr>
      <w:r>
        <w:rPr>
          <w:rFonts w:hint="eastAsia" w:ascii="宋体" w:hAnsi="宋体"/>
          <w:sz w:val="24"/>
        </w:rPr>
        <w:t xml:space="preserve">11.7.3  </w:t>
      </w:r>
      <w:r>
        <w:rPr>
          <w:rFonts w:ascii="宋体" w:hAnsi="宋体"/>
          <w:sz w:val="24"/>
        </w:rPr>
        <w:t>未成交供应商的磋商保证金，在成交通知书发出后5个工作日内退还</w:t>
      </w:r>
      <w:r>
        <w:rPr>
          <w:rFonts w:hint="eastAsia" w:ascii="宋体" w:hAnsi="宋体"/>
          <w:sz w:val="24"/>
        </w:rPr>
        <w:t>。</w:t>
      </w:r>
    </w:p>
    <w:p w14:paraId="3CD3E091">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有下列情形之一的，采购人或采购代理机构不予退还磋商保证金：</w:t>
      </w:r>
    </w:p>
    <w:p w14:paraId="275AF92A">
      <w:pPr>
        <w:numPr>
          <w:ilvl w:val="2"/>
          <w:numId w:val="1"/>
        </w:numPr>
        <w:snapToGrid w:val="0"/>
        <w:spacing w:line="360" w:lineRule="auto"/>
        <w:rPr>
          <w:rFonts w:hint="eastAsia" w:ascii="宋体" w:hAnsi="宋体"/>
          <w:sz w:val="24"/>
        </w:rPr>
      </w:pPr>
      <w:r>
        <w:rPr>
          <w:rFonts w:ascii="宋体" w:hAnsi="宋体"/>
          <w:sz w:val="24"/>
        </w:rPr>
        <w:t>供应商在提交响应文件截止时间后撤回响应文件的；</w:t>
      </w:r>
    </w:p>
    <w:p w14:paraId="6815759B">
      <w:pPr>
        <w:numPr>
          <w:ilvl w:val="2"/>
          <w:numId w:val="1"/>
        </w:numPr>
        <w:snapToGrid w:val="0"/>
        <w:spacing w:line="360" w:lineRule="auto"/>
        <w:rPr>
          <w:rFonts w:hint="eastAsia" w:ascii="宋体" w:hAnsi="宋体"/>
          <w:sz w:val="24"/>
        </w:rPr>
      </w:pPr>
      <w:r>
        <w:rPr>
          <w:rFonts w:ascii="宋体" w:hAnsi="宋体"/>
          <w:sz w:val="24"/>
        </w:rPr>
        <w:t>供应商在响应文件中提供虚假材料的；</w:t>
      </w:r>
    </w:p>
    <w:p w14:paraId="1A4DA1BD">
      <w:pPr>
        <w:numPr>
          <w:ilvl w:val="2"/>
          <w:numId w:val="1"/>
        </w:numPr>
        <w:snapToGrid w:val="0"/>
        <w:spacing w:line="360" w:lineRule="auto"/>
        <w:rPr>
          <w:rFonts w:hint="eastAsia" w:ascii="宋体" w:hAnsi="宋体"/>
          <w:sz w:val="24"/>
        </w:rPr>
      </w:pPr>
      <w:r>
        <w:rPr>
          <w:rFonts w:ascii="宋体" w:hAnsi="宋体"/>
          <w:sz w:val="24"/>
        </w:rPr>
        <w:t>除因不可抗力或磋商文件认可的情形以外，成交供应商不与采购人签订合同的；</w:t>
      </w:r>
    </w:p>
    <w:p w14:paraId="2F428EC0">
      <w:pPr>
        <w:numPr>
          <w:ilvl w:val="2"/>
          <w:numId w:val="1"/>
        </w:numPr>
        <w:snapToGrid w:val="0"/>
        <w:spacing w:line="360" w:lineRule="auto"/>
        <w:rPr>
          <w:rFonts w:hint="eastAsia" w:ascii="宋体" w:hAnsi="宋体"/>
          <w:sz w:val="24"/>
        </w:rPr>
      </w:pPr>
      <w:r>
        <w:rPr>
          <w:rFonts w:ascii="宋体" w:hAnsi="宋体"/>
          <w:sz w:val="24"/>
        </w:rPr>
        <w:t>供应商与采购人、其他供应商或者采购代理机构恶意串通的；</w:t>
      </w:r>
    </w:p>
    <w:p w14:paraId="276B3358">
      <w:pPr>
        <w:numPr>
          <w:ilvl w:val="2"/>
          <w:numId w:val="1"/>
        </w:numPr>
        <w:snapToGrid w:val="0"/>
        <w:spacing w:line="360" w:lineRule="auto"/>
        <w:rPr>
          <w:rFonts w:hint="eastAsia" w:ascii="宋体" w:hAnsi="宋体"/>
          <w:sz w:val="24"/>
        </w:rPr>
      </w:pPr>
      <w:r>
        <w:rPr>
          <w:rFonts w:ascii="宋体" w:hAnsi="宋体"/>
          <w:sz w:val="24"/>
        </w:rPr>
        <w:t>《供应商须知资料表》规定的其他情形。</w:t>
      </w:r>
    </w:p>
    <w:p w14:paraId="569D7768">
      <w:pPr>
        <w:numPr>
          <w:ilvl w:val="0"/>
          <w:numId w:val="1"/>
        </w:numPr>
        <w:tabs>
          <w:tab w:val="left" w:pos="360"/>
        </w:tabs>
        <w:snapToGrid w:val="0"/>
        <w:spacing w:line="360" w:lineRule="auto"/>
        <w:ind w:left="357" w:hanging="357"/>
        <w:outlineLvl w:val="2"/>
        <w:rPr>
          <w:rFonts w:hint="eastAsia" w:ascii="宋体" w:hAnsi="宋体"/>
          <w:sz w:val="24"/>
        </w:rPr>
      </w:pPr>
      <w:r>
        <w:rPr>
          <w:rFonts w:ascii="宋体" w:hAnsi="宋体"/>
          <w:sz w:val="24"/>
        </w:rPr>
        <w:t>响应有效期</w:t>
      </w:r>
    </w:p>
    <w:p w14:paraId="71FAB2B6">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响应文件应在本竞争性磋商文件《供应商须知资料表》中规定的响应有效期内保持有效，响应有效期少于竞争性磋商文件规定期限的，其</w:t>
      </w:r>
      <w:r>
        <w:rPr>
          <w:rFonts w:ascii="宋体" w:hAnsi="宋体"/>
          <w:b/>
          <w:sz w:val="24"/>
        </w:rPr>
        <w:t>响应无效</w:t>
      </w:r>
      <w:r>
        <w:rPr>
          <w:rFonts w:ascii="宋体" w:hAnsi="宋体"/>
          <w:sz w:val="24"/>
        </w:rPr>
        <w:t>。</w:t>
      </w:r>
    </w:p>
    <w:p w14:paraId="39A6D978">
      <w:pPr>
        <w:numPr>
          <w:ilvl w:val="0"/>
          <w:numId w:val="1"/>
        </w:numPr>
        <w:tabs>
          <w:tab w:val="left" w:pos="360"/>
        </w:tabs>
        <w:snapToGrid w:val="0"/>
        <w:spacing w:line="360" w:lineRule="auto"/>
        <w:ind w:left="357" w:hanging="357"/>
        <w:outlineLvl w:val="2"/>
        <w:rPr>
          <w:rFonts w:hint="eastAsia" w:ascii="宋体" w:hAnsi="宋体"/>
          <w:sz w:val="24"/>
        </w:rPr>
      </w:pPr>
      <w:bookmarkStart w:id="218" w:name="_Toc142311035"/>
      <w:bookmarkStart w:id="219" w:name="_Toc305158875"/>
      <w:bookmarkStart w:id="220" w:name="_Toc127161447"/>
      <w:bookmarkStart w:id="221" w:name="_Toc151193631"/>
      <w:bookmarkStart w:id="222" w:name="_Toc150774633"/>
      <w:bookmarkStart w:id="223" w:name="_Toc226965723"/>
      <w:bookmarkStart w:id="224" w:name="_Toc151190160"/>
      <w:bookmarkStart w:id="225" w:name="_Toc151193921"/>
      <w:bookmarkStart w:id="226" w:name="_Toc164351627"/>
      <w:bookmarkStart w:id="227" w:name="_Toc151193703"/>
      <w:bookmarkStart w:id="228" w:name="_Toc164229228"/>
      <w:bookmarkStart w:id="229" w:name="_Toc164229374"/>
      <w:bookmarkStart w:id="230" w:name="_Toc164608802"/>
      <w:bookmarkStart w:id="231" w:name="_Toc151193847"/>
      <w:bookmarkStart w:id="232" w:name="_Toc265228371"/>
      <w:bookmarkStart w:id="233" w:name="_Toc150774738"/>
      <w:bookmarkStart w:id="234" w:name="_Toc127151533"/>
      <w:bookmarkStart w:id="235" w:name="_Toc264969223"/>
      <w:bookmarkStart w:id="236" w:name="_Toc195842898"/>
      <w:bookmarkStart w:id="237" w:name="_Toc226309777"/>
      <w:bookmarkStart w:id="238" w:name="_Toc164608647"/>
      <w:bookmarkStart w:id="239" w:name="_Toc150480771"/>
      <w:bookmarkStart w:id="240" w:name="_Toc150509284"/>
      <w:bookmarkStart w:id="241" w:name="_Toc149720826"/>
      <w:bookmarkStart w:id="242" w:name="_Toc151193775"/>
      <w:bookmarkStart w:id="243" w:name="_Toc520356158"/>
      <w:bookmarkStart w:id="244" w:name="_Toc226965806"/>
      <w:bookmarkStart w:id="245" w:name="_Toc305158801"/>
      <w:bookmarkStart w:id="246" w:name="_Toc127151734"/>
      <w:bookmarkStart w:id="247" w:name="_Toc226337229"/>
      <w:r>
        <w:rPr>
          <w:rFonts w:ascii="宋体" w:hAnsi="宋体"/>
          <w:sz w:val="24"/>
        </w:rPr>
        <w:t>响应文件的签署</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ascii="宋体" w:hAnsi="宋体"/>
          <w:sz w:val="24"/>
        </w:rPr>
        <w:t>、盖章</w:t>
      </w:r>
    </w:p>
    <w:p w14:paraId="50F1930E">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EA35E58">
      <w:pPr>
        <w:numPr>
          <w:ilvl w:val="1"/>
          <w:numId w:val="1"/>
        </w:numPr>
        <w:tabs>
          <w:tab w:val="left" w:pos="1080"/>
          <w:tab w:val="left" w:pos="2014"/>
        </w:tabs>
        <w:snapToGrid w:val="0"/>
        <w:spacing w:line="360" w:lineRule="auto"/>
        <w:rPr>
          <w:rFonts w:hint="eastAsia" w:ascii="宋体" w:hAnsi="宋体"/>
          <w:sz w:val="24"/>
        </w:rPr>
      </w:pPr>
      <w:r>
        <w:rPr>
          <w:rFonts w:hint="eastAsia" w:ascii="宋体" w:hAnsi="宋体"/>
          <w:sz w:val="24"/>
        </w:rPr>
        <w:t xml:space="preserve">  竞争性磋商文件要求盖章的内容，一般通过投标文件编制工具加盖电子签章。</w:t>
      </w:r>
    </w:p>
    <w:p w14:paraId="3C674324">
      <w:pPr>
        <w:jc w:val="center"/>
        <w:outlineLvl w:val="1"/>
        <w:rPr>
          <w:rFonts w:hint="eastAsia" w:ascii="宋体" w:hAnsi="宋体"/>
          <w:b/>
          <w:bCs/>
          <w:sz w:val="28"/>
          <w:szCs w:val="36"/>
        </w:rPr>
      </w:pPr>
      <w:r>
        <w:rPr>
          <w:rFonts w:ascii="宋体" w:hAnsi="宋体"/>
          <w:b/>
          <w:bCs/>
          <w:sz w:val="28"/>
          <w:szCs w:val="36"/>
        </w:rPr>
        <w:t>四   响应文件的提交</w:t>
      </w:r>
    </w:p>
    <w:p w14:paraId="60878881">
      <w:pPr>
        <w:numPr>
          <w:ilvl w:val="0"/>
          <w:numId w:val="1"/>
        </w:numPr>
        <w:tabs>
          <w:tab w:val="left" w:pos="360"/>
        </w:tabs>
        <w:snapToGrid w:val="0"/>
        <w:spacing w:line="360" w:lineRule="auto"/>
        <w:ind w:left="357" w:hanging="357"/>
        <w:outlineLvl w:val="2"/>
        <w:rPr>
          <w:rFonts w:hint="eastAsia" w:ascii="宋体" w:hAnsi="宋体"/>
          <w:sz w:val="24"/>
        </w:rPr>
      </w:pPr>
      <w:bookmarkStart w:id="248" w:name="_Toc151193633"/>
      <w:bookmarkStart w:id="249" w:name="_Toc151193923"/>
      <w:bookmarkStart w:id="250" w:name="_Toc151193705"/>
      <w:bookmarkStart w:id="251" w:name="_Toc265228373"/>
      <w:bookmarkStart w:id="252" w:name="_Toc164229230"/>
      <w:bookmarkStart w:id="253" w:name="_Toc151193849"/>
      <w:bookmarkStart w:id="254" w:name="_Toc142311037"/>
      <w:bookmarkStart w:id="255" w:name="_Toc164229376"/>
      <w:bookmarkStart w:id="256" w:name="_Toc150774635"/>
      <w:bookmarkStart w:id="257" w:name="_Toc195842900"/>
      <w:bookmarkStart w:id="258" w:name="_Toc151193777"/>
      <w:bookmarkStart w:id="259" w:name="_Toc164351629"/>
      <w:bookmarkStart w:id="260" w:name="_Toc264969225"/>
      <w:bookmarkStart w:id="261" w:name="_Toc164608804"/>
      <w:bookmarkStart w:id="262" w:name="_Toc151190162"/>
      <w:bookmarkStart w:id="263" w:name="_Toc150509286"/>
      <w:bookmarkStart w:id="264" w:name="_Toc226965808"/>
      <w:bookmarkStart w:id="265" w:name="_Toc305158803"/>
      <w:bookmarkStart w:id="266" w:name="_Toc226309779"/>
      <w:bookmarkStart w:id="267" w:name="_Toc164608649"/>
      <w:bookmarkStart w:id="268" w:name="_Toc226965725"/>
      <w:bookmarkStart w:id="269" w:name="_Toc127151736"/>
      <w:bookmarkStart w:id="270" w:name="_Toc305158877"/>
      <w:bookmarkStart w:id="271" w:name="_Toc149720828"/>
      <w:bookmarkStart w:id="272" w:name="_Toc127151535"/>
      <w:bookmarkStart w:id="273" w:name="_Toc150480773"/>
      <w:bookmarkStart w:id="274" w:name="_Toc226337231"/>
      <w:bookmarkStart w:id="275" w:name="_Toc150774740"/>
      <w:bookmarkStart w:id="276" w:name="_Toc520356160"/>
      <w:bookmarkStart w:id="277" w:name="_Toc127161449"/>
      <w:r>
        <w:rPr>
          <w:rFonts w:ascii="宋体" w:hAnsi="宋体"/>
          <w:sz w:val="24"/>
        </w:rPr>
        <w:t>响应文件的</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Pr>
          <w:rFonts w:ascii="宋体" w:hAnsi="宋体"/>
          <w:sz w:val="24"/>
        </w:rPr>
        <w:t>提交</w:t>
      </w:r>
    </w:p>
    <w:p w14:paraId="4A8CA131">
      <w:pPr>
        <w:numPr>
          <w:ilvl w:val="1"/>
          <w:numId w:val="1"/>
        </w:numPr>
        <w:tabs>
          <w:tab w:val="left" w:pos="1080"/>
          <w:tab w:val="left" w:pos="2014"/>
        </w:tabs>
        <w:snapToGrid w:val="0"/>
        <w:spacing w:line="360" w:lineRule="auto"/>
        <w:rPr>
          <w:rFonts w:hint="eastAsia" w:ascii="宋体" w:hAnsi="宋体"/>
          <w:sz w:val="24"/>
        </w:rPr>
      </w:pPr>
      <w:r>
        <w:rPr>
          <w:rFonts w:hint="eastAsia" w:ascii="宋体" w:hAnsi="宋体"/>
          <w:sz w:val="24"/>
        </w:rPr>
        <w:t xml:space="preserve"> 项目使用北京市政府采购电子交易平台。供应商根据竞争性磋商文件及电子交易平台供应商操作手册要求编制、生成并提交电子响应文件。</w:t>
      </w:r>
    </w:p>
    <w:p w14:paraId="1010B6F6">
      <w:pPr>
        <w:numPr>
          <w:ilvl w:val="1"/>
          <w:numId w:val="1"/>
        </w:numPr>
        <w:tabs>
          <w:tab w:val="left" w:pos="1080"/>
          <w:tab w:val="left" w:pos="2014"/>
        </w:tabs>
        <w:snapToGrid w:val="0"/>
        <w:spacing w:line="360" w:lineRule="auto"/>
        <w:rPr>
          <w:rFonts w:hint="eastAsia" w:ascii="宋体" w:hAnsi="宋体"/>
          <w:sz w:val="24"/>
        </w:rPr>
      </w:pPr>
      <w:r>
        <w:rPr>
          <w:rFonts w:hint="eastAsia" w:ascii="宋体" w:hAnsi="宋体"/>
          <w:sz w:val="24"/>
        </w:rPr>
        <w:t xml:space="preserve"> </w:t>
      </w:r>
      <w:r>
        <w:rPr>
          <w:rFonts w:ascii="宋体" w:hAnsi="宋体"/>
          <w:sz w:val="24"/>
        </w:rPr>
        <w:t>购人及采购代理机构</w:t>
      </w:r>
      <w:r>
        <w:rPr>
          <w:rFonts w:hint="eastAsia" w:ascii="宋体" w:hAnsi="宋体"/>
          <w:sz w:val="24"/>
        </w:rPr>
        <w:t>有权将拒绝并原封退回在本须知规定的投标截止期后收到的任何响应文件</w:t>
      </w:r>
      <w:r>
        <w:rPr>
          <w:rFonts w:ascii="宋体" w:hAnsi="宋体"/>
          <w:sz w:val="24"/>
        </w:rPr>
        <w:t>。</w:t>
      </w:r>
    </w:p>
    <w:p w14:paraId="6C47ACE4">
      <w:pPr>
        <w:numPr>
          <w:ilvl w:val="0"/>
          <w:numId w:val="1"/>
        </w:numPr>
        <w:tabs>
          <w:tab w:val="left" w:pos="360"/>
        </w:tabs>
        <w:snapToGrid w:val="0"/>
        <w:spacing w:line="360" w:lineRule="auto"/>
        <w:ind w:left="357" w:hanging="357"/>
        <w:outlineLvl w:val="2"/>
        <w:rPr>
          <w:rFonts w:hint="eastAsia" w:ascii="宋体" w:hAnsi="宋体"/>
          <w:sz w:val="24"/>
        </w:rPr>
      </w:pPr>
      <w:bookmarkStart w:id="278" w:name="_Toc127151536"/>
      <w:bookmarkStart w:id="279" w:name="_Toc520356161"/>
      <w:bookmarkStart w:id="280" w:name="_Toc265228374"/>
      <w:bookmarkStart w:id="281" w:name="_Toc149720829"/>
      <w:bookmarkStart w:id="282" w:name="_Toc127161450"/>
      <w:bookmarkStart w:id="283" w:name="_Toc150774636"/>
      <w:bookmarkStart w:id="284" w:name="_Toc195842901"/>
      <w:bookmarkStart w:id="285" w:name="_Toc151193778"/>
      <w:bookmarkStart w:id="286" w:name="_Toc164608805"/>
      <w:bookmarkStart w:id="287" w:name="_Toc305158878"/>
      <w:bookmarkStart w:id="288" w:name="_Toc151193924"/>
      <w:bookmarkStart w:id="289" w:name="_Toc127151737"/>
      <w:bookmarkStart w:id="290" w:name="_Toc164608650"/>
      <w:bookmarkStart w:id="291" w:name="_Toc151193706"/>
      <w:bookmarkStart w:id="292" w:name="_Toc151193634"/>
      <w:bookmarkStart w:id="293" w:name="_Toc150480774"/>
      <w:bookmarkStart w:id="294" w:name="_Toc264969226"/>
      <w:bookmarkStart w:id="295" w:name="_Toc226309780"/>
      <w:bookmarkStart w:id="296" w:name="_Toc226337232"/>
      <w:bookmarkStart w:id="297" w:name="_Toc151193850"/>
      <w:bookmarkStart w:id="298" w:name="_Toc164229377"/>
      <w:bookmarkStart w:id="299" w:name="_Toc164229231"/>
      <w:bookmarkStart w:id="300" w:name="_Toc142311038"/>
      <w:bookmarkStart w:id="301" w:name="_Toc164351630"/>
      <w:bookmarkStart w:id="302" w:name="_Toc151190163"/>
      <w:bookmarkStart w:id="303" w:name="_Toc226965809"/>
      <w:bookmarkStart w:id="304" w:name="_Toc150509287"/>
      <w:bookmarkStart w:id="305" w:name="_Toc150774741"/>
      <w:bookmarkStart w:id="306" w:name="_Toc226965726"/>
      <w:bookmarkStart w:id="307" w:name="_Toc305158804"/>
      <w:r>
        <w:rPr>
          <w:rFonts w:ascii="宋体" w:hAnsi="宋体"/>
          <w:sz w:val="24"/>
        </w:rPr>
        <w:t>响应文件截止</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ascii="宋体" w:hAnsi="宋体"/>
          <w:sz w:val="24"/>
        </w:rPr>
        <w:t>时间</w:t>
      </w:r>
    </w:p>
    <w:p w14:paraId="14C0A982">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供应商应在竞争性磋商文件要求响应文件提交截止时间前，将电子响应文件提交至电子交易平台。</w:t>
      </w:r>
    </w:p>
    <w:p w14:paraId="3E338B50">
      <w:pPr>
        <w:numPr>
          <w:ilvl w:val="0"/>
          <w:numId w:val="1"/>
        </w:numPr>
        <w:tabs>
          <w:tab w:val="left" w:pos="360"/>
        </w:tabs>
        <w:snapToGrid w:val="0"/>
        <w:spacing w:line="360" w:lineRule="auto"/>
        <w:ind w:left="357" w:hanging="357"/>
        <w:outlineLvl w:val="2"/>
        <w:rPr>
          <w:rFonts w:hint="eastAsia" w:ascii="宋体" w:hAnsi="宋体"/>
          <w:sz w:val="24"/>
        </w:rPr>
      </w:pPr>
      <w:bookmarkStart w:id="308" w:name="_Toc305158879"/>
      <w:bookmarkStart w:id="309" w:name="_Toc151190164"/>
      <w:bookmarkStart w:id="310" w:name="_Toc520356162"/>
      <w:bookmarkStart w:id="311" w:name="_Toc151193925"/>
      <w:bookmarkStart w:id="312" w:name="_Toc164608651"/>
      <w:bookmarkStart w:id="313" w:name="_Toc150480775"/>
      <w:bookmarkStart w:id="314" w:name="_Toc149720830"/>
      <w:bookmarkStart w:id="315" w:name="_Toc150774637"/>
      <w:bookmarkStart w:id="316" w:name="_Toc151193851"/>
      <w:bookmarkStart w:id="317" w:name="_Toc226337233"/>
      <w:bookmarkStart w:id="318" w:name="_Toc264969227"/>
      <w:bookmarkStart w:id="319" w:name="_Toc164608806"/>
      <w:bookmarkStart w:id="320" w:name="_Toc164229232"/>
      <w:bookmarkStart w:id="321" w:name="_Toc195842902"/>
      <w:bookmarkStart w:id="322" w:name="_Toc164351631"/>
      <w:bookmarkStart w:id="323" w:name="_Toc265228375"/>
      <w:bookmarkStart w:id="324" w:name="_Toc151193635"/>
      <w:bookmarkStart w:id="325" w:name="_Toc127161451"/>
      <w:bookmarkStart w:id="326" w:name="_Toc127151537"/>
      <w:bookmarkStart w:id="327" w:name="_Toc150509288"/>
      <w:bookmarkStart w:id="328" w:name="_Toc226965810"/>
      <w:bookmarkStart w:id="329" w:name="_Toc142311039"/>
      <w:bookmarkStart w:id="330" w:name="_Toc226965727"/>
      <w:bookmarkStart w:id="331" w:name="_Toc151193707"/>
      <w:bookmarkStart w:id="332" w:name="_Toc127151738"/>
      <w:bookmarkStart w:id="333" w:name="_Toc151193779"/>
      <w:bookmarkStart w:id="334" w:name="_Toc305158805"/>
      <w:bookmarkStart w:id="335" w:name="_Toc150774742"/>
      <w:bookmarkStart w:id="336" w:name="_Toc226309781"/>
      <w:bookmarkStart w:id="337" w:name="_Toc164229378"/>
      <w:r>
        <w:rPr>
          <w:rFonts w:ascii="宋体" w:hAnsi="宋体"/>
          <w:sz w:val="24"/>
        </w:rPr>
        <w:t>响应文件的修改与撤回</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A74408C">
      <w:pPr>
        <w:numPr>
          <w:ilvl w:val="1"/>
          <w:numId w:val="1"/>
        </w:numPr>
        <w:tabs>
          <w:tab w:val="left" w:pos="1080"/>
          <w:tab w:val="left" w:pos="2014"/>
        </w:tabs>
        <w:snapToGrid w:val="0"/>
        <w:spacing w:line="360" w:lineRule="auto"/>
        <w:rPr>
          <w:rFonts w:hint="eastAsia" w:ascii="宋体" w:hAnsi="宋体"/>
          <w:sz w:val="24"/>
        </w:rPr>
      </w:pPr>
      <w:r>
        <w:rPr>
          <w:rFonts w:hint="eastAsia" w:ascii="宋体" w:hAnsi="宋体"/>
          <w:sz w:val="24"/>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r>
        <w:rPr>
          <w:rFonts w:ascii="宋体" w:hAnsi="宋体"/>
          <w:sz w:val="24"/>
        </w:rPr>
        <w:t>。</w:t>
      </w:r>
    </w:p>
    <w:p w14:paraId="38DD1573">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供应商对响应文件的补充、修改的内容应当按照竞争性磋商文件要求签署、盖章，作为响应文件的组成部分。</w:t>
      </w:r>
      <w:r>
        <w:rPr>
          <w:rFonts w:ascii="宋体" w:hAnsi="宋体"/>
          <w:kern w:val="0"/>
          <w:sz w:val="24"/>
        </w:rPr>
        <w:t>补充、修改的内容与响应文件不一致的，以补充、修改的内容为准。</w:t>
      </w:r>
    </w:p>
    <w:p w14:paraId="148CA769">
      <w:pPr>
        <w:jc w:val="center"/>
        <w:outlineLvl w:val="1"/>
        <w:rPr>
          <w:rFonts w:hint="eastAsia" w:ascii="宋体" w:hAnsi="宋体"/>
          <w:b/>
          <w:bCs/>
          <w:sz w:val="28"/>
          <w:szCs w:val="36"/>
        </w:rPr>
      </w:pPr>
      <w:bookmarkStart w:id="338" w:name="_Toc142311040"/>
      <w:bookmarkStart w:id="339" w:name="_Toc151193926"/>
      <w:bookmarkStart w:id="340" w:name="_Toc265228376"/>
      <w:bookmarkStart w:id="341" w:name="_Toc150509289"/>
      <w:bookmarkStart w:id="342" w:name="_Toc151193636"/>
      <w:bookmarkStart w:id="343" w:name="_Toc151193708"/>
      <w:bookmarkStart w:id="344" w:name="_Toc226309782"/>
      <w:bookmarkStart w:id="345" w:name="_Toc150774743"/>
      <w:bookmarkStart w:id="346" w:name="_Toc150480776"/>
      <w:bookmarkStart w:id="347" w:name="_Toc127151538"/>
      <w:bookmarkStart w:id="348" w:name="_Toc305158806"/>
      <w:bookmarkStart w:id="349" w:name="_Toc226965728"/>
      <w:bookmarkStart w:id="350" w:name="_Toc195842903"/>
      <w:bookmarkStart w:id="351" w:name="_Toc150774638"/>
      <w:bookmarkStart w:id="352" w:name="_Toc226337234"/>
      <w:bookmarkStart w:id="353" w:name="_Toc226965811"/>
      <w:bookmarkStart w:id="354" w:name="_Toc151190165"/>
      <w:bookmarkStart w:id="355" w:name="_Toc264969228"/>
      <w:bookmarkStart w:id="356" w:name="_Toc151193852"/>
      <w:bookmarkStart w:id="357" w:name="_Toc520356163"/>
      <w:bookmarkStart w:id="358" w:name="_Toc305158880"/>
      <w:bookmarkStart w:id="359" w:name="_Toc151193780"/>
      <w:r>
        <w:rPr>
          <w:rFonts w:ascii="宋体" w:hAnsi="宋体"/>
          <w:b/>
          <w:bCs/>
          <w:sz w:val="28"/>
          <w:szCs w:val="36"/>
        </w:rPr>
        <w:t xml:space="preserve">五   </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rPr>
          <w:rFonts w:ascii="宋体" w:hAnsi="宋体"/>
          <w:b/>
          <w:bCs/>
          <w:sz w:val="28"/>
          <w:szCs w:val="36"/>
        </w:rPr>
        <w:t>响应文件的开启</w:t>
      </w:r>
      <w:r>
        <w:rPr>
          <w:rFonts w:hint="eastAsia" w:ascii="宋体" w:hAnsi="宋体"/>
          <w:b/>
          <w:bCs/>
          <w:sz w:val="28"/>
          <w:szCs w:val="36"/>
        </w:rPr>
        <w:t>、</w:t>
      </w:r>
      <w:r>
        <w:rPr>
          <w:rFonts w:ascii="宋体" w:hAnsi="宋体"/>
          <w:b/>
          <w:bCs/>
          <w:sz w:val="28"/>
          <w:szCs w:val="36"/>
        </w:rPr>
        <w:t>评审</w:t>
      </w:r>
    </w:p>
    <w:p w14:paraId="72FF1752">
      <w:pPr>
        <w:numPr>
          <w:ilvl w:val="0"/>
          <w:numId w:val="1"/>
        </w:numPr>
        <w:tabs>
          <w:tab w:val="left" w:pos="360"/>
        </w:tabs>
        <w:snapToGrid w:val="0"/>
        <w:spacing w:line="360" w:lineRule="auto"/>
        <w:ind w:left="357" w:hanging="357"/>
        <w:outlineLvl w:val="2"/>
        <w:rPr>
          <w:rFonts w:hint="eastAsia" w:ascii="宋体" w:hAnsi="宋体"/>
          <w:sz w:val="24"/>
        </w:rPr>
      </w:pPr>
      <w:r>
        <w:rPr>
          <w:rFonts w:ascii="宋体" w:hAnsi="宋体"/>
          <w:sz w:val="24"/>
        </w:rPr>
        <w:t>响应文件的</w:t>
      </w:r>
      <w:r>
        <w:rPr>
          <w:rFonts w:hint="eastAsia" w:ascii="宋体" w:hAnsi="宋体"/>
          <w:sz w:val="24"/>
        </w:rPr>
        <w:t>解密与</w:t>
      </w:r>
      <w:r>
        <w:rPr>
          <w:rFonts w:ascii="宋体" w:hAnsi="宋体"/>
          <w:sz w:val="24"/>
        </w:rPr>
        <w:t>开启</w:t>
      </w:r>
    </w:p>
    <w:p w14:paraId="3F2E9D20">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采购人或采购代理机构将按竞争性磋商文件的规定，在响应文件提交截止时间的同一时间和竞争性磋商文件预先确定的地点开启响应文件。</w:t>
      </w:r>
    </w:p>
    <w:p w14:paraId="7A4EA3AC">
      <w:pPr>
        <w:numPr>
          <w:ilvl w:val="1"/>
          <w:numId w:val="1"/>
        </w:numPr>
        <w:tabs>
          <w:tab w:val="left" w:pos="1080"/>
          <w:tab w:val="left" w:pos="2014"/>
        </w:tabs>
        <w:snapToGrid w:val="0"/>
        <w:spacing w:line="360" w:lineRule="auto"/>
        <w:rPr>
          <w:rFonts w:hint="eastAsia" w:ascii="宋体" w:hAnsi="宋体"/>
          <w:sz w:val="24"/>
        </w:rPr>
      </w:pPr>
      <w:r>
        <w:rPr>
          <w:rFonts w:hint="eastAsia" w:ascii="宋体" w:hAnsi="宋体"/>
          <w:sz w:val="24"/>
        </w:rPr>
        <w:t xml:space="preserve"> 本项目解密使用北京市政府采购电子交易平台。供应商应在《供应商须知资料表》规定的时间内对响应文件进行解密，因非系统原因导致的解密失败，视为无效响应。</w:t>
      </w:r>
    </w:p>
    <w:p w14:paraId="35E9EF87">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A96D333">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供应商不足3家的，不予</w:t>
      </w:r>
      <w:r>
        <w:rPr>
          <w:rFonts w:hint="eastAsia" w:ascii="宋体" w:hAnsi="宋体"/>
          <w:sz w:val="24"/>
        </w:rPr>
        <w:t>解密</w:t>
      </w:r>
      <w:r>
        <w:rPr>
          <w:rFonts w:ascii="宋体" w:hAnsi="宋体"/>
          <w:sz w:val="24"/>
        </w:rPr>
        <w:t>。</w:t>
      </w:r>
    </w:p>
    <w:p w14:paraId="37313E78">
      <w:pPr>
        <w:numPr>
          <w:ilvl w:val="1"/>
          <w:numId w:val="1"/>
        </w:numPr>
        <w:tabs>
          <w:tab w:val="left" w:pos="1080"/>
          <w:tab w:val="left" w:pos="2014"/>
        </w:tabs>
        <w:snapToGrid w:val="0"/>
        <w:spacing w:line="360" w:lineRule="auto"/>
        <w:ind w:left="1077" w:hanging="720"/>
        <w:rPr>
          <w:rFonts w:hint="eastAsia" w:ascii="宋体" w:hAnsi="宋体"/>
          <w:sz w:val="24"/>
        </w:rPr>
      </w:pPr>
      <w:bookmarkStart w:id="360" w:name="_Toc520356165"/>
      <w:r>
        <w:rPr>
          <w:rFonts w:ascii="宋体" w:hAnsi="宋体"/>
          <w:sz w:val="24"/>
        </w:rPr>
        <w:t>本项目不公开报价。</w:t>
      </w:r>
    </w:p>
    <w:bookmarkEnd w:id="360"/>
    <w:p w14:paraId="77364D7E">
      <w:pPr>
        <w:numPr>
          <w:ilvl w:val="0"/>
          <w:numId w:val="1"/>
        </w:numPr>
        <w:tabs>
          <w:tab w:val="left" w:pos="360"/>
        </w:tabs>
        <w:snapToGrid w:val="0"/>
        <w:spacing w:line="360" w:lineRule="auto"/>
        <w:ind w:left="357" w:hanging="357"/>
        <w:outlineLvl w:val="2"/>
        <w:rPr>
          <w:rFonts w:hint="eastAsia" w:ascii="宋体" w:hAnsi="宋体"/>
          <w:sz w:val="24"/>
        </w:rPr>
      </w:pPr>
      <w:r>
        <w:rPr>
          <w:rFonts w:ascii="宋体" w:hAnsi="宋体"/>
          <w:sz w:val="24"/>
        </w:rPr>
        <w:t>磋商小组</w:t>
      </w:r>
    </w:p>
    <w:p w14:paraId="7947DB0C">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磋商小组根据政府采购有关规定和本次采购项目的特点进行组建，并负责具体评审事务，独立履行职责。</w:t>
      </w:r>
      <w:bookmarkStart w:id="361" w:name="_Toc520356166"/>
    </w:p>
    <w:p w14:paraId="54AB5A5D">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61"/>
      <w:bookmarkStart w:id="362" w:name="_Toc520356169"/>
    </w:p>
    <w:p w14:paraId="4CB67721">
      <w:pPr>
        <w:numPr>
          <w:ilvl w:val="0"/>
          <w:numId w:val="1"/>
        </w:numPr>
        <w:tabs>
          <w:tab w:val="left" w:pos="360"/>
        </w:tabs>
        <w:snapToGrid w:val="0"/>
        <w:spacing w:line="360" w:lineRule="auto"/>
        <w:ind w:left="902" w:hanging="902"/>
        <w:outlineLvl w:val="2"/>
        <w:rPr>
          <w:rFonts w:hint="eastAsia" w:ascii="宋体" w:hAnsi="宋体"/>
          <w:sz w:val="24"/>
        </w:rPr>
      </w:pPr>
      <w:r>
        <w:rPr>
          <w:rFonts w:ascii="宋体" w:hAnsi="宋体"/>
          <w:sz w:val="24"/>
        </w:rPr>
        <w:t>评审方法和评审标准</w:t>
      </w:r>
    </w:p>
    <w:p w14:paraId="0F05028F">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见第</w:t>
      </w:r>
      <w:r>
        <w:rPr>
          <w:rFonts w:hint="eastAsia" w:ascii="宋体" w:hAnsi="宋体"/>
          <w:sz w:val="24"/>
        </w:rPr>
        <w:t>五</w:t>
      </w:r>
      <w:r>
        <w:rPr>
          <w:rFonts w:ascii="宋体" w:hAnsi="宋体"/>
          <w:sz w:val="24"/>
        </w:rPr>
        <w:t>章《评审方法和评审标准》。</w:t>
      </w:r>
    </w:p>
    <w:p w14:paraId="4E3FEC0F">
      <w:pPr>
        <w:jc w:val="center"/>
        <w:outlineLvl w:val="1"/>
        <w:rPr>
          <w:rFonts w:hint="eastAsia" w:ascii="宋体" w:hAnsi="宋体"/>
          <w:b/>
          <w:bCs/>
          <w:sz w:val="28"/>
          <w:szCs w:val="36"/>
        </w:rPr>
      </w:pPr>
      <w:bookmarkStart w:id="363" w:name="_Toc226337241"/>
      <w:bookmarkStart w:id="364" w:name="_Toc151193643"/>
      <w:bookmarkStart w:id="365" w:name="_Toc150509296"/>
      <w:bookmarkStart w:id="366" w:name="_Toc305158813"/>
      <w:bookmarkStart w:id="367" w:name="_Toc150480783"/>
      <w:bookmarkStart w:id="368" w:name="_Toc305158887"/>
      <w:bookmarkStart w:id="369" w:name="_Toc151193715"/>
      <w:bookmarkStart w:id="370" w:name="_Toc151193787"/>
      <w:bookmarkStart w:id="371" w:name="_Toc150774645"/>
      <w:bookmarkStart w:id="372" w:name="_Toc226965818"/>
      <w:bookmarkStart w:id="373" w:name="_Toc151193859"/>
      <w:bookmarkStart w:id="374" w:name="_Toc151193933"/>
      <w:bookmarkStart w:id="375" w:name="_Toc265228383"/>
      <w:bookmarkStart w:id="376" w:name="_Toc264969235"/>
      <w:bookmarkStart w:id="377" w:name="_Toc151190172"/>
      <w:bookmarkStart w:id="378" w:name="_Toc195842910"/>
      <w:bookmarkStart w:id="379" w:name="_Toc142311047"/>
      <w:bookmarkStart w:id="380" w:name="_Toc150774750"/>
      <w:bookmarkStart w:id="381" w:name="_Toc127151545"/>
      <w:bookmarkStart w:id="382" w:name="_Toc226965735"/>
      <w:bookmarkStart w:id="383" w:name="_Toc226309789"/>
      <w:r>
        <w:rPr>
          <w:rFonts w:ascii="宋体" w:hAnsi="宋体"/>
          <w:b/>
          <w:bCs/>
          <w:sz w:val="28"/>
          <w:szCs w:val="36"/>
        </w:rPr>
        <w:t xml:space="preserve">六   </w:t>
      </w:r>
      <w:bookmarkEnd w:id="362"/>
      <w:r>
        <w:rPr>
          <w:rFonts w:ascii="宋体" w:hAnsi="宋体"/>
          <w:b/>
          <w:bCs/>
          <w:sz w:val="28"/>
          <w:szCs w:val="36"/>
        </w:rPr>
        <w:t>确定</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Pr>
          <w:rFonts w:ascii="宋体" w:hAnsi="宋体"/>
          <w:b/>
          <w:bCs/>
          <w:sz w:val="28"/>
          <w:szCs w:val="36"/>
        </w:rPr>
        <w:t>成交</w:t>
      </w:r>
    </w:p>
    <w:p w14:paraId="054FD990">
      <w:pPr>
        <w:numPr>
          <w:ilvl w:val="0"/>
          <w:numId w:val="1"/>
        </w:numPr>
        <w:tabs>
          <w:tab w:val="left" w:pos="360"/>
        </w:tabs>
        <w:snapToGrid w:val="0"/>
        <w:spacing w:line="360" w:lineRule="auto"/>
        <w:ind w:left="357" w:hanging="357"/>
        <w:outlineLvl w:val="2"/>
        <w:rPr>
          <w:rFonts w:hint="eastAsia" w:ascii="宋体" w:hAnsi="宋体"/>
          <w:sz w:val="24"/>
        </w:rPr>
      </w:pPr>
      <w:bookmarkStart w:id="384" w:name="_Toc142311049"/>
      <w:bookmarkStart w:id="385" w:name="_Toc127151547"/>
      <w:bookmarkStart w:id="386" w:name="_Toc150774752"/>
      <w:bookmarkStart w:id="387" w:name="_Toc151193861"/>
      <w:bookmarkStart w:id="388" w:name="_Toc305158889"/>
      <w:bookmarkStart w:id="389" w:name="_Toc151193935"/>
      <w:bookmarkStart w:id="390" w:name="_Toc226337243"/>
      <w:bookmarkStart w:id="391" w:name="_Toc151193717"/>
      <w:bookmarkStart w:id="392" w:name="_Toc265228385"/>
      <w:bookmarkStart w:id="393" w:name="_Toc149720840"/>
      <w:bookmarkStart w:id="394" w:name="_Toc226309791"/>
      <w:bookmarkStart w:id="395" w:name="_Toc226965820"/>
      <w:bookmarkStart w:id="396" w:name="_Toc151190174"/>
      <w:bookmarkStart w:id="397" w:name="_Toc127151748"/>
      <w:bookmarkStart w:id="398" w:name="_Toc264969237"/>
      <w:bookmarkStart w:id="399" w:name="_Toc226965737"/>
      <w:bookmarkStart w:id="400" w:name="_Toc150509298"/>
      <w:bookmarkStart w:id="401" w:name="_Toc164229388"/>
      <w:bookmarkStart w:id="402" w:name="_Toc164608661"/>
      <w:bookmarkStart w:id="403" w:name="_Toc305158815"/>
      <w:bookmarkStart w:id="404" w:name="_Toc151193645"/>
      <w:bookmarkStart w:id="405" w:name="_Toc164608816"/>
      <w:bookmarkStart w:id="406" w:name="_Toc150480785"/>
      <w:bookmarkStart w:id="407" w:name="_Toc151193789"/>
      <w:bookmarkStart w:id="408" w:name="_Toc195842912"/>
      <w:bookmarkStart w:id="409" w:name="_Toc164351641"/>
      <w:bookmarkStart w:id="410" w:name="_Toc127161461"/>
      <w:bookmarkStart w:id="411" w:name="_Toc164229242"/>
      <w:bookmarkStart w:id="412" w:name="_Toc150774647"/>
      <w:r>
        <w:rPr>
          <w:rFonts w:ascii="宋体" w:hAnsi="宋体"/>
          <w:sz w:val="24"/>
        </w:rPr>
        <w:t>确定成交供应商</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635A222E">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采购人将在收到评审报告后，从评审报告提出的成交候选供应商中，按照排序由高到低的原则确定成交供应商</w:t>
      </w:r>
      <w:r>
        <w:rPr>
          <w:rFonts w:hint="eastAsia" w:ascii="宋体" w:hAnsi="宋体"/>
          <w:sz w:val="24"/>
        </w:rPr>
        <w:t>。</w:t>
      </w:r>
      <w:r>
        <w:rPr>
          <w:rFonts w:ascii="宋体" w:hAnsi="宋体"/>
          <w:sz w:val="24"/>
        </w:rPr>
        <w:t>采购人是否授权</w:t>
      </w:r>
      <w:r>
        <w:rPr>
          <w:rFonts w:hint="eastAsia" w:ascii="宋体" w:hAnsi="宋体"/>
          <w:sz w:val="24"/>
        </w:rPr>
        <w:t>磋商</w:t>
      </w:r>
      <w:r>
        <w:rPr>
          <w:rFonts w:ascii="宋体" w:hAnsi="宋体"/>
          <w:sz w:val="24"/>
        </w:rPr>
        <w:t>小组直接确定成交供应商，见《供应商须知资料表》。成交候选人并列的，按照《供应商须知资料表》要求确定成交供应商。</w:t>
      </w:r>
    </w:p>
    <w:p w14:paraId="13DE39BF">
      <w:pPr>
        <w:numPr>
          <w:ilvl w:val="0"/>
          <w:numId w:val="1"/>
        </w:numPr>
        <w:tabs>
          <w:tab w:val="left" w:pos="360"/>
        </w:tabs>
        <w:snapToGrid w:val="0"/>
        <w:spacing w:line="360" w:lineRule="auto"/>
        <w:ind w:left="357" w:hanging="357"/>
        <w:outlineLvl w:val="2"/>
        <w:rPr>
          <w:rFonts w:hint="eastAsia" w:ascii="宋体" w:hAnsi="宋体"/>
          <w:sz w:val="24"/>
        </w:rPr>
      </w:pPr>
      <w:bookmarkStart w:id="413" w:name="_Toc305158891"/>
      <w:bookmarkStart w:id="414" w:name="_Toc305158817"/>
      <w:bookmarkStart w:id="415" w:name="_Toc151193863"/>
      <w:bookmarkStart w:id="416" w:name="_Toc127161463"/>
      <w:bookmarkStart w:id="417" w:name="_Toc226965739"/>
      <w:bookmarkStart w:id="418" w:name="_Toc164229244"/>
      <w:bookmarkStart w:id="419" w:name="_Toc164608818"/>
      <w:bookmarkStart w:id="420" w:name="_Toc164608663"/>
      <w:bookmarkStart w:id="421" w:name="_Toc150774649"/>
      <w:bookmarkStart w:id="422" w:name="_Toc151190176"/>
      <w:bookmarkStart w:id="423" w:name="_Toc164351643"/>
      <w:bookmarkStart w:id="424" w:name="_Toc164229390"/>
      <w:bookmarkStart w:id="425" w:name="_Toc226965822"/>
      <w:bookmarkStart w:id="426" w:name="_Toc150509300"/>
      <w:bookmarkStart w:id="427" w:name="_Toc151193791"/>
      <w:bookmarkStart w:id="428" w:name="_Toc265228387"/>
      <w:bookmarkStart w:id="429" w:name="_Toc142311051"/>
      <w:bookmarkStart w:id="430" w:name="_Toc150774754"/>
      <w:bookmarkStart w:id="431" w:name="_Toc151193937"/>
      <w:bookmarkStart w:id="432" w:name="_Toc127151549"/>
      <w:bookmarkStart w:id="433" w:name="_Toc195842914"/>
      <w:bookmarkStart w:id="434" w:name="_Toc150480787"/>
      <w:bookmarkStart w:id="435" w:name="_Toc151193719"/>
      <w:bookmarkStart w:id="436" w:name="_Toc151193647"/>
      <w:bookmarkStart w:id="437" w:name="_Toc149720842"/>
      <w:bookmarkStart w:id="438" w:name="_Toc226337245"/>
      <w:bookmarkStart w:id="439" w:name="_Toc264969239"/>
      <w:bookmarkStart w:id="440" w:name="_Toc127151750"/>
      <w:bookmarkStart w:id="441" w:name="_Toc226309793"/>
      <w:bookmarkStart w:id="442" w:name="_Toc520356176"/>
      <w:bookmarkStart w:id="443" w:name="_Ref467307090"/>
      <w:bookmarkStart w:id="444" w:name="_Ref467306425"/>
      <w:r>
        <w:rPr>
          <w:rFonts w:ascii="宋体" w:hAnsi="宋体"/>
          <w:sz w:val="24"/>
        </w:rPr>
        <w:t>成交公告与成交通知书</w:t>
      </w:r>
      <w:bookmarkEnd w:id="413"/>
      <w:bookmarkEnd w:id="414"/>
    </w:p>
    <w:p w14:paraId="4F5A119A">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采购人或采购代理机构将</w:t>
      </w:r>
      <w:r>
        <w:rPr>
          <w:rFonts w:ascii="宋体" w:hAnsi="宋体"/>
          <w:kern w:val="0"/>
          <w:sz w:val="24"/>
        </w:rPr>
        <w:t>在成交供应商确定后2个工作日内，在</w:t>
      </w:r>
      <w:r>
        <w:rPr>
          <w:rFonts w:hint="eastAsia" w:ascii="宋体" w:hAnsi="宋体"/>
          <w:sz w:val="24"/>
        </w:rPr>
        <w:t>北京市政府采购网</w:t>
      </w:r>
      <w:r>
        <w:rPr>
          <w:rFonts w:ascii="宋体" w:hAnsi="宋体"/>
          <w:kern w:val="0"/>
          <w:sz w:val="24"/>
        </w:rPr>
        <w:t>公告成交结果，同时向成交供应商发出成交通知书，</w:t>
      </w:r>
      <w:r>
        <w:rPr>
          <w:rFonts w:ascii="宋体" w:hAnsi="宋体"/>
          <w:sz w:val="24"/>
        </w:rPr>
        <w:t>成交公告期限为1个工作日。</w:t>
      </w:r>
    </w:p>
    <w:p w14:paraId="4D622A25">
      <w:pPr>
        <w:numPr>
          <w:ilvl w:val="1"/>
          <w:numId w:val="1"/>
        </w:numPr>
        <w:tabs>
          <w:tab w:val="left" w:pos="1080"/>
          <w:tab w:val="left" w:pos="2014"/>
        </w:tabs>
        <w:snapToGrid w:val="0"/>
        <w:spacing w:line="360" w:lineRule="auto"/>
        <w:ind w:left="1080" w:hanging="720"/>
        <w:rPr>
          <w:rFonts w:hint="eastAsia" w:ascii="宋体" w:hAnsi="宋体"/>
          <w:sz w:val="24"/>
        </w:rPr>
      </w:pPr>
      <w:r>
        <w:rPr>
          <w:rFonts w:ascii="宋体" w:hAnsi="宋体"/>
          <w:sz w:val="24"/>
        </w:rPr>
        <w:t>成交通知书对采购人和成交供应商具有同等法律效力。成交通知书发出后，采购人改变成交结果的，或者成交供应商放弃成交项目的，将依法承担法律责任</w:t>
      </w:r>
      <w:r>
        <w:rPr>
          <w:rFonts w:hint="eastAsia" w:ascii="宋体" w:hAnsi="宋体"/>
          <w:sz w:val="24"/>
        </w:rPr>
        <w:t>。</w:t>
      </w:r>
    </w:p>
    <w:p w14:paraId="49F7A82E">
      <w:pPr>
        <w:numPr>
          <w:ilvl w:val="0"/>
          <w:numId w:val="1"/>
        </w:numPr>
        <w:tabs>
          <w:tab w:val="left" w:pos="360"/>
        </w:tabs>
        <w:snapToGrid w:val="0"/>
        <w:spacing w:line="360" w:lineRule="auto"/>
        <w:ind w:left="357" w:hanging="357"/>
        <w:outlineLvl w:val="2"/>
        <w:rPr>
          <w:rFonts w:hint="eastAsia" w:ascii="宋体" w:hAnsi="宋体"/>
          <w:sz w:val="24"/>
        </w:rPr>
      </w:pPr>
      <w:r>
        <w:rPr>
          <w:rFonts w:ascii="宋体" w:hAnsi="宋体"/>
          <w:sz w:val="24"/>
        </w:rPr>
        <w:t>终止</w:t>
      </w:r>
    </w:p>
    <w:p w14:paraId="3CFBC547">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出现下列情形之一的，采购人或采购代理机构将终止竞争性磋商采购活动，发布项目终止公告并说明原因，重新开展采购活动：</w:t>
      </w:r>
    </w:p>
    <w:p w14:paraId="21CC0318">
      <w:pPr>
        <w:numPr>
          <w:ilvl w:val="2"/>
          <w:numId w:val="1"/>
        </w:numPr>
        <w:snapToGrid w:val="0"/>
        <w:spacing w:line="360" w:lineRule="auto"/>
        <w:rPr>
          <w:rFonts w:hint="eastAsia" w:ascii="宋体" w:hAnsi="宋体"/>
          <w:sz w:val="24"/>
        </w:rPr>
      </w:pPr>
      <w:r>
        <w:rPr>
          <w:rFonts w:ascii="宋体" w:hAnsi="宋体"/>
          <w:sz w:val="24"/>
        </w:rPr>
        <w:t>因情况变化，不再符合规定的竞争性磋商采购方式适用情形的；</w:t>
      </w:r>
    </w:p>
    <w:p w14:paraId="2A9F8271">
      <w:pPr>
        <w:numPr>
          <w:ilvl w:val="2"/>
          <w:numId w:val="1"/>
        </w:numPr>
        <w:snapToGrid w:val="0"/>
        <w:spacing w:line="360" w:lineRule="auto"/>
        <w:rPr>
          <w:rFonts w:hint="eastAsia" w:ascii="宋体" w:hAnsi="宋体"/>
          <w:sz w:val="24"/>
        </w:rPr>
      </w:pPr>
      <w:r>
        <w:rPr>
          <w:rFonts w:ascii="宋体" w:hAnsi="宋体"/>
          <w:sz w:val="24"/>
        </w:rPr>
        <w:t>出现影响采购公正的违法、违规行为的；</w:t>
      </w:r>
    </w:p>
    <w:p w14:paraId="445BF0E8">
      <w:pPr>
        <w:numPr>
          <w:ilvl w:val="2"/>
          <w:numId w:val="1"/>
        </w:numPr>
        <w:snapToGrid w:val="0"/>
        <w:spacing w:line="360" w:lineRule="auto"/>
        <w:rPr>
          <w:rFonts w:hint="eastAsia" w:ascii="宋体" w:hAnsi="宋体"/>
          <w:sz w:val="24"/>
        </w:rPr>
      </w:pPr>
      <w:r>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14:paraId="1635D58B">
      <w:pPr>
        <w:numPr>
          <w:ilvl w:val="0"/>
          <w:numId w:val="1"/>
        </w:numPr>
        <w:tabs>
          <w:tab w:val="left" w:pos="360"/>
        </w:tabs>
        <w:snapToGrid w:val="0"/>
        <w:spacing w:line="360" w:lineRule="auto"/>
        <w:ind w:left="357" w:hanging="357"/>
        <w:outlineLvl w:val="2"/>
        <w:rPr>
          <w:rFonts w:hint="eastAsia" w:ascii="宋体" w:hAnsi="宋体"/>
          <w:sz w:val="24"/>
        </w:rPr>
      </w:pPr>
      <w:bookmarkStart w:id="445" w:name="_Toc226309794"/>
      <w:bookmarkStart w:id="446" w:name="_Toc151193720"/>
      <w:bookmarkStart w:id="447" w:name="_Toc142311052"/>
      <w:bookmarkStart w:id="448" w:name="_Toc195842915"/>
      <w:bookmarkStart w:id="449" w:name="_Toc264969240"/>
      <w:bookmarkStart w:id="450" w:name="_Toc149720843"/>
      <w:bookmarkStart w:id="451" w:name="_Toc150480788"/>
      <w:bookmarkStart w:id="452" w:name="_Toc151193792"/>
      <w:bookmarkStart w:id="453" w:name="_Toc164351644"/>
      <w:bookmarkStart w:id="454" w:name="_Toc265228388"/>
      <w:bookmarkStart w:id="455" w:name="_Toc150774650"/>
      <w:bookmarkStart w:id="456" w:name="_Toc226965740"/>
      <w:bookmarkStart w:id="457" w:name="_Toc164608664"/>
      <w:bookmarkStart w:id="458" w:name="_Toc520356175"/>
      <w:bookmarkStart w:id="459" w:name="_Toc164229391"/>
      <w:bookmarkStart w:id="460" w:name="_Toc151190177"/>
      <w:bookmarkStart w:id="461" w:name="_Ref467306978"/>
      <w:bookmarkStart w:id="462" w:name="_Toc164229245"/>
      <w:bookmarkStart w:id="463" w:name="_Toc226337246"/>
      <w:bookmarkStart w:id="464" w:name="_Toc151193648"/>
      <w:bookmarkStart w:id="465" w:name="_Toc150509301"/>
      <w:bookmarkStart w:id="466" w:name="_Toc150774755"/>
      <w:bookmarkStart w:id="467" w:name="_Toc226965823"/>
      <w:bookmarkStart w:id="468" w:name="_Toc305158818"/>
      <w:bookmarkStart w:id="469" w:name="_Toc127161464"/>
      <w:bookmarkStart w:id="470" w:name="_Toc127151550"/>
      <w:bookmarkStart w:id="471" w:name="_Toc164608819"/>
      <w:bookmarkStart w:id="472" w:name="_Ref467306377"/>
      <w:bookmarkStart w:id="473" w:name="_Ref467307204"/>
      <w:bookmarkStart w:id="474" w:name="_Toc127151751"/>
      <w:bookmarkStart w:id="475" w:name="_Toc151193864"/>
      <w:bookmarkStart w:id="476" w:name="_Ref467307062"/>
      <w:bookmarkStart w:id="477" w:name="_Toc305158892"/>
      <w:bookmarkStart w:id="478" w:name="_Toc151193938"/>
      <w:r>
        <w:rPr>
          <w:rFonts w:ascii="宋体" w:hAnsi="宋体"/>
          <w:sz w:val="24"/>
        </w:rPr>
        <w:t>签订合同</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2A4DE022">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14:paraId="089C3965">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C527E47">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联合体获得成交资格的，联合体各方应当共同与采购人签订合同，就成交项目向采购人承担连带责任。</w:t>
      </w:r>
    </w:p>
    <w:p w14:paraId="33C3588A">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政府采购合同不能转包。</w:t>
      </w:r>
    </w:p>
    <w:p w14:paraId="68286B97">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采购人允许采用分包方式履行合同的，成交供应商可以依法采取分包方式履行合同。本项目</w:t>
      </w:r>
      <w:r>
        <w:rPr>
          <w:rFonts w:hint="eastAsia" w:ascii="宋体" w:hAnsi="宋体"/>
          <w:sz w:val="24"/>
        </w:rPr>
        <w:t>是</w:t>
      </w:r>
      <w:r>
        <w:rPr>
          <w:rFonts w:ascii="宋体" w:hAnsi="宋体"/>
          <w:sz w:val="24"/>
        </w:rPr>
        <w:t>否允许分包，见《供应商须知资料表》。政府采购合同分包履行的，应当在响应文件中载明分包承担主体，分包承担主体应当具备相应资质条件且不得再次分包，</w:t>
      </w:r>
      <w:r>
        <w:rPr>
          <w:rFonts w:ascii="宋体" w:hAnsi="宋体"/>
          <w:b/>
          <w:sz w:val="24"/>
        </w:rPr>
        <w:t>否则响应无效</w:t>
      </w:r>
      <w:r>
        <w:rPr>
          <w:rFonts w:ascii="宋体" w:hAnsi="宋体"/>
          <w:sz w:val="24"/>
        </w:rPr>
        <w:t>。成交供应商就采购项目和分包项目向采购人负责，分包供应商就分包项目承担责任。</w:t>
      </w:r>
    </w:p>
    <w:p w14:paraId="71B4684E">
      <w:pPr>
        <w:numPr>
          <w:ilvl w:val="1"/>
          <w:numId w:val="1"/>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“政采贷”融资指引：详见《供应商须知资料表》</w:t>
      </w:r>
    </w:p>
    <w:bookmarkEnd w:id="442"/>
    <w:bookmarkEnd w:id="443"/>
    <w:bookmarkEnd w:id="444"/>
    <w:p w14:paraId="31125A1E">
      <w:pPr>
        <w:numPr>
          <w:ilvl w:val="0"/>
          <w:numId w:val="1"/>
        </w:numPr>
        <w:tabs>
          <w:tab w:val="left" w:pos="360"/>
        </w:tabs>
        <w:snapToGrid w:val="0"/>
        <w:spacing w:line="360" w:lineRule="auto"/>
        <w:ind w:left="357" w:hanging="357"/>
        <w:outlineLvl w:val="2"/>
        <w:rPr>
          <w:rFonts w:hint="eastAsia" w:ascii="宋体" w:hAnsi="宋体"/>
          <w:sz w:val="24"/>
        </w:rPr>
      </w:pPr>
      <w:r>
        <w:rPr>
          <w:rFonts w:ascii="宋体" w:hAnsi="宋体"/>
          <w:sz w:val="24"/>
        </w:rPr>
        <w:t>询问与质疑</w:t>
      </w:r>
    </w:p>
    <w:p w14:paraId="28180C63">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询问</w:t>
      </w:r>
    </w:p>
    <w:p w14:paraId="3DA0037D">
      <w:pPr>
        <w:numPr>
          <w:ilvl w:val="2"/>
          <w:numId w:val="1"/>
        </w:numPr>
        <w:snapToGrid w:val="0"/>
        <w:spacing w:line="360" w:lineRule="auto"/>
        <w:rPr>
          <w:rFonts w:hint="eastAsia" w:ascii="宋体" w:hAnsi="宋体"/>
          <w:sz w:val="24"/>
        </w:rPr>
      </w:pPr>
      <w:r>
        <w:rPr>
          <w:rFonts w:ascii="宋体" w:hAnsi="宋体"/>
          <w:sz w:val="24"/>
        </w:rPr>
        <w:t>供应商对政府采购活动事项有疑问的，可依法</w:t>
      </w:r>
      <w:r>
        <w:rPr>
          <w:rFonts w:hint="eastAsia" w:ascii="宋体" w:hAnsi="宋体"/>
          <w:sz w:val="24"/>
        </w:rPr>
        <w:t>向采购人或采购代理机构提出询问，提出形式见</w:t>
      </w:r>
      <w:r>
        <w:rPr>
          <w:rFonts w:ascii="宋体" w:hAnsi="宋体"/>
          <w:sz w:val="24"/>
        </w:rPr>
        <w:t>《供应商须知资料表》</w:t>
      </w:r>
    </w:p>
    <w:p w14:paraId="3EB29DDD">
      <w:pPr>
        <w:numPr>
          <w:ilvl w:val="2"/>
          <w:numId w:val="1"/>
        </w:numPr>
        <w:snapToGrid w:val="0"/>
        <w:spacing w:line="360" w:lineRule="auto"/>
        <w:rPr>
          <w:rFonts w:hint="eastAsia" w:ascii="宋体" w:hAnsi="宋体"/>
          <w:sz w:val="24"/>
        </w:rPr>
      </w:pPr>
      <w:r>
        <w:rPr>
          <w:rFonts w:ascii="宋体" w:hAnsi="宋体"/>
          <w:sz w:val="24"/>
        </w:rPr>
        <w:t>采购人或采购代理机构对供应商依法提出的询问，在3个工作日内作出答复，但答复的内容不得涉及商业秘密。</w:t>
      </w:r>
    </w:p>
    <w:p w14:paraId="655EFDC0">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质疑</w:t>
      </w:r>
    </w:p>
    <w:p w14:paraId="0839A01F">
      <w:pPr>
        <w:numPr>
          <w:ilvl w:val="2"/>
          <w:numId w:val="1"/>
        </w:numPr>
        <w:snapToGrid w:val="0"/>
        <w:spacing w:line="360" w:lineRule="auto"/>
        <w:rPr>
          <w:rFonts w:hint="eastAsia" w:ascii="宋体" w:hAnsi="宋体"/>
          <w:sz w:val="24"/>
        </w:rPr>
      </w:pPr>
      <w:r>
        <w:rPr>
          <w:rFonts w:ascii="宋体" w:hAnsi="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25C071EC">
      <w:pPr>
        <w:numPr>
          <w:ilvl w:val="2"/>
          <w:numId w:val="1"/>
        </w:numPr>
        <w:snapToGrid w:val="0"/>
        <w:spacing w:line="360" w:lineRule="auto"/>
        <w:rPr>
          <w:rFonts w:hint="eastAsia" w:ascii="宋体" w:hAnsi="宋体"/>
          <w:sz w:val="24"/>
        </w:rPr>
      </w:pPr>
      <w:r>
        <w:rPr>
          <w:rFonts w:hint="eastAsia" w:ascii="宋体" w:hAnsi="宋体"/>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62DF2819">
      <w:pPr>
        <w:numPr>
          <w:ilvl w:val="2"/>
          <w:numId w:val="1"/>
        </w:numPr>
        <w:snapToGrid w:val="0"/>
        <w:spacing w:line="360" w:lineRule="auto"/>
        <w:rPr>
          <w:rFonts w:hint="eastAsia" w:ascii="宋体" w:hAnsi="宋体"/>
          <w:sz w:val="24"/>
        </w:rPr>
      </w:pPr>
      <w:r>
        <w:rPr>
          <w:rFonts w:hint="eastAsia" w:ascii="宋体" w:hAnsi="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sz w:val="24"/>
        </w:rPr>
        <w:t>。</w:t>
      </w:r>
    </w:p>
    <w:p w14:paraId="26123E38">
      <w:pPr>
        <w:numPr>
          <w:ilvl w:val="2"/>
          <w:numId w:val="1"/>
        </w:numPr>
        <w:snapToGrid w:val="0"/>
        <w:spacing w:line="360" w:lineRule="auto"/>
        <w:rPr>
          <w:rFonts w:hint="eastAsia" w:ascii="宋体" w:hAnsi="宋体"/>
          <w:sz w:val="24"/>
        </w:rPr>
      </w:pPr>
      <w:r>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24E9BCD7">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接收询问和质疑的联系部门、联系电话和通讯地址见《供应商须知资料表》</w:t>
      </w:r>
      <w:r>
        <w:rPr>
          <w:rFonts w:hint="eastAsia" w:ascii="宋体" w:hAnsi="宋体"/>
          <w:sz w:val="24"/>
        </w:rPr>
        <w:t>。</w:t>
      </w:r>
    </w:p>
    <w:p w14:paraId="35FE5D6C">
      <w:pPr>
        <w:numPr>
          <w:ilvl w:val="0"/>
          <w:numId w:val="1"/>
        </w:numPr>
        <w:tabs>
          <w:tab w:val="left" w:pos="360"/>
        </w:tabs>
        <w:snapToGrid w:val="0"/>
        <w:spacing w:line="360" w:lineRule="auto"/>
        <w:ind w:left="357" w:hanging="357"/>
        <w:outlineLvl w:val="2"/>
        <w:rPr>
          <w:rFonts w:hint="eastAsia" w:ascii="宋体" w:hAnsi="宋体"/>
          <w:sz w:val="24"/>
        </w:rPr>
      </w:pPr>
      <w:r>
        <w:rPr>
          <w:rFonts w:ascii="宋体" w:hAnsi="宋体"/>
          <w:sz w:val="24"/>
        </w:rPr>
        <w:t>代理费</w:t>
      </w:r>
    </w:p>
    <w:p w14:paraId="7A52BF7D">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收费对象、收费标准及缴纳时间见《供应商须知资料表》。由成交供应商支付的，成交供应商须一次性向采购代理机构缴纳代理费，报价应包含代理费用。</w:t>
      </w:r>
    </w:p>
    <w:p w14:paraId="538914A5">
      <w:pPr>
        <w:tabs>
          <w:tab w:val="left" w:pos="1080"/>
          <w:tab w:val="left" w:pos="1589"/>
          <w:tab w:val="left" w:pos="2014"/>
        </w:tabs>
        <w:snapToGrid w:val="0"/>
        <w:spacing w:line="360" w:lineRule="auto"/>
        <w:rPr>
          <w:rFonts w:hint="eastAsia" w:ascii="宋体" w:hAnsi="宋体"/>
          <w:sz w:val="24"/>
        </w:rPr>
      </w:pPr>
      <w:r>
        <w:rPr>
          <w:rFonts w:hint="eastAsia" w:ascii="宋体" w:hAnsi="宋体"/>
          <w:sz w:val="24"/>
        </w:rPr>
        <w:t>26 其他</w:t>
      </w:r>
    </w:p>
    <w:p w14:paraId="637ECF7A">
      <w:pPr>
        <w:tabs>
          <w:tab w:val="left" w:pos="1080"/>
          <w:tab w:val="left" w:pos="1589"/>
          <w:tab w:val="left" w:pos="2014"/>
        </w:tabs>
        <w:adjustRightInd w:val="0"/>
        <w:snapToGrid w:val="0"/>
        <w:spacing w:line="360" w:lineRule="auto"/>
        <w:ind w:firstLine="480" w:firstLineChars="200"/>
        <w:rPr>
          <w:rFonts w:hint="eastAsia" w:ascii="宋体" w:hAnsi="宋体"/>
          <w:sz w:val="24"/>
        </w:rPr>
      </w:pPr>
      <w:r>
        <w:rPr>
          <w:rFonts w:hint="eastAsia" w:ascii="宋体" w:hAnsi="宋体"/>
          <w:sz w:val="24"/>
        </w:rPr>
        <w:t>详见</w:t>
      </w:r>
      <w:r>
        <w:rPr>
          <w:rFonts w:ascii="宋体" w:hAnsi="宋体"/>
          <w:sz w:val="24"/>
        </w:rPr>
        <w:t>《供应商须知资料表》</w:t>
      </w:r>
      <w:r>
        <w:rPr>
          <w:rFonts w:hint="eastAsia" w:ascii="宋体" w:hAnsi="宋体"/>
          <w:sz w:val="24"/>
        </w:rPr>
        <w:t>。</w:t>
      </w:r>
    </w:p>
    <w:p w14:paraId="4CE9F00F">
      <w:pPr>
        <w:tabs>
          <w:tab w:val="left" w:pos="1080"/>
          <w:tab w:val="left" w:pos="1589"/>
          <w:tab w:val="left" w:pos="2014"/>
        </w:tabs>
        <w:snapToGrid w:val="0"/>
        <w:spacing w:line="360" w:lineRule="auto"/>
        <w:rPr>
          <w:rFonts w:hint="eastAsia" w:ascii="宋体" w:hAnsi="宋体"/>
          <w:sz w:val="24"/>
        </w:rPr>
      </w:pPr>
    </w:p>
    <w:p w14:paraId="45AB3B6D">
      <w:pPr>
        <w:tabs>
          <w:tab w:val="left" w:pos="1080"/>
          <w:tab w:val="left" w:pos="1589"/>
          <w:tab w:val="left" w:pos="2014"/>
        </w:tabs>
        <w:snapToGrid w:val="0"/>
        <w:spacing w:line="360" w:lineRule="auto"/>
        <w:rPr>
          <w:rFonts w:hint="eastAsia" w:ascii="宋体" w:hAnsi="宋体"/>
          <w:sz w:val="24"/>
        </w:rPr>
      </w:pPr>
    </w:p>
    <w:p w14:paraId="5513A57B">
      <w:pPr>
        <w:tabs>
          <w:tab w:val="left" w:pos="1080"/>
          <w:tab w:val="left" w:pos="1589"/>
          <w:tab w:val="left" w:pos="2014"/>
        </w:tabs>
        <w:snapToGrid w:val="0"/>
        <w:spacing w:line="360" w:lineRule="auto"/>
        <w:rPr>
          <w:rFonts w:hint="eastAsia" w:ascii="宋体" w:hAnsi="宋体"/>
          <w:sz w:val="24"/>
        </w:rPr>
      </w:pPr>
    </w:p>
    <w:p w14:paraId="609C07B0">
      <w:pPr>
        <w:widowControl/>
        <w:jc w:val="left"/>
        <w:rPr>
          <w:rFonts w:hint="eastAsia" w:ascii="宋体" w:hAnsi="宋体"/>
          <w:b/>
          <w:sz w:val="36"/>
          <w:szCs w:val="36"/>
        </w:rPr>
      </w:pPr>
      <w:bookmarkStart w:id="479" w:name="_Toc150774759"/>
      <w:bookmarkStart w:id="480" w:name="_Toc353825544"/>
      <w:bookmarkStart w:id="481" w:name="_Toc305158896"/>
      <w:bookmarkStart w:id="482" w:name="_Toc265228392"/>
      <w:bookmarkStart w:id="483" w:name="_Toc264969244"/>
      <w:bookmarkStart w:id="484" w:name="_Toc305158822"/>
      <w:bookmarkStart w:id="485" w:name="_Toc353873664"/>
      <w:bookmarkStart w:id="486" w:name="_Toc150480792"/>
      <w:bookmarkStart w:id="487" w:name="_Toc353873934"/>
      <w:bookmarkStart w:id="488" w:name="_Toc226965827"/>
      <w:bookmarkStart w:id="489" w:name="_Toc142311056"/>
      <w:bookmarkStart w:id="490" w:name="_Toc226337250"/>
      <w:bookmarkStart w:id="491" w:name="_Toc127151554"/>
      <w:bookmarkStart w:id="492" w:name="_Toc165576330"/>
      <w:bookmarkStart w:id="493" w:name="_Toc103153303"/>
      <w:r>
        <w:rPr>
          <w:rFonts w:hint="eastAsia" w:ascii="宋体" w:hAnsi="宋体"/>
          <w:b/>
          <w:sz w:val="36"/>
          <w:szCs w:val="36"/>
        </w:rPr>
        <w:br w:type="page"/>
      </w:r>
    </w:p>
    <w:p w14:paraId="6DC03433">
      <w:pPr>
        <w:spacing w:line="360" w:lineRule="auto"/>
        <w:jc w:val="center"/>
        <w:outlineLvl w:val="0"/>
        <w:rPr>
          <w:rFonts w:hint="eastAsia" w:ascii="宋体" w:hAnsi="宋体"/>
          <w:b/>
          <w:sz w:val="36"/>
          <w:szCs w:val="36"/>
        </w:rPr>
      </w:pPr>
      <w:r>
        <w:rPr>
          <w:rFonts w:ascii="宋体" w:hAnsi="宋体"/>
          <w:b/>
          <w:sz w:val="36"/>
          <w:szCs w:val="36"/>
        </w:rPr>
        <w:t>第</w:t>
      </w:r>
      <w:r>
        <w:rPr>
          <w:rFonts w:hint="eastAsia" w:ascii="宋体" w:hAnsi="宋体"/>
          <w:b/>
          <w:sz w:val="36"/>
          <w:szCs w:val="36"/>
        </w:rPr>
        <w:t>三</w:t>
      </w:r>
      <w:r>
        <w:rPr>
          <w:rFonts w:ascii="宋体" w:hAnsi="宋体"/>
          <w:b/>
          <w:sz w:val="36"/>
          <w:szCs w:val="36"/>
        </w:rPr>
        <w:t xml:space="preserve">章   </w:t>
      </w:r>
      <w:bookmarkEnd w:id="479"/>
      <w:bookmarkEnd w:id="480"/>
      <w:bookmarkEnd w:id="481"/>
      <w:bookmarkEnd w:id="482"/>
      <w:bookmarkEnd w:id="483"/>
      <w:bookmarkEnd w:id="484"/>
      <w:bookmarkEnd w:id="485"/>
      <w:bookmarkEnd w:id="486"/>
      <w:bookmarkEnd w:id="487"/>
      <w:bookmarkEnd w:id="488"/>
      <w:bookmarkEnd w:id="489"/>
      <w:bookmarkEnd w:id="490"/>
      <w:bookmarkEnd w:id="491"/>
      <w:r>
        <w:rPr>
          <w:rFonts w:ascii="宋体" w:hAnsi="宋体"/>
          <w:b/>
          <w:sz w:val="36"/>
          <w:szCs w:val="36"/>
        </w:rPr>
        <w:t>评审方法和评审标准</w:t>
      </w:r>
      <w:bookmarkEnd w:id="492"/>
      <w:bookmarkEnd w:id="493"/>
      <w:bookmarkStart w:id="494" w:name="_Toc487900382"/>
    </w:p>
    <w:p w14:paraId="019F848A">
      <w:pPr>
        <w:jc w:val="center"/>
        <w:outlineLvl w:val="1"/>
        <w:rPr>
          <w:rFonts w:hint="eastAsia" w:ascii="宋体" w:hAnsi="宋体"/>
          <w:b/>
          <w:bCs/>
          <w:sz w:val="28"/>
          <w:szCs w:val="36"/>
        </w:rPr>
      </w:pPr>
      <w:r>
        <w:rPr>
          <w:rFonts w:ascii="宋体" w:hAnsi="宋体"/>
          <w:b/>
          <w:bCs/>
          <w:sz w:val="28"/>
          <w:szCs w:val="36"/>
        </w:rPr>
        <w:t>一、资格审查程序</w:t>
      </w:r>
    </w:p>
    <w:bookmarkEnd w:id="494"/>
    <w:p w14:paraId="5FAC46EC">
      <w:pPr>
        <w:numPr>
          <w:ilvl w:val="0"/>
          <w:numId w:val="4"/>
        </w:numPr>
        <w:tabs>
          <w:tab w:val="left" w:pos="360"/>
        </w:tabs>
        <w:snapToGrid w:val="0"/>
        <w:spacing w:line="360" w:lineRule="auto"/>
        <w:ind w:left="902" w:hanging="902"/>
        <w:outlineLvl w:val="2"/>
        <w:rPr>
          <w:rFonts w:hint="eastAsia" w:ascii="宋体" w:hAnsi="宋体"/>
          <w:sz w:val="24"/>
        </w:rPr>
      </w:pPr>
      <w:bookmarkStart w:id="495" w:name="_Toc305158809"/>
      <w:bookmarkStart w:id="496" w:name="_Toc164229236"/>
      <w:bookmarkStart w:id="497" w:name="_Toc127161455"/>
      <w:bookmarkStart w:id="498" w:name="_Toc142311043"/>
      <w:bookmarkStart w:id="499" w:name="_Toc164608655"/>
      <w:bookmarkStart w:id="500" w:name="_Toc151190168"/>
      <w:bookmarkStart w:id="501" w:name="_Toc164351635"/>
      <w:bookmarkStart w:id="502" w:name="_Toc150509292"/>
      <w:bookmarkStart w:id="503" w:name="_Toc265228379"/>
      <w:bookmarkStart w:id="504" w:name="_Toc127151742"/>
      <w:bookmarkStart w:id="505" w:name="_Toc195842906"/>
      <w:bookmarkStart w:id="506" w:name="_Toc164229382"/>
      <w:bookmarkStart w:id="507" w:name="_Toc150774641"/>
      <w:bookmarkStart w:id="508" w:name="_Toc151193855"/>
      <w:bookmarkStart w:id="509" w:name="_Toc150774746"/>
      <w:bookmarkStart w:id="510" w:name="_Toc226965731"/>
      <w:bookmarkStart w:id="511" w:name="_Toc164608810"/>
      <w:bookmarkStart w:id="512" w:name="_Toc150480779"/>
      <w:bookmarkStart w:id="513" w:name="_Toc264969231"/>
      <w:bookmarkStart w:id="514" w:name="_Toc151193783"/>
      <w:bookmarkStart w:id="515" w:name="_Toc127151541"/>
      <w:bookmarkStart w:id="516" w:name="_Toc149720834"/>
      <w:bookmarkStart w:id="517" w:name="_Toc151193929"/>
      <w:bookmarkStart w:id="518" w:name="_Toc226965814"/>
      <w:bookmarkStart w:id="519" w:name="_Toc226337237"/>
      <w:bookmarkStart w:id="520" w:name="_Toc151193639"/>
      <w:bookmarkStart w:id="521" w:name="_Toc226309785"/>
      <w:bookmarkStart w:id="522" w:name="_Toc305158883"/>
      <w:bookmarkStart w:id="523" w:name="_Toc151193711"/>
      <w:r>
        <w:rPr>
          <w:rFonts w:ascii="宋体" w:hAnsi="宋体"/>
          <w:sz w:val="24"/>
        </w:rPr>
        <w:t>响应文件的</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Pr>
          <w:rFonts w:ascii="宋体" w:hAnsi="宋体"/>
          <w:sz w:val="24"/>
        </w:rPr>
        <w:t>资格性检查和符合性审查</w:t>
      </w:r>
    </w:p>
    <w:p w14:paraId="6F29ACB1">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sz w:val="24"/>
        </w:rPr>
        <w:t>无效响应</w:t>
      </w:r>
      <w:r>
        <w:rPr>
          <w:rFonts w:ascii="宋体" w:hAnsi="宋体"/>
          <w:sz w:val="24"/>
        </w:rPr>
        <w:t>处理，磋商小组应当告知提交响应文件的供应商。</w:t>
      </w:r>
    </w:p>
    <w:p w14:paraId="2CD2E941">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《资格性检查要求》中对格式有要求的，除竞争性磋商文件另有规定外，均为“实质性格式”文件。</w:t>
      </w:r>
    </w:p>
    <w:p w14:paraId="324B2C45">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《资格性检查要求》见下表：</w:t>
      </w:r>
    </w:p>
    <w:p w14:paraId="08EE1BC0">
      <w:pPr>
        <w:tabs>
          <w:tab w:val="left" w:pos="900"/>
          <w:tab w:val="left" w:pos="1080"/>
        </w:tabs>
        <w:snapToGrid w:val="0"/>
        <w:spacing w:line="360" w:lineRule="auto"/>
        <w:ind w:left="1077" w:firstLine="2650" w:firstLineChars="1100"/>
        <w:rPr>
          <w:rFonts w:hint="eastAsia" w:ascii="宋体" w:hAnsi="宋体"/>
          <w:b/>
          <w:sz w:val="24"/>
        </w:rPr>
      </w:pPr>
      <w:r>
        <w:rPr>
          <w:rFonts w:ascii="宋体" w:hAnsi="宋体"/>
          <w:b/>
          <w:sz w:val="24"/>
        </w:rPr>
        <w:t>资格性检查要求</w:t>
      </w:r>
    </w:p>
    <w:tbl>
      <w:tblPr>
        <w:tblStyle w:val="44"/>
        <w:tblW w:w="54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5"/>
        <w:gridCol w:w="1972"/>
        <w:gridCol w:w="4768"/>
        <w:gridCol w:w="1851"/>
      </w:tblGrid>
      <w:tr w14:paraId="350C0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blHeader/>
        </w:trPr>
        <w:tc>
          <w:tcPr>
            <w:tcW w:w="452" w:type="pct"/>
            <w:vAlign w:val="center"/>
          </w:tcPr>
          <w:p w14:paraId="31AB4F92">
            <w:pPr>
              <w:tabs>
                <w:tab w:val="left" w:pos="1080"/>
              </w:tabs>
              <w:snapToGrid w:val="0"/>
              <w:jc w:val="center"/>
              <w:rPr>
                <w:rFonts w:hint="eastAsia" w:ascii="宋体" w:hAnsi="宋体"/>
                <w:b/>
                <w:szCs w:val="21"/>
              </w:rPr>
            </w:pPr>
            <w:bookmarkStart w:id="524" w:name="_Hlt487972895"/>
            <w:bookmarkEnd w:id="524"/>
            <w:r>
              <w:rPr>
                <w:rFonts w:ascii="宋体" w:hAnsi="宋体"/>
                <w:b/>
                <w:szCs w:val="21"/>
              </w:rPr>
              <w:t>序号</w:t>
            </w:r>
          </w:p>
        </w:tc>
        <w:tc>
          <w:tcPr>
            <w:tcW w:w="1044" w:type="pct"/>
            <w:vAlign w:val="center"/>
          </w:tcPr>
          <w:p w14:paraId="14185E12">
            <w:pPr>
              <w:tabs>
                <w:tab w:val="left" w:pos="1080"/>
              </w:tabs>
              <w:snapToGrid w:val="0"/>
              <w:jc w:val="center"/>
              <w:rPr>
                <w:rFonts w:hint="eastAsia" w:ascii="宋体" w:hAnsi="宋体"/>
                <w:b/>
                <w:szCs w:val="21"/>
              </w:rPr>
            </w:pPr>
            <w:r>
              <w:rPr>
                <w:rFonts w:ascii="宋体" w:hAnsi="宋体"/>
                <w:b/>
                <w:szCs w:val="21"/>
              </w:rPr>
              <w:t>检查因素</w:t>
            </w:r>
          </w:p>
        </w:tc>
        <w:tc>
          <w:tcPr>
            <w:tcW w:w="2524" w:type="pct"/>
            <w:vAlign w:val="center"/>
          </w:tcPr>
          <w:p w14:paraId="05DD9DB4">
            <w:pPr>
              <w:tabs>
                <w:tab w:val="left" w:pos="1080"/>
              </w:tabs>
              <w:snapToGrid w:val="0"/>
              <w:jc w:val="center"/>
              <w:rPr>
                <w:rFonts w:hint="eastAsia" w:ascii="宋体" w:hAnsi="宋体"/>
                <w:b/>
                <w:szCs w:val="21"/>
              </w:rPr>
            </w:pPr>
            <w:r>
              <w:rPr>
                <w:rFonts w:ascii="宋体" w:hAnsi="宋体"/>
                <w:b/>
                <w:szCs w:val="21"/>
              </w:rPr>
              <w:t>检查内容</w:t>
            </w:r>
          </w:p>
        </w:tc>
        <w:tc>
          <w:tcPr>
            <w:tcW w:w="980" w:type="pct"/>
            <w:vAlign w:val="center"/>
          </w:tcPr>
          <w:p w14:paraId="21F7A89B">
            <w:pPr>
              <w:tabs>
                <w:tab w:val="left" w:pos="1080"/>
              </w:tabs>
              <w:snapToGrid w:val="0"/>
              <w:jc w:val="center"/>
              <w:rPr>
                <w:rFonts w:hint="eastAsia" w:ascii="宋体" w:hAnsi="宋体"/>
                <w:b/>
                <w:szCs w:val="21"/>
              </w:rPr>
            </w:pPr>
            <w:r>
              <w:rPr>
                <w:rFonts w:ascii="宋体" w:hAnsi="宋体"/>
                <w:b/>
                <w:szCs w:val="21"/>
              </w:rPr>
              <w:t>格式要求</w:t>
            </w:r>
          </w:p>
        </w:tc>
      </w:tr>
      <w:tr w14:paraId="0BC54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452" w:type="pct"/>
            <w:vAlign w:val="center"/>
          </w:tcPr>
          <w:p w14:paraId="2A8A0788">
            <w:pPr>
              <w:tabs>
                <w:tab w:val="left" w:pos="1080"/>
              </w:tabs>
              <w:snapToGrid w:val="0"/>
              <w:jc w:val="center"/>
              <w:rPr>
                <w:rFonts w:hint="eastAsia" w:ascii="宋体" w:hAnsi="宋体"/>
                <w:szCs w:val="21"/>
              </w:rPr>
            </w:pPr>
            <w:r>
              <w:rPr>
                <w:rFonts w:hint="eastAsia" w:ascii="宋体" w:hAnsi="宋体"/>
                <w:szCs w:val="21"/>
              </w:rPr>
              <w:t>1</w:t>
            </w:r>
          </w:p>
        </w:tc>
        <w:tc>
          <w:tcPr>
            <w:tcW w:w="1044" w:type="pct"/>
            <w:vAlign w:val="center"/>
          </w:tcPr>
          <w:p w14:paraId="0C4FC50D">
            <w:pPr>
              <w:tabs>
                <w:tab w:val="left" w:pos="1080"/>
              </w:tabs>
              <w:snapToGrid w:val="0"/>
              <w:jc w:val="left"/>
              <w:rPr>
                <w:rFonts w:hint="eastAsia" w:ascii="宋体" w:hAnsi="宋体"/>
                <w:szCs w:val="21"/>
              </w:rPr>
            </w:pPr>
            <w:r>
              <w:rPr>
                <w:rFonts w:hint="eastAsia" w:ascii="宋体" w:hAnsi="宋体"/>
                <w:sz w:val="20"/>
              </w:rPr>
              <w:t>营业执照</w:t>
            </w:r>
          </w:p>
        </w:tc>
        <w:tc>
          <w:tcPr>
            <w:tcW w:w="2524" w:type="pct"/>
            <w:vAlign w:val="center"/>
          </w:tcPr>
          <w:p w14:paraId="6B4732A0">
            <w:pPr>
              <w:tabs>
                <w:tab w:val="left" w:pos="1080"/>
              </w:tabs>
              <w:snapToGrid w:val="0"/>
              <w:jc w:val="left"/>
              <w:rPr>
                <w:rFonts w:hint="eastAsia" w:ascii="宋体" w:hAnsi="宋体"/>
                <w:szCs w:val="21"/>
              </w:rPr>
            </w:pPr>
            <w:r>
              <w:rPr>
                <w:rFonts w:hint="eastAsia" w:ascii="宋体" w:hAnsi="宋体"/>
                <w:sz w:val="20"/>
              </w:rPr>
              <w:t>应提供有效的“营业执照”</w:t>
            </w:r>
          </w:p>
        </w:tc>
        <w:tc>
          <w:tcPr>
            <w:tcW w:w="980" w:type="pct"/>
            <w:vAlign w:val="center"/>
          </w:tcPr>
          <w:p w14:paraId="256E1917">
            <w:pPr>
              <w:tabs>
                <w:tab w:val="left" w:pos="1080"/>
              </w:tabs>
              <w:snapToGrid w:val="0"/>
              <w:jc w:val="left"/>
              <w:rPr>
                <w:rFonts w:hint="eastAsia" w:ascii="宋体" w:hAnsi="宋体"/>
                <w:szCs w:val="21"/>
              </w:rPr>
            </w:pPr>
            <w:r>
              <w:rPr>
                <w:rFonts w:hint="eastAsia" w:ascii="宋体" w:hAnsi="宋体"/>
                <w:sz w:val="20"/>
              </w:rPr>
              <w:t>提供证明文件的电 子件或电子证照</w:t>
            </w:r>
          </w:p>
        </w:tc>
      </w:tr>
      <w:tr w14:paraId="4B003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452" w:type="pct"/>
            <w:vAlign w:val="center"/>
          </w:tcPr>
          <w:p w14:paraId="2B8DEB1A">
            <w:pPr>
              <w:tabs>
                <w:tab w:val="left" w:pos="1080"/>
              </w:tabs>
              <w:snapToGrid w:val="0"/>
              <w:jc w:val="center"/>
              <w:rPr>
                <w:rFonts w:hint="eastAsia" w:ascii="宋体" w:hAnsi="宋体"/>
                <w:szCs w:val="21"/>
              </w:rPr>
            </w:pPr>
            <w:r>
              <w:rPr>
                <w:rFonts w:ascii="宋体" w:hAnsi="宋体"/>
                <w:szCs w:val="21"/>
              </w:rPr>
              <w:t>2</w:t>
            </w:r>
          </w:p>
        </w:tc>
        <w:tc>
          <w:tcPr>
            <w:tcW w:w="1044" w:type="pct"/>
            <w:vAlign w:val="center"/>
          </w:tcPr>
          <w:p w14:paraId="7E80FCB7">
            <w:pPr>
              <w:tabs>
                <w:tab w:val="left" w:pos="1080"/>
              </w:tabs>
              <w:snapToGrid w:val="0"/>
              <w:jc w:val="left"/>
              <w:rPr>
                <w:rFonts w:hint="eastAsia" w:ascii="宋体" w:hAnsi="宋体"/>
                <w:szCs w:val="21"/>
              </w:rPr>
            </w:pPr>
            <w:r>
              <w:rPr>
                <w:rFonts w:ascii="宋体" w:hAnsi="宋体"/>
                <w:szCs w:val="21"/>
              </w:rPr>
              <w:t>供应商资格声明书</w:t>
            </w:r>
          </w:p>
        </w:tc>
        <w:tc>
          <w:tcPr>
            <w:tcW w:w="2524" w:type="pct"/>
            <w:vAlign w:val="center"/>
          </w:tcPr>
          <w:p w14:paraId="356BE221">
            <w:pPr>
              <w:tabs>
                <w:tab w:val="left" w:pos="1080"/>
              </w:tabs>
              <w:snapToGrid w:val="0"/>
              <w:jc w:val="left"/>
              <w:rPr>
                <w:rFonts w:hint="eastAsia" w:ascii="宋体" w:hAnsi="宋体"/>
                <w:szCs w:val="21"/>
              </w:rPr>
            </w:pPr>
            <w:r>
              <w:rPr>
                <w:rFonts w:ascii="宋体" w:hAnsi="宋体"/>
                <w:szCs w:val="21"/>
              </w:rPr>
              <w:t>提供了符合竞争性磋商文件要求的《供应商资格声明书》。</w:t>
            </w:r>
          </w:p>
        </w:tc>
        <w:tc>
          <w:tcPr>
            <w:tcW w:w="980" w:type="pct"/>
            <w:vAlign w:val="center"/>
          </w:tcPr>
          <w:p w14:paraId="06CEEA54">
            <w:pPr>
              <w:tabs>
                <w:tab w:val="left" w:pos="1080"/>
              </w:tabs>
              <w:snapToGrid w:val="0"/>
              <w:jc w:val="left"/>
              <w:rPr>
                <w:rFonts w:hint="eastAsia" w:ascii="宋体" w:hAnsi="宋体"/>
                <w:szCs w:val="21"/>
              </w:rPr>
            </w:pPr>
            <w:r>
              <w:rPr>
                <w:rFonts w:ascii="宋体" w:hAnsi="宋体"/>
                <w:szCs w:val="21"/>
              </w:rPr>
              <w:t>格式见《响应文件格式》</w:t>
            </w:r>
          </w:p>
        </w:tc>
      </w:tr>
      <w:tr w14:paraId="3AD2F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452" w:type="pct"/>
            <w:vAlign w:val="center"/>
          </w:tcPr>
          <w:p w14:paraId="63A155C4">
            <w:pPr>
              <w:tabs>
                <w:tab w:val="left" w:pos="1080"/>
              </w:tabs>
              <w:snapToGrid w:val="0"/>
              <w:jc w:val="center"/>
              <w:rPr>
                <w:rFonts w:hint="eastAsia" w:ascii="宋体" w:hAnsi="宋体"/>
                <w:szCs w:val="21"/>
              </w:rPr>
            </w:pPr>
            <w:r>
              <w:rPr>
                <w:rFonts w:ascii="宋体" w:hAnsi="宋体"/>
                <w:szCs w:val="21"/>
              </w:rPr>
              <w:t>3</w:t>
            </w:r>
          </w:p>
        </w:tc>
        <w:tc>
          <w:tcPr>
            <w:tcW w:w="1044" w:type="pct"/>
            <w:vAlign w:val="center"/>
          </w:tcPr>
          <w:p w14:paraId="3F6424E8">
            <w:pPr>
              <w:tabs>
                <w:tab w:val="left" w:pos="1080"/>
              </w:tabs>
              <w:snapToGrid w:val="0"/>
              <w:rPr>
                <w:rFonts w:hint="eastAsia" w:ascii="宋体" w:hAnsi="宋体"/>
                <w:szCs w:val="21"/>
              </w:rPr>
            </w:pPr>
            <w:r>
              <w:rPr>
                <w:rFonts w:ascii="宋体" w:hAnsi="宋体"/>
                <w:szCs w:val="21"/>
              </w:rPr>
              <w:t>供应商信用记录</w:t>
            </w:r>
          </w:p>
        </w:tc>
        <w:tc>
          <w:tcPr>
            <w:tcW w:w="2524" w:type="pct"/>
            <w:vAlign w:val="center"/>
          </w:tcPr>
          <w:p w14:paraId="7FE8B6E9">
            <w:pPr>
              <w:tabs>
                <w:tab w:val="left" w:pos="1080"/>
              </w:tabs>
              <w:snapToGrid w:val="0"/>
              <w:rPr>
                <w:rFonts w:hint="eastAsia" w:ascii="宋体" w:hAnsi="宋体"/>
                <w:szCs w:val="21"/>
              </w:rPr>
            </w:pPr>
            <w:r>
              <w:rPr>
                <w:rFonts w:ascii="宋体" w:hAnsi="宋体"/>
                <w:szCs w:val="21"/>
              </w:rPr>
              <w:t>查询渠道：信用中国网站和中国政府采购网www.creditchina.gov.cn、www.ccgp.gov.cn）；</w:t>
            </w:r>
          </w:p>
          <w:p w14:paraId="1DBE18A9">
            <w:pPr>
              <w:tabs>
                <w:tab w:val="left" w:pos="900"/>
                <w:tab w:val="left" w:pos="1980"/>
              </w:tabs>
              <w:snapToGrid w:val="0"/>
              <w:rPr>
                <w:rFonts w:hint="eastAsia" w:ascii="宋体" w:hAnsi="宋体"/>
                <w:szCs w:val="21"/>
              </w:rPr>
            </w:pPr>
            <w:r>
              <w:rPr>
                <w:rFonts w:ascii="宋体" w:hAnsi="宋体"/>
                <w:szCs w:val="21"/>
              </w:rPr>
              <w:t>截止时点：</w:t>
            </w:r>
            <w:r>
              <w:rPr>
                <w:rFonts w:ascii="宋体" w:hAnsi="宋体"/>
                <w:kern w:val="0"/>
                <w:szCs w:val="21"/>
              </w:rPr>
              <w:t>首次响应文件提交截止时间以后</w:t>
            </w:r>
            <w:r>
              <w:rPr>
                <w:rFonts w:ascii="宋体" w:hAnsi="宋体"/>
                <w:szCs w:val="21"/>
              </w:rPr>
              <w:t>、资格性检查阶段采购人或采购代理机构的实际查询时间为准；</w:t>
            </w:r>
          </w:p>
          <w:p w14:paraId="20C4C35E">
            <w:pPr>
              <w:tabs>
                <w:tab w:val="left" w:pos="900"/>
                <w:tab w:val="left" w:pos="1980"/>
              </w:tabs>
              <w:snapToGrid w:val="0"/>
              <w:rPr>
                <w:rFonts w:hint="eastAsia" w:ascii="宋体" w:hAnsi="宋体"/>
                <w:szCs w:val="21"/>
              </w:rPr>
            </w:pPr>
            <w:r>
              <w:rPr>
                <w:rFonts w:ascii="宋体" w:hAnsi="宋体"/>
                <w:szCs w:val="21"/>
              </w:rPr>
              <w:t>信用信息查询记录和证据留存具体方式：查询结果网页打印页作为查询记录和证据，与其他竞争性磋商文件一并保存；</w:t>
            </w:r>
          </w:p>
          <w:p w14:paraId="3787BAED">
            <w:pPr>
              <w:tabs>
                <w:tab w:val="left" w:pos="1080"/>
              </w:tabs>
              <w:snapToGrid w:val="0"/>
              <w:rPr>
                <w:rFonts w:hint="eastAsia" w:ascii="宋体" w:hAnsi="宋体"/>
                <w:szCs w:val="21"/>
              </w:rPr>
            </w:pPr>
            <w:r>
              <w:rPr>
                <w:rFonts w:ascii="宋体" w:hAnsi="宋体"/>
                <w:szCs w:val="21"/>
              </w:rPr>
              <w:t>信用信息的使用原则：经认定的被列入失信被执行人、重大税收违法案件当事人名单、政府采购严重违法失信行为记录名单的供应商，其</w:t>
            </w:r>
            <w:r>
              <w:rPr>
                <w:rFonts w:ascii="宋体" w:hAnsi="宋体"/>
                <w:b/>
                <w:szCs w:val="21"/>
              </w:rPr>
              <w:t>响应无效</w:t>
            </w:r>
            <w:r>
              <w:rPr>
                <w:rFonts w:ascii="宋体" w:hAnsi="宋体"/>
                <w:szCs w:val="21"/>
              </w:rPr>
              <w:t>。联合体形式磋商的，联合体成员存在不良信用记录，视同联合体存在不良信用记录。</w:t>
            </w:r>
          </w:p>
        </w:tc>
        <w:tc>
          <w:tcPr>
            <w:tcW w:w="980" w:type="pct"/>
            <w:vAlign w:val="center"/>
          </w:tcPr>
          <w:p w14:paraId="6D1ADE67">
            <w:pPr>
              <w:tabs>
                <w:tab w:val="left" w:pos="1080"/>
              </w:tabs>
              <w:snapToGrid w:val="0"/>
              <w:rPr>
                <w:rFonts w:hint="eastAsia" w:ascii="宋体" w:hAnsi="宋体"/>
                <w:szCs w:val="21"/>
              </w:rPr>
            </w:pPr>
          </w:p>
        </w:tc>
      </w:tr>
      <w:tr w14:paraId="4539F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452" w:type="pct"/>
            <w:vAlign w:val="center"/>
          </w:tcPr>
          <w:p w14:paraId="4AD255E5">
            <w:pPr>
              <w:tabs>
                <w:tab w:val="left" w:pos="1080"/>
              </w:tabs>
              <w:snapToGrid w:val="0"/>
              <w:jc w:val="center"/>
              <w:rPr>
                <w:rFonts w:hint="eastAsia" w:ascii="宋体" w:hAnsi="宋体"/>
                <w:szCs w:val="21"/>
              </w:rPr>
            </w:pPr>
            <w:r>
              <w:rPr>
                <w:rFonts w:hint="eastAsia" w:ascii="宋体" w:hAnsi="宋体"/>
                <w:szCs w:val="21"/>
              </w:rPr>
              <w:t>4</w:t>
            </w:r>
          </w:p>
        </w:tc>
        <w:tc>
          <w:tcPr>
            <w:tcW w:w="1044" w:type="pct"/>
            <w:vAlign w:val="center"/>
          </w:tcPr>
          <w:p w14:paraId="02361BD8">
            <w:pPr>
              <w:tabs>
                <w:tab w:val="left" w:pos="1080"/>
              </w:tabs>
              <w:snapToGrid w:val="0"/>
              <w:jc w:val="left"/>
              <w:rPr>
                <w:rFonts w:hint="eastAsia" w:ascii="宋体" w:hAnsi="宋体"/>
                <w:szCs w:val="21"/>
              </w:rPr>
            </w:pPr>
            <w:r>
              <w:rPr>
                <w:rFonts w:ascii="宋体" w:hAnsi="宋体"/>
                <w:szCs w:val="21"/>
              </w:rPr>
              <w:t>中小企业证明文件</w:t>
            </w:r>
          </w:p>
        </w:tc>
        <w:tc>
          <w:tcPr>
            <w:tcW w:w="2524" w:type="pct"/>
            <w:vAlign w:val="center"/>
          </w:tcPr>
          <w:p w14:paraId="70D6E54A">
            <w:pPr>
              <w:tabs>
                <w:tab w:val="left" w:pos="1080"/>
              </w:tabs>
              <w:snapToGrid w:val="0"/>
              <w:jc w:val="left"/>
              <w:rPr>
                <w:rFonts w:hint="eastAsia" w:ascii="宋体" w:hAnsi="宋体"/>
                <w:szCs w:val="21"/>
              </w:rPr>
            </w:pPr>
            <w:r>
              <w:rPr>
                <w:rFonts w:hint="eastAsia" w:ascii="宋体" w:hAnsi="宋体"/>
                <w:szCs w:val="21"/>
              </w:rPr>
              <w:t>当本项目（包）涉及预留份额专门面向中小</w:t>
            </w:r>
          </w:p>
          <w:p w14:paraId="7F272E15">
            <w:pPr>
              <w:tabs>
                <w:tab w:val="left" w:pos="1080"/>
              </w:tabs>
              <w:snapToGrid w:val="0"/>
              <w:jc w:val="left"/>
              <w:rPr>
                <w:rFonts w:hint="eastAsia" w:ascii="宋体" w:hAnsi="宋体"/>
                <w:szCs w:val="21"/>
              </w:rPr>
            </w:pPr>
            <w:r>
              <w:rPr>
                <w:rFonts w:hint="eastAsia" w:ascii="宋体" w:hAnsi="宋体"/>
                <w:szCs w:val="21"/>
              </w:rPr>
              <w:t>企业采购，提供如下资料：</w:t>
            </w:r>
          </w:p>
          <w:p w14:paraId="1D1FE99F">
            <w:pPr>
              <w:tabs>
                <w:tab w:val="left" w:pos="1080"/>
              </w:tabs>
              <w:snapToGrid w:val="0"/>
              <w:jc w:val="left"/>
              <w:rPr>
                <w:rFonts w:hint="eastAsia" w:ascii="宋体" w:hAnsi="宋体"/>
                <w:szCs w:val="21"/>
              </w:rPr>
            </w:pPr>
            <w:r>
              <w:rPr>
                <w:rFonts w:hint="eastAsia" w:ascii="宋体" w:hAnsi="宋体"/>
                <w:szCs w:val="21"/>
              </w:rPr>
              <w:t>1、供应商单独响应的，应提供《中小企业声明函》或《残疾人福利性单位声明函》或由省级以上监狱管理局、戒毒管理局（含新疆生产建设兵团）出具的属于监狱企业的证明文件。</w:t>
            </w:r>
          </w:p>
          <w:p w14:paraId="6C523454">
            <w:pPr>
              <w:tabs>
                <w:tab w:val="left" w:pos="1080"/>
              </w:tabs>
              <w:snapToGrid w:val="0"/>
              <w:jc w:val="left"/>
              <w:rPr>
                <w:rFonts w:hint="eastAsia" w:ascii="宋体" w:hAnsi="宋体"/>
                <w:szCs w:val="21"/>
              </w:rPr>
            </w:pPr>
            <w:r>
              <w:rPr>
                <w:rFonts w:hint="eastAsia" w:ascii="宋体" w:hAnsi="宋体"/>
                <w:szCs w:val="21"/>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980" w:type="pct"/>
            <w:vAlign w:val="center"/>
          </w:tcPr>
          <w:p w14:paraId="28AE63DE">
            <w:pPr>
              <w:tabs>
                <w:tab w:val="left" w:pos="1080"/>
              </w:tabs>
              <w:snapToGrid w:val="0"/>
              <w:jc w:val="left"/>
              <w:rPr>
                <w:rFonts w:hint="eastAsia" w:ascii="宋体" w:hAnsi="宋体"/>
                <w:szCs w:val="21"/>
              </w:rPr>
            </w:pPr>
            <w:r>
              <w:rPr>
                <w:rFonts w:ascii="宋体" w:hAnsi="宋体"/>
                <w:szCs w:val="21"/>
              </w:rPr>
              <w:t>格式见《响应文件格式》</w:t>
            </w:r>
          </w:p>
        </w:tc>
      </w:tr>
      <w:tr w14:paraId="39980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452" w:type="pct"/>
            <w:vAlign w:val="center"/>
          </w:tcPr>
          <w:p w14:paraId="237AD663">
            <w:pPr>
              <w:tabs>
                <w:tab w:val="left" w:pos="1080"/>
              </w:tabs>
              <w:snapToGrid w:val="0"/>
              <w:jc w:val="center"/>
              <w:rPr>
                <w:rFonts w:hint="eastAsia" w:ascii="宋体" w:hAnsi="宋体"/>
                <w:szCs w:val="21"/>
              </w:rPr>
            </w:pPr>
            <w:r>
              <w:rPr>
                <w:rFonts w:hint="eastAsia" w:ascii="宋体" w:hAnsi="宋体"/>
                <w:szCs w:val="21"/>
              </w:rPr>
              <w:t>5</w:t>
            </w:r>
          </w:p>
        </w:tc>
        <w:tc>
          <w:tcPr>
            <w:tcW w:w="1044" w:type="pct"/>
            <w:vAlign w:val="center"/>
          </w:tcPr>
          <w:p w14:paraId="3A7F4831">
            <w:pPr>
              <w:tabs>
                <w:tab w:val="left" w:pos="1080"/>
              </w:tabs>
              <w:snapToGrid w:val="0"/>
              <w:rPr>
                <w:rFonts w:hint="eastAsia" w:ascii="宋体" w:hAnsi="宋体"/>
                <w:szCs w:val="21"/>
              </w:rPr>
            </w:pPr>
            <w:r>
              <w:rPr>
                <w:rFonts w:hint="eastAsia" w:ascii="宋体" w:hAnsi="宋体"/>
                <w:szCs w:val="21"/>
              </w:rPr>
              <w:t>是否接受联合体投标</w:t>
            </w:r>
          </w:p>
        </w:tc>
        <w:tc>
          <w:tcPr>
            <w:tcW w:w="2524" w:type="pct"/>
            <w:vAlign w:val="center"/>
          </w:tcPr>
          <w:p w14:paraId="40014A6E">
            <w:pPr>
              <w:rPr>
                <w:rFonts w:hint="eastAsia" w:ascii="宋体" w:hAnsi="宋体"/>
                <w:szCs w:val="21"/>
              </w:rPr>
            </w:pPr>
            <w:r>
              <w:rPr>
                <w:rFonts w:hint="eastAsia" w:ascii="宋体" w:hAnsi="宋体"/>
                <w:sz w:val="20"/>
              </w:rPr>
              <w:t>本项目不接受联合体投标，投标人不得为联合体。</w:t>
            </w:r>
          </w:p>
        </w:tc>
        <w:tc>
          <w:tcPr>
            <w:tcW w:w="980" w:type="pct"/>
            <w:vAlign w:val="center"/>
          </w:tcPr>
          <w:p w14:paraId="0C913482">
            <w:pPr>
              <w:tabs>
                <w:tab w:val="left" w:pos="1080"/>
              </w:tabs>
              <w:snapToGrid w:val="0"/>
              <w:rPr>
                <w:rFonts w:hint="eastAsia" w:ascii="宋体" w:hAnsi="宋体"/>
                <w:szCs w:val="21"/>
              </w:rPr>
            </w:pPr>
          </w:p>
        </w:tc>
      </w:tr>
      <w:tr w14:paraId="15480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452" w:type="pct"/>
            <w:vAlign w:val="center"/>
          </w:tcPr>
          <w:p w14:paraId="18E482A5">
            <w:pPr>
              <w:tabs>
                <w:tab w:val="left" w:pos="1080"/>
              </w:tabs>
              <w:snapToGrid w:val="0"/>
              <w:jc w:val="center"/>
              <w:rPr>
                <w:rFonts w:hint="eastAsia" w:ascii="宋体" w:hAnsi="宋体"/>
                <w:szCs w:val="21"/>
              </w:rPr>
            </w:pPr>
            <w:r>
              <w:rPr>
                <w:rFonts w:hint="eastAsia" w:ascii="宋体" w:hAnsi="宋体"/>
                <w:szCs w:val="21"/>
              </w:rPr>
              <w:t>6</w:t>
            </w:r>
          </w:p>
        </w:tc>
        <w:tc>
          <w:tcPr>
            <w:tcW w:w="1044" w:type="pct"/>
            <w:vAlign w:val="center"/>
          </w:tcPr>
          <w:p w14:paraId="1174B1AF">
            <w:pPr>
              <w:tabs>
                <w:tab w:val="left" w:pos="1080"/>
              </w:tabs>
              <w:snapToGrid w:val="0"/>
              <w:rPr>
                <w:rFonts w:hint="eastAsia" w:ascii="宋体" w:hAnsi="宋体"/>
                <w:szCs w:val="21"/>
              </w:rPr>
            </w:pPr>
            <w:r>
              <w:rPr>
                <w:rFonts w:hint="eastAsia" w:ascii="宋体" w:hAnsi="宋体"/>
                <w:sz w:val="20"/>
              </w:rPr>
              <w:t>其他特定资格要求</w:t>
            </w:r>
          </w:p>
        </w:tc>
        <w:tc>
          <w:tcPr>
            <w:tcW w:w="2524" w:type="pct"/>
            <w:vAlign w:val="center"/>
          </w:tcPr>
          <w:p w14:paraId="44D153D3">
            <w:pPr>
              <w:spacing w:line="276" w:lineRule="auto"/>
              <w:rPr>
                <w:rFonts w:hint="eastAsia" w:ascii="宋体" w:hAnsi="宋体"/>
                <w:sz w:val="20"/>
              </w:rPr>
            </w:pPr>
            <w:r>
              <w:rPr>
                <w:rFonts w:hint="eastAsia" w:ascii="宋体" w:hAnsi="宋体"/>
                <w:sz w:val="20"/>
              </w:rPr>
              <w:t>如有，见第一章《投标邀请》</w:t>
            </w:r>
          </w:p>
        </w:tc>
        <w:tc>
          <w:tcPr>
            <w:tcW w:w="980" w:type="pct"/>
            <w:vAlign w:val="center"/>
          </w:tcPr>
          <w:p w14:paraId="2D89A9E8">
            <w:pPr>
              <w:tabs>
                <w:tab w:val="left" w:pos="1080"/>
              </w:tabs>
              <w:snapToGrid w:val="0"/>
              <w:rPr>
                <w:rFonts w:hint="eastAsia" w:ascii="宋体" w:hAnsi="宋体"/>
                <w:szCs w:val="21"/>
              </w:rPr>
            </w:pPr>
            <w:r>
              <w:rPr>
                <w:rFonts w:ascii="宋体" w:hAnsi="宋体"/>
                <w:sz w:val="20"/>
              </w:rPr>
              <w:t>提供证明文件</w:t>
            </w:r>
            <w:r>
              <w:rPr>
                <w:rFonts w:hint="eastAsia" w:ascii="宋体" w:hAnsi="宋体"/>
                <w:sz w:val="20"/>
              </w:rPr>
              <w:t>（复印件或扫描件）</w:t>
            </w:r>
          </w:p>
        </w:tc>
      </w:tr>
      <w:tr w14:paraId="08945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452" w:type="pct"/>
            <w:vAlign w:val="center"/>
          </w:tcPr>
          <w:p w14:paraId="06E04B9C">
            <w:pPr>
              <w:tabs>
                <w:tab w:val="left" w:pos="1080"/>
              </w:tabs>
              <w:snapToGrid w:val="0"/>
              <w:jc w:val="center"/>
              <w:rPr>
                <w:rFonts w:hint="eastAsia" w:ascii="宋体" w:hAnsi="宋体"/>
                <w:szCs w:val="21"/>
              </w:rPr>
            </w:pPr>
            <w:r>
              <w:rPr>
                <w:rFonts w:hint="eastAsia" w:ascii="宋体" w:hAnsi="宋体"/>
                <w:szCs w:val="21"/>
              </w:rPr>
              <w:t>7</w:t>
            </w:r>
          </w:p>
        </w:tc>
        <w:tc>
          <w:tcPr>
            <w:tcW w:w="1044" w:type="pct"/>
            <w:vAlign w:val="center"/>
          </w:tcPr>
          <w:p w14:paraId="65C1553E">
            <w:pPr>
              <w:tabs>
                <w:tab w:val="left" w:pos="1080"/>
              </w:tabs>
              <w:snapToGrid w:val="0"/>
              <w:rPr>
                <w:rFonts w:hint="eastAsia" w:ascii="宋体" w:hAnsi="宋体"/>
                <w:szCs w:val="21"/>
              </w:rPr>
            </w:pPr>
            <w:r>
              <w:rPr>
                <w:rFonts w:ascii="宋体" w:hAnsi="宋体"/>
                <w:kern w:val="0"/>
                <w:szCs w:val="21"/>
              </w:rPr>
              <w:t>磋商保证金</w:t>
            </w:r>
          </w:p>
        </w:tc>
        <w:tc>
          <w:tcPr>
            <w:tcW w:w="2524" w:type="pct"/>
            <w:vAlign w:val="center"/>
          </w:tcPr>
          <w:p w14:paraId="44F026DB">
            <w:pPr>
              <w:tabs>
                <w:tab w:val="left" w:pos="1080"/>
              </w:tabs>
              <w:snapToGrid w:val="0"/>
              <w:rPr>
                <w:rFonts w:hint="eastAsia" w:ascii="宋体" w:hAnsi="宋体"/>
                <w:szCs w:val="21"/>
              </w:rPr>
            </w:pPr>
            <w:r>
              <w:rPr>
                <w:rFonts w:ascii="宋体" w:hAnsi="宋体"/>
                <w:kern w:val="0"/>
                <w:szCs w:val="21"/>
              </w:rPr>
              <w:t>按照竞争性磋商文件的要求提交磋商保证金</w:t>
            </w:r>
            <w:r>
              <w:rPr>
                <w:rFonts w:hint="eastAsia" w:ascii="宋体" w:hAnsi="宋体"/>
                <w:kern w:val="0"/>
                <w:szCs w:val="21"/>
              </w:rPr>
              <w:t>(如有)。</w:t>
            </w:r>
          </w:p>
        </w:tc>
        <w:tc>
          <w:tcPr>
            <w:tcW w:w="980" w:type="pct"/>
            <w:vAlign w:val="center"/>
          </w:tcPr>
          <w:p w14:paraId="4C0F78A6">
            <w:pPr>
              <w:tabs>
                <w:tab w:val="left" w:pos="1080"/>
              </w:tabs>
              <w:snapToGrid w:val="0"/>
              <w:rPr>
                <w:rFonts w:hint="eastAsia" w:ascii="宋体" w:hAnsi="宋体"/>
                <w:szCs w:val="21"/>
              </w:rPr>
            </w:pPr>
          </w:p>
        </w:tc>
      </w:tr>
      <w:tr w14:paraId="35C94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452" w:type="pct"/>
            <w:vAlign w:val="center"/>
          </w:tcPr>
          <w:p w14:paraId="3CF5090E">
            <w:pPr>
              <w:tabs>
                <w:tab w:val="left" w:pos="1080"/>
              </w:tabs>
              <w:snapToGrid w:val="0"/>
              <w:jc w:val="center"/>
              <w:rPr>
                <w:rFonts w:hint="eastAsia" w:ascii="宋体" w:hAnsi="宋体"/>
                <w:szCs w:val="21"/>
              </w:rPr>
            </w:pPr>
            <w:r>
              <w:rPr>
                <w:rFonts w:hint="eastAsia" w:ascii="宋体" w:hAnsi="宋体"/>
                <w:szCs w:val="21"/>
              </w:rPr>
              <w:t>8</w:t>
            </w:r>
          </w:p>
        </w:tc>
        <w:tc>
          <w:tcPr>
            <w:tcW w:w="1044" w:type="pct"/>
            <w:vAlign w:val="center"/>
          </w:tcPr>
          <w:p w14:paraId="1F692891">
            <w:pPr>
              <w:tabs>
                <w:tab w:val="left" w:pos="1080"/>
              </w:tabs>
              <w:snapToGrid w:val="0"/>
              <w:rPr>
                <w:rFonts w:hint="eastAsia" w:ascii="宋体" w:hAnsi="宋体"/>
                <w:kern w:val="0"/>
                <w:szCs w:val="21"/>
              </w:rPr>
            </w:pPr>
            <w:r>
              <w:rPr>
                <w:rFonts w:hint="eastAsia" w:ascii="宋体" w:hAnsi="宋体"/>
                <w:kern w:val="0"/>
                <w:szCs w:val="21"/>
              </w:rPr>
              <w:t>获取磋商文件</w:t>
            </w:r>
          </w:p>
        </w:tc>
        <w:tc>
          <w:tcPr>
            <w:tcW w:w="2524" w:type="pct"/>
            <w:vAlign w:val="center"/>
          </w:tcPr>
          <w:p w14:paraId="3A2BA35F">
            <w:pPr>
              <w:tabs>
                <w:tab w:val="left" w:pos="1080"/>
              </w:tabs>
              <w:snapToGrid w:val="0"/>
              <w:rPr>
                <w:rFonts w:hint="eastAsia" w:ascii="宋体" w:hAnsi="宋体"/>
                <w:kern w:val="0"/>
                <w:szCs w:val="21"/>
              </w:rPr>
            </w:pPr>
            <w:r>
              <w:rPr>
                <w:rFonts w:hint="eastAsia" w:ascii="宋体" w:hAnsi="宋体"/>
                <w:kern w:val="0"/>
                <w:szCs w:val="21"/>
              </w:rPr>
              <w:t>在规定期限内通过北京市政府采购电子交易平台获取所参与项目的磋商文件。</w:t>
            </w:r>
          </w:p>
          <w:p w14:paraId="6D093398">
            <w:pPr>
              <w:tabs>
                <w:tab w:val="left" w:pos="1080"/>
              </w:tabs>
              <w:snapToGrid w:val="0"/>
              <w:rPr>
                <w:rFonts w:hint="eastAsia" w:ascii="宋体" w:hAnsi="宋体"/>
                <w:kern w:val="0"/>
                <w:szCs w:val="21"/>
              </w:rPr>
            </w:pPr>
            <w:r>
              <w:rPr>
                <w:rFonts w:hint="eastAsia" w:ascii="宋体" w:hAnsi="宋体"/>
                <w:kern w:val="0"/>
                <w:szCs w:val="21"/>
              </w:rPr>
              <w:t>注：如本项目接受联合体，且供应商为联合体时，联合体中任一成员获取文件即视为满足要求。</w:t>
            </w:r>
          </w:p>
        </w:tc>
        <w:tc>
          <w:tcPr>
            <w:tcW w:w="980" w:type="pct"/>
            <w:vAlign w:val="center"/>
          </w:tcPr>
          <w:p w14:paraId="150D2ECE">
            <w:pPr>
              <w:tabs>
                <w:tab w:val="left" w:pos="1080"/>
              </w:tabs>
              <w:snapToGrid w:val="0"/>
              <w:rPr>
                <w:rFonts w:hint="eastAsia" w:ascii="宋体" w:hAnsi="宋体"/>
                <w:szCs w:val="21"/>
              </w:rPr>
            </w:pPr>
          </w:p>
        </w:tc>
      </w:tr>
    </w:tbl>
    <w:p w14:paraId="07BB6BD8">
      <w:pPr>
        <w:tabs>
          <w:tab w:val="left" w:pos="1080"/>
          <w:tab w:val="left" w:pos="1589"/>
        </w:tabs>
        <w:snapToGrid w:val="0"/>
        <w:spacing w:line="360" w:lineRule="auto"/>
        <w:ind w:left="568"/>
        <w:rPr>
          <w:rFonts w:hint="eastAsia" w:ascii="宋体" w:hAnsi="宋体"/>
          <w:sz w:val="24"/>
        </w:rPr>
      </w:pPr>
    </w:p>
    <w:p w14:paraId="3C24F285">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《符合性审查要求》见下表：</w:t>
      </w:r>
    </w:p>
    <w:p w14:paraId="7078A2DE">
      <w:pPr>
        <w:widowControl/>
        <w:spacing w:line="360" w:lineRule="auto"/>
        <w:jc w:val="center"/>
        <w:rPr>
          <w:rFonts w:hint="eastAsia" w:ascii="宋体" w:hAnsi="宋体"/>
          <w:b/>
          <w:kern w:val="0"/>
          <w:sz w:val="24"/>
        </w:rPr>
      </w:pPr>
      <w:r>
        <w:rPr>
          <w:rFonts w:ascii="宋体" w:hAnsi="宋体"/>
          <w:b/>
          <w:kern w:val="0"/>
          <w:sz w:val="24"/>
        </w:rPr>
        <w:t>符合性审查要求</w:t>
      </w:r>
    </w:p>
    <w:tbl>
      <w:tblPr>
        <w:tblStyle w:val="44"/>
        <w:tblW w:w="55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2077"/>
        <w:gridCol w:w="4603"/>
        <w:gridCol w:w="2058"/>
      </w:tblGrid>
      <w:tr w14:paraId="3439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74" w:type="pct"/>
            <w:shd w:val="clear" w:color="000000" w:fill="FFFFFF"/>
            <w:vAlign w:val="center"/>
          </w:tcPr>
          <w:p w14:paraId="5F0D1496">
            <w:pPr>
              <w:widowControl/>
              <w:jc w:val="center"/>
              <w:rPr>
                <w:rFonts w:hint="eastAsia" w:ascii="宋体" w:hAnsi="宋体"/>
                <w:b/>
                <w:kern w:val="0"/>
                <w:szCs w:val="21"/>
              </w:rPr>
            </w:pPr>
            <w:r>
              <w:rPr>
                <w:rFonts w:ascii="宋体" w:hAnsi="宋体"/>
                <w:b/>
                <w:kern w:val="0"/>
                <w:szCs w:val="21"/>
              </w:rPr>
              <w:t>序号</w:t>
            </w:r>
          </w:p>
        </w:tc>
        <w:tc>
          <w:tcPr>
            <w:tcW w:w="1076" w:type="pct"/>
            <w:shd w:val="clear" w:color="000000" w:fill="FFFFFF"/>
            <w:vAlign w:val="center"/>
          </w:tcPr>
          <w:p w14:paraId="13DB94BD">
            <w:pPr>
              <w:widowControl/>
              <w:jc w:val="center"/>
              <w:rPr>
                <w:rFonts w:hint="eastAsia" w:ascii="宋体" w:hAnsi="宋体"/>
                <w:b/>
                <w:kern w:val="0"/>
                <w:szCs w:val="21"/>
              </w:rPr>
            </w:pPr>
            <w:r>
              <w:rPr>
                <w:rFonts w:ascii="宋体" w:hAnsi="宋体"/>
                <w:b/>
                <w:szCs w:val="21"/>
              </w:rPr>
              <w:t>检查</w:t>
            </w:r>
            <w:r>
              <w:rPr>
                <w:rFonts w:ascii="宋体" w:hAnsi="宋体"/>
                <w:b/>
                <w:kern w:val="0"/>
                <w:szCs w:val="21"/>
              </w:rPr>
              <w:t>因素</w:t>
            </w:r>
          </w:p>
        </w:tc>
        <w:tc>
          <w:tcPr>
            <w:tcW w:w="2384" w:type="pct"/>
            <w:shd w:val="clear" w:color="000000" w:fill="FFFFFF"/>
            <w:vAlign w:val="center"/>
          </w:tcPr>
          <w:p w14:paraId="69E5CCC2">
            <w:pPr>
              <w:widowControl/>
              <w:jc w:val="center"/>
              <w:rPr>
                <w:rFonts w:hint="eastAsia" w:ascii="宋体" w:hAnsi="宋体"/>
                <w:b/>
                <w:kern w:val="0"/>
                <w:szCs w:val="21"/>
              </w:rPr>
            </w:pPr>
            <w:r>
              <w:rPr>
                <w:rFonts w:ascii="宋体" w:hAnsi="宋体"/>
                <w:b/>
                <w:szCs w:val="21"/>
              </w:rPr>
              <w:t>检查</w:t>
            </w:r>
            <w:r>
              <w:rPr>
                <w:rFonts w:ascii="宋体" w:hAnsi="宋体"/>
                <w:b/>
                <w:kern w:val="0"/>
                <w:szCs w:val="21"/>
              </w:rPr>
              <w:t>内容</w:t>
            </w:r>
          </w:p>
        </w:tc>
        <w:tc>
          <w:tcPr>
            <w:tcW w:w="1066" w:type="pct"/>
            <w:shd w:val="clear" w:color="000000" w:fill="FFFFFF"/>
            <w:vAlign w:val="center"/>
          </w:tcPr>
          <w:p w14:paraId="2FED0DDD">
            <w:pPr>
              <w:widowControl/>
              <w:jc w:val="center"/>
              <w:rPr>
                <w:rFonts w:hint="eastAsia" w:ascii="宋体" w:hAnsi="宋体"/>
                <w:b/>
                <w:kern w:val="0"/>
                <w:szCs w:val="21"/>
              </w:rPr>
            </w:pPr>
            <w:r>
              <w:rPr>
                <w:rFonts w:ascii="宋体" w:hAnsi="宋体"/>
                <w:b/>
                <w:kern w:val="0"/>
                <w:szCs w:val="21"/>
              </w:rPr>
              <w:t>是否允许澄清、说明或者更正</w:t>
            </w:r>
          </w:p>
        </w:tc>
      </w:tr>
      <w:tr w14:paraId="62CF3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1FDD7D62">
            <w:pPr>
              <w:tabs>
                <w:tab w:val="left" w:pos="1080"/>
              </w:tabs>
              <w:snapToGrid w:val="0"/>
              <w:jc w:val="center"/>
              <w:rPr>
                <w:rFonts w:hint="eastAsia" w:ascii="宋体" w:hAnsi="宋体"/>
                <w:szCs w:val="21"/>
              </w:rPr>
            </w:pPr>
            <w:r>
              <w:rPr>
                <w:rFonts w:hint="eastAsia" w:ascii="宋体" w:hAnsi="宋体"/>
                <w:szCs w:val="21"/>
              </w:rPr>
              <w:t>1</w:t>
            </w:r>
          </w:p>
        </w:tc>
        <w:tc>
          <w:tcPr>
            <w:tcW w:w="1076" w:type="pct"/>
            <w:shd w:val="clear" w:color="000000" w:fill="FFFFFF"/>
            <w:vAlign w:val="center"/>
          </w:tcPr>
          <w:p w14:paraId="0F1FDC31">
            <w:pPr>
              <w:tabs>
                <w:tab w:val="left" w:pos="1080"/>
              </w:tabs>
              <w:snapToGrid w:val="0"/>
              <w:rPr>
                <w:rFonts w:hint="eastAsia" w:ascii="宋体" w:hAnsi="宋体"/>
                <w:szCs w:val="21"/>
              </w:rPr>
            </w:pPr>
            <w:r>
              <w:rPr>
                <w:rFonts w:hint="eastAsia" w:ascii="宋体" w:hAnsi="宋体"/>
                <w:szCs w:val="21"/>
              </w:rPr>
              <w:t>响应文件签字盖章</w:t>
            </w:r>
          </w:p>
        </w:tc>
        <w:tc>
          <w:tcPr>
            <w:tcW w:w="2384" w:type="pct"/>
            <w:shd w:val="clear" w:color="000000" w:fill="FFFFFF"/>
            <w:vAlign w:val="center"/>
          </w:tcPr>
          <w:p w14:paraId="544EF122">
            <w:pPr>
              <w:tabs>
                <w:tab w:val="left" w:pos="1080"/>
              </w:tabs>
              <w:snapToGrid w:val="0"/>
              <w:rPr>
                <w:rFonts w:hint="eastAsia" w:ascii="宋体" w:hAnsi="宋体"/>
                <w:szCs w:val="21"/>
              </w:rPr>
            </w:pPr>
            <w:r>
              <w:rPr>
                <w:rFonts w:hint="eastAsia" w:ascii="宋体" w:hAnsi="宋体"/>
                <w:szCs w:val="21"/>
              </w:rPr>
              <w:t>相应文件均按磋商文件要求加盖供应商公章，或法定代表人或其委托代理人签字或盖章。</w:t>
            </w:r>
          </w:p>
        </w:tc>
        <w:tc>
          <w:tcPr>
            <w:tcW w:w="1066" w:type="pct"/>
            <w:shd w:val="clear" w:color="000000" w:fill="FFFFFF"/>
            <w:vAlign w:val="center"/>
          </w:tcPr>
          <w:p w14:paraId="73857B11">
            <w:pPr>
              <w:tabs>
                <w:tab w:val="left" w:pos="1080"/>
              </w:tabs>
              <w:snapToGrid w:val="0"/>
              <w:jc w:val="center"/>
              <w:rPr>
                <w:rFonts w:hint="eastAsia" w:ascii="宋体" w:hAnsi="宋体"/>
                <w:szCs w:val="21"/>
              </w:rPr>
            </w:pPr>
            <w:r>
              <w:rPr>
                <w:rFonts w:hint="eastAsia" w:ascii="宋体" w:hAnsi="宋体"/>
                <w:szCs w:val="21"/>
              </w:rPr>
              <w:t>否</w:t>
            </w:r>
          </w:p>
        </w:tc>
      </w:tr>
      <w:tr w14:paraId="20D4D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41FAD76F">
            <w:pPr>
              <w:tabs>
                <w:tab w:val="left" w:pos="1080"/>
              </w:tabs>
              <w:snapToGrid w:val="0"/>
              <w:jc w:val="center"/>
              <w:rPr>
                <w:rFonts w:hint="eastAsia" w:ascii="宋体" w:hAnsi="宋体"/>
                <w:szCs w:val="21"/>
              </w:rPr>
            </w:pPr>
            <w:r>
              <w:rPr>
                <w:rFonts w:hint="eastAsia" w:ascii="宋体" w:hAnsi="宋体"/>
                <w:szCs w:val="21"/>
              </w:rPr>
              <w:t>2</w:t>
            </w:r>
          </w:p>
        </w:tc>
        <w:tc>
          <w:tcPr>
            <w:tcW w:w="1076" w:type="pct"/>
            <w:shd w:val="clear" w:color="000000" w:fill="FFFFFF"/>
            <w:vAlign w:val="center"/>
          </w:tcPr>
          <w:p w14:paraId="4F27A446">
            <w:pPr>
              <w:tabs>
                <w:tab w:val="left" w:pos="1080"/>
              </w:tabs>
              <w:snapToGrid w:val="0"/>
              <w:rPr>
                <w:rFonts w:hint="eastAsia" w:ascii="宋体" w:hAnsi="宋体"/>
                <w:szCs w:val="21"/>
              </w:rPr>
            </w:pPr>
            <w:r>
              <w:rPr>
                <w:rFonts w:hint="eastAsia" w:ascii="宋体" w:hAnsi="宋体"/>
                <w:szCs w:val="21"/>
              </w:rPr>
              <w:t>磋商报价唯一</w:t>
            </w:r>
          </w:p>
        </w:tc>
        <w:tc>
          <w:tcPr>
            <w:tcW w:w="2384" w:type="pct"/>
            <w:shd w:val="clear" w:color="000000" w:fill="FFFFFF"/>
            <w:vAlign w:val="center"/>
          </w:tcPr>
          <w:p w14:paraId="3ED6014C">
            <w:pPr>
              <w:tabs>
                <w:tab w:val="left" w:pos="1080"/>
              </w:tabs>
              <w:snapToGrid w:val="0"/>
              <w:rPr>
                <w:rFonts w:hint="eastAsia" w:ascii="宋体" w:hAnsi="宋体"/>
                <w:szCs w:val="21"/>
              </w:rPr>
            </w:pPr>
            <w:r>
              <w:rPr>
                <w:rFonts w:hint="eastAsia" w:ascii="宋体" w:hAnsi="宋体"/>
                <w:szCs w:val="21"/>
              </w:rPr>
              <w:t>供应商是否存在提交两份或多份内容不同的响应文件，或在一份响应文件中对本招标项目报有两个或多个报价</w:t>
            </w:r>
          </w:p>
        </w:tc>
        <w:tc>
          <w:tcPr>
            <w:tcW w:w="1066" w:type="pct"/>
            <w:shd w:val="clear" w:color="000000" w:fill="FFFFFF"/>
            <w:vAlign w:val="center"/>
          </w:tcPr>
          <w:p w14:paraId="32FCA1B8">
            <w:pPr>
              <w:tabs>
                <w:tab w:val="left" w:pos="1080"/>
              </w:tabs>
              <w:snapToGrid w:val="0"/>
              <w:jc w:val="center"/>
              <w:rPr>
                <w:rFonts w:hint="eastAsia" w:ascii="宋体" w:hAnsi="宋体"/>
                <w:szCs w:val="21"/>
              </w:rPr>
            </w:pPr>
            <w:r>
              <w:rPr>
                <w:rFonts w:hint="eastAsia" w:ascii="宋体" w:hAnsi="宋体"/>
                <w:szCs w:val="21"/>
              </w:rPr>
              <w:t>否</w:t>
            </w:r>
          </w:p>
        </w:tc>
      </w:tr>
      <w:tr w14:paraId="68975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1FABD790">
            <w:pPr>
              <w:tabs>
                <w:tab w:val="left" w:pos="1080"/>
              </w:tabs>
              <w:snapToGrid w:val="0"/>
              <w:jc w:val="center"/>
              <w:rPr>
                <w:rFonts w:hint="eastAsia" w:ascii="宋体" w:hAnsi="宋体"/>
                <w:szCs w:val="21"/>
              </w:rPr>
            </w:pPr>
            <w:r>
              <w:rPr>
                <w:rFonts w:hint="eastAsia" w:ascii="宋体" w:hAnsi="宋体"/>
                <w:szCs w:val="21"/>
              </w:rPr>
              <w:t>3</w:t>
            </w:r>
          </w:p>
        </w:tc>
        <w:tc>
          <w:tcPr>
            <w:tcW w:w="1076" w:type="pct"/>
            <w:shd w:val="clear" w:color="000000" w:fill="FFFFFF"/>
            <w:vAlign w:val="center"/>
          </w:tcPr>
          <w:p w14:paraId="1E797B84">
            <w:pPr>
              <w:tabs>
                <w:tab w:val="left" w:pos="1080"/>
              </w:tabs>
              <w:snapToGrid w:val="0"/>
              <w:rPr>
                <w:rFonts w:hint="eastAsia" w:ascii="宋体" w:hAnsi="宋体"/>
                <w:szCs w:val="21"/>
              </w:rPr>
            </w:pPr>
            <w:r>
              <w:rPr>
                <w:rFonts w:hint="eastAsia" w:ascii="宋体" w:hAnsi="宋体"/>
                <w:szCs w:val="21"/>
              </w:rPr>
              <w:t>磋商报价</w:t>
            </w:r>
          </w:p>
        </w:tc>
        <w:tc>
          <w:tcPr>
            <w:tcW w:w="2384" w:type="pct"/>
            <w:shd w:val="clear" w:color="000000" w:fill="FFFFFF"/>
            <w:vAlign w:val="center"/>
          </w:tcPr>
          <w:p w14:paraId="35844661">
            <w:pPr>
              <w:tabs>
                <w:tab w:val="left" w:pos="1080"/>
              </w:tabs>
              <w:snapToGrid w:val="0"/>
              <w:rPr>
                <w:rFonts w:hint="eastAsia" w:ascii="宋体" w:hAnsi="宋体"/>
                <w:szCs w:val="21"/>
              </w:rPr>
            </w:pPr>
            <w:r>
              <w:rPr>
                <w:rFonts w:hint="eastAsia" w:ascii="宋体" w:hAnsi="宋体"/>
                <w:szCs w:val="21"/>
              </w:rPr>
              <w:t>磋商报价未超出磋商文件要求</w:t>
            </w:r>
          </w:p>
        </w:tc>
        <w:tc>
          <w:tcPr>
            <w:tcW w:w="1066" w:type="pct"/>
            <w:shd w:val="clear" w:color="000000" w:fill="FFFFFF"/>
            <w:vAlign w:val="center"/>
          </w:tcPr>
          <w:p w14:paraId="2E8CBF65">
            <w:pPr>
              <w:tabs>
                <w:tab w:val="left" w:pos="1080"/>
              </w:tabs>
              <w:snapToGrid w:val="0"/>
              <w:jc w:val="center"/>
              <w:rPr>
                <w:rFonts w:hint="eastAsia" w:ascii="宋体" w:hAnsi="宋体"/>
                <w:szCs w:val="21"/>
              </w:rPr>
            </w:pPr>
            <w:r>
              <w:rPr>
                <w:rFonts w:hint="eastAsia" w:ascii="宋体" w:hAnsi="宋体"/>
                <w:szCs w:val="21"/>
              </w:rPr>
              <w:t>否</w:t>
            </w:r>
          </w:p>
        </w:tc>
      </w:tr>
      <w:tr w14:paraId="39B96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11C2DB62">
            <w:pPr>
              <w:tabs>
                <w:tab w:val="left" w:pos="1080"/>
              </w:tabs>
              <w:snapToGrid w:val="0"/>
              <w:jc w:val="center"/>
              <w:rPr>
                <w:rFonts w:hint="eastAsia" w:ascii="宋体" w:hAnsi="宋体"/>
                <w:szCs w:val="21"/>
              </w:rPr>
            </w:pPr>
            <w:r>
              <w:rPr>
                <w:rFonts w:hint="eastAsia" w:ascii="宋体" w:hAnsi="宋体"/>
                <w:szCs w:val="21"/>
              </w:rPr>
              <w:t>4</w:t>
            </w:r>
          </w:p>
        </w:tc>
        <w:tc>
          <w:tcPr>
            <w:tcW w:w="1076" w:type="pct"/>
            <w:shd w:val="clear" w:color="000000" w:fill="FFFFFF"/>
            <w:vAlign w:val="center"/>
          </w:tcPr>
          <w:p w14:paraId="7B670122">
            <w:pPr>
              <w:tabs>
                <w:tab w:val="left" w:pos="1080"/>
              </w:tabs>
              <w:snapToGrid w:val="0"/>
              <w:rPr>
                <w:rFonts w:hint="eastAsia" w:ascii="宋体" w:hAnsi="宋体"/>
                <w:szCs w:val="21"/>
              </w:rPr>
            </w:pPr>
            <w:r>
              <w:rPr>
                <w:rFonts w:hint="eastAsia" w:ascii="宋体" w:hAnsi="宋体"/>
                <w:szCs w:val="21"/>
              </w:rPr>
              <w:t>是否按磋商文件要求进行密封、装订</w:t>
            </w:r>
          </w:p>
        </w:tc>
        <w:tc>
          <w:tcPr>
            <w:tcW w:w="2384" w:type="pct"/>
            <w:shd w:val="clear" w:color="000000" w:fill="FFFFFF"/>
            <w:vAlign w:val="center"/>
          </w:tcPr>
          <w:p w14:paraId="39A380F2">
            <w:pPr>
              <w:tabs>
                <w:tab w:val="left" w:pos="1080"/>
              </w:tabs>
              <w:snapToGrid w:val="0"/>
              <w:rPr>
                <w:rFonts w:hint="eastAsia" w:ascii="宋体" w:hAnsi="宋体"/>
                <w:szCs w:val="21"/>
              </w:rPr>
            </w:pPr>
            <w:r>
              <w:rPr>
                <w:rFonts w:hint="eastAsia" w:ascii="宋体" w:hAnsi="宋体"/>
                <w:szCs w:val="21"/>
              </w:rPr>
              <w:t>是否按磋商文件要求进行密封、装订</w:t>
            </w:r>
          </w:p>
        </w:tc>
        <w:tc>
          <w:tcPr>
            <w:tcW w:w="1066" w:type="pct"/>
            <w:shd w:val="clear" w:color="000000" w:fill="FFFFFF"/>
            <w:vAlign w:val="center"/>
          </w:tcPr>
          <w:p w14:paraId="509686AD">
            <w:pPr>
              <w:tabs>
                <w:tab w:val="left" w:pos="1080"/>
              </w:tabs>
              <w:snapToGrid w:val="0"/>
              <w:jc w:val="center"/>
              <w:rPr>
                <w:rFonts w:hint="eastAsia" w:ascii="宋体" w:hAnsi="宋体"/>
                <w:szCs w:val="21"/>
              </w:rPr>
            </w:pPr>
            <w:r>
              <w:rPr>
                <w:rFonts w:hint="eastAsia" w:ascii="宋体" w:hAnsi="宋体"/>
                <w:szCs w:val="21"/>
              </w:rPr>
              <w:t>否</w:t>
            </w:r>
          </w:p>
        </w:tc>
      </w:tr>
      <w:tr w14:paraId="17031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19D58016">
            <w:pPr>
              <w:tabs>
                <w:tab w:val="left" w:pos="1080"/>
              </w:tabs>
              <w:snapToGrid w:val="0"/>
              <w:jc w:val="center"/>
              <w:rPr>
                <w:rFonts w:hint="eastAsia" w:ascii="宋体" w:hAnsi="宋体"/>
                <w:szCs w:val="21"/>
              </w:rPr>
            </w:pPr>
            <w:r>
              <w:rPr>
                <w:rFonts w:hint="eastAsia" w:ascii="宋体" w:hAnsi="宋体"/>
                <w:szCs w:val="21"/>
              </w:rPr>
              <w:t>5</w:t>
            </w:r>
          </w:p>
        </w:tc>
        <w:tc>
          <w:tcPr>
            <w:tcW w:w="1076" w:type="pct"/>
            <w:shd w:val="clear" w:color="000000" w:fill="FFFFFF"/>
            <w:vAlign w:val="center"/>
          </w:tcPr>
          <w:p w14:paraId="2E9F99EB">
            <w:pPr>
              <w:tabs>
                <w:tab w:val="left" w:pos="1080"/>
              </w:tabs>
              <w:snapToGrid w:val="0"/>
              <w:rPr>
                <w:rFonts w:hint="eastAsia" w:ascii="宋体" w:hAnsi="宋体"/>
                <w:szCs w:val="21"/>
              </w:rPr>
            </w:pPr>
            <w:r>
              <w:rPr>
                <w:rFonts w:hint="eastAsia" w:ascii="宋体" w:hAnsi="宋体"/>
                <w:szCs w:val="21"/>
              </w:rPr>
              <w:t>磋商有效期</w:t>
            </w:r>
          </w:p>
        </w:tc>
        <w:tc>
          <w:tcPr>
            <w:tcW w:w="2384" w:type="pct"/>
            <w:shd w:val="clear" w:color="000000" w:fill="FFFFFF"/>
            <w:vAlign w:val="center"/>
          </w:tcPr>
          <w:p w14:paraId="3BE0A29D">
            <w:pPr>
              <w:tabs>
                <w:tab w:val="left" w:pos="1080"/>
              </w:tabs>
              <w:snapToGrid w:val="0"/>
              <w:rPr>
                <w:rFonts w:hint="eastAsia" w:ascii="宋体" w:hAnsi="宋体"/>
                <w:szCs w:val="21"/>
              </w:rPr>
            </w:pPr>
            <w:r>
              <w:rPr>
                <w:rFonts w:hint="eastAsia" w:ascii="宋体" w:hAnsi="宋体"/>
                <w:szCs w:val="21"/>
              </w:rPr>
              <w:t>磋商有效期满足磋商文件要求</w:t>
            </w:r>
          </w:p>
        </w:tc>
        <w:tc>
          <w:tcPr>
            <w:tcW w:w="1066" w:type="pct"/>
            <w:shd w:val="clear" w:color="000000" w:fill="FFFFFF"/>
            <w:vAlign w:val="center"/>
          </w:tcPr>
          <w:p w14:paraId="33CB3D7F">
            <w:pPr>
              <w:tabs>
                <w:tab w:val="left" w:pos="1080"/>
              </w:tabs>
              <w:snapToGrid w:val="0"/>
              <w:jc w:val="center"/>
              <w:rPr>
                <w:rFonts w:hint="eastAsia" w:ascii="宋体" w:hAnsi="宋体"/>
                <w:szCs w:val="21"/>
              </w:rPr>
            </w:pPr>
            <w:r>
              <w:rPr>
                <w:rFonts w:hint="eastAsia" w:ascii="宋体" w:hAnsi="宋体"/>
                <w:szCs w:val="21"/>
              </w:rPr>
              <w:t>否</w:t>
            </w:r>
          </w:p>
        </w:tc>
      </w:tr>
      <w:tr w14:paraId="32FE7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6B9DA0EB">
            <w:pPr>
              <w:tabs>
                <w:tab w:val="left" w:pos="1080"/>
              </w:tabs>
              <w:snapToGrid w:val="0"/>
              <w:jc w:val="center"/>
              <w:rPr>
                <w:rFonts w:hint="eastAsia" w:ascii="宋体" w:hAnsi="宋体"/>
                <w:szCs w:val="21"/>
              </w:rPr>
            </w:pPr>
            <w:r>
              <w:rPr>
                <w:rFonts w:hint="eastAsia" w:ascii="宋体" w:hAnsi="宋体"/>
                <w:szCs w:val="21"/>
              </w:rPr>
              <w:t>6</w:t>
            </w:r>
          </w:p>
        </w:tc>
        <w:tc>
          <w:tcPr>
            <w:tcW w:w="1076" w:type="pct"/>
            <w:shd w:val="clear" w:color="000000" w:fill="FFFFFF"/>
            <w:vAlign w:val="center"/>
          </w:tcPr>
          <w:p w14:paraId="19335913">
            <w:pPr>
              <w:tabs>
                <w:tab w:val="left" w:pos="1080"/>
              </w:tabs>
              <w:snapToGrid w:val="0"/>
              <w:rPr>
                <w:rFonts w:hint="eastAsia" w:ascii="宋体" w:hAnsi="宋体"/>
                <w:szCs w:val="21"/>
              </w:rPr>
            </w:pPr>
            <w:r>
              <w:rPr>
                <w:rFonts w:hint="eastAsia" w:ascii="宋体" w:hAnsi="宋体"/>
                <w:szCs w:val="21"/>
              </w:rPr>
              <w:t>合同履行期限</w:t>
            </w:r>
          </w:p>
        </w:tc>
        <w:tc>
          <w:tcPr>
            <w:tcW w:w="2384" w:type="pct"/>
            <w:shd w:val="clear" w:color="000000" w:fill="FFFFFF"/>
            <w:vAlign w:val="center"/>
          </w:tcPr>
          <w:p w14:paraId="61ECF190">
            <w:pPr>
              <w:tabs>
                <w:tab w:val="left" w:pos="1080"/>
              </w:tabs>
              <w:snapToGrid w:val="0"/>
              <w:rPr>
                <w:rFonts w:hint="eastAsia" w:ascii="宋体" w:hAnsi="宋体"/>
                <w:szCs w:val="21"/>
              </w:rPr>
            </w:pPr>
            <w:r>
              <w:rPr>
                <w:rFonts w:hint="eastAsia" w:ascii="宋体" w:hAnsi="宋体"/>
                <w:szCs w:val="21"/>
              </w:rPr>
              <w:t>服务期（或者工期）</w:t>
            </w:r>
            <w:r>
              <w:rPr>
                <w:rFonts w:ascii="宋体" w:hAnsi="宋体"/>
                <w:szCs w:val="21"/>
              </w:rPr>
              <w:t>是否满足</w:t>
            </w:r>
            <w:r>
              <w:rPr>
                <w:rFonts w:hint="eastAsia" w:ascii="宋体" w:hAnsi="宋体"/>
                <w:szCs w:val="21"/>
              </w:rPr>
              <w:t>磋商</w:t>
            </w:r>
            <w:r>
              <w:rPr>
                <w:rFonts w:ascii="宋体" w:hAnsi="宋体"/>
                <w:szCs w:val="21"/>
              </w:rPr>
              <w:t>文件要求</w:t>
            </w:r>
          </w:p>
        </w:tc>
        <w:tc>
          <w:tcPr>
            <w:tcW w:w="1066" w:type="pct"/>
            <w:shd w:val="clear" w:color="000000" w:fill="FFFFFF"/>
            <w:vAlign w:val="center"/>
          </w:tcPr>
          <w:p w14:paraId="59FBFBF9">
            <w:pPr>
              <w:tabs>
                <w:tab w:val="left" w:pos="1080"/>
              </w:tabs>
              <w:snapToGrid w:val="0"/>
              <w:jc w:val="center"/>
              <w:rPr>
                <w:rFonts w:hint="eastAsia" w:ascii="宋体" w:hAnsi="宋体"/>
                <w:szCs w:val="21"/>
              </w:rPr>
            </w:pPr>
            <w:r>
              <w:rPr>
                <w:rFonts w:hint="eastAsia" w:ascii="宋体" w:hAnsi="宋体"/>
                <w:szCs w:val="21"/>
              </w:rPr>
              <w:t>否</w:t>
            </w:r>
          </w:p>
        </w:tc>
      </w:tr>
      <w:tr w14:paraId="0AAB4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6738164A">
            <w:pPr>
              <w:tabs>
                <w:tab w:val="left" w:pos="1080"/>
              </w:tabs>
              <w:snapToGrid w:val="0"/>
              <w:spacing w:line="360" w:lineRule="auto"/>
              <w:jc w:val="center"/>
              <w:rPr>
                <w:rFonts w:hint="eastAsia" w:ascii="宋体" w:hAnsi="宋体"/>
                <w:szCs w:val="21"/>
              </w:rPr>
            </w:pPr>
            <w:r>
              <w:rPr>
                <w:rFonts w:hint="eastAsia" w:ascii="宋体" w:hAnsi="宋体"/>
                <w:szCs w:val="21"/>
              </w:rPr>
              <w:t>7</w:t>
            </w:r>
          </w:p>
        </w:tc>
        <w:tc>
          <w:tcPr>
            <w:tcW w:w="1076" w:type="pct"/>
            <w:shd w:val="clear" w:color="000000" w:fill="FFFFFF"/>
            <w:vAlign w:val="center"/>
          </w:tcPr>
          <w:p w14:paraId="6DBC0D97">
            <w:pPr>
              <w:tabs>
                <w:tab w:val="left" w:pos="1080"/>
              </w:tabs>
              <w:snapToGrid w:val="0"/>
              <w:spacing w:line="360" w:lineRule="auto"/>
              <w:rPr>
                <w:rFonts w:hint="eastAsia" w:ascii="宋体" w:hAnsi="宋体"/>
                <w:szCs w:val="21"/>
              </w:rPr>
            </w:pPr>
            <w:r>
              <w:rPr>
                <w:rFonts w:hint="eastAsia" w:ascii="宋体" w:hAnsi="宋体"/>
                <w:szCs w:val="21"/>
              </w:rPr>
              <w:t>其他条款</w:t>
            </w:r>
          </w:p>
        </w:tc>
        <w:tc>
          <w:tcPr>
            <w:tcW w:w="2384" w:type="pct"/>
            <w:shd w:val="clear" w:color="000000" w:fill="FFFFFF"/>
            <w:vAlign w:val="center"/>
          </w:tcPr>
          <w:p w14:paraId="62624B98">
            <w:pPr>
              <w:tabs>
                <w:tab w:val="left" w:pos="1080"/>
              </w:tabs>
              <w:snapToGrid w:val="0"/>
              <w:spacing w:line="360" w:lineRule="auto"/>
              <w:rPr>
                <w:rFonts w:hint="eastAsia" w:ascii="宋体" w:hAnsi="宋体"/>
                <w:szCs w:val="21"/>
              </w:rPr>
            </w:pPr>
            <w:r>
              <w:rPr>
                <w:rFonts w:hint="eastAsia" w:ascii="宋体" w:hAnsi="宋体"/>
                <w:szCs w:val="21"/>
              </w:rPr>
              <w:t>供应商是否存在《政府采购法》等相关法律法规等规定的废标条件</w:t>
            </w:r>
          </w:p>
        </w:tc>
        <w:tc>
          <w:tcPr>
            <w:tcW w:w="1066" w:type="pct"/>
            <w:shd w:val="clear" w:color="000000" w:fill="FFFFFF"/>
            <w:vAlign w:val="center"/>
          </w:tcPr>
          <w:p w14:paraId="6FFAFC3A">
            <w:pPr>
              <w:tabs>
                <w:tab w:val="left" w:pos="1080"/>
              </w:tabs>
              <w:snapToGrid w:val="0"/>
              <w:spacing w:line="360" w:lineRule="auto"/>
              <w:jc w:val="center"/>
              <w:rPr>
                <w:rFonts w:hint="eastAsia" w:ascii="宋体" w:hAnsi="宋体"/>
                <w:szCs w:val="21"/>
              </w:rPr>
            </w:pPr>
            <w:r>
              <w:rPr>
                <w:rFonts w:hint="eastAsia" w:ascii="宋体" w:hAnsi="宋体"/>
                <w:szCs w:val="21"/>
              </w:rPr>
              <w:t>否</w:t>
            </w:r>
          </w:p>
        </w:tc>
      </w:tr>
    </w:tbl>
    <w:p w14:paraId="66D612B0">
      <w:pPr>
        <w:numPr>
          <w:ilvl w:val="0"/>
          <w:numId w:val="4"/>
        </w:numPr>
        <w:tabs>
          <w:tab w:val="left" w:pos="360"/>
        </w:tabs>
        <w:snapToGrid w:val="0"/>
        <w:spacing w:line="360" w:lineRule="auto"/>
        <w:ind w:left="902" w:hanging="902"/>
        <w:outlineLvl w:val="2"/>
        <w:rPr>
          <w:rFonts w:hint="eastAsia" w:ascii="宋体" w:hAnsi="宋体"/>
          <w:sz w:val="24"/>
        </w:rPr>
      </w:pPr>
      <w:r>
        <w:rPr>
          <w:rFonts w:ascii="宋体" w:hAnsi="宋体"/>
          <w:sz w:val="24"/>
        </w:rPr>
        <w:t>磋商、响应文件有关事项的澄清、说明或者更正和最后报价</w:t>
      </w:r>
    </w:p>
    <w:p w14:paraId="3D97DFE0">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磋商小组所有成员应当集中与单一供应商分别进行磋商，并给予所有参加磋商的供应商平等的磋商机会。</w:t>
      </w:r>
    </w:p>
    <w:p w14:paraId="06746A79">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B254C1F">
      <w:pPr>
        <w:numPr>
          <w:ilvl w:val="1"/>
          <w:numId w:val="4"/>
        </w:numPr>
        <w:tabs>
          <w:tab w:val="left" w:pos="1080"/>
          <w:tab w:val="left" w:pos="1872"/>
        </w:tabs>
        <w:snapToGrid w:val="0"/>
        <w:spacing w:line="360" w:lineRule="auto"/>
        <w:ind w:left="1077" w:hanging="720"/>
        <w:rPr>
          <w:rFonts w:hint="eastAsia" w:ascii="宋体" w:hAnsi="宋体"/>
          <w:kern w:val="0"/>
          <w:sz w:val="24"/>
        </w:rPr>
      </w:pPr>
      <w:r>
        <w:rPr>
          <w:rFonts w:ascii="宋体" w:hAnsi="宋体"/>
          <w:kern w:val="0"/>
          <w:sz w:val="24"/>
        </w:rPr>
        <w:t>对磋商文件作出的实质性变动是磋商文件的有效组成部分，磋商小组应当及时以书面形式同时通知所有参加磋商的供应商。</w:t>
      </w:r>
    </w:p>
    <w:p w14:paraId="20E60287">
      <w:pPr>
        <w:numPr>
          <w:ilvl w:val="1"/>
          <w:numId w:val="4"/>
        </w:numPr>
        <w:tabs>
          <w:tab w:val="left" w:pos="1080"/>
          <w:tab w:val="left" w:pos="1872"/>
        </w:tabs>
        <w:snapToGrid w:val="0"/>
        <w:spacing w:line="360" w:lineRule="auto"/>
        <w:rPr>
          <w:rFonts w:hint="eastAsia" w:ascii="宋体" w:hAnsi="宋体"/>
          <w:kern w:val="0"/>
          <w:sz w:val="24"/>
        </w:rPr>
      </w:pPr>
      <w:r>
        <w:rPr>
          <w:rFonts w:ascii="宋体" w:hAnsi="宋体"/>
          <w:kern w:val="0"/>
          <w:sz w:val="24"/>
        </w:rPr>
        <w:t>供应商应当按照磋商文件的变动情况和磋商小组的要求重新提交响应文件，</w:t>
      </w:r>
      <w:r>
        <w:rPr>
          <w:rFonts w:hint="eastAsia" w:ascii="宋体" w:hAnsi="宋体"/>
          <w:kern w:val="0"/>
          <w:sz w:val="24"/>
        </w:rPr>
        <w:t>并由其法定代表人（若供应商为事业单位或其他组织或分支机构，可为单位负责人）或授权代表签字或者加盖公章。由授权代表签字的，应当附授权委托书。供应商为自然人的，应当由本人签字并附身份证明。</w:t>
      </w:r>
    </w:p>
    <w:p w14:paraId="32FBB08A">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sz w:val="24"/>
        </w:rPr>
        <w:t>响应文件的澄清、说明或者更正</w:t>
      </w:r>
      <w:r>
        <w:rPr>
          <w:rFonts w:hint="eastAsia" w:ascii="宋体" w:hAnsi="宋体"/>
          <w:sz w:val="24"/>
        </w:rPr>
        <w:t>：</w:t>
      </w:r>
    </w:p>
    <w:p w14:paraId="7CB05A26">
      <w:pPr>
        <w:numPr>
          <w:ilvl w:val="2"/>
          <w:numId w:val="4"/>
        </w:numPr>
        <w:snapToGrid w:val="0"/>
        <w:spacing w:line="360" w:lineRule="auto"/>
        <w:rPr>
          <w:rFonts w:hint="eastAsia" w:ascii="宋体" w:hAnsi="宋体"/>
          <w:sz w:val="24"/>
        </w:rPr>
      </w:pPr>
      <w:r>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147F509B">
      <w:pPr>
        <w:numPr>
          <w:ilvl w:val="2"/>
          <w:numId w:val="4"/>
        </w:numPr>
        <w:snapToGrid w:val="0"/>
        <w:spacing w:line="360" w:lineRule="auto"/>
        <w:rPr>
          <w:rFonts w:hint="eastAsia" w:ascii="宋体" w:hAnsi="宋体"/>
          <w:sz w:val="24"/>
        </w:rPr>
      </w:pPr>
      <w:r>
        <w:rPr>
          <w:rFonts w:ascii="宋体" w:hAnsi="宋体"/>
          <w:sz w:val="24"/>
        </w:rPr>
        <w:t>磋商小组对响应文件进行审查，如发现供应商提交的响应文件存在不满足《符合性审查要求》的内容，如属于表中“不允许”澄清、说明或者更正的内容，则供应商响应文件按</w:t>
      </w:r>
      <w:r>
        <w:rPr>
          <w:rFonts w:ascii="宋体" w:hAnsi="宋体"/>
          <w:b/>
          <w:sz w:val="24"/>
        </w:rPr>
        <w:t>无效处理</w:t>
      </w:r>
      <w:r>
        <w:rPr>
          <w:rFonts w:ascii="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宋体" w:hAnsi="宋体"/>
          <w:b/>
          <w:sz w:val="24"/>
        </w:rPr>
        <w:t>无效处理</w:t>
      </w:r>
      <w:r>
        <w:rPr>
          <w:rFonts w:ascii="宋体" w:hAnsi="宋体"/>
          <w:sz w:val="24"/>
        </w:rPr>
        <w:t>。</w:t>
      </w:r>
    </w:p>
    <w:p w14:paraId="7343F3E4">
      <w:pPr>
        <w:numPr>
          <w:ilvl w:val="2"/>
          <w:numId w:val="4"/>
        </w:numPr>
        <w:snapToGrid w:val="0"/>
        <w:spacing w:line="360" w:lineRule="auto"/>
        <w:rPr>
          <w:rFonts w:hint="eastAsia" w:ascii="宋体" w:hAnsi="宋体"/>
          <w:sz w:val="24"/>
        </w:rPr>
      </w:pPr>
      <w:r>
        <w:rPr>
          <w:rFonts w:ascii="宋体" w:hAnsi="宋体"/>
          <w:sz w:val="24"/>
        </w:rPr>
        <w:t>供应商的澄清、说明或者更正不得超出响应文件的范围或者改变响应文件的实质性内容。磋商小组要求供应商澄清、说明或者更正响应文件应当以书面形式作出。</w:t>
      </w:r>
      <w:r>
        <w:rPr>
          <w:rFonts w:hint="eastAsia" w:ascii="宋体" w:hAnsi="宋体"/>
          <w:sz w:val="24"/>
        </w:rPr>
        <w:t>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10F06AC4">
      <w:pPr>
        <w:numPr>
          <w:ilvl w:val="1"/>
          <w:numId w:val="4"/>
        </w:numPr>
        <w:tabs>
          <w:tab w:val="left" w:pos="1980"/>
          <w:tab w:val="clear" w:pos="1589"/>
        </w:tabs>
        <w:snapToGrid w:val="0"/>
        <w:spacing w:line="360" w:lineRule="auto"/>
        <w:rPr>
          <w:rFonts w:hint="eastAsia" w:ascii="宋体" w:hAnsi="宋体"/>
          <w:sz w:val="24"/>
        </w:rPr>
      </w:pPr>
      <w:r>
        <w:rPr>
          <w:rFonts w:ascii="宋体" w:hAnsi="宋体"/>
          <w:sz w:val="24"/>
        </w:rPr>
        <w:t>磋商结束后，磋商小组将要求所有实质性响应的供应商在规定时间内提交最后报价。最后报价时间为磋商小组指定的时间，具体时间根据磋商进度另行通知。</w:t>
      </w:r>
    </w:p>
    <w:p w14:paraId="723C9B45">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A1D9D81">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sz w:val="24"/>
        </w:rPr>
        <w:t>最后报价是供应商响应文件的有效组成部分。</w:t>
      </w:r>
    </w:p>
    <w:p w14:paraId="7D302604">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sz w:val="24"/>
        </w:rPr>
        <w:t>已提交响应文件的供应商，在提交最后报价之前，可以根据磋商情况退出磋商。</w:t>
      </w:r>
    </w:p>
    <w:p w14:paraId="3B2F6496">
      <w:pPr>
        <w:numPr>
          <w:ilvl w:val="0"/>
          <w:numId w:val="4"/>
        </w:numPr>
        <w:tabs>
          <w:tab w:val="left" w:pos="360"/>
        </w:tabs>
        <w:snapToGrid w:val="0"/>
        <w:spacing w:line="360" w:lineRule="auto"/>
        <w:ind w:left="902" w:hanging="902"/>
        <w:outlineLvl w:val="2"/>
        <w:rPr>
          <w:rFonts w:hint="eastAsia" w:ascii="宋体" w:hAnsi="宋体"/>
          <w:sz w:val="24"/>
        </w:rPr>
      </w:pPr>
      <w:r>
        <w:rPr>
          <w:rFonts w:ascii="宋体" w:hAnsi="宋体"/>
          <w:sz w:val="24"/>
        </w:rPr>
        <w:t>最后报价的算术修正及政策调整</w:t>
      </w:r>
    </w:p>
    <w:p w14:paraId="24328F28">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最后报价须包含竞争性磋商文件全部内容，如</w:t>
      </w:r>
      <w:r>
        <w:rPr>
          <w:rFonts w:hint="eastAsia" w:ascii="宋体" w:hAnsi="宋体"/>
          <w:sz w:val="24"/>
        </w:rPr>
        <w:t>最后</w:t>
      </w:r>
      <w:r>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响应无效</w:t>
      </w:r>
      <w:r>
        <w:rPr>
          <w:rFonts w:ascii="宋体" w:hAnsi="宋体"/>
          <w:sz w:val="24"/>
        </w:rPr>
        <w:t>。</w:t>
      </w:r>
    </w:p>
    <w:p w14:paraId="42AAC201">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sz w:val="24"/>
        </w:rPr>
        <w:t>最后报价出现前后不一致的，按照下列规定修正：</w:t>
      </w:r>
    </w:p>
    <w:p w14:paraId="2BE17D5A">
      <w:pPr>
        <w:numPr>
          <w:ilvl w:val="2"/>
          <w:numId w:val="4"/>
        </w:numPr>
        <w:tabs>
          <w:tab w:val="left" w:pos="1080"/>
          <w:tab w:val="left" w:pos="1589"/>
          <w:tab w:val="left" w:pos="2035"/>
          <w:tab w:val="left" w:pos="2114"/>
        </w:tabs>
        <w:snapToGrid w:val="0"/>
        <w:spacing w:line="360" w:lineRule="auto"/>
        <w:ind w:left="2035"/>
        <w:rPr>
          <w:rFonts w:hint="eastAsia" w:ascii="宋体" w:hAnsi="宋体"/>
          <w:sz w:val="24"/>
        </w:rPr>
      </w:pPr>
      <w:r>
        <w:rPr>
          <w:rFonts w:ascii="宋体" w:hAnsi="宋体"/>
          <w:sz w:val="24"/>
        </w:rPr>
        <w:t>竞争性磋商文件对于报价修正是否另有规定：</w:t>
      </w:r>
    </w:p>
    <w:p w14:paraId="0492A922">
      <w:pPr>
        <w:tabs>
          <w:tab w:val="left" w:pos="1080"/>
          <w:tab w:val="left" w:pos="1589"/>
          <w:tab w:val="left" w:pos="2035"/>
          <w:tab w:val="left" w:pos="2114"/>
        </w:tabs>
        <w:snapToGrid w:val="0"/>
        <w:spacing w:line="360" w:lineRule="auto"/>
        <w:ind w:left="2035"/>
        <w:rPr>
          <w:rFonts w:hint="eastAsia" w:ascii="宋体" w:hAnsi="宋体"/>
          <w:sz w:val="24"/>
          <w:u w:val="single"/>
        </w:rPr>
      </w:pPr>
      <w:r>
        <w:rPr>
          <w:rFonts w:ascii="宋体" w:hAnsi="宋体"/>
          <w:sz w:val="24"/>
        </w:rPr>
        <w:t>□有，具体规定为：___________</w:t>
      </w:r>
    </w:p>
    <w:p w14:paraId="096F431D">
      <w:pPr>
        <w:tabs>
          <w:tab w:val="left" w:pos="1080"/>
          <w:tab w:val="left" w:pos="1589"/>
          <w:tab w:val="left" w:pos="2035"/>
          <w:tab w:val="left" w:pos="2114"/>
        </w:tabs>
        <w:snapToGrid w:val="0"/>
        <w:spacing w:line="360" w:lineRule="auto"/>
        <w:ind w:left="2035"/>
        <w:rPr>
          <w:rFonts w:hint="eastAsia" w:ascii="宋体" w:hAnsi="宋体"/>
          <w:sz w:val="24"/>
        </w:rPr>
      </w:pPr>
      <w:r>
        <w:rPr>
          <w:rFonts w:ascii="宋体" w:hAnsi="宋体"/>
          <w:b/>
          <w:sz w:val="24"/>
        </w:rPr>
        <w:t>■</w:t>
      </w:r>
      <w:r>
        <w:rPr>
          <w:rFonts w:ascii="宋体" w:hAnsi="宋体"/>
          <w:sz w:val="24"/>
        </w:rPr>
        <w:t>无，按下述3.2.2-3.2.5项规定修正。</w:t>
      </w:r>
    </w:p>
    <w:p w14:paraId="0C6E6723">
      <w:pPr>
        <w:numPr>
          <w:ilvl w:val="2"/>
          <w:numId w:val="4"/>
        </w:numPr>
        <w:tabs>
          <w:tab w:val="left" w:pos="2035"/>
          <w:tab w:val="left" w:pos="2114"/>
          <w:tab w:val="left" w:pos="2977"/>
        </w:tabs>
        <w:snapToGrid w:val="0"/>
        <w:spacing w:line="360" w:lineRule="auto"/>
        <w:ind w:left="2035"/>
        <w:rPr>
          <w:rFonts w:hint="eastAsia" w:ascii="宋体" w:hAnsi="宋体"/>
          <w:sz w:val="24"/>
        </w:rPr>
      </w:pPr>
      <w:r>
        <w:rPr>
          <w:rFonts w:ascii="宋体" w:hAnsi="宋体"/>
          <w:sz w:val="24"/>
        </w:rPr>
        <w:t>大写金额和小写金额不一致的，以大写金额为准；</w:t>
      </w:r>
    </w:p>
    <w:p w14:paraId="027754A7">
      <w:pPr>
        <w:numPr>
          <w:ilvl w:val="2"/>
          <w:numId w:val="4"/>
        </w:numPr>
        <w:tabs>
          <w:tab w:val="left" w:pos="2035"/>
          <w:tab w:val="left" w:pos="2114"/>
          <w:tab w:val="left" w:pos="2977"/>
        </w:tabs>
        <w:snapToGrid w:val="0"/>
        <w:spacing w:line="360" w:lineRule="auto"/>
        <w:ind w:left="2035"/>
        <w:rPr>
          <w:rFonts w:hint="eastAsia" w:ascii="宋体" w:hAnsi="宋体"/>
          <w:sz w:val="24"/>
        </w:rPr>
      </w:pPr>
      <w:r>
        <w:rPr>
          <w:rFonts w:ascii="宋体" w:hAnsi="宋体"/>
          <w:sz w:val="24"/>
        </w:rPr>
        <w:t>单价金额小数点或者百分比有明显错位的，以最后报价一览表的总价为准，并修改单价；</w:t>
      </w:r>
    </w:p>
    <w:p w14:paraId="36F74137">
      <w:pPr>
        <w:numPr>
          <w:ilvl w:val="2"/>
          <w:numId w:val="4"/>
        </w:numPr>
        <w:tabs>
          <w:tab w:val="left" w:pos="2035"/>
          <w:tab w:val="left" w:pos="2114"/>
          <w:tab w:val="left" w:pos="2977"/>
        </w:tabs>
        <w:snapToGrid w:val="0"/>
        <w:spacing w:line="360" w:lineRule="auto"/>
        <w:ind w:left="2035"/>
        <w:rPr>
          <w:rFonts w:hint="eastAsia" w:ascii="宋体" w:hAnsi="宋体"/>
          <w:sz w:val="24"/>
        </w:rPr>
      </w:pPr>
      <w:r>
        <w:rPr>
          <w:rFonts w:ascii="宋体" w:hAnsi="宋体"/>
          <w:sz w:val="24"/>
        </w:rPr>
        <w:t>总价金额与按单价汇总金额不一致的，以单价金额计算结果为准。</w:t>
      </w:r>
    </w:p>
    <w:p w14:paraId="468DBDD0">
      <w:pPr>
        <w:numPr>
          <w:ilvl w:val="2"/>
          <w:numId w:val="4"/>
        </w:numPr>
        <w:tabs>
          <w:tab w:val="left" w:pos="1080"/>
          <w:tab w:val="left" w:pos="1589"/>
          <w:tab w:val="left" w:pos="2035"/>
          <w:tab w:val="left" w:pos="2114"/>
        </w:tabs>
        <w:snapToGrid w:val="0"/>
        <w:spacing w:line="360" w:lineRule="auto"/>
        <w:ind w:left="2035"/>
        <w:rPr>
          <w:rFonts w:hint="eastAsia" w:ascii="宋体" w:hAnsi="宋体"/>
          <w:sz w:val="24"/>
        </w:rPr>
      </w:pPr>
      <w:r>
        <w:rPr>
          <w:rFonts w:ascii="宋体" w:hAnsi="宋体"/>
          <w:sz w:val="24"/>
        </w:rPr>
        <w:t>同时出现两种以上不一致的，按照前款规定的顺序修正。</w:t>
      </w:r>
    </w:p>
    <w:p w14:paraId="46B7B572">
      <w:pPr>
        <w:numPr>
          <w:ilvl w:val="2"/>
          <w:numId w:val="4"/>
        </w:numPr>
        <w:tabs>
          <w:tab w:val="left" w:pos="1080"/>
          <w:tab w:val="left" w:pos="1589"/>
          <w:tab w:val="left" w:pos="2035"/>
          <w:tab w:val="left" w:pos="2114"/>
        </w:tabs>
        <w:snapToGrid w:val="0"/>
        <w:spacing w:line="360" w:lineRule="auto"/>
        <w:ind w:left="2035"/>
        <w:rPr>
          <w:rFonts w:hint="eastAsia" w:ascii="宋体" w:hAnsi="宋体"/>
          <w:sz w:val="24"/>
        </w:rPr>
      </w:pPr>
      <w:r>
        <w:rPr>
          <w:rFonts w:ascii="宋体" w:hAnsi="宋体"/>
          <w:sz w:val="24"/>
        </w:rPr>
        <w:t>修正后的报价经供应商书面确认后产生约束力，供应商不确认的，</w:t>
      </w:r>
      <w:r>
        <w:rPr>
          <w:rFonts w:ascii="宋体" w:hAnsi="宋体"/>
          <w:b/>
          <w:sz w:val="24"/>
        </w:rPr>
        <w:t>其响应无效</w:t>
      </w:r>
      <w:r>
        <w:rPr>
          <w:rFonts w:ascii="宋体" w:hAnsi="宋体"/>
          <w:sz w:val="24"/>
        </w:rPr>
        <w:t>。</w:t>
      </w:r>
    </w:p>
    <w:p w14:paraId="10B8AAF0">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sz w:val="24"/>
        </w:rPr>
        <w:t>落实政府采购政策的价格调整：只有符合第二章《供应商须知》4.2条规定情形的，可以享受中小企业扶持政策，用扣除后的价格参加评审；否则，评审时价格不予扣除。</w:t>
      </w:r>
    </w:p>
    <w:p w14:paraId="17826878">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hint="eastAsia" w:ascii="宋体" w:hAnsi="宋体"/>
          <w:sz w:val="24"/>
        </w:rPr>
        <w:t>对于未预留份额专门面向中小企业采购的采购项目，以及预留份额项目中的非预留部分采购包，对小微企业报价给予</w:t>
      </w:r>
      <w:r>
        <w:rPr>
          <w:rFonts w:ascii="宋体" w:hAnsi="宋体"/>
          <w:sz w:val="24"/>
          <w:u w:val="single"/>
        </w:rPr>
        <w:t>_10_</w:t>
      </w:r>
      <w:r>
        <w:rPr>
          <w:rFonts w:ascii="宋体" w:hAnsi="宋体"/>
          <w:sz w:val="24"/>
        </w:rPr>
        <w:t>%</w:t>
      </w:r>
      <w:r>
        <w:rPr>
          <w:rFonts w:hint="eastAsia" w:ascii="宋体" w:hAnsi="宋体"/>
          <w:sz w:val="24"/>
        </w:rPr>
        <w:t>的扣除，用扣除后的价格参加评审。</w:t>
      </w:r>
    </w:p>
    <w:p w14:paraId="00EE8EAD">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hint="eastAsia"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宋体" w:hAnsi="宋体"/>
          <w:sz w:val="24"/>
        </w:rPr>
        <w:t xml:space="preserve"> 30%</w:t>
      </w:r>
      <w:r>
        <w:rPr>
          <w:rFonts w:hint="eastAsia" w:ascii="宋体" w:hAnsi="宋体"/>
          <w:sz w:val="24"/>
        </w:rPr>
        <w:t>以上的联合体或者大中型企业的报价给予</w:t>
      </w:r>
      <w:r>
        <w:rPr>
          <w:rFonts w:ascii="宋体" w:hAnsi="宋体"/>
          <w:sz w:val="24"/>
          <w:u w:val="single"/>
        </w:rPr>
        <w:t>___/___</w:t>
      </w:r>
      <w:r>
        <w:rPr>
          <w:rFonts w:ascii="宋体" w:hAnsi="宋体"/>
          <w:sz w:val="24"/>
        </w:rPr>
        <w:t>%</w:t>
      </w:r>
      <w:r>
        <w:rPr>
          <w:rFonts w:hint="eastAsia" w:ascii="宋体" w:hAnsi="宋体"/>
          <w:sz w:val="24"/>
        </w:rPr>
        <w:t>的扣除，用扣除后的价格参加评审。</w:t>
      </w:r>
    </w:p>
    <w:p w14:paraId="5AE43679">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组成联合体或者接受分包的小微企业与联合体内其他企业、分包企业之间存在直接控股、管理关系的，不享受价格扣除优惠政策。</w:t>
      </w:r>
    </w:p>
    <w:p w14:paraId="000A9F92">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价格扣除比例对小型企业和微型企业同等对待，不作区分。</w:t>
      </w:r>
    </w:p>
    <w:p w14:paraId="32985A4A">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中小企业参加政府采购活动，应当按照竞争性磋商文件给定的格式出具《中小企业声明函》，否则不得享受相关中小企业扶持政策。</w:t>
      </w:r>
    </w:p>
    <w:p w14:paraId="19CC8FD8">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监狱企业提供了由省级以上监狱管理局（北京市含教育矫治局）、戒毒管理局（含新疆生产建设兵团）出具的属于监狱企业的证明文件的，视同小微企业。</w:t>
      </w:r>
    </w:p>
    <w:p w14:paraId="57B7131B">
      <w:pPr>
        <w:numPr>
          <w:ilvl w:val="2"/>
          <w:numId w:val="4"/>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残疾人福利性单位按竞争性磋商文件要求提供了《残疾人福利性单位声明函》（见附件）的，视同小微企业。</w:t>
      </w:r>
    </w:p>
    <w:p w14:paraId="2564D125">
      <w:pPr>
        <w:numPr>
          <w:ilvl w:val="2"/>
          <w:numId w:val="4"/>
        </w:numPr>
        <w:tabs>
          <w:tab w:val="left" w:pos="1080"/>
          <w:tab w:val="left" w:pos="1589"/>
          <w:tab w:val="left" w:pos="2014"/>
        </w:tabs>
        <w:snapToGrid w:val="0"/>
        <w:spacing w:line="360" w:lineRule="auto"/>
        <w:ind w:left="2035"/>
        <w:rPr>
          <w:rFonts w:hint="eastAsia" w:ascii="宋体" w:hAnsi="宋体"/>
          <w:sz w:val="24"/>
        </w:rPr>
      </w:pPr>
      <w:r>
        <w:rPr>
          <w:rFonts w:ascii="宋体" w:hAnsi="宋体"/>
          <w:sz w:val="24"/>
        </w:rPr>
        <w:t>若供应商同时属于小型或微型企业、监狱企业、残疾人福利性单位中的两种及以上，将不重复享受小微企业价格扣减的优惠政策。</w:t>
      </w:r>
    </w:p>
    <w:p w14:paraId="27B84638">
      <w:pPr>
        <w:numPr>
          <w:ilvl w:val="2"/>
          <w:numId w:val="4"/>
        </w:numPr>
        <w:tabs>
          <w:tab w:val="left" w:pos="1080"/>
          <w:tab w:val="left" w:pos="1589"/>
          <w:tab w:val="left" w:pos="2014"/>
        </w:tabs>
        <w:snapToGrid w:val="0"/>
        <w:spacing w:line="360" w:lineRule="auto"/>
        <w:ind w:left="2035"/>
        <w:rPr>
          <w:rFonts w:hint="eastAsia" w:ascii="宋体" w:hAnsi="宋体"/>
          <w:sz w:val="24"/>
        </w:rPr>
      </w:pPr>
      <w:r>
        <w:rPr>
          <w:rFonts w:ascii="宋体" w:hAnsi="宋体"/>
          <w:sz w:val="24"/>
        </w:rPr>
        <w:t>其他为落实政府采购政策实施的优先采购：</w:t>
      </w:r>
      <w:r>
        <w:rPr>
          <w:rFonts w:ascii="宋体" w:hAnsi="宋体"/>
          <w:sz w:val="24"/>
          <w:u w:val="single"/>
        </w:rPr>
        <w:t xml:space="preserve">   /   </w:t>
      </w:r>
      <w:r>
        <w:rPr>
          <w:rFonts w:ascii="宋体" w:hAnsi="宋体"/>
          <w:sz w:val="24"/>
        </w:rPr>
        <w:t>。</w:t>
      </w:r>
    </w:p>
    <w:p w14:paraId="636A9AA6">
      <w:pPr>
        <w:numPr>
          <w:ilvl w:val="0"/>
          <w:numId w:val="4"/>
        </w:numPr>
        <w:tabs>
          <w:tab w:val="left" w:pos="360"/>
        </w:tabs>
        <w:snapToGrid w:val="0"/>
        <w:spacing w:line="360" w:lineRule="auto"/>
        <w:ind w:left="902" w:hanging="902"/>
        <w:outlineLvl w:val="2"/>
        <w:rPr>
          <w:rFonts w:hint="eastAsia" w:ascii="宋体" w:hAnsi="宋体"/>
          <w:sz w:val="24"/>
        </w:rPr>
      </w:pPr>
      <w:r>
        <w:rPr>
          <w:rFonts w:ascii="宋体" w:hAnsi="宋体"/>
          <w:sz w:val="24"/>
        </w:rPr>
        <w:t>磋商环节及提交最后报价后如出现以下情况的，供应商的</w:t>
      </w:r>
      <w:r>
        <w:rPr>
          <w:rFonts w:ascii="宋体" w:hAnsi="宋体"/>
          <w:b/>
          <w:sz w:val="24"/>
        </w:rPr>
        <w:t>响应文件无效</w:t>
      </w:r>
      <w:r>
        <w:rPr>
          <w:rFonts w:ascii="宋体" w:hAnsi="宋体"/>
          <w:sz w:val="24"/>
        </w:rPr>
        <w:t>：</w:t>
      </w:r>
    </w:p>
    <w:p w14:paraId="0BBBB703">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供应商对实质性变动不予确认的；</w:t>
      </w:r>
    </w:p>
    <w:p w14:paraId="3B68A65D">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不满足磋商文件</w:t>
      </w:r>
      <w:r>
        <w:rPr>
          <w:rFonts w:ascii="宋体" w:hAnsi="宋体" w:cs="Segoe UI Symbol"/>
          <w:sz w:val="24"/>
        </w:rPr>
        <w:t>★</w:t>
      </w:r>
      <w:r>
        <w:rPr>
          <w:rFonts w:ascii="宋体" w:hAnsi="宋体"/>
          <w:sz w:val="24"/>
        </w:rPr>
        <w:t>号条款或磋商文件技术指标超出磋商文件</w:t>
      </w:r>
      <w:r>
        <w:rPr>
          <w:rFonts w:hint="eastAsia" w:ascii="宋体" w:hAnsi="宋体"/>
          <w:sz w:val="24"/>
        </w:rPr>
        <w:t>《</w:t>
      </w:r>
      <w:r>
        <w:rPr>
          <w:rFonts w:ascii="宋体" w:hAnsi="宋体"/>
          <w:sz w:val="24"/>
        </w:rPr>
        <w:t>采购需求</w:t>
      </w:r>
      <w:r>
        <w:rPr>
          <w:rFonts w:hint="eastAsia" w:ascii="宋体" w:hAnsi="宋体"/>
          <w:sz w:val="24"/>
        </w:rPr>
        <w:t>》</w:t>
      </w:r>
      <w:r>
        <w:rPr>
          <w:rFonts w:ascii="宋体" w:hAnsi="宋体"/>
          <w:sz w:val="24"/>
        </w:rPr>
        <w:t>中主要技术参数允许偏差的最大范围的（如有）；</w:t>
      </w:r>
    </w:p>
    <w:p w14:paraId="38C30112">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未按照磋商小组规定的时间、逾期提交最后报价的；</w:t>
      </w:r>
    </w:p>
    <w:p w14:paraId="2C0CEDBA">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如供应商的最后报价超过竞争性磋商文件中规定的项目/采购包预算金额或者项目/采购包最高限价的；</w:t>
      </w:r>
    </w:p>
    <w:p w14:paraId="0708B86A">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响应文件中出现可选择性或可调整的报价的（竞争性磋商文件另有规定的除外）；</w:t>
      </w:r>
    </w:p>
    <w:p w14:paraId="749764B1">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最后报价出现前后不一致，供应商对修正后的报价不予确认的；</w:t>
      </w:r>
    </w:p>
    <w:p w14:paraId="6EFEBE41">
      <w:pPr>
        <w:numPr>
          <w:ilvl w:val="1"/>
          <w:numId w:val="4"/>
        </w:numPr>
        <w:tabs>
          <w:tab w:val="left" w:pos="1080"/>
        </w:tabs>
        <w:snapToGrid w:val="0"/>
        <w:spacing w:line="360" w:lineRule="auto"/>
        <w:ind w:left="1077" w:hanging="720"/>
        <w:rPr>
          <w:rFonts w:hint="eastAsia" w:ascii="宋体" w:hAnsi="宋体"/>
          <w:sz w:val="24"/>
        </w:rPr>
      </w:pPr>
      <w:r>
        <w:rPr>
          <w:rFonts w:ascii="宋体" w:hAnsi="宋体"/>
          <w:sz w:val="24"/>
        </w:rPr>
        <w:t>其他：</w:t>
      </w:r>
      <w:r>
        <w:rPr>
          <w:rFonts w:ascii="宋体" w:hAnsi="宋体"/>
          <w:sz w:val="24"/>
          <w:u w:val="single"/>
        </w:rPr>
        <w:t xml:space="preserve">   /   </w:t>
      </w:r>
      <w:r>
        <w:rPr>
          <w:rFonts w:ascii="宋体" w:hAnsi="宋体"/>
          <w:sz w:val="24"/>
        </w:rPr>
        <w:t>。</w:t>
      </w:r>
    </w:p>
    <w:p w14:paraId="3DD5A971">
      <w:pPr>
        <w:numPr>
          <w:ilvl w:val="0"/>
          <w:numId w:val="4"/>
        </w:numPr>
        <w:tabs>
          <w:tab w:val="left" w:pos="360"/>
        </w:tabs>
        <w:snapToGrid w:val="0"/>
        <w:spacing w:line="360" w:lineRule="auto"/>
        <w:ind w:left="902" w:hanging="902"/>
        <w:outlineLvl w:val="2"/>
        <w:rPr>
          <w:rFonts w:hint="eastAsia" w:ascii="宋体" w:hAnsi="宋体"/>
          <w:sz w:val="24"/>
        </w:rPr>
      </w:pPr>
      <w:r>
        <w:rPr>
          <w:rFonts w:ascii="宋体" w:hAnsi="宋体"/>
          <w:sz w:val="24"/>
        </w:rPr>
        <w:t>评审方法和评审标准</w:t>
      </w:r>
    </w:p>
    <w:p w14:paraId="48D22832">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15CDF54">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sz w:val="24"/>
        </w:rPr>
        <w:t>竞争性磋商文件中没有规定的评审标准不得作为评审依据。</w:t>
      </w:r>
    </w:p>
    <w:p w14:paraId="22F07933">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sz w:val="24"/>
        </w:rPr>
        <w:t>非政府强制采购的节能产品或环境标志产品，依据品目清单和认证证书实施政府优先采购。优先采购的具体规定（如涉及）</w:t>
      </w:r>
      <w:r>
        <w:rPr>
          <w:rFonts w:ascii="宋体" w:hAnsi="宋体"/>
          <w:sz w:val="24"/>
          <w:u w:val="single"/>
        </w:rPr>
        <w:t xml:space="preserve">   /   </w:t>
      </w:r>
      <w:r>
        <w:rPr>
          <w:rFonts w:ascii="宋体" w:hAnsi="宋体"/>
          <w:sz w:val="24"/>
        </w:rPr>
        <w:t>。</w:t>
      </w:r>
    </w:p>
    <w:p w14:paraId="7E6671A4">
      <w:pPr>
        <w:numPr>
          <w:ilvl w:val="0"/>
          <w:numId w:val="4"/>
        </w:numPr>
        <w:tabs>
          <w:tab w:val="left" w:pos="360"/>
        </w:tabs>
        <w:snapToGrid w:val="0"/>
        <w:spacing w:line="360" w:lineRule="auto"/>
        <w:ind w:left="902" w:hanging="902"/>
        <w:outlineLvl w:val="2"/>
        <w:rPr>
          <w:rFonts w:hint="eastAsia" w:ascii="宋体" w:hAnsi="宋体"/>
          <w:sz w:val="24"/>
        </w:rPr>
      </w:pPr>
      <w:r>
        <w:rPr>
          <w:rFonts w:ascii="宋体" w:hAnsi="宋体"/>
          <w:sz w:val="24"/>
        </w:rPr>
        <w:t>确定</w:t>
      </w:r>
      <w:bookmarkStart w:id="525" w:name="_Toc151193644"/>
      <w:bookmarkStart w:id="526" w:name="_Toc151190173"/>
      <w:bookmarkStart w:id="527" w:name="_Toc150774751"/>
      <w:bookmarkStart w:id="528" w:name="_Ref467307010"/>
      <w:bookmarkStart w:id="529" w:name="_Toc149720839"/>
      <w:bookmarkStart w:id="530" w:name="_Toc127151546"/>
      <w:bookmarkStart w:id="531" w:name="_Toc150774646"/>
      <w:bookmarkStart w:id="532" w:name="_Toc127161460"/>
      <w:bookmarkStart w:id="533" w:name="_Toc264969236"/>
      <w:bookmarkStart w:id="534" w:name="_Toc164608815"/>
      <w:bookmarkStart w:id="535" w:name="_Toc164351640"/>
      <w:bookmarkStart w:id="536" w:name="_Toc164229241"/>
      <w:bookmarkStart w:id="537" w:name="_Toc195842911"/>
      <w:bookmarkStart w:id="538" w:name="_Toc226337242"/>
      <w:bookmarkStart w:id="539" w:name="_Toc151193788"/>
      <w:bookmarkStart w:id="540" w:name="_Toc150509297"/>
      <w:bookmarkStart w:id="541" w:name="_Toc305158814"/>
      <w:bookmarkStart w:id="542" w:name="_Toc151193716"/>
      <w:bookmarkStart w:id="543" w:name="_Toc305158888"/>
      <w:bookmarkStart w:id="544" w:name="_Toc150480784"/>
      <w:bookmarkStart w:id="545" w:name="_Toc142311048"/>
      <w:bookmarkStart w:id="546" w:name="_Toc265228384"/>
      <w:bookmarkStart w:id="547" w:name="_Toc520356170"/>
      <w:bookmarkStart w:id="548" w:name="_Toc127151747"/>
      <w:bookmarkStart w:id="549" w:name="_Toc226965736"/>
      <w:bookmarkStart w:id="550" w:name="_Toc151193860"/>
      <w:bookmarkStart w:id="551" w:name="_Toc164229387"/>
      <w:bookmarkStart w:id="552" w:name="_Toc164608660"/>
      <w:bookmarkStart w:id="553" w:name="_Toc226965819"/>
      <w:bookmarkStart w:id="554" w:name="_Toc226309790"/>
      <w:bookmarkStart w:id="555" w:name="_Toc151193934"/>
      <w:r>
        <w:rPr>
          <w:rFonts w:ascii="宋体" w:hAnsi="宋体"/>
          <w:sz w:val="24"/>
        </w:rPr>
        <w:t>成交候选人名单</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3B2291CC">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8400445">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kern w:val="0"/>
          <w:sz w:val="24"/>
          <w:szCs w:val="20"/>
        </w:rPr>
        <w:t>磋商小组根据上述供应商排序，依次推荐排序前</w:t>
      </w:r>
      <w:r>
        <w:rPr>
          <w:rFonts w:ascii="宋体" w:hAnsi="宋体"/>
          <w:sz w:val="24"/>
          <w:u w:val="single"/>
        </w:rPr>
        <w:t xml:space="preserve">  3  </w:t>
      </w:r>
      <w:r>
        <w:rPr>
          <w:rFonts w:ascii="宋体" w:hAnsi="宋体"/>
          <w:sz w:val="24"/>
        </w:rPr>
        <w:t>名</w:t>
      </w:r>
      <w:r>
        <w:rPr>
          <w:rFonts w:ascii="宋体" w:hAnsi="宋体"/>
          <w:kern w:val="0"/>
          <w:sz w:val="24"/>
          <w:szCs w:val="20"/>
        </w:rPr>
        <w:t>的供应商为</w:t>
      </w:r>
      <w:r>
        <w:rPr>
          <w:rFonts w:ascii="宋体" w:hAnsi="宋体"/>
          <w:snapToGrid w:val="0"/>
          <w:kern w:val="0"/>
          <w:sz w:val="24"/>
          <w:szCs w:val="21"/>
        </w:rPr>
        <w:t>成交候选供应商</w:t>
      </w:r>
      <w:r>
        <w:rPr>
          <w:rFonts w:ascii="宋体" w:hAnsi="宋体"/>
          <w:kern w:val="0"/>
          <w:sz w:val="24"/>
          <w:szCs w:val="20"/>
        </w:rPr>
        <w:t>（若在磋商文件允许的情形下提交最后报价的供应商为二家，则依次推荐二名供应商为成交候选供应商），并编写评审报告。</w:t>
      </w:r>
    </w:p>
    <w:p w14:paraId="0AF097A6">
      <w:pPr>
        <w:numPr>
          <w:ilvl w:val="1"/>
          <w:numId w:val="4"/>
        </w:numPr>
        <w:tabs>
          <w:tab w:val="left" w:pos="1080"/>
          <w:tab w:val="left" w:pos="1872"/>
        </w:tabs>
        <w:snapToGrid w:val="0"/>
        <w:spacing w:line="360" w:lineRule="auto"/>
        <w:ind w:left="1077" w:hanging="720"/>
        <w:rPr>
          <w:rFonts w:hint="eastAsia" w:ascii="宋体" w:hAnsi="宋体"/>
          <w:sz w:val="24"/>
        </w:rPr>
      </w:pPr>
      <w:r>
        <w:rPr>
          <w:rFonts w:ascii="宋体" w:hAnsi="宋体"/>
          <w:sz w:val="24"/>
        </w:rPr>
        <w:t>磋商小组要对评分汇总情况进行复核，特别是对排名第一的、报价最低的、响应文件被认定为无效的情形进行重点复核。</w:t>
      </w:r>
    </w:p>
    <w:p w14:paraId="4AF660D8">
      <w:pPr>
        <w:numPr>
          <w:ilvl w:val="0"/>
          <w:numId w:val="4"/>
        </w:numPr>
        <w:tabs>
          <w:tab w:val="left" w:pos="360"/>
        </w:tabs>
        <w:snapToGrid w:val="0"/>
        <w:spacing w:line="360" w:lineRule="auto"/>
        <w:ind w:left="902" w:hanging="902"/>
        <w:outlineLvl w:val="2"/>
        <w:rPr>
          <w:rFonts w:hint="eastAsia" w:ascii="宋体" w:hAnsi="宋体"/>
          <w:sz w:val="24"/>
        </w:rPr>
      </w:pPr>
      <w:r>
        <w:rPr>
          <w:rFonts w:ascii="宋体" w:hAnsi="宋体"/>
          <w:sz w:val="24"/>
        </w:rPr>
        <w:t>报告违法行为</w:t>
      </w:r>
    </w:p>
    <w:p w14:paraId="68EE1861">
      <w:pPr>
        <w:tabs>
          <w:tab w:val="left" w:pos="1080"/>
          <w:tab w:val="left" w:pos="1589"/>
          <w:tab w:val="left" w:pos="2014"/>
        </w:tabs>
        <w:snapToGrid w:val="0"/>
        <w:spacing w:line="360" w:lineRule="auto"/>
        <w:ind w:firstLine="480" w:firstLineChars="200"/>
        <w:rPr>
          <w:rFonts w:hint="eastAsia" w:ascii="宋体" w:hAnsi="宋体"/>
          <w:sz w:val="24"/>
        </w:rPr>
      </w:pPr>
      <w:r>
        <w:rPr>
          <w:rFonts w:ascii="宋体" w:hAnsi="宋体"/>
          <w:sz w:val="24"/>
        </w:rPr>
        <w:t>磋商小组在评审过程中发现供应商有行贿、提供虚假材料或者串通等违法行为时，有向采购人、采购代理机构或者有关部门报告的职责。</w:t>
      </w:r>
    </w:p>
    <w:p w14:paraId="112A403F">
      <w:pPr>
        <w:jc w:val="center"/>
        <w:outlineLvl w:val="1"/>
        <w:rPr>
          <w:rFonts w:hint="eastAsia" w:ascii="宋体" w:hAnsi="宋体"/>
          <w:b/>
          <w:bCs/>
          <w:sz w:val="28"/>
          <w:szCs w:val="36"/>
        </w:rPr>
      </w:pPr>
      <w:r>
        <w:rPr>
          <w:rFonts w:ascii="宋体" w:hAnsi="宋体"/>
          <w:b/>
          <w:bCs/>
          <w:sz w:val="28"/>
          <w:szCs w:val="36"/>
        </w:rPr>
        <w:t>二、评</w:t>
      </w:r>
      <w:r>
        <w:rPr>
          <w:rFonts w:hint="eastAsia" w:ascii="宋体" w:hAnsi="宋体"/>
          <w:b/>
          <w:bCs/>
          <w:sz w:val="28"/>
          <w:szCs w:val="36"/>
        </w:rPr>
        <w:t>审</w:t>
      </w:r>
      <w:r>
        <w:rPr>
          <w:rFonts w:ascii="宋体" w:hAnsi="宋体"/>
          <w:b/>
          <w:bCs/>
          <w:sz w:val="28"/>
          <w:szCs w:val="36"/>
        </w:rPr>
        <w:t>标准</w:t>
      </w:r>
    </w:p>
    <w:tbl>
      <w:tblPr>
        <w:tblStyle w:val="45"/>
        <w:tblW w:w="87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8"/>
        <w:gridCol w:w="1842"/>
        <w:gridCol w:w="993"/>
        <w:gridCol w:w="4951"/>
      </w:tblGrid>
      <w:tr w14:paraId="6EF35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trPr>
        <w:tc>
          <w:tcPr>
            <w:tcW w:w="988" w:type="dxa"/>
            <w:vAlign w:val="center"/>
          </w:tcPr>
          <w:p w14:paraId="1CEF5FCB">
            <w:pPr>
              <w:widowControl/>
              <w:jc w:val="center"/>
              <w:rPr>
                <w:rFonts w:hint="eastAsia" w:ascii="宋体" w:hAnsi="宋体"/>
                <w:b/>
                <w:bCs/>
                <w:kern w:val="0"/>
                <w:sz w:val="20"/>
                <w:szCs w:val="21"/>
              </w:rPr>
            </w:pPr>
            <w:r>
              <w:rPr>
                <w:rFonts w:hint="eastAsia" w:ascii="宋体" w:hAnsi="宋体"/>
                <w:b/>
                <w:bCs/>
                <w:kern w:val="0"/>
                <w:sz w:val="20"/>
                <w:szCs w:val="21"/>
              </w:rPr>
              <w:t>序号</w:t>
            </w:r>
          </w:p>
        </w:tc>
        <w:tc>
          <w:tcPr>
            <w:tcW w:w="1842" w:type="dxa"/>
            <w:vAlign w:val="center"/>
          </w:tcPr>
          <w:p w14:paraId="263ABD59">
            <w:pPr>
              <w:widowControl/>
              <w:jc w:val="center"/>
              <w:rPr>
                <w:rFonts w:hint="eastAsia" w:ascii="宋体" w:hAnsi="宋体"/>
                <w:b/>
                <w:bCs/>
                <w:kern w:val="0"/>
                <w:sz w:val="20"/>
                <w:szCs w:val="21"/>
              </w:rPr>
            </w:pPr>
            <w:r>
              <w:rPr>
                <w:rFonts w:hint="eastAsia" w:ascii="宋体" w:hAnsi="宋体"/>
                <w:b/>
                <w:bCs/>
                <w:kern w:val="0"/>
                <w:sz w:val="20"/>
                <w:szCs w:val="21"/>
              </w:rPr>
              <w:t>评审因素</w:t>
            </w:r>
          </w:p>
        </w:tc>
        <w:tc>
          <w:tcPr>
            <w:tcW w:w="993" w:type="dxa"/>
            <w:vAlign w:val="center"/>
          </w:tcPr>
          <w:p w14:paraId="367EC790">
            <w:pPr>
              <w:widowControl/>
              <w:jc w:val="center"/>
              <w:rPr>
                <w:rFonts w:hint="eastAsia" w:ascii="宋体" w:hAnsi="宋体"/>
                <w:b/>
                <w:bCs/>
                <w:kern w:val="0"/>
                <w:sz w:val="20"/>
                <w:szCs w:val="21"/>
              </w:rPr>
            </w:pPr>
            <w:r>
              <w:rPr>
                <w:rFonts w:hint="eastAsia" w:ascii="宋体" w:hAnsi="宋体"/>
                <w:b/>
                <w:bCs/>
                <w:kern w:val="0"/>
                <w:sz w:val="20"/>
                <w:szCs w:val="21"/>
              </w:rPr>
              <w:t>分值</w:t>
            </w:r>
          </w:p>
        </w:tc>
        <w:tc>
          <w:tcPr>
            <w:tcW w:w="4951" w:type="dxa"/>
            <w:vAlign w:val="center"/>
          </w:tcPr>
          <w:p w14:paraId="38BABD0C">
            <w:pPr>
              <w:widowControl/>
              <w:jc w:val="center"/>
              <w:rPr>
                <w:rFonts w:hint="eastAsia" w:ascii="宋体" w:hAnsi="宋体" w:cs="宋体"/>
                <w:b/>
                <w:bCs/>
                <w:snapToGrid w:val="0"/>
                <w:spacing w:val="-6"/>
                <w:kern w:val="0"/>
                <w:position w:val="17"/>
                <w:sz w:val="20"/>
                <w:szCs w:val="21"/>
              </w:rPr>
            </w:pPr>
            <w:r>
              <w:rPr>
                <w:rFonts w:ascii="宋体" w:hAnsi="宋体"/>
                <w:b/>
                <w:bCs/>
                <w:kern w:val="0"/>
                <w:sz w:val="20"/>
                <w:szCs w:val="21"/>
              </w:rPr>
              <w:t>评分标准说明</w:t>
            </w:r>
          </w:p>
        </w:tc>
      </w:tr>
      <w:tr w14:paraId="35452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4" w:hRule="atLeast"/>
        </w:trPr>
        <w:tc>
          <w:tcPr>
            <w:tcW w:w="988" w:type="dxa"/>
            <w:vAlign w:val="center"/>
          </w:tcPr>
          <w:p w14:paraId="088839D0">
            <w:pPr>
              <w:pStyle w:val="65"/>
              <w:spacing w:line="239" w:lineRule="exact"/>
              <w:ind w:left="440" w:firstLine="0" w:firstLineChars="0"/>
              <w:rPr>
                <w:rFonts w:hint="eastAsia" w:ascii="宋体" w:hAnsi="宋体"/>
                <w:kern w:val="0"/>
                <w:sz w:val="20"/>
              </w:rPr>
            </w:pPr>
            <w:r>
              <w:rPr>
                <w:rFonts w:hint="eastAsia" w:ascii="宋体" w:hAnsi="宋体"/>
                <w:kern w:val="0"/>
                <w:sz w:val="20"/>
              </w:rPr>
              <w:t>1</w:t>
            </w:r>
          </w:p>
        </w:tc>
        <w:tc>
          <w:tcPr>
            <w:tcW w:w="1842" w:type="dxa"/>
            <w:vAlign w:val="center"/>
          </w:tcPr>
          <w:p w14:paraId="6D1E9BFA">
            <w:pPr>
              <w:spacing w:line="239" w:lineRule="exact"/>
              <w:rPr>
                <w:rFonts w:hint="eastAsia" w:ascii="宋体" w:hAnsi="宋体"/>
                <w:kern w:val="0"/>
                <w:sz w:val="20"/>
              </w:rPr>
            </w:pPr>
            <w:r>
              <w:rPr>
                <w:rFonts w:hint="eastAsia" w:ascii="宋体" w:hAnsi="宋体"/>
                <w:kern w:val="0"/>
                <w:sz w:val="20"/>
              </w:rPr>
              <w:t>价格得分</w:t>
            </w:r>
          </w:p>
        </w:tc>
        <w:tc>
          <w:tcPr>
            <w:tcW w:w="993" w:type="dxa"/>
            <w:vAlign w:val="center"/>
          </w:tcPr>
          <w:p w14:paraId="4A52C799">
            <w:pPr>
              <w:widowControl/>
              <w:jc w:val="center"/>
              <w:rPr>
                <w:rFonts w:hint="eastAsia" w:ascii="宋体" w:hAnsi="宋体"/>
                <w:kern w:val="0"/>
                <w:sz w:val="20"/>
                <w:szCs w:val="21"/>
              </w:rPr>
            </w:pPr>
            <w:r>
              <w:rPr>
                <w:rFonts w:hint="eastAsia" w:ascii="宋体" w:hAnsi="宋体"/>
                <w:kern w:val="0"/>
                <w:sz w:val="20"/>
                <w:szCs w:val="21"/>
              </w:rPr>
              <w:t>1</w:t>
            </w:r>
            <w:r>
              <w:rPr>
                <w:rFonts w:ascii="宋体" w:hAnsi="宋体"/>
                <w:kern w:val="0"/>
                <w:sz w:val="20"/>
                <w:szCs w:val="21"/>
              </w:rPr>
              <w:t>0</w:t>
            </w:r>
          </w:p>
        </w:tc>
        <w:tc>
          <w:tcPr>
            <w:tcW w:w="4951" w:type="dxa"/>
            <w:vAlign w:val="center"/>
          </w:tcPr>
          <w:p w14:paraId="64C00322">
            <w:pPr>
              <w:widowControl/>
              <w:rPr>
                <w:rFonts w:hint="eastAsia" w:ascii="宋体" w:hAnsi="宋体" w:cs="宋体"/>
                <w:snapToGrid w:val="0"/>
                <w:spacing w:val="-6"/>
                <w:kern w:val="0"/>
                <w:position w:val="17"/>
                <w:sz w:val="24"/>
              </w:rPr>
            </w:pPr>
            <w:r>
              <w:rPr>
                <w:rFonts w:ascii="宋体" w:hAnsi="宋体"/>
                <w:kern w:val="0"/>
                <w:sz w:val="20"/>
              </w:rPr>
              <w:t>满足竞争性磋商文件要求且磋商价格最低的磋商报价为评审基准</w:t>
            </w:r>
            <w:r>
              <w:rPr>
                <w:rFonts w:hint="eastAsia" w:ascii="宋体" w:hAnsi="宋体"/>
                <w:kern w:val="0"/>
                <w:sz w:val="20"/>
              </w:rPr>
              <w:t>价，其价格分为满分。其他供应商的价格分统一按照下列公式计算：</w:t>
            </w:r>
            <w:r>
              <w:rPr>
                <w:rFonts w:ascii="宋体" w:hAnsi="宋体"/>
                <w:kern w:val="0"/>
                <w:sz w:val="20"/>
              </w:rPr>
              <w:t>磋商报价得分=(评审基准价/磋商报价)×</w:t>
            </w:r>
            <w:r>
              <w:rPr>
                <w:rFonts w:hint="eastAsia" w:ascii="宋体" w:hAnsi="宋体"/>
                <w:kern w:val="0"/>
                <w:sz w:val="20"/>
              </w:rPr>
              <w:t>1</w:t>
            </w:r>
            <w:r>
              <w:rPr>
                <w:rFonts w:ascii="宋体" w:hAnsi="宋体"/>
                <w:kern w:val="0"/>
                <w:sz w:val="20"/>
              </w:rPr>
              <w:t>0×100%</w:t>
            </w:r>
          </w:p>
        </w:tc>
      </w:tr>
      <w:tr w14:paraId="1F225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trPr>
        <w:tc>
          <w:tcPr>
            <w:tcW w:w="988" w:type="dxa"/>
            <w:vAlign w:val="center"/>
          </w:tcPr>
          <w:p w14:paraId="38B45DFA">
            <w:pPr>
              <w:pStyle w:val="65"/>
              <w:spacing w:line="239" w:lineRule="exact"/>
              <w:ind w:left="440" w:firstLine="0" w:firstLineChars="0"/>
              <w:rPr>
                <w:rFonts w:hint="eastAsia" w:ascii="宋体" w:hAnsi="宋体"/>
                <w:kern w:val="0"/>
                <w:sz w:val="20"/>
              </w:rPr>
            </w:pPr>
            <w:r>
              <w:rPr>
                <w:rFonts w:hint="eastAsia" w:ascii="宋体" w:hAnsi="宋体"/>
                <w:kern w:val="0"/>
                <w:sz w:val="20"/>
              </w:rPr>
              <w:t>2</w:t>
            </w:r>
          </w:p>
        </w:tc>
        <w:tc>
          <w:tcPr>
            <w:tcW w:w="1842" w:type="dxa"/>
            <w:vAlign w:val="center"/>
          </w:tcPr>
          <w:p w14:paraId="7A860E58">
            <w:pPr>
              <w:spacing w:line="239" w:lineRule="exact"/>
              <w:rPr>
                <w:rFonts w:hint="eastAsia" w:ascii="宋体" w:hAnsi="宋体"/>
                <w:kern w:val="0"/>
                <w:sz w:val="20"/>
              </w:rPr>
            </w:pPr>
            <w:r>
              <w:rPr>
                <w:rFonts w:hint="eastAsia" w:ascii="宋体" w:hAnsi="宋体"/>
                <w:kern w:val="0"/>
                <w:sz w:val="20"/>
              </w:rPr>
              <w:t>近三年项目业绩</w:t>
            </w:r>
          </w:p>
        </w:tc>
        <w:tc>
          <w:tcPr>
            <w:tcW w:w="993" w:type="dxa"/>
            <w:vAlign w:val="center"/>
          </w:tcPr>
          <w:p w14:paraId="03E12D99">
            <w:pPr>
              <w:widowControl/>
              <w:jc w:val="center"/>
              <w:rPr>
                <w:rFonts w:hint="eastAsia" w:ascii="宋体" w:hAnsi="宋体"/>
                <w:kern w:val="0"/>
                <w:sz w:val="20"/>
                <w:szCs w:val="21"/>
              </w:rPr>
            </w:pPr>
            <w:r>
              <w:rPr>
                <w:rFonts w:hint="eastAsia" w:ascii="宋体" w:hAnsi="宋体"/>
                <w:kern w:val="0"/>
                <w:sz w:val="20"/>
                <w:szCs w:val="21"/>
              </w:rPr>
              <w:t>0-15</w:t>
            </w:r>
          </w:p>
        </w:tc>
        <w:tc>
          <w:tcPr>
            <w:tcW w:w="4951" w:type="dxa"/>
            <w:vAlign w:val="center"/>
          </w:tcPr>
          <w:p w14:paraId="709F0226">
            <w:pPr>
              <w:widowControl/>
              <w:rPr>
                <w:rFonts w:hint="eastAsia" w:ascii="宋体" w:hAnsi="宋体"/>
                <w:kern w:val="0"/>
                <w:sz w:val="20"/>
              </w:rPr>
            </w:pPr>
            <w:r>
              <w:rPr>
                <w:rFonts w:hint="eastAsia" w:ascii="宋体" w:hAnsi="宋体"/>
                <w:kern w:val="0"/>
                <w:sz w:val="20"/>
              </w:rPr>
              <w:t>供应商近三年(2022年</w:t>
            </w:r>
            <w:r>
              <w:rPr>
                <w:rFonts w:hint="eastAsia" w:ascii="宋体" w:hAnsi="宋体"/>
                <w:kern w:val="0"/>
                <w:sz w:val="20"/>
                <w:lang w:val="en-US" w:eastAsia="zh-CN"/>
              </w:rPr>
              <w:t>10</w:t>
            </w:r>
            <w:r>
              <w:rPr>
                <w:rFonts w:hint="eastAsia" w:ascii="宋体" w:hAnsi="宋体"/>
                <w:kern w:val="0"/>
                <w:sz w:val="20"/>
              </w:rPr>
              <w:t>月</w:t>
            </w:r>
            <w:r>
              <w:rPr>
                <w:rFonts w:hint="eastAsia" w:ascii="宋体" w:hAnsi="宋体"/>
                <w:kern w:val="0"/>
                <w:sz w:val="20"/>
                <w:lang w:val="en-US" w:eastAsia="zh-CN"/>
              </w:rPr>
              <w:t>22</w:t>
            </w:r>
            <w:r>
              <w:rPr>
                <w:rFonts w:hint="eastAsia" w:ascii="宋体" w:hAnsi="宋体"/>
                <w:kern w:val="0"/>
                <w:sz w:val="20"/>
              </w:rPr>
              <w:t>日至2025年</w:t>
            </w:r>
            <w:r>
              <w:rPr>
                <w:rFonts w:hint="eastAsia" w:ascii="宋体" w:hAnsi="宋体"/>
                <w:kern w:val="0"/>
                <w:sz w:val="20"/>
                <w:lang w:val="en-US" w:eastAsia="zh-CN"/>
              </w:rPr>
              <w:t>10</w:t>
            </w:r>
            <w:r>
              <w:rPr>
                <w:rFonts w:hint="eastAsia" w:ascii="宋体" w:hAnsi="宋体"/>
                <w:kern w:val="0"/>
                <w:sz w:val="20"/>
              </w:rPr>
              <w:t>月</w:t>
            </w:r>
            <w:r>
              <w:rPr>
                <w:rFonts w:hint="eastAsia" w:ascii="宋体" w:hAnsi="宋体"/>
                <w:kern w:val="0"/>
                <w:sz w:val="20"/>
                <w:lang w:val="en-US" w:eastAsia="zh-CN"/>
              </w:rPr>
              <w:t>22</w:t>
            </w:r>
            <w:r>
              <w:rPr>
                <w:rFonts w:hint="eastAsia" w:ascii="宋体" w:hAnsi="宋体"/>
                <w:kern w:val="0"/>
                <w:sz w:val="20"/>
              </w:rPr>
              <w:t>日)的类似施工业绩，每提供一个有效业绩得5分，最高（以合同完成时间为准）可得15分(须附有合同首页，内容页，签字盖章页复印件并加盖公章)</w:t>
            </w:r>
          </w:p>
        </w:tc>
      </w:tr>
      <w:tr w14:paraId="3421A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5" w:hRule="atLeast"/>
        </w:trPr>
        <w:tc>
          <w:tcPr>
            <w:tcW w:w="988" w:type="dxa"/>
            <w:vAlign w:val="center"/>
          </w:tcPr>
          <w:p w14:paraId="0329A1FF">
            <w:pPr>
              <w:pStyle w:val="65"/>
              <w:spacing w:line="239" w:lineRule="exact"/>
              <w:ind w:left="440" w:firstLine="0" w:firstLineChars="0"/>
              <w:rPr>
                <w:rFonts w:hint="eastAsia" w:ascii="宋体" w:hAnsi="宋体"/>
                <w:kern w:val="0"/>
                <w:sz w:val="20"/>
              </w:rPr>
            </w:pPr>
            <w:r>
              <w:rPr>
                <w:rFonts w:hint="eastAsia" w:ascii="宋体" w:hAnsi="宋体"/>
                <w:kern w:val="0"/>
                <w:sz w:val="20"/>
              </w:rPr>
              <w:t>3</w:t>
            </w:r>
          </w:p>
        </w:tc>
        <w:tc>
          <w:tcPr>
            <w:tcW w:w="1842" w:type="dxa"/>
            <w:vAlign w:val="center"/>
          </w:tcPr>
          <w:p w14:paraId="6F386B88">
            <w:pPr>
              <w:spacing w:line="239" w:lineRule="exact"/>
              <w:rPr>
                <w:rFonts w:hint="eastAsia" w:ascii="宋体" w:hAnsi="宋体"/>
                <w:kern w:val="0"/>
                <w:sz w:val="20"/>
              </w:rPr>
            </w:pPr>
            <w:r>
              <w:rPr>
                <w:rFonts w:hint="eastAsia" w:ascii="宋体" w:hAnsi="宋体"/>
                <w:kern w:val="0"/>
                <w:sz w:val="20"/>
              </w:rPr>
              <w:t>本项目拟派的项目经理、主要管理人员情况、管理组织架构等</w:t>
            </w:r>
          </w:p>
        </w:tc>
        <w:tc>
          <w:tcPr>
            <w:tcW w:w="993" w:type="dxa"/>
            <w:vAlign w:val="center"/>
          </w:tcPr>
          <w:p w14:paraId="62822D94">
            <w:pPr>
              <w:widowControl/>
              <w:jc w:val="center"/>
              <w:rPr>
                <w:rFonts w:hint="eastAsia" w:ascii="宋体" w:hAnsi="宋体" w:cs="宋体"/>
                <w:snapToGrid w:val="0"/>
                <w:spacing w:val="-6"/>
                <w:kern w:val="0"/>
                <w:position w:val="17"/>
                <w:sz w:val="20"/>
                <w:szCs w:val="21"/>
              </w:rPr>
            </w:pPr>
            <w:r>
              <w:rPr>
                <w:rFonts w:hint="eastAsia" w:ascii="宋体" w:hAnsi="宋体" w:cs="宋体"/>
                <w:snapToGrid w:val="0"/>
                <w:spacing w:val="-6"/>
                <w:kern w:val="0"/>
                <w:position w:val="17"/>
                <w:sz w:val="20"/>
                <w:szCs w:val="21"/>
              </w:rPr>
              <w:t>0-15</w:t>
            </w:r>
          </w:p>
        </w:tc>
        <w:tc>
          <w:tcPr>
            <w:tcW w:w="4951" w:type="dxa"/>
            <w:vAlign w:val="center"/>
          </w:tcPr>
          <w:p w14:paraId="1062D8E3">
            <w:pPr>
              <w:spacing w:line="239" w:lineRule="exact"/>
              <w:rPr>
                <w:rFonts w:hint="eastAsia" w:ascii="宋体" w:hAnsi="宋体"/>
                <w:kern w:val="0"/>
                <w:sz w:val="20"/>
              </w:rPr>
            </w:pPr>
            <w:r>
              <w:rPr>
                <w:rFonts w:hint="eastAsia" w:ascii="宋体" w:hAnsi="宋体"/>
                <w:kern w:val="0"/>
                <w:sz w:val="20"/>
              </w:rPr>
              <w:t>项目组织机构完善，项目管理团队组建合理，配备至少1名技术负责人，各岗位齐全（具备施工员、质量员、安全员、标准员、材料员、机械员、劳务员、资料员其中至少6类及以上人员），项目团队制度健全及保障措施到位得15分；</w:t>
            </w:r>
          </w:p>
          <w:p w14:paraId="49670FFA">
            <w:pPr>
              <w:spacing w:line="239" w:lineRule="exact"/>
              <w:rPr>
                <w:rFonts w:hint="eastAsia" w:ascii="宋体" w:hAnsi="宋体"/>
                <w:kern w:val="0"/>
                <w:sz w:val="20"/>
              </w:rPr>
            </w:pPr>
            <w:r>
              <w:rPr>
                <w:rFonts w:hint="eastAsia" w:ascii="宋体" w:hAnsi="宋体"/>
                <w:kern w:val="0"/>
                <w:sz w:val="20"/>
              </w:rPr>
              <w:t>项目组织机构较完善，项目管理团队组建较合理，配备至少1名技术负责人，各岗位较齐全（具备施工员、质量员、安全员、标准员、材料员、机械员、劳务员、资料员其中4类（含）至5类（含）人员），项目团队制度较健全及保障措施较到位得10分；</w:t>
            </w:r>
          </w:p>
          <w:p w14:paraId="6963CE96">
            <w:pPr>
              <w:spacing w:line="239" w:lineRule="exact"/>
              <w:rPr>
                <w:rFonts w:hint="eastAsia" w:ascii="宋体" w:hAnsi="宋体"/>
                <w:kern w:val="0"/>
                <w:sz w:val="20"/>
              </w:rPr>
            </w:pPr>
            <w:r>
              <w:rPr>
                <w:rFonts w:hint="eastAsia" w:ascii="宋体" w:hAnsi="宋体"/>
                <w:kern w:val="0"/>
                <w:sz w:val="20"/>
              </w:rPr>
              <w:t>项目组织机构不完善，项目管理团队组建不合理，无配备技术负责人，各岗位不够完善（具备施工员、质量员、安全员、标准员、材料员、机械员、劳务员、资料员不足4类（不含）），项目团队制度不健全及保障措施不到位得5分；</w:t>
            </w:r>
          </w:p>
          <w:p w14:paraId="5AD83979">
            <w:pPr>
              <w:spacing w:line="239" w:lineRule="exact"/>
              <w:rPr>
                <w:rFonts w:hint="eastAsia" w:ascii="宋体" w:hAnsi="宋体" w:cs="宋体"/>
                <w:snapToGrid w:val="0"/>
                <w:spacing w:val="-6"/>
                <w:kern w:val="0"/>
                <w:position w:val="17"/>
                <w:sz w:val="20"/>
                <w:szCs w:val="20"/>
              </w:rPr>
            </w:pPr>
            <w:r>
              <w:rPr>
                <w:rFonts w:hint="eastAsia" w:ascii="宋体" w:hAnsi="宋体"/>
                <w:kern w:val="0"/>
                <w:sz w:val="20"/>
              </w:rPr>
              <w:t>未提供项目组织机构或无法满足项目需求得0分。</w:t>
            </w:r>
          </w:p>
        </w:tc>
      </w:tr>
      <w:tr w14:paraId="791D4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trPr>
        <w:tc>
          <w:tcPr>
            <w:tcW w:w="988" w:type="dxa"/>
            <w:vAlign w:val="center"/>
          </w:tcPr>
          <w:p w14:paraId="684FF29F">
            <w:pPr>
              <w:pStyle w:val="65"/>
              <w:spacing w:line="239" w:lineRule="exact"/>
              <w:ind w:left="440" w:firstLine="0" w:firstLineChars="0"/>
              <w:rPr>
                <w:rFonts w:hint="eastAsia" w:ascii="宋体" w:hAnsi="宋体"/>
                <w:kern w:val="0"/>
                <w:sz w:val="20"/>
              </w:rPr>
            </w:pPr>
            <w:r>
              <w:rPr>
                <w:rFonts w:hint="eastAsia" w:ascii="宋体" w:hAnsi="宋体"/>
                <w:kern w:val="0"/>
                <w:sz w:val="20"/>
              </w:rPr>
              <w:t>4</w:t>
            </w:r>
          </w:p>
        </w:tc>
        <w:tc>
          <w:tcPr>
            <w:tcW w:w="1842" w:type="dxa"/>
            <w:vAlign w:val="center"/>
          </w:tcPr>
          <w:p w14:paraId="5E1BBDD0">
            <w:pPr>
              <w:spacing w:line="239" w:lineRule="exact"/>
              <w:rPr>
                <w:rFonts w:hint="eastAsia" w:ascii="宋体" w:hAnsi="宋体"/>
                <w:kern w:val="0"/>
                <w:sz w:val="20"/>
              </w:rPr>
            </w:pPr>
            <w:r>
              <w:rPr>
                <w:rFonts w:ascii="宋体" w:hAnsi="宋体"/>
                <w:kern w:val="0"/>
                <w:sz w:val="20"/>
              </w:rPr>
              <w:t>拟投入本项目的机械设备和相关设备等</w:t>
            </w:r>
          </w:p>
        </w:tc>
        <w:tc>
          <w:tcPr>
            <w:tcW w:w="993" w:type="dxa"/>
            <w:vAlign w:val="center"/>
          </w:tcPr>
          <w:p w14:paraId="694DBEA9">
            <w:pPr>
              <w:widowControl/>
              <w:jc w:val="center"/>
              <w:rPr>
                <w:rFonts w:hint="eastAsia" w:ascii="宋体" w:hAnsi="宋体" w:cs="宋体"/>
                <w:snapToGrid w:val="0"/>
                <w:spacing w:val="-6"/>
                <w:kern w:val="0"/>
                <w:position w:val="17"/>
                <w:sz w:val="20"/>
                <w:szCs w:val="21"/>
              </w:rPr>
            </w:pPr>
            <w:r>
              <w:rPr>
                <w:rFonts w:hint="eastAsia" w:ascii="宋体" w:hAnsi="宋体" w:cs="宋体"/>
                <w:snapToGrid w:val="0"/>
                <w:spacing w:val="-6"/>
                <w:kern w:val="0"/>
                <w:position w:val="17"/>
                <w:sz w:val="20"/>
                <w:szCs w:val="21"/>
              </w:rPr>
              <w:t>0-5</w:t>
            </w:r>
          </w:p>
        </w:tc>
        <w:tc>
          <w:tcPr>
            <w:tcW w:w="4951" w:type="dxa"/>
            <w:vAlign w:val="center"/>
          </w:tcPr>
          <w:p w14:paraId="74F44BDD">
            <w:pPr>
              <w:spacing w:line="239" w:lineRule="exact"/>
              <w:rPr>
                <w:rFonts w:hint="eastAsia" w:ascii="宋体" w:hAnsi="宋体"/>
                <w:kern w:val="0"/>
                <w:sz w:val="20"/>
              </w:rPr>
            </w:pPr>
            <w:r>
              <w:rPr>
                <w:rFonts w:ascii="宋体" w:hAnsi="宋体"/>
                <w:kern w:val="0"/>
                <w:sz w:val="20"/>
              </w:rPr>
              <w:t>设备及机械齐全且完好5分；</w:t>
            </w:r>
          </w:p>
          <w:p w14:paraId="627A5971">
            <w:pPr>
              <w:spacing w:line="239" w:lineRule="exact"/>
              <w:rPr>
                <w:rFonts w:hint="eastAsia" w:ascii="宋体" w:hAnsi="宋体"/>
                <w:kern w:val="0"/>
                <w:sz w:val="20"/>
              </w:rPr>
            </w:pPr>
            <w:r>
              <w:rPr>
                <w:rFonts w:ascii="宋体" w:hAnsi="宋体"/>
                <w:kern w:val="0"/>
                <w:sz w:val="20"/>
              </w:rPr>
              <w:t>设备及机械较齐全情况较完好3分；</w:t>
            </w:r>
          </w:p>
          <w:p w14:paraId="7347D677">
            <w:pPr>
              <w:spacing w:line="239" w:lineRule="exact"/>
              <w:rPr>
                <w:rFonts w:hint="eastAsia" w:ascii="宋体" w:hAnsi="宋体"/>
                <w:kern w:val="0"/>
                <w:sz w:val="20"/>
              </w:rPr>
            </w:pPr>
            <w:r>
              <w:rPr>
                <w:rFonts w:ascii="宋体" w:hAnsi="宋体"/>
                <w:kern w:val="0"/>
                <w:sz w:val="20"/>
              </w:rPr>
              <w:t>设备及机械不齐全完好率差1分；</w:t>
            </w:r>
          </w:p>
          <w:p w14:paraId="66983B06">
            <w:pPr>
              <w:spacing w:line="239" w:lineRule="exact"/>
              <w:rPr>
                <w:rFonts w:hint="eastAsia" w:ascii="宋体" w:hAnsi="宋体"/>
                <w:kern w:val="0"/>
                <w:sz w:val="20"/>
              </w:rPr>
            </w:pPr>
            <w:r>
              <w:rPr>
                <w:rFonts w:ascii="宋体" w:hAnsi="宋体"/>
                <w:kern w:val="0"/>
                <w:sz w:val="20"/>
              </w:rPr>
              <w:t>未提供机械设备0分。</w:t>
            </w:r>
          </w:p>
        </w:tc>
      </w:tr>
      <w:tr w14:paraId="0DC48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9" w:hRule="atLeast"/>
        </w:trPr>
        <w:tc>
          <w:tcPr>
            <w:tcW w:w="988" w:type="dxa"/>
            <w:vAlign w:val="center"/>
          </w:tcPr>
          <w:p w14:paraId="0AE47B28">
            <w:pPr>
              <w:pStyle w:val="65"/>
              <w:spacing w:line="239" w:lineRule="exact"/>
              <w:ind w:left="440" w:firstLine="0" w:firstLineChars="0"/>
              <w:rPr>
                <w:rFonts w:hint="eastAsia" w:ascii="宋体" w:hAnsi="宋体"/>
                <w:kern w:val="0"/>
                <w:sz w:val="20"/>
              </w:rPr>
            </w:pPr>
            <w:r>
              <w:rPr>
                <w:rFonts w:hint="eastAsia" w:ascii="宋体" w:hAnsi="宋体"/>
                <w:kern w:val="0"/>
                <w:sz w:val="20"/>
              </w:rPr>
              <w:t>5</w:t>
            </w:r>
          </w:p>
        </w:tc>
        <w:tc>
          <w:tcPr>
            <w:tcW w:w="1842" w:type="dxa"/>
            <w:vAlign w:val="center"/>
          </w:tcPr>
          <w:p w14:paraId="7A556546">
            <w:pPr>
              <w:spacing w:line="239" w:lineRule="exact"/>
              <w:rPr>
                <w:rFonts w:hint="eastAsia" w:ascii="宋体" w:hAnsi="宋体"/>
                <w:kern w:val="0"/>
                <w:sz w:val="20"/>
              </w:rPr>
            </w:pPr>
            <w:r>
              <w:rPr>
                <w:rFonts w:ascii="宋体" w:hAnsi="宋体"/>
                <w:kern w:val="0"/>
                <w:sz w:val="20"/>
              </w:rPr>
              <w:t>施工方案</w:t>
            </w:r>
          </w:p>
        </w:tc>
        <w:tc>
          <w:tcPr>
            <w:tcW w:w="993" w:type="dxa"/>
            <w:vAlign w:val="center"/>
          </w:tcPr>
          <w:p w14:paraId="391B3407">
            <w:pPr>
              <w:widowControl/>
              <w:jc w:val="center"/>
              <w:rPr>
                <w:rFonts w:hint="eastAsia" w:ascii="宋体" w:hAnsi="宋体" w:cs="宋体"/>
                <w:snapToGrid w:val="0"/>
                <w:spacing w:val="-6"/>
                <w:kern w:val="0"/>
                <w:position w:val="17"/>
                <w:sz w:val="20"/>
                <w:szCs w:val="21"/>
              </w:rPr>
            </w:pPr>
            <w:r>
              <w:rPr>
                <w:rFonts w:hint="eastAsia" w:ascii="宋体" w:hAnsi="宋体" w:cs="宋体"/>
                <w:snapToGrid w:val="0"/>
                <w:spacing w:val="-6"/>
                <w:kern w:val="0"/>
                <w:position w:val="17"/>
                <w:sz w:val="20"/>
                <w:szCs w:val="21"/>
              </w:rPr>
              <w:t>0-10</w:t>
            </w:r>
          </w:p>
        </w:tc>
        <w:tc>
          <w:tcPr>
            <w:tcW w:w="4951" w:type="dxa"/>
            <w:vAlign w:val="center"/>
          </w:tcPr>
          <w:p w14:paraId="6A5168C3">
            <w:pPr>
              <w:spacing w:line="239" w:lineRule="exact"/>
              <w:rPr>
                <w:rFonts w:hint="eastAsia" w:ascii="宋体" w:hAnsi="宋体"/>
                <w:kern w:val="0"/>
                <w:sz w:val="20"/>
              </w:rPr>
            </w:pPr>
            <w:r>
              <w:rPr>
                <w:rFonts w:hint="eastAsia" w:ascii="宋体" w:hAnsi="宋体"/>
                <w:kern w:val="0"/>
                <w:sz w:val="20"/>
              </w:rPr>
              <w:t>针对性强，施工重点、难点把握准确，方案优于本项目需求10分；</w:t>
            </w:r>
          </w:p>
          <w:p w14:paraId="3869C53C">
            <w:pPr>
              <w:spacing w:line="239" w:lineRule="exact"/>
              <w:rPr>
                <w:rFonts w:hint="eastAsia" w:ascii="宋体" w:hAnsi="宋体"/>
                <w:kern w:val="0"/>
                <w:sz w:val="20"/>
              </w:rPr>
            </w:pPr>
            <w:r>
              <w:rPr>
                <w:rFonts w:hint="eastAsia" w:ascii="宋体" w:hAnsi="宋体"/>
                <w:kern w:val="0"/>
                <w:sz w:val="20"/>
              </w:rPr>
              <w:t>针对性较强，施工重点、难点把握基本准确，方案可以满足本项目施工需求7分；</w:t>
            </w:r>
          </w:p>
          <w:p w14:paraId="6BBA82C9">
            <w:pPr>
              <w:spacing w:line="239" w:lineRule="exact"/>
              <w:rPr>
                <w:rFonts w:hint="eastAsia" w:ascii="宋体" w:hAnsi="宋体"/>
                <w:kern w:val="0"/>
                <w:sz w:val="20"/>
              </w:rPr>
            </w:pPr>
            <w:r>
              <w:rPr>
                <w:rFonts w:ascii="宋体" w:hAnsi="宋体"/>
                <w:kern w:val="0"/>
                <w:sz w:val="20"/>
              </w:rPr>
              <w:t>方案可行，对施工重点、难点把握欠准确</w:t>
            </w:r>
            <w:r>
              <w:rPr>
                <w:rFonts w:hint="eastAsia" w:ascii="宋体" w:hAnsi="宋体"/>
                <w:kern w:val="0"/>
                <w:sz w:val="20"/>
              </w:rPr>
              <w:t>4分；</w:t>
            </w:r>
          </w:p>
          <w:p w14:paraId="6944C19D">
            <w:pPr>
              <w:spacing w:line="239" w:lineRule="exact"/>
              <w:rPr>
                <w:rFonts w:hint="eastAsia" w:ascii="宋体" w:hAnsi="宋体"/>
                <w:kern w:val="0"/>
                <w:sz w:val="20"/>
              </w:rPr>
            </w:pPr>
            <w:r>
              <w:rPr>
                <w:rFonts w:ascii="宋体" w:hAnsi="宋体"/>
                <w:kern w:val="0"/>
                <w:sz w:val="20"/>
              </w:rPr>
              <w:t>未提供方案或方案无法满足项目需求</w:t>
            </w:r>
            <w:r>
              <w:rPr>
                <w:rFonts w:hint="eastAsia" w:ascii="宋体" w:hAnsi="宋体"/>
                <w:kern w:val="0"/>
                <w:sz w:val="20"/>
              </w:rPr>
              <w:t>0分。</w:t>
            </w:r>
          </w:p>
        </w:tc>
      </w:tr>
      <w:tr w14:paraId="6FF4A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988" w:type="dxa"/>
            <w:vAlign w:val="center"/>
          </w:tcPr>
          <w:p w14:paraId="470C6150">
            <w:pPr>
              <w:pStyle w:val="65"/>
              <w:spacing w:line="239" w:lineRule="exact"/>
              <w:ind w:left="440" w:firstLine="0" w:firstLineChars="0"/>
              <w:rPr>
                <w:rFonts w:hint="eastAsia" w:ascii="宋体" w:hAnsi="宋体"/>
                <w:kern w:val="0"/>
                <w:sz w:val="20"/>
              </w:rPr>
            </w:pPr>
            <w:r>
              <w:rPr>
                <w:rFonts w:hint="eastAsia" w:ascii="宋体" w:hAnsi="宋体"/>
                <w:kern w:val="0"/>
                <w:sz w:val="20"/>
              </w:rPr>
              <w:t>6</w:t>
            </w:r>
          </w:p>
        </w:tc>
        <w:tc>
          <w:tcPr>
            <w:tcW w:w="1842" w:type="dxa"/>
            <w:vAlign w:val="center"/>
          </w:tcPr>
          <w:p w14:paraId="40FE16AD">
            <w:pPr>
              <w:spacing w:line="239" w:lineRule="exact"/>
              <w:rPr>
                <w:rFonts w:hint="eastAsia" w:ascii="宋体" w:hAnsi="宋体"/>
                <w:kern w:val="0"/>
                <w:sz w:val="20"/>
              </w:rPr>
            </w:pPr>
            <w:r>
              <w:rPr>
                <w:rFonts w:ascii="宋体" w:hAnsi="宋体"/>
                <w:kern w:val="0"/>
                <w:sz w:val="20"/>
              </w:rPr>
              <w:t>质量保证措施</w:t>
            </w:r>
          </w:p>
        </w:tc>
        <w:tc>
          <w:tcPr>
            <w:tcW w:w="993" w:type="dxa"/>
            <w:vAlign w:val="center"/>
          </w:tcPr>
          <w:p w14:paraId="6EB8B1CD">
            <w:pPr>
              <w:widowControl/>
              <w:jc w:val="center"/>
              <w:rPr>
                <w:rFonts w:hint="eastAsia" w:ascii="宋体" w:hAnsi="宋体" w:cs="宋体"/>
                <w:snapToGrid w:val="0"/>
                <w:spacing w:val="-6"/>
                <w:kern w:val="0"/>
                <w:position w:val="17"/>
                <w:sz w:val="20"/>
                <w:szCs w:val="21"/>
              </w:rPr>
            </w:pPr>
            <w:r>
              <w:rPr>
                <w:rFonts w:hint="eastAsia" w:ascii="宋体" w:hAnsi="宋体" w:cs="宋体"/>
                <w:snapToGrid w:val="0"/>
                <w:spacing w:val="-6"/>
                <w:kern w:val="0"/>
                <w:position w:val="17"/>
                <w:sz w:val="20"/>
                <w:szCs w:val="21"/>
              </w:rPr>
              <w:t>0-10</w:t>
            </w:r>
          </w:p>
        </w:tc>
        <w:tc>
          <w:tcPr>
            <w:tcW w:w="4951" w:type="dxa"/>
            <w:vAlign w:val="center"/>
          </w:tcPr>
          <w:p w14:paraId="795AC7FB">
            <w:pPr>
              <w:spacing w:line="239" w:lineRule="exact"/>
              <w:rPr>
                <w:rFonts w:hint="eastAsia" w:ascii="宋体" w:hAnsi="宋体"/>
                <w:kern w:val="0"/>
                <w:sz w:val="20"/>
              </w:rPr>
            </w:pPr>
            <w:r>
              <w:rPr>
                <w:rFonts w:hint="eastAsia" w:ascii="宋体" w:hAnsi="宋体"/>
                <w:kern w:val="0"/>
                <w:sz w:val="20"/>
              </w:rPr>
              <w:t>保证体系完整、措施有力10分；</w:t>
            </w:r>
          </w:p>
          <w:p w14:paraId="5464170F">
            <w:pPr>
              <w:spacing w:line="239" w:lineRule="exact"/>
              <w:rPr>
                <w:rFonts w:hint="eastAsia" w:ascii="宋体" w:hAnsi="宋体"/>
                <w:kern w:val="0"/>
                <w:sz w:val="20"/>
              </w:rPr>
            </w:pPr>
            <w:r>
              <w:rPr>
                <w:rFonts w:hint="eastAsia" w:ascii="宋体" w:hAnsi="宋体"/>
                <w:kern w:val="0"/>
                <w:sz w:val="20"/>
              </w:rPr>
              <w:t>保证体系较完整、措施一般7分；</w:t>
            </w:r>
          </w:p>
          <w:p w14:paraId="6F7C4A24">
            <w:pPr>
              <w:spacing w:line="239" w:lineRule="exact"/>
              <w:rPr>
                <w:rFonts w:hint="eastAsia" w:ascii="宋体" w:hAnsi="宋体"/>
                <w:kern w:val="0"/>
                <w:sz w:val="20"/>
              </w:rPr>
            </w:pPr>
            <w:r>
              <w:rPr>
                <w:rFonts w:hint="eastAsia" w:ascii="宋体" w:hAnsi="宋体"/>
                <w:kern w:val="0"/>
                <w:sz w:val="20"/>
              </w:rPr>
              <w:t>保证体系及措施欠完整4分；</w:t>
            </w:r>
          </w:p>
          <w:p w14:paraId="306A1000">
            <w:pPr>
              <w:spacing w:line="239" w:lineRule="exact"/>
              <w:rPr>
                <w:rFonts w:hint="eastAsia" w:ascii="宋体" w:hAnsi="宋体" w:cs="宋体"/>
                <w:snapToGrid w:val="0"/>
                <w:spacing w:val="-6"/>
                <w:kern w:val="0"/>
                <w:position w:val="17"/>
                <w:sz w:val="24"/>
              </w:rPr>
            </w:pPr>
            <w:r>
              <w:rPr>
                <w:rFonts w:hint="eastAsia" w:ascii="宋体" w:hAnsi="宋体"/>
                <w:kern w:val="0"/>
                <w:sz w:val="20"/>
              </w:rPr>
              <w:t>未提供或无法满足项目需求0分。</w:t>
            </w:r>
          </w:p>
        </w:tc>
      </w:tr>
      <w:tr w14:paraId="28831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988" w:type="dxa"/>
            <w:vAlign w:val="center"/>
          </w:tcPr>
          <w:p w14:paraId="176F56ED">
            <w:pPr>
              <w:pStyle w:val="65"/>
              <w:spacing w:line="239" w:lineRule="exact"/>
              <w:ind w:left="440" w:firstLine="0" w:firstLineChars="0"/>
              <w:rPr>
                <w:rFonts w:hint="eastAsia" w:ascii="宋体" w:hAnsi="宋体"/>
                <w:kern w:val="0"/>
                <w:sz w:val="20"/>
              </w:rPr>
            </w:pPr>
            <w:r>
              <w:rPr>
                <w:rFonts w:hint="eastAsia" w:ascii="宋体" w:hAnsi="宋体"/>
                <w:kern w:val="0"/>
                <w:sz w:val="20"/>
              </w:rPr>
              <w:t>7</w:t>
            </w:r>
          </w:p>
        </w:tc>
        <w:tc>
          <w:tcPr>
            <w:tcW w:w="1842" w:type="dxa"/>
            <w:vAlign w:val="center"/>
          </w:tcPr>
          <w:p w14:paraId="256692A6">
            <w:pPr>
              <w:spacing w:line="239" w:lineRule="exact"/>
              <w:rPr>
                <w:rFonts w:hint="eastAsia" w:ascii="宋体" w:hAnsi="宋体"/>
                <w:kern w:val="0"/>
                <w:sz w:val="20"/>
              </w:rPr>
            </w:pPr>
            <w:r>
              <w:rPr>
                <w:rFonts w:ascii="宋体" w:hAnsi="宋体"/>
                <w:kern w:val="0"/>
                <w:sz w:val="20"/>
              </w:rPr>
              <w:t>施工进度计划及保证措施</w:t>
            </w:r>
          </w:p>
        </w:tc>
        <w:tc>
          <w:tcPr>
            <w:tcW w:w="993" w:type="dxa"/>
            <w:vAlign w:val="center"/>
          </w:tcPr>
          <w:p w14:paraId="6B14A7E5">
            <w:pPr>
              <w:spacing w:line="239" w:lineRule="exact"/>
              <w:jc w:val="center"/>
              <w:rPr>
                <w:rFonts w:hint="eastAsia" w:ascii="宋体" w:hAnsi="宋体"/>
                <w:kern w:val="0"/>
                <w:sz w:val="20"/>
              </w:rPr>
            </w:pPr>
            <w:r>
              <w:rPr>
                <w:rFonts w:hint="eastAsia" w:ascii="宋体" w:hAnsi="宋体"/>
                <w:kern w:val="0"/>
                <w:sz w:val="20"/>
              </w:rPr>
              <w:t>0-10</w:t>
            </w:r>
          </w:p>
        </w:tc>
        <w:tc>
          <w:tcPr>
            <w:tcW w:w="4951" w:type="dxa"/>
            <w:vAlign w:val="center"/>
          </w:tcPr>
          <w:p w14:paraId="7E6CCD34">
            <w:pPr>
              <w:spacing w:line="239" w:lineRule="exact"/>
              <w:rPr>
                <w:rFonts w:hint="eastAsia" w:ascii="宋体" w:hAnsi="宋体"/>
                <w:kern w:val="0"/>
                <w:sz w:val="20"/>
              </w:rPr>
            </w:pPr>
            <w:r>
              <w:rPr>
                <w:rFonts w:ascii="宋体" w:hAnsi="宋体"/>
                <w:kern w:val="0"/>
                <w:sz w:val="20"/>
              </w:rPr>
              <w:t>措施完善、可</w:t>
            </w:r>
            <w:r>
              <w:rPr>
                <w:rFonts w:hint="eastAsia" w:ascii="宋体" w:hAnsi="宋体"/>
                <w:kern w:val="0"/>
                <w:sz w:val="20"/>
              </w:rPr>
              <w:t>行10分；</w:t>
            </w:r>
          </w:p>
          <w:p w14:paraId="22F23687">
            <w:pPr>
              <w:spacing w:line="239" w:lineRule="exact"/>
              <w:rPr>
                <w:rFonts w:hint="eastAsia" w:ascii="宋体" w:hAnsi="宋体"/>
                <w:kern w:val="0"/>
                <w:sz w:val="20"/>
              </w:rPr>
            </w:pPr>
            <w:r>
              <w:rPr>
                <w:rFonts w:ascii="宋体" w:hAnsi="宋体"/>
                <w:kern w:val="0"/>
                <w:sz w:val="20"/>
              </w:rPr>
              <w:t>措施基本可行</w:t>
            </w:r>
            <w:r>
              <w:rPr>
                <w:rFonts w:hint="eastAsia" w:ascii="宋体" w:hAnsi="宋体"/>
                <w:kern w:val="0"/>
                <w:sz w:val="20"/>
              </w:rPr>
              <w:t>7分；</w:t>
            </w:r>
          </w:p>
          <w:p w14:paraId="0E404F92">
            <w:pPr>
              <w:spacing w:line="239" w:lineRule="exact"/>
              <w:rPr>
                <w:rFonts w:hint="eastAsia" w:ascii="宋体" w:hAnsi="宋体"/>
                <w:kern w:val="0"/>
                <w:sz w:val="20"/>
              </w:rPr>
            </w:pPr>
            <w:r>
              <w:rPr>
                <w:rFonts w:ascii="宋体" w:hAnsi="宋体"/>
                <w:kern w:val="0"/>
                <w:sz w:val="20"/>
              </w:rPr>
              <w:t>有相应措施但不完善</w:t>
            </w:r>
            <w:r>
              <w:rPr>
                <w:rFonts w:hint="eastAsia" w:ascii="宋体" w:hAnsi="宋体"/>
                <w:kern w:val="0"/>
                <w:sz w:val="20"/>
              </w:rPr>
              <w:t>4分；</w:t>
            </w:r>
          </w:p>
          <w:p w14:paraId="5A7A7FBB">
            <w:pPr>
              <w:spacing w:line="239" w:lineRule="exact"/>
              <w:rPr>
                <w:rFonts w:hint="eastAsia" w:ascii="宋体" w:hAnsi="宋体"/>
                <w:kern w:val="0"/>
                <w:sz w:val="20"/>
              </w:rPr>
            </w:pPr>
            <w:r>
              <w:rPr>
                <w:rFonts w:ascii="宋体" w:hAnsi="宋体"/>
                <w:kern w:val="0"/>
                <w:sz w:val="20"/>
              </w:rPr>
              <w:t>无措施或措施不可行</w:t>
            </w:r>
            <w:r>
              <w:rPr>
                <w:rFonts w:hint="eastAsia" w:ascii="宋体" w:hAnsi="宋体"/>
                <w:kern w:val="0"/>
                <w:sz w:val="20"/>
              </w:rPr>
              <w:t>0分。</w:t>
            </w:r>
          </w:p>
        </w:tc>
      </w:tr>
      <w:tr w14:paraId="0F3FC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8" w:type="dxa"/>
            <w:vAlign w:val="center"/>
          </w:tcPr>
          <w:p w14:paraId="48FC4A56">
            <w:pPr>
              <w:pStyle w:val="65"/>
              <w:spacing w:line="239" w:lineRule="exact"/>
              <w:ind w:left="440" w:firstLine="0" w:firstLineChars="0"/>
              <w:rPr>
                <w:rFonts w:hint="eastAsia" w:ascii="宋体" w:hAnsi="宋体"/>
                <w:kern w:val="0"/>
                <w:sz w:val="20"/>
              </w:rPr>
            </w:pPr>
            <w:r>
              <w:rPr>
                <w:rFonts w:hint="eastAsia" w:ascii="宋体" w:hAnsi="宋体"/>
                <w:kern w:val="0"/>
                <w:sz w:val="20"/>
              </w:rPr>
              <w:t>8</w:t>
            </w:r>
          </w:p>
        </w:tc>
        <w:tc>
          <w:tcPr>
            <w:tcW w:w="1842" w:type="dxa"/>
            <w:vAlign w:val="center"/>
          </w:tcPr>
          <w:p w14:paraId="11BCAE12">
            <w:pPr>
              <w:spacing w:line="239" w:lineRule="exact"/>
              <w:rPr>
                <w:rFonts w:hint="eastAsia" w:ascii="宋体" w:hAnsi="宋体"/>
                <w:kern w:val="0"/>
                <w:sz w:val="20"/>
              </w:rPr>
            </w:pPr>
            <w:r>
              <w:rPr>
                <w:rFonts w:ascii="宋体" w:hAnsi="宋体"/>
                <w:kern w:val="0"/>
                <w:sz w:val="20"/>
              </w:rPr>
              <w:t>安全施工措施</w:t>
            </w:r>
          </w:p>
        </w:tc>
        <w:tc>
          <w:tcPr>
            <w:tcW w:w="993" w:type="dxa"/>
            <w:vAlign w:val="center"/>
          </w:tcPr>
          <w:p w14:paraId="0E6EA070">
            <w:pPr>
              <w:widowControl/>
              <w:jc w:val="center"/>
              <w:rPr>
                <w:rFonts w:hint="eastAsia" w:ascii="宋体" w:hAnsi="宋体" w:cs="宋体"/>
                <w:snapToGrid w:val="0"/>
                <w:spacing w:val="-6"/>
                <w:kern w:val="0"/>
                <w:position w:val="17"/>
                <w:sz w:val="20"/>
                <w:szCs w:val="21"/>
              </w:rPr>
            </w:pPr>
            <w:r>
              <w:rPr>
                <w:rFonts w:hint="eastAsia" w:ascii="宋体" w:hAnsi="宋体" w:cs="宋体"/>
                <w:snapToGrid w:val="0"/>
                <w:spacing w:val="-6"/>
                <w:kern w:val="0"/>
                <w:position w:val="17"/>
                <w:sz w:val="20"/>
                <w:szCs w:val="21"/>
              </w:rPr>
              <w:t>0-10</w:t>
            </w:r>
          </w:p>
        </w:tc>
        <w:tc>
          <w:tcPr>
            <w:tcW w:w="4951" w:type="dxa"/>
            <w:vAlign w:val="center"/>
          </w:tcPr>
          <w:p w14:paraId="4FFEB3E6">
            <w:pPr>
              <w:spacing w:line="239" w:lineRule="exact"/>
              <w:rPr>
                <w:rFonts w:hint="eastAsia" w:ascii="宋体" w:hAnsi="宋体"/>
                <w:kern w:val="0"/>
                <w:sz w:val="20"/>
              </w:rPr>
            </w:pPr>
            <w:r>
              <w:rPr>
                <w:rFonts w:ascii="宋体" w:hAnsi="宋体"/>
                <w:kern w:val="0"/>
                <w:sz w:val="20"/>
              </w:rPr>
              <w:t>措施完善、可</w:t>
            </w:r>
            <w:r>
              <w:rPr>
                <w:rFonts w:hint="eastAsia" w:ascii="宋体" w:hAnsi="宋体"/>
                <w:kern w:val="0"/>
                <w:sz w:val="20"/>
              </w:rPr>
              <w:t>行10分；</w:t>
            </w:r>
          </w:p>
          <w:p w14:paraId="79485133">
            <w:pPr>
              <w:spacing w:line="239" w:lineRule="exact"/>
              <w:rPr>
                <w:rFonts w:hint="eastAsia" w:ascii="宋体" w:hAnsi="宋体"/>
                <w:kern w:val="0"/>
                <w:sz w:val="20"/>
              </w:rPr>
            </w:pPr>
            <w:r>
              <w:rPr>
                <w:rFonts w:ascii="宋体" w:hAnsi="宋体"/>
                <w:kern w:val="0"/>
                <w:sz w:val="20"/>
              </w:rPr>
              <w:t>措施基本可行</w:t>
            </w:r>
            <w:r>
              <w:rPr>
                <w:rFonts w:hint="eastAsia" w:ascii="宋体" w:hAnsi="宋体"/>
                <w:kern w:val="0"/>
                <w:sz w:val="20"/>
              </w:rPr>
              <w:t>7分；</w:t>
            </w:r>
          </w:p>
          <w:p w14:paraId="665FF8C7">
            <w:pPr>
              <w:spacing w:line="239" w:lineRule="exact"/>
              <w:rPr>
                <w:rFonts w:hint="eastAsia" w:ascii="宋体" w:hAnsi="宋体"/>
                <w:kern w:val="0"/>
                <w:sz w:val="20"/>
              </w:rPr>
            </w:pPr>
            <w:r>
              <w:rPr>
                <w:rFonts w:ascii="宋体" w:hAnsi="宋体"/>
                <w:kern w:val="0"/>
                <w:sz w:val="20"/>
              </w:rPr>
              <w:t>有相应措施但不完善</w:t>
            </w:r>
            <w:r>
              <w:rPr>
                <w:rFonts w:hint="eastAsia" w:ascii="宋体" w:hAnsi="宋体"/>
                <w:kern w:val="0"/>
                <w:sz w:val="20"/>
              </w:rPr>
              <w:t>4分；</w:t>
            </w:r>
          </w:p>
          <w:p w14:paraId="329EC030">
            <w:pPr>
              <w:widowControl/>
              <w:rPr>
                <w:rFonts w:hint="eastAsia" w:ascii="宋体" w:hAnsi="宋体" w:cs="宋体"/>
                <w:snapToGrid w:val="0"/>
                <w:spacing w:val="-6"/>
                <w:kern w:val="0"/>
                <w:position w:val="17"/>
                <w:sz w:val="24"/>
              </w:rPr>
            </w:pPr>
            <w:r>
              <w:rPr>
                <w:rFonts w:ascii="宋体" w:hAnsi="宋体"/>
                <w:kern w:val="0"/>
                <w:sz w:val="20"/>
              </w:rPr>
              <w:t>无措施或措施不可行</w:t>
            </w:r>
            <w:r>
              <w:rPr>
                <w:rFonts w:hint="eastAsia" w:ascii="宋体" w:hAnsi="宋体"/>
                <w:kern w:val="0"/>
                <w:sz w:val="20"/>
              </w:rPr>
              <w:t>0分。</w:t>
            </w:r>
          </w:p>
        </w:tc>
      </w:tr>
      <w:tr w14:paraId="08D3E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8" w:type="dxa"/>
            <w:vAlign w:val="center"/>
          </w:tcPr>
          <w:p w14:paraId="6A9245E2">
            <w:pPr>
              <w:pStyle w:val="65"/>
              <w:spacing w:line="239" w:lineRule="exact"/>
              <w:ind w:left="440" w:firstLine="0" w:firstLineChars="0"/>
              <w:rPr>
                <w:rFonts w:hint="eastAsia" w:ascii="宋体" w:hAnsi="宋体"/>
                <w:kern w:val="0"/>
                <w:sz w:val="20"/>
              </w:rPr>
            </w:pPr>
            <w:r>
              <w:rPr>
                <w:rFonts w:hint="eastAsia" w:ascii="宋体" w:hAnsi="宋体"/>
                <w:kern w:val="0"/>
                <w:sz w:val="20"/>
              </w:rPr>
              <w:t>9</w:t>
            </w:r>
          </w:p>
        </w:tc>
        <w:tc>
          <w:tcPr>
            <w:tcW w:w="1842" w:type="dxa"/>
            <w:vAlign w:val="center"/>
          </w:tcPr>
          <w:p w14:paraId="088FE7AA">
            <w:pPr>
              <w:spacing w:line="239" w:lineRule="exact"/>
              <w:rPr>
                <w:rFonts w:hint="eastAsia" w:ascii="宋体" w:hAnsi="宋体"/>
                <w:kern w:val="0"/>
                <w:sz w:val="20"/>
              </w:rPr>
            </w:pPr>
            <w:r>
              <w:rPr>
                <w:rFonts w:ascii="宋体" w:hAnsi="宋体"/>
                <w:kern w:val="0"/>
                <w:sz w:val="20"/>
              </w:rPr>
              <w:t>劳动力计划</w:t>
            </w:r>
          </w:p>
        </w:tc>
        <w:tc>
          <w:tcPr>
            <w:tcW w:w="993" w:type="dxa"/>
            <w:vAlign w:val="center"/>
          </w:tcPr>
          <w:p w14:paraId="13B72234">
            <w:pPr>
              <w:widowControl/>
              <w:jc w:val="center"/>
              <w:rPr>
                <w:rFonts w:hint="eastAsia" w:ascii="宋体" w:hAnsi="宋体" w:cs="宋体"/>
                <w:snapToGrid w:val="0"/>
                <w:spacing w:val="-6"/>
                <w:kern w:val="0"/>
                <w:position w:val="17"/>
                <w:sz w:val="20"/>
                <w:szCs w:val="21"/>
              </w:rPr>
            </w:pPr>
            <w:r>
              <w:rPr>
                <w:rFonts w:hint="eastAsia" w:ascii="宋体" w:hAnsi="宋体" w:cs="宋体"/>
                <w:snapToGrid w:val="0"/>
                <w:spacing w:val="-6"/>
                <w:kern w:val="0"/>
                <w:position w:val="17"/>
                <w:sz w:val="20"/>
                <w:szCs w:val="21"/>
              </w:rPr>
              <w:t>0-3</w:t>
            </w:r>
          </w:p>
        </w:tc>
        <w:tc>
          <w:tcPr>
            <w:tcW w:w="4951" w:type="dxa"/>
            <w:vAlign w:val="center"/>
          </w:tcPr>
          <w:p w14:paraId="0360C9F0">
            <w:pPr>
              <w:spacing w:line="239" w:lineRule="exact"/>
              <w:rPr>
                <w:rFonts w:hint="eastAsia" w:ascii="宋体" w:hAnsi="宋体"/>
                <w:kern w:val="0"/>
                <w:sz w:val="20"/>
              </w:rPr>
            </w:pPr>
            <w:r>
              <w:rPr>
                <w:rFonts w:ascii="宋体" w:hAnsi="宋体"/>
                <w:kern w:val="0"/>
                <w:sz w:val="20"/>
              </w:rPr>
              <w:t>齐全、先进、计划合理</w:t>
            </w:r>
            <w:r>
              <w:rPr>
                <w:rFonts w:hint="eastAsia" w:ascii="宋体" w:hAnsi="宋体"/>
                <w:kern w:val="0"/>
                <w:sz w:val="20"/>
              </w:rPr>
              <w:t>3分；</w:t>
            </w:r>
          </w:p>
          <w:p w14:paraId="4204E2C9">
            <w:pPr>
              <w:spacing w:line="239" w:lineRule="exact"/>
              <w:rPr>
                <w:rFonts w:hint="eastAsia" w:ascii="宋体" w:hAnsi="宋体"/>
                <w:kern w:val="0"/>
                <w:sz w:val="20"/>
              </w:rPr>
            </w:pPr>
            <w:r>
              <w:rPr>
                <w:rFonts w:ascii="宋体" w:hAnsi="宋体"/>
                <w:kern w:val="0"/>
                <w:sz w:val="20"/>
              </w:rPr>
              <w:t>基本齐全、较先进、较合理</w:t>
            </w:r>
            <w:r>
              <w:rPr>
                <w:rFonts w:hint="eastAsia" w:ascii="宋体" w:hAnsi="宋体"/>
                <w:kern w:val="0"/>
                <w:sz w:val="20"/>
              </w:rPr>
              <w:t>1分；</w:t>
            </w:r>
          </w:p>
          <w:p w14:paraId="73A7D644">
            <w:pPr>
              <w:spacing w:line="239" w:lineRule="exact"/>
              <w:rPr>
                <w:rFonts w:hint="eastAsia" w:ascii="宋体" w:hAnsi="宋体"/>
                <w:kern w:val="0"/>
                <w:sz w:val="20"/>
              </w:rPr>
            </w:pPr>
            <w:r>
              <w:rPr>
                <w:rFonts w:ascii="宋体" w:hAnsi="宋体"/>
                <w:kern w:val="0"/>
                <w:sz w:val="20"/>
              </w:rPr>
              <w:t>计划不合理，设备不能满足工程需要</w:t>
            </w:r>
            <w:r>
              <w:rPr>
                <w:rFonts w:hint="eastAsia" w:ascii="宋体" w:hAnsi="宋体"/>
                <w:kern w:val="0"/>
                <w:sz w:val="20"/>
              </w:rPr>
              <w:t>0分。</w:t>
            </w:r>
          </w:p>
        </w:tc>
      </w:tr>
      <w:tr w14:paraId="6578A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988" w:type="dxa"/>
            <w:vAlign w:val="center"/>
          </w:tcPr>
          <w:p w14:paraId="4DF9F9D5">
            <w:pPr>
              <w:pStyle w:val="65"/>
              <w:spacing w:line="239" w:lineRule="exact"/>
              <w:ind w:left="440" w:firstLine="0" w:firstLineChars="0"/>
              <w:rPr>
                <w:rFonts w:hint="eastAsia" w:ascii="宋体" w:hAnsi="宋体"/>
                <w:kern w:val="0"/>
                <w:sz w:val="20"/>
              </w:rPr>
            </w:pPr>
            <w:r>
              <w:rPr>
                <w:rFonts w:hint="eastAsia" w:ascii="宋体" w:hAnsi="宋体"/>
                <w:kern w:val="0"/>
                <w:sz w:val="20"/>
              </w:rPr>
              <w:t>10</w:t>
            </w:r>
          </w:p>
        </w:tc>
        <w:tc>
          <w:tcPr>
            <w:tcW w:w="1842" w:type="dxa"/>
            <w:vAlign w:val="center"/>
          </w:tcPr>
          <w:p w14:paraId="09F23D38">
            <w:pPr>
              <w:spacing w:line="239" w:lineRule="exact"/>
              <w:rPr>
                <w:rFonts w:hint="eastAsia" w:ascii="宋体" w:hAnsi="宋体"/>
                <w:kern w:val="0"/>
                <w:sz w:val="20"/>
              </w:rPr>
            </w:pPr>
            <w:r>
              <w:rPr>
                <w:rFonts w:ascii="宋体" w:hAnsi="宋体"/>
                <w:kern w:val="0"/>
                <w:sz w:val="20"/>
              </w:rPr>
              <w:t>紧急预案的处理方案和措施</w:t>
            </w:r>
          </w:p>
        </w:tc>
        <w:tc>
          <w:tcPr>
            <w:tcW w:w="993" w:type="dxa"/>
            <w:vAlign w:val="center"/>
          </w:tcPr>
          <w:p w14:paraId="2D2342D8">
            <w:pPr>
              <w:widowControl/>
              <w:jc w:val="center"/>
              <w:rPr>
                <w:rFonts w:hint="eastAsia" w:ascii="宋体" w:hAnsi="宋体" w:cs="宋体"/>
                <w:snapToGrid w:val="0"/>
                <w:spacing w:val="-6"/>
                <w:kern w:val="0"/>
                <w:position w:val="17"/>
                <w:sz w:val="20"/>
                <w:szCs w:val="21"/>
              </w:rPr>
            </w:pPr>
            <w:r>
              <w:rPr>
                <w:rFonts w:hint="eastAsia" w:ascii="宋体" w:hAnsi="宋体" w:cs="宋体"/>
                <w:snapToGrid w:val="0"/>
                <w:spacing w:val="-6"/>
                <w:kern w:val="0"/>
                <w:position w:val="17"/>
                <w:sz w:val="20"/>
                <w:szCs w:val="21"/>
              </w:rPr>
              <w:t>0-2</w:t>
            </w:r>
          </w:p>
        </w:tc>
        <w:tc>
          <w:tcPr>
            <w:tcW w:w="4951" w:type="dxa"/>
            <w:vAlign w:val="center"/>
          </w:tcPr>
          <w:p w14:paraId="58D58B81">
            <w:pPr>
              <w:spacing w:line="239" w:lineRule="exact"/>
              <w:rPr>
                <w:rFonts w:hint="eastAsia" w:ascii="宋体" w:hAnsi="宋体"/>
                <w:kern w:val="0"/>
                <w:sz w:val="20"/>
              </w:rPr>
            </w:pPr>
            <w:r>
              <w:rPr>
                <w:rFonts w:ascii="宋体" w:hAnsi="宋体"/>
                <w:kern w:val="0"/>
                <w:sz w:val="20"/>
              </w:rPr>
              <w:t>措施完善、可</w:t>
            </w:r>
            <w:r>
              <w:rPr>
                <w:rFonts w:hint="eastAsia" w:ascii="宋体" w:hAnsi="宋体"/>
                <w:kern w:val="0"/>
                <w:sz w:val="20"/>
              </w:rPr>
              <w:t>行2分；</w:t>
            </w:r>
          </w:p>
          <w:p w14:paraId="58ED0473">
            <w:pPr>
              <w:spacing w:line="239" w:lineRule="exact"/>
              <w:rPr>
                <w:rFonts w:hint="eastAsia" w:ascii="宋体" w:hAnsi="宋体"/>
                <w:kern w:val="0"/>
                <w:sz w:val="20"/>
              </w:rPr>
            </w:pPr>
            <w:r>
              <w:rPr>
                <w:rFonts w:ascii="宋体" w:hAnsi="宋体"/>
                <w:kern w:val="0"/>
                <w:sz w:val="20"/>
              </w:rPr>
              <w:t>有相应措施但不完善</w:t>
            </w:r>
            <w:r>
              <w:rPr>
                <w:rFonts w:hint="eastAsia" w:ascii="宋体" w:hAnsi="宋体"/>
                <w:kern w:val="0"/>
                <w:sz w:val="20"/>
              </w:rPr>
              <w:t>1分；</w:t>
            </w:r>
          </w:p>
          <w:p w14:paraId="3CC82678">
            <w:pPr>
              <w:spacing w:line="239" w:lineRule="exact"/>
              <w:rPr>
                <w:rFonts w:hint="eastAsia" w:ascii="宋体" w:hAnsi="宋体"/>
                <w:kern w:val="0"/>
                <w:sz w:val="20"/>
              </w:rPr>
            </w:pPr>
            <w:r>
              <w:rPr>
                <w:rFonts w:ascii="宋体" w:hAnsi="宋体"/>
                <w:kern w:val="0"/>
                <w:sz w:val="20"/>
              </w:rPr>
              <w:t>无措施或措施不可行</w:t>
            </w:r>
            <w:r>
              <w:rPr>
                <w:rFonts w:hint="eastAsia" w:ascii="宋体" w:hAnsi="宋体"/>
                <w:kern w:val="0"/>
                <w:sz w:val="20"/>
              </w:rPr>
              <w:t>0分。</w:t>
            </w:r>
          </w:p>
        </w:tc>
      </w:tr>
      <w:tr w14:paraId="51999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8" w:type="dxa"/>
            <w:vAlign w:val="center"/>
          </w:tcPr>
          <w:p w14:paraId="344436C0">
            <w:pPr>
              <w:pStyle w:val="65"/>
              <w:spacing w:line="239" w:lineRule="exact"/>
              <w:ind w:left="440" w:firstLine="0" w:firstLineChars="0"/>
              <w:rPr>
                <w:rFonts w:hint="eastAsia" w:ascii="宋体" w:hAnsi="宋体"/>
                <w:kern w:val="0"/>
                <w:sz w:val="20"/>
              </w:rPr>
            </w:pPr>
            <w:r>
              <w:rPr>
                <w:rFonts w:hint="eastAsia" w:ascii="宋体" w:hAnsi="宋体"/>
                <w:kern w:val="0"/>
                <w:sz w:val="20"/>
              </w:rPr>
              <w:t>11</w:t>
            </w:r>
          </w:p>
        </w:tc>
        <w:tc>
          <w:tcPr>
            <w:tcW w:w="1842" w:type="dxa"/>
            <w:vAlign w:val="center"/>
          </w:tcPr>
          <w:p w14:paraId="37F54322">
            <w:pPr>
              <w:spacing w:line="239" w:lineRule="exact"/>
              <w:rPr>
                <w:rFonts w:hint="eastAsia" w:ascii="宋体" w:hAnsi="宋体"/>
                <w:kern w:val="0"/>
                <w:sz w:val="20"/>
              </w:rPr>
            </w:pPr>
            <w:r>
              <w:rPr>
                <w:rFonts w:ascii="宋体" w:hAnsi="宋体"/>
                <w:kern w:val="0"/>
                <w:sz w:val="20"/>
              </w:rPr>
              <w:t>完工后的维护和维修等措施及相关承诺</w:t>
            </w:r>
          </w:p>
        </w:tc>
        <w:tc>
          <w:tcPr>
            <w:tcW w:w="993" w:type="dxa"/>
            <w:vAlign w:val="center"/>
          </w:tcPr>
          <w:p w14:paraId="571D51F5">
            <w:pPr>
              <w:widowControl/>
              <w:jc w:val="center"/>
              <w:rPr>
                <w:rFonts w:hint="eastAsia" w:ascii="宋体" w:hAnsi="宋体" w:cs="宋体"/>
                <w:snapToGrid w:val="0"/>
                <w:spacing w:val="-6"/>
                <w:kern w:val="0"/>
                <w:position w:val="17"/>
                <w:sz w:val="20"/>
                <w:szCs w:val="21"/>
              </w:rPr>
            </w:pPr>
            <w:r>
              <w:rPr>
                <w:rFonts w:hint="eastAsia" w:ascii="宋体" w:hAnsi="宋体" w:cs="宋体"/>
                <w:snapToGrid w:val="0"/>
                <w:spacing w:val="-6"/>
                <w:kern w:val="0"/>
                <w:position w:val="17"/>
                <w:sz w:val="20"/>
                <w:szCs w:val="21"/>
              </w:rPr>
              <w:t>0-10</w:t>
            </w:r>
          </w:p>
        </w:tc>
        <w:tc>
          <w:tcPr>
            <w:tcW w:w="4951" w:type="dxa"/>
            <w:vAlign w:val="center"/>
          </w:tcPr>
          <w:p w14:paraId="7C87CE5C">
            <w:pPr>
              <w:spacing w:line="239" w:lineRule="exact"/>
              <w:rPr>
                <w:rFonts w:hint="eastAsia" w:ascii="宋体" w:hAnsi="宋体"/>
                <w:kern w:val="0"/>
                <w:sz w:val="20"/>
              </w:rPr>
            </w:pPr>
            <w:r>
              <w:rPr>
                <w:rFonts w:ascii="宋体" w:hAnsi="宋体"/>
                <w:kern w:val="0"/>
                <w:sz w:val="20"/>
              </w:rPr>
              <w:t>措施完善、可行，承诺保障性强</w:t>
            </w:r>
            <w:r>
              <w:rPr>
                <w:rFonts w:hint="eastAsia" w:ascii="宋体" w:hAnsi="宋体"/>
                <w:kern w:val="0"/>
                <w:sz w:val="20"/>
              </w:rPr>
              <w:t>10分；</w:t>
            </w:r>
          </w:p>
          <w:p w14:paraId="1DA8285D">
            <w:pPr>
              <w:spacing w:line="239" w:lineRule="exact"/>
              <w:rPr>
                <w:rFonts w:hint="eastAsia" w:ascii="宋体" w:hAnsi="宋体"/>
                <w:kern w:val="0"/>
                <w:sz w:val="20"/>
              </w:rPr>
            </w:pPr>
            <w:r>
              <w:rPr>
                <w:rFonts w:ascii="宋体" w:hAnsi="宋体"/>
                <w:kern w:val="0"/>
                <w:sz w:val="20"/>
              </w:rPr>
              <w:t>措施及承诺基本完善可行</w:t>
            </w:r>
            <w:r>
              <w:rPr>
                <w:rFonts w:hint="eastAsia" w:ascii="宋体" w:hAnsi="宋体"/>
                <w:kern w:val="0"/>
                <w:sz w:val="20"/>
              </w:rPr>
              <w:t>7分；</w:t>
            </w:r>
          </w:p>
          <w:p w14:paraId="77CA0242">
            <w:pPr>
              <w:spacing w:line="239" w:lineRule="exact"/>
              <w:rPr>
                <w:rFonts w:hint="eastAsia" w:ascii="宋体" w:hAnsi="宋体"/>
                <w:kern w:val="0"/>
                <w:sz w:val="20"/>
              </w:rPr>
            </w:pPr>
            <w:r>
              <w:rPr>
                <w:rFonts w:ascii="宋体" w:hAnsi="宋体"/>
                <w:kern w:val="0"/>
                <w:sz w:val="20"/>
              </w:rPr>
              <w:t>有相应措施及承诺但不完善</w:t>
            </w:r>
            <w:r>
              <w:rPr>
                <w:rFonts w:hint="eastAsia" w:ascii="宋体" w:hAnsi="宋体"/>
                <w:kern w:val="0"/>
                <w:sz w:val="20"/>
              </w:rPr>
              <w:t>4分；</w:t>
            </w:r>
          </w:p>
          <w:p w14:paraId="1ADDFF58">
            <w:pPr>
              <w:spacing w:line="239" w:lineRule="exact"/>
              <w:rPr>
                <w:rFonts w:hint="eastAsia" w:ascii="宋体" w:hAnsi="宋体"/>
                <w:kern w:val="0"/>
                <w:sz w:val="20"/>
              </w:rPr>
            </w:pPr>
            <w:r>
              <w:rPr>
                <w:rFonts w:ascii="宋体" w:hAnsi="宋体"/>
                <w:kern w:val="0"/>
                <w:sz w:val="20"/>
              </w:rPr>
              <w:t>无措施及承诺</w:t>
            </w:r>
            <w:r>
              <w:rPr>
                <w:rFonts w:hint="eastAsia" w:ascii="宋体" w:hAnsi="宋体"/>
                <w:kern w:val="0"/>
                <w:sz w:val="20"/>
              </w:rPr>
              <w:t>0分。</w:t>
            </w:r>
          </w:p>
        </w:tc>
      </w:tr>
    </w:tbl>
    <w:p w14:paraId="1DC51033">
      <w:pPr>
        <w:jc w:val="center"/>
        <w:rPr>
          <w:rFonts w:hint="eastAsia" w:ascii="宋体" w:hAnsi="宋体"/>
          <w:b/>
          <w:bCs/>
          <w:sz w:val="28"/>
          <w:szCs w:val="36"/>
        </w:rPr>
      </w:pPr>
    </w:p>
    <w:p w14:paraId="2C0B3903">
      <w:pPr>
        <w:jc w:val="center"/>
        <w:rPr>
          <w:rFonts w:hint="eastAsia" w:ascii="宋体" w:hAnsi="宋体"/>
          <w:b/>
          <w:bCs/>
          <w:sz w:val="28"/>
          <w:szCs w:val="36"/>
        </w:rPr>
      </w:pPr>
    </w:p>
    <w:p w14:paraId="79065D49">
      <w:pPr>
        <w:widowControl/>
        <w:jc w:val="left"/>
        <w:rPr>
          <w:rFonts w:hint="eastAsia" w:ascii="宋体" w:hAnsi="宋体"/>
          <w:b/>
          <w:sz w:val="36"/>
          <w:szCs w:val="36"/>
        </w:rPr>
      </w:pPr>
      <w:bookmarkStart w:id="556" w:name="_Toc103153304"/>
      <w:bookmarkStart w:id="557" w:name="_Toc165576331"/>
      <w:r>
        <w:rPr>
          <w:rFonts w:hint="eastAsia" w:ascii="宋体" w:hAnsi="宋体"/>
          <w:b/>
          <w:sz w:val="36"/>
          <w:szCs w:val="36"/>
        </w:rPr>
        <w:br w:type="page"/>
      </w:r>
    </w:p>
    <w:p w14:paraId="4D4E97D7">
      <w:pPr>
        <w:spacing w:line="360" w:lineRule="auto"/>
        <w:jc w:val="center"/>
        <w:outlineLvl w:val="0"/>
        <w:rPr>
          <w:rFonts w:hint="eastAsia" w:ascii="宋体" w:hAnsi="宋体"/>
          <w:b/>
          <w:sz w:val="36"/>
          <w:szCs w:val="36"/>
        </w:rPr>
      </w:pPr>
      <w:r>
        <w:rPr>
          <w:rFonts w:ascii="宋体" w:hAnsi="宋体"/>
          <w:b/>
          <w:sz w:val="36"/>
          <w:szCs w:val="36"/>
        </w:rPr>
        <w:t>第</w:t>
      </w:r>
      <w:r>
        <w:rPr>
          <w:rFonts w:hint="eastAsia" w:ascii="宋体" w:hAnsi="宋体"/>
          <w:b/>
          <w:sz w:val="36"/>
          <w:szCs w:val="36"/>
        </w:rPr>
        <w:t>四</w:t>
      </w:r>
      <w:r>
        <w:rPr>
          <w:rFonts w:ascii="宋体" w:hAnsi="宋体"/>
          <w:b/>
          <w:sz w:val="36"/>
          <w:szCs w:val="36"/>
        </w:rPr>
        <w:t xml:space="preserve">章   </w:t>
      </w:r>
      <w:bookmarkEnd w:id="556"/>
      <w:r>
        <w:rPr>
          <w:rFonts w:hint="eastAsia" w:ascii="宋体" w:hAnsi="宋体"/>
          <w:b/>
          <w:sz w:val="36"/>
          <w:szCs w:val="36"/>
        </w:rPr>
        <w:t>采购需求</w:t>
      </w:r>
      <w:bookmarkEnd w:id="557"/>
    </w:p>
    <w:p w14:paraId="5B23E9A5">
      <w:pPr>
        <w:spacing w:line="360" w:lineRule="auto"/>
        <w:jc w:val="center"/>
        <w:rPr>
          <w:rFonts w:hint="eastAsia" w:ascii="宋体" w:hAnsi="宋体"/>
          <w:b/>
          <w:sz w:val="36"/>
          <w:szCs w:val="36"/>
        </w:rPr>
      </w:pPr>
    </w:p>
    <w:p w14:paraId="0BC75748">
      <w:pPr>
        <w:spacing w:line="360" w:lineRule="auto"/>
        <w:jc w:val="center"/>
        <w:rPr>
          <w:rFonts w:hint="eastAsia" w:ascii="宋体" w:hAnsi="宋体"/>
          <w:b/>
          <w:sz w:val="36"/>
          <w:szCs w:val="36"/>
        </w:rPr>
      </w:pPr>
    </w:p>
    <w:p w14:paraId="796C0DB0">
      <w:pPr>
        <w:spacing w:line="480" w:lineRule="auto"/>
        <w:ind w:left="210" w:leftChars="100"/>
        <w:contextualSpacing/>
        <w:rPr>
          <w:rFonts w:hint="eastAsia" w:ascii="宋体" w:hAnsi="宋体" w:eastAsia="宋体"/>
          <w:sz w:val="24"/>
          <w:lang w:eastAsia="zh-CN"/>
        </w:rPr>
      </w:pPr>
      <w:r>
        <w:rPr>
          <w:rFonts w:ascii="宋体" w:hAnsi="宋体"/>
          <w:sz w:val="24"/>
        </w:rPr>
        <w:t>1.</w:t>
      </w:r>
      <w:r>
        <w:rPr>
          <w:rFonts w:hint="eastAsia" w:ascii="宋体" w:hAnsi="宋体"/>
          <w:sz w:val="24"/>
        </w:rPr>
        <w:t>项目名称：</w:t>
      </w:r>
      <w:r>
        <w:rPr>
          <w:rFonts w:hint="eastAsia" w:ascii="宋体" w:hAnsi="宋体"/>
          <w:sz w:val="24"/>
          <w:lang w:eastAsia="zh-CN"/>
        </w:rPr>
        <w:t>采石北路提升改造项目采购项目-永定路街道采石北路提升改造项目</w:t>
      </w:r>
    </w:p>
    <w:p w14:paraId="41562368">
      <w:pPr>
        <w:spacing w:line="480" w:lineRule="auto"/>
        <w:ind w:left="210" w:leftChars="100"/>
        <w:contextualSpacing/>
        <w:rPr>
          <w:rFonts w:hint="eastAsia" w:ascii="宋体" w:hAnsi="宋体"/>
          <w:sz w:val="24"/>
        </w:rPr>
      </w:pPr>
      <w:r>
        <w:rPr>
          <w:rFonts w:ascii="宋体" w:hAnsi="宋体"/>
          <w:sz w:val="24"/>
        </w:rPr>
        <w:t>2.</w:t>
      </w:r>
      <w:r>
        <w:rPr>
          <w:rFonts w:hint="eastAsia" w:ascii="宋体" w:hAnsi="宋体"/>
          <w:sz w:val="24"/>
        </w:rPr>
        <w:t>项目实施地点：永定路街道</w:t>
      </w:r>
    </w:p>
    <w:p w14:paraId="20991A09">
      <w:pPr>
        <w:spacing w:line="480" w:lineRule="auto"/>
        <w:ind w:left="210" w:leftChars="100"/>
        <w:contextualSpacing/>
        <w:rPr>
          <w:rFonts w:hint="eastAsia" w:ascii="宋体" w:hAnsi="宋体"/>
          <w:sz w:val="24"/>
          <w:highlight w:val="none"/>
        </w:rPr>
      </w:pPr>
      <w:r>
        <w:rPr>
          <w:rFonts w:ascii="宋体" w:hAnsi="宋体"/>
          <w:sz w:val="24"/>
        </w:rPr>
        <w:t>3.</w:t>
      </w:r>
      <w:r>
        <w:rPr>
          <w:rFonts w:hint="eastAsia" w:ascii="宋体" w:hAnsi="宋体"/>
          <w:sz w:val="24"/>
        </w:rPr>
        <w:t>项目实施范围：</w:t>
      </w:r>
      <w:bookmarkStart w:id="558" w:name="_Hlk156296676"/>
      <w:r>
        <w:rPr>
          <w:rFonts w:hint="eastAsia" w:ascii="宋体" w:hAnsi="宋体"/>
          <w:sz w:val="24"/>
          <w:lang w:eastAsia="zh-CN"/>
        </w:rPr>
        <w:t>采石北路提升改造项目采购项目-永定路街道采石北路提升改造项目</w:t>
      </w:r>
      <w:r>
        <w:rPr>
          <w:rFonts w:hint="eastAsia" w:ascii="宋体" w:hAnsi="宋体"/>
          <w:sz w:val="24"/>
          <w:highlight w:val="none"/>
        </w:rPr>
        <w:t>，具体详见工程量清单。</w:t>
      </w:r>
    </w:p>
    <w:bookmarkEnd w:id="558"/>
    <w:p w14:paraId="2C888929">
      <w:pPr>
        <w:spacing w:line="480" w:lineRule="auto"/>
        <w:ind w:left="210" w:leftChars="100"/>
        <w:contextualSpacing/>
        <w:rPr>
          <w:rFonts w:hint="eastAsia" w:ascii="宋体" w:hAnsi="宋体"/>
          <w:sz w:val="24"/>
          <w:highlight w:val="none"/>
        </w:rPr>
      </w:pPr>
      <w:r>
        <w:rPr>
          <w:rFonts w:ascii="宋体" w:hAnsi="宋体"/>
          <w:sz w:val="24"/>
          <w:highlight w:val="none"/>
        </w:rPr>
        <w:t>4.</w:t>
      </w:r>
      <w:r>
        <w:rPr>
          <w:rFonts w:hint="eastAsia" w:ascii="宋体" w:hAnsi="宋体"/>
          <w:sz w:val="24"/>
          <w:highlight w:val="none"/>
        </w:rPr>
        <w:t>计划工期：</w:t>
      </w:r>
      <w:r>
        <w:rPr>
          <w:rFonts w:hint="eastAsia" w:ascii="宋体" w:hAnsi="宋体"/>
          <w:sz w:val="24"/>
          <w:highlight w:val="none"/>
          <w:lang w:val="en-US" w:eastAsia="zh-CN"/>
        </w:rPr>
        <w:t xml:space="preserve"> 365日历天</w:t>
      </w:r>
      <w:r>
        <w:rPr>
          <w:rFonts w:hint="eastAsia" w:ascii="宋体" w:hAnsi="宋体"/>
          <w:sz w:val="24"/>
          <w:highlight w:val="none"/>
        </w:rPr>
        <w:t>。</w:t>
      </w:r>
    </w:p>
    <w:p w14:paraId="0D02C516">
      <w:pPr>
        <w:spacing w:line="480" w:lineRule="auto"/>
        <w:ind w:left="210" w:leftChars="100"/>
        <w:contextualSpacing/>
        <w:rPr>
          <w:rFonts w:hint="eastAsia" w:ascii="宋体" w:hAnsi="宋体"/>
          <w:sz w:val="24"/>
          <w:highlight w:val="none"/>
        </w:rPr>
      </w:pPr>
      <w:r>
        <w:rPr>
          <w:rFonts w:ascii="宋体" w:hAnsi="宋体"/>
          <w:sz w:val="24"/>
          <w:highlight w:val="none"/>
        </w:rPr>
        <w:t>5.</w:t>
      </w:r>
      <w:r>
        <w:rPr>
          <w:rFonts w:hint="eastAsia" w:ascii="宋体" w:hAnsi="宋体"/>
          <w:sz w:val="24"/>
          <w:highlight w:val="none"/>
        </w:rPr>
        <w:t>质量标准：合格</w:t>
      </w:r>
    </w:p>
    <w:p w14:paraId="3E4F92A4">
      <w:pPr>
        <w:spacing w:line="480" w:lineRule="auto"/>
        <w:ind w:left="210" w:leftChars="100"/>
        <w:contextualSpacing/>
        <w:rPr>
          <w:rFonts w:hint="eastAsia" w:ascii="宋体" w:hAnsi="宋体"/>
          <w:sz w:val="24"/>
        </w:rPr>
      </w:pPr>
      <w:r>
        <w:rPr>
          <w:rFonts w:ascii="宋体" w:hAnsi="宋体"/>
          <w:sz w:val="24"/>
        </w:rPr>
        <w:t>6.</w:t>
      </w:r>
      <w:r>
        <w:rPr>
          <w:rFonts w:hint="eastAsia" w:ascii="宋体" w:hAnsi="宋体"/>
          <w:sz w:val="24"/>
        </w:rPr>
        <w:t>施工现场安全生产标准化管理目标等级：达标</w:t>
      </w:r>
    </w:p>
    <w:p w14:paraId="20C47C4D">
      <w:pPr>
        <w:spacing w:line="480" w:lineRule="auto"/>
        <w:ind w:left="210" w:leftChars="100"/>
        <w:contextualSpacing/>
        <w:rPr>
          <w:rFonts w:hint="eastAsia" w:ascii="宋体" w:hAnsi="宋体"/>
          <w:sz w:val="24"/>
        </w:rPr>
      </w:pPr>
      <w:r>
        <w:rPr>
          <w:rFonts w:hint="eastAsia" w:ascii="宋体" w:hAnsi="宋体"/>
          <w:sz w:val="24"/>
        </w:rPr>
        <w:t>7.工程量清单</w:t>
      </w:r>
    </w:p>
    <w:p w14:paraId="5137962D">
      <w:pPr>
        <w:spacing w:line="480" w:lineRule="auto"/>
        <w:ind w:left="210" w:leftChars="100"/>
        <w:contextualSpacing/>
        <w:rPr>
          <w:rFonts w:hint="eastAsia" w:ascii="宋体" w:hAnsi="宋体"/>
          <w:sz w:val="24"/>
        </w:rPr>
      </w:pPr>
      <w:r>
        <w:rPr>
          <w:rFonts w:hint="eastAsia" w:ascii="宋体" w:hAnsi="宋体"/>
          <w:sz w:val="24"/>
        </w:rPr>
        <w:t>另附</w:t>
      </w:r>
    </w:p>
    <w:p w14:paraId="4FC762C1">
      <w:pPr>
        <w:spacing w:line="480" w:lineRule="auto"/>
        <w:ind w:left="210" w:leftChars="100"/>
        <w:contextualSpacing/>
        <w:rPr>
          <w:rFonts w:hint="eastAsia" w:ascii="宋体" w:hAnsi="宋体"/>
          <w:sz w:val="24"/>
        </w:rPr>
      </w:pPr>
      <w:r>
        <w:rPr>
          <w:rFonts w:hint="eastAsia" w:ascii="宋体" w:hAnsi="宋体"/>
          <w:sz w:val="24"/>
        </w:rPr>
        <w:t>8.图纸</w:t>
      </w:r>
    </w:p>
    <w:p w14:paraId="069D0C64">
      <w:pPr>
        <w:spacing w:line="480" w:lineRule="auto"/>
        <w:ind w:left="210" w:leftChars="100"/>
        <w:contextualSpacing/>
        <w:rPr>
          <w:rFonts w:hint="eastAsia" w:ascii="宋体" w:hAnsi="宋体"/>
          <w:iCs/>
          <w:sz w:val="24"/>
        </w:rPr>
      </w:pPr>
      <w:r>
        <w:rPr>
          <w:rFonts w:hint="eastAsia" w:ascii="宋体" w:hAnsi="宋体"/>
          <w:sz w:val="24"/>
        </w:rPr>
        <w:t>另附</w:t>
      </w:r>
    </w:p>
    <w:p w14:paraId="0DB97985">
      <w:pPr>
        <w:spacing w:line="360" w:lineRule="auto"/>
        <w:jc w:val="center"/>
        <w:rPr>
          <w:rFonts w:hint="eastAsia" w:ascii="宋体" w:hAnsi="宋体"/>
          <w:b/>
          <w:sz w:val="36"/>
          <w:szCs w:val="36"/>
        </w:rPr>
      </w:pPr>
    </w:p>
    <w:p w14:paraId="1F7791ED">
      <w:pPr>
        <w:spacing w:line="360" w:lineRule="auto"/>
        <w:jc w:val="center"/>
        <w:rPr>
          <w:rFonts w:hint="eastAsia" w:ascii="宋体" w:hAnsi="宋体"/>
          <w:b/>
          <w:sz w:val="36"/>
          <w:szCs w:val="36"/>
        </w:rPr>
      </w:pPr>
    </w:p>
    <w:p w14:paraId="4925E3D3">
      <w:pPr>
        <w:spacing w:line="360" w:lineRule="auto"/>
        <w:jc w:val="center"/>
        <w:rPr>
          <w:rFonts w:hint="eastAsia" w:ascii="宋体" w:hAnsi="宋体"/>
          <w:b/>
          <w:sz w:val="36"/>
          <w:szCs w:val="36"/>
        </w:rPr>
      </w:pPr>
    </w:p>
    <w:p w14:paraId="03ABF563">
      <w:pPr>
        <w:spacing w:line="360" w:lineRule="auto"/>
        <w:jc w:val="center"/>
        <w:rPr>
          <w:rFonts w:hint="eastAsia" w:ascii="宋体" w:hAnsi="宋体"/>
          <w:b/>
          <w:sz w:val="36"/>
          <w:szCs w:val="36"/>
        </w:rPr>
      </w:pPr>
    </w:p>
    <w:p w14:paraId="28973DF8">
      <w:pPr>
        <w:spacing w:line="360" w:lineRule="auto"/>
        <w:jc w:val="center"/>
        <w:rPr>
          <w:rFonts w:hint="eastAsia" w:ascii="宋体" w:hAnsi="宋体"/>
          <w:b/>
          <w:sz w:val="36"/>
          <w:szCs w:val="36"/>
        </w:rPr>
      </w:pPr>
    </w:p>
    <w:p w14:paraId="72DA9B64">
      <w:pPr>
        <w:spacing w:line="360" w:lineRule="auto"/>
        <w:jc w:val="center"/>
        <w:rPr>
          <w:rFonts w:hint="eastAsia" w:ascii="宋体" w:hAnsi="宋体"/>
          <w:b/>
          <w:sz w:val="36"/>
          <w:szCs w:val="36"/>
        </w:rPr>
      </w:pPr>
    </w:p>
    <w:p w14:paraId="4DA1EE5E">
      <w:pPr>
        <w:spacing w:line="360" w:lineRule="auto"/>
        <w:jc w:val="center"/>
        <w:rPr>
          <w:rFonts w:hint="eastAsia" w:ascii="宋体" w:hAnsi="宋体"/>
          <w:b/>
          <w:sz w:val="36"/>
          <w:szCs w:val="36"/>
        </w:rPr>
      </w:pPr>
    </w:p>
    <w:p w14:paraId="7CFA84F3">
      <w:pPr>
        <w:spacing w:line="360" w:lineRule="auto"/>
        <w:jc w:val="center"/>
        <w:rPr>
          <w:rFonts w:hint="eastAsia" w:ascii="宋体" w:hAnsi="宋体"/>
          <w:b/>
          <w:sz w:val="36"/>
          <w:szCs w:val="36"/>
        </w:rPr>
      </w:pPr>
    </w:p>
    <w:p w14:paraId="58426862">
      <w:pPr>
        <w:spacing w:line="360" w:lineRule="auto"/>
        <w:jc w:val="center"/>
        <w:rPr>
          <w:rFonts w:hint="eastAsia" w:ascii="宋体" w:hAnsi="宋体"/>
          <w:b/>
          <w:sz w:val="36"/>
          <w:szCs w:val="36"/>
        </w:rPr>
      </w:pPr>
    </w:p>
    <w:p w14:paraId="196EF9F1">
      <w:pPr>
        <w:spacing w:line="360" w:lineRule="auto"/>
        <w:jc w:val="center"/>
        <w:outlineLvl w:val="0"/>
        <w:rPr>
          <w:rFonts w:hint="eastAsia" w:ascii="宋体" w:hAnsi="宋体"/>
          <w:b/>
          <w:sz w:val="36"/>
          <w:szCs w:val="36"/>
        </w:rPr>
      </w:pPr>
      <w:bookmarkStart w:id="559" w:name="_Toc165576332"/>
      <w:r>
        <w:rPr>
          <w:rFonts w:ascii="宋体" w:hAnsi="宋体"/>
          <w:b/>
          <w:sz w:val="36"/>
          <w:szCs w:val="36"/>
        </w:rPr>
        <w:t>第</w:t>
      </w:r>
      <w:r>
        <w:rPr>
          <w:rFonts w:hint="eastAsia" w:ascii="宋体" w:hAnsi="宋体"/>
          <w:b/>
          <w:sz w:val="36"/>
          <w:szCs w:val="36"/>
        </w:rPr>
        <w:t>五</w:t>
      </w:r>
      <w:r>
        <w:rPr>
          <w:rFonts w:ascii="宋体" w:hAnsi="宋体"/>
          <w:b/>
          <w:sz w:val="36"/>
          <w:szCs w:val="36"/>
        </w:rPr>
        <w:t>章   合同草案条款</w:t>
      </w:r>
      <w:bookmarkEnd w:id="559"/>
    </w:p>
    <w:p w14:paraId="1F84FE64">
      <w:pPr>
        <w:rPr>
          <w:rFonts w:hint="eastAsia"/>
        </w:rPr>
      </w:pPr>
    </w:p>
    <w:p w14:paraId="021E0950">
      <w:pPr>
        <w:rPr>
          <w:rFonts w:hint="eastAsia" w:ascii="宋体" w:hAnsi="宋体" w:eastAsia="宋体" w:cs="宋体"/>
        </w:rPr>
      </w:pPr>
    </w:p>
    <w:p w14:paraId="6F2E07BA">
      <w:pPr>
        <w:rPr>
          <w:rFonts w:hint="eastAsia" w:ascii="宋体" w:hAnsi="宋体" w:eastAsia="宋体" w:cs="宋体"/>
          <w:b/>
        </w:rPr>
      </w:pPr>
      <w:bookmarkStart w:id="560" w:name="_Toc22031748"/>
      <w:bookmarkStart w:id="561" w:name="_Toc489280259"/>
      <w:bookmarkStart w:id="562" w:name="_Toc486580453"/>
      <w:bookmarkStart w:id="563" w:name="_Toc485323227"/>
      <w:bookmarkStart w:id="564" w:name="_Toc497584562"/>
      <w:bookmarkStart w:id="565" w:name="_Toc135239974"/>
      <w:bookmarkStart w:id="566" w:name="_Toc497214121"/>
    </w:p>
    <w:p w14:paraId="53EB586A">
      <w:pPr>
        <w:ind w:right="640"/>
        <w:rPr>
          <w:rFonts w:hint="eastAsia" w:ascii="宋体" w:hAnsi="宋体" w:eastAsia="宋体" w:cs="宋体"/>
          <w:bCs/>
          <w:sz w:val="32"/>
          <w:szCs w:val="32"/>
        </w:rPr>
      </w:pPr>
      <w:r>
        <w:rPr>
          <w:rFonts w:hint="eastAsia" w:ascii="宋体" w:hAnsi="宋体" w:eastAsia="宋体" w:cs="宋体"/>
          <w:bCs/>
          <w:sz w:val="32"/>
          <w:szCs w:val="32"/>
        </w:rPr>
        <w:t xml:space="preserve">（GF-2013-0201）                        </w:t>
      </w:r>
    </w:p>
    <w:p w14:paraId="06ABBF71">
      <w:pPr>
        <w:jc w:val="center"/>
        <w:rPr>
          <w:rFonts w:hint="eastAsia" w:ascii="宋体" w:hAnsi="宋体" w:eastAsia="宋体" w:cs="宋体"/>
          <w:b/>
          <w:sz w:val="52"/>
          <w:szCs w:val="52"/>
        </w:rPr>
      </w:pPr>
    </w:p>
    <w:p w14:paraId="05DBF8DE">
      <w:pPr>
        <w:jc w:val="center"/>
        <w:rPr>
          <w:rFonts w:hint="eastAsia" w:ascii="宋体" w:hAnsi="宋体" w:eastAsia="宋体" w:cs="宋体"/>
          <w:b/>
          <w:sz w:val="52"/>
          <w:szCs w:val="52"/>
        </w:rPr>
      </w:pPr>
    </w:p>
    <w:p w14:paraId="62E71392">
      <w:pPr>
        <w:jc w:val="center"/>
        <w:rPr>
          <w:rFonts w:hint="eastAsia" w:ascii="宋体" w:hAnsi="宋体" w:eastAsia="宋体" w:cs="宋体"/>
          <w:b/>
          <w:sz w:val="52"/>
          <w:szCs w:val="52"/>
        </w:rPr>
      </w:pPr>
    </w:p>
    <w:p w14:paraId="55E6A759">
      <w:pPr>
        <w:jc w:val="center"/>
        <w:rPr>
          <w:rFonts w:hint="eastAsia" w:ascii="宋体" w:hAnsi="宋体" w:eastAsia="宋体" w:cs="宋体"/>
          <w:b/>
          <w:sz w:val="52"/>
          <w:szCs w:val="52"/>
        </w:rPr>
      </w:pPr>
    </w:p>
    <w:p w14:paraId="0CAEDCF9">
      <w:pPr>
        <w:jc w:val="center"/>
        <w:rPr>
          <w:rFonts w:hint="eastAsia" w:ascii="宋体" w:hAnsi="宋体" w:eastAsia="宋体" w:cs="宋体"/>
          <w:b/>
          <w:sz w:val="52"/>
          <w:szCs w:val="52"/>
        </w:rPr>
      </w:pPr>
      <w:r>
        <w:rPr>
          <w:rFonts w:hint="eastAsia" w:ascii="宋体" w:hAnsi="宋体" w:eastAsia="宋体" w:cs="宋体"/>
          <w:b/>
          <w:sz w:val="72"/>
          <w:szCs w:val="52"/>
        </w:rPr>
        <w:t>建设工程施工合同</w:t>
      </w:r>
      <w:r>
        <w:rPr>
          <w:rFonts w:hint="eastAsia" w:ascii="宋体" w:hAnsi="宋体" w:eastAsia="宋体" w:cs="宋体"/>
          <w:b/>
          <w:sz w:val="52"/>
          <w:szCs w:val="52"/>
        </w:rPr>
        <w:br w:type="textWrapping"/>
      </w:r>
    </w:p>
    <w:p w14:paraId="2B5FF58E">
      <w:pPr>
        <w:jc w:val="center"/>
        <w:rPr>
          <w:rFonts w:hint="eastAsia" w:ascii="宋体" w:hAnsi="宋体" w:eastAsia="宋体" w:cs="宋体"/>
          <w:b/>
          <w:sz w:val="52"/>
          <w:szCs w:val="52"/>
        </w:rPr>
      </w:pPr>
    </w:p>
    <w:p w14:paraId="1B5C0BCD">
      <w:pPr>
        <w:jc w:val="center"/>
        <w:rPr>
          <w:rFonts w:hint="eastAsia" w:ascii="宋体" w:hAnsi="宋体" w:eastAsia="宋体" w:cs="宋体"/>
          <w:b/>
          <w:sz w:val="52"/>
          <w:szCs w:val="52"/>
        </w:rPr>
      </w:pPr>
    </w:p>
    <w:p w14:paraId="353D6854">
      <w:pPr>
        <w:jc w:val="center"/>
        <w:rPr>
          <w:rFonts w:hint="eastAsia" w:ascii="宋体" w:hAnsi="宋体" w:eastAsia="宋体" w:cs="宋体"/>
          <w:b/>
          <w:sz w:val="52"/>
          <w:szCs w:val="52"/>
        </w:rPr>
      </w:pPr>
    </w:p>
    <w:p w14:paraId="0FD8227B">
      <w:pPr>
        <w:rPr>
          <w:rFonts w:hint="eastAsia" w:ascii="宋体" w:hAnsi="宋体" w:eastAsia="宋体" w:cs="宋体"/>
          <w:b/>
          <w:sz w:val="28"/>
          <w:szCs w:val="28"/>
        </w:rPr>
      </w:pPr>
    </w:p>
    <w:p w14:paraId="71AF727E">
      <w:pPr>
        <w:rPr>
          <w:rFonts w:hint="eastAsia" w:ascii="宋体" w:hAnsi="宋体" w:eastAsia="宋体" w:cs="宋体"/>
          <w:b/>
          <w:sz w:val="28"/>
          <w:szCs w:val="28"/>
        </w:rPr>
      </w:pPr>
    </w:p>
    <w:p w14:paraId="72C8333F">
      <w:pPr>
        <w:rPr>
          <w:rFonts w:hint="eastAsia" w:ascii="宋体" w:hAnsi="宋体" w:eastAsia="宋体" w:cs="宋体"/>
          <w:b/>
          <w:sz w:val="28"/>
          <w:szCs w:val="28"/>
        </w:rPr>
      </w:pPr>
    </w:p>
    <w:p w14:paraId="0562F240">
      <w:pPr>
        <w:ind w:right="2719" w:rightChars="1295" w:firstLine="2738" w:firstLineChars="1304"/>
        <w:rPr>
          <w:rFonts w:hint="eastAsia" w:ascii="宋体" w:hAnsi="宋体" w:eastAsia="宋体" w:cs="宋体"/>
          <w:b/>
          <w:sz w:val="32"/>
          <w:szCs w:val="28"/>
        </w:rPr>
      </w:pPr>
      <w:r>
        <w:rPr>
          <w:rFonts w:hint="eastAsia" w:ascii="宋体" w:hAnsi="宋体" w:eastAsia="宋体" w:cs="宋体"/>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14:paraId="79A14902">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BzS1x2AAAAAkBAAAPAAAAAAAAAAEAIAAAACIA&#10;AABkcnMvZG93bnJldi54bWxQSwECFAAUAAAACACHTuJA/2cTqEICAABrBAAADgAAAAAAAAABACAA&#10;AAAnAQAAZHJzL2Uyb0RvYy54bWxQSwUGAAAAAAYABgBZAQAA2wUAAAAA&#10;">
                <v:fill on="f" focussize="0,0"/>
                <v:stroke color="#FFFFFF" miterlimit="8" joinstyle="miter"/>
                <v:imagedata o:title=""/>
                <o:lock v:ext="edit" aspectratio="f"/>
                <v:textbox>
                  <w:txbxContent>
                    <w:p w14:paraId="79A14902">
                      <w:pPr>
                        <w:rPr>
                          <w:b/>
                          <w:bCs/>
                          <w:sz w:val="32"/>
                        </w:rPr>
                      </w:pPr>
                      <w:r>
                        <w:rPr>
                          <w:rFonts w:hint="eastAsia"/>
                          <w:b/>
                          <w:bCs/>
                          <w:sz w:val="32"/>
                        </w:rPr>
                        <w:t>制定</w:t>
                      </w:r>
                    </w:p>
                  </w:txbxContent>
                </v:textbox>
              </v:shape>
            </w:pict>
          </mc:Fallback>
        </mc:AlternateContent>
      </w:r>
      <w:r>
        <w:rPr>
          <w:rFonts w:hint="eastAsia" w:ascii="宋体" w:hAnsi="宋体" w:eastAsia="宋体" w:cs="宋体"/>
          <w:b/>
          <w:sz w:val="32"/>
          <w:szCs w:val="28"/>
        </w:rPr>
        <w:t>住房和城乡建设部</w:t>
      </w:r>
    </w:p>
    <w:p w14:paraId="3FF42631">
      <w:pPr>
        <w:ind w:right="2356" w:rightChars="1122" w:firstLine="2570" w:firstLineChars="800"/>
        <w:rPr>
          <w:rFonts w:hint="eastAsia" w:ascii="宋体" w:hAnsi="宋体" w:eastAsia="宋体" w:cs="宋体"/>
          <w:b/>
          <w:sz w:val="32"/>
          <w:szCs w:val="28"/>
        </w:rPr>
      </w:pPr>
      <w:r>
        <w:rPr>
          <w:rFonts w:hint="eastAsia" w:ascii="宋体" w:hAnsi="宋体" w:eastAsia="宋体" w:cs="宋体"/>
          <w:b/>
          <w:sz w:val="32"/>
          <w:szCs w:val="28"/>
        </w:rPr>
        <w:t>国家工商行政管理总局</w:t>
      </w:r>
    </w:p>
    <w:p w14:paraId="1469EE56">
      <w:pPr>
        <w:widowControl/>
        <w:rPr>
          <w:rFonts w:hint="eastAsia" w:ascii="宋体" w:hAnsi="宋体" w:eastAsia="宋体" w:cs="宋体"/>
          <w:sz w:val="24"/>
          <w:szCs w:val="20"/>
        </w:rPr>
      </w:pPr>
      <w:r>
        <w:rPr>
          <w:rFonts w:hint="eastAsia" w:ascii="宋体" w:hAnsi="宋体" w:eastAsia="宋体" w:cs="宋体"/>
          <w:sz w:val="24"/>
          <w:szCs w:val="20"/>
        </w:rPr>
        <w:br w:type="page"/>
      </w:r>
    </w:p>
    <w:p w14:paraId="3EE90620">
      <w:pPr>
        <w:pStyle w:val="92"/>
        <w:spacing w:before="120" w:after="120"/>
        <w:jc w:val="center"/>
        <w:rPr>
          <w:rFonts w:hint="eastAsia" w:ascii="宋体" w:hAnsi="宋体" w:eastAsia="宋体" w:cs="宋体"/>
          <w:sz w:val="24"/>
          <w:szCs w:val="24"/>
        </w:rPr>
      </w:pPr>
      <w:r>
        <w:rPr>
          <w:rFonts w:hint="eastAsia" w:ascii="宋体" w:hAnsi="宋体" w:eastAsia="宋体" w:cs="宋体"/>
          <w:b/>
          <w:sz w:val="24"/>
          <w:szCs w:val="24"/>
          <w:lang w:bidi="zh-CN"/>
        </w:rPr>
        <w:t>第一部分 合同协议书</w:t>
      </w:r>
    </w:p>
    <w:p w14:paraId="0C9CCBE6">
      <w:pPr>
        <w:pStyle w:val="92"/>
        <w:spacing w:before="120" w:after="120"/>
        <w:rPr>
          <w:rFonts w:hint="eastAsia" w:ascii="宋体" w:hAnsi="宋体" w:eastAsia="宋体" w:cs="宋体"/>
          <w:sz w:val="24"/>
          <w:szCs w:val="24"/>
        </w:rPr>
      </w:pPr>
      <w:r>
        <w:rPr>
          <w:rFonts w:hint="eastAsia" w:ascii="宋体" w:hAnsi="宋体" w:eastAsia="宋体" w:cs="宋体"/>
          <w:sz w:val="24"/>
          <w:szCs w:val="24"/>
        </w:rPr>
        <w:t>附件一：合同协议书</w:t>
      </w:r>
      <w:bookmarkEnd w:id="560"/>
      <w:bookmarkEnd w:id="561"/>
      <w:bookmarkEnd w:id="562"/>
      <w:bookmarkEnd w:id="563"/>
      <w:bookmarkEnd w:id="564"/>
      <w:bookmarkEnd w:id="565"/>
      <w:bookmarkEnd w:id="566"/>
    </w:p>
    <w:p w14:paraId="7646FAF6">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合同协议书</w:t>
      </w:r>
    </w:p>
    <w:p w14:paraId="1C16A95A">
      <w:pPr>
        <w:pStyle w:val="62"/>
        <w:spacing w:line="360" w:lineRule="auto"/>
        <w:rPr>
          <w:rFonts w:hint="eastAsia" w:ascii="宋体" w:hAnsi="宋体" w:eastAsia="宋体" w:cs="宋体"/>
          <w:szCs w:val="21"/>
        </w:rPr>
      </w:pPr>
      <w:r>
        <w:rPr>
          <w:rFonts w:hint="eastAsia" w:ascii="宋体" w:hAnsi="宋体" w:eastAsia="宋体" w:cs="宋体"/>
          <w:szCs w:val="21"/>
        </w:rPr>
        <w:t xml:space="preserve">                                                       编号：</w:t>
      </w:r>
      <w:r>
        <w:rPr>
          <w:rFonts w:hint="eastAsia" w:ascii="宋体" w:hAnsi="宋体" w:eastAsia="宋体" w:cs="宋体"/>
          <w:szCs w:val="21"/>
          <w:u w:val="single"/>
        </w:rPr>
        <w:t xml:space="preserve">             </w:t>
      </w:r>
    </w:p>
    <w:p w14:paraId="2C6BB072">
      <w:pPr>
        <w:spacing w:line="360" w:lineRule="auto"/>
        <w:rPr>
          <w:rFonts w:hint="eastAsia" w:ascii="宋体" w:hAnsi="宋体" w:eastAsia="宋体" w:cs="宋体"/>
          <w:szCs w:val="21"/>
        </w:rPr>
      </w:pPr>
      <w:r>
        <w:rPr>
          <w:rFonts w:hint="eastAsia" w:ascii="宋体" w:hAnsi="宋体" w:eastAsia="宋体" w:cs="宋体"/>
          <w:szCs w:val="21"/>
        </w:rPr>
        <w:t>发包人（全称）：</w:t>
      </w:r>
      <w:r>
        <w:rPr>
          <w:rFonts w:hint="eastAsia" w:ascii="宋体" w:hAnsi="宋体" w:eastAsia="宋体" w:cs="宋体"/>
          <w:szCs w:val="21"/>
          <w:u w:val="single"/>
        </w:rPr>
        <w:t>北京市海淀区人民政府永定路街道办事处</w:t>
      </w:r>
    </w:p>
    <w:p w14:paraId="3A5CDB95">
      <w:pPr>
        <w:spacing w:line="360" w:lineRule="auto"/>
        <w:rPr>
          <w:rFonts w:hint="eastAsia" w:ascii="宋体" w:hAnsi="宋体" w:eastAsia="宋体" w:cs="宋体"/>
          <w:szCs w:val="21"/>
        </w:rPr>
      </w:pPr>
      <w:r>
        <w:rPr>
          <w:rFonts w:hint="eastAsia" w:ascii="宋体" w:hAnsi="宋体" w:eastAsia="宋体" w:cs="宋体"/>
          <w:szCs w:val="21"/>
        </w:rPr>
        <w:t>法定代表人：</w:t>
      </w:r>
      <w:r>
        <w:rPr>
          <w:rFonts w:hint="eastAsia" w:ascii="宋体" w:hAnsi="宋体" w:eastAsia="宋体" w:cs="宋体"/>
          <w:szCs w:val="21"/>
          <w:u w:val="single"/>
        </w:rPr>
        <w:t>李伟</w:t>
      </w:r>
    </w:p>
    <w:p w14:paraId="1760B8A0">
      <w:pPr>
        <w:spacing w:line="360" w:lineRule="auto"/>
        <w:rPr>
          <w:rFonts w:hint="eastAsia" w:ascii="宋体" w:hAnsi="宋体" w:eastAsia="宋体" w:cs="宋体"/>
          <w:szCs w:val="21"/>
          <w:u w:val="single"/>
        </w:rPr>
      </w:pPr>
      <w:r>
        <w:rPr>
          <w:rFonts w:hint="eastAsia" w:ascii="宋体" w:hAnsi="宋体" w:eastAsia="宋体" w:cs="宋体"/>
          <w:szCs w:val="21"/>
        </w:rPr>
        <w:t>法定注册地址：</w:t>
      </w:r>
      <w:r>
        <w:rPr>
          <w:rFonts w:hint="eastAsia" w:ascii="宋体" w:hAnsi="宋体" w:eastAsia="宋体" w:cs="宋体"/>
          <w:szCs w:val="21"/>
          <w:u w:val="single"/>
        </w:rPr>
        <w:t>北京市海淀区采石北路18号</w:t>
      </w:r>
    </w:p>
    <w:p w14:paraId="74978F43">
      <w:pPr>
        <w:spacing w:line="360" w:lineRule="auto"/>
        <w:rPr>
          <w:rFonts w:hint="eastAsia" w:ascii="宋体" w:hAnsi="宋体" w:eastAsia="宋体" w:cs="宋体"/>
          <w:szCs w:val="21"/>
        </w:rPr>
      </w:pPr>
      <w:r>
        <w:rPr>
          <w:rFonts w:hint="eastAsia" w:ascii="宋体" w:hAnsi="宋体" w:eastAsia="宋体" w:cs="宋体"/>
          <w:szCs w:val="21"/>
        </w:rPr>
        <w:t>承包人（全称）：</w:t>
      </w:r>
      <w:r>
        <w:rPr>
          <w:rFonts w:hint="eastAsia" w:ascii="宋体" w:hAnsi="宋体" w:eastAsia="宋体" w:cs="宋体"/>
          <w:szCs w:val="21"/>
          <w:u w:val="single"/>
        </w:rPr>
        <w:t xml:space="preserve">                        </w:t>
      </w:r>
    </w:p>
    <w:p w14:paraId="756005EE">
      <w:pPr>
        <w:spacing w:line="360" w:lineRule="auto"/>
        <w:rPr>
          <w:rFonts w:hint="eastAsia" w:ascii="宋体" w:hAnsi="宋体" w:eastAsia="宋体" w:cs="宋体"/>
          <w:szCs w:val="21"/>
        </w:rPr>
      </w:pPr>
      <w:r>
        <w:rPr>
          <w:rFonts w:hint="eastAsia" w:ascii="宋体" w:hAnsi="宋体" w:eastAsia="宋体" w:cs="宋体"/>
          <w:szCs w:val="21"/>
        </w:rPr>
        <w:t>法定代表人：</w:t>
      </w:r>
      <w:r>
        <w:rPr>
          <w:rFonts w:hint="eastAsia" w:ascii="宋体" w:hAnsi="宋体" w:eastAsia="宋体" w:cs="宋体"/>
          <w:szCs w:val="21"/>
          <w:u w:val="single"/>
        </w:rPr>
        <w:t xml:space="preserve">             </w:t>
      </w:r>
    </w:p>
    <w:p w14:paraId="7FD080C1">
      <w:pPr>
        <w:spacing w:line="360" w:lineRule="auto"/>
        <w:rPr>
          <w:rFonts w:hint="eastAsia" w:ascii="宋体" w:hAnsi="宋体" w:eastAsia="宋体" w:cs="宋体"/>
          <w:b/>
        </w:rPr>
      </w:pPr>
      <w:r>
        <w:rPr>
          <w:rFonts w:hint="eastAsia" w:ascii="宋体" w:hAnsi="宋体" w:eastAsia="宋体" w:cs="宋体"/>
          <w:szCs w:val="21"/>
        </w:rPr>
        <w:t>法定注册地址</w:t>
      </w:r>
      <w:r>
        <w:rPr>
          <w:rFonts w:hint="eastAsia" w:ascii="宋体" w:hAnsi="宋体" w:eastAsia="宋体" w:cs="宋体"/>
          <w:b/>
          <w:szCs w:val="21"/>
        </w:rPr>
        <w:t>：</w:t>
      </w:r>
      <w:r>
        <w:rPr>
          <w:rFonts w:hint="eastAsia" w:ascii="宋体" w:hAnsi="宋体" w:eastAsia="宋体" w:cs="宋体"/>
          <w:szCs w:val="21"/>
          <w:u w:val="single"/>
        </w:rPr>
        <w:t xml:space="preserve">                          </w:t>
      </w:r>
    </w:p>
    <w:p w14:paraId="7CE871B5">
      <w:pPr>
        <w:spacing w:line="360" w:lineRule="auto"/>
        <w:ind w:firstLine="490"/>
        <w:rPr>
          <w:rFonts w:hint="eastAsia" w:ascii="宋体" w:hAnsi="宋体" w:eastAsia="宋体" w:cs="宋体"/>
        </w:rPr>
      </w:pPr>
    </w:p>
    <w:p w14:paraId="7C5F27DC">
      <w:pPr>
        <w:spacing w:line="360" w:lineRule="auto"/>
        <w:ind w:firstLine="420" w:firstLineChars="200"/>
        <w:rPr>
          <w:rFonts w:hint="eastAsia" w:ascii="宋体" w:hAnsi="宋体" w:eastAsia="宋体" w:cs="宋体"/>
        </w:rPr>
      </w:pPr>
      <w:r>
        <w:rPr>
          <w:rFonts w:hint="eastAsia" w:ascii="宋体" w:hAnsi="宋体" w:eastAsia="宋体" w:cs="宋体"/>
          <w:szCs w:val="21"/>
        </w:rPr>
        <w:t>发包人为建设</w:t>
      </w:r>
      <w:r>
        <w:rPr>
          <w:rFonts w:hint="eastAsia" w:ascii="宋体" w:hAnsi="宋体" w:eastAsia="宋体" w:cs="宋体"/>
          <w:szCs w:val="21"/>
          <w:u w:val="single"/>
        </w:rPr>
        <w:t xml:space="preserve">                               </w:t>
      </w:r>
      <w:r>
        <w:rPr>
          <w:rFonts w:hint="eastAsia" w:ascii="宋体" w:hAnsi="宋体" w:eastAsia="宋体" w:cs="宋体"/>
          <w:szCs w:val="21"/>
        </w:rPr>
        <w:t>（以下简称“本工程”），已接受承包人提出的承担本工程的施工、竣工、交付并维修其任何缺陷的投标。</w:t>
      </w:r>
      <w:r>
        <w:rPr>
          <w:rFonts w:hint="eastAsia" w:ascii="宋体" w:hAnsi="宋体" w:eastAsia="宋体" w:cs="宋体"/>
        </w:rPr>
        <w:t>依照《中华人民共和国招标投标法》、《中华人民共和国民法典》、《中华人民共和国建筑法》、及其他有关法律、行政法规，遵循平等、自愿、公平和诚实信用的原则，双方共同达成并订立如下协议。</w:t>
      </w:r>
    </w:p>
    <w:p w14:paraId="69890D8B">
      <w:pPr>
        <w:spacing w:line="360" w:lineRule="auto"/>
        <w:ind w:firstLine="420" w:firstLineChars="200"/>
        <w:rPr>
          <w:rFonts w:hint="eastAsia" w:ascii="宋体" w:hAnsi="宋体" w:eastAsia="宋体" w:cs="宋体"/>
        </w:rPr>
      </w:pPr>
      <w:r>
        <w:rPr>
          <w:rFonts w:hint="eastAsia" w:ascii="宋体" w:hAnsi="宋体" w:eastAsia="宋体" w:cs="宋体"/>
        </w:rPr>
        <w:t>一、工程概况</w:t>
      </w:r>
    </w:p>
    <w:p w14:paraId="49D9799E">
      <w:pPr>
        <w:spacing w:line="360" w:lineRule="auto"/>
        <w:ind w:firstLine="420" w:firstLineChars="200"/>
        <w:rPr>
          <w:rFonts w:hint="eastAsia" w:ascii="宋体" w:hAnsi="宋体" w:eastAsia="宋体" w:cs="宋体"/>
          <w:u w:val="single"/>
        </w:rPr>
      </w:pPr>
      <w:r>
        <w:rPr>
          <w:rFonts w:hint="eastAsia" w:ascii="宋体" w:hAnsi="宋体" w:eastAsia="宋体" w:cs="宋体"/>
        </w:rPr>
        <w:t>工程名称：</w:t>
      </w:r>
      <w:r>
        <w:rPr>
          <w:rFonts w:hint="eastAsia" w:ascii="宋体" w:hAnsi="宋体" w:eastAsia="宋体" w:cs="宋体"/>
          <w:szCs w:val="21"/>
          <w:u w:val="single"/>
        </w:rPr>
        <w:t xml:space="preserve">                                  </w:t>
      </w:r>
    </w:p>
    <w:p w14:paraId="371B805C">
      <w:pPr>
        <w:spacing w:line="360" w:lineRule="auto"/>
        <w:ind w:firstLine="420" w:firstLineChars="200"/>
        <w:rPr>
          <w:rFonts w:hint="eastAsia" w:ascii="宋体" w:hAnsi="宋体" w:eastAsia="宋体" w:cs="宋体"/>
          <w:u w:val="single"/>
        </w:rPr>
      </w:pPr>
      <w:r>
        <w:rPr>
          <w:rFonts w:hint="eastAsia" w:ascii="宋体" w:hAnsi="宋体" w:eastAsia="宋体" w:cs="宋体"/>
        </w:rPr>
        <w:t>工程地点：</w:t>
      </w:r>
      <w:r>
        <w:rPr>
          <w:rFonts w:hint="eastAsia" w:ascii="宋体" w:hAnsi="宋体" w:eastAsia="宋体" w:cs="宋体"/>
          <w:szCs w:val="21"/>
          <w:u w:val="single"/>
        </w:rPr>
        <w:t>北京市海淀区</w:t>
      </w:r>
    </w:p>
    <w:p w14:paraId="35181AB8">
      <w:pPr>
        <w:spacing w:line="360" w:lineRule="auto"/>
        <w:ind w:firstLine="420" w:firstLineChars="200"/>
        <w:rPr>
          <w:rFonts w:hint="eastAsia" w:ascii="宋体" w:hAnsi="宋体" w:eastAsia="宋体" w:cs="宋体"/>
          <w:u w:val="single"/>
        </w:rPr>
      </w:pPr>
      <w:r>
        <w:rPr>
          <w:rFonts w:hint="eastAsia" w:ascii="宋体" w:hAnsi="宋体" w:eastAsia="宋体" w:cs="宋体"/>
        </w:rPr>
        <w:t>工程内容：</w:t>
      </w:r>
      <w:r>
        <w:rPr>
          <w:rFonts w:hint="eastAsia" w:ascii="宋体" w:hAnsi="宋体" w:eastAsia="宋体" w:cs="宋体"/>
          <w:szCs w:val="21"/>
          <w:u w:val="single"/>
        </w:rPr>
        <w:t>本项目包含：绿化工程、道路工程、喷灌工程等施工图所示的全部内容。</w:t>
      </w:r>
    </w:p>
    <w:p w14:paraId="78C5E1C0">
      <w:pPr>
        <w:spacing w:line="360" w:lineRule="auto"/>
        <w:ind w:firstLine="420" w:firstLineChars="200"/>
        <w:rPr>
          <w:rFonts w:hint="eastAsia" w:ascii="宋体" w:hAnsi="宋体" w:eastAsia="宋体" w:cs="宋体"/>
        </w:rPr>
      </w:pPr>
      <w:r>
        <w:rPr>
          <w:rFonts w:hint="eastAsia" w:ascii="宋体" w:hAnsi="宋体" w:eastAsia="宋体" w:cs="宋体"/>
        </w:rPr>
        <w:t>群体工程应附“承包人承揽工程项目一览表”（附件二）</w:t>
      </w:r>
    </w:p>
    <w:p w14:paraId="5A728BF1">
      <w:pPr>
        <w:spacing w:line="360" w:lineRule="auto"/>
        <w:ind w:firstLine="420" w:firstLineChars="200"/>
        <w:rPr>
          <w:rFonts w:hint="eastAsia" w:ascii="宋体" w:hAnsi="宋体" w:eastAsia="宋体" w:cs="宋体"/>
          <w:u w:val="single"/>
        </w:rPr>
      </w:pPr>
      <w:r>
        <w:rPr>
          <w:rFonts w:hint="eastAsia" w:ascii="宋体" w:hAnsi="宋体" w:eastAsia="宋体" w:cs="宋体"/>
        </w:rPr>
        <w:t>工程立项批准文号：</w:t>
      </w:r>
      <w:r>
        <w:rPr>
          <w:rFonts w:hint="eastAsia" w:ascii="宋体" w:hAnsi="宋体" w:eastAsia="宋体" w:cs="宋体"/>
          <w:szCs w:val="21"/>
          <w:u w:val="single"/>
        </w:rPr>
        <w:t xml:space="preserve">         /         </w:t>
      </w:r>
    </w:p>
    <w:p w14:paraId="776F8CDD">
      <w:pPr>
        <w:spacing w:line="360" w:lineRule="auto"/>
        <w:ind w:firstLine="420" w:firstLineChars="200"/>
        <w:rPr>
          <w:rFonts w:hint="eastAsia" w:ascii="宋体" w:hAnsi="宋体" w:eastAsia="宋体" w:cs="宋体"/>
          <w:u w:val="single"/>
        </w:rPr>
      </w:pPr>
      <w:r>
        <w:rPr>
          <w:rFonts w:hint="eastAsia" w:ascii="宋体" w:hAnsi="宋体" w:eastAsia="宋体" w:cs="宋体"/>
        </w:rPr>
        <w:t>资金来源：</w:t>
      </w:r>
      <w:r>
        <w:rPr>
          <w:rFonts w:hint="eastAsia" w:ascii="宋体" w:hAnsi="宋体" w:eastAsia="宋体" w:cs="宋体"/>
          <w:szCs w:val="21"/>
          <w:u w:val="single"/>
        </w:rPr>
        <w:t xml:space="preserve">财政资金  </w:t>
      </w:r>
    </w:p>
    <w:p w14:paraId="0D7C0535">
      <w:pPr>
        <w:spacing w:line="360" w:lineRule="auto"/>
        <w:ind w:firstLine="420" w:firstLineChars="200"/>
        <w:rPr>
          <w:rFonts w:hint="eastAsia" w:ascii="宋体" w:hAnsi="宋体" w:eastAsia="宋体" w:cs="宋体"/>
        </w:rPr>
      </w:pPr>
      <w:r>
        <w:rPr>
          <w:rFonts w:hint="eastAsia" w:ascii="宋体" w:hAnsi="宋体" w:eastAsia="宋体" w:cs="宋体"/>
        </w:rPr>
        <w:t>二、工程承包范围</w:t>
      </w:r>
    </w:p>
    <w:p w14:paraId="69E06CBC">
      <w:pPr>
        <w:spacing w:line="360" w:lineRule="auto"/>
        <w:ind w:firstLine="420" w:firstLineChars="200"/>
        <w:rPr>
          <w:rFonts w:hint="eastAsia" w:ascii="宋体" w:hAnsi="宋体" w:eastAsia="宋体" w:cs="宋体"/>
        </w:rPr>
      </w:pPr>
      <w:r>
        <w:rPr>
          <w:rFonts w:hint="eastAsia" w:ascii="宋体" w:hAnsi="宋体" w:eastAsia="宋体" w:cs="宋体"/>
        </w:rPr>
        <w:t>承包范围：</w:t>
      </w:r>
      <w:r>
        <w:rPr>
          <w:rFonts w:hint="eastAsia" w:ascii="宋体" w:hAnsi="宋体" w:eastAsia="宋体" w:cs="宋体"/>
          <w:szCs w:val="21"/>
          <w:u w:val="single"/>
        </w:rPr>
        <w:t>本项目包含：绿化工程、道路工程、喷灌工程等施工图所示的全部内容。</w:t>
      </w:r>
    </w:p>
    <w:p w14:paraId="61B8681F">
      <w:pPr>
        <w:spacing w:line="360" w:lineRule="auto"/>
        <w:ind w:firstLine="420" w:firstLineChars="200"/>
        <w:rPr>
          <w:rFonts w:hint="eastAsia" w:ascii="宋体" w:hAnsi="宋体" w:eastAsia="宋体" w:cs="宋体"/>
          <w:b/>
          <w:u w:val="single"/>
        </w:rPr>
      </w:pPr>
      <w:r>
        <w:rPr>
          <w:rFonts w:hint="eastAsia" w:ascii="宋体" w:hAnsi="宋体" w:eastAsia="宋体" w:cs="宋体"/>
        </w:rPr>
        <w:t>详细承包范围见第五章“技术标准和要求”。</w:t>
      </w:r>
    </w:p>
    <w:p w14:paraId="7A7F68D1">
      <w:pPr>
        <w:spacing w:line="360" w:lineRule="auto"/>
        <w:ind w:firstLine="420" w:firstLineChars="200"/>
        <w:rPr>
          <w:rFonts w:hint="eastAsia" w:ascii="宋体" w:hAnsi="宋体" w:eastAsia="宋体" w:cs="宋体"/>
        </w:rPr>
      </w:pPr>
      <w:r>
        <w:rPr>
          <w:rFonts w:hint="eastAsia" w:ascii="宋体" w:hAnsi="宋体" w:eastAsia="宋体" w:cs="宋体"/>
        </w:rPr>
        <w:t>三、合同工期</w:t>
      </w:r>
    </w:p>
    <w:p w14:paraId="04E507ED">
      <w:pPr>
        <w:spacing w:line="360" w:lineRule="auto"/>
        <w:ind w:firstLine="420" w:firstLineChars="200"/>
        <w:rPr>
          <w:rFonts w:hint="eastAsia" w:ascii="宋体" w:hAnsi="宋体" w:eastAsia="宋体" w:cs="宋体"/>
          <w:u w:val="single"/>
        </w:rPr>
      </w:pPr>
      <w:r>
        <w:rPr>
          <w:rFonts w:hint="eastAsia" w:ascii="宋体" w:hAnsi="宋体" w:eastAsia="宋体" w:cs="宋体"/>
        </w:rPr>
        <w:t>计划开工日期：</w:t>
      </w:r>
      <w:r>
        <w:rPr>
          <w:rFonts w:hint="eastAsia" w:ascii="宋体" w:hAnsi="宋体" w:eastAsia="宋体" w:cs="宋体"/>
          <w:szCs w:val="21"/>
          <w:u w:val="single"/>
        </w:rPr>
        <w:t xml:space="preserve">     </w:t>
      </w:r>
      <w:r>
        <w:rPr>
          <w:rFonts w:hint="eastAsia" w:ascii="宋体" w:hAnsi="宋体" w:eastAsia="宋体" w:cs="宋体"/>
        </w:rPr>
        <w:t>年</w:t>
      </w:r>
      <w:r>
        <w:rPr>
          <w:rFonts w:hint="eastAsia" w:ascii="宋体" w:hAnsi="宋体" w:eastAsia="宋体" w:cs="宋体"/>
          <w:szCs w:val="21"/>
          <w:u w:val="single"/>
        </w:rPr>
        <w:t xml:space="preserve">     </w:t>
      </w:r>
      <w:r>
        <w:rPr>
          <w:rFonts w:hint="eastAsia" w:ascii="宋体" w:hAnsi="宋体" w:eastAsia="宋体" w:cs="宋体"/>
        </w:rPr>
        <w:t>月</w:t>
      </w:r>
      <w:r>
        <w:rPr>
          <w:rFonts w:hint="eastAsia" w:ascii="宋体" w:hAnsi="宋体" w:eastAsia="宋体" w:cs="宋体"/>
          <w:szCs w:val="21"/>
          <w:u w:val="single"/>
        </w:rPr>
        <w:t xml:space="preserve">     </w:t>
      </w:r>
      <w:r>
        <w:rPr>
          <w:rFonts w:hint="eastAsia" w:ascii="宋体" w:hAnsi="宋体" w:eastAsia="宋体" w:cs="宋体"/>
        </w:rPr>
        <w:t>日</w:t>
      </w:r>
    </w:p>
    <w:p w14:paraId="616DB516">
      <w:pPr>
        <w:spacing w:line="360" w:lineRule="auto"/>
        <w:ind w:firstLine="420" w:firstLineChars="200"/>
        <w:rPr>
          <w:rFonts w:hint="eastAsia" w:ascii="宋体" w:hAnsi="宋体" w:eastAsia="宋体" w:cs="宋体"/>
          <w:u w:val="single"/>
        </w:rPr>
      </w:pPr>
      <w:r>
        <w:rPr>
          <w:rFonts w:hint="eastAsia" w:ascii="宋体" w:hAnsi="宋体" w:eastAsia="宋体" w:cs="宋体"/>
        </w:rPr>
        <w:t>计划竣工日期：</w:t>
      </w:r>
      <w:r>
        <w:rPr>
          <w:rFonts w:hint="eastAsia" w:ascii="宋体" w:hAnsi="宋体" w:eastAsia="宋体" w:cs="宋体"/>
          <w:szCs w:val="21"/>
          <w:u w:val="single"/>
        </w:rPr>
        <w:t xml:space="preserve">     </w:t>
      </w:r>
      <w:r>
        <w:rPr>
          <w:rFonts w:hint="eastAsia" w:ascii="宋体" w:hAnsi="宋体" w:eastAsia="宋体" w:cs="宋体"/>
        </w:rPr>
        <w:t>年</w:t>
      </w:r>
      <w:r>
        <w:rPr>
          <w:rFonts w:hint="eastAsia" w:ascii="宋体" w:hAnsi="宋体" w:eastAsia="宋体" w:cs="宋体"/>
          <w:szCs w:val="21"/>
          <w:u w:val="single"/>
        </w:rPr>
        <w:t xml:space="preserve">     </w:t>
      </w:r>
      <w:r>
        <w:rPr>
          <w:rFonts w:hint="eastAsia" w:ascii="宋体" w:hAnsi="宋体" w:eastAsia="宋体" w:cs="宋体"/>
        </w:rPr>
        <w:t>月</w:t>
      </w:r>
      <w:r>
        <w:rPr>
          <w:rFonts w:hint="eastAsia" w:ascii="宋体" w:hAnsi="宋体" w:eastAsia="宋体" w:cs="宋体"/>
          <w:szCs w:val="21"/>
          <w:u w:val="single"/>
        </w:rPr>
        <w:t xml:space="preserve">     </w:t>
      </w:r>
      <w:r>
        <w:rPr>
          <w:rFonts w:hint="eastAsia" w:ascii="宋体" w:hAnsi="宋体" w:eastAsia="宋体" w:cs="宋体"/>
        </w:rPr>
        <w:t>日</w:t>
      </w:r>
    </w:p>
    <w:p w14:paraId="48C8EA5A">
      <w:pPr>
        <w:spacing w:line="360" w:lineRule="auto"/>
        <w:ind w:firstLine="420" w:firstLineChars="200"/>
        <w:rPr>
          <w:rFonts w:hint="eastAsia" w:ascii="宋体" w:hAnsi="宋体" w:eastAsia="宋体" w:cs="宋体"/>
        </w:rPr>
      </w:pPr>
      <w:r>
        <w:rPr>
          <w:rFonts w:hint="eastAsia" w:ascii="宋体" w:hAnsi="宋体" w:eastAsia="宋体" w:cs="宋体"/>
        </w:rPr>
        <w:t>工期总日历天数</w:t>
      </w:r>
      <w:r>
        <w:rPr>
          <w:rFonts w:hint="eastAsia" w:ascii="宋体" w:hAnsi="宋体" w:eastAsia="宋体" w:cs="宋体"/>
          <w:szCs w:val="21"/>
          <w:u w:val="single"/>
        </w:rPr>
        <w:t xml:space="preserve">              </w:t>
      </w:r>
      <w:r>
        <w:rPr>
          <w:rFonts w:hint="eastAsia" w:ascii="宋体" w:hAnsi="宋体" w:eastAsia="宋体" w:cs="宋体"/>
        </w:rPr>
        <w:t>天，自监理人发出的开工通知中载明的开工日期起算。</w:t>
      </w:r>
    </w:p>
    <w:p w14:paraId="5ED364F9">
      <w:pPr>
        <w:spacing w:line="360" w:lineRule="auto"/>
        <w:ind w:firstLine="420" w:firstLineChars="200"/>
        <w:rPr>
          <w:rFonts w:hint="eastAsia" w:ascii="宋体" w:hAnsi="宋体" w:eastAsia="宋体" w:cs="宋体"/>
        </w:rPr>
      </w:pPr>
      <w:r>
        <w:rPr>
          <w:rFonts w:hint="eastAsia" w:ascii="宋体" w:hAnsi="宋体" w:eastAsia="宋体" w:cs="宋体"/>
        </w:rPr>
        <w:t>四、质量标准</w:t>
      </w:r>
    </w:p>
    <w:p w14:paraId="6ED57BF9">
      <w:pPr>
        <w:spacing w:line="360" w:lineRule="auto"/>
        <w:ind w:firstLine="420" w:firstLineChars="200"/>
        <w:rPr>
          <w:rFonts w:hint="eastAsia" w:ascii="宋体" w:hAnsi="宋体" w:eastAsia="宋体" w:cs="宋体"/>
          <w:u w:val="single"/>
        </w:rPr>
      </w:pPr>
      <w:r>
        <w:rPr>
          <w:rFonts w:hint="eastAsia" w:ascii="宋体" w:hAnsi="宋体" w:eastAsia="宋体" w:cs="宋体"/>
        </w:rPr>
        <w:t>工程质量标准：</w:t>
      </w:r>
      <w:r>
        <w:rPr>
          <w:rFonts w:hint="eastAsia" w:ascii="宋体" w:hAnsi="宋体" w:eastAsia="宋体" w:cs="宋体"/>
          <w:szCs w:val="21"/>
          <w:u w:val="single"/>
        </w:rPr>
        <w:t>合格</w:t>
      </w:r>
    </w:p>
    <w:p w14:paraId="0F01DF4B">
      <w:pPr>
        <w:spacing w:line="360" w:lineRule="auto"/>
        <w:ind w:firstLine="420" w:firstLineChars="200"/>
        <w:rPr>
          <w:rFonts w:hint="eastAsia" w:ascii="宋体" w:hAnsi="宋体" w:eastAsia="宋体" w:cs="宋体"/>
        </w:rPr>
      </w:pPr>
      <w:bookmarkStart w:id="567" w:name="_Hlk8723675"/>
      <w:r>
        <w:rPr>
          <w:rFonts w:hint="eastAsia" w:ascii="宋体" w:hAnsi="宋体" w:eastAsia="宋体" w:cs="宋体"/>
        </w:rPr>
        <w:t>五、施工现场安全生产标准化管理目标等级要求</w:t>
      </w:r>
    </w:p>
    <w:p w14:paraId="55E00002">
      <w:pPr>
        <w:spacing w:line="360" w:lineRule="auto"/>
        <w:ind w:firstLine="420" w:firstLineChars="200"/>
        <w:rPr>
          <w:rFonts w:hint="eastAsia" w:ascii="宋体" w:hAnsi="宋体" w:eastAsia="宋体" w:cs="宋体"/>
          <w:u w:val="single"/>
        </w:rPr>
      </w:pPr>
      <w:r>
        <w:rPr>
          <w:rFonts w:hint="eastAsia" w:ascii="宋体" w:hAnsi="宋体" w:eastAsia="宋体" w:cs="宋体"/>
        </w:rPr>
        <w:t>施工现场安全生产标准化管理目标等级：</w:t>
      </w:r>
      <w:bookmarkEnd w:id="567"/>
      <w:r>
        <w:rPr>
          <w:rFonts w:hint="eastAsia" w:ascii="宋体" w:hAnsi="宋体" w:eastAsia="宋体" w:cs="宋体"/>
          <w:szCs w:val="21"/>
          <w:u w:val="single"/>
        </w:rPr>
        <w:t>达标</w:t>
      </w:r>
    </w:p>
    <w:p w14:paraId="0D6D3CAC">
      <w:pPr>
        <w:spacing w:line="360" w:lineRule="auto"/>
        <w:ind w:firstLine="420" w:firstLineChars="200"/>
        <w:rPr>
          <w:rFonts w:hint="eastAsia" w:ascii="宋体" w:hAnsi="宋体" w:eastAsia="宋体" w:cs="宋体"/>
        </w:rPr>
      </w:pPr>
      <w:r>
        <w:rPr>
          <w:rFonts w:hint="eastAsia" w:ascii="宋体" w:hAnsi="宋体" w:eastAsia="宋体" w:cs="宋体"/>
        </w:rPr>
        <w:t>六、合同形式</w:t>
      </w:r>
    </w:p>
    <w:p w14:paraId="32BD5433">
      <w:pPr>
        <w:spacing w:line="360" w:lineRule="auto"/>
        <w:ind w:firstLine="420" w:firstLineChars="200"/>
        <w:rPr>
          <w:rFonts w:hint="eastAsia" w:ascii="宋体" w:hAnsi="宋体" w:eastAsia="宋体" w:cs="宋体"/>
          <w:b/>
          <w:u w:val="single"/>
        </w:rPr>
      </w:pPr>
      <w:r>
        <w:rPr>
          <w:rFonts w:hint="eastAsia" w:ascii="宋体" w:hAnsi="宋体" w:eastAsia="宋体" w:cs="宋体"/>
        </w:rPr>
        <w:t>本合同采用</w:t>
      </w:r>
      <w:r>
        <w:rPr>
          <w:rFonts w:hint="eastAsia" w:ascii="宋体" w:hAnsi="宋体" w:eastAsia="宋体" w:cs="宋体"/>
          <w:szCs w:val="21"/>
          <w:u w:val="single"/>
        </w:rPr>
        <w:t xml:space="preserve">   固定单价      </w:t>
      </w:r>
      <w:r>
        <w:rPr>
          <w:rFonts w:hint="eastAsia" w:ascii="宋体" w:hAnsi="宋体" w:eastAsia="宋体" w:cs="宋体"/>
        </w:rPr>
        <w:t>合同形式。</w:t>
      </w:r>
    </w:p>
    <w:p w14:paraId="2453E778">
      <w:pPr>
        <w:spacing w:line="360" w:lineRule="auto"/>
        <w:ind w:firstLine="420" w:firstLineChars="200"/>
        <w:rPr>
          <w:rFonts w:hint="eastAsia" w:ascii="宋体" w:hAnsi="宋体" w:eastAsia="宋体" w:cs="宋体"/>
          <w:bCs/>
        </w:rPr>
      </w:pPr>
      <w:r>
        <w:rPr>
          <w:rFonts w:hint="eastAsia" w:ascii="宋体" w:hAnsi="宋体" w:eastAsia="宋体" w:cs="宋体"/>
          <w:bCs/>
        </w:rPr>
        <w:t>七、签约合同价</w:t>
      </w:r>
    </w:p>
    <w:p w14:paraId="41E3B040">
      <w:pPr>
        <w:spacing w:line="360" w:lineRule="auto"/>
        <w:ind w:firstLine="420" w:firstLineChars="200"/>
        <w:rPr>
          <w:rFonts w:hint="eastAsia" w:ascii="宋体" w:hAnsi="宋体" w:eastAsia="宋体" w:cs="宋体"/>
        </w:rPr>
      </w:pPr>
      <w:r>
        <w:rPr>
          <w:rFonts w:hint="eastAsia" w:ascii="宋体" w:hAnsi="宋体" w:eastAsia="宋体" w:cs="宋体"/>
        </w:rPr>
        <w:t>暂定金额（大写）：</w:t>
      </w:r>
      <w:r>
        <w:rPr>
          <w:rFonts w:hint="eastAsia" w:ascii="宋体" w:hAnsi="宋体" w:eastAsia="宋体" w:cs="宋体"/>
          <w:u w:val="single"/>
        </w:rPr>
        <w:t xml:space="preserve">                            </w:t>
      </w:r>
      <w:r>
        <w:rPr>
          <w:rFonts w:hint="eastAsia" w:ascii="宋体" w:hAnsi="宋体" w:eastAsia="宋体" w:cs="宋体"/>
        </w:rPr>
        <w:t>（人民币）</w:t>
      </w:r>
    </w:p>
    <w:p w14:paraId="56ED4FEE">
      <w:pPr>
        <w:spacing w:line="360" w:lineRule="auto"/>
        <w:ind w:firstLine="420" w:firstLineChars="200"/>
        <w:rPr>
          <w:rFonts w:hint="eastAsia" w:ascii="宋体" w:hAnsi="宋体" w:eastAsia="宋体" w:cs="宋体"/>
        </w:rPr>
      </w:pPr>
      <w:r>
        <w:rPr>
          <w:rFonts w:hint="eastAsia" w:ascii="宋体" w:hAnsi="宋体" w:eastAsia="宋体" w:cs="宋体"/>
        </w:rPr>
        <w:t>（小写）￥：</w:t>
      </w:r>
      <w:r>
        <w:rPr>
          <w:rFonts w:hint="eastAsia" w:ascii="宋体" w:hAnsi="宋体" w:eastAsia="宋体" w:cs="宋体"/>
          <w:szCs w:val="21"/>
          <w:u w:val="single"/>
        </w:rPr>
        <w:t xml:space="preserve">             </w:t>
      </w:r>
      <w:r>
        <w:rPr>
          <w:rFonts w:hint="eastAsia" w:ascii="宋体" w:hAnsi="宋体" w:eastAsia="宋体" w:cs="宋体"/>
        </w:rPr>
        <w:t>元</w:t>
      </w:r>
    </w:p>
    <w:p w14:paraId="69203EA4">
      <w:pPr>
        <w:spacing w:line="360" w:lineRule="auto"/>
        <w:ind w:firstLine="630" w:firstLineChars="300"/>
        <w:rPr>
          <w:rFonts w:hint="eastAsia" w:ascii="宋体" w:hAnsi="宋体" w:eastAsia="宋体" w:cs="宋体"/>
        </w:rPr>
      </w:pPr>
      <w:r>
        <w:rPr>
          <w:rFonts w:hint="eastAsia" w:ascii="宋体" w:hAnsi="宋体" w:eastAsia="宋体" w:cs="宋体"/>
        </w:rPr>
        <w:t>其中：安全文明施工费</w:t>
      </w:r>
      <w:bookmarkStart w:id="568" w:name="_Hlk8292053"/>
      <w:r>
        <w:rPr>
          <w:rFonts w:hint="eastAsia" w:ascii="宋体" w:hAnsi="宋体" w:eastAsia="宋体" w:cs="宋体"/>
        </w:rPr>
        <w:t>（含税）：</w:t>
      </w:r>
      <w:r>
        <w:rPr>
          <w:rFonts w:hint="eastAsia" w:ascii="宋体" w:hAnsi="宋体" w:eastAsia="宋体" w:cs="宋体"/>
          <w:szCs w:val="21"/>
          <w:u w:val="single"/>
        </w:rPr>
        <w:t xml:space="preserve">               </w:t>
      </w:r>
      <w:r>
        <w:rPr>
          <w:rFonts w:hint="eastAsia" w:ascii="宋体" w:hAnsi="宋体" w:eastAsia="宋体" w:cs="宋体"/>
        </w:rPr>
        <w:t>元</w:t>
      </w:r>
      <w:bookmarkEnd w:id="568"/>
    </w:p>
    <w:p w14:paraId="151009F9">
      <w:pPr>
        <w:wordWrap w:val="0"/>
        <w:spacing w:line="360" w:lineRule="auto"/>
        <w:ind w:left="1260" w:leftChars="600"/>
        <w:rPr>
          <w:rFonts w:hint="eastAsia" w:ascii="宋体" w:hAnsi="宋体" w:eastAsia="宋体" w:cs="宋体"/>
        </w:rPr>
      </w:pPr>
      <w:r>
        <w:rPr>
          <w:rFonts w:hint="eastAsia" w:ascii="宋体" w:hAnsi="宋体" w:eastAsia="宋体" w:cs="宋体"/>
        </w:rPr>
        <w:t>建筑垃圾运输处置费（</w:t>
      </w:r>
      <w:r>
        <w:rPr>
          <w:rFonts w:hint="eastAsia" w:ascii="宋体" w:hAnsi="宋体" w:eastAsia="宋体" w:cs="宋体"/>
          <w:bCs/>
          <w:szCs w:val="21"/>
        </w:rPr>
        <w:t>含税</w:t>
      </w:r>
      <w:r>
        <w:rPr>
          <w:rFonts w:hint="eastAsia" w:ascii="宋体" w:hAnsi="宋体" w:eastAsia="宋体" w:cs="宋体"/>
        </w:rPr>
        <w:t>）：</w:t>
      </w:r>
      <w:r>
        <w:rPr>
          <w:rFonts w:hint="eastAsia" w:ascii="宋体" w:hAnsi="宋体" w:eastAsia="宋体" w:cs="宋体"/>
          <w:szCs w:val="21"/>
          <w:u w:val="single"/>
        </w:rPr>
        <w:t xml:space="preserve">           </w:t>
      </w:r>
      <w:r>
        <w:rPr>
          <w:rFonts w:hint="eastAsia" w:ascii="宋体" w:hAnsi="宋体" w:eastAsia="宋体" w:cs="宋体"/>
        </w:rPr>
        <w:t>元</w:t>
      </w:r>
    </w:p>
    <w:p w14:paraId="235B5A9E">
      <w:pPr>
        <w:spacing w:line="360" w:lineRule="auto"/>
        <w:ind w:firstLine="1260" w:firstLineChars="600"/>
        <w:rPr>
          <w:rFonts w:hint="eastAsia" w:ascii="宋体" w:hAnsi="宋体" w:eastAsia="宋体" w:cs="宋体"/>
        </w:rPr>
      </w:pPr>
      <w:r>
        <w:rPr>
          <w:rFonts w:hint="eastAsia" w:ascii="宋体" w:hAnsi="宋体" w:eastAsia="宋体" w:cs="宋体"/>
        </w:rPr>
        <w:t>暂列金额（</w:t>
      </w:r>
      <w:r>
        <w:rPr>
          <w:rFonts w:hint="eastAsia" w:ascii="宋体" w:hAnsi="宋体" w:eastAsia="宋体" w:cs="宋体"/>
          <w:bCs/>
          <w:szCs w:val="21"/>
        </w:rPr>
        <w:t>含税</w:t>
      </w:r>
      <w:r>
        <w:rPr>
          <w:rFonts w:hint="eastAsia" w:ascii="宋体" w:hAnsi="宋体" w:eastAsia="宋体" w:cs="宋体"/>
        </w:rPr>
        <w:t>）：</w:t>
      </w:r>
      <w:r>
        <w:rPr>
          <w:rFonts w:hint="eastAsia" w:ascii="宋体" w:hAnsi="宋体" w:eastAsia="宋体" w:cs="宋体"/>
          <w:szCs w:val="21"/>
          <w:u w:val="single"/>
        </w:rPr>
        <w:t xml:space="preserve">                      </w:t>
      </w:r>
      <w:r>
        <w:rPr>
          <w:rFonts w:hint="eastAsia" w:ascii="宋体" w:hAnsi="宋体" w:eastAsia="宋体" w:cs="宋体"/>
        </w:rPr>
        <w:t>元</w:t>
      </w:r>
    </w:p>
    <w:p w14:paraId="02B02BFB">
      <w:pPr>
        <w:spacing w:line="360" w:lineRule="auto"/>
        <w:ind w:firstLine="1260" w:firstLineChars="600"/>
        <w:jc w:val="left"/>
        <w:rPr>
          <w:rFonts w:hint="eastAsia" w:ascii="宋体" w:hAnsi="宋体" w:eastAsia="宋体" w:cs="宋体"/>
        </w:rPr>
      </w:pPr>
      <w:r>
        <w:rPr>
          <w:rFonts w:hint="eastAsia" w:ascii="宋体" w:hAnsi="宋体" w:eastAsia="宋体" w:cs="宋体"/>
          <w:bCs/>
        </w:rPr>
        <w:t>专业工程暂估价</w:t>
      </w:r>
      <w:r>
        <w:rPr>
          <w:rFonts w:hint="eastAsia" w:ascii="宋体" w:hAnsi="宋体" w:eastAsia="宋体" w:cs="宋体"/>
        </w:rPr>
        <w:t>（</w:t>
      </w:r>
      <w:r>
        <w:rPr>
          <w:rFonts w:hint="eastAsia" w:ascii="宋体" w:hAnsi="宋体" w:eastAsia="宋体" w:cs="宋体"/>
          <w:bCs/>
          <w:szCs w:val="21"/>
        </w:rPr>
        <w:t>含税</w:t>
      </w:r>
      <w:r>
        <w:rPr>
          <w:rFonts w:hint="eastAsia" w:ascii="宋体" w:hAnsi="宋体" w:eastAsia="宋体" w:cs="宋体"/>
        </w:rPr>
        <w:t>）</w:t>
      </w:r>
      <w:r>
        <w:rPr>
          <w:rFonts w:hint="eastAsia" w:ascii="宋体" w:hAnsi="宋体" w:eastAsia="宋体" w:cs="宋体"/>
          <w:bCs/>
        </w:rPr>
        <w:t>：</w:t>
      </w:r>
      <w:r>
        <w:rPr>
          <w:rFonts w:hint="eastAsia" w:ascii="宋体" w:hAnsi="宋体" w:eastAsia="宋体" w:cs="宋体"/>
          <w:szCs w:val="21"/>
          <w:u w:val="single"/>
        </w:rPr>
        <w:t xml:space="preserve">                </w:t>
      </w:r>
      <w:r>
        <w:rPr>
          <w:rFonts w:hint="eastAsia" w:ascii="宋体" w:hAnsi="宋体" w:eastAsia="宋体" w:cs="宋体"/>
        </w:rPr>
        <w:t>元</w:t>
      </w:r>
    </w:p>
    <w:p w14:paraId="3B93E1B9">
      <w:pPr>
        <w:pStyle w:val="17"/>
        <w:spacing w:before="183" w:line="219" w:lineRule="auto"/>
        <w:ind w:left="561"/>
        <w:rPr>
          <w:rFonts w:hint="eastAsia" w:ascii="宋体" w:hAnsi="宋体" w:eastAsia="宋体" w:cs="宋体"/>
        </w:rPr>
      </w:pPr>
      <w:r>
        <w:rPr>
          <w:rFonts w:hint="eastAsia" w:ascii="宋体" w:hAnsi="宋体" w:eastAsia="宋体" w:cs="宋体"/>
          <w:spacing w:val="-3"/>
        </w:rPr>
        <w:t>2.支付：双方同意合同款支付采用下列第</w:t>
      </w:r>
      <w:r>
        <w:rPr>
          <w:rFonts w:hint="eastAsia" w:ascii="宋体" w:hAnsi="宋体" w:eastAsia="宋体" w:cs="宋体"/>
          <w:spacing w:val="-3"/>
          <w:u w:val="single"/>
        </w:rPr>
        <w:t xml:space="preserve"> (1) </w:t>
      </w:r>
      <w:r>
        <w:rPr>
          <w:rFonts w:hint="eastAsia" w:ascii="宋体" w:hAnsi="宋体" w:eastAsia="宋体" w:cs="宋体"/>
          <w:spacing w:val="-4"/>
          <w:u w:val="single"/>
        </w:rPr>
        <w:t xml:space="preserve">    </w:t>
      </w:r>
      <w:r>
        <w:rPr>
          <w:rFonts w:hint="eastAsia" w:ascii="宋体" w:hAnsi="宋体" w:eastAsia="宋体" w:cs="宋体"/>
          <w:spacing w:val="-111"/>
        </w:rPr>
        <w:t xml:space="preserve"> </w:t>
      </w:r>
      <w:r>
        <w:rPr>
          <w:rFonts w:hint="eastAsia" w:ascii="宋体" w:hAnsi="宋体" w:eastAsia="宋体" w:cs="宋体"/>
          <w:spacing w:val="-4"/>
        </w:rPr>
        <w:t>种方式：</w:t>
      </w:r>
    </w:p>
    <w:p w14:paraId="33475020">
      <w:pPr>
        <w:pStyle w:val="17"/>
        <w:spacing w:before="184" w:line="219" w:lineRule="auto"/>
        <w:ind w:left="570"/>
        <w:rPr>
          <w:rFonts w:hint="eastAsia" w:ascii="宋体" w:hAnsi="宋体" w:eastAsia="宋体" w:cs="宋体"/>
        </w:rPr>
      </w:pPr>
      <w:r>
        <w:rPr>
          <w:rFonts w:hint="eastAsia" w:ascii="宋体" w:hAnsi="宋体" w:eastAsia="宋体" w:cs="宋体"/>
          <w:spacing w:val="-4"/>
        </w:rPr>
        <w:t>（1）合同签字生效后，建设单位按表中约定</w:t>
      </w:r>
      <w:r>
        <w:rPr>
          <w:rFonts w:hint="eastAsia" w:ascii="宋体" w:hAnsi="宋体" w:eastAsia="宋体" w:cs="宋体"/>
          <w:spacing w:val="-5"/>
        </w:rPr>
        <w:t>向施工单位指定账户支付合同款：</w:t>
      </w:r>
    </w:p>
    <w:p w14:paraId="51D9A4E7">
      <w:pPr>
        <w:spacing w:line="68" w:lineRule="exact"/>
        <w:rPr>
          <w:rFonts w:hint="eastAsia" w:ascii="宋体" w:hAnsi="宋体" w:eastAsia="宋体" w:cs="宋体"/>
        </w:rPr>
      </w:pPr>
    </w:p>
    <w:tbl>
      <w:tblPr>
        <w:tblStyle w:val="135"/>
        <w:tblW w:w="8221" w:type="dxa"/>
        <w:tblInd w:w="5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5"/>
        <w:gridCol w:w="2267"/>
        <w:gridCol w:w="3829"/>
      </w:tblGrid>
      <w:tr w14:paraId="649A6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2125" w:type="dxa"/>
          </w:tcPr>
          <w:p w14:paraId="2598247C">
            <w:pPr>
              <w:pStyle w:val="146"/>
              <w:spacing w:before="119" w:line="220" w:lineRule="auto"/>
              <w:ind w:left="835"/>
              <w:rPr>
                <w:rFonts w:hint="eastAsia" w:ascii="宋体" w:hAnsi="宋体" w:eastAsia="宋体" w:cs="宋体"/>
              </w:rPr>
            </w:pPr>
            <w:r>
              <w:rPr>
                <w:rFonts w:hint="eastAsia" w:ascii="宋体" w:hAnsi="宋体" w:eastAsia="宋体" w:cs="宋体"/>
                <w:spacing w:val="-6"/>
              </w:rPr>
              <w:t>款项</w:t>
            </w:r>
          </w:p>
        </w:tc>
        <w:tc>
          <w:tcPr>
            <w:tcW w:w="2267" w:type="dxa"/>
          </w:tcPr>
          <w:p w14:paraId="58BC7878">
            <w:pPr>
              <w:pStyle w:val="146"/>
              <w:spacing w:before="119" w:line="219" w:lineRule="auto"/>
              <w:ind w:left="668"/>
              <w:rPr>
                <w:rFonts w:hint="eastAsia" w:ascii="宋体" w:hAnsi="宋体" w:eastAsia="宋体" w:cs="宋体"/>
              </w:rPr>
            </w:pPr>
            <w:r>
              <w:rPr>
                <w:rFonts w:hint="eastAsia" w:ascii="宋体" w:hAnsi="宋体" w:eastAsia="宋体" w:cs="宋体"/>
                <w:spacing w:val="-5"/>
              </w:rPr>
              <w:t>付款时间</w:t>
            </w:r>
          </w:p>
        </w:tc>
        <w:tc>
          <w:tcPr>
            <w:tcW w:w="3829" w:type="dxa"/>
          </w:tcPr>
          <w:p w14:paraId="5166821D">
            <w:pPr>
              <w:pStyle w:val="146"/>
              <w:spacing w:before="119" w:line="219" w:lineRule="auto"/>
              <w:ind w:left="918"/>
              <w:rPr>
                <w:rFonts w:hint="eastAsia" w:ascii="宋体" w:hAnsi="宋体" w:eastAsia="宋体" w:cs="宋体"/>
                <w:lang w:eastAsia="zh-CN"/>
              </w:rPr>
            </w:pPr>
            <w:r>
              <w:rPr>
                <w:rFonts w:hint="eastAsia" w:ascii="宋体" w:hAnsi="宋体" w:eastAsia="宋体" w:cs="宋体"/>
                <w:spacing w:val="-5"/>
                <w:lang w:eastAsia="zh-CN"/>
              </w:rPr>
              <w:t>金额（元）或比例（%）</w:t>
            </w:r>
          </w:p>
        </w:tc>
      </w:tr>
      <w:tr w14:paraId="103EE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125" w:type="dxa"/>
          </w:tcPr>
          <w:p w14:paraId="12C695DA">
            <w:pPr>
              <w:pStyle w:val="146"/>
              <w:spacing w:before="115" w:line="219" w:lineRule="auto"/>
              <w:ind w:left="716"/>
              <w:rPr>
                <w:rFonts w:hint="eastAsia" w:ascii="宋体" w:hAnsi="宋体" w:eastAsia="宋体" w:cs="宋体"/>
              </w:rPr>
            </w:pPr>
            <w:r>
              <w:rPr>
                <w:rFonts w:hint="eastAsia" w:ascii="宋体" w:hAnsi="宋体" w:eastAsia="宋体" w:cs="宋体"/>
                <w:spacing w:val="-6"/>
              </w:rPr>
              <w:t>预付款</w:t>
            </w:r>
          </w:p>
        </w:tc>
        <w:tc>
          <w:tcPr>
            <w:tcW w:w="2267" w:type="dxa"/>
          </w:tcPr>
          <w:p w14:paraId="676F8EBB">
            <w:pPr>
              <w:jc w:val="center"/>
              <w:rPr>
                <w:rFonts w:hint="eastAsia" w:ascii="宋体" w:hAnsi="宋体" w:eastAsia="宋体" w:cs="宋体"/>
              </w:rPr>
            </w:pPr>
            <w:r>
              <w:rPr>
                <w:rFonts w:hint="eastAsia" w:ascii="宋体" w:hAnsi="宋体" w:eastAsia="宋体" w:cs="宋体"/>
              </w:rPr>
              <w:t>合同签订</w:t>
            </w:r>
          </w:p>
        </w:tc>
        <w:tc>
          <w:tcPr>
            <w:tcW w:w="3829" w:type="dxa"/>
          </w:tcPr>
          <w:p w14:paraId="3DC3812A">
            <w:pPr>
              <w:jc w:val="center"/>
              <w:rPr>
                <w:rFonts w:hint="eastAsia" w:ascii="宋体" w:hAnsi="宋体" w:eastAsia="宋体" w:cs="宋体"/>
              </w:rPr>
            </w:pPr>
            <w:r>
              <w:rPr>
                <w:rFonts w:hint="eastAsia" w:ascii="宋体" w:hAnsi="宋体" w:eastAsia="宋体" w:cs="宋体"/>
              </w:rPr>
              <w:t>支付合同额50%</w:t>
            </w:r>
          </w:p>
        </w:tc>
      </w:tr>
      <w:tr w14:paraId="65191F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125" w:type="dxa"/>
          </w:tcPr>
          <w:p w14:paraId="58C812B7">
            <w:pPr>
              <w:pStyle w:val="146"/>
              <w:spacing w:before="115" w:line="220" w:lineRule="auto"/>
              <w:ind w:left="713"/>
              <w:rPr>
                <w:rFonts w:hint="eastAsia" w:ascii="宋体" w:hAnsi="宋体" w:eastAsia="宋体" w:cs="宋体"/>
              </w:rPr>
            </w:pPr>
            <w:r>
              <w:rPr>
                <w:rFonts w:hint="eastAsia" w:ascii="宋体" w:hAnsi="宋体" w:eastAsia="宋体" w:cs="宋体"/>
                <w:spacing w:val="-5"/>
              </w:rPr>
              <w:t>进度款</w:t>
            </w:r>
          </w:p>
        </w:tc>
        <w:tc>
          <w:tcPr>
            <w:tcW w:w="2267" w:type="dxa"/>
          </w:tcPr>
          <w:p w14:paraId="0E82D74B">
            <w:pPr>
              <w:jc w:val="center"/>
              <w:rPr>
                <w:rFonts w:hint="eastAsia" w:ascii="宋体" w:hAnsi="宋体" w:eastAsia="宋体" w:cs="宋体"/>
              </w:rPr>
            </w:pPr>
            <w:r>
              <w:rPr>
                <w:rFonts w:hint="eastAsia" w:ascii="宋体" w:hAnsi="宋体" w:eastAsia="宋体" w:cs="宋体"/>
              </w:rPr>
              <w:t>竣工验收合格</w:t>
            </w:r>
          </w:p>
        </w:tc>
        <w:tc>
          <w:tcPr>
            <w:tcW w:w="3829" w:type="dxa"/>
          </w:tcPr>
          <w:p w14:paraId="4C89FF6F">
            <w:pPr>
              <w:jc w:val="center"/>
              <w:rPr>
                <w:rFonts w:hint="eastAsia" w:ascii="宋体" w:hAnsi="宋体" w:eastAsia="宋体" w:cs="宋体"/>
              </w:rPr>
            </w:pPr>
            <w:r>
              <w:rPr>
                <w:rFonts w:hint="eastAsia" w:ascii="宋体" w:hAnsi="宋体" w:eastAsia="宋体" w:cs="宋体"/>
              </w:rPr>
              <w:t>支付合同额20%</w:t>
            </w:r>
          </w:p>
        </w:tc>
      </w:tr>
      <w:tr w14:paraId="28FFC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125" w:type="dxa"/>
          </w:tcPr>
          <w:p w14:paraId="0FCA8010">
            <w:pPr>
              <w:jc w:val="center"/>
              <w:rPr>
                <w:rFonts w:hint="eastAsia" w:ascii="宋体" w:hAnsi="宋体" w:eastAsia="宋体" w:cs="宋体"/>
              </w:rPr>
            </w:pPr>
            <w:r>
              <w:rPr>
                <w:rFonts w:hint="eastAsia" w:ascii="宋体" w:hAnsi="宋体" w:eastAsia="宋体" w:cs="宋体"/>
                <w:sz w:val="24"/>
              </w:rPr>
              <w:t>进度款</w:t>
            </w:r>
          </w:p>
        </w:tc>
        <w:tc>
          <w:tcPr>
            <w:tcW w:w="2267" w:type="dxa"/>
          </w:tcPr>
          <w:p w14:paraId="669F9CF5">
            <w:pPr>
              <w:jc w:val="center"/>
              <w:rPr>
                <w:rFonts w:hint="eastAsia" w:ascii="宋体" w:hAnsi="宋体" w:eastAsia="宋体" w:cs="宋体"/>
              </w:rPr>
            </w:pPr>
            <w:r>
              <w:rPr>
                <w:rFonts w:hint="eastAsia" w:ascii="宋体" w:hAnsi="宋体" w:eastAsia="宋体" w:cs="宋体"/>
              </w:rPr>
              <w:t>竣工验收合格且审计完成</w:t>
            </w:r>
          </w:p>
        </w:tc>
        <w:tc>
          <w:tcPr>
            <w:tcW w:w="3829" w:type="dxa"/>
          </w:tcPr>
          <w:p w14:paraId="14555738">
            <w:pPr>
              <w:jc w:val="center"/>
              <w:rPr>
                <w:rFonts w:hint="eastAsia" w:ascii="宋体" w:hAnsi="宋体" w:eastAsia="宋体" w:cs="宋体"/>
              </w:rPr>
            </w:pPr>
            <w:r>
              <w:rPr>
                <w:rFonts w:hint="eastAsia" w:ascii="宋体" w:hAnsi="宋体" w:eastAsia="宋体" w:cs="宋体"/>
              </w:rPr>
              <w:t>支付至审计金额的97</w:t>
            </w:r>
            <w:r>
              <w:rPr>
                <w:rFonts w:hint="eastAsia" w:ascii="宋体" w:hAnsi="宋体" w:eastAsia="宋体" w:cs="宋体"/>
              </w:rPr>
              <w:br w:type="textWrapping"/>
            </w:r>
            <w:r>
              <w:rPr>
                <w:rFonts w:hint="eastAsia" w:ascii="宋体" w:hAnsi="宋体" w:eastAsia="宋体" w:cs="宋体"/>
              </w:rPr>
              <w:t>%</w:t>
            </w:r>
          </w:p>
        </w:tc>
      </w:tr>
      <w:tr w14:paraId="085FE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125" w:type="dxa"/>
          </w:tcPr>
          <w:p w14:paraId="78A663FA">
            <w:pPr>
              <w:pStyle w:val="146"/>
              <w:tabs>
                <w:tab w:val="left" w:pos="1150"/>
              </w:tabs>
              <w:spacing w:before="118" w:line="221" w:lineRule="auto"/>
              <w:ind w:left="570"/>
              <w:rPr>
                <w:rFonts w:hint="eastAsia" w:ascii="宋体" w:hAnsi="宋体" w:eastAsia="宋体" w:cs="宋体"/>
                <w:lang w:eastAsia="zh-CN"/>
              </w:rPr>
            </w:pPr>
            <w:r>
              <w:rPr>
                <w:rFonts w:hint="eastAsia" w:ascii="宋体" w:hAnsi="宋体" w:eastAsia="宋体" w:cs="宋体"/>
                <w:lang w:eastAsia="zh-CN"/>
              </w:rPr>
              <w:t>质保金宽</w:t>
            </w:r>
          </w:p>
        </w:tc>
        <w:tc>
          <w:tcPr>
            <w:tcW w:w="2267" w:type="dxa"/>
          </w:tcPr>
          <w:p w14:paraId="22567332">
            <w:pPr>
              <w:jc w:val="center"/>
              <w:rPr>
                <w:rFonts w:hint="eastAsia" w:ascii="宋体" w:hAnsi="宋体" w:eastAsia="宋体" w:cs="宋体"/>
              </w:rPr>
            </w:pPr>
            <w:r>
              <w:rPr>
                <w:rFonts w:hint="eastAsia" w:ascii="宋体" w:hAnsi="宋体" w:eastAsia="宋体" w:cs="宋体"/>
              </w:rPr>
              <w:t>一年质保期到期后</w:t>
            </w:r>
          </w:p>
        </w:tc>
        <w:tc>
          <w:tcPr>
            <w:tcW w:w="3829" w:type="dxa"/>
          </w:tcPr>
          <w:p w14:paraId="698E04ED">
            <w:pPr>
              <w:jc w:val="center"/>
              <w:rPr>
                <w:rFonts w:hint="eastAsia" w:ascii="宋体" w:hAnsi="宋体" w:eastAsia="宋体" w:cs="宋体"/>
              </w:rPr>
            </w:pPr>
            <w:r>
              <w:rPr>
                <w:rFonts w:hint="eastAsia" w:ascii="宋体" w:hAnsi="宋体" w:eastAsia="宋体" w:cs="宋体"/>
              </w:rPr>
              <w:t>支付审计金额的3%</w:t>
            </w:r>
          </w:p>
        </w:tc>
      </w:tr>
    </w:tbl>
    <w:p w14:paraId="6255AFB5">
      <w:pPr>
        <w:pStyle w:val="17"/>
        <w:spacing w:before="116" w:line="219" w:lineRule="auto"/>
        <w:ind w:left="603"/>
        <w:rPr>
          <w:rFonts w:hint="eastAsia" w:ascii="宋体" w:hAnsi="宋体" w:eastAsia="宋体" w:cs="宋体"/>
        </w:rPr>
      </w:pPr>
      <w:r>
        <w:rPr>
          <w:rFonts w:hint="eastAsia" w:ascii="宋体" w:hAnsi="宋体" w:eastAsia="宋体" w:cs="宋体"/>
          <w:spacing w:val="-4"/>
          <w:sz w:val="20"/>
          <w:szCs w:val="20"/>
        </w:rPr>
        <w:t>（2）</w:t>
      </w:r>
      <w:r>
        <w:rPr>
          <w:rFonts w:hint="eastAsia" w:ascii="宋体" w:hAnsi="宋体" w:eastAsia="宋体" w:cs="宋体"/>
          <w:spacing w:val="-4"/>
        </w:rPr>
        <w:t>双方协商一致的其他支付方式：</w:t>
      </w:r>
      <w:r>
        <w:rPr>
          <w:rFonts w:hint="eastAsia" w:ascii="宋体" w:hAnsi="宋体" w:eastAsia="宋体" w:cs="宋体"/>
          <w:u w:val="single"/>
        </w:rPr>
        <w:t xml:space="preserve">                                    </w:t>
      </w:r>
    </w:p>
    <w:p w14:paraId="0C42980F">
      <w:pPr>
        <w:pStyle w:val="17"/>
        <w:spacing w:before="183" w:line="219" w:lineRule="auto"/>
        <w:ind w:left="602"/>
        <w:rPr>
          <w:rFonts w:hint="eastAsia" w:ascii="宋体" w:hAnsi="宋体" w:eastAsia="宋体" w:cs="宋体"/>
        </w:rPr>
      </w:pPr>
      <w:r>
        <w:rPr>
          <w:rFonts w:hint="eastAsia" w:ascii="宋体" w:hAnsi="宋体" w:eastAsia="宋体" w:cs="宋体"/>
          <w:spacing w:val="-2"/>
        </w:rPr>
        <w:t>3.竣工结算要求：</w:t>
      </w:r>
      <w:r>
        <w:rPr>
          <w:rFonts w:hint="eastAsia" w:ascii="宋体" w:hAnsi="宋体" w:eastAsia="宋体" w:cs="宋体"/>
          <w:spacing w:val="-2"/>
          <w:u w:val="single"/>
        </w:rPr>
        <w:t xml:space="preserve">   竣工验收合格且施工资料齐全          </w:t>
      </w:r>
      <w:r>
        <w:rPr>
          <w:rFonts w:hint="eastAsia" w:ascii="宋体" w:hAnsi="宋体" w:eastAsia="宋体" w:cs="宋体"/>
          <w:spacing w:val="-3"/>
          <w:u w:val="single"/>
        </w:rPr>
        <w:t xml:space="preserve">             </w:t>
      </w:r>
    </w:p>
    <w:p w14:paraId="71D0411A">
      <w:pPr>
        <w:spacing w:line="360" w:lineRule="auto"/>
        <w:ind w:firstLine="420" w:firstLineChars="200"/>
        <w:rPr>
          <w:rFonts w:hint="eastAsia" w:ascii="宋体" w:hAnsi="宋体" w:eastAsia="宋体" w:cs="宋体"/>
          <w:bCs/>
        </w:rPr>
      </w:pPr>
      <w:r>
        <w:rPr>
          <w:rFonts w:hint="eastAsia" w:ascii="宋体" w:hAnsi="宋体" w:eastAsia="宋体" w:cs="宋体"/>
          <w:bCs/>
        </w:rPr>
        <w:t>八、承包人项目经理：</w:t>
      </w:r>
    </w:p>
    <w:p w14:paraId="5D5E717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姓名：</w:t>
      </w:r>
      <w:r>
        <w:rPr>
          <w:rFonts w:hint="eastAsia" w:ascii="宋体" w:hAnsi="宋体" w:eastAsia="宋体" w:cs="宋体"/>
          <w:szCs w:val="21"/>
          <w:u w:val="single"/>
        </w:rPr>
        <w:t xml:space="preserve">        </w:t>
      </w:r>
      <w:r>
        <w:rPr>
          <w:rFonts w:hint="eastAsia" w:ascii="宋体" w:hAnsi="宋体" w:eastAsia="宋体" w:cs="宋体"/>
          <w:szCs w:val="21"/>
        </w:rPr>
        <w:t>；    职称：</w:t>
      </w:r>
      <w:r>
        <w:rPr>
          <w:rFonts w:hint="eastAsia" w:ascii="宋体" w:hAnsi="宋体" w:eastAsia="宋体" w:cs="宋体"/>
          <w:szCs w:val="21"/>
          <w:u w:val="single"/>
        </w:rPr>
        <w:t xml:space="preserve">           </w:t>
      </w:r>
      <w:r>
        <w:rPr>
          <w:rFonts w:hint="eastAsia" w:ascii="宋体" w:hAnsi="宋体" w:eastAsia="宋体" w:cs="宋体"/>
          <w:szCs w:val="21"/>
        </w:rPr>
        <w:t>；</w:t>
      </w:r>
    </w:p>
    <w:p w14:paraId="0B34A9B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身份证号：</w:t>
      </w:r>
      <w:r>
        <w:rPr>
          <w:rFonts w:hint="eastAsia" w:ascii="宋体" w:hAnsi="宋体" w:eastAsia="宋体" w:cs="宋体"/>
          <w:szCs w:val="21"/>
          <w:u w:val="single"/>
        </w:rPr>
        <w:t xml:space="preserve">                </w:t>
      </w:r>
      <w:r>
        <w:rPr>
          <w:rFonts w:hint="eastAsia" w:ascii="宋体" w:hAnsi="宋体" w:eastAsia="宋体" w:cs="宋体"/>
          <w:szCs w:val="21"/>
        </w:rPr>
        <w:t>；    建造师执业资格证书号：</w:t>
      </w:r>
      <w:r>
        <w:rPr>
          <w:rFonts w:hint="eastAsia" w:ascii="宋体" w:hAnsi="宋体" w:eastAsia="宋体" w:cs="宋体"/>
          <w:szCs w:val="21"/>
          <w:u w:val="single"/>
        </w:rPr>
        <w:t xml:space="preserve">         ；</w:t>
      </w:r>
    </w:p>
    <w:p w14:paraId="7E60B5F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建造师注册证书号：</w:t>
      </w:r>
      <w:r>
        <w:rPr>
          <w:rFonts w:hint="eastAsia" w:ascii="宋体" w:hAnsi="宋体" w:eastAsia="宋体" w:cs="宋体"/>
          <w:szCs w:val="21"/>
          <w:u w:val="single"/>
        </w:rPr>
        <w:t xml:space="preserve">                   。</w:t>
      </w:r>
    </w:p>
    <w:p w14:paraId="5F328E3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建造师执业印章号：</w:t>
      </w:r>
      <w:r>
        <w:rPr>
          <w:rFonts w:hint="eastAsia" w:ascii="宋体" w:hAnsi="宋体" w:eastAsia="宋体" w:cs="宋体"/>
          <w:szCs w:val="21"/>
          <w:u w:val="single"/>
        </w:rPr>
        <w:t xml:space="preserve">                            </w:t>
      </w:r>
      <w:r>
        <w:rPr>
          <w:rFonts w:hint="eastAsia" w:ascii="宋体" w:hAnsi="宋体" w:eastAsia="宋体" w:cs="宋体"/>
          <w:szCs w:val="21"/>
        </w:rPr>
        <w:t>。</w:t>
      </w:r>
    </w:p>
    <w:p w14:paraId="3185BB3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安全生产考核合格证书号：</w:t>
      </w:r>
      <w:r>
        <w:rPr>
          <w:rFonts w:hint="eastAsia" w:ascii="宋体" w:hAnsi="宋体" w:eastAsia="宋体" w:cs="宋体"/>
          <w:szCs w:val="21"/>
          <w:u w:val="single"/>
        </w:rPr>
        <w:t xml:space="preserve">                      。</w:t>
      </w:r>
    </w:p>
    <w:p w14:paraId="726B85B7">
      <w:pPr>
        <w:spacing w:line="360" w:lineRule="auto"/>
        <w:ind w:firstLine="420" w:firstLineChars="200"/>
        <w:rPr>
          <w:rFonts w:hint="eastAsia" w:ascii="宋体" w:hAnsi="宋体" w:eastAsia="宋体" w:cs="宋体"/>
        </w:rPr>
      </w:pPr>
      <w:r>
        <w:rPr>
          <w:rFonts w:hint="eastAsia" w:ascii="宋体" w:hAnsi="宋体" w:eastAsia="宋体" w:cs="宋体"/>
        </w:rPr>
        <w:t>九、合同文件的组成</w:t>
      </w:r>
    </w:p>
    <w:p w14:paraId="21F5B6C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下列文件共同构成合同文件：</w:t>
      </w:r>
    </w:p>
    <w:p w14:paraId="6A724037">
      <w:pPr>
        <w:spacing w:line="360" w:lineRule="auto"/>
        <w:ind w:firstLine="420" w:firstLineChars="200"/>
        <w:rPr>
          <w:rFonts w:hint="eastAsia" w:ascii="宋体" w:hAnsi="宋体" w:eastAsia="宋体" w:cs="宋体"/>
        </w:rPr>
      </w:pPr>
      <w:r>
        <w:rPr>
          <w:rFonts w:hint="eastAsia" w:ascii="宋体" w:hAnsi="宋体" w:eastAsia="宋体" w:cs="宋体"/>
        </w:rPr>
        <w:t>1、本协议书；</w:t>
      </w:r>
    </w:p>
    <w:p w14:paraId="3C168035">
      <w:pPr>
        <w:spacing w:line="360" w:lineRule="auto"/>
        <w:ind w:firstLine="420" w:firstLineChars="200"/>
        <w:rPr>
          <w:rFonts w:hint="eastAsia" w:ascii="宋体" w:hAnsi="宋体" w:eastAsia="宋体" w:cs="宋体"/>
        </w:rPr>
      </w:pPr>
      <w:r>
        <w:rPr>
          <w:rFonts w:hint="eastAsia" w:ascii="宋体" w:hAnsi="宋体" w:eastAsia="宋体" w:cs="宋体"/>
        </w:rPr>
        <w:t>2、中标通知书；</w:t>
      </w:r>
    </w:p>
    <w:p w14:paraId="46413F41">
      <w:pPr>
        <w:spacing w:line="360" w:lineRule="auto"/>
        <w:ind w:firstLine="420" w:firstLineChars="200"/>
        <w:rPr>
          <w:rFonts w:hint="eastAsia" w:ascii="宋体" w:hAnsi="宋体" w:eastAsia="宋体" w:cs="宋体"/>
        </w:rPr>
      </w:pPr>
      <w:r>
        <w:rPr>
          <w:rFonts w:hint="eastAsia" w:ascii="宋体" w:hAnsi="宋体" w:eastAsia="宋体" w:cs="宋体"/>
        </w:rPr>
        <w:t>3、</w:t>
      </w:r>
      <w:r>
        <w:rPr>
          <w:rFonts w:hint="eastAsia" w:ascii="宋体" w:hAnsi="宋体" w:eastAsia="宋体" w:cs="宋体"/>
          <w:szCs w:val="21"/>
        </w:rPr>
        <w:t>投标函及投标函附录</w:t>
      </w:r>
      <w:r>
        <w:rPr>
          <w:rFonts w:hint="eastAsia" w:ascii="宋体" w:hAnsi="宋体" w:eastAsia="宋体" w:cs="宋体"/>
        </w:rPr>
        <w:t>；</w:t>
      </w:r>
    </w:p>
    <w:p w14:paraId="50247DD3">
      <w:pPr>
        <w:spacing w:line="360" w:lineRule="auto"/>
        <w:ind w:firstLine="420" w:firstLineChars="200"/>
        <w:rPr>
          <w:rFonts w:hint="eastAsia" w:ascii="宋体" w:hAnsi="宋体" w:eastAsia="宋体" w:cs="宋体"/>
        </w:rPr>
      </w:pPr>
      <w:r>
        <w:rPr>
          <w:rFonts w:hint="eastAsia" w:ascii="宋体" w:hAnsi="宋体" w:eastAsia="宋体" w:cs="宋体"/>
        </w:rPr>
        <w:t>4、合同条款专用部分；</w:t>
      </w:r>
    </w:p>
    <w:p w14:paraId="22FBDFFF">
      <w:pPr>
        <w:spacing w:line="360" w:lineRule="auto"/>
        <w:ind w:firstLine="420" w:firstLineChars="200"/>
        <w:rPr>
          <w:rFonts w:hint="eastAsia" w:ascii="宋体" w:hAnsi="宋体" w:eastAsia="宋体" w:cs="宋体"/>
        </w:rPr>
      </w:pPr>
      <w:r>
        <w:rPr>
          <w:rFonts w:hint="eastAsia" w:ascii="宋体" w:hAnsi="宋体" w:eastAsia="宋体" w:cs="宋体"/>
        </w:rPr>
        <w:t>5、合同条款通用部分；</w:t>
      </w:r>
    </w:p>
    <w:p w14:paraId="33CCF308">
      <w:pPr>
        <w:spacing w:line="360" w:lineRule="auto"/>
        <w:ind w:firstLine="420" w:firstLineChars="200"/>
        <w:rPr>
          <w:rFonts w:hint="eastAsia" w:ascii="宋体" w:hAnsi="宋体" w:eastAsia="宋体" w:cs="宋体"/>
        </w:rPr>
      </w:pPr>
      <w:r>
        <w:rPr>
          <w:rFonts w:hint="eastAsia" w:ascii="宋体" w:hAnsi="宋体" w:eastAsia="宋体" w:cs="宋体"/>
        </w:rPr>
        <w:t>6、</w:t>
      </w:r>
      <w:r>
        <w:rPr>
          <w:rFonts w:hint="eastAsia" w:ascii="宋体" w:hAnsi="宋体" w:eastAsia="宋体" w:cs="宋体"/>
          <w:szCs w:val="21"/>
        </w:rPr>
        <w:t>技术标准和要求；</w:t>
      </w:r>
    </w:p>
    <w:p w14:paraId="589458FD">
      <w:pPr>
        <w:spacing w:line="360" w:lineRule="auto"/>
        <w:ind w:firstLine="420" w:firstLineChars="200"/>
        <w:rPr>
          <w:rFonts w:hint="eastAsia" w:ascii="宋体" w:hAnsi="宋体" w:eastAsia="宋体" w:cs="宋体"/>
        </w:rPr>
      </w:pPr>
      <w:r>
        <w:rPr>
          <w:rFonts w:hint="eastAsia" w:ascii="宋体" w:hAnsi="宋体" w:eastAsia="宋体" w:cs="宋体"/>
        </w:rPr>
        <w:t>7、图纸；</w:t>
      </w:r>
    </w:p>
    <w:p w14:paraId="4E26CF01">
      <w:pPr>
        <w:spacing w:line="360" w:lineRule="auto"/>
        <w:ind w:firstLine="420" w:firstLineChars="200"/>
        <w:rPr>
          <w:rFonts w:hint="eastAsia" w:ascii="宋体" w:hAnsi="宋体" w:eastAsia="宋体" w:cs="宋体"/>
        </w:rPr>
      </w:pPr>
      <w:r>
        <w:rPr>
          <w:rFonts w:hint="eastAsia" w:ascii="宋体" w:hAnsi="宋体" w:eastAsia="宋体" w:cs="宋体"/>
        </w:rPr>
        <w:t>8、已标价工程量清单；</w:t>
      </w:r>
    </w:p>
    <w:p w14:paraId="41E0452F">
      <w:pPr>
        <w:spacing w:line="360" w:lineRule="auto"/>
        <w:ind w:firstLine="420" w:firstLineChars="200"/>
        <w:rPr>
          <w:rFonts w:hint="eastAsia" w:ascii="宋体" w:hAnsi="宋体" w:eastAsia="宋体" w:cs="宋体"/>
        </w:rPr>
      </w:pPr>
      <w:r>
        <w:rPr>
          <w:rFonts w:hint="eastAsia" w:ascii="宋体" w:hAnsi="宋体" w:eastAsia="宋体" w:cs="宋体"/>
        </w:rPr>
        <w:t>9、其他合同文件。</w:t>
      </w:r>
    </w:p>
    <w:p w14:paraId="53CB048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上述文件互相补充和解释，如有不明确或不一致之处，以合同约定次序在先者为准。</w:t>
      </w:r>
    </w:p>
    <w:p w14:paraId="2E796A76">
      <w:pPr>
        <w:spacing w:line="360" w:lineRule="auto"/>
        <w:ind w:firstLine="420" w:firstLineChars="200"/>
        <w:rPr>
          <w:rFonts w:hint="eastAsia" w:ascii="宋体" w:hAnsi="宋体" w:eastAsia="宋体" w:cs="宋体"/>
        </w:rPr>
      </w:pPr>
      <w:r>
        <w:rPr>
          <w:rFonts w:hint="eastAsia" w:ascii="宋体" w:hAnsi="宋体" w:eastAsia="宋体" w:cs="宋体"/>
        </w:rPr>
        <w:t>十、本协议书中有关词语定义与合同条款中的定义相同。</w:t>
      </w:r>
    </w:p>
    <w:p w14:paraId="02F60C49">
      <w:pPr>
        <w:spacing w:line="360" w:lineRule="auto"/>
        <w:ind w:firstLine="420" w:firstLineChars="200"/>
        <w:rPr>
          <w:rFonts w:hint="eastAsia" w:ascii="宋体" w:hAnsi="宋体" w:eastAsia="宋体" w:cs="宋体"/>
        </w:rPr>
      </w:pPr>
      <w:r>
        <w:rPr>
          <w:rFonts w:hint="eastAsia" w:ascii="宋体" w:hAnsi="宋体" w:eastAsia="宋体" w:cs="宋体"/>
        </w:rPr>
        <w:t>十一、承包人承诺按照合同约定进行施工、竣工、交付并承担质量缺陷保修责任。</w:t>
      </w:r>
    </w:p>
    <w:p w14:paraId="3441F0B6">
      <w:pPr>
        <w:spacing w:line="360" w:lineRule="auto"/>
        <w:ind w:firstLine="420" w:firstLineChars="200"/>
        <w:rPr>
          <w:rFonts w:hint="eastAsia" w:ascii="宋体" w:hAnsi="宋体" w:eastAsia="宋体" w:cs="宋体"/>
        </w:rPr>
      </w:pPr>
      <w:r>
        <w:rPr>
          <w:rFonts w:hint="eastAsia" w:ascii="宋体" w:hAnsi="宋体" w:eastAsia="宋体" w:cs="宋体"/>
        </w:rPr>
        <w:t>十二、发包人承诺在承办人已经全面履行了本合同的情况下，按照合同约定的条件、期限和方式向承包人支付合同价款。</w:t>
      </w:r>
    </w:p>
    <w:p w14:paraId="60BC45B1">
      <w:pPr>
        <w:spacing w:line="360" w:lineRule="auto"/>
        <w:ind w:firstLine="420" w:firstLineChars="200"/>
        <w:rPr>
          <w:rFonts w:hint="eastAsia" w:ascii="宋体" w:hAnsi="宋体" w:eastAsia="宋体" w:cs="宋体"/>
          <w:u w:val="single"/>
        </w:rPr>
      </w:pPr>
      <w:r>
        <w:rPr>
          <w:rFonts w:hint="eastAsia" w:ascii="宋体" w:hAnsi="宋体" w:eastAsia="宋体" w:cs="宋体"/>
        </w:rPr>
        <w:t>十三、本合同及协议自双方签字盖章后生效，本协议书连同其他合同文件正本一式两份，合同双方各执一份；副本一式</w:t>
      </w:r>
      <w:r>
        <w:rPr>
          <w:rFonts w:hint="eastAsia" w:ascii="宋体" w:hAnsi="宋体" w:eastAsia="宋体" w:cs="宋体"/>
          <w:szCs w:val="21"/>
          <w:u w:val="single"/>
        </w:rPr>
        <w:t xml:space="preserve"> 六份。均具有同等法律效力。 </w:t>
      </w:r>
    </w:p>
    <w:p w14:paraId="31CA8466">
      <w:pPr>
        <w:spacing w:line="360" w:lineRule="auto"/>
        <w:rPr>
          <w:rFonts w:hint="eastAsia" w:ascii="宋体" w:hAnsi="宋体" w:eastAsia="宋体" w:cs="宋体"/>
        </w:rPr>
      </w:pPr>
      <w:r>
        <w:rPr>
          <w:rFonts w:hint="eastAsia" w:ascii="宋体" w:hAnsi="宋体" w:eastAsia="宋体" w:cs="宋体"/>
        </w:rPr>
        <w:t>份。</w:t>
      </w:r>
    </w:p>
    <w:p w14:paraId="41460283">
      <w:pPr>
        <w:spacing w:line="360" w:lineRule="auto"/>
        <w:ind w:firstLine="420" w:firstLineChars="200"/>
        <w:rPr>
          <w:rFonts w:hint="eastAsia" w:ascii="宋体" w:hAnsi="宋体" w:eastAsia="宋体" w:cs="宋体"/>
        </w:rPr>
      </w:pPr>
      <w:r>
        <w:rPr>
          <w:rFonts w:hint="eastAsia" w:ascii="宋体" w:hAnsi="宋体" w:eastAsia="宋体" w:cs="宋体"/>
        </w:rPr>
        <w:t>十四、合同未尽事宜，双方另行签订补充协议，但不得背离本协议第八条所约定的合同文件的实质性内容。补充协议是合同文件的组成部分。</w:t>
      </w:r>
    </w:p>
    <w:p w14:paraId="35DB440A">
      <w:pPr>
        <w:spacing w:line="360" w:lineRule="auto"/>
        <w:rPr>
          <w:rFonts w:hint="eastAsia" w:ascii="宋体" w:hAnsi="宋体" w:eastAsia="宋体" w:cs="宋体"/>
          <w:szCs w:val="21"/>
          <w:u w:val="single"/>
        </w:rPr>
      </w:pPr>
    </w:p>
    <w:p w14:paraId="37CE156A">
      <w:pPr>
        <w:spacing w:line="360" w:lineRule="auto"/>
        <w:rPr>
          <w:rFonts w:hint="eastAsia" w:ascii="宋体" w:hAnsi="宋体" w:eastAsia="宋体" w:cs="宋体"/>
          <w:b/>
          <w:bCs/>
          <w:szCs w:val="21"/>
        </w:rPr>
      </w:pPr>
    </w:p>
    <w:p w14:paraId="78185EEB">
      <w:pPr>
        <w:spacing w:line="360" w:lineRule="auto"/>
        <w:rPr>
          <w:rFonts w:hint="eastAsia" w:ascii="宋体" w:hAnsi="宋体" w:eastAsia="宋体" w:cs="宋体"/>
          <w:szCs w:val="21"/>
        </w:rPr>
      </w:pPr>
      <w:r>
        <w:rPr>
          <w:rFonts w:hint="eastAsia" w:ascii="宋体" w:hAnsi="宋体" w:eastAsia="宋体" w:cs="宋体"/>
          <w:bCs/>
          <w:szCs w:val="21"/>
        </w:rPr>
        <w:t>发包人：</w:t>
      </w:r>
      <w:r>
        <w:rPr>
          <w:rFonts w:hint="eastAsia" w:ascii="宋体" w:hAnsi="宋体" w:eastAsia="宋体" w:cs="宋体"/>
          <w:szCs w:val="21"/>
          <w:u w:val="single"/>
        </w:rPr>
        <w:t xml:space="preserve">                 </w:t>
      </w:r>
      <w:r>
        <w:rPr>
          <w:rFonts w:hint="eastAsia" w:ascii="宋体" w:hAnsi="宋体" w:eastAsia="宋体" w:cs="宋体"/>
          <w:szCs w:val="21"/>
        </w:rPr>
        <w:t xml:space="preserve">（盖单位章）     </w:t>
      </w:r>
      <w:r>
        <w:rPr>
          <w:rFonts w:hint="eastAsia" w:ascii="宋体" w:hAnsi="宋体" w:eastAsia="宋体" w:cs="宋体"/>
          <w:bCs/>
          <w:szCs w:val="21"/>
        </w:rPr>
        <w:t>承包人：</w:t>
      </w:r>
      <w:r>
        <w:rPr>
          <w:rFonts w:hint="eastAsia" w:ascii="宋体" w:hAnsi="宋体" w:eastAsia="宋体" w:cs="宋体"/>
          <w:szCs w:val="21"/>
          <w:u w:val="single"/>
        </w:rPr>
        <w:t xml:space="preserve">                </w:t>
      </w:r>
      <w:r>
        <w:rPr>
          <w:rFonts w:hint="eastAsia" w:ascii="宋体" w:hAnsi="宋体" w:eastAsia="宋体" w:cs="宋体"/>
          <w:szCs w:val="21"/>
        </w:rPr>
        <w:t>（盖单位章）</w:t>
      </w:r>
    </w:p>
    <w:p w14:paraId="59FE4E49">
      <w:pPr>
        <w:spacing w:line="360" w:lineRule="auto"/>
        <w:rPr>
          <w:rFonts w:hint="eastAsia" w:ascii="宋体" w:hAnsi="宋体" w:eastAsia="宋体" w:cs="宋体"/>
          <w:szCs w:val="21"/>
        </w:rPr>
      </w:pPr>
    </w:p>
    <w:p w14:paraId="0C0E3C89">
      <w:pPr>
        <w:spacing w:line="360" w:lineRule="auto"/>
        <w:rPr>
          <w:rFonts w:hint="eastAsia" w:ascii="宋体" w:hAnsi="宋体" w:eastAsia="宋体" w:cs="宋体"/>
          <w:szCs w:val="21"/>
        </w:rPr>
      </w:pPr>
      <w:r>
        <w:rPr>
          <w:rFonts w:hint="eastAsia" w:ascii="宋体" w:hAnsi="宋体" w:eastAsia="宋体" w:cs="宋体"/>
          <w:bCs/>
          <w:szCs w:val="21"/>
        </w:rPr>
        <w:t>法定代表人或其                             法定代表人或其</w:t>
      </w:r>
    </w:p>
    <w:p w14:paraId="19350A78">
      <w:pPr>
        <w:spacing w:line="360" w:lineRule="auto"/>
        <w:rPr>
          <w:rFonts w:hint="eastAsia" w:ascii="宋体" w:hAnsi="宋体" w:eastAsia="宋体" w:cs="宋体"/>
          <w:szCs w:val="21"/>
        </w:rPr>
      </w:pPr>
      <w:r>
        <w:rPr>
          <w:rFonts w:hint="eastAsia" w:ascii="宋体" w:hAnsi="宋体" w:eastAsia="宋体" w:cs="宋体"/>
          <w:bCs/>
          <w:szCs w:val="21"/>
        </w:rPr>
        <w:t>委托代理人：</w:t>
      </w:r>
      <w:r>
        <w:rPr>
          <w:rFonts w:hint="eastAsia" w:ascii="宋体" w:hAnsi="宋体" w:eastAsia="宋体" w:cs="宋体"/>
          <w:szCs w:val="21"/>
          <w:u w:val="single"/>
        </w:rPr>
        <w:t xml:space="preserve">               </w:t>
      </w:r>
      <w:r>
        <w:rPr>
          <w:rFonts w:hint="eastAsia" w:ascii="宋体" w:hAnsi="宋体" w:eastAsia="宋体" w:cs="宋体"/>
          <w:szCs w:val="21"/>
        </w:rPr>
        <w:t xml:space="preserve">（签字）        </w:t>
      </w:r>
      <w:r>
        <w:rPr>
          <w:rFonts w:hint="eastAsia" w:ascii="宋体" w:hAnsi="宋体" w:eastAsia="宋体" w:cs="宋体"/>
          <w:bCs/>
          <w:szCs w:val="21"/>
        </w:rPr>
        <w:t>委托代理人：</w:t>
      </w:r>
      <w:r>
        <w:rPr>
          <w:rFonts w:hint="eastAsia" w:ascii="宋体" w:hAnsi="宋体" w:eastAsia="宋体" w:cs="宋体"/>
          <w:szCs w:val="21"/>
          <w:u w:val="single"/>
        </w:rPr>
        <w:t xml:space="preserve">                 </w:t>
      </w:r>
      <w:r>
        <w:rPr>
          <w:rFonts w:hint="eastAsia" w:ascii="宋体" w:hAnsi="宋体" w:eastAsia="宋体" w:cs="宋体"/>
          <w:szCs w:val="21"/>
        </w:rPr>
        <w:t>（签字）</w:t>
      </w:r>
    </w:p>
    <w:p w14:paraId="22DF6800">
      <w:pPr>
        <w:spacing w:line="360" w:lineRule="auto"/>
        <w:rPr>
          <w:rFonts w:hint="eastAsia" w:ascii="宋体" w:hAnsi="宋体" w:eastAsia="宋体" w:cs="宋体"/>
          <w:szCs w:val="21"/>
          <w:u w:val="single"/>
        </w:rPr>
      </w:pPr>
    </w:p>
    <w:p w14:paraId="6FA589A2">
      <w:pPr>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 xml:space="preserve">日                          </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3C9E108D">
      <w:pPr>
        <w:spacing w:line="360" w:lineRule="auto"/>
        <w:rPr>
          <w:rFonts w:hint="eastAsia" w:ascii="宋体" w:hAnsi="宋体" w:eastAsia="宋体" w:cs="宋体"/>
          <w:szCs w:val="21"/>
        </w:rPr>
      </w:pPr>
    </w:p>
    <w:p w14:paraId="16EDBF13">
      <w:pPr>
        <w:spacing w:line="360" w:lineRule="auto"/>
        <w:rPr>
          <w:rFonts w:hint="eastAsia" w:ascii="宋体" w:hAnsi="宋体" w:eastAsia="宋体" w:cs="宋体"/>
          <w:b/>
          <w:szCs w:val="21"/>
        </w:rPr>
      </w:pPr>
      <w:r>
        <w:rPr>
          <w:rFonts w:hint="eastAsia" w:ascii="宋体" w:hAnsi="宋体" w:eastAsia="宋体" w:cs="宋体"/>
          <w:szCs w:val="21"/>
        </w:rPr>
        <w:t>签约地点：</w:t>
      </w:r>
      <w:r>
        <w:rPr>
          <w:rFonts w:hint="eastAsia" w:ascii="宋体" w:hAnsi="宋体" w:eastAsia="宋体" w:cs="宋体"/>
          <w:szCs w:val="21"/>
          <w:u w:val="single"/>
        </w:rPr>
        <w:t xml:space="preserve">   永定路街道办事处    </w:t>
      </w:r>
    </w:p>
    <w:p w14:paraId="39C80B2D">
      <w:pPr>
        <w:pStyle w:val="92"/>
        <w:spacing w:before="120" w:after="120"/>
        <w:rPr>
          <w:rFonts w:hint="eastAsia" w:ascii="宋体" w:hAnsi="宋体" w:eastAsia="宋体" w:cs="宋体"/>
          <w:sz w:val="24"/>
          <w:szCs w:val="24"/>
        </w:rPr>
      </w:pPr>
      <w:r>
        <w:rPr>
          <w:rFonts w:hint="eastAsia" w:ascii="宋体" w:hAnsi="宋体" w:eastAsia="宋体" w:cs="宋体"/>
          <w:szCs w:val="21"/>
        </w:rPr>
        <w:br w:type="page"/>
      </w:r>
      <w:bookmarkStart w:id="569" w:name="_Toc497584563"/>
      <w:bookmarkStart w:id="570" w:name="_Toc22031749"/>
      <w:bookmarkStart w:id="571" w:name="_Toc486580454"/>
      <w:bookmarkStart w:id="572" w:name="_Toc497214122"/>
      <w:bookmarkStart w:id="573" w:name="_Toc135239975"/>
      <w:bookmarkStart w:id="574" w:name="_Toc489280260"/>
      <w:r>
        <w:rPr>
          <w:rFonts w:hint="eastAsia" w:ascii="宋体" w:hAnsi="宋体" w:eastAsia="宋体" w:cs="宋体"/>
          <w:sz w:val="24"/>
          <w:szCs w:val="24"/>
        </w:rPr>
        <w:t>附件二：承包人承揽工程项目一览表</w:t>
      </w:r>
      <w:bookmarkEnd w:id="569"/>
      <w:bookmarkEnd w:id="570"/>
      <w:bookmarkEnd w:id="571"/>
      <w:bookmarkEnd w:id="572"/>
      <w:bookmarkEnd w:id="573"/>
      <w:bookmarkEnd w:id="574"/>
    </w:p>
    <w:p w14:paraId="4A619DEE">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承包人承揽工程项目一览表</w:t>
      </w:r>
    </w:p>
    <w:tbl>
      <w:tblPr>
        <w:tblStyle w:val="44"/>
        <w:tblW w:w="8782"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1"/>
        <w:gridCol w:w="791"/>
        <w:gridCol w:w="1155"/>
        <w:gridCol w:w="525"/>
        <w:gridCol w:w="525"/>
        <w:gridCol w:w="735"/>
        <w:gridCol w:w="1155"/>
        <w:gridCol w:w="735"/>
        <w:gridCol w:w="735"/>
        <w:gridCol w:w="735"/>
      </w:tblGrid>
      <w:tr w14:paraId="59B4A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DF49279">
            <w:pPr>
              <w:spacing w:line="540" w:lineRule="exact"/>
              <w:jc w:val="center"/>
              <w:rPr>
                <w:rFonts w:hint="eastAsia" w:ascii="宋体" w:hAnsi="宋体" w:eastAsia="宋体" w:cs="宋体"/>
                <w:spacing w:val="12"/>
              </w:rPr>
            </w:pPr>
            <w:r>
              <w:rPr>
                <w:rFonts w:hint="eastAsia" w:ascii="宋体" w:hAnsi="宋体" w:eastAsia="宋体" w:cs="宋体"/>
                <w:spacing w:val="12"/>
              </w:rPr>
              <w:t>单位工程</w:t>
            </w:r>
          </w:p>
          <w:p w14:paraId="4AA3EBB8">
            <w:pPr>
              <w:spacing w:line="540" w:lineRule="exact"/>
              <w:jc w:val="center"/>
              <w:rPr>
                <w:rFonts w:hint="eastAsia" w:ascii="宋体" w:hAnsi="宋体" w:eastAsia="宋体" w:cs="宋体"/>
                <w:spacing w:val="12"/>
              </w:rPr>
            </w:pPr>
          </w:p>
          <w:p w14:paraId="0D96E1CA">
            <w:pPr>
              <w:spacing w:line="540" w:lineRule="exact"/>
              <w:jc w:val="center"/>
              <w:rPr>
                <w:rFonts w:hint="eastAsia" w:ascii="宋体" w:hAnsi="宋体" w:eastAsia="宋体" w:cs="宋体"/>
                <w:spacing w:val="12"/>
              </w:rPr>
            </w:pPr>
            <w:r>
              <w:rPr>
                <w:rFonts w:hint="eastAsia" w:ascii="宋体" w:hAnsi="宋体" w:eastAsia="宋体" w:cs="宋体"/>
                <w:spacing w:val="12"/>
              </w:rPr>
              <w:t>名称</w:t>
            </w:r>
          </w:p>
        </w:tc>
        <w:tc>
          <w:tcPr>
            <w:tcW w:w="791" w:type="dxa"/>
          </w:tcPr>
          <w:p w14:paraId="7060C418">
            <w:pPr>
              <w:spacing w:line="540" w:lineRule="exact"/>
              <w:rPr>
                <w:rFonts w:hint="eastAsia" w:ascii="宋体" w:hAnsi="宋体" w:eastAsia="宋体" w:cs="宋体"/>
                <w:spacing w:val="12"/>
              </w:rPr>
            </w:pPr>
            <w:r>
              <w:rPr>
                <w:rFonts w:hint="eastAsia" w:ascii="宋体" w:hAnsi="宋体" w:eastAsia="宋体" w:cs="宋体"/>
                <w:spacing w:val="12"/>
              </w:rPr>
              <w:t>建设</w:t>
            </w:r>
          </w:p>
          <w:p w14:paraId="4B4FB205">
            <w:pPr>
              <w:spacing w:line="540" w:lineRule="exact"/>
              <w:rPr>
                <w:rFonts w:hint="eastAsia" w:ascii="宋体" w:hAnsi="宋体" w:eastAsia="宋体" w:cs="宋体"/>
                <w:spacing w:val="12"/>
              </w:rPr>
            </w:pPr>
          </w:p>
          <w:p w14:paraId="4B6D59D5">
            <w:pPr>
              <w:spacing w:line="540" w:lineRule="exact"/>
              <w:rPr>
                <w:rFonts w:hint="eastAsia" w:ascii="宋体" w:hAnsi="宋体" w:eastAsia="宋体" w:cs="宋体"/>
                <w:spacing w:val="12"/>
              </w:rPr>
            </w:pPr>
            <w:r>
              <w:rPr>
                <w:rFonts w:hint="eastAsia" w:ascii="宋体" w:hAnsi="宋体" w:eastAsia="宋体" w:cs="宋体"/>
                <w:spacing w:val="12"/>
              </w:rPr>
              <w:t>规模</w:t>
            </w:r>
          </w:p>
        </w:tc>
        <w:tc>
          <w:tcPr>
            <w:tcW w:w="1155" w:type="dxa"/>
          </w:tcPr>
          <w:p w14:paraId="3D1C2F6C">
            <w:pPr>
              <w:spacing w:line="540" w:lineRule="exact"/>
              <w:rPr>
                <w:rFonts w:hint="eastAsia" w:ascii="宋体" w:hAnsi="宋体" w:eastAsia="宋体" w:cs="宋体"/>
                <w:spacing w:val="12"/>
              </w:rPr>
            </w:pPr>
            <w:r>
              <w:rPr>
                <w:rFonts w:hint="eastAsia" w:ascii="宋体" w:hAnsi="宋体" w:eastAsia="宋体" w:cs="宋体"/>
                <w:spacing w:val="12"/>
              </w:rPr>
              <w:t>建筑面积</w:t>
            </w:r>
          </w:p>
          <w:p w14:paraId="7D54236A">
            <w:pPr>
              <w:spacing w:line="540" w:lineRule="exact"/>
              <w:rPr>
                <w:rFonts w:hint="eastAsia" w:ascii="宋体" w:hAnsi="宋体" w:eastAsia="宋体" w:cs="宋体"/>
                <w:spacing w:val="12"/>
              </w:rPr>
            </w:pPr>
          </w:p>
          <w:p w14:paraId="1FDF89E7">
            <w:pPr>
              <w:spacing w:line="540" w:lineRule="exact"/>
              <w:rPr>
                <w:rFonts w:hint="eastAsia" w:ascii="宋体" w:hAnsi="宋体" w:eastAsia="宋体" w:cs="宋体"/>
                <w:spacing w:val="12"/>
              </w:rPr>
            </w:pPr>
            <w:r>
              <w:rPr>
                <w:rFonts w:hint="eastAsia" w:ascii="宋体" w:hAnsi="宋体" w:eastAsia="宋体" w:cs="宋体"/>
                <w:spacing w:val="12"/>
              </w:rPr>
              <w:t>(平方米)</w:t>
            </w:r>
          </w:p>
        </w:tc>
        <w:tc>
          <w:tcPr>
            <w:tcW w:w="525" w:type="dxa"/>
          </w:tcPr>
          <w:p w14:paraId="5DBA2813">
            <w:pPr>
              <w:spacing w:line="540" w:lineRule="exact"/>
              <w:rPr>
                <w:rFonts w:hint="eastAsia" w:ascii="宋体" w:hAnsi="宋体" w:eastAsia="宋体" w:cs="宋体"/>
                <w:spacing w:val="12"/>
              </w:rPr>
            </w:pPr>
            <w:r>
              <w:rPr>
                <w:rFonts w:hint="eastAsia" w:ascii="宋体" w:hAnsi="宋体" w:eastAsia="宋体" w:cs="宋体"/>
                <w:spacing w:val="12"/>
              </w:rPr>
              <w:t>结</w:t>
            </w:r>
          </w:p>
          <w:p w14:paraId="49A053D8">
            <w:pPr>
              <w:spacing w:line="540" w:lineRule="exact"/>
              <w:rPr>
                <w:rFonts w:hint="eastAsia" w:ascii="宋体" w:hAnsi="宋体" w:eastAsia="宋体" w:cs="宋体"/>
                <w:spacing w:val="12"/>
              </w:rPr>
            </w:pPr>
          </w:p>
          <w:p w14:paraId="26BD515F">
            <w:pPr>
              <w:spacing w:line="540" w:lineRule="exact"/>
              <w:rPr>
                <w:rFonts w:hint="eastAsia" w:ascii="宋体" w:hAnsi="宋体" w:eastAsia="宋体" w:cs="宋体"/>
                <w:spacing w:val="12"/>
              </w:rPr>
            </w:pPr>
            <w:r>
              <w:rPr>
                <w:rFonts w:hint="eastAsia" w:ascii="宋体" w:hAnsi="宋体" w:eastAsia="宋体" w:cs="宋体"/>
                <w:spacing w:val="12"/>
              </w:rPr>
              <w:t>构</w:t>
            </w:r>
          </w:p>
        </w:tc>
        <w:tc>
          <w:tcPr>
            <w:tcW w:w="525" w:type="dxa"/>
          </w:tcPr>
          <w:p w14:paraId="47E7836D">
            <w:pPr>
              <w:spacing w:line="540" w:lineRule="exact"/>
              <w:jc w:val="center"/>
              <w:rPr>
                <w:rFonts w:hint="eastAsia" w:ascii="宋体" w:hAnsi="宋体" w:eastAsia="宋体" w:cs="宋体"/>
                <w:spacing w:val="12"/>
              </w:rPr>
            </w:pPr>
            <w:r>
              <w:rPr>
                <w:rFonts w:hint="eastAsia" w:ascii="宋体" w:hAnsi="宋体" w:eastAsia="宋体" w:cs="宋体"/>
                <w:spacing w:val="12"/>
              </w:rPr>
              <w:t>层</w:t>
            </w:r>
          </w:p>
          <w:p w14:paraId="17A9C53E">
            <w:pPr>
              <w:spacing w:line="540" w:lineRule="exact"/>
              <w:jc w:val="center"/>
              <w:rPr>
                <w:rFonts w:hint="eastAsia" w:ascii="宋体" w:hAnsi="宋体" w:eastAsia="宋体" w:cs="宋体"/>
                <w:spacing w:val="12"/>
              </w:rPr>
            </w:pPr>
          </w:p>
          <w:p w14:paraId="67008A6D">
            <w:pPr>
              <w:spacing w:line="540" w:lineRule="exact"/>
              <w:jc w:val="center"/>
              <w:rPr>
                <w:rFonts w:hint="eastAsia" w:ascii="宋体" w:hAnsi="宋体" w:eastAsia="宋体" w:cs="宋体"/>
                <w:spacing w:val="12"/>
              </w:rPr>
            </w:pPr>
            <w:r>
              <w:rPr>
                <w:rFonts w:hint="eastAsia" w:ascii="宋体" w:hAnsi="宋体" w:eastAsia="宋体" w:cs="宋体"/>
                <w:spacing w:val="12"/>
              </w:rPr>
              <w:t>数</w:t>
            </w:r>
          </w:p>
        </w:tc>
        <w:tc>
          <w:tcPr>
            <w:tcW w:w="735" w:type="dxa"/>
            <w:vAlign w:val="center"/>
          </w:tcPr>
          <w:p w14:paraId="1ACB6C90">
            <w:pPr>
              <w:spacing w:line="540" w:lineRule="exact"/>
              <w:jc w:val="center"/>
              <w:rPr>
                <w:rFonts w:hint="eastAsia" w:ascii="宋体" w:hAnsi="宋体" w:eastAsia="宋体" w:cs="宋体"/>
                <w:spacing w:val="12"/>
              </w:rPr>
            </w:pPr>
            <w:r>
              <w:rPr>
                <w:rFonts w:hint="eastAsia" w:ascii="宋体" w:hAnsi="宋体" w:eastAsia="宋体" w:cs="宋体"/>
                <w:spacing w:val="12"/>
              </w:rPr>
              <w:t>跨</w:t>
            </w:r>
          </w:p>
          <w:p w14:paraId="0910988C">
            <w:pPr>
              <w:spacing w:line="540" w:lineRule="exact"/>
              <w:jc w:val="center"/>
              <w:rPr>
                <w:rFonts w:hint="eastAsia" w:ascii="宋体" w:hAnsi="宋体" w:eastAsia="宋体" w:cs="宋体"/>
                <w:spacing w:val="12"/>
              </w:rPr>
            </w:pPr>
            <w:r>
              <w:rPr>
                <w:rFonts w:hint="eastAsia" w:ascii="宋体" w:hAnsi="宋体" w:eastAsia="宋体" w:cs="宋体"/>
                <w:spacing w:val="12"/>
              </w:rPr>
              <w:t>度(米)</w:t>
            </w:r>
          </w:p>
        </w:tc>
        <w:tc>
          <w:tcPr>
            <w:tcW w:w="1155" w:type="dxa"/>
          </w:tcPr>
          <w:p w14:paraId="5CB8EA3B">
            <w:pPr>
              <w:spacing w:line="540" w:lineRule="exact"/>
              <w:jc w:val="center"/>
              <w:rPr>
                <w:rFonts w:hint="eastAsia" w:ascii="宋体" w:hAnsi="宋体" w:eastAsia="宋体" w:cs="宋体"/>
                <w:spacing w:val="12"/>
              </w:rPr>
            </w:pPr>
            <w:r>
              <w:rPr>
                <w:rFonts w:hint="eastAsia" w:ascii="宋体" w:hAnsi="宋体" w:eastAsia="宋体" w:cs="宋体"/>
                <w:spacing w:val="12"/>
              </w:rPr>
              <w:t>设备安装</w:t>
            </w:r>
          </w:p>
          <w:p w14:paraId="3CFEBC31">
            <w:pPr>
              <w:spacing w:line="540" w:lineRule="exact"/>
              <w:jc w:val="center"/>
              <w:rPr>
                <w:rFonts w:hint="eastAsia" w:ascii="宋体" w:hAnsi="宋体" w:eastAsia="宋体" w:cs="宋体"/>
                <w:spacing w:val="12"/>
              </w:rPr>
            </w:pPr>
          </w:p>
          <w:p w14:paraId="138666B7">
            <w:pPr>
              <w:spacing w:line="540" w:lineRule="exact"/>
              <w:jc w:val="center"/>
              <w:rPr>
                <w:rFonts w:hint="eastAsia" w:ascii="宋体" w:hAnsi="宋体" w:eastAsia="宋体" w:cs="宋体"/>
                <w:spacing w:val="12"/>
              </w:rPr>
            </w:pPr>
            <w:r>
              <w:rPr>
                <w:rFonts w:hint="eastAsia" w:ascii="宋体" w:hAnsi="宋体" w:eastAsia="宋体" w:cs="宋体"/>
                <w:spacing w:val="12"/>
              </w:rPr>
              <w:t>内容</w:t>
            </w:r>
          </w:p>
        </w:tc>
        <w:tc>
          <w:tcPr>
            <w:tcW w:w="735" w:type="dxa"/>
          </w:tcPr>
          <w:p w14:paraId="261F35D3">
            <w:pPr>
              <w:spacing w:line="540" w:lineRule="exact"/>
              <w:jc w:val="center"/>
              <w:rPr>
                <w:rFonts w:hint="eastAsia" w:ascii="宋体" w:hAnsi="宋体" w:eastAsia="宋体" w:cs="宋体"/>
                <w:spacing w:val="12"/>
              </w:rPr>
            </w:pPr>
            <w:r>
              <w:rPr>
                <w:rFonts w:hint="eastAsia" w:ascii="宋体" w:hAnsi="宋体" w:eastAsia="宋体" w:cs="宋体"/>
                <w:spacing w:val="12"/>
              </w:rPr>
              <w:t>工程造价</w:t>
            </w:r>
          </w:p>
          <w:p w14:paraId="1660B419">
            <w:pPr>
              <w:spacing w:line="540" w:lineRule="exact"/>
              <w:jc w:val="center"/>
              <w:rPr>
                <w:rFonts w:hint="eastAsia" w:ascii="宋体" w:hAnsi="宋体" w:eastAsia="宋体" w:cs="宋体"/>
                <w:spacing w:val="12"/>
              </w:rPr>
            </w:pPr>
            <w:r>
              <w:rPr>
                <w:rFonts w:hint="eastAsia" w:ascii="宋体" w:hAnsi="宋体" w:eastAsia="宋体" w:cs="宋体"/>
                <w:spacing w:val="12"/>
              </w:rPr>
              <w:t>(元)</w:t>
            </w:r>
          </w:p>
        </w:tc>
        <w:tc>
          <w:tcPr>
            <w:tcW w:w="735" w:type="dxa"/>
          </w:tcPr>
          <w:p w14:paraId="16E9F1C2">
            <w:pPr>
              <w:spacing w:line="540" w:lineRule="exact"/>
              <w:rPr>
                <w:rFonts w:hint="eastAsia" w:ascii="宋体" w:hAnsi="宋体" w:eastAsia="宋体" w:cs="宋体"/>
                <w:spacing w:val="12"/>
              </w:rPr>
            </w:pPr>
            <w:r>
              <w:rPr>
                <w:rFonts w:hint="eastAsia" w:ascii="宋体" w:hAnsi="宋体" w:eastAsia="宋体" w:cs="宋体"/>
                <w:spacing w:val="12"/>
              </w:rPr>
              <w:t>开工</w:t>
            </w:r>
          </w:p>
          <w:p w14:paraId="27EC6EAD">
            <w:pPr>
              <w:spacing w:line="540" w:lineRule="exact"/>
              <w:rPr>
                <w:rFonts w:hint="eastAsia" w:ascii="宋体" w:hAnsi="宋体" w:eastAsia="宋体" w:cs="宋体"/>
                <w:spacing w:val="12"/>
              </w:rPr>
            </w:pPr>
          </w:p>
          <w:p w14:paraId="345EBC77">
            <w:pPr>
              <w:spacing w:line="540" w:lineRule="exact"/>
              <w:rPr>
                <w:rFonts w:hint="eastAsia" w:ascii="宋体" w:hAnsi="宋体" w:eastAsia="宋体" w:cs="宋体"/>
                <w:spacing w:val="12"/>
              </w:rPr>
            </w:pPr>
            <w:r>
              <w:rPr>
                <w:rFonts w:hint="eastAsia" w:ascii="宋体" w:hAnsi="宋体" w:eastAsia="宋体" w:cs="宋体"/>
                <w:spacing w:val="12"/>
              </w:rPr>
              <w:t>日期</w:t>
            </w:r>
          </w:p>
        </w:tc>
        <w:tc>
          <w:tcPr>
            <w:tcW w:w="735" w:type="dxa"/>
          </w:tcPr>
          <w:p w14:paraId="3170DE00">
            <w:pPr>
              <w:spacing w:line="540" w:lineRule="exact"/>
              <w:jc w:val="center"/>
              <w:rPr>
                <w:rFonts w:hint="eastAsia" w:ascii="宋体" w:hAnsi="宋体" w:eastAsia="宋体" w:cs="宋体"/>
                <w:spacing w:val="12"/>
              </w:rPr>
            </w:pPr>
            <w:r>
              <w:rPr>
                <w:rFonts w:hint="eastAsia" w:ascii="宋体" w:hAnsi="宋体" w:eastAsia="宋体" w:cs="宋体"/>
                <w:spacing w:val="12"/>
              </w:rPr>
              <w:t>竣工</w:t>
            </w:r>
          </w:p>
          <w:p w14:paraId="52016563">
            <w:pPr>
              <w:spacing w:line="540" w:lineRule="exact"/>
              <w:jc w:val="center"/>
              <w:rPr>
                <w:rFonts w:hint="eastAsia" w:ascii="宋体" w:hAnsi="宋体" w:eastAsia="宋体" w:cs="宋体"/>
                <w:spacing w:val="12"/>
              </w:rPr>
            </w:pPr>
          </w:p>
          <w:p w14:paraId="1A9B7A6F">
            <w:pPr>
              <w:spacing w:line="540" w:lineRule="exact"/>
              <w:jc w:val="center"/>
              <w:rPr>
                <w:rFonts w:hint="eastAsia" w:ascii="宋体" w:hAnsi="宋体" w:eastAsia="宋体" w:cs="宋体"/>
                <w:spacing w:val="12"/>
              </w:rPr>
            </w:pPr>
            <w:r>
              <w:rPr>
                <w:rFonts w:hint="eastAsia" w:ascii="宋体" w:hAnsi="宋体" w:eastAsia="宋体" w:cs="宋体"/>
                <w:spacing w:val="12"/>
              </w:rPr>
              <w:t>日期</w:t>
            </w:r>
          </w:p>
        </w:tc>
      </w:tr>
      <w:tr w14:paraId="7703B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1691" w:type="dxa"/>
          </w:tcPr>
          <w:p w14:paraId="020F1B3A">
            <w:pPr>
              <w:jc w:val="center"/>
              <w:rPr>
                <w:rFonts w:hint="eastAsia" w:ascii="宋体" w:hAnsi="宋体" w:eastAsia="宋体" w:cs="宋体"/>
                <w:szCs w:val="21"/>
              </w:rPr>
            </w:pPr>
            <w:r>
              <w:rPr>
                <w:rFonts w:hint="eastAsia" w:ascii="宋体" w:hAnsi="宋体" w:eastAsia="宋体" w:cs="宋体"/>
                <w:szCs w:val="21"/>
              </w:rPr>
              <w:t>/</w:t>
            </w:r>
          </w:p>
        </w:tc>
        <w:tc>
          <w:tcPr>
            <w:tcW w:w="791" w:type="dxa"/>
          </w:tcPr>
          <w:p w14:paraId="189434F9">
            <w:pPr>
              <w:jc w:val="center"/>
              <w:rPr>
                <w:rFonts w:hint="eastAsia" w:ascii="宋体" w:hAnsi="宋体" w:eastAsia="宋体" w:cs="宋体"/>
                <w:szCs w:val="21"/>
              </w:rPr>
            </w:pPr>
            <w:r>
              <w:rPr>
                <w:rFonts w:hint="eastAsia" w:ascii="宋体" w:hAnsi="宋体" w:eastAsia="宋体" w:cs="宋体"/>
                <w:szCs w:val="21"/>
              </w:rPr>
              <w:t>/</w:t>
            </w:r>
          </w:p>
        </w:tc>
        <w:tc>
          <w:tcPr>
            <w:tcW w:w="1155" w:type="dxa"/>
          </w:tcPr>
          <w:p w14:paraId="08C0F114">
            <w:pPr>
              <w:jc w:val="center"/>
              <w:rPr>
                <w:rFonts w:hint="eastAsia" w:ascii="宋体" w:hAnsi="宋体" w:eastAsia="宋体" w:cs="宋体"/>
                <w:szCs w:val="21"/>
              </w:rPr>
            </w:pPr>
            <w:r>
              <w:rPr>
                <w:rFonts w:hint="eastAsia" w:ascii="宋体" w:hAnsi="宋体" w:eastAsia="宋体" w:cs="宋体"/>
                <w:szCs w:val="21"/>
              </w:rPr>
              <w:t>/</w:t>
            </w:r>
          </w:p>
        </w:tc>
        <w:tc>
          <w:tcPr>
            <w:tcW w:w="525" w:type="dxa"/>
          </w:tcPr>
          <w:p w14:paraId="6CED54B8">
            <w:pPr>
              <w:jc w:val="center"/>
              <w:rPr>
                <w:rFonts w:hint="eastAsia" w:ascii="宋体" w:hAnsi="宋体" w:eastAsia="宋体" w:cs="宋体"/>
                <w:szCs w:val="21"/>
              </w:rPr>
            </w:pPr>
            <w:r>
              <w:rPr>
                <w:rFonts w:hint="eastAsia" w:ascii="宋体" w:hAnsi="宋体" w:eastAsia="宋体" w:cs="宋体"/>
                <w:szCs w:val="21"/>
              </w:rPr>
              <w:t>/</w:t>
            </w:r>
          </w:p>
        </w:tc>
        <w:tc>
          <w:tcPr>
            <w:tcW w:w="525" w:type="dxa"/>
          </w:tcPr>
          <w:p w14:paraId="67D8097B">
            <w:pPr>
              <w:jc w:val="center"/>
              <w:rPr>
                <w:rFonts w:hint="eastAsia" w:ascii="宋体" w:hAnsi="宋体" w:eastAsia="宋体" w:cs="宋体"/>
                <w:szCs w:val="21"/>
              </w:rPr>
            </w:pPr>
            <w:r>
              <w:rPr>
                <w:rFonts w:hint="eastAsia" w:ascii="宋体" w:hAnsi="宋体" w:eastAsia="宋体" w:cs="宋体"/>
                <w:szCs w:val="21"/>
              </w:rPr>
              <w:t>/</w:t>
            </w:r>
          </w:p>
        </w:tc>
        <w:tc>
          <w:tcPr>
            <w:tcW w:w="735" w:type="dxa"/>
          </w:tcPr>
          <w:p w14:paraId="65F0B096">
            <w:pPr>
              <w:jc w:val="center"/>
              <w:rPr>
                <w:rFonts w:hint="eastAsia" w:ascii="宋体" w:hAnsi="宋体" w:eastAsia="宋体" w:cs="宋体"/>
                <w:szCs w:val="21"/>
              </w:rPr>
            </w:pPr>
            <w:r>
              <w:rPr>
                <w:rFonts w:hint="eastAsia" w:ascii="宋体" w:hAnsi="宋体" w:eastAsia="宋体" w:cs="宋体"/>
                <w:szCs w:val="21"/>
              </w:rPr>
              <w:t>/</w:t>
            </w:r>
          </w:p>
        </w:tc>
        <w:tc>
          <w:tcPr>
            <w:tcW w:w="1155" w:type="dxa"/>
          </w:tcPr>
          <w:p w14:paraId="5DB362D3">
            <w:pPr>
              <w:jc w:val="center"/>
              <w:rPr>
                <w:rFonts w:hint="eastAsia" w:ascii="宋体" w:hAnsi="宋体" w:eastAsia="宋体" w:cs="宋体"/>
                <w:szCs w:val="21"/>
              </w:rPr>
            </w:pPr>
            <w:r>
              <w:rPr>
                <w:rFonts w:hint="eastAsia" w:ascii="宋体" w:hAnsi="宋体" w:eastAsia="宋体" w:cs="宋体"/>
                <w:szCs w:val="21"/>
              </w:rPr>
              <w:t>/</w:t>
            </w:r>
          </w:p>
        </w:tc>
        <w:tc>
          <w:tcPr>
            <w:tcW w:w="735" w:type="dxa"/>
          </w:tcPr>
          <w:p w14:paraId="45E32DEA">
            <w:pPr>
              <w:jc w:val="center"/>
              <w:rPr>
                <w:rFonts w:hint="eastAsia" w:ascii="宋体" w:hAnsi="宋体" w:eastAsia="宋体" w:cs="宋体"/>
                <w:szCs w:val="21"/>
              </w:rPr>
            </w:pPr>
            <w:r>
              <w:rPr>
                <w:rFonts w:hint="eastAsia" w:ascii="宋体" w:hAnsi="宋体" w:eastAsia="宋体" w:cs="宋体"/>
                <w:szCs w:val="21"/>
              </w:rPr>
              <w:t>/</w:t>
            </w:r>
          </w:p>
        </w:tc>
        <w:tc>
          <w:tcPr>
            <w:tcW w:w="735" w:type="dxa"/>
          </w:tcPr>
          <w:p w14:paraId="37654E1D">
            <w:pPr>
              <w:jc w:val="center"/>
              <w:rPr>
                <w:rFonts w:hint="eastAsia" w:ascii="宋体" w:hAnsi="宋体" w:eastAsia="宋体" w:cs="宋体"/>
                <w:szCs w:val="21"/>
              </w:rPr>
            </w:pPr>
            <w:r>
              <w:rPr>
                <w:rFonts w:hint="eastAsia" w:ascii="宋体" w:hAnsi="宋体" w:eastAsia="宋体" w:cs="宋体"/>
                <w:szCs w:val="21"/>
              </w:rPr>
              <w:t>/</w:t>
            </w:r>
          </w:p>
        </w:tc>
        <w:tc>
          <w:tcPr>
            <w:tcW w:w="735" w:type="dxa"/>
          </w:tcPr>
          <w:p w14:paraId="44727BC9">
            <w:pPr>
              <w:jc w:val="center"/>
              <w:rPr>
                <w:rFonts w:hint="eastAsia" w:ascii="宋体" w:hAnsi="宋体" w:eastAsia="宋体" w:cs="宋体"/>
                <w:szCs w:val="21"/>
              </w:rPr>
            </w:pPr>
            <w:r>
              <w:rPr>
                <w:rFonts w:hint="eastAsia" w:ascii="宋体" w:hAnsi="宋体" w:eastAsia="宋体" w:cs="宋体"/>
                <w:szCs w:val="21"/>
              </w:rPr>
              <w:t>/</w:t>
            </w:r>
          </w:p>
        </w:tc>
      </w:tr>
      <w:tr w14:paraId="2B4F0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63DB029E">
            <w:pPr>
              <w:spacing w:line="540" w:lineRule="exact"/>
              <w:rPr>
                <w:rFonts w:hint="eastAsia" w:ascii="宋体" w:hAnsi="宋体" w:eastAsia="宋体" w:cs="宋体"/>
              </w:rPr>
            </w:pPr>
          </w:p>
        </w:tc>
        <w:tc>
          <w:tcPr>
            <w:tcW w:w="791" w:type="dxa"/>
          </w:tcPr>
          <w:p w14:paraId="6400437C">
            <w:pPr>
              <w:spacing w:line="540" w:lineRule="exact"/>
              <w:rPr>
                <w:rFonts w:hint="eastAsia" w:ascii="宋体" w:hAnsi="宋体" w:eastAsia="宋体" w:cs="宋体"/>
                <w:spacing w:val="12"/>
              </w:rPr>
            </w:pPr>
          </w:p>
        </w:tc>
        <w:tc>
          <w:tcPr>
            <w:tcW w:w="1155" w:type="dxa"/>
          </w:tcPr>
          <w:p w14:paraId="7929CEF3">
            <w:pPr>
              <w:spacing w:line="540" w:lineRule="exact"/>
              <w:rPr>
                <w:rFonts w:hint="eastAsia" w:ascii="宋体" w:hAnsi="宋体" w:eastAsia="宋体" w:cs="宋体"/>
                <w:spacing w:val="12"/>
              </w:rPr>
            </w:pPr>
          </w:p>
        </w:tc>
        <w:tc>
          <w:tcPr>
            <w:tcW w:w="525" w:type="dxa"/>
          </w:tcPr>
          <w:p w14:paraId="53F5377D">
            <w:pPr>
              <w:spacing w:line="540" w:lineRule="exact"/>
              <w:rPr>
                <w:rFonts w:hint="eastAsia" w:ascii="宋体" w:hAnsi="宋体" w:eastAsia="宋体" w:cs="宋体"/>
                <w:spacing w:val="12"/>
              </w:rPr>
            </w:pPr>
          </w:p>
        </w:tc>
        <w:tc>
          <w:tcPr>
            <w:tcW w:w="525" w:type="dxa"/>
          </w:tcPr>
          <w:p w14:paraId="015E8FF4">
            <w:pPr>
              <w:spacing w:line="540" w:lineRule="exact"/>
              <w:rPr>
                <w:rFonts w:hint="eastAsia" w:ascii="宋体" w:hAnsi="宋体" w:eastAsia="宋体" w:cs="宋体"/>
                <w:spacing w:val="12"/>
              </w:rPr>
            </w:pPr>
          </w:p>
        </w:tc>
        <w:tc>
          <w:tcPr>
            <w:tcW w:w="735" w:type="dxa"/>
          </w:tcPr>
          <w:p w14:paraId="23C53971">
            <w:pPr>
              <w:spacing w:line="540" w:lineRule="exact"/>
              <w:rPr>
                <w:rFonts w:hint="eastAsia" w:ascii="宋体" w:hAnsi="宋体" w:eastAsia="宋体" w:cs="宋体"/>
                <w:spacing w:val="12"/>
              </w:rPr>
            </w:pPr>
          </w:p>
        </w:tc>
        <w:tc>
          <w:tcPr>
            <w:tcW w:w="1155" w:type="dxa"/>
          </w:tcPr>
          <w:p w14:paraId="60396790">
            <w:pPr>
              <w:spacing w:line="540" w:lineRule="exact"/>
              <w:rPr>
                <w:rFonts w:hint="eastAsia" w:ascii="宋体" w:hAnsi="宋体" w:eastAsia="宋体" w:cs="宋体"/>
                <w:spacing w:val="12"/>
              </w:rPr>
            </w:pPr>
          </w:p>
        </w:tc>
        <w:tc>
          <w:tcPr>
            <w:tcW w:w="735" w:type="dxa"/>
          </w:tcPr>
          <w:p w14:paraId="1546D78B">
            <w:pPr>
              <w:spacing w:line="540" w:lineRule="exact"/>
              <w:rPr>
                <w:rFonts w:hint="eastAsia" w:ascii="宋体" w:hAnsi="宋体" w:eastAsia="宋体" w:cs="宋体"/>
                <w:spacing w:val="12"/>
              </w:rPr>
            </w:pPr>
          </w:p>
        </w:tc>
        <w:tc>
          <w:tcPr>
            <w:tcW w:w="735" w:type="dxa"/>
          </w:tcPr>
          <w:p w14:paraId="59C7B195">
            <w:pPr>
              <w:spacing w:line="540" w:lineRule="exact"/>
              <w:rPr>
                <w:rFonts w:hint="eastAsia" w:ascii="宋体" w:hAnsi="宋体" w:eastAsia="宋体" w:cs="宋体"/>
                <w:spacing w:val="12"/>
              </w:rPr>
            </w:pPr>
          </w:p>
        </w:tc>
        <w:tc>
          <w:tcPr>
            <w:tcW w:w="735" w:type="dxa"/>
          </w:tcPr>
          <w:p w14:paraId="5CF482E9">
            <w:pPr>
              <w:spacing w:line="540" w:lineRule="exact"/>
              <w:rPr>
                <w:rFonts w:hint="eastAsia" w:ascii="宋体" w:hAnsi="宋体" w:eastAsia="宋体" w:cs="宋体"/>
                <w:spacing w:val="12"/>
              </w:rPr>
            </w:pPr>
          </w:p>
        </w:tc>
      </w:tr>
      <w:tr w14:paraId="7255A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0C20A02">
            <w:pPr>
              <w:spacing w:line="540" w:lineRule="exact"/>
              <w:rPr>
                <w:rFonts w:hint="eastAsia" w:ascii="宋体" w:hAnsi="宋体" w:eastAsia="宋体" w:cs="宋体"/>
                <w:spacing w:val="12"/>
              </w:rPr>
            </w:pPr>
          </w:p>
        </w:tc>
        <w:tc>
          <w:tcPr>
            <w:tcW w:w="791" w:type="dxa"/>
          </w:tcPr>
          <w:p w14:paraId="7F0697EF">
            <w:pPr>
              <w:spacing w:line="540" w:lineRule="exact"/>
              <w:rPr>
                <w:rFonts w:hint="eastAsia" w:ascii="宋体" w:hAnsi="宋体" w:eastAsia="宋体" w:cs="宋体"/>
                <w:spacing w:val="12"/>
              </w:rPr>
            </w:pPr>
          </w:p>
        </w:tc>
        <w:tc>
          <w:tcPr>
            <w:tcW w:w="1155" w:type="dxa"/>
          </w:tcPr>
          <w:p w14:paraId="3AFFA848">
            <w:pPr>
              <w:spacing w:line="540" w:lineRule="exact"/>
              <w:rPr>
                <w:rFonts w:hint="eastAsia" w:ascii="宋体" w:hAnsi="宋体" w:eastAsia="宋体" w:cs="宋体"/>
                <w:spacing w:val="12"/>
              </w:rPr>
            </w:pPr>
          </w:p>
        </w:tc>
        <w:tc>
          <w:tcPr>
            <w:tcW w:w="525" w:type="dxa"/>
          </w:tcPr>
          <w:p w14:paraId="7CE7A0C1">
            <w:pPr>
              <w:spacing w:line="540" w:lineRule="exact"/>
              <w:rPr>
                <w:rFonts w:hint="eastAsia" w:ascii="宋体" w:hAnsi="宋体" w:eastAsia="宋体" w:cs="宋体"/>
                <w:spacing w:val="12"/>
              </w:rPr>
            </w:pPr>
          </w:p>
        </w:tc>
        <w:tc>
          <w:tcPr>
            <w:tcW w:w="525" w:type="dxa"/>
          </w:tcPr>
          <w:p w14:paraId="5D0EFAB5">
            <w:pPr>
              <w:spacing w:line="540" w:lineRule="exact"/>
              <w:rPr>
                <w:rFonts w:hint="eastAsia" w:ascii="宋体" w:hAnsi="宋体" w:eastAsia="宋体" w:cs="宋体"/>
                <w:spacing w:val="12"/>
              </w:rPr>
            </w:pPr>
          </w:p>
        </w:tc>
        <w:tc>
          <w:tcPr>
            <w:tcW w:w="735" w:type="dxa"/>
          </w:tcPr>
          <w:p w14:paraId="22B4CF7E">
            <w:pPr>
              <w:spacing w:line="540" w:lineRule="exact"/>
              <w:rPr>
                <w:rFonts w:hint="eastAsia" w:ascii="宋体" w:hAnsi="宋体" w:eastAsia="宋体" w:cs="宋体"/>
                <w:spacing w:val="12"/>
              </w:rPr>
            </w:pPr>
          </w:p>
        </w:tc>
        <w:tc>
          <w:tcPr>
            <w:tcW w:w="1155" w:type="dxa"/>
          </w:tcPr>
          <w:p w14:paraId="0D88D12B">
            <w:pPr>
              <w:spacing w:line="540" w:lineRule="exact"/>
              <w:rPr>
                <w:rFonts w:hint="eastAsia" w:ascii="宋体" w:hAnsi="宋体" w:eastAsia="宋体" w:cs="宋体"/>
                <w:spacing w:val="12"/>
              </w:rPr>
            </w:pPr>
          </w:p>
        </w:tc>
        <w:tc>
          <w:tcPr>
            <w:tcW w:w="735" w:type="dxa"/>
          </w:tcPr>
          <w:p w14:paraId="54CD2188">
            <w:pPr>
              <w:spacing w:line="540" w:lineRule="exact"/>
              <w:rPr>
                <w:rFonts w:hint="eastAsia" w:ascii="宋体" w:hAnsi="宋体" w:eastAsia="宋体" w:cs="宋体"/>
                <w:spacing w:val="12"/>
              </w:rPr>
            </w:pPr>
          </w:p>
        </w:tc>
        <w:tc>
          <w:tcPr>
            <w:tcW w:w="735" w:type="dxa"/>
          </w:tcPr>
          <w:p w14:paraId="5C8C401C">
            <w:pPr>
              <w:spacing w:line="540" w:lineRule="exact"/>
              <w:rPr>
                <w:rFonts w:hint="eastAsia" w:ascii="宋体" w:hAnsi="宋体" w:eastAsia="宋体" w:cs="宋体"/>
                <w:spacing w:val="12"/>
              </w:rPr>
            </w:pPr>
          </w:p>
        </w:tc>
        <w:tc>
          <w:tcPr>
            <w:tcW w:w="735" w:type="dxa"/>
          </w:tcPr>
          <w:p w14:paraId="0B846CFC">
            <w:pPr>
              <w:spacing w:line="540" w:lineRule="exact"/>
              <w:rPr>
                <w:rFonts w:hint="eastAsia" w:ascii="宋体" w:hAnsi="宋体" w:eastAsia="宋体" w:cs="宋体"/>
                <w:spacing w:val="12"/>
              </w:rPr>
            </w:pPr>
          </w:p>
        </w:tc>
      </w:tr>
      <w:tr w14:paraId="3F84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B15721F">
            <w:pPr>
              <w:spacing w:line="540" w:lineRule="exact"/>
              <w:rPr>
                <w:rFonts w:hint="eastAsia" w:ascii="宋体" w:hAnsi="宋体" w:eastAsia="宋体" w:cs="宋体"/>
                <w:spacing w:val="12"/>
              </w:rPr>
            </w:pPr>
          </w:p>
        </w:tc>
        <w:tc>
          <w:tcPr>
            <w:tcW w:w="791" w:type="dxa"/>
          </w:tcPr>
          <w:p w14:paraId="60C7E8F3">
            <w:pPr>
              <w:spacing w:line="540" w:lineRule="exact"/>
              <w:rPr>
                <w:rFonts w:hint="eastAsia" w:ascii="宋体" w:hAnsi="宋体" w:eastAsia="宋体" w:cs="宋体"/>
                <w:spacing w:val="12"/>
              </w:rPr>
            </w:pPr>
          </w:p>
        </w:tc>
        <w:tc>
          <w:tcPr>
            <w:tcW w:w="1155" w:type="dxa"/>
          </w:tcPr>
          <w:p w14:paraId="70409C60">
            <w:pPr>
              <w:spacing w:line="540" w:lineRule="exact"/>
              <w:rPr>
                <w:rFonts w:hint="eastAsia" w:ascii="宋体" w:hAnsi="宋体" w:eastAsia="宋体" w:cs="宋体"/>
                <w:spacing w:val="12"/>
              </w:rPr>
            </w:pPr>
          </w:p>
        </w:tc>
        <w:tc>
          <w:tcPr>
            <w:tcW w:w="525" w:type="dxa"/>
          </w:tcPr>
          <w:p w14:paraId="79BBF081">
            <w:pPr>
              <w:spacing w:line="540" w:lineRule="exact"/>
              <w:rPr>
                <w:rFonts w:hint="eastAsia" w:ascii="宋体" w:hAnsi="宋体" w:eastAsia="宋体" w:cs="宋体"/>
                <w:spacing w:val="12"/>
              </w:rPr>
            </w:pPr>
          </w:p>
        </w:tc>
        <w:tc>
          <w:tcPr>
            <w:tcW w:w="525" w:type="dxa"/>
          </w:tcPr>
          <w:p w14:paraId="3A0678C7">
            <w:pPr>
              <w:spacing w:line="540" w:lineRule="exact"/>
              <w:rPr>
                <w:rFonts w:hint="eastAsia" w:ascii="宋体" w:hAnsi="宋体" w:eastAsia="宋体" w:cs="宋体"/>
                <w:spacing w:val="12"/>
              </w:rPr>
            </w:pPr>
          </w:p>
        </w:tc>
        <w:tc>
          <w:tcPr>
            <w:tcW w:w="735" w:type="dxa"/>
          </w:tcPr>
          <w:p w14:paraId="25544422">
            <w:pPr>
              <w:spacing w:line="540" w:lineRule="exact"/>
              <w:rPr>
                <w:rFonts w:hint="eastAsia" w:ascii="宋体" w:hAnsi="宋体" w:eastAsia="宋体" w:cs="宋体"/>
                <w:spacing w:val="12"/>
              </w:rPr>
            </w:pPr>
          </w:p>
        </w:tc>
        <w:tc>
          <w:tcPr>
            <w:tcW w:w="1155" w:type="dxa"/>
          </w:tcPr>
          <w:p w14:paraId="2CC69E06">
            <w:pPr>
              <w:spacing w:line="540" w:lineRule="exact"/>
              <w:rPr>
                <w:rFonts w:hint="eastAsia" w:ascii="宋体" w:hAnsi="宋体" w:eastAsia="宋体" w:cs="宋体"/>
                <w:spacing w:val="12"/>
              </w:rPr>
            </w:pPr>
          </w:p>
        </w:tc>
        <w:tc>
          <w:tcPr>
            <w:tcW w:w="735" w:type="dxa"/>
          </w:tcPr>
          <w:p w14:paraId="5AA92591">
            <w:pPr>
              <w:spacing w:line="540" w:lineRule="exact"/>
              <w:rPr>
                <w:rFonts w:hint="eastAsia" w:ascii="宋体" w:hAnsi="宋体" w:eastAsia="宋体" w:cs="宋体"/>
                <w:spacing w:val="12"/>
              </w:rPr>
            </w:pPr>
          </w:p>
        </w:tc>
        <w:tc>
          <w:tcPr>
            <w:tcW w:w="735" w:type="dxa"/>
          </w:tcPr>
          <w:p w14:paraId="26132044">
            <w:pPr>
              <w:spacing w:line="540" w:lineRule="exact"/>
              <w:rPr>
                <w:rFonts w:hint="eastAsia" w:ascii="宋体" w:hAnsi="宋体" w:eastAsia="宋体" w:cs="宋体"/>
                <w:spacing w:val="12"/>
              </w:rPr>
            </w:pPr>
          </w:p>
        </w:tc>
        <w:tc>
          <w:tcPr>
            <w:tcW w:w="735" w:type="dxa"/>
          </w:tcPr>
          <w:p w14:paraId="46C99C75">
            <w:pPr>
              <w:spacing w:line="540" w:lineRule="exact"/>
              <w:rPr>
                <w:rFonts w:hint="eastAsia" w:ascii="宋体" w:hAnsi="宋体" w:eastAsia="宋体" w:cs="宋体"/>
                <w:spacing w:val="12"/>
              </w:rPr>
            </w:pPr>
          </w:p>
        </w:tc>
      </w:tr>
      <w:tr w14:paraId="787E6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46134F91">
            <w:pPr>
              <w:spacing w:line="540" w:lineRule="exact"/>
              <w:rPr>
                <w:rFonts w:hint="eastAsia" w:ascii="宋体" w:hAnsi="宋体" w:eastAsia="宋体" w:cs="宋体"/>
                <w:spacing w:val="12"/>
              </w:rPr>
            </w:pPr>
          </w:p>
        </w:tc>
        <w:tc>
          <w:tcPr>
            <w:tcW w:w="791" w:type="dxa"/>
          </w:tcPr>
          <w:p w14:paraId="6DE04231">
            <w:pPr>
              <w:spacing w:line="540" w:lineRule="exact"/>
              <w:rPr>
                <w:rFonts w:hint="eastAsia" w:ascii="宋体" w:hAnsi="宋体" w:eastAsia="宋体" w:cs="宋体"/>
                <w:spacing w:val="12"/>
              </w:rPr>
            </w:pPr>
          </w:p>
        </w:tc>
        <w:tc>
          <w:tcPr>
            <w:tcW w:w="1155" w:type="dxa"/>
          </w:tcPr>
          <w:p w14:paraId="4F584DCE">
            <w:pPr>
              <w:spacing w:line="540" w:lineRule="exact"/>
              <w:rPr>
                <w:rFonts w:hint="eastAsia" w:ascii="宋体" w:hAnsi="宋体" w:eastAsia="宋体" w:cs="宋体"/>
                <w:spacing w:val="12"/>
              </w:rPr>
            </w:pPr>
          </w:p>
        </w:tc>
        <w:tc>
          <w:tcPr>
            <w:tcW w:w="525" w:type="dxa"/>
          </w:tcPr>
          <w:p w14:paraId="09ADC95B">
            <w:pPr>
              <w:spacing w:line="540" w:lineRule="exact"/>
              <w:rPr>
                <w:rFonts w:hint="eastAsia" w:ascii="宋体" w:hAnsi="宋体" w:eastAsia="宋体" w:cs="宋体"/>
                <w:spacing w:val="12"/>
              </w:rPr>
            </w:pPr>
          </w:p>
        </w:tc>
        <w:tc>
          <w:tcPr>
            <w:tcW w:w="525" w:type="dxa"/>
          </w:tcPr>
          <w:p w14:paraId="6B1262A6">
            <w:pPr>
              <w:spacing w:line="540" w:lineRule="exact"/>
              <w:rPr>
                <w:rFonts w:hint="eastAsia" w:ascii="宋体" w:hAnsi="宋体" w:eastAsia="宋体" w:cs="宋体"/>
                <w:spacing w:val="12"/>
              </w:rPr>
            </w:pPr>
          </w:p>
        </w:tc>
        <w:tc>
          <w:tcPr>
            <w:tcW w:w="735" w:type="dxa"/>
          </w:tcPr>
          <w:p w14:paraId="3B5F7C28">
            <w:pPr>
              <w:spacing w:line="540" w:lineRule="exact"/>
              <w:rPr>
                <w:rFonts w:hint="eastAsia" w:ascii="宋体" w:hAnsi="宋体" w:eastAsia="宋体" w:cs="宋体"/>
                <w:spacing w:val="12"/>
              </w:rPr>
            </w:pPr>
          </w:p>
        </w:tc>
        <w:tc>
          <w:tcPr>
            <w:tcW w:w="1155" w:type="dxa"/>
          </w:tcPr>
          <w:p w14:paraId="592ADC20">
            <w:pPr>
              <w:spacing w:line="540" w:lineRule="exact"/>
              <w:rPr>
                <w:rFonts w:hint="eastAsia" w:ascii="宋体" w:hAnsi="宋体" w:eastAsia="宋体" w:cs="宋体"/>
                <w:spacing w:val="12"/>
              </w:rPr>
            </w:pPr>
          </w:p>
        </w:tc>
        <w:tc>
          <w:tcPr>
            <w:tcW w:w="735" w:type="dxa"/>
          </w:tcPr>
          <w:p w14:paraId="5C4BB068">
            <w:pPr>
              <w:spacing w:line="540" w:lineRule="exact"/>
              <w:rPr>
                <w:rFonts w:hint="eastAsia" w:ascii="宋体" w:hAnsi="宋体" w:eastAsia="宋体" w:cs="宋体"/>
                <w:spacing w:val="12"/>
              </w:rPr>
            </w:pPr>
          </w:p>
        </w:tc>
        <w:tc>
          <w:tcPr>
            <w:tcW w:w="735" w:type="dxa"/>
          </w:tcPr>
          <w:p w14:paraId="5EBB7E7D">
            <w:pPr>
              <w:spacing w:line="540" w:lineRule="exact"/>
              <w:rPr>
                <w:rFonts w:hint="eastAsia" w:ascii="宋体" w:hAnsi="宋体" w:eastAsia="宋体" w:cs="宋体"/>
                <w:spacing w:val="12"/>
              </w:rPr>
            </w:pPr>
          </w:p>
        </w:tc>
        <w:tc>
          <w:tcPr>
            <w:tcW w:w="735" w:type="dxa"/>
          </w:tcPr>
          <w:p w14:paraId="59F07326">
            <w:pPr>
              <w:spacing w:line="540" w:lineRule="exact"/>
              <w:rPr>
                <w:rFonts w:hint="eastAsia" w:ascii="宋体" w:hAnsi="宋体" w:eastAsia="宋体" w:cs="宋体"/>
                <w:spacing w:val="12"/>
              </w:rPr>
            </w:pPr>
          </w:p>
        </w:tc>
      </w:tr>
      <w:tr w14:paraId="45210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2568653F">
            <w:pPr>
              <w:spacing w:line="540" w:lineRule="exact"/>
              <w:rPr>
                <w:rFonts w:hint="eastAsia" w:ascii="宋体" w:hAnsi="宋体" w:eastAsia="宋体" w:cs="宋体"/>
                <w:spacing w:val="12"/>
              </w:rPr>
            </w:pPr>
          </w:p>
        </w:tc>
        <w:tc>
          <w:tcPr>
            <w:tcW w:w="791" w:type="dxa"/>
          </w:tcPr>
          <w:p w14:paraId="3100F489">
            <w:pPr>
              <w:spacing w:line="540" w:lineRule="exact"/>
              <w:rPr>
                <w:rFonts w:hint="eastAsia" w:ascii="宋体" w:hAnsi="宋体" w:eastAsia="宋体" w:cs="宋体"/>
                <w:spacing w:val="12"/>
              </w:rPr>
            </w:pPr>
          </w:p>
        </w:tc>
        <w:tc>
          <w:tcPr>
            <w:tcW w:w="1155" w:type="dxa"/>
          </w:tcPr>
          <w:p w14:paraId="0CB1ECA9">
            <w:pPr>
              <w:spacing w:line="540" w:lineRule="exact"/>
              <w:rPr>
                <w:rFonts w:hint="eastAsia" w:ascii="宋体" w:hAnsi="宋体" w:eastAsia="宋体" w:cs="宋体"/>
                <w:spacing w:val="12"/>
              </w:rPr>
            </w:pPr>
          </w:p>
        </w:tc>
        <w:tc>
          <w:tcPr>
            <w:tcW w:w="525" w:type="dxa"/>
          </w:tcPr>
          <w:p w14:paraId="20D0CE69">
            <w:pPr>
              <w:spacing w:line="540" w:lineRule="exact"/>
              <w:rPr>
                <w:rFonts w:hint="eastAsia" w:ascii="宋体" w:hAnsi="宋体" w:eastAsia="宋体" w:cs="宋体"/>
                <w:spacing w:val="12"/>
              </w:rPr>
            </w:pPr>
          </w:p>
        </w:tc>
        <w:tc>
          <w:tcPr>
            <w:tcW w:w="525" w:type="dxa"/>
          </w:tcPr>
          <w:p w14:paraId="058B62C5">
            <w:pPr>
              <w:spacing w:line="540" w:lineRule="exact"/>
              <w:rPr>
                <w:rFonts w:hint="eastAsia" w:ascii="宋体" w:hAnsi="宋体" w:eastAsia="宋体" w:cs="宋体"/>
                <w:spacing w:val="12"/>
              </w:rPr>
            </w:pPr>
          </w:p>
        </w:tc>
        <w:tc>
          <w:tcPr>
            <w:tcW w:w="735" w:type="dxa"/>
          </w:tcPr>
          <w:p w14:paraId="4F58E420">
            <w:pPr>
              <w:spacing w:line="540" w:lineRule="exact"/>
              <w:rPr>
                <w:rFonts w:hint="eastAsia" w:ascii="宋体" w:hAnsi="宋体" w:eastAsia="宋体" w:cs="宋体"/>
                <w:spacing w:val="12"/>
              </w:rPr>
            </w:pPr>
          </w:p>
        </w:tc>
        <w:tc>
          <w:tcPr>
            <w:tcW w:w="1155" w:type="dxa"/>
          </w:tcPr>
          <w:p w14:paraId="2034812F">
            <w:pPr>
              <w:spacing w:line="540" w:lineRule="exact"/>
              <w:rPr>
                <w:rFonts w:hint="eastAsia" w:ascii="宋体" w:hAnsi="宋体" w:eastAsia="宋体" w:cs="宋体"/>
                <w:spacing w:val="12"/>
              </w:rPr>
            </w:pPr>
          </w:p>
        </w:tc>
        <w:tc>
          <w:tcPr>
            <w:tcW w:w="735" w:type="dxa"/>
          </w:tcPr>
          <w:p w14:paraId="194CAE96">
            <w:pPr>
              <w:spacing w:line="540" w:lineRule="exact"/>
              <w:rPr>
                <w:rFonts w:hint="eastAsia" w:ascii="宋体" w:hAnsi="宋体" w:eastAsia="宋体" w:cs="宋体"/>
                <w:spacing w:val="12"/>
              </w:rPr>
            </w:pPr>
          </w:p>
        </w:tc>
        <w:tc>
          <w:tcPr>
            <w:tcW w:w="735" w:type="dxa"/>
          </w:tcPr>
          <w:p w14:paraId="2DD2610C">
            <w:pPr>
              <w:spacing w:line="540" w:lineRule="exact"/>
              <w:rPr>
                <w:rFonts w:hint="eastAsia" w:ascii="宋体" w:hAnsi="宋体" w:eastAsia="宋体" w:cs="宋体"/>
                <w:spacing w:val="12"/>
              </w:rPr>
            </w:pPr>
          </w:p>
        </w:tc>
        <w:tc>
          <w:tcPr>
            <w:tcW w:w="735" w:type="dxa"/>
          </w:tcPr>
          <w:p w14:paraId="7AE1D7CE">
            <w:pPr>
              <w:spacing w:line="540" w:lineRule="exact"/>
              <w:rPr>
                <w:rFonts w:hint="eastAsia" w:ascii="宋体" w:hAnsi="宋体" w:eastAsia="宋体" w:cs="宋体"/>
                <w:spacing w:val="12"/>
              </w:rPr>
            </w:pPr>
          </w:p>
        </w:tc>
      </w:tr>
      <w:tr w14:paraId="3EF71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E2AB7B0">
            <w:pPr>
              <w:spacing w:line="540" w:lineRule="exact"/>
              <w:rPr>
                <w:rFonts w:hint="eastAsia" w:ascii="宋体" w:hAnsi="宋体" w:eastAsia="宋体" w:cs="宋体"/>
                <w:spacing w:val="12"/>
              </w:rPr>
            </w:pPr>
          </w:p>
        </w:tc>
        <w:tc>
          <w:tcPr>
            <w:tcW w:w="791" w:type="dxa"/>
          </w:tcPr>
          <w:p w14:paraId="67D5A484">
            <w:pPr>
              <w:spacing w:line="540" w:lineRule="exact"/>
              <w:rPr>
                <w:rFonts w:hint="eastAsia" w:ascii="宋体" w:hAnsi="宋体" w:eastAsia="宋体" w:cs="宋体"/>
                <w:spacing w:val="12"/>
              </w:rPr>
            </w:pPr>
          </w:p>
        </w:tc>
        <w:tc>
          <w:tcPr>
            <w:tcW w:w="1155" w:type="dxa"/>
          </w:tcPr>
          <w:p w14:paraId="0A154408">
            <w:pPr>
              <w:spacing w:line="540" w:lineRule="exact"/>
              <w:rPr>
                <w:rFonts w:hint="eastAsia" w:ascii="宋体" w:hAnsi="宋体" w:eastAsia="宋体" w:cs="宋体"/>
                <w:spacing w:val="12"/>
              </w:rPr>
            </w:pPr>
          </w:p>
        </w:tc>
        <w:tc>
          <w:tcPr>
            <w:tcW w:w="525" w:type="dxa"/>
          </w:tcPr>
          <w:p w14:paraId="6CDFA5D8">
            <w:pPr>
              <w:spacing w:line="540" w:lineRule="exact"/>
              <w:rPr>
                <w:rFonts w:hint="eastAsia" w:ascii="宋体" w:hAnsi="宋体" w:eastAsia="宋体" w:cs="宋体"/>
                <w:spacing w:val="12"/>
              </w:rPr>
            </w:pPr>
          </w:p>
        </w:tc>
        <w:tc>
          <w:tcPr>
            <w:tcW w:w="525" w:type="dxa"/>
          </w:tcPr>
          <w:p w14:paraId="5AEA3F7C">
            <w:pPr>
              <w:spacing w:line="540" w:lineRule="exact"/>
              <w:rPr>
                <w:rFonts w:hint="eastAsia" w:ascii="宋体" w:hAnsi="宋体" w:eastAsia="宋体" w:cs="宋体"/>
                <w:spacing w:val="12"/>
              </w:rPr>
            </w:pPr>
          </w:p>
        </w:tc>
        <w:tc>
          <w:tcPr>
            <w:tcW w:w="735" w:type="dxa"/>
          </w:tcPr>
          <w:p w14:paraId="6792672A">
            <w:pPr>
              <w:spacing w:line="540" w:lineRule="exact"/>
              <w:rPr>
                <w:rFonts w:hint="eastAsia" w:ascii="宋体" w:hAnsi="宋体" w:eastAsia="宋体" w:cs="宋体"/>
                <w:spacing w:val="12"/>
              </w:rPr>
            </w:pPr>
          </w:p>
        </w:tc>
        <w:tc>
          <w:tcPr>
            <w:tcW w:w="1155" w:type="dxa"/>
          </w:tcPr>
          <w:p w14:paraId="768C9E68">
            <w:pPr>
              <w:spacing w:line="540" w:lineRule="exact"/>
              <w:rPr>
                <w:rFonts w:hint="eastAsia" w:ascii="宋体" w:hAnsi="宋体" w:eastAsia="宋体" w:cs="宋体"/>
                <w:spacing w:val="12"/>
              </w:rPr>
            </w:pPr>
          </w:p>
        </w:tc>
        <w:tc>
          <w:tcPr>
            <w:tcW w:w="735" w:type="dxa"/>
          </w:tcPr>
          <w:p w14:paraId="0BA5E80E">
            <w:pPr>
              <w:spacing w:line="540" w:lineRule="exact"/>
              <w:rPr>
                <w:rFonts w:hint="eastAsia" w:ascii="宋体" w:hAnsi="宋体" w:eastAsia="宋体" w:cs="宋体"/>
                <w:spacing w:val="12"/>
              </w:rPr>
            </w:pPr>
          </w:p>
        </w:tc>
        <w:tc>
          <w:tcPr>
            <w:tcW w:w="735" w:type="dxa"/>
          </w:tcPr>
          <w:p w14:paraId="76C426B1">
            <w:pPr>
              <w:spacing w:line="540" w:lineRule="exact"/>
              <w:rPr>
                <w:rFonts w:hint="eastAsia" w:ascii="宋体" w:hAnsi="宋体" w:eastAsia="宋体" w:cs="宋体"/>
                <w:spacing w:val="12"/>
              </w:rPr>
            </w:pPr>
          </w:p>
        </w:tc>
        <w:tc>
          <w:tcPr>
            <w:tcW w:w="735" w:type="dxa"/>
          </w:tcPr>
          <w:p w14:paraId="5E0D4AB0">
            <w:pPr>
              <w:spacing w:line="540" w:lineRule="exact"/>
              <w:rPr>
                <w:rFonts w:hint="eastAsia" w:ascii="宋体" w:hAnsi="宋体" w:eastAsia="宋体" w:cs="宋体"/>
                <w:spacing w:val="12"/>
              </w:rPr>
            </w:pPr>
          </w:p>
        </w:tc>
      </w:tr>
      <w:tr w14:paraId="256CE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91" w:type="dxa"/>
          </w:tcPr>
          <w:p w14:paraId="28E5F37C">
            <w:pPr>
              <w:spacing w:line="540" w:lineRule="exact"/>
              <w:rPr>
                <w:rFonts w:hint="eastAsia" w:ascii="宋体" w:hAnsi="宋体" w:eastAsia="宋体" w:cs="宋体"/>
                <w:spacing w:val="12"/>
              </w:rPr>
            </w:pPr>
          </w:p>
        </w:tc>
        <w:tc>
          <w:tcPr>
            <w:tcW w:w="791" w:type="dxa"/>
          </w:tcPr>
          <w:p w14:paraId="18BA9F8F">
            <w:pPr>
              <w:spacing w:line="540" w:lineRule="exact"/>
              <w:rPr>
                <w:rFonts w:hint="eastAsia" w:ascii="宋体" w:hAnsi="宋体" w:eastAsia="宋体" w:cs="宋体"/>
                <w:spacing w:val="12"/>
              </w:rPr>
            </w:pPr>
          </w:p>
        </w:tc>
        <w:tc>
          <w:tcPr>
            <w:tcW w:w="1155" w:type="dxa"/>
          </w:tcPr>
          <w:p w14:paraId="4A87FDAD">
            <w:pPr>
              <w:spacing w:line="540" w:lineRule="exact"/>
              <w:rPr>
                <w:rFonts w:hint="eastAsia" w:ascii="宋体" w:hAnsi="宋体" w:eastAsia="宋体" w:cs="宋体"/>
                <w:spacing w:val="12"/>
              </w:rPr>
            </w:pPr>
          </w:p>
        </w:tc>
        <w:tc>
          <w:tcPr>
            <w:tcW w:w="525" w:type="dxa"/>
          </w:tcPr>
          <w:p w14:paraId="5E1BAFAF">
            <w:pPr>
              <w:spacing w:line="540" w:lineRule="exact"/>
              <w:rPr>
                <w:rFonts w:hint="eastAsia" w:ascii="宋体" w:hAnsi="宋体" w:eastAsia="宋体" w:cs="宋体"/>
                <w:spacing w:val="12"/>
              </w:rPr>
            </w:pPr>
          </w:p>
        </w:tc>
        <w:tc>
          <w:tcPr>
            <w:tcW w:w="525" w:type="dxa"/>
          </w:tcPr>
          <w:p w14:paraId="672FC49B">
            <w:pPr>
              <w:spacing w:line="540" w:lineRule="exact"/>
              <w:rPr>
                <w:rFonts w:hint="eastAsia" w:ascii="宋体" w:hAnsi="宋体" w:eastAsia="宋体" w:cs="宋体"/>
                <w:spacing w:val="12"/>
              </w:rPr>
            </w:pPr>
          </w:p>
        </w:tc>
        <w:tc>
          <w:tcPr>
            <w:tcW w:w="735" w:type="dxa"/>
          </w:tcPr>
          <w:p w14:paraId="2E966E10">
            <w:pPr>
              <w:spacing w:line="540" w:lineRule="exact"/>
              <w:rPr>
                <w:rFonts w:hint="eastAsia" w:ascii="宋体" w:hAnsi="宋体" w:eastAsia="宋体" w:cs="宋体"/>
                <w:spacing w:val="12"/>
              </w:rPr>
            </w:pPr>
          </w:p>
        </w:tc>
        <w:tc>
          <w:tcPr>
            <w:tcW w:w="1155" w:type="dxa"/>
          </w:tcPr>
          <w:p w14:paraId="5C092A09">
            <w:pPr>
              <w:spacing w:line="540" w:lineRule="exact"/>
              <w:rPr>
                <w:rFonts w:hint="eastAsia" w:ascii="宋体" w:hAnsi="宋体" w:eastAsia="宋体" w:cs="宋体"/>
                <w:spacing w:val="12"/>
              </w:rPr>
            </w:pPr>
          </w:p>
        </w:tc>
        <w:tc>
          <w:tcPr>
            <w:tcW w:w="735" w:type="dxa"/>
          </w:tcPr>
          <w:p w14:paraId="669E8D62">
            <w:pPr>
              <w:spacing w:line="540" w:lineRule="exact"/>
              <w:rPr>
                <w:rFonts w:hint="eastAsia" w:ascii="宋体" w:hAnsi="宋体" w:eastAsia="宋体" w:cs="宋体"/>
                <w:spacing w:val="12"/>
              </w:rPr>
            </w:pPr>
          </w:p>
        </w:tc>
        <w:tc>
          <w:tcPr>
            <w:tcW w:w="735" w:type="dxa"/>
          </w:tcPr>
          <w:p w14:paraId="6BA2DAF1">
            <w:pPr>
              <w:spacing w:line="540" w:lineRule="exact"/>
              <w:rPr>
                <w:rFonts w:hint="eastAsia" w:ascii="宋体" w:hAnsi="宋体" w:eastAsia="宋体" w:cs="宋体"/>
                <w:spacing w:val="12"/>
              </w:rPr>
            </w:pPr>
          </w:p>
        </w:tc>
        <w:tc>
          <w:tcPr>
            <w:tcW w:w="735" w:type="dxa"/>
          </w:tcPr>
          <w:p w14:paraId="61B6306E">
            <w:pPr>
              <w:spacing w:line="540" w:lineRule="exact"/>
              <w:rPr>
                <w:rFonts w:hint="eastAsia" w:ascii="宋体" w:hAnsi="宋体" w:eastAsia="宋体" w:cs="宋体"/>
                <w:spacing w:val="12"/>
              </w:rPr>
            </w:pPr>
          </w:p>
        </w:tc>
      </w:tr>
      <w:tr w14:paraId="4B028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DE3A1FB">
            <w:pPr>
              <w:spacing w:line="540" w:lineRule="exact"/>
              <w:rPr>
                <w:rFonts w:hint="eastAsia" w:ascii="宋体" w:hAnsi="宋体" w:eastAsia="宋体" w:cs="宋体"/>
                <w:spacing w:val="12"/>
              </w:rPr>
            </w:pPr>
          </w:p>
        </w:tc>
        <w:tc>
          <w:tcPr>
            <w:tcW w:w="791" w:type="dxa"/>
          </w:tcPr>
          <w:p w14:paraId="00CA0782">
            <w:pPr>
              <w:spacing w:line="540" w:lineRule="exact"/>
              <w:rPr>
                <w:rFonts w:hint="eastAsia" w:ascii="宋体" w:hAnsi="宋体" w:eastAsia="宋体" w:cs="宋体"/>
                <w:spacing w:val="12"/>
              </w:rPr>
            </w:pPr>
          </w:p>
        </w:tc>
        <w:tc>
          <w:tcPr>
            <w:tcW w:w="1155" w:type="dxa"/>
          </w:tcPr>
          <w:p w14:paraId="618EBA3A">
            <w:pPr>
              <w:spacing w:line="540" w:lineRule="exact"/>
              <w:rPr>
                <w:rFonts w:hint="eastAsia" w:ascii="宋体" w:hAnsi="宋体" w:eastAsia="宋体" w:cs="宋体"/>
                <w:spacing w:val="12"/>
              </w:rPr>
            </w:pPr>
          </w:p>
        </w:tc>
        <w:tc>
          <w:tcPr>
            <w:tcW w:w="525" w:type="dxa"/>
          </w:tcPr>
          <w:p w14:paraId="3B8B1F29">
            <w:pPr>
              <w:spacing w:line="540" w:lineRule="exact"/>
              <w:rPr>
                <w:rFonts w:hint="eastAsia" w:ascii="宋体" w:hAnsi="宋体" w:eastAsia="宋体" w:cs="宋体"/>
                <w:spacing w:val="12"/>
              </w:rPr>
            </w:pPr>
          </w:p>
        </w:tc>
        <w:tc>
          <w:tcPr>
            <w:tcW w:w="525" w:type="dxa"/>
          </w:tcPr>
          <w:p w14:paraId="63372FE6">
            <w:pPr>
              <w:spacing w:line="540" w:lineRule="exact"/>
              <w:rPr>
                <w:rFonts w:hint="eastAsia" w:ascii="宋体" w:hAnsi="宋体" w:eastAsia="宋体" w:cs="宋体"/>
                <w:spacing w:val="12"/>
              </w:rPr>
            </w:pPr>
          </w:p>
        </w:tc>
        <w:tc>
          <w:tcPr>
            <w:tcW w:w="735" w:type="dxa"/>
          </w:tcPr>
          <w:p w14:paraId="573579BF">
            <w:pPr>
              <w:spacing w:line="540" w:lineRule="exact"/>
              <w:rPr>
                <w:rFonts w:hint="eastAsia" w:ascii="宋体" w:hAnsi="宋体" w:eastAsia="宋体" w:cs="宋体"/>
                <w:spacing w:val="12"/>
              </w:rPr>
            </w:pPr>
          </w:p>
        </w:tc>
        <w:tc>
          <w:tcPr>
            <w:tcW w:w="1155" w:type="dxa"/>
          </w:tcPr>
          <w:p w14:paraId="398C8382">
            <w:pPr>
              <w:spacing w:line="540" w:lineRule="exact"/>
              <w:rPr>
                <w:rFonts w:hint="eastAsia" w:ascii="宋体" w:hAnsi="宋体" w:eastAsia="宋体" w:cs="宋体"/>
                <w:spacing w:val="12"/>
              </w:rPr>
            </w:pPr>
          </w:p>
        </w:tc>
        <w:tc>
          <w:tcPr>
            <w:tcW w:w="735" w:type="dxa"/>
          </w:tcPr>
          <w:p w14:paraId="5E9DD403">
            <w:pPr>
              <w:spacing w:line="540" w:lineRule="exact"/>
              <w:rPr>
                <w:rFonts w:hint="eastAsia" w:ascii="宋体" w:hAnsi="宋体" w:eastAsia="宋体" w:cs="宋体"/>
                <w:spacing w:val="12"/>
              </w:rPr>
            </w:pPr>
          </w:p>
        </w:tc>
        <w:tc>
          <w:tcPr>
            <w:tcW w:w="735" w:type="dxa"/>
          </w:tcPr>
          <w:p w14:paraId="67DB635C">
            <w:pPr>
              <w:spacing w:line="540" w:lineRule="exact"/>
              <w:rPr>
                <w:rFonts w:hint="eastAsia" w:ascii="宋体" w:hAnsi="宋体" w:eastAsia="宋体" w:cs="宋体"/>
                <w:spacing w:val="12"/>
              </w:rPr>
            </w:pPr>
          </w:p>
        </w:tc>
        <w:tc>
          <w:tcPr>
            <w:tcW w:w="735" w:type="dxa"/>
          </w:tcPr>
          <w:p w14:paraId="667FAC51">
            <w:pPr>
              <w:spacing w:line="540" w:lineRule="exact"/>
              <w:rPr>
                <w:rFonts w:hint="eastAsia" w:ascii="宋体" w:hAnsi="宋体" w:eastAsia="宋体" w:cs="宋体"/>
                <w:spacing w:val="12"/>
              </w:rPr>
            </w:pPr>
          </w:p>
        </w:tc>
      </w:tr>
      <w:tr w14:paraId="519A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3C2ED221">
            <w:pPr>
              <w:spacing w:line="540" w:lineRule="exact"/>
              <w:rPr>
                <w:rFonts w:hint="eastAsia" w:ascii="宋体" w:hAnsi="宋体" w:eastAsia="宋体" w:cs="宋体"/>
                <w:spacing w:val="12"/>
              </w:rPr>
            </w:pPr>
          </w:p>
        </w:tc>
        <w:tc>
          <w:tcPr>
            <w:tcW w:w="791" w:type="dxa"/>
          </w:tcPr>
          <w:p w14:paraId="6B4017C6">
            <w:pPr>
              <w:spacing w:line="540" w:lineRule="exact"/>
              <w:rPr>
                <w:rFonts w:hint="eastAsia" w:ascii="宋体" w:hAnsi="宋体" w:eastAsia="宋体" w:cs="宋体"/>
                <w:spacing w:val="12"/>
              </w:rPr>
            </w:pPr>
          </w:p>
        </w:tc>
        <w:tc>
          <w:tcPr>
            <w:tcW w:w="1155" w:type="dxa"/>
          </w:tcPr>
          <w:p w14:paraId="14DCF454">
            <w:pPr>
              <w:spacing w:line="540" w:lineRule="exact"/>
              <w:rPr>
                <w:rFonts w:hint="eastAsia" w:ascii="宋体" w:hAnsi="宋体" w:eastAsia="宋体" w:cs="宋体"/>
                <w:spacing w:val="12"/>
              </w:rPr>
            </w:pPr>
          </w:p>
        </w:tc>
        <w:tc>
          <w:tcPr>
            <w:tcW w:w="525" w:type="dxa"/>
          </w:tcPr>
          <w:p w14:paraId="7B95F57B">
            <w:pPr>
              <w:spacing w:line="540" w:lineRule="exact"/>
              <w:rPr>
                <w:rFonts w:hint="eastAsia" w:ascii="宋体" w:hAnsi="宋体" w:eastAsia="宋体" w:cs="宋体"/>
                <w:spacing w:val="12"/>
              </w:rPr>
            </w:pPr>
          </w:p>
        </w:tc>
        <w:tc>
          <w:tcPr>
            <w:tcW w:w="525" w:type="dxa"/>
          </w:tcPr>
          <w:p w14:paraId="42F76E03">
            <w:pPr>
              <w:spacing w:line="540" w:lineRule="exact"/>
              <w:rPr>
                <w:rFonts w:hint="eastAsia" w:ascii="宋体" w:hAnsi="宋体" w:eastAsia="宋体" w:cs="宋体"/>
                <w:spacing w:val="12"/>
              </w:rPr>
            </w:pPr>
          </w:p>
        </w:tc>
        <w:tc>
          <w:tcPr>
            <w:tcW w:w="735" w:type="dxa"/>
          </w:tcPr>
          <w:p w14:paraId="29444C85">
            <w:pPr>
              <w:spacing w:line="540" w:lineRule="exact"/>
              <w:rPr>
                <w:rFonts w:hint="eastAsia" w:ascii="宋体" w:hAnsi="宋体" w:eastAsia="宋体" w:cs="宋体"/>
                <w:spacing w:val="12"/>
              </w:rPr>
            </w:pPr>
          </w:p>
        </w:tc>
        <w:tc>
          <w:tcPr>
            <w:tcW w:w="1155" w:type="dxa"/>
          </w:tcPr>
          <w:p w14:paraId="3C386594">
            <w:pPr>
              <w:spacing w:line="540" w:lineRule="exact"/>
              <w:rPr>
                <w:rFonts w:hint="eastAsia" w:ascii="宋体" w:hAnsi="宋体" w:eastAsia="宋体" w:cs="宋体"/>
                <w:spacing w:val="12"/>
              </w:rPr>
            </w:pPr>
          </w:p>
        </w:tc>
        <w:tc>
          <w:tcPr>
            <w:tcW w:w="735" w:type="dxa"/>
          </w:tcPr>
          <w:p w14:paraId="5A9DC1BF">
            <w:pPr>
              <w:spacing w:line="540" w:lineRule="exact"/>
              <w:rPr>
                <w:rFonts w:hint="eastAsia" w:ascii="宋体" w:hAnsi="宋体" w:eastAsia="宋体" w:cs="宋体"/>
                <w:spacing w:val="12"/>
              </w:rPr>
            </w:pPr>
          </w:p>
        </w:tc>
        <w:tc>
          <w:tcPr>
            <w:tcW w:w="735" w:type="dxa"/>
          </w:tcPr>
          <w:p w14:paraId="711E9433">
            <w:pPr>
              <w:spacing w:line="540" w:lineRule="exact"/>
              <w:rPr>
                <w:rFonts w:hint="eastAsia" w:ascii="宋体" w:hAnsi="宋体" w:eastAsia="宋体" w:cs="宋体"/>
                <w:spacing w:val="12"/>
              </w:rPr>
            </w:pPr>
          </w:p>
        </w:tc>
        <w:tc>
          <w:tcPr>
            <w:tcW w:w="735" w:type="dxa"/>
          </w:tcPr>
          <w:p w14:paraId="3D28643C">
            <w:pPr>
              <w:spacing w:line="540" w:lineRule="exact"/>
              <w:rPr>
                <w:rFonts w:hint="eastAsia" w:ascii="宋体" w:hAnsi="宋体" w:eastAsia="宋体" w:cs="宋体"/>
                <w:spacing w:val="12"/>
              </w:rPr>
            </w:pPr>
          </w:p>
        </w:tc>
      </w:tr>
      <w:tr w14:paraId="1224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21E7E522">
            <w:pPr>
              <w:spacing w:line="540" w:lineRule="exact"/>
              <w:rPr>
                <w:rFonts w:hint="eastAsia" w:ascii="宋体" w:hAnsi="宋体" w:eastAsia="宋体" w:cs="宋体"/>
                <w:spacing w:val="12"/>
              </w:rPr>
            </w:pPr>
          </w:p>
        </w:tc>
        <w:tc>
          <w:tcPr>
            <w:tcW w:w="791" w:type="dxa"/>
          </w:tcPr>
          <w:p w14:paraId="584DFCFA">
            <w:pPr>
              <w:spacing w:line="540" w:lineRule="exact"/>
              <w:rPr>
                <w:rFonts w:hint="eastAsia" w:ascii="宋体" w:hAnsi="宋体" w:eastAsia="宋体" w:cs="宋体"/>
                <w:spacing w:val="12"/>
              </w:rPr>
            </w:pPr>
          </w:p>
        </w:tc>
        <w:tc>
          <w:tcPr>
            <w:tcW w:w="1155" w:type="dxa"/>
          </w:tcPr>
          <w:p w14:paraId="42EEE26E">
            <w:pPr>
              <w:spacing w:line="540" w:lineRule="exact"/>
              <w:rPr>
                <w:rFonts w:hint="eastAsia" w:ascii="宋体" w:hAnsi="宋体" w:eastAsia="宋体" w:cs="宋体"/>
                <w:spacing w:val="12"/>
              </w:rPr>
            </w:pPr>
          </w:p>
        </w:tc>
        <w:tc>
          <w:tcPr>
            <w:tcW w:w="525" w:type="dxa"/>
          </w:tcPr>
          <w:p w14:paraId="6171671B">
            <w:pPr>
              <w:spacing w:line="540" w:lineRule="exact"/>
              <w:rPr>
                <w:rFonts w:hint="eastAsia" w:ascii="宋体" w:hAnsi="宋体" w:eastAsia="宋体" w:cs="宋体"/>
                <w:spacing w:val="12"/>
              </w:rPr>
            </w:pPr>
          </w:p>
        </w:tc>
        <w:tc>
          <w:tcPr>
            <w:tcW w:w="525" w:type="dxa"/>
          </w:tcPr>
          <w:p w14:paraId="568D6C25">
            <w:pPr>
              <w:spacing w:line="540" w:lineRule="exact"/>
              <w:rPr>
                <w:rFonts w:hint="eastAsia" w:ascii="宋体" w:hAnsi="宋体" w:eastAsia="宋体" w:cs="宋体"/>
                <w:spacing w:val="12"/>
              </w:rPr>
            </w:pPr>
          </w:p>
        </w:tc>
        <w:tc>
          <w:tcPr>
            <w:tcW w:w="735" w:type="dxa"/>
          </w:tcPr>
          <w:p w14:paraId="0A7AB284">
            <w:pPr>
              <w:spacing w:line="540" w:lineRule="exact"/>
              <w:rPr>
                <w:rFonts w:hint="eastAsia" w:ascii="宋体" w:hAnsi="宋体" w:eastAsia="宋体" w:cs="宋体"/>
                <w:spacing w:val="12"/>
              </w:rPr>
            </w:pPr>
          </w:p>
        </w:tc>
        <w:tc>
          <w:tcPr>
            <w:tcW w:w="1155" w:type="dxa"/>
          </w:tcPr>
          <w:p w14:paraId="201F3B16">
            <w:pPr>
              <w:spacing w:line="540" w:lineRule="exact"/>
              <w:rPr>
                <w:rFonts w:hint="eastAsia" w:ascii="宋体" w:hAnsi="宋体" w:eastAsia="宋体" w:cs="宋体"/>
                <w:spacing w:val="12"/>
              </w:rPr>
            </w:pPr>
          </w:p>
        </w:tc>
        <w:tc>
          <w:tcPr>
            <w:tcW w:w="735" w:type="dxa"/>
          </w:tcPr>
          <w:p w14:paraId="692A7941">
            <w:pPr>
              <w:spacing w:line="540" w:lineRule="exact"/>
              <w:rPr>
                <w:rFonts w:hint="eastAsia" w:ascii="宋体" w:hAnsi="宋体" w:eastAsia="宋体" w:cs="宋体"/>
                <w:spacing w:val="12"/>
              </w:rPr>
            </w:pPr>
          </w:p>
        </w:tc>
        <w:tc>
          <w:tcPr>
            <w:tcW w:w="735" w:type="dxa"/>
          </w:tcPr>
          <w:p w14:paraId="1D7AB0A5">
            <w:pPr>
              <w:spacing w:line="540" w:lineRule="exact"/>
              <w:rPr>
                <w:rFonts w:hint="eastAsia" w:ascii="宋体" w:hAnsi="宋体" w:eastAsia="宋体" w:cs="宋体"/>
                <w:spacing w:val="12"/>
              </w:rPr>
            </w:pPr>
          </w:p>
        </w:tc>
        <w:tc>
          <w:tcPr>
            <w:tcW w:w="735" w:type="dxa"/>
          </w:tcPr>
          <w:p w14:paraId="06D7715A">
            <w:pPr>
              <w:spacing w:line="540" w:lineRule="exact"/>
              <w:rPr>
                <w:rFonts w:hint="eastAsia" w:ascii="宋体" w:hAnsi="宋体" w:eastAsia="宋体" w:cs="宋体"/>
                <w:spacing w:val="12"/>
              </w:rPr>
            </w:pPr>
          </w:p>
        </w:tc>
      </w:tr>
      <w:tr w14:paraId="4A6A7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3E3EBCE">
            <w:pPr>
              <w:spacing w:line="540" w:lineRule="exact"/>
              <w:rPr>
                <w:rFonts w:hint="eastAsia" w:ascii="宋体" w:hAnsi="宋体" w:eastAsia="宋体" w:cs="宋体"/>
                <w:spacing w:val="12"/>
              </w:rPr>
            </w:pPr>
          </w:p>
        </w:tc>
        <w:tc>
          <w:tcPr>
            <w:tcW w:w="791" w:type="dxa"/>
          </w:tcPr>
          <w:p w14:paraId="29D9FCA1">
            <w:pPr>
              <w:spacing w:line="540" w:lineRule="exact"/>
              <w:rPr>
                <w:rFonts w:hint="eastAsia" w:ascii="宋体" w:hAnsi="宋体" w:eastAsia="宋体" w:cs="宋体"/>
                <w:spacing w:val="12"/>
              </w:rPr>
            </w:pPr>
          </w:p>
        </w:tc>
        <w:tc>
          <w:tcPr>
            <w:tcW w:w="1155" w:type="dxa"/>
          </w:tcPr>
          <w:p w14:paraId="2ABD6835">
            <w:pPr>
              <w:spacing w:line="540" w:lineRule="exact"/>
              <w:rPr>
                <w:rFonts w:hint="eastAsia" w:ascii="宋体" w:hAnsi="宋体" w:eastAsia="宋体" w:cs="宋体"/>
                <w:spacing w:val="12"/>
              </w:rPr>
            </w:pPr>
          </w:p>
        </w:tc>
        <w:tc>
          <w:tcPr>
            <w:tcW w:w="525" w:type="dxa"/>
          </w:tcPr>
          <w:p w14:paraId="3F538A2D">
            <w:pPr>
              <w:spacing w:line="540" w:lineRule="exact"/>
              <w:rPr>
                <w:rFonts w:hint="eastAsia" w:ascii="宋体" w:hAnsi="宋体" w:eastAsia="宋体" w:cs="宋体"/>
                <w:spacing w:val="12"/>
              </w:rPr>
            </w:pPr>
          </w:p>
        </w:tc>
        <w:tc>
          <w:tcPr>
            <w:tcW w:w="525" w:type="dxa"/>
          </w:tcPr>
          <w:p w14:paraId="02E8C0C9">
            <w:pPr>
              <w:spacing w:line="540" w:lineRule="exact"/>
              <w:rPr>
                <w:rFonts w:hint="eastAsia" w:ascii="宋体" w:hAnsi="宋体" w:eastAsia="宋体" w:cs="宋体"/>
                <w:spacing w:val="12"/>
              </w:rPr>
            </w:pPr>
          </w:p>
        </w:tc>
        <w:tc>
          <w:tcPr>
            <w:tcW w:w="735" w:type="dxa"/>
          </w:tcPr>
          <w:p w14:paraId="363889BB">
            <w:pPr>
              <w:spacing w:line="540" w:lineRule="exact"/>
              <w:rPr>
                <w:rFonts w:hint="eastAsia" w:ascii="宋体" w:hAnsi="宋体" w:eastAsia="宋体" w:cs="宋体"/>
                <w:spacing w:val="12"/>
              </w:rPr>
            </w:pPr>
          </w:p>
        </w:tc>
        <w:tc>
          <w:tcPr>
            <w:tcW w:w="1155" w:type="dxa"/>
          </w:tcPr>
          <w:p w14:paraId="320892F1">
            <w:pPr>
              <w:spacing w:line="540" w:lineRule="exact"/>
              <w:rPr>
                <w:rFonts w:hint="eastAsia" w:ascii="宋体" w:hAnsi="宋体" w:eastAsia="宋体" w:cs="宋体"/>
                <w:spacing w:val="12"/>
              </w:rPr>
            </w:pPr>
          </w:p>
        </w:tc>
        <w:tc>
          <w:tcPr>
            <w:tcW w:w="735" w:type="dxa"/>
          </w:tcPr>
          <w:p w14:paraId="0DFA0763">
            <w:pPr>
              <w:spacing w:line="540" w:lineRule="exact"/>
              <w:rPr>
                <w:rFonts w:hint="eastAsia" w:ascii="宋体" w:hAnsi="宋体" w:eastAsia="宋体" w:cs="宋体"/>
                <w:spacing w:val="12"/>
              </w:rPr>
            </w:pPr>
          </w:p>
        </w:tc>
        <w:tc>
          <w:tcPr>
            <w:tcW w:w="735" w:type="dxa"/>
          </w:tcPr>
          <w:p w14:paraId="4BFA20A7">
            <w:pPr>
              <w:spacing w:line="540" w:lineRule="exact"/>
              <w:rPr>
                <w:rFonts w:hint="eastAsia" w:ascii="宋体" w:hAnsi="宋体" w:eastAsia="宋体" w:cs="宋体"/>
                <w:spacing w:val="12"/>
              </w:rPr>
            </w:pPr>
          </w:p>
        </w:tc>
        <w:tc>
          <w:tcPr>
            <w:tcW w:w="735" w:type="dxa"/>
          </w:tcPr>
          <w:p w14:paraId="55C38FA4">
            <w:pPr>
              <w:spacing w:line="540" w:lineRule="exact"/>
              <w:rPr>
                <w:rFonts w:hint="eastAsia" w:ascii="宋体" w:hAnsi="宋体" w:eastAsia="宋体" w:cs="宋体"/>
                <w:spacing w:val="12"/>
              </w:rPr>
            </w:pPr>
          </w:p>
        </w:tc>
      </w:tr>
    </w:tbl>
    <w:p w14:paraId="70C1FADB">
      <w:pPr>
        <w:pStyle w:val="2"/>
        <w:rPr>
          <w:rFonts w:hint="eastAsia" w:ascii="宋体" w:hAnsi="宋体" w:eastAsia="宋体" w:cs="宋体"/>
          <w:szCs w:val="21"/>
        </w:rPr>
        <w:sectPr>
          <w:footerReference r:id="rId3" w:type="default"/>
          <w:pgSz w:w="11906" w:h="16838"/>
          <w:pgMar w:top="1440" w:right="1701" w:bottom="1440" w:left="1701" w:header="851" w:footer="992" w:gutter="0"/>
          <w:pgNumType w:start="1"/>
          <w:cols w:space="425" w:num="1"/>
          <w:docGrid w:linePitch="312" w:charSpace="0"/>
        </w:sectPr>
      </w:pPr>
    </w:p>
    <w:p w14:paraId="5CC19719">
      <w:pPr>
        <w:pStyle w:val="92"/>
        <w:spacing w:before="120" w:after="120"/>
        <w:rPr>
          <w:rFonts w:hint="eastAsia" w:ascii="宋体" w:hAnsi="宋体" w:eastAsia="宋体" w:cs="宋体"/>
          <w:sz w:val="24"/>
          <w:szCs w:val="24"/>
        </w:rPr>
      </w:pPr>
      <w:bookmarkStart w:id="575" w:name="_Toc485323229"/>
      <w:bookmarkStart w:id="576" w:name="_Toc489280261"/>
      <w:bookmarkStart w:id="577" w:name="_Toc135239976"/>
      <w:bookmarkStart w:id="578" w:name="_Toc486580455"/>
      <w:bookmarkStart w:id="579" w:name="_Toc497584564"/>
      <w:bookmarkStart w:id="580" w:name="_Toc22031750"/>
      <w:bookmarkStart w:id="581" w:name="_Toc497214123"/>
      <w:r>
        <w:rPr>
          <w:rFonts w:hint="eastAsia" w:ascii="宋体" w:hAnsi="宋体" w:eastAsia="宋体" w:cs="宋体"/>
          <w:sz w:val="24"/>
          <w:szCs w:val="24"/>
        </w:rPr>
        <w:t>附件三：承包人提供的材料和工程设备一览表</w:t>
      </w:r>
      <w:bookmarkEnd w:id="575"/>
      <w:bookmarkEnd w:id="576"/>
      <w:bookmarkEnd w:id="577"/>
      <w:bookmarkEnd w:id="578"/>
      <w:bookmarkEnd w:id="579"/>
      <w:bookmarkEnd w:id="580"/>
      <w:bookmarkEnd w:id="581"/>
    </w:p>
    <w:p w14:paraId="09CE7785">
      <w:pPr>
        <w:spacing w:line="360" w:lineRule="auto"/>
        <w:jc w:val="center"/>
        <w:rPr>
          <w:rFonts w:hint="eastAsia" w:ascii="宋体" w:hAnsi="宋体" w:eastAsia="宋体" w:cs="宋体"/>
          <w:b/>
          <w:sz w:val="28"/>
        </w:rPr>
      </w:pPr>
      <w:r>
        <w:rPr>
          <w:rFonts w:hint="eastAsia" w:ascii="宋体" w:hAnsi="宋体" w:eastAsia="宋体" w:cs="宋体"/>
          <w:b/>
          <w:sz w:val="28"/>
        </w:rPr>
        <w:t>承包人提供的材料和工程设备一览表</w:t>
      </w:r>
    </w:p>
    <w:tbl>
      <w:tblPr>
        <w:tblStyle w:val="44"/>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3F08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50CBF033">
            <w:pPr>
              <w:spacing w:line="360" w:lineRule="auto"/>
              <w:jc w:val="center"/>
              <w:rPr>
                <w:rFonts w:hint="eastAsia" w:ascii="宋体" w:hAnsi="宋体" w:eastAsia="宋体" w:cs="宋体"/>
              </w:rPr>
            </w:pPr>
            <w:r>
              <w:rPr>
                <w:rFonts w:hint="eastAsia" w:ascii="宋体" w:hAnsi="宋体" w:eastAsia="宋体" w:cs="宋体"/>
              </w:rPr>
              <w:t>序</w:t>
            </w:r>
          </w:p>
          <w:p w14:paraId="3ACAA7EC">
            <w:pPr>
              <w:spacing w:line="360" w:lineRule="auto"/>
              <w:jc w:val="center"/>
              <w:rPr>
                <w:rFonts w:hint="eastAsia" w:ascii="宋体" w:hAnsi="宋体" w:eastAsia="宋体" w:cs="宋体"/>
              </w:rPr>
            </w:pPr>
            <w:r>
              <w:rPr>
                <w:rFonts w:hint="eastAsia" w:ascii="宋体" w:hAnsi="宋体" w:eastAsia="宋体" w:cs="宋体"/>
              </w:rPr>
              <w:t>号</w:t>
            </w:r>
          </w:p>
        </w:tc>
        <w:tc>
          <w:tcPr>
            <w:tcW w:w="1155" w:type="dxa"/>
            <w:vAlign w:val="center"/>
          </w:tcPr>
          <w:p w14:paraId="0B98E8F2">
            <w:pPr>
              <w:spacing w:line="360" w:lineRule="auto"/>
              <w:jc w:val="center"/>
              <w:rPr>
                <w:rFonts w:hint="eastAsia" w:ascii="宋体" w:hAnsi="宋体" w:eastAsia="宋体" w:cs="宋体"/>
              </w:rPr>
            </w:pPr>
            <w:r>
              <w:rPr>
                <w:rFonts w:hint="eastAsia" w:ascii="宋体" w:hAnsi="宋体" w:eastAsia="宋体" w:cs="宋体"/>
              </w:rPr>
              <w:t>材料设备</w:t>
            </w:r>
          </w:p>
          <w:p w14:paraId="042D4816">
            <w:pPr>
              <w:spacing w:line="360" w:lineRule="auto"/>
              <w:jc w:val="center"/>
              <w:rPr>
                <w:rFonts w:hint="eastAsia" w:ascii="宋体" w:hAnsi="宋体" w:eastAsia="宋体" w:cs="宋体"/>
              </w:rPr>
            </w:pPr>
            <w:r>
              <w:rPr>
                <w:rFonts w:hint="eastAsia" w:ascii="宋体" w:hAnsi="宋体" w:eastAsia="宋体" w:cs="宋体"/>
              </w:rPr>
              <w:t>名称</w:t>
            </w:r>
          </w:p>
        </w:tc>
        <w:tc>
          <w:tcPr>
            <w:tcW w:w="1050" w:type="dxa"/>
            <w:vAlign w:val="center"/>
          </w:tcPr>
          <w:p w14:paraId="583321FF">
            <w:pPr>
              <w:spacing w:line="360" w:lineRule="auto"/>
              <w:jc w:val="center"/>
              <w:rPr>
                <w:rFonts w:hint="eastAsia" w:ascii="宋体" w:hAnsi="宋体" w:eastAsia="宋体" w:cs="宋体"/>
              </w:rPr>
            </w:pPr>
            <w:r>
              <w:rPr>
                <w:rFonts w:hint="eastAsia" w:ascii="宋体" w:hAnsi="宋体" w:eastAsia="宋体" w:cs="宋体"/>
              </w:rPr>
              <w:t>规格</w:t>
            </w:r>
          </w:p>
          <w:p w14:paraId="3CAC21B5">
            <w:pPr>
              <w:spacing w:line="360" w:lineRule="auto"/>
              <w:jc w:val="center"/>
              <w:rPr>
                <w:rFonts w:hint="eastAsia" w:ascii="宋体" w:hAnsi="宋体" w:eastAsia="宋体" w:cs="宋体"/>
              </w:rPr>
            </w:pPr>
            <w:r>
              <w:rPr>
                <w:rFonts w:hint="eastAsia" w:ascii="宋体" w:hAnsi="宋体" w:eastAsia="宋体" w:cs="宋体"/>
              </w:rPr>
              <w:t>型号</w:t>
            </w:r>
          </w:p>
        </w:tc>
        <w:tc>
          <w:tcPr>
            <w:tcW w:w="630" w:type="dxa"/>
            <w:vAlign w:val="center"/>
          </w:tcPr>
          <w:p w14:paraId="3295F013">
            <w:pPr>
              <w:spacing w:line="360" w:lineRule="auto"/>
              <w:jc w:val="center"/>
              <w:rPr>
                <w:rFonts w:hint="eastAsia" w:ascii="宋体" w:hAnsi="宋体" w:eastAsia="宋体" w:cs="宋体"/>
              </w:rPr>
            </w:pPr>
            <w:r>
              <w:rPr>
                <w:rFonts w:hint="eastAsia" w:ascii="宋体" w:hAnsi="宋体" w:eastAsia="宋体" w:cs="宋体"/>
              </w:rPr>
              <w:t>单</w:t>
            </w:r>
          </w:p>
          <w:p w14:paraId="3D27E224">
            <w:pPr>
              <w:spacing w:line="360" w:lineRule="auto"/>
              <w:jc w:val="center"/>
              <w:rPr>
                <w:rFonts w:hint="eastAsia" w:ascii="宋体" w:hAnsi="宋体" w:eastAsia="宋体" w:cs="宋体"/>
              </w:rPr>
            </w:pPr>
            <w:r>
              <w:rPr>
                <w:rFonts w:hint="eastAsia" w:ascii="宋体" w:hAnsi="宋体" w:eastAsia="宋体" w:cs="宋体"/>
              </w:rPr>
              <w:t>位</w:t>
            </w:r>
          </w:p>
        </w:tc>
        <w:tc>
          <w:tcPr>
            <w:tcW w:w="525" w:type="dxa"/>
            <w:vAlign w:val="center"/>
          </w:tcPr>
          <w:p w14:paraId="3E1B65BB">
            <w:pPr>
              <w:spacing w:line="360" w:lineRule="auto"/>
              <w:jc w:val="center"/>
              <w:rPr>
                <w:rFonts w:hint="eastAsia" w:ascii="宋体" w:hAnsi="宋体" w:eastAsia="宋体" w:cs="宋体"/>
              </w:rPr>
            </w:pPr>
            <w:r>
              <w:rPr>
                <w:rFonts w:hint="eastAsia" w:ascii="宋体" w:hAnsi="宋体" w:eastAsia="宋体" w:cs="宋体"/>
              </w:rPr>
              <w:t>数</w:t>
            </w:r>
          </w:p>
          <w:p w14:paraId="3C1A8AEE">
            <w:pPr>
              <w:spacing w:line="360" w:lineRule="auto"/>
              <w:jc w:val="center"/>
              <w:rPr>
                <w:rFonts w:hint="eastAsia" w:ascii="宋体" w:hAnsi="宋体" w:eastAsia="宋体" w:cs="宋体"/>
              </w:rPr>
            </w:pPr>
            <w:r>
              <w:rPr>
                <w:rFonts w:hint="eastAsia" w:ascii="宋体" w:hAnsi="宋体" w:eastAsia="宋体" w:cs="宋体"/>
              </w:rPr>
              <w:t>量</w:t>
            </w:r>
          </w:p>
        </w:tc>
        <w:tc>
          <w:tcPr>
            <w:tcW w:w="735" w:type="dxa"/>
            <w:vAlign w:val="center"/>
          </w:tcPr>
          <w:p w14:paraId="615097B0">
            <w:pPr>
              <w:spacing w:line="360" w:lineRule="auto"/>
              <w:jc w:val="center"/>
              <w:rPr>
                <w:rFonts w:hint="eastAsia" w:ascii="宋体" w:hAnsi="宋体" w:eastAsia="宋体" w:cs="宋体"/>
              </w:rPr>
            </w:pPr>
            <w:r>
              <w:rPr>
                <w:rFonts w:hint="eastAsia" w:ascii="宋体" w:hAnsi="宋体" w:eastAsia="宋体" w:cs="宋体"/>
              </w:rPr>
              <w:t>单</w:t>
            </w:r>
          </w:p>
          <w:p w14:paraId="6BD822DC">
            <w:pPr>
              <w:spacing w:line="360" w:lineRule="auto"/>
              <w:jc w:val="center"/>
              <w:rPr>
                <w:rFonts w:hint="eastAsia" w:ascii="宋体" w:hAnsi="宋体" w:eastAsia="宋体" w:cs="宋体"/>
              </w:rPr>
            </w:pPr>
            <w:r>
              <w:rPr>
                <w:rFonts w:hint="eastAsia" w:ascii="宋体" w:hAnsi="宋体" w:eastAsia="宋体" w:cs="宋体"/>
              </w:rPr>
              <w:t>价</w:t>
            </w:r>
          </w:p>
        </w:tc>
        <w:tc>
          <w:tcPr>
            <w:tcW w:w="840" w:type="dxa"/>
            <w:vAlign w:val="center"/>
          </w:tcPr>
          <w:p w14:paraId="5DBE4FA6">
            <w:pPr>
              <w:spacing w:line="360" w:lineRule="auto"/>
              <w:jc w:val="center"/>
              <w:rPr>
                <w:rFonts w:hint="eastAsia" w:ascii="宋体" w:hAnsi="宋体" w:eastAsia="宋体" w:cs="宋体"/>
              </w:rPr>
            </w:pPr>
            <w:r>
              <w:rPr>
                <w:rFonts w:hint="eastAsia" w:ascii="宋体" w:hAnsi="宋体" w:eastAsia="宋体" w:cs="宋体"/>
              </w:rPr>
              <w:t>交货</w:t>
            </w:r>
          </w:p>
          <w:p w14:paraId="69028BB6">
            <w:pPr>
              <w:spacing w:line="360" w:lineRule="auto"/>
              <w:jc w:val="center"/>
              <w:rPr>
                <w:rFonts w:hint="eastAsia" w:ascii="宋体" w:hAnsi="宋体" w:eastAsia="宋体" w:cs="宋体"/>
              </w:rPr>
            </w:pPr>
            <w:r>
              <w:rPr>
                <w:rFonts w:hint="eastAsia" w:ascii="宋体" w:hAnsi="宋体" w:eastAsia="宋体" w:cs="宋体"/>
              </w:rPr>
              <w:t>方式</w:t>
            </w:r>
          </w:p>
        </w:tc>
        <w:tc>
          <w:tcPr>
            <w:tcW w:w="840" w:type="dxa"/>
            <w:vAlign w:val="center"/>
          </w:tcPr>
          <w:p w14:paraId="21B6C15A">
            <w:pPr>
              <w:spacing w:line="360" w:lineRule="auto"/>
              <w:jc w:val="center"/>
              <w:rPr>
                <w:rFonts w:hint="eastAsia" w:ascii="宋体" w:hAnsi="宋体" w:eastAsia="宋体" w:cs="宋体"/>
              </w:rPr>
            </w:pPr>
            <w:r>
              <w:rPr>
                <w:rFonts w:hint="eastAsia" w:ascii="宋体" w:hAnsi="宋体" w:eastAsia="宋体" w:cs="宋体"/>
              </w:rPr>
              <w:t>交货</w:t>
            </w:r>
          </w:p>
          <w:p w14:paraId="7B245350">
            <w:pPr>
              <w:spacing w:line="360" w:lineRule="auto"/>
              <w:jc w:val="center"/>
              <w:rPr>
                <w:rFonts w:hint="eastAsia" w:ascii="宋体" w:hAnsi="宋体" w:eastAsia="宋体" w:cs="宋体"/>
              </w:rPr>
            </w:pPr>
            <w:r>
              <w:rPr>
                <w:rFonts w:hint="eastAsia" w:ascii="宋体" w:hAnsi="宋体" w:eastAsia="宋体" w:cs="宋体"/>
              </w:rPr>
              <w:t>地点</w:t>
            </w:r>
          </w:p>
        </w:tc>
        <w:tc>
          <w:tcPr>
            <w:tcW w:w="735" w:type="dxa"/>
            <w:vAlign w:val="center"/>
          </w:tcPr>
          <w:p w14:paraId="3B9D180D">
            <w:pPr>
              <w:spacing w:line="360" w:lineRule="auto"/>
              <w:jc w:val="center"/>
              <w:rPr>
                <w:rFonts w:hint="eastAsia" w:ascii="宋体" w:hAnsi="宋体" w:eastAsia="宋体" w:cs="宋体"/>
              </w:rPr>
            </w:pPr>
            <w:r>
              <w:rPr>
                <w:rFonts w:hint="eastAsia" w:ascii="宋体" w:hAnsi="宋体" w:eastAsia="宋体" w:cs="宋体"/>
              </w:rPr>
              <w:t>计划交货</w:t>
            </w:r>
          </w:p>
          <w:p w14:paraId="14B08B75">
            <w:pPr>
              <w:spacing w:line="360" w:lineRule="auto"/>
              <w:jc w:val="center"/>
              <w:rPr>
                <w:rFonts w:hint="eastAsia" w:ascii="宋体" w:hAnsi="宋体" w:eastAsia="宋体" w:cs="宋体"/>
              </w:rPr>
            </w:pPr>
            <w:r>
              <w:rPr>
                <w:rFonts w:hint="eastAsia" w:ascii="宋体" w:hAnsi="宋体" w:eastAsia="宋体" w:cs="宋体"/>
              </w:rPr>
              <w:t>时间</w:t>
            </w:r>
          </w:p>
        </w:tc>
        <w:tc>
          <w:tcPr>
            <w:tcW w:w="945" w:type="dxa"/>
            <w:vAlign w:val="center"/>
          </w:tcPr>
          <w:p w14:paraId="53E2CE16">
            <w:pPr>
              <w:spacing w:line="360" w:lineRule="auto"/>
              <w:jc w:val="center"/>
              <w:rPr>
                <w:rFonts w:hint="eastAsia" w:ascii="宋体" w:hAnsi="宋体" w:eastAsia="宋体" w:cs="宋体"/>
              </w:rPr>
            </w:pPr>
            <w:r>
              <w:rPr>
                <w:rFonts w:hint="eastAsia" w:ascii="宋体" w:hAnsi="宋体" w:eastAsia="宋体" w:cs="宋体"/>
              </w:rPr>
              <w:t>备注</w:t>
            </w:r>
          </w:p>
        </w:tc>
      </w:tr>
      <w:tr w14:paraId="4591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74D2511">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1155" w:type="dxa"/>
          </w:tcPr>
          <w:p w14:paraId="4593DE35">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1050" w:type="dxa"/>
          </w:tcPr>
          <w:p w14:paraId="54C079B5">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630" w:type="dxa"/>
          </w:tcPr>
          <w:p w14:paraId="770A0884">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525" w:type="dxa"/>
          </w:tcPr>
          <w:p w14:paraId="56F5A225">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735" w:type="dxa"/>
          </w:tcPr>
          <w:p w14:paraId="285A3864">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840" w:type="dxa"/>
          </w:tcPr>
          <w:p w14:paraId="28320ABA">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840" w:type="dxa"/>
          </w:tcPr>
          <w:p w14:paraId="22D25677">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735" w:type="dxa"/>
          </w:tcPr>
          <w:p w14:paraId="7A4BE559">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945" w:type="dxa"/>
          </w:tcPr>
          <w:p w14:paraId="4CAA8A88">
            <w:pPr>
              <w:spacing w:line="360" w:lineRule="auto"/>
              <w:jc w:val="center"/>
              <w:rPr>
                <w:rFonts w:hint="eastAsia" w:ascii="宋体" w:hAnsi="宋体" w:eastAsia="宋体" w:cs="宋体"/>
                <w:szCs w:val="21"/>
              </w:rPr>
            </w:pPr>
            <w:r>
              <w:rPr>
                <w:rFonts w:hint="eastAsia" w:ascii="宋体" w:hAnsi="宋体" w:eastAsia="宋体" w:cs="宋体"/>
                <w:szCs w:val="21"/>
              </w:rPr>
              <w:t>/</w:t>
            </w:r>
          </w:p>
        </w:tc>
      </w:tr>
      <w:tr w14:paraId="71FB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50387EF">
            <w:pPr>
              <w:spacing w:line="360" w:lineRule="auto"/>
              <w:jc w:val="center"/>
              <w:rPr>
                <w:rFonts w:hint="eastAsia" w:ascii="宋体" w:hAnsi="宋体" w:eastAsia="宋体" w:cs="宋体"/>
                <w:sz w:val="28"/>
                <w:szCs w:val="28"/>
              </w:rPr>
            </w:pPr>
          </w:p>
        </w:tc>
        <w:tc>
          <w:tcPr>
            <w:tcW w:w="1155" w:type="dxa"/>
          </w:tcPr>
          <w:p w14:paraId="2382DB48">
            <w:pPr>
              <w:spacing w:line="360" w:lineRule="auto"/>
              <w:jc w:val="center"/>
              <w:rPr>
                <w:rFonts w:hint="eastAsia" w:ascii="宋体" w:hAnsi="宋体" w:eastAsia="宋体" w:cs="宋体"/>
                <w:sz w:val="28"/>
                <w:szCs w:val="28"/>
              </w:rPr>
            </w:pPr>
          </w:p>
        </w:tc>
        <w:tc>
          <w:tcPr>
            <w:tcW w:w="1050" w:type="dxa"/>
          </w:tcPr>
          <w:p w14:paraId="6E230B95">
            <w:pPr>
              <w:spacing w:line="360" w:lineRule="auto"/>
              <w:jc w:val="center"/>
              <w:rPr>
                <w:rFonts w:hint="eastAsia" w:ascii="宋体" w:hAnsi="宋体" w:eastAsia="宋体" w:cs="宋体"/>
                <w:sz w:val="28"/>
                <w:szCs w:val="28"/>
              </w:rPr>
            </w:pPr>
          </w:p>
        </w:tc>
        <w:tc>
          <w:tcPr>
            <w:tcW w:w="630" w:type="dxa"/>
          </w:tcPr>
          <w:p w14:paraId="51803655">
            <w:pPr>
              <w:spacing w:line="360" w:lineRule="auto"/>
              <w:jc w:val="center"/>
              <w:rPr>
                <w:rFonts w:hint="eastAsia" w:ascii="宋体" w:hAnsi="宋体" w:eastAsia="宋体" w:cs="宋体"/>
                <w:sz w:val="28"/>
                <w:szCs w:val="28"/>
              </w:rPr>
            </w:pPr>
          </w:p>
        </w:tc>
        <w:tc>
          <w:tcPr>
            <w:tcW w:w="525" w:type="dxa"/>
          </w:tcPr>
          <w:p w14:paraId="3EB1479A">
            <w:pPr>
              <w:spacing w:line="360" w:lineRule="auto"/>
              <w:jc w:val="center"/>
              <w:rPr>
                <w:rFonts w:hint="eastAsia" w:ascii="宋体" w:hAnsi="宋体" w:eastAsia="宋体" w:cs="宋体"/>
                <w:sz w:val="28"/>
                <w:szCs w:val="28"/>
              </w:rPr>
            </w:pPr>
          </w:p>
        </w:tc>
        <w:tc>
          <w:tcPr>
            <w:tcW w:w="735" w:type="dxa"/>
          </w:tcPr>
          <w:p w14:paraId="3214A7ED">
            <w:pPr>
              <w:spacing w:line="360" w:lineRule="auto"/>
              <w:jc w:val="center"/>
              <w:rPr>
                <w:rFonts w:hint="eastAsia" w:ascii="宋体" w:hAnsi="宋体" w:eastAsia="宋体" w:cs="宋体"/>
                <w:sz w:val="28"/>
                <w:szCs w:val="28"/>
              </w:rPr>
            </w:pPr>
          </w:p>
        </w:tc>
        <w:tc>
          <w:tcPr>
            <w:tcW w:w="840" w:type="dxa"/>
          </w:tcPr>
          <w:p w14:paraId="5D7B05CA">
            <w:pPr>
              <w:spacing w:line="360" w:lineRule="auto"/>
              <w:jc w:val="center"/>
              <w:rPr>
                <w:rFonts w:hint="eastAsia" w:ascii="宋体" w:hAnsi="宋体" w:eastAsia="宋体" w:cs="宋体"/>
                <w:sz w:val="28"/>
                <w:szCs w:val="28"/>
              </w:rPr>
            </w:pPr>
          </w:p>
        </w:tc>
        <w:tc>
          <w:tcPr>
            <w:tcW w:w="840" w:type="dxa"/>
          </w:tcPr>
          <w:p w14:paraId="5399F64A">
            <w:pPr>
              <w:spacing w:line="360" w:lineRule="auto"/>
              <w:jc w:val="center"/>
              <w:rPr>
                <w:rFonts w:hint="eastAsia" w:ascii="宋体" w:hAnsi="宋体" w:eastAsia="宋体" w:cs="宋体"/>
                <w:sz w:val="28"/>
                <w:szCs w:val="28"/>
              </w:rPr>
            </w:pPr>
          </w:p>
        </w:tc>
        <w:tc>
          <w:tcPr>
            <w:tcW w:w="735" w:type="dxa"/>
          </w:tcPr>
          <w:p w14:paraId="548A61E7">
            <w:pPr>
              <w:spacing w:line="360" w:lineRule="auto"/>
              <w:jc w:val="center"/>
              <w:rPr>
                <w:rFonts w:hint="eastAsia" w:ascii="宋体" w:hAnsi="宋体" w:eastAsia="宋体" w:cs="宋体"/>
                <w:sz w:val="28"/>
                <w:szCs w:val="28"/>
              </w:rPr>
            </w:pPr>
          </w:p>
        </w:tc>
        <w:tc>
          <w:tcPr>
            <w:tcW w:w="945" w:type="dxa"/>
          </w:tcPr>
          <w:p w14:paraId="5BDABFC5">
            <w:pPr>
              <w:spacing w:line="360" w:lineRule="auto"/>
              <w:jc w:val="center"/>
              <w:rPr>
                <w:rFonts w:hint="eastAsia" w:ascii="宋体" w:hAnsi="宋体" w:eastAsia="宋体" w:cs="宋体"/>
                <w:sz w:val="28"/>
                <w:szCs w:val="28"/>
              </w:rPr>
            </w:pPr>
          </w:p>
        </w:tc>
      </w:tr>
      <w:tr w14:paraId="4EF46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52C811F">
            <w:pPr>
              <w:spacing w:line="360" w:lineRule="auto"/>
              <w:jc w:val="center"/>
              <w:rPr>
                <w:rFonts w:hint="eastAsia" w:ascii="宋体" w:hAnsi="宋体" w:eastAsia="宋体" w:cs="宋体"/>
                <w:sz w:val="28"/>
                <w:szCs w:val="28"/>
              </w:rPr>
            </w:pPr>
          </w:p>
        </w:tc>
        <w:tc>
          <w:tcPr>
            <w:tcW w:w="1155" w:type="dxa"/>
          </w:tcPr>
          <w:p w14:paraId="77626131">
            <w:pPr>
              <w:spacing w:line="360" w:lineRule="auto"/>
              <w:jc w:val="center"/>
              <w:rPr>
                <w:rFonts w:hint="eastAsia" w:ascii="宋体" w:hAnsi="宋体" w:eastAsia="宋体" w:cs="宋体"/>
                <w:sz w:val="28"/>
                <w:szCs w:val="28"/>
              </w:rPr>
            </w:pPr>
          </w:p>
        </w:tc>
        <w:tc>
          <w:tcPr>
            <w:tcW w:w="1050" w:type="dxa"/>
          </w:tcPr>
          <w:p w14:paraId="14379A53">
            <w:pPr>
              <w:spacing w:line="360" w:lineRule="auto"/>
              <w:jc w:val="center"/>
              <w:rPr>
                <w:rFonts w:hint="eastAsia" w:ascii="宋体" w:hAnsi="宋体" w:eastAsia="宋体" w:cs="宋体"/>
                <w:sz w:val="28"/>
                <w:szCs w:val="28"/>
              </w:rPr>
            </w:pPr>
          </w:p>
        </w:tc>
        <w:tc>
          <w:tcPr>
            <w:tcW w:w="630" w:type="dxa"/>
          </w:tcPr>
          <w:p w14:paraId="34283001">
            <w:pPr>
              <w:spacing w:line="360" w:lineRule="auto"/>
              <w:jc w:val="center"/>
              <w:rPr>
                <w:rFonts w:hint="eastAsia" w:ascii="宋体" w:hAnsi="宋体" w:eastAsia="宋体" w:cs="宋体"/>
                <w:sz w:val="28"/>
                <w:szCs w:val="28"/>
              </w:rPr>
            </w:pPr>
          </w:p>
        </w:tc>
        <w:tc>
          <w:tcPr>
            <w:tcW w:w="525" w:type="dxa"/>
          </w:tcPr>
          <w:p w14:paraId="04C665A4">
            <w:pPr>
              <w:spacing w:line="360" w:lineRule="auto"/>
              <w:jc w:val="center"/>
              <w:rPr>
                <w:rFonts w:hint="eastAsia" w:ascii="宋体" w:hAnsi="宋体" w:eastAsia="宋体" w:cs="宋体"/>
                <w:sz w:val="28"/>
                <w:szCs w:val="28"/>
              </w:rPr>
            </w:pPr>
          </w:p>
        </w:tc>
        <w:tc>
          <w:tcPr>
            <w:tcW w:w="735" w:type="dxa"/>
          </w:tcPr>
          <w:p w14:paraId="4A35FECC">
            <w:pPr>
              <w:spacing w:line="360" w:lineRule="auto"/>
              <w:jc w:val="center"/>
              <w:rPr>
                <w:rFonts w:hint="eastAsia" w:ascii="宋体" w:hAnsi="宋体" w:eastAsia="宋体" w:cs="宋体"/>
                <w:sz w:val="28"/>
                <w:szCs w:val="28"/>
              </w:rPr>
            </w:pPr>
          </w:p>
        </w:tc>
        <w:tc>
          <w:tcPr>
            <w:tcW w:w="840" w:type="dxa"/>
          </w:tcPr>
          <w:p w14:paraId="147CB71F">
            <w:pPr>
              <w:spacing w:line="360" w:lineRule="auto"/>
              <w:jc w:val="center"/>
              <w:rPr>
                <w:rFonts w:hint="eastAsia" w:ascii="宋体" w:hAnsi="宋体" w:eastAsia="宋体" w:cs="宋体"/>
                <w:sz w:val="28"/>
                <w:szCs w:val="28"/>
              </w:rPr>
            </w:pPr>
          </w:p>
        </w:tc>
        <w:tc>
          <w:tcPr>
            <w:tcW w:w="840" w:type="dxa"/>
          </w:tcPr>
          <w:p w14:paraId="0F89E007">
            <w:pPr>
              <w:spacing w:line="360" w:lineRule="auto"/>
              <w:jc w:val="center"/>
              <w:rPr>
                <w:rFonts w:hint="eastAsia" w:ascii="宋体" w:hAnsi="宋体" w:eastAsia="宋体" w:cs="宋体"/>
                <w:sz w:val="28"/>
                <w:szCs w:val="28"/>
              </w:rPr>
            </w:pPr>
          </w:p>
        </w:tc>
        <w:tc>
          <w:tcPr>
            <w:tcW w:w="735" w:type="dxa"/>
          </w:tcPr>
          <w:p w14:paraId="37643620">
            <w:pPr>
              <w:spacing w:line="360" w:lineRule="auto"/>
              <w:jc w:val="center"/>
              <w:rPr>
                <w:rFonts w:hint="eastAsia" w:ascii="宋体" w:hAnsi="宋体" w:eastAsia="宋体" w:cs="宋体"/>
                <w:sz w:val="28"/>
                <w:szCs w:val="28"/>
              </w:rPr>
            </w:pPr>
          </w:p>
        </w:tc>
        <w:tc>
          <w:tcPr>
            <w:tcW w:w="945" w:type="dxa"/>
          </w:tcPr>
          <w:p w14:paraId="1A7D2B57">
            <w:pPr>
              <w:spacing w:line="360" w:lineRule="auto"/>
              <w:jc w:val="center"/>
              <w:rPr>
                <w:rFonts w:hint="eastAsia" w:ascii="宋体" w:hAnsi="宋体" w:eastAsia="宋体" w:cs="宋体"/>
                <w:sz w:val="28"/>
                <w:szCs w:val="28"/>
              </w:rPr>
            </w:pPr>
          </w:p>
        </w:tc>
      </w:tr>
      <w:tr w14:paraId="2D0E2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1352F84">
            <w:pPr>
              <w:spacing w:line="360" w:lineRule="auto"/>
              <w:jc w:val="center"/>
              <w:rPr>
                <w:rFonts w:hint="eastAsia" w:ascii="宋体" w:hAnsi="宋体" w:eastAsia="宋体" w:cs="宋体"/>
                <w:sz w:val="28"/>
                <w:szCs w:val="28"/>
              </w:rPr>
            </w:pPr>
          </w:p>
        </w:tc>
        <w:tc>
          <w:tcPr>
            <w:tcW w:w="1155" w:type="dxa"/>
          </w:tcPr>
          <w:p w14:paraId="406CA3A2">
            <w:pPr>
              <w:spacing w:line="360" w:lineRule="auto"/>
              <w:jc w:val="center"/>
              <w:rPr>
                <w:rFonts w:hint="eastAsia" w:ascii="宋体" w:hAnsi="宋体" w:eastAsia="宋体" w:cs="宋体"/>
                <w:sz w:val="28"/>
                <w:szCs w:val="28"/>
              </w:rPr>
            </w:pPr>
          </w:p>
        </w:tc>
        <w:tc>
          <w:tcPr>
            <w:tcW w:w="1050" w:type="dxa"/>
          </w:tcPr>
          <w:p w14:paraId="22CE5F09">
            <w:pPr>
              <w:spacing w:line="360" w:lineRule="auto"/>
              <w:jc w:val="center"/>
              <w:rPr>
                <w:rFonts w:hint="eastAsia" w:ascii="宋体" w:hAnsi="宋体" w:eastAsia="宋体" w:cs="宋体"/>
                <w:sz w:val="28"/>
                <w:szCs w:val="28"/>
              </w:rPr>
            </w:pPr>
          </w:p>
        </w:tc>
        <w:tc>
          <w:tcPr>
            <w:tcW w:w="630" w:type="dxa"/>
          </w:tcPr>
          <w:p w14:paraId="6220A64C">
            <w:pPr>
              <w:spacing w:line="360" w:lineRule="auto"/>
              <w:jc w:val="center"/>
              <w:rPr>
                <w:rFonts w:hint="eastAsia" w:ascii="宋体" w:hAnsi="宋体" w:eastAsia="宋体" w:cs="宋体"/>
                <w:sz w:val="28"/>
                <w:szCs w:val="28"/>
              </w:rPr>
            </w:pPr>
          </w:p>
        </w:tc>
        <w:tc>
          <w:tcPr>
            <w:tcW w:w="525" w:type="dxa"/>
          </w:tcPr>
          <w:p w14:paraId="19989D22">
            <w:pPr>
              <w:spacing w:line="360" w:lineRule="auto"/>
              <w:jc w:val="center"/>
              <w:rPr>
                <w:rFonts w:hint="eastAsia" w:ascii="宋体" w:hAnsi="宋体" w:eastAsia="宋体" w:cs="宋体"/>
                <w:sz w:val="28"/>
                <w:szCs w:val="28"/>
              </w:rPr>
            </w:pPr>
          </w:p>
        </w:tc>
        <w:tc>
          <w:tcPr>
            <w:tcW w:w="735" w:type="dxa"/>
          </w:tcPr>
          <w:p w14:paraId="0ED0EDEE">
            <w:pPr>
              <w:spacing w:line="360" w:lineRule="auto"/>
              <w:jc w:val="center"/>
              <w:rPr>
                <w:rFonts w:hint="eastAsia" w:ascii="宋体" w:hAnsi="宋体" w:eastAsia="宋体" w:cs="宋体"/>
                <w:sz w:val="28"/>
                <w:szCs w:val="28"/>
              </w:rPr>
            </w:pPr>
          </w:p>
        </w:tc>
        <w:tc>
          <w:tcPr>
            <w:tcW w:w="840" w:type="dxa"/>
          </w:tcPr>
          <w:p w14:paraId="00448F5E">
            <w:pPr>
              <w:spacing w:line="360" w:lineRule="auto"/>
              <w:jc w:val="center"/>
              <w:rPr>
                <w:rFonts w:hint="eastAsia" w:ascii="宋体" w:hAnsi="宋体" w:eastAsia="宋体" w:cs="宋体"/>
                <w:sz w:val="28"/>
                <w:szCs w:val="28"/>
              </w:rPr>
            </w:pPr>
          </w:p>
        </w:tc>
        <w:tc>
          <w:tcPr>
            <w:tcW w:w="840" w:type="dxa"/>
          </w:tcPr>
          <w:p w14:paraId="613CBCB3">
            <w:pPr>
              <w:spacing w:line="360" w:lineRule="auto"/>
              <w:jc w:val="center"/>
              <w:rPr>
                <w:rFonts w:hint="eastAsia" w:ascii="宋体" w:hAnsi="宋体" w:eastAsia="宋体" w:cs="宋体"/>
                <w:sz w:val="28"/>
                <w:szCs w:val="28"/>
              </w:rPr>
            </w:pPr>
          </w:p>
        </w:tc>
        <w:tc>
          <w:tcPr>
            <w:tcW w:w="735" w:type="dxa"/>
          </w:tcPr>
          <w:p w14:paraId="721FF7AB">
            <w:pPr>
              <w:spacing w:line="360" w:lineRule="auto"/>
              <w:jc w:val="center"/>
              <w:rPr>
                <w:rFonts w:hint="eastAsia" w:ascii="宋体" w:hAnsi="宋体" w:eastAsia="宋体" w:cs="宋体"/>
                <w:sz w:val="28"/>
                <w:szCs w:val="28"/>
              </w:rPr>
            </w:pPr>
          </w:p>
        </w:tc>
        <w:tc>
          <w:tcPr>
            <w:tcW w:w="945" w:type="dxa"/>
          </w:tcPr>
          <w:p w14:paraId="4F6D3EC6">
            <w:pPr>
              <w:spacing w:line="360" w:lineRule="auto"/>
              <w:jc w:val="center"/>
              <w:rPr>
                <w:rFonts w:hint="eastAsia" w:ascii="宋体" w:hAnsi="宋体" w:eastAsia="宋体" w:cs="宋体"/>
                <w:sz w:val="28"/>
                <w:szCs w:val="28"/>
              </w:rPr>
            </w:pPr>
          </w:p>
        </w:tc>
      </w:tr>
      <w:tr w14:paraId="285AE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244AF72">
            <w:pPr>
              <w:spacing w:line="360" w:lineRule="auto"/>
              <w:jc w:val="center"/>
              <w:rPr>
                <w:rFonts w:hint="eastAsia" w:ascii="宋体" w:hAnsi="宋体" w:eastAsia="宋体" w:cs="宋体"/>
                <w:sz w:val="28"/>
                <w:szCs w:val="28"/>
              </w:rPr>
            </w:pPr>
          </w:p>
        </w:tc>
        <w:tc>
          <w:tcPr>
            <w:tcW w:w="1155" w:type="dxa"/>
          </w:tcPr>
          <w:p w14:paraId="700B52BF">
            <w:pPr>
              <w:spacing w:line="360" w:lineRule="auto"/>
              <w:jc w:val="center"/>
              <w:rPr>
                <w:rFonts w:hint="eastAsia" w:ascii="宋体" w:hAnsi="宋体" w:eastAsia="宋体" w:cs="宋体"/>
                <w:sz w:val="28"/>
                <w:szCs w:val="28"/>
              </w:rPr>
            </w:pPr>
          </w:p>
        </w:tc>
        <w:tc>
          <w:tcPr>
            <w:tcW w:w="1050" w:type="dxa"/>
          </w:tcPr>
          <w:p w14:paraId="7D725B46">
            <w:pPr>
              <w:spacing w:line="360" w:lineRule="auto"/>
              <w:jc w:val="center"/>
              <w:rPr>
                <w:rFonts w:hint="eastAsia" w:ascii="宋体" w:hAnsi="宋体" w:eastAsia="宋体" w:cs="宋体"/>
                <w:sz w:val="28"/>
                <w:szCs w:val="28"/>
              </w:rPr>
            </w:pPr>
          </w:p>
        </w:tc>
        <w:tc>
          <w:tcPr>
            <w:tcW w:w="630" w:type="dxa"/>
          </w:tcPr>
          <w:p w14:paraId="2724903B">
            <w:pPr>
              <w:spacing w:line="360" w:lineRule="auto"/>
              <w:jc w:val="center"/>
              <w:rPr>
                <w:rFonts w:hint="eastAsia" w:ascii="宋体" w:hAnsi="宋体" w:eastAsia="宋体" w:cs="宋体"/>
                <w:sz w:val="28"/>
                <w:szCs w:val="28"/>
              </w:rPr>
            </w:pPr>
          </w:p>
        </w:tc>
        <w:tc>
          <w:tcPr>
            <w:tcW w:w="525" w:type="dxa"/>
          </w:tcPr>
          <w:p w14:paraId="40BDEE64">
            <w:pPr>
              <w:spacing w:line="360" w:lineRule="auto"/>
              <w:jc w:val="center"/>
              <w:rPr>
                <w:rFonts w:hint="eastAsia" w:ascii="宋体" w:hAnsi="宋体" w:eastAsia="宋体" w:cs="宋体"/>
                <w:sz w:val="28"/>
                <w:szCs w:val="28"/>
              </w:rPr>
            </w:pPr>
          </w:p>
        </w:tc>
        <w:tc>
          <w:tcPr>
            <w:tcW w:w="735" w:type="dxa"/>
          </w:tcPr>
          <w:p w14:paraId="516F4CB1">
            <w:pPr>
              <w:spacing w:line="360" w:lineRule="auto"/>
              <w:jc w:val="center"/>
              <w:rPr>
                <w:rFonts w:hint="eastAsia" w:ascii="宋体" w:hAnsi="宋体" w:eastAsia="宋体" w:cs="宋体"/>
                <w:sz w:val="28"/>
                <w:szCs w:val="28"/>
              </w:rPr>
            </w:pPr>
          </w:p>
        </w:tc>
        <w:tc>
          <w:tcPr>
            <w:tcW w:w="840" w:type="dxa"/>
          </w:tcPr>
          <w:p w14:paraId="35DDFE63">
            <w:pPr>
              <w:spacing w:line="360" w:lineRule="auto"/>
              <w:jc w:val="center"/>
              <w:rPr>
                <w:rFonts w:hint="eastAsia" w:ascii="宋体" w:hAnsi="宋体" w:eastAsia="宋体" w:cs="宋体"/>
                <w:sz w:val="28"/>
                <w:szCs w:val="28"/>
              </w:rPr>
            </w:pPr>
          </w:p>
        </w:tc>
        <w:tc>
          <w:tcPr>
            <w:tcW w:w="840" w:type="dxa"/>
          </w:tcPr>
          <w:p w14:paraId="2074FEDF">
            <w:pPr>
              <w:spacing w:line="360" w:lineRule="auto"/>
              <w:jc w:val="center"/>
              <w:rPr>
                <w:rFonts w:hint="eastAsia" w:ascii="宋体" w:hAnsi="宋体" w:eastAsia="宋体" w:cs="宋体"/>
                <w:sz w:val="28"/>
                <w:szCs w:val="28"/>
              </w:rPr>
            </w:pPr>
          </w:p>
        </w:tc>
        <w:tc>
          <w:tcPr>
            <w:tcW w:w="735" w:type="dxa"/>
          </w:tcPr>
          <w:p w14:paraId="436281DC">
            <w:pPr>
              <w:spacing w:line="360" w:lineRule="auto"/>
              <w:jc w:val="center"/>
              <w:rPr>
                <w:rFonts w:hint="eastAsia" w:ascii="宋体" w:hAnsi="宋体" w:eastAsia="宋体" w:cs="宋体"/>
                <w:sz w:val="28"/>
                <w:szCs w:val="28"/>
              </w:rPr>
            </w:pPr>
          </w:p>
        </w:tc>
        <w:tc>
          <w:tcPr>
            <w:tcW w:w="945" w:type="dxa"/>
          </w:tcPr>
          <w:p w14:paraId="351CAE63">
            <w:pPr>
              <w:spacing w:line="360" w:lineRule="auto"/>
              <w:jc w:val="center"/>
              <w:rPr>
                <w:rFonts w:hint="eastAsia" w:ascii="宋体" w:hAnsi="宋体" w:eastAsia="宋体" w:cs="宋体"/>
                <w:sz w:val="28"/>
                <w:szCs w:val="28"/>
              </w:rPr>
            </w:pPr>
          </w:p>
        </w:tc>
      </w:tr>
      <w:tr w14:paraId="2812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17CA987">
            <w:pPr>
              <w:spacing w:line="360" w:lineRule="auto"/>
              <w:jc w:val="center"/>
              <w:rPr>
                <w:rFonts w:hint="eastAsia" w:ascii="宋体" w:hAnsi="宋体" w:eastAsia="宋体" w:cs="宋体"/>
                <w:sz w:val="28"/>
                <w:szCs w:val="28"/>
              </w:rPr>
            </w:pPr>
          </w:p>
        </w:tc>
        <w:tc>
          <w:tcPr>
            <w:tcW w:w="1155" w:type="dxa"/>
          </w:tcPr>
          <w:p w14:paraId="66806C65">
            <w:pPr>
              <w:spacing w:line="360" w:lineRule="auto"/>
              <w:jc w:val="center"/>
              <w:rPr>
                <w:rFonts w:hint="eastAsia" w:ascii="宋体" w:hAnsi="宋体" w:eastAsia="宋体" w:cs="宋体"/>
                <w:sz w:val="28"/>
                <w:szCs w:val="28"/>
              </w:rPr>
            </w:pPr>
          </w:p>
        </w:tc>
        <w:tc>
          <w:tcPr>
            <w:tcW w:w="1050" w:type="dxa"/>
          </w:tcPr>
          <w:p w14:paraId="67CB3C0D">
            <w:pPr>
              <w:spacing w:line="360" w:lineRule="auto"/>
              <w:jc w:val="center"/>
              <w:rPr>
                <w:rFonts w:hint="eastAsia" w:ascii="宋体" w:hAnsi="宋体" w:eastAsia="宋体" w:cs="宋体"/>
                <w:sz w:val="28"/>
                <w:szCs w:val="28"/>
              </w:rPr>
            </w:pPr>
          </w:p>
        </w:tc>
        <w:tc>
          <w:tcPr>
            <w:tcW w:w="630" w:type="dxa"/>
          </w:tcPr>
          <w:p w14:paraId="7ACBA4FF">
            <w:pPr>
              <w:spacing w:line="360" w:lineRule="auto"/>
              <w:jc w:val="center"/>
              <w:rPr>
                <w:rFonts w:hint="eastAsia" w:ascii="宋体" w:hAnsi="宋体" w:eastAsia="宋体" w:cs="宋体"/>
                <w:sz w:val="28"/>
                <w:szCs w:val="28"/>
              </w:rPr>
            </w:pPr>
          </w:p>
        </w:tc>
        <w:tc>
          <w:tcPr>
            <w:tcW w:w="525" w:type="dxa"/>
          </w:tcPr>
          <w:p w14:paraId="7185C883">
            <w:pPr>
              <w:spacing w:line="360" w:lineRule="auto"/>
              <w:jc w:val="center"/>
              <w:rPr>
                <w:rFonts w:hint="eastAsia" w:ascii="宋体" w:hAnsi="宋体" w:eastAsia="宋体" w:cs="宋体"/>
                <w:sz w:val="28"/>
                <w:szCs w:val="28"/>
              </w:rPr>
            </w:pPr>
          </w:p>
        </w:tc>
        <w:tc>
          <w:tcPr>
            <w:tcW w:w="735" w:type="dxa"/>
          </w:tcPr>
          <w:p w14:paraId="346A4FCA">
            <w:pPr>
              <w:spacing w:line="360" w:lineRule="auto"/>
              <w:jc w:val="center"/>
              <w:rPr>
                <w:rFonts w:hint="eastAsia" w:ascii="宋体" w:hAnsi="宋体" w:eastAsia="宋体" w:cs="宋体"/>
                <w:sz w:val="28"/>
                <w:szCs w:val="28"/>
              </w:rPr>
            </w:pPr>
          </w:p>
        </w:tc>
        <w:tc>
          <w:tcPr>
            <w:tcW w:w="840" w:type="dxa"/>
          </w:tcPr>
          <w:p w14:paraId="6D83B825">
            <w:pPr>
              <w:spacing w:line="360" w:lineRule="auto"/>
              <w:jc w:val="center"/>
              <w:rPr>
                <w:rFonts w:hint="eastAsia" w:ascii="宋体" w:hAnsi="宋体" w:eastAsia="宋体" w:cs="宋体"/>
                <w:sz w:val="28"/>
                <w:szCs w:val="28"/>
              </w:rPr>
            </w:pPr>
          </w:p>
        </w:tc>
        <w:tc>
          <w:tcPr>
            <w:tcW w:w="840" w:type="dxa"/>
          </w:tcPr>
          <w:p w14:paraId="713C5362">
            <w:pPr>
              <w:spacing w:line="360" w:lineRule="auto"/>
              <w:jc w:val="center"/>
              <w:rPr>
                <w:rFonts w:hint="eastAsia" w:ascii="宋体" w:hAnsi="宋体" w:eastAsia="宋体" w:cs="宋体"/>
                <w:sz w:val="28"/>
                <w:szCs w:val="28"/>
              </w:rPr>
            </w:pPr>
          </w:p>
        </w:tc>
        <w:tc>
          <w:tcPr>
            <w:tcW w:w="735" w:type="dxa"/>
          </w:tcPr>
          <w:p w14:paraId="3257BED4">
            <w:pPr>
              <w:spacing w:line="360" w:lineRule="auto"/>
              <w:jc w:val="center"/>
              <w:rPr>
                <w:rFonts w:hint="eastAsia" w:ascii="宋体" w:hAnsi="宋体" w:eastAsia="宋体" w:cs="宋体"/>
                <w:sz w:val="28"/>
                <w:szCs w:val="28"/>
              </w:rPr>
            </w:pPr>
          </w:p>
        </w:tc>
        <w:tc>
          <w:tcPr>
            <w:tcW w:w="945" w:type="dxa"/>
          </w:tcPr>
          <w:p w14:paraId="6B4097F7">
            <w:pPr>
              <w:spacing w:line="360" w:lineRule="auto"/>
              <w:jc w:val="center"/>
              <w:rPr>
                <w:rFonts w:hint="eastAsia" w:ascii="宋体" w:hAnsi="宋体" w:eastAsia="宋体" w:cs="宋体"/>
                <w:sz w:val="28"/>
                <w:szCs w:val="28"/>
              </w:rPr>
            </w:pPr>
          </w:p>
        </w:tc>
      </w:tr>
      <w:tr w14:paraId="3879F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46186C7">
            <w:pPr>
              <w:spacing w:line="360" w:lineRule="auto"/>
              <w:jc w:val="center"/>
              <w:rPr>
                <w:rFonts w:hint="eastAsia" w:ascii="宋体" w:hAnsi="宋体" w:eastAsia="宋体" w:cs="宋体"/>
                <w:sz w:val="28"/>
                <w:szCs w:val="28"/>
              </w:rPr>
            </w:pPr>
          </w:p>
        </w:tc>
        <w:tc>
          <w:tcPr>
            <w:tcW w:w="1155" w:type="dxa"/>
          </w:tcPr>
          <w:p w14:paraId="5C7C68BE">
            <w:pPr>
              <w:spacing w:line="360" w:lineRule="auto"/>
              <w:jc w:val="center"/>
              <w:rPr>
                <w:rFonts w:hint="eastAsia" w:ascii="宋体" w:hAnsi="宋体" w:eastAsia="宋体" w:cs="宋体"/>
                <w:sz w:val="28"/>
                <w:szCs w:val="28"/>
              </w:rPr>
            </w:pPr>
          </w:p>
        </w:tc>
        <w:tc>
          <w:tcPr>
            <w:tcW w:w="1050" w:type="dxa"/>
          </w:tcPr>
          <w:p w14:paraId="2BCB22F5">
            <w:pPr>
              <w:spacing w:line="360" w:lineRule="auto"/>
              <w:jc w:val="center"/>
              <w:rPr>
                <w:rFonts w:hint="eastAsia" w:ascii="宋体" w:hAnsi="宋体" w:eastAsia="宋体" w:cs="宋体"/>
                <w:sz w:val="28"/>
                <w:szCs w:val="28"/>
              </w:rPr>
            </w:pPr>
          </w:p>
        </w:tc>
        <w:tc>
          <w:tcPr>
            <w:tcW w:w="630" w:type="dxa"/>
          </w:tcPr>
          <w:p w14:paraId="2B08D3FE">
            <w:pPr>
              <w:spacing w:line="360" w:lineRule="auto"/>
              <w:jc w:val="center"/>
              <w:rPr>
                <w:rFonts w:hint="eastAsia" w:ascii="宋体" w:hAnsi="宋体" w:eastAsia="宋体" w:cs="宋体"/>
                <w:sz w:val="28"/>
                <w:szCs w:val="28"/>
              </w:rPr>
            </w:pPr>
          </w:p>
        </w:tc>
        <w:tc>
          <w:tcPr>
            <w:tcW w:w="525" w:type="dxa"/>
          </w:tcPr>
          <w:p w14:paraId="0CB97997">
            <w:pPr>
              <w:spacing w:line="360" w:lineRule="auto"/>
              <w:jc w:val="center"/>
              <w:rPr>
                <w:rFonts w:hint="eastAsia" w:ascii="宋体" w:hAnsi="宋体" w:eastAsia="宋体" w:cs="宋体"/>
                <w:sz w:val="28"/>
                <w:szCs w:val="28"/>
              </w:rPr>
            </w:pPr>
          </w:p>
        </w:tc>
        <w:tc>
          <w:tcPr>
            <w:tcW w:w="735" w:type="dxa"/>
          </w:tcPr>
          <w:p w14:paraId="427A3FD1">
            <w:pPr>
              <w:spacing w:line="360" w:lineRule="auto"/>
              <w:jc w:val="center"/>
              <w:rPr>
                <w:rFonts w:hint="eastAsia" w:ascii="宋体" w:hAnsi="宋体" w:eastAsia="宋体" w:cs="宋体"/>
                <w:sz w:val="28"/>
                <w:szCs w:val="28"/>
              </w:rPr>
            </w:pPr>
          </w:p>
        </w:tc>
        <w:tc>
          <w:tcPr>
            <w:tcW w:w="840" w:type="dxa"/>
          </w:tcPr>
          <w:p w14:paraId="66EF03F9">
            <w:pPr>
              <w:spacing w:line="360" w:lineRule="auto"/>
              <w:jc w:val="center"/>
              <w:rPr>
                <w:rFonts w:hint="eastAsia" w:ascii="宋体" w:hAnsi="宋体" w:eastAsia="宋体" w:cs="宋体"/>
                <w:sz w:val="28"/>
                <w:szCs w:val="28"/>
              </w:rPr>
            </w:pPr>
          </w:p>
        </w:tc>
        <w:tc>
          <w:tcPr>
            <w:tcW w:w="840" w:type="dxa"/>
          </w:tcPr>
          <w:p w14:paraId="7A78597F">
            <w:pPr>
              <w:spacing w:line="360" w:lineRule="auto"/>
              <w:jc w:val="center"/>
              <w:rPr>
                <w:rFonts w:hint="eastAsia" w:ascii="宋体" w:hAnsi="宋体" w:eastAsia="宋体" w:cs="宋体"/>
                <w:sz w:val="28"/>
                <w:szCs w:val="28"/>
              </w:rPr>
            </w:pPr>
          </w:p>
        </w:tc>
        <w:tc>
          <w:tcPr>
            <w:tcW w:w="735" w:type="dxa"/>
          </w:tcPr>
          <w:p w14:paraId="760E4882">
            <w:pPr>
              <w:spacing w:line="360" w:lineRule="auto"/>
              <w:jc w:val="center"/>
              <w:rPr>
                <w:rFonts w:hint="eastAsia" w:ascii="宋体" w:hAnsi="宋体" w:eastAsia="宋体" w:cs="宋体"/>
                <w:sz w:val="28"/>
                <w:szCs w:val="28"/>
              </w:rPr>
            </w:pPr>
          </w:p>
        </w:tc>
        <w:tc>
          <w:tcPr>
            <w:tcW w:w="945" w:type="dxa"/>
          </w:tcPr>
          <w:p w14:paraId="1D00884F">
            <w:pPr>
              <w:spacing w:line="360" w:lineRule="auto"/>
              <w:jc w:val="center"/>
              <w:rPr>
                <w:rFonts w:hint="eastAsia" w:ascii="宋体" w:hAnsi="宋体" w:eastAsia="宋体" w:cs="宋体"/>
                <w:sz w:val="28"/>
                <w:szCs w:val="28"/>
              </w:rPr>
            </w:pPr>
          </w:p>
        </w:tc>
      </w:tr>
      <w:tr w14:paraId="6FCF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98037B1">
            <w:pPr>
              <w:spacing w:line="360" w:lineRule="auto"/>
              <w:jc w:val="center"/>
              <w:rPr>
                <w:rFonts w:hint="eastAsia" w:ascii="宋体" w:hAnsi="宋体" w:eastAsia="宋体" w:cs="宋体"/>
                <w:sz w:val="28"/>
                <w:szCs w:val="28"/>
              </w:rPr>
            </w:pPr>
          </w:p>
        </w:tc>
        <w:tc>
          <w:tcPr>
            <w:tcW w:w="1155" w:type="dxa"/>
          </w:tcPr>
          <w:p w14:paraId="06E55D3E">
            <w:pPr>
              <w:spacing w:line="360" w:lineRule="auto"/>
              <w:jc w:val="center"/>
              <w:rPr>
                <w:rFonts w:hint="eastAsia" w:ascii="宋体" w:hAnsi="宋体" w:eastAsia="宋体" w:cs="宋体"/>
                <w:sz w:val="28"/>
                <w:szCs w:val="28"/>
              </w:rPr>
            </w:pPr>
          </w:p>
        </w:tc>
        <w:tc>
          <w:tcPr>
            <w:tcW w:w="1050" w:type="dxa"/>
          </w:tcPr>
          <w:p w14:paraId="2836C221">
            <w:pPr>
              <w:spacing w:line="360" w:lineRule="auto"/>
              <w:jc w:val="center"/>
              <w:rPr>
                <w:rFonts w:hint="eastAsia" w:ascii="宋体" w:hAnsi="宋体" w:eastAsia="宋体" w:cs="宋体"/>
                <w:sz w:val="28"/>
                <w:szCs w:val="28"/>
              </w:rPr>
            </w:pPr>
          </w:p>
        </w:tc>
        <w:tc>
          <w:tcPr>
            <w:tcW w:w="630" w:type="dxa"/>
          </w:tcPr>
          <w:p w14:paraId="57C24514">
            <w:pPr>
              <w:spacing w:line="360" w:lineRule="auto"/>
              <w:jc w:val="center"/>
              <w:rPr>
                <w:rFonts w:hint="eastAsia" w:ascii="宋体" w:hAnsi="宋体" w:eastAsia="宋体" w:cs="宋体"/>
                <w:sz w:val="28"/>
                <w:szCs w:val="28"/>
              </w:rPr>
            </w:pPr>
          </w:p>
        </w:tc>
        <w:tc>
          <w:tcPr>
            <w:tcW w:w="525" w:type="dxa"/>
          </w:tcPr>
          <w:p w14:paraId="52E0E8FB">
            <w:pPr>
              <w:spacing w:line="360" w:lineRule="auto"/>
              <w:jc w:val="center"/>
              <w:rPr>
                <w:rFonts w:hint="eastAsia" w:ascii="宋体" w:hAnsi="宋体" w:eastAsia="宋体" w:cs="宋体"/>
                <w:sz w:val="28"/>
                <w:szCs w:val="28"/>
              </w:rPr>
            </w:pPr>
          </w:p>
        </w:tc>
        <w:tc>
          <w:tcPr>
            <w:tcW w:w="735" w:type="dxa"/>
          </w:tcPr>
          <w:p w14:paraId="1956C16C">
            <w:pPr>
              <w:spacing w:line="360" w:lineRule="auto"/>
              <w:jc w:val="center"/>
              <w:rPr>
                <w:rFonts w:hint="eastAsia" w:ascii="宋体" w:hAnsi="宋体" w:eastAsia="宋体" w:cs="宋体"/>
                <w:sz w:val="28"/>
                <w:szCs w:val="28"/>
              </w:rPr>
            </w:pPr>
          </w:p>
        </w:tc>
        <w:tc>
          <w:tcPr>
            <w:tcW w:w="840" w:type="dxa"/>
          </w:tcPr>
          <w:p w14:paraId="304716B7">
            <w:pPr>
              <w:spacing w:line="360" w:lineRule="auto"/>
              <w:jc w:val="center"/>
              <w:rPr>
                <w:rFonts w:hint="eastAsia" w:ascii="宋体" w:hAnsi="宋体" w:eastAsia="宋体" w:cs="宋体"/>
                <w:sz w:val="28"/>
                <w:szCs w:val="28"/>
              </w:rPr>
            </w:pPr>
          </w:p>
        </w:tc>
        <w:tc>
          <w:tcPr>
            <w:tcW w:w="840" w:type="dxa"/>
          </w:tcPr>
          <w:p w14:paraId="323F3316">
            <w:pPr>
              <w:spacing w:line="360" w:lineRule="auto"/>
              <w:jc w:val="center"/>
              <w:rPr>
                <w:rFonts w:hint="eastAsia" w:ascii="宋体" w:hAnsi="宋体" w:eastAsia="宋体" w:cs="宋体"/>
                <w:sz w:val="28"/>
                <w:szCs w:val="28"/>
              </w:rPr>
            </w:pPr>
          </w:p>
        </w:tc>
        <w:tc>
          <w:tcPr>
            <w:tcW w:w="735" w:type="dxa"/>
          </w:tcPr>
          <w:p w14:paraId="3D97AD35">
            <w:pPr>
              <w:spacing w:line="360" w:lineRule="auto"/>
              <w:jc w:val="center"/>
              <w:rPr>
                <w:rFonts w:hint="eastAsia" w:ascii="宋体" w:hAnsi="宋体" w:eastAsia="宋体" w:cs="宋体"/>
                <w:sz w:val="28"/>
                <w:szCs w:val="28"/>
              </w:rPr>
            </w:pPr>
          </w:p>
        </w:tc>
        <w:tc>
          <w:tcPr>
            <w:tcW w:w="945" w:type="dxa"/>
          </w:tcPr>
          <w:p w14:paraId="7EDC9867">
            <w:pPr>
              <w:spacing w:line="360" w:lineRule="auto"/>
              <w:jc w:val="center"/>
              <w:rPr>
                <w:rFonts w:hint="eastAsia" w:ascii="宋体" w:hAnsi="宋体" w:eastAsia="宋体" w:cs="宋体"/>
                <w:sz w:val="28"/>
                <w:szCs w:val="28"/>
              </w:rPr>
            </w:pPr>
          </w:p>
        </w:tc>
      </w:tr>
      <w:tr w14:paraId="0110E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93694ED">
            <w:pPr>
              <w:spacing w:line="360" w:lineRule="auto"/>
              <w:jc w:val="center"/>
              <w:rPr>
                <w:rFonts w:hint="eastAsia" w:ascii="宋体" w:hAnsi="宋体" w:eastAsia="宋体" w:cs="宋体"/>
                <w:sz w:val="28"/>
                <w:szCs w:val="28"/>
              </w:rPr>
            </w:pPr>
          </w:p>
        </w:tc>
        <w:tc>
          <w:tcPr>
            <w:tcW w:w="1155" w:type="dxa"/>
          </w:tcPr>
          <w:p w14:paraId="0DFC1042">
            <w:pPr>
              <w:spacing w:line="360" w:lineRule="auto"/>
              <w:jc w:val="center"/>
              <w:rPr>
                <w:rFonts w:hint="eastAsia" w:ascii="宋体" w:hAnsi="宋体" w:eastAsia="宋体" w:cs="宋体"/>
                <w:sz w:val="28"/>
                <w:szCs w:val="28"/>
              </w:rPr>
            </w:pPr>
          </w:p>
        </w:tc>
        <w:tc>
          <w:tcPr>
            <w:tcW w:w="1050" w:type="dxa"/>
          </w:tcPr>
          <w:p w14:paraId="1A086462">
            <w:pPr>
              <w:spacing w:line="360" w:lineRule="auto"/>
              <w:jc w:val="center"/>
              <w:rPr>
                <w:rFonts w:hint="eastAsia" w:ascii="宋体" w:hAnsi="宋体" w:eastAsia="宋体" w:cs="宋体"/>
                <w:sz w:val="28"/>
                <w:szCs w:val="28"/>
              </w:rPr>
            </w:pPr>
          </w:p>
        </w:tc>
        <w:tc>
          <w:tcPr>
            <w:tcW w:w="630" w:type="dxa"/>
          </w:tcPr>
          <w:p w14:paraId="4EFFC41D">
            <w:pPr>
              <w:spacing w:line="360" w:lineRule="auto"/>
              <w:jc w:val="center"/>
              <w:rPr>
                <w:rFonts w:hint="eastAsia" w:ascii="宋体" w:hAnsi="宋体" w:eastAsia="宋体" w:cs="宋体"/>
                <w:sz w:val="28"/>
                <w:szCs w:val="28"/>
              </w:rPr>
            </w:pPr>
          </w:p>
        </w:tc>
        <w:tc>
          <w:tcPr>
            <w:tcW w:w="525" w:type="dxa"/>
          </w:tcPr>
          <w:p w14:paraId="4513756F">
            <w:pPr>
              <w:spacing w:line="360" w:lineRule="auto"/>
              <w:jc w:val="center"/>
              <w:rPr>
                <w:rFonts w:hint="eastAsia" w:ascii="宋体" w:hAnsi="宋体" w:eastAsia="宋体" w:cs="宋体"/>
                <w:sz w:val="28"/>
                <w:szCs w:val="28"/>
              </w:rPr>
            </w:pPr>
          </w:p>
        </w:tc>
        <w:tc>
          <w:tcPr>
            <w:tcW w:w="735" w:type="dxa"/>
          </w:tcPr>
          <w:p w14:paraId="168D088E">
            <w:pPr>
              <w:spacing w:line="360" w:lineRule="auto"/>
              <w:jc w:val="center"/>
              <w:rPr>
                <w:rFonts w:hint="eastAsia" w:ascii="宋体" w:hAnsi="宋体" w:eastAsia="宋体" w:cs="宋体"/>
                <w:sz w:val="28"/>
                <w:szCs w:val="28"/>
              </w:rPr>
            </w:pPr>
          </w:p>
        </w:tc>
        <w:tc>
          <w:tcPr>
            <w:tcW w:w="840" w:type="dxa"/>
          </w:tcPr>
          <w:p w14:paraId="3B8DF246">
            <w:pPr>
              <w:spacing w:line="360" w:lineRule="auto"/>
              <w:jc w:val="center"/>
              <w:rPr>
                <w:rFonts w:hint="eastAsia" w:ascii="宋体" w:hAnsi="宋体" w:eastAsia="宋体" w:cs="宋体"/>
                <w:sz w:val="28"/>
                <w:szCs w:val="28"/>
              </w:rPr>
            </w:pPr>
          </w:p>
        </w:tc>
        <w:tc>
          <w:tcPr>
            <w:tcW w:w="840" w:type="dxa"/>
          </w:tcPr>
          <w:p w14:paraId="4F94343B">
            <w:pPr>
              <w:spacing w:line="360" w:lineRule="auto"/>
              <w:jc w:val="center"/>
              <w:rPr>
                <w:rFonts w:hint="eastAsia" w:ascii="宋体" w:hAnsi="宋体" w:eastAsia="宋体" w:cs="宋体"/>
                <w:sz w:val="28"/>
                <w:szCs w:val="28"/>
              </w:rPr>
            </w:pPr>
          </w:p>
        </w:tc>
        <w:tc>
          <w:tcPr>
            <w:tcW w:w="735" w:type="dxa"/>
          </w:tcPr>
          <w:p w14:paraId="03A49C3F">
            <w:pPr>
              <w:spacing w:line="360" w:lineRule="auto"/>
              <w:jc w:val="center"/>
              <w:rPr>
                <w:rFonts w:hint="eastAsia" w:ascii="宋体" w:hAnsi="宋体" w:eastAsia="宋体" w:cs="宋体"/>
                <w:sz w:val="28"/>
                <w:szCs w:val="28"/>
              </w:rPr>
            </w:pPr>
          </w:p>
        </w:tc>
        <w:tc>
          <w:tcPr>
            <w:tcW w:w="945" w:type="dxa"/>
          </w:tcPr>
          <w:p w14:paraId="5D0AC413">
            <w:pPr>
              <w:spacing w:line="360" w:lineRule="auto"/>
              <w:jc w:val="center"/>
              <w:rPr>
                <w:rFonts w:hint="eastAsia" w:ascii="宋体" w:hAnsi="宋体" w:eastAsia="宋体" w:cs="宋体"/>
                <w:sz w:val="28"/>
                <w:szCs w:val="28"/>
              </w:rPr>
            </w:pPr>
          </w:p>
        </w:tc>
      </w:tr>
      <w:tr w14:paraId="14931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06DF8D4">
            <w:pPr>
              <w:spacing w:line="360" w:lineRule="auto"/>
              <w:jc w:val="center"/>
              <w:rPr>
                <w:rFonts w:hint="eastAsia" w:ascii="宋体" w:hAnsi="宋体" w:eastAsia="宋体" w:cs="宋体"/>
                <w:sz w:val="28"/>
                <w:szCs w:val="28"/>
              </w:rPr>
            </w:pPr>
          </w:p>
        </w:tc>
        <w:tc>
          <w:tcPr>
            <w:tcW w:w="1155" w:type="dxa"/>
          </w:tcPr>
          <w:p w14:paraId="15EF942B">
            <w:pPr>
              <w:spacing w:line="360" w:lineRule="auto"/>
              <w:jc w:val="center"/>
              <w:rPr>
                <w:rFonts w:hint="eastAsia" w:ascii="宋体" w:hAnsi="宋体" w:eastAsia="宋体" w:cs="宋体"/>
                <w:sz w:val="28"/>
                <w:szCs w:val="28"/>
              </w:rPr>
            </w:pPr>
          </w:p>
        </w:tc>
        <w:tc>
          <w:tcPr>
            <w:tcW w:w="1050" w:type="dxa"/>
          </w:tcPr>
          <w:p w14:paraId="2313E89C">
            <w:pPr>
              <w:spacing w:line="360" w:lineRule="auto"/>
              <w:jc w:val="center"/>
              <w:rPr>
                <w:rFonts w:hint="eastAsia" w:ascii="宋体" w:hAnsi="宋体" w:eastAsia="宋体" w:cs="宋体"/>
                <w:sz w:val="28"/>
                <w:szCs w:val="28"/>
              </w:rPr>
            </w:pPr>
          </w:p>
        </w:tc>
        <w:tc>
          <w:tcPr>
            <w:tcW w:w="630" w:type="dxa"/>
          </w:tcPr>
          <w:p w14:paraId="4DCF6F97">
            <w:pPr>
              <w:spacing w:line="360" w:lineRule="auto"/>
              <w:jc w:val="center"/>
              <w:rPr>
                <w:rFonts w:hint="eastAsia" w:ascii="宋体" w:hAnsi="宋体" w:eastAsia="宋体" w:cs="宋体"/>
                <w:sz w:val="28"/>
                <w:szCs w:val="28"/>
              </w:rPr>
            </w:pPr>
          </w:p>
        </w:tc>
        <w:tc>
          <w:tcPr>
            <w:tcW w:w="525" w:type="dxa"/>
          </w:tcPr>
          <w:p w14:paraId="29F8DDEB">
            <w:pPr>
              <w:spacing w:line="360" w:lineRule="auto"/>
              <w:jc w:val="center"/>
              <w:rPr>
                <w:rFonts w:hint="eastAsia" w:ascii="宋体" w:hAnsi="宋体" w:eastAsia="宋体" w:cs="宋体"/>
                <w:sz w:val="28"/>
                <w:szCs w:val="28"/>
              </w:rPr>
            </w:pPr>
          </w:p>
        </w:tc>
        <w:tc>
          <w:tcPr>
            <w:tcW w:w="735" w:type="dxa"/>
          </w:tcPr>
          <w:p w14:paraId="4B664B4D">
            <w:pPr>
              <w:spacing w:line="360" w:lineRule="auto"/>
              <w:jc w:val="center"/>
              <w:rPr>
                <w:rFonts w:hint="eastAsia" w:ascii="宋体" w:hAnsi="宋体" w:eastAsia="宋体" w:cs="宋体"/>
                <w:sz w:val="28"/>
                <w:szCs w:val="28"/>
              </w:rPr>
            </w:pPr>
          </w:p>
        </w:tc>
        <w:tc>
          <w:tcPr>
            <w:tcW w:w="840" w:type="dxa"/>
          </w:tcPr>
          <w:p w14:paraId="2E639507">
            <w:pPr>
              <w:spacing w:line="360" w:lineRule="auto"/>
              <w:jc w:val="center"/>
              <w:rPr>
                <w:rFonts w:hint="eastAsia" w:ascii="宋体" w:hAnsi="宋体" w:eastAsia="宋体" w:cs="宋体"/>
                <w:sz w:val="28"/>
                <w:szCs w:val="28"/>
              </w:rPr>
            </w:pPr>
          </w:p>
        </w:tc>
        <w:tc>
          <w:tcPr>
            <w:tcW w:w="840" w:type="dxa"/>
          </w:tcPr>
          <w:p w14:paraId="3D58EF08">
            <w:pPr>
              <w:spacing w:line="360" w:lineRule="auto"/>
              <w:jc w:val="center"/>
              <w:rPr>
                <w:rFonts w:hint="eastAsia" w:ascii="宋体" w:hAnsi="宋体" w:eastAsia="宋体" w:cs="宋体"/>
                <w:sz w:val="28"/>
                <w:szCs w:val="28"/>
              </w:rPr>
            </w:pPr>
          </w:p>
        </w:tc>
        <w:tc>
          <w:tcPr>
            <w:tcW w:w="735" w:type="dxa"/>
          </w:tcPr>
          <w:p w14:paraId="17D6D64F">
            <w:pPr>
              <w:spacing w:line="360" w:lineRule="auto"/>
              <w:jc w:val="center"/>
              <w:rPr>
                <w:rFonts w:hint="eastAsia" w:ascii="宋体" w:hAnsi="宋体" w:eastAsia="宋体" w:cs="宋体"/>
                <w:sz w:val="28"/>
                <w:szCs w:val="28"/>
              </w:rPr>
            </w:pPr>
          </w:p>
        </w:tc>
        <w:tc>
          <w:tcPr>
            <w:tcW w:w="945" w:type="dxa"/>
          </w:tcPr>
          <w:p w14:paraId="27E8445B">
            <w:pPr>
              <w:spacing w:line="360" w:lineRule="auto"/>
              <w:jc w:val="center"/>
              <w:rPr>
                <w:rFonts w:hint="eastAsia" w:ascii="宋体" w:hAnsi="宋体" w:eastAsia="宋体" w:cs="宋体"/>
                <w:sz w:val="28"/>
                <w:szCs w:val="28"/>
              </w:rPr>
            </w:pPr>
          </w:p>
        </w:tc>
      </w:tr>
      <w:tr w14:paraId="33D4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B0A58C8">
            <w:pPr>
              <w:spacing w:line="360" w:lineRule="auto"/>
              <w:jc w:val="center"/>
              <w:rPr>
                <w:rFonts w:hint="eastAsia" w:ascii="宋体" w:hAnsi="宋体" w:eastAsia="宋体" w:cs="宋体"/>
                <w:sz w:val="28"/>
                <w:szCs w:val="28"/>
              </w:rPr>
            </w:pPr>
          </w:p>
        </w:tc>
        <w:tc>
          <w:tcPr>
            <w:tcW w:w="1155" w:type="dxa"/>
          </w:tcPr>
          <w:p w14:paraId="06FCD224">
            <w:pPr>
              <w:spacing w:line="360" w:lineRule="auto"/>
              <w:jc w:val="center"/>
              <w:rPr>
                <w:rFonts w:hint="eastAsia" w:ascii="宋体" w:hAnsi="宋体" w:eastAsia="宋体" w:cs="宋体"/>
                <w:sz w:val="28"/>
                <w:szCs w:val="28"/>
              </w:rPr>
            </w:pPr>
          </w:p>
        </w:tc>
        <w:tc>
          <w:tcPr>
            <w:tcW w:w="1050" w:type="dxa"/>
          </w:tcPr>
          <w:p w14:paraId="2C166EB2">
            <w:pPr>
              <w:spacing w:line="360" w:lineRule="auto"/>
              <w:jc w:val="center"/>
              <w:rPr>
                <w:rFonts w:hint="eastAsia" w:ascii="宋体" w:hAnsi="宋体" w:eastAsia="宋体" w:cs="宋体"/>
                <w:sz w:val="28"/>
                <w:szCs w:val="28"/>
              </w:rPr>
            </w:pPr>
          </w:p>
        </w:tc>
        <w:tc>
          <w:tcPr>
            <w:tcW w:w="630" w:type="dxa"/>
          </w:tcPr>
          <w:p w14:paraId="73A15E4E">
            <w:pPr>
              <w:spacing w:line="360" w:lineRule="auto"/>
              <w:jc w:val="center"/>
              <w:rPr>
                <w:rFonts w:hint="eastAsia" w:ascii="宋体" w:hAnsi="宋体" w:eastAsia="宋体" w:cs="宋体"/>
                <w:sz w:val="28"/>
                <w:szCs w:val="28"/>
              </w:rPr>
            </w:pPr>
          </w:p>
        </w:tc>
        <w:tc>
          <w:tcPr>
            <w:tcW w:w="525" w:type="dxa"/>
          </w:tcPr>
          <w:p w14:paraId="10ABC6A8">
            <w:pPr>
              <w:spacing w:line="360" w:lineRule="auto"/>
              <w:jc w:val="center"/>
              <w:rPr>
                <w:rFonts w:hint="eastAsia" w:ascii="宋体" w:hAnsi="宋体" w:eastAsia="宋体" w:cs="宋体"/>
                <w:sz w:val="28"/>
                <w:szCs w:val="28"/>
              </w:rPr>
            </w:pPr>
          </w:p>
        </w:tc>
        <w:tc>
          <w:tcPr>
            <w:tcW w:w="735" w:type="dxa"/>
          </w:tcPr>
          <w:p w14:paraId="28F0D94C">
            <w:pPr>
              <w:spacing w:line="360" w:lineRule="auto"/>
              <w:jc w:val="center"/>
              <w:rPr>
                <w:rFonts w:hint="eastAsia" w:ascii="宋体" w:hAnsi="宋体" w:eastAsia="宋体" w:cs="宋体"/>
                <w:sz w:val="28"/>
                <w:szCs w:val="28"/>
              </w:rPr>
            </w:pPr>
          </w:p>
        </w:tc>
        <w:tc>
          <w:tcPr>
            <w:tcW w:w="840" w:type="dxa"/>
          </w:tcPr>
          <w:p w14:paraId="3ACD1047">
            <w:pPr>
              <w:spacing w:line="360" w:lineRule="auto"/>
              <w:jc w:val="center"/>
              <w:rPr>
                <w:rFonts w:hint="eastAsia" w:ascii="宋体" w:hAnsi="宋体" w:eastAsia="宋体" w:cs="宋体"/>
                <w:sz w:val="28"/>
                <w:szCs w:val="28"/>
              </w:rPr>
            </w:pPr>
          </w:p>
        </w:tc>
        <w:tc>
          <w:tcPr>
            <w:tcW w:w="840" w:type="dxa"/>
          </w:tcPr>
          <w:p w14:paraId="67F63B33">
            <w:pPr>
              <w:spacing w:line="360" w:lineRule="auto"/>
              <w:jc w:val="center"/>
              <w:rPr>
                <w:rFonts w:hint="eastAsia" w:ascii="宋体" w:hAnsi="宋体" w:eastAsia="宋体" w:cs="宋体"/>
                <w:sz w:val="28"/>
                <w:szCs w:val="28"/>
              </w:rPr>
            </w:pPr>
          </w:p>
        </w:tc>
        <w:tc>
          <w:tcPr>
            <w:tcW w:w="735" w:type="dxa"/>
          </w:tcPr>
          <w:p w14:paraId="6C49F156">
            <w:pPr>
              <w:spacing w:line="360" w:lineRule="auto"/>
              <w:jc w:val="center"/>
              <w:rPr>
                <w:rFonts w:hint="eastAsia" w:ascii="宋体" w:hAnsi="宋体" w:eastAsia="宋体" w:cs="宋体"/>
                <w:sz w:val="28"/>
                <w:szCs w:val="28"/>
              </w:rPr>
            </w:pPr>
          </w:p>
        </w:tc>
        <w:tc>
          <w:tcPr>
            <w:tcW w:w="945" w:type="dxa"/>
          </w:tcPr>
          <w:p w14:paraId="6BBC59F7">
            <w:pPr>
              <w:spacing w:line="360" w:lineRule="auto"/>
              <w:jc w:val="center"/>
              <w:rPr>
                <w:rFonts w:hint="eastAsia" w:ascii="宋体" w:hAnsi="宋体" w:eastAsia="宋体" w:cs="宋体"/>
                <w:sz w:val="28"/>
                <w:szCs w:val="28"/>
              </w:rPr>
            </w:pPr>
          </w:p>
        </w:tc>
      </w:tr>
      <w:tr w14:paraId="4ABD4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059C920">
            <w:pPr>
              <w:spacing w:line="360" w:lineRule="auto"/>
              <w:jc w:val="center"/>
              <w:rPr>
                <w:rFonts w:hint="eastAsia" w:ascii="宋体" w:hAnsi="宋体" w:eastAsia="宋体" w:cs="宋体"/>
                <w:sz w:val="28"/>
                <w:szCs w:val="28"/>
              </w:rPr>
            </w:pPr>
          </w:p>
        </w:tc>
        <w:tc>
          <w:tcPr>
            <w:tcW w:w="1155" w:type="dxa"/>
          </w:tcPr>
          <w:p w14:paraId="3F85CAC2">
            <w:pPr>
              <w:spacing w:line="360" w:lineRule="auto"/>
              <w:jc w:val="center"/>
              <w:rPr>
                <w:rFonts w:hint="eastAsia" w:ascii="宋体" w:hAnsi="宋体" w:eastAsia="宋体" w:cs="宋体"/>
                <w:sz w:val="28"/>
                <w:szCs w:val="28"/>
              </w:rPr>
            </w:pPr>
          </w:p>
        </w:tc>
        <w:tc>
          <w:tcPr>
            <w:tcW w:w="1050" w:type="dxa"/>
          </w:tcPr>
          <w:p w14:paraId="0AC05151">
            <w:pPr>
              <w:spacing w:line="360" w:lineRule="auto"/>
              <w:jc w:val="center"/>
              <w:rPr>
                <w:rFonts w:hint="eastAsia" w:ascii="宋体" w:hAnsi="宋体" w:eastAsia="宋体" w:cs="宋体"/>
                <w:sz w:val="28"/>
                <w:szCs w:val="28"/>
              </w:rPr>
            </w:pPr>
          </w:p>
        </w:tc>
        <w:tc>
          <w:tcPr>
            <w:tcW w:w="630" w:type="dxa"/>
          </w:tcPr>
          <w:p w14:paraId="0EFC45EE">
            <w:pPr>
              <w:spacing w:line="360" w:lineRule="auto"/>
              <w:jc w:val="center"/>
              <w:rPr>
                <w:rFonts w:hint="eastAsia" w:ascii="宋体" w:hAnsi="宋体" w:eastAsia="宋体" w:cs="宋体"/>
                <w:sz w:val="28"/>
                <w:szCs w:val="28"/>
              </w:rPr>
            </w:pPr>
          </w:p>
        </w:tc>
        <w:tc>
          <w:tcPr>
            <w:tcW w:w="525" w:type="dxa"/>
          </w:tcPr>
          <w:p w14:paraId="7F136318">
            <w:pPr>
              <w:spacing w:line="360" w:lineRule="auto"/>
              <w:jc w:val="center"/>
              <w:rPr>
                <w:rFonts w:hint="eastAsia" w:ascii="宋体" w:hAnsi="宋体" w:eastAsia="宋体" w:cs="宋体"/>
                <w:sz w:val="28"/>
                <w:szCs w:val="28"/>
              </w:rPr>
            </w:pPr>
          </w:p>
        </w:tc>
        <w:tc>
          <w:tcPr>
            <w:tcW w:w="735" w:type="dxa"/>
          </w:tcPr>
          <w:p w14:paraId="25CD934B">
            <w:pPr>
              <w:spacing w:line="360" w:lineRule="auto"/>
              <w:jc w:val="center"/>
              <w:rPr>
                <w:rFonts w:hint="eastAsia" w:ascii="宋体" w:hAnsi="宋体" w:eastAsia="宋体" w:cs="宋体"/>
                <w:sz w:val="28"/>
                <w:szCs w:val="28"/>
              </w:rPr>
            </w:pPr>
          </w:p>
        </w:tc>
        <w:tc>
          <w:tcPr>
            <w:tcW w:w="840" w:type="dxa"/>
          </w:tcPr>
          <w:p w14:paraId="5A987C96">
            <w:pPr>
              <w:spacing w:line="360" w:lineRule="auto"/>
              <w:jc w:val="center"/>
              <w:rPr>
                <w:rFonts w:hint="eastAsia" w:ascii="宋体" w:hAnsi="宋体" w:eastAsia="宋体" w:cs="宋体"/>
                <w:sz w:val="28"/>
                <w:szCs w:val="28"/>
              </w:rPr>
            </w:pPr>
          </w:p>
        </w:tc>
        <w:tc>
          <w:tcPr>
            <w:tcW w:w="840" w:type="dxa"/>
          </w:tcPr>
          <w:p w14:paraId="26F06641">
            <w:pPr>
              <w:spacing w:line="360" w:lineRule="auto"/>
              <w:jc w:val="center"/>
              <w:rPr>
                <w:rFonts w:hint="eastAsia" w:ascii="宋体" w:hAnsi="宋体" w:eastAsia="宋体" w:cs="宋体"/>
                <w:sz w:val="28"/>
                <w:szCs w:val="28"/>
              </w:rPr>
            </w:pPr>
          </w:p>
        </w:tc>
        <w:tc>
          <w:tcPr>
            <w:tcW w:w="735" w:type="dxa"/>
          </w:tcPr>
          <w:p w14:paraId="6F8F8455">
            <w:pPr>
              <w:spacing w:line="360" w:lineRule="auto"/>
              <w:jc w:val="center"/>
              <w:rPr>
                <w:rFonts w:hint="eastAsia" w:ascii="宋体" w:hAnsi="宋体" w:eastAsia="宋体" w:cs="宋体"/>
                <w:sz w:val="28"/>
                <w:szCs w:val="28"/>
              </w:rPr>
            </w:pPr>
          </w:p>
        </w:tc>
        <w:tc>
          <w:tcPr>
            <w:tcW w:w="945" w:type="dxa"/>
          </w:tcPr>
          <w:p w14:paraId="6FD49DF9">
            <w:pPr>
              <w:spacing w:line="360" w:lineRule="auto"/>
              <w:jc w:val="center"/>
              <w:rPr>
                <w:rFonts w:hint="eastAsia" w:ascii="宋体" w:hAnsi="宋体" w:eastAsia="宋体" w:cs="宋体"/>
                <w:sz w:val="28"/>
                <w:szCs w:val="28"/>
              </w:rPr>
            </w:pPr>
          </w:p>
        </w:tc>
      </w:tr>
      <w:tr w14:paraId="2E30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A179D51">
            <w:pPr>
              <w:spacing w:line="360" w:lineRule="auto"/>
              <w:jc w:val="center"/>
              <w:rPr>
                <w:rFonts w:hint="eastAsia" w:ascii="宋体" w:hAnsi="宋体" w:eastAsia="宋体" w:cs="宋体"/>
                <w:sz w:val="28"/>
                <w:szCs w:val="28"/>
              </w:rPr>
            </w:pPr>
          </w:p>
        </w:tc>
        <w:tc>
          <w:tcPr>
            <w:tcW w:w="1155" w:type="dxa"/>
          </w:tcPr>
          <w:p w14:paraId="56FB152D">
            <w:pPr>
              <w:spacing w:line="360" w:lineRule="auto"/>
              <w:jc w:val="center"/>
              <w:rPr>
                <w:rFonts w:hint="eastAsia" w:ascii="宋体" w:hAnsi="宋体" w:eastAsia="宋体" w:cs="宋体"/>
                <w:sz w:val="28"/>
                <w:szCs w:val="28"/>
              </w:rPr>
            </w:pPr>
          </w:p>
        </w:tc>
        <w:tc>
          <w:tcPr>
            <w:tcW w:w="1050" w:type="dxa"/>
          </w:tcPr>
          <w:p w14:paraId="796836A3">
            <w:pPr>
              <w:spacing w:line="360" w:lineRule="auto"/>
              <w:jc w:val="center"/>
              <w:rPr>
                <w:rFonts w:hint="eastAsia" w:ascii="宋体" w:hAnsi="宋体" w:eastAsia="宋体" w:cs="宋体"/>
                <w:sz w:val="28"/>
                <w:szCs w:val="28"/>
              </w:rPr>
            </w:pPr>
          </w:p>
        </w:tc>
        <w:tc>
          <w:tcPr>
            <w:tcW w:w="630" w:type="dxa"/>
          </w:tcPr>
          <w:p w14:paraId="2E04FC82">
            <w:pPr>
              <w:spacing w:line="360" w:lineRule="auto"/>
              <w:jc w:val="center"/>
              <w:rPr>
                <w:rFonts w:hint="eastAsia" w:ascii="宋体" w:hAnsi="宋体" w:eastAsia="宋体" w:cs="宋体"/>
                <w:sz w:val="28"/>
                <w:szCs w:val="28"/>
              </w:rPr>
            </w:pPr>
          </w:p>
        </w:tc>
        <w:tc>
          <w:tcPr>
            <w:tcW w:w="525" w:type="dxa"/>
          </w:tcPr>
          <w:p w14:paraId="1057D348">
            <w:pPr>
              <w:spacing w:line="360" w:lineRule="auto"/>
              <w:jc w:val="center"/>
              <w:rPr>
                <w:rFonts w:hint="eastAsia" w:ascii="宋体" w:hAnsi="宋体" w:eastAsia="宋体" w:cs="宋体"/>
                <w:sz w:val="28"/>
                <w:szCs w:val="28"/>
              </w:rPr>
            </w:pPr>
          </w:p>
        </w:tc>
        <w:tc>
          <w:tcPr>
            <w:tcW w:w="735" w:type="dxa"/>
          </w:tcPr>
          <w:p w14:paraId="145132A6">
            <w:pPr>
              <w:spacing w:line="360" w:lineRule="auto"/>
              <w:jc w:val="center"/>
              <w:rPr>
                <w:rFonts w:hint="eastAsia" w:ascii="宋体" w:hAnsi="宋体" w:eastAsia="宋体" w:cs="宋体"/>
                <w:sz w:val="28"/>
                <w:szCs w:val="28"/>
              </w:rPr>
            </w:pPr>
          </w:p>
        </w:tc>
        <w:tc>
          <w:tcPr>
            <w:tcW w:w="840" w:type="dxa"/>
          </w:tcPr>
          <w:p w14:paraId="0A10B458">
            <w:pPr>
              <w:spacing w:line="360" w:lineRule="auto"/>
              <w:jc w:val="center"/>
              <w:rPr>
                <w:rFonts w:hint="eastAsia" w:ascii="宋体" w:hAnsi="宋体" w:eastAsia="宋体" w:cs="宋体"/>
                <w:sz w:val="28"/>
                <w:szCs w:val="28"/>
              </w:rPr>
            </w:pPr>
          </w:p>
        </w:tc>
        <w:tc>
          <w:tcPr>
            <w:tcW w:w="840" w:type="dxa"/>
          </w:tcPr>
          <w:p w14:paraId="3DE343A0">
            <w:pPr>
              <w:spacing w:line="360" w:lineRule="auto"/>
              <w:jc w:val="center"/>
              <w:rPr>
                <w:rFonts w:hint="eastAsia" w:ascii="宋体" w:hAnsi="宋体" w:eastAsia="宋体" w:cs="宋体"/>
                <w:sz w:val="28"/>
                <w:szCs w:val="28"/>
              </w:rPr>
            </w:pPr>
          </w:p>
        </w:tc>
        <w:tc>
          <w:tcPr>
            <w:tcW w:w="735" w:type="dxa"/>
          </w:tcPr>
          <w:p w14:paraId="52A618AE">
            <w:pPr>
              <w:spacing w:line="360" w:lineRule="auto"/>
              <w:jc w:val="center"/>
              <w:rPr>
                <w:rFonts w:hint="eastAsia" w:ascii="宋体" w:hAnsi="宋体" w:eastAsia="宋体" w:cs="宋体"/>
                <w:sz w:val="28"/>
                <w:szCs w:val="28"/>
              </w:rPr>
            </w:pPr>
          </w:p>
        </w:tc>
        <w:tc>
          <w:tcPr>
            <w:tcW w:w="945" w:type="dxa"/>
          </w:tcPr>
          <w:p w14:paraId="490DB6F5">
            <w:pPr>
              <w:spacing w:line="360" w:lineRule="auto"/>
              <w:jc w:val="center"/>
              <w:rPr>
                <w:rFonts w:hint="eastAsia" w:ascii="宋体" w:hAnsi="宋体" w:eastAsia="宋体" w:cs="宋体"/>
                <w:sz w:val="28"/>
                <w:szCs w:val="28"/>
              </w:rPr>
            </w:pPr>
          </w:p>
        </w:tc>
      </w:tr>
      <w:tr w14:paraId="61088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DD598F4">
            <w:pPr>
              <w:spacing w:line="360" w:lineRule="auto"/>
              <w:jc w:val="center"/>
              <w:rPr>
                <w:rFonts w:hint="eastAsia" w:ascii="宋体" w:hAnsi="宋体" w:eastAsia="宋体" w:cs="宋体"/>
                <w:sz w:val="28"/>
                <w:szCs w:val="28"/>
              </w:rPr>
            </w:pPr>
          </w:p>
        </w:tc>
        <w:tc>
          <w:tcPr>
            <w:tcW w:w="1155" w:type="dxa"/>
          </w:tcPr>
          <w:p w14:paraId="26597D51">
            <w:pPr>
              <w:spacing w:line="360" w:lineRule="auto"/>
              <w:jc w:val="center"/>
              <w:rPr>
                <w:rFonts w:hint="eastAsia" w:ascii="宋体" w:hAnsi="宋体" w:eastAsia="宋体" w:cs="宋体"/>
                <w:sz w:val="28"/>
                <w:szCs w:val="28"/>
              </w:rPr>
            </w:pPr>
          </w:p>
        </w:tc>
        <w:tc>
          <w:tcPr>
            <w:tcW w:w="1050" w:type="dxa"/>
          </w:tcPr>
          <w:p w14:paraId="52295A80">
            <w:pPr>
              <w:spacing w:line="360" w:lineRule="auto"/>
              <w:jc w:val="center"/>
              <w:rPr>
                <w:rFonts w:hint="eastAsia" w:ascii="宋体" w:hAnsi="宋体" w:eastAsia="宋体" w:cs="宋体"/>
                <w:sz w:val="28"/>
                <w:szCs w:val="28"/>
              </w:rPr>
            </w:pPr>
          </w:p>
        </w:tc>
        <w:tc>
          <w:tcPr>
            <w:tcW w:w="630" w:type="dxa"/>
          </w:tcPr>
          <w:p w14:paraId="1781C4AF">
            <w:pPr>
              <w:spacing w:line="360" w:lineRule="auto"/>
              <w:jc w:val="center"/>
              <w:rPr>
                <w:rFonts w:hint="eastAsia" w:ascii="宋体" w:hAnsi="宋体" w:eastAsia="宋体" w:cs="宋体"/>
                <w:sz w:val="28"/>
                <w:szCs w:val="28"/>
              </w:rPr>
            </w:pPr>
          </w:p>
        </w:tc>
        <w:tc>
          <w:tcPr>
            <w:tcW w:w="525" w:type="dxa"/>
          </w:tcPr>
          <w:p w14:paraId="68631B6E">
            <w:pPr>
              <w:spacing w:line="360" w:lineRule="auto"/>
              <w:jc w:val="center"/>
              <w:rPr>
                <w:rFonts w:hint="eastAsia" w:ascii="宋体" w:hAnsi="宋体" w:eastAsia="宋体" w:cs="宋体"/>
                <w:sz w:val="28"/>
                <w:szCs w:val="28"/>
              </w:rPr>
            </w:pPr>
          </w:p>
        </w:tc>
        <w:tc>
          <w:tcPr>
            <w:tcW w:w="735" w:type="dxa"/>
          </w:tcPr>
          <w:p w14:paraId="3D202B18">
            <w:pPr>
              <w:spacing w:line="360" w:lineRule="auto"/>
              <w:jc w:val="center"/>
              <w:rPr>
                <w:rFonts w:hint="eastAsia" w:ascii="宋体" w:hAnsi="宋体" w:eastAsia="宋体" w:cs="宋体"/>
                <w:sz w:val="28"/>
                <w:szCs w:val="28"/>
              </w:rPr>
            </w:pPr>
          </w:p>
        </w:tc>
        <w:tc>
          <w:tcPr>
            <w:tcW w:w="840" w:type="dxa"/>
          </w:tcPr>
          <w:p w14:paraId="16221349">
            <w:pPr>
              <w:spacing w:line="360" w:lineRule="auto"/>
              <w:jc w:val="center"/>
              <w:rPr>
                <w:rFonts w:hint="eastAsia" w:ascii="宋体" w:hAnsi="宋体" w:eastAsia="宋体" w:cs="宋体"/>
                <w:sz w:val="28"/>
                <w:szCs w:val="28"/>
              </w:rPr>
            </w:pPr>
          </w:p>
        </w:tc>
        <w:tc>
          <w:tcPr>
            <w:tcW w:w="840" w:type="dxa"/>
          </w:tcPr>
          <w:p w14:paraId="344A89A6">
            <w:pPr>
              <w:spacing w:line="360" w:lineRule="auto"/>
              <w:jc w:val="center"/>
              <w:rPr>
                <w:rFonts w:hint="eastAsia" w:ascii="宋体" w:hAnsi="宋体" w:eastAsia="宋体" w:cs="宋体"/>
                <w:sz w:val="28"/>
                <w:szCs w:val="28"/>
              </w:rPr>
            </w:pPr>
          </w:p>
        </w:tc>
        <w:tc>
          <w:tcPr>
            <w:tcW w:w="735" w:type="dxa"/>
          </w:tcPr>
          <w:p w14:paraId="2A8F6CA3">
            <w:pPr>
              <w:spacing w:line="360" w:lineRule="auto"/>
              <w:jc w:val="center"/>
              <w:rPr>
                <w:rFonts w:hint="eastAsia" w:ascii="宋体" w:hAnsi="宋体" w:eastAsia="宋体" w:cs="宋体"/>
                <w:sz w:val="28"/>
                <w:szCs w:val="28"/>
              </w:rPr>
            </w:pPr>
          </w:p>
        </w:tc>
        <w:tc>
          <w:tcPr>
            <w:tcW w:w="945" w:type="dxa"/>
          </w:tcPr>
          <w:p w14:paraId="5B47800E">
            <w:pPr>
              <w:spacing w:line="360" w:lineRule="auto"/>
              <w:jc w:val="center"/>
              <w:rPr>
                <w:rFonts w:hint="eastAsia" w:ascii="宋体" w:hAnsi="宋体" w:eastAsia="宋体" w:cs="宋体"/>
                <w:sz w:val="28"/>
                <w:szCs w:val="28"/>
              </w:rPr>
            </w:pPr>
          </w:p>
        </w:tc>
      </w:tr>
    </w:tbl>
    <w:p w14:paraId="1F2D3D3E">
      <w:pPr>
        <w:pStyle w:val="92"/>
        <w:spacing w:before="120" w:after="120"/>
        <w:rPr>
          <w:rFonts w:hint="eastAsia" w:ascii="宋体" w:hAnsi="宋体" w:eastAsia="宋体" w:cs="宋体"/>
          <w:sz w:val="24"/>
          <w:szCs w:val="24"/>
        </w:rPr>
      </w:pPr>
      <w:r>
        <w:rPr>
          <w:rFonts w:hint="eastAsia" w:ascii="宋体" w:hAnsi="宋体" w:eastAsia="宋体" w:cs="宋体"/>
        </w:rPr>
        <w:br w:type="page"/>
      </w:r>
      <w:bookmarkStart w:id="582" w:name="_Toc497214124"/>
      <w:bookmarkStart w:id="583" w:name="_Toc135239977"/>
      <w:bookmarkStart w:id="584" w:name="_Toc22031751"/>
      <w:bookmarkStart w:id="585" w:name="_Toc485323230"/>
      <w:bookmarkStart w:id="586" w:name="_Toc486580456"/>
      <w:bookmarkStart w:id="587" w:name="_Toc497584565"/>
      <w:bookmarkStart w:id="588" w:name="_Toc489280262"/>
      <w:r>
        <w:rPr>
          <w:rFonts w:hint="eastAsia" w:ascii="宋体" w:hAnsi="宋体" w:eastAsia="宋体" w:cs="宋体"/>
          <w:sz w:val="24"/>
          <w:szCs w:val="24"/>
        </w:rPr>
        <w:t>附件四：发包人提供的材料和工程设备一览表</w:t>
      </w:r>
      <w:bookmarkEnd w:id="582"/>
      <w:bookmarkEnd w:id="583"/>
      <w:bookmarkEnd w:id="584"/>
      <w:bookmarkEnd w:id="585"/>
      <w:bookmarkEnd w:id="586"/>
      <w:bookmarkEnd w:id="587"/>
      <w:bookmarkEnd w:id="588"/>
    </w:p>
    <w:p w14:paraId="259332C4">
      <w:pPr>
        <w:spacing w:line="360" w:lineRule="auto"/>
        <w:jc w:val="center"/>
        <w:rPr>
          <w:rFonts w:hint="eastAsia" w:ascii="宋体" w:hAnsi="宋体" w:eastAsia="宋体" w:cs="宋体"/>
          <w:b/>
          <w:sz w:val="28"/>
        </w:rPr>
      </w:pPr>
      <w:r>
        <w:rPr>
          <w:rFonts w:hint="eastAsia" w:ascii="宋体" w:hAnsi="宋体" w:eastAsia="宋体" w:cs="宋体"/>
          <w:b/>
          <w:sz w:val="28"/>
        </w:rPr>
        <w:t>发包人提供的材料和工程设备一览表</w:t>
      </w:r>
    </w:p>
    <w:tbl>
      <w:tblPr>
        <w:tblStyle w:val="44"/>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0C9E0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1B0F485F">
            <w:pPr>
              <w:spacing w:line="360" w:lineRule="auto"/>
              <w:jc w:val="center"/>
              <w:rPr>
                <w:rFonts w:hint="eastAsia" w:ascii="宋体" w:hAnsi="宋体" w:eastAsia="宋体" w:cs="宋体"/>
              </w:rPr>
            </w:pPr>
            <w:r>
              <w:rPr>
                <w:rFonts w:hint="eastAsia" w:ascii="宋体" w:hAnsi="宋体" w:eastAsia="宋体" w:cs="宋体"/>
              </w:rPr>
              <w:t>序</w:t>
            </w:r>
          </w:p>
          <w:p w14:paraId="34581CB5">
            <w:pPr>
              <w:spacing w:line="360" w:lineRule="auto"/>
              <w:jc w:val="center"/>
              <w:rPr>
                <w:rFonts w:hint="eastAsia" w:ascii="宋体" w:hAnsi="宋体" w:eastAsia="宋体" w:cs="宋体"/>
              </w:rPr>
            </w:pPr>
            <w:r>
              <w:rPr>
                <w:rFonts w:hint="eastAsia" w:ascii="宋体" w:hAnsi="宋体" w:eastAsia="宋体" w:cs="宋体"/>
              </w:rPr>
              <w:t>号</w:t>
            </w:r>
          </w:p>
        </w:tc>
        <w:tc>
          <w:tcPr>
            <w:tcW w:w="1155" w:type="dxa"/>
            <w:vAlign w:val="center"/>
          </w:tcPr>
          <w:p w14:paraId="33522E70">
            <w:pPr>
              <w:spacing w:line="360" w:lineRule="auto"/>
              <w:jc w:val="center"/>
              <w:rPr>
                <w:rFonts w:hint="eastAsia" w:ascii="宋体" w:hAnsi="宋体" w:eastAsia="宋体" w:cs="宋体"/>
              </w:rPr>
            </w:pPr>
            <w:r>
              <w:rPr>
                <w:rFonts w:hint="eastAsia" w:ascii="宋体" w:hAnsi="宋体" w:eastAsia="宋体" w:cs="宋体"/>
              </w:rPr>
              <w:t>材料设备</w:t>
            </w:r>
          </w:p>
          <w:p w14:paraId="72CC3AA1">
            <w:pPr>
              <w:spacing w:line="360" w:lineRule="auto"/>
              <w:jc w:val="center"/>
              <w:rPr>
                <w:rFonts w:hint="eastAsia" w:ascii="宋体" w:hAnsi="宋体" w:eastAsia="宋体" w:cs="宋体"/>
              </w:rPr>
            </w:pPr>
            <w:r>
              <w:rPr>
                <w:rFonts w:hint="eastAsia" w:ascii="宋体" w:hAnsi="宋体" w:eastAsia="宋体" w:cs="宋体"/>
              </w:rPr>
              <w:t>名称</w:t>
            </w:r>
          </w:p>
        </w:tc>
        <w:tc>
          <w:tcPr>
            <w:tcW w:w="1050" w:type="dxa"/>
            <w:vAlign w:val="center"/>
          </w:tcPr>
          <w:p w14:paraId="1FF21851">
            <w:pPr>
              <w:spacing w:line="360" w:lineRule="auto"/>
              <w:jc w:val="center"/>
              <w:rPr>
                <w:rFonts w:hint="eastAsia" w:ascii="宋体" w:hAnsi="宋体" w:eastAsia="宋体" w:cs="宋体"/>
              </w:rPr>
            </w:pPr>
            <w:r>
              <w:rPr>
                <w:rFonts w:hint="eastAsia" w:ascii="宋体" w:hAnsi="宋体" w:eastAsia="宋体" w:cs="宋体"/>
              </w:rPr>
              <w:t>规格</w:t>
            </w:r>
          </w:p>
          <w:p w14:paraId="259BAF92">
            <w:pPr>
              <w:spacing w:line="360" w:lineRule="auto"/>
              <w:jc w:val="center"/>
              <w:rPr>
                <w:rFonts w:hint="eastAsia" w:ascii="宋体" w:hAnsi="宋体" w:eastAsia="宋体" w:cs="宋体"/>
              </w:rPr>
            </w:pPr>
            <w:r>
              <w:rPr>
                <w:rFonts w:hint="eastAsia" w:ascii="宋体" w:hAnsi="宋体" w:eastAsia="宋体" w:cs="宋体"/>
              </w:rPr>
              <w:t>型号</w:t>
            </w:r>
          </w:p>
        </w:tc>
        <w:tc>
          <w:tcPr>
            <w:tcW w:w="630" w:type="dxa"/>
            <w:vAlign w:val="center"/>
          </w:tcPr>
          <w:p w14:paraId="60AB4D34">
            <w:pPr>
              <w:spacing w:line="360" w:lineRule="auto"/>
              <w:jc w:val="center"/>
              <w:rPr>
                <w:rFonts w:hint="eastAsia" w:ascii="宋体" w:hAnsi="宋体" w:eastAsia="宋体" w:cs="宋体"/>
              </w:rPr>
            </w:pPr>
            <w:r>
              <w:rPr>
                <w:rFonts w:hint="eastAsia" w:ascii="宋体" w:hAnsi="宋体" w:eastAsia="宋体" w:cs="宋体"/>
              </w:rPr>
              <w:t>单</w:t>
            </w:r>
          </w:p>
          <w:p w14:paraId="26BDA393">
            <w:pPr>
              <w:spacing w:line="360" w:lineRule="auto"/>
              <w:jc w:val="center"/>
              <w:rPr>
                <w:rFonts w:hint="eastAsia" w:ascii="宋体" w:hAnsi="宋体" w:eastAsia="宋体" w:cs="宋体"/>
              </w:rPr>
            </w:pPr>
            <w:r>
              <w:rPr>
                <w:rFonts w:hint="eastAsia" w:ascii="宋体" w:hAnsi="宋体" w:eastAsia="宋体" w:cs="宋体"/>
              </w:rPr>
              <w:t>位</w:t>
            </w:r>
          </w:p>
        </w:tc>
        <w:tc>
          <w:tcPr>
            <w:tcW w:w="525" w:type="dxa"/>
            <w:vAlign w:val="center"/>
          </w:tcPr>
          <w:p w14:paraId="54391684">
            <w:pPr>
              <w:spacing w:line="360" w:lineRule="auto"/>
              <w:jc w:val="center"/>
              <w:rPr>
                <w:rFonts w:hint="eastAsia" w:ascii="宋体" w:hAnsi="宋体" w:eastAsia="宋体" w:cs="宋体"/>
              </w:rPr>
            </w:pPr>
            <w:r>
              <w:rPr>
                <w:rFonts w:hint="eastAsia" w:ascii="宋体" w:hAnsi="宋体" w:eastAsia="宋体" w:cs="宋体"/>
              </w:rPr>
              <w:t>数</w:t>
            </w:r>
          </w:p>
          <w:p w14:paraId="2D21B72C">
            <w:pPr>
              <w:spacing w:line="360" w:lineRule="auto"/>
              <w:jc w:val="center"/>
              <w:rPr>
                <w:rFonts w:hint="eastAsia" w:ascii="宋体" w:hAnsi="宋体" w:eastAsia="宋体" w:cs="宋体"/>
              </w:rPr>
            </w:pPr>
            <w:r>
              <w:rPr>
                <w:rFonts w:hint="eastAsia" w:ascii="宋体" w:hAnsi="宋体" w:eastAsia="宋体" w:cs="宋体"/>
              </w:rPr>
              <w:t>量</w:t>
            </w:r>
          </w:p>
        </w:tc>
        <w:tc>
          <w:tcPr>
            <w:tcW w:w="735" w:type="dxa"/>
            <w:vAlign w:val="center"/>
          </w:tcPr>
          <w:p w14:paraId="017CD813">
            <w:pPr>
              <w:spacing w:line="360" w:lineRule="auto"/>
              <w:jc w:val="center"/>
              <w:rPr>
                <w:rFonts w:hint="eastAsia" w:ascii="宋体" w:hAnsi="宋体" w:eastAsia="宋体" w:cs="宋体"/>
              </w:rPr>
            </w:pPr>
            <w:r>
              <w:rPr>
                <w:rFonts w:hint="eastAsia" w:ascii="宋体" w:hAnsi="宋体" w:eastAsia="宋体" w:cs="宋体"/>
              </w:rPr>
              <w:t>单</w:t>
            </w:r>
          </w:p>
          <w:p w14:paraId="2D79F026">
            <w:pPr>
              <w:spacing w:line="360" w:lineRule="auto"/>
              <w:jc w:val="center"/>
              <w:rPr>
                <w:rFonts w:hint="eastAsia" w:ascii="宋体" w:hAnsi="宋体" w:eastAsia="宋体" w:cs="宋体"/>
              </w:rPr>
            </w:pPr>
            <w:r>
              <w:rPr>
                <w:rFonts w:hint="eastAsia" w:ascii="宋体" w:hAnsi="宋体" w:eastAsia="宋体" w:cs="宋体"/>
              </w:rPr>
              <w:t>价</w:t>
            </w:r>
          </w:p>
        </w:tc>
        <w:tc>
          <w:tcPr>
            <w:tcW w:w="840" w:type="dxa"/>
            <w:vAlign w:val="center"/>
          </w:tcPr>
          <w:p w14:paraId="39FEB1D4">
            <w:pPr>
              <w:spacing w:line="360" w:lineRule="auto"/>
              <w:jc w:val="center"/>
              <w:rPr>
                <w:rFonts w:hint="eastAsia" w:ascii="宋体" w:hAnsi="宋体" w:eastAsia="宋体" w:cs="宋体"/>
              </w:rPr>
            </w:pPr>
            <w:r>
              <w:rPr>
                <w:rFonts w:hint="eastAsia" w:ascii="宋体" w:hAnsi="宋体" w:eastAsia="宋体" w:cs="宋体"/>
              </w:rPr>
              <w:t>交货</w:t>
            </w:r>
          </w:p>
          <w:p w14:paraId="7AF8F70E">
            <w:pPr>
              <w:spacing w:line="360" w:lineRule="auto"/>
              <w:jc w:val="center"/>
              <w:rPr>
                <w:rFonts w:hint="eastAsia" w:ascii="宋体" w:hAnsi="宋体" w:eastAsia="宋体" w:cs="宋体"/>
              </w:rPr>
            </w:pPr>
            <w:r>
              <w:rPr>
                <w:rFonts w:hint="eastAsia" w:ascii="宋体" w:hAnsi="宋体" w:eastAsia="宋体" w:cs="宋体"/>
              </w:rPr>
              <w:t>方式</w:t>
            </w:r>
          </w:p>
        </w:tc>
        <w:tc>
          <w:tcPr>
            <w:tcW w:w="840" w:type="dxa"/>
            <w:vAlign w:val="center"/>
          </w:tcPr>
          <w:p w14:paraId="3C2ABEEF">
            <w:pPr>
              <w:spacing w:line="360" w:lineRule="auto"/>
              <w:jc w:val="center"/>
              <w:rPr>
                <w:rFonts w:hint="eastAsia" w:ascii="宋体" w:hAnsi="宋体" w:eastAsia="宋体" w:cs="宋体"/>
              </w:rPr>
            </w:pPr>
            <w:r>
              <w:rPr>
                <w:rFonts w:hint="eastAsia" w:ascii="宋体" w:hAnsi="宋体" w:eastAsia="宋体" w:cs="宋体"/>
              </w:rPr>
              <w:t>交货</w:t>
            </w:r>
          </w:p>
          <w:p w14:paraId="4EEBB190">
            <w:pPr>
              <w:spacing w:line="360" w:lineRule="auto"/>
              <w:jc w:val="center"/>
              <w:rPr>
                <w:rFonts w:hint="eastAsia" w:ascii="宋体" w:hAnsi="宋体" w:eastAsia="宋体" w:cs="宋体"/>
              </w:rPr>
            </w:pPr>
            <w:r>
              <w:rPr>
                <w:rFonts w:hint="eastAsia" w:ascii="宋体" w:hAnsi="宋体" w:eastAsia="宋体" w:cs="宋体"/>
              </w:rPr>
              <w:t>地点</w:t>
            </w:r>
          </w:p>
        </w:tc>
        <w:tc>
          <w:tcPr>
            <w:tcW w:w="735" w:type="dxa"/>
            <w:vAlign w:val="center"/>
          </w:tcPr>
          <w:p w14:paraId="4307B9E1">
            <w:pPr>
              <w:spacing w:line="360" w:lineRule="auto"/>
              <w:jc w:val="center"/>
              <w:rPr>
                <w:rFonts w:hint="eastAsia" w:ascii="宋体" w:hAnsi="宋体" w:eastAsia="宋体" w:cs="宋体"/>
              </w:rPr>
            </w:pPr>
            <w:r>
              <w:rPr>
                <w:rFonts w:hint="eastAsia" w:ascii="宋体" w:hAnsi="宋体" w:eastAsia="宋体" w:cs="宋体"/>
              </w:rPr>
              <w:t>计划交货</w:t>
            </w:r>
          </w:p>
          <w:p w14:paraId="1A72BB0A">
            <w:pPr>
              <w:spacing w:line="360" w:lineRule="auto"/>
              <w:jc w:val="center"/>
              <w:rPr>
                <w:rFonts w:hint="eastAsia" w:ascii="宋体" w:hAnsi="宋体" w:eastAsia="宋体" w:cs="宋体"/>
              </w:rPr>
            </w:pPr>
            <w:r>
              <w:rPr>
                <w:rFonts w:hint="eastAsia" w:ascii="宋体" w:hAnsi="宋体" w:eastAsia="宋体" w:cs="宋体"/>
              </w:rPr>
              <w:t>时间</w:t>
            </w:r>
          </w:p>
        </w:tc>
        <w:tc>
          <w:tcPr>
            <w:tcW w:w="945" w:type="dxa"/>
            <w:vAlign w:val="center"/>
          </w:tcPr>
          <w:p w14:paraId="3E7E415B">
            <w:pPr>
              <w:spacing w:line="360" w:lineRule="auto"/>
              <w:jc w:val="center"/>
              <w:rPr>
                <w:rFonts w:hint="eastAsia" w:ascii="宋体" w:hAnsi="宋体" w:eastAsia="宋体" w:cs="宋体"/>
              </w:rPr>
            </w:pPr>
            <w:r>
              <w:rPr>
                <w:rFonts w:hint="eastAsia" w:ascii="宋体" w:hAnsi="宋体" w:eastAsia="宋体" w:cs="宋体"/>
              </w:rPr>
              <w:t>备注</w:t>
            </w:r>
          </w:p>
        </w:tc>
      </w:tr>
      <w:tr w14:paraId="42D60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5A27D44">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1155" w:type="dxa"/>
          </w:tcPr>
          <w:p w14:paraId="65AC6AB3">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1050" w:type="dxa"/>
          </w:tcPr>
          <w:p w14:paraId="22863C6E">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630" w:type="dxa"/>
          </w:tcPr>
          <w:p w14:paraId="12C914EA">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525" w:type="dxa"/>
          </w:tcPr>
          <w:p w14:paraId="47341D63">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735" w:type="dxa"/>
          </w:tcPr>
          <w:p w14:paraId="35584AA3">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840" w:type="dxa"/>
          </w:tcPr>
          <w:p w14:paraId="173429BB">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840" w:type="dxa"/>
          </w:tcPr>
          <w:p w14:paraId="4731AE98">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735" w:type="dxa"/>
          </w:tcPr>
          <w:p w14:paraId="5803D7E1">
            <w:pPr>
              <w:spacing w:line="360" w:lineRule="auto"/>
              <w:jc w:val="center"/>
              <w:rPr>
                <w:rFonts w:hint="eastAsia" w:ascii="宋体" w:hAnsi="宋体" w:eastAsia="宋体" w:cs="宋体"/>
                <w:szCs w:val="21"/>
              </w:rPr>
            </w:pPr>
            <w:r>
              <w:rPr>
                <w:rFonts w:hint="eastAsia" w:ascii="宋体" w:hAnsi="宋体" w:eastAsia="宋体" w:cs="宋体"/>
                <w:szCs w:val="21"/>
              </w:rPr>
              <w:t>/</w:t>
            </w:r>
          </w:p>
        </w:tc>
        <w:tc>
          <w:tcPr>
            <w:tcW w:w="945" w:type="dxa"/>
          </w:tcPr>
          <w:p w14:paraId="267DCAB3">
            <w:pPr>
              <w:spacing w:line="360" w:lineRule="auto"/>
              <w:jc w:val="center"/>
              <w:rPr>
                <w:rFonts w:hint="eastAsia" w:ascii="宋体" w:hAnsi="宋体" w:eastAsia="宋体" w:cs="宋体"/>
                <w:szCs w:val="21"/>
              </w:rPr>
            </w:pPr>
            <w:r>
              <w:rPr>
                <w:rFonts w:hint="eastAsia" w:ascii="宋体" w:hAnsi="宋体" w:eastAsia="宋体" w:cs="宋体"/>
                <w:szCs w:val="21"/>
              </w:rPr>
              <w:t>/</w:t>
            </w:r>
          </w:p>
        </w:tc>
      </w:tr>
      <w:tr w14:paraId="0B446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7E89920">
            <w:pPr>
              <w:spacing w:line="360" w:lineRule="auto"/>
              <w:jc w:val="center"/>
              <w:rPr>
                <w:rFonts w:hint="eastAsia" w:ascii="宋体" w:hAnsi="宋体" w:eastAsia="宋体" w:cs="宋体"/>
                <w:sz w:val="28"/>
                <w:szCs w:val="28"/>
              </w:rPr>
            </w:pPr>
          </w:p>
        </w:tc>
        <w:tc>
          <w:tcPr>
            <w:tcW w:w="1155" w:type="dxa"/>
          </w:tcPr>
          <w:p w14:paraId="21472C01">
            <w:pPr>
              <w:spacing w:line="360" w:lineRule="auto"/>
              <w:jc w:val="center"/>
              <w:rPr>
                <w:rFonts w:hint="eastAsia" w:ascii="宋体" w:hAnsi="宋体" w:eastAsia="宋体" w:cs="宋体"/>
                <w:sz w:val="28"/>
                <w:szCs w:val="28"/>
              </w:rPr>
            </w:pPr>
          </w:p>
        </w:tc>
        <w:tc>
          <w:tcPr>
            <w:tcW w:w="1050" w:type="dxa"/>
          </w:tcPr>
          <w:p w14:paraId="426FF1DD">
            <w:pPr>
              <w:spacing w:line="360" w:lineRule="auto"/>
              <w:jc w:val="center"/>
              <w:rPr>
                <w:rFonts w:hint="eastAsia" w:ascii="宋体" w:hAnsi="宋体" w:eastAsia="宋体" w:cs="宋体"/>
                <w:sz w:val="28"/>
                <w:szCs w:val="28"/>
              </w:rPr>
            </w:pPr>
          </w:p>
        </w:tc>
        <w:tc>
          <w:tcPr>
            <w:tcW w:w="630" w:type="dxa"/>
          </w:tcPr>
          <w:p w14:paraId="5B9E7A68">
            <w:pPr>
              <w:spacing w:line="360" w:lineRule="auto"/>
              <w:jc w:val="center"/>
              <w:rPr>
                <w:rFonts w:hint="eastAsia" w:ascii="宋体" w:hAnsi="宋体" w:eastAsia="宋体" w:cs="宋体"/>
                <w:sz w:val="28"/>
                <w:szCs w:val="28"/>
              </w:rPr>
            </w:pPr>
          </w:p>
        </w:tc>
        <w:tc>
          <w:tcPr>
            <w:tcW w:w="525" w:type="dxa"/>
          </w:tcPr>
          <w:p w14:paraId="69CAE0CA">
            <w:pPr>
              <w:spacing w:line="360" w:lineRule="auto"/>
              <w:jc w:val="center"/>
              <w:rPr>
                <w:rFonts w:hint="eastAsia" w:ascii="宋体" w:hAnsi="宋体" w:eastAsia="宋体" w:cs="宋体"/>
                <w:sz w:val="28"/>
                <w:szCs w:val="28"/>
              </w:rPr>
            </w:pPr>
          </w:p>
        </w:tc>
        <w:tc>
          <w:tcPr>
            <w:tcW w:w="735" w:type="dxa"/>
          </w:tcPr>
          <w:p w14:paraId="271E8CA3">
            <w:pPr>
              <w:spacing w:line="360" w:lineRule="auto"/>
              <w:jc w:val="center"/>
              <w:rPr>
                <w:rFonts w:hint="eastAsia" w:ascii="宋体" w:hAnsi="宋体" w:eastAsia="宋体" w:cs="宋体"/>
                <w:sz w:val="28"/>
                <w:szCs w:val="28"/>
              </w:rPr>
            </w:pPr>
          </w:p>
        </w:tc>
        <w:tc>
          <w:tcPr>
            <w:tcW w:w="840" w:type="dxa"/>
          </w:tcPr>
          <w:p w14:paraId="5A06083A">
            <w:pPr>
              <w:spacing w:line="360" w:lineRule="auto"/>
              <w:jc w:val="center"/>
              <w:rPr>
                <w:rFonts w:hint="eastAsia" w:ascii="宋体" w:hAnsi="宋体" w:eastAsia="宋体" w:cs="宋体"/>
                <w:sz w:val="28"/>
                <w:szCs w:val="28"/>
              </w:rPr>
            </w:pPr>
          </w:p>
        </w:tc>
        <w:tc>
          <w:tcPr>
            <w:tcW w:w="840" w:type="dxa"/>
          </w:tcPr>
          <w:p w14:paraId="3476900F">
            <w:pPr>
              <w:spacing w:line="360" w:lineRule="auto"/>
              <w:jc w:val="center"/>
              <w:rPr>
                <w:rFonts w:hint="eastAsia" w:ascii="宋体" w:hAnsi="宋体" w:eastAsia="宋体" w:cs="宋体"/>
                <w:sz w:val="28"/>
                <w:szCs w:val="28"/>
              </w:rPr>
            </w:pPr>
          </w:p>
        </w:tc>
        <w:tc>
          <w:tcPr>
            <w:tcW w:w="735" w:type="dxa"/>
          </w:tcPr>
          <w:p w14:paraId="43815402">
            <w:pPr>
              <w:spacing w:line="360" w:lineRule="auto"/>
              <w:jc w:val="center"/>
              <w:rPr>
                <w:rFonts w:hint="eastAsia" w:ascii="宋体" w:hAnsi="宋体" w:eastAsia="宋体" w:cs="宋体"/>
                <w:sz w:val="28"/>
                <w:szCs w:val="28"/>
              </w:rPr>
            </w:pPr>
          </w:p>
        </w:tc>
        <w:tc>
          <w:tcPr>
            <w:tcW w:w="945" w:type="dxa"/>
          </w:tcPr>
          <w:p w14:paraId="5380B248">
            <w:pPr>
              <w:spacing w:line="360" w:lineRule="auto"/>
              <w:jc w:val="center"/>
              <w:rPr>
                <w:rFonts w:hint="eastAsia" w:ascii="宋体" w:hAnsi="宋体" w:eastAsia="宋体" w:cs="宋体"/>
                <w:sz w:val="28"/>
                <w:szCs w:val="28"/>
              </w:rPr>
            </w:pPr>
          </w:p>
        </w:tc>
      </w:tr>
      <w:tr w14:paraId="617D0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94B2075">
            <w:pPr>
              <w:spacing w:line="360" w:lineRule="auto"/>
              <w:jc w:val="center"/>
              <w:rPr>
                <w:rFonts w:hint="eastAsia" w:ascii="宋体" w:hAnsi="宋体" w:eastAsia="宋体" w:cs="宋体"/>
                <w:sz w:val="28"/>
                <w:szCs w:val="28"/>
              </w:rPr>
            </w:pPr>
          </w:p>
        </w:tc>
        <w:tc>
          <w:tcPr>
            <w:tcW w:w="1155" w:type="dxa"/>
          </w:tcPr>
          <w:p w14:paraId="32291D51">
            <w:pPr>
              <w:spacing w:line="360" w:lineRule="auto"/>
              <w:jc w:val="center"/>
              <w:rPr>
                <w:rFonts w:hint="eastAsia" w:ascii="宋体" w:hAnsi="宋体" w:eastAsia="宋体" w:cs="宋体"/>
                <w:sz w:val="28"/>
                <w:szCs w:val="28"/>
              </w:rPr>
            </w:pPr>
          </w:p>
        </w:tc>
        <w:tc>
          <w:tcPr>
            <w:tcW w:w="1050" w:type="dxa"/>
          </w:tcPr>
          <w:p w14:paraId="6E568D15">
            <w:pPr>
              <w:spacing w:line="360" w:lineRule="auto"/>
              <w:jc w:val="center"/>
              <w:rPr>
                <w:rFonts w:hint="eastAsia" w:ascii="宋体" w:hAnsi="宋体" w:eastAsia="宋体" w:cs="宋体"/>
                <w:sz w:val="28"/>
                <w:szCs w:val="28"/>
              </w:rPr>
            </w:pPr>
          </w:p>
        </w:tc>
        <w:tc>
          <w:tcPr>
            <w:tcW w:w="630" w:type="dxa"/>
          </w:tcPr>
          <w:p w14:paraId="096F449C">
            <w:pPr>
              <w:spacing w:line="360" w:lineRule="auto"/>
              <w:jc w:val="center"/>
              <w:rPr>
                <w:rFonts w:hint="eastAsia" w:ascii="宋体" w:hAnsi="宋体" w:eastAsia="宋体" w:cs="宋体"/>
                <w:sz w:val="28"/>
                <w:szCs w:val="28"/>
              </w:rPr>
            </w:pPr>
          </w:p>
        </w:tc>
        <w:tc>
          <w:tcPr>
            <w:tcW w:w="525" w:type="dxa"/>
          </w:tcPr>
          <w:p w14:paraId="0CA7D065">
            <w:pPr>
              <w:spacing w:line="360" w:lineRule="auto"/>
              <w:jc w:val="center"/>
              <w:rPr>
                <w:rFonts w:hint="eastAsia" w:ascii="宋体" w:hAnsi="宋体" w:eastAsia="宋体" w:cs="宋体"/>
                <w:sz w:val="28"/>
                <w:szCs w:val="28"/>
              </w:rPr>
            </w:pPr>
          </w:p>
        </w:tc>
        <w:tc>
          <w:tcPr>
            <w:tcW w:w="735" w:type="dxa"/>
          </w:tcPr>
          <w:p w14:paraId="1CF25D41">
            <w:pPr>
              <w:spacing w:line="360" w:lineRule="auto"/>
              <w:jc w:val="center"/>
              <w:rPr>
                <w:rFonts w:hint="eastAsia" w:ascii="宋体" w:hAnsi="宋体" w:eastAsia="宋体" w:cs="宋体"/>
                <w:sz w:val="28"/>
                <w:szCs w:val="28"/>
              </w:rPr>
            </w:pPr>
          </w:p>
        </w:tc>
        <w:tc>
          <w:tcPr>
            <w:tcW w:w="840" w:type="dxa"/>
          </w:tcPr>
          <w:p w14:paraId="18F040AF">
            <w:pPr>
              <w:spacing w:line="360" w:lineRule="auto"/>
              <w:jc w:val="center"/>
              <w:rPr>
                <w:rFonts w:hint="eastAsia" w:ascii="宋体" w:hAnsi="宋体" w:eastAsia="宋体" w:cs="宋体"/>
                <w:sz w:val="28"/>
                <w:szCs w:val="28"/>
              </w:rPr>
            </w:pPr>
          </w:p>
        </w:tc>
        <w:tc>
          <w:tcPr>
            <w:tcW w:w="840" w:type="dxa"/>
          </w:tcPr>
          <w:p w14:paraId="53EE4AA5">
            <w:pPr>
              <w:spacing w:line="360" w:lineRule="auto"/>
              <w:jc w:val="center"/>
              <w:rPr>
                <w:rFonts w:hint="eastAsia" w:ascii="宋体" w:hAnsi="宋体" w:eastAsia="宋体" w:cs="宋体"/>
                <w:sz w:val="28"/>
                <w:szCs w:val="28"/>
              </w:rPr>
            </w:pPr>
          </w:p>
        </w:tc>
        <w:tc>
          <w:tcPr>
            <w:tcW w:w="735" w:type="dxa"/>
          </w:tcPr>
          <w:p w14:paraId="77B28A4F">
            <w:pPr>
              <w:spacing w:line="360" w:lineRule="auto"/>
              <w:jc w:val="center"/>
              <w:rPr>
                <w:rFonts w:hint="eastAsia" w:ascii="宋体" w:hAnsi="宋体" w:eastAsia="宋体" w:cs="宋体"/>
                <w:sz w:val="28"/>
                <w:szCs w:val="28"/>
              </w:rPr>
            </w:pPr>
          </w:p>
        </w:tc>
        <w:tc>
          <w:tcPr>
            <w:tcW w:w="945" w:type="dxa"/>
          </w:tcPr>
          <w:p w14:paraId="1770E7E5">
            <w:pPr>
              <w:spacing w:line="360" w:lineRule="auto"/>
              <w:jc w:val="center"/>
              <w:rPr>
                <w:rFonts w:hint="eastAsia" w:ascii="宋体" w:hAnsi="宋体" w:eastAsia="宋体" w:cs="宋体"/>
                <w:sz w:val="28"/>
                <w:szCs w:val="28"/>
              </w:rPr>
            </w:pPr>
          </w:p>
        </w:tc>
      </w:tr>
      <w:tr w14:paraId="4E8F0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433A011">
            <w:pPr>
              <w:spacing w:line="360" w:lineRule="auto"/>
              <w:jc w:val="center"/>
              <w:rPr>
                <w:rFonts w:hint="eastAsia" w:ascii="宋体" w:hAnsi="宋体" w:eastAsia="宋体" w:cs="宋体"/>
                <w:sz w:val="28"/>
                <w:szCs w:val="28"/>
              </w:rPr>
            </w:pPr>
          </w:p>
        </w:tc>
        <w:tc>
          <w:tcPr>
            <w:tcW w:w="1155" w:type="dxa"/>
          </w:tcPr>
          <w:p w14:paraId="1B907216">
            <w:pPr>
              <w:spacing w:line="360" w:lineRule="auto"/>
              <w:jc w:val="center"/>
              <w:rPr>
                <w:rFonts w:hint="eastAsia" w:ascii="宋体" w:hAnsi="宋体" w:eastAsia="宋体" w:cs="宋体"/>
                <w:sz w:val="28"/>
                <w:szCs w:val="28"/>
              </w:rPr>
            </w:pPr>
          </w:p>
        </w:tc>
        <w:tc>
          <w:tcPr>
            <w:tcW w:w="1050" w:type="dxa"/>
          </w:tcPr>
          <w:p w14:paraId="0F757B87">
            <w:pPr>
              <w:spacing w:line="360" w:lineRule="auto"/>
              <w:jc w:val="center"/>
              <w:rPr>
                <w:rFonts w:hint="eastAsia" w:ascii="宋体" w:hAnsi="宋体" w:eastAsia="宋体" w:cs="宋体"/>
                <w:sz w:val="28"/>
                <w:szCs w:val="28"/>
              </w:rPr>
            </w:pPr>
          </w:p>
        </w:tc>
        <w:tc>
          <w:tcPr>
            <w:tcW w:w="630" w:type="dxa"/>
          </w:tcPr>
          <w:p w14:paraId="2910B31A">
            <w:pPr>
              <w:spacing w:line="360" w:lineRule="auto"/>
              <w:jc w:val="center"/>
              <w:rPr>
                <w:rFonts w:hint="eastAsia" w:ascii="宋体" w:hAnsi="宋体" w:eastAsia="宋体" w:cs="宋体"/>
                <w:sz w:val="28"/>
                <w:szCs w:val="28"/>
              </w:rPr>
            </w:pPr>
          </w:p>
        </w:tc>
        <w:tc>
          <w:tcPr>
            <w:tcW w:w="525" w:type="dxa"/>
          </w:tcPr>
          <w:p w14:paraId="00B3A3BF">
            <w:pPr>
              <w:spacing w:line="360" w:lineRule="auto"/>
              <w:jc w:val="center"/>
              <w:rPr>
                <w:rFonts w:hint="eastAsia" w:ascii="宋体" w:hAnsi="宋体" w:eastAsia="宋体" w:cs="宋体"/>
                <w:sz w:val="28"/>
                <w:szCs w:val="28"/>
              </w:rPr>
            </w:pPr>
          </w:p>
        </w:tc>
        <w:tc>
          <w:tcPr>
            <w:tcW w:w="735" w:type="dxa"/>
          </w:tcPr>
          <w:p w14:paraId="069D8BD0">
            <w:pPr>
              <w:spacing w:line="360" w:lineRule="auto"/>
              <w:jc w:val="center"/>
              <w:rPr>
                <w:rFonts w:hint="eastAsia" w:ascii="宋体" w:hAnsi="宋体" w:eastAsia="宋体" w:cs="宋体"/>
                <w:sz w:val="28"/>
                <w:szCs w:val="28"/>
              </w:rPr>
            </w:pPr>
          </w:p>
        </w:tc>
        <w:tc>
          <w:tcPr>
            <w:tcW w:w="840" w:type="dxa"/>
          </w:tcPr>
          <w:p w14:paraId="65097198">
            <w:pPr>
              <w:spacing w:line="360" w:lineRule="auto"/>
              <w:jc w:val="center"/>
              <w:rPr>
                <w:rFonts w:hint="eastAsia" w:ascii="宋体" w:hAnsi="宋体" w:eastAsia="宋体" w:cs="宋体"/>
                <w:sz w:val="28"/>
                <w:szCs w:val="28"/>
              </w:rPr>
            </w:pPr>
          </w:p>
        </w:tc>
        <w:tc>
          <w:tcPr>
            <w:tcW w:w="840" w:type="dxa"/>
          </w:tcPr>
          <w:p w14:paraId="3657C10C">
            <w:pPr>
              <w:spacing w:line="360" w:lineRule="auto"/>
              <w:jc w:val="center"/>
              <w:rPr>
                <w:rFonts w:hint="eastAsia" w:ascii="宋体" w:hAnsi="宋体" w:eastAsia="宋体" w:cs="宋体"/>
                <w:sz w:val="28"/>
                <w:szCs w:val="28"/>
              </w:rPr>
            </w:pPr>
          </w:p>
        </w:tc>
        <w:tc>
          <w:tcPr>
            <w:tcW w:w="735" w:type="dxa"/>
          </w:tcPr>
          <w:p w14:paraId="5F95C85E">
            <w:pPr>
              <w:spacing w:line="360" w:lineRule="auto"/>
              <w:jc w:val="center"/>
              <w:rPr>
                <w:rFonts w:hint="eastAsia" w:ascii="宋体" w:hAnsi="宋体" w:eastAsia="宋体" w:cs="宋体"/>
                <w:sz w:val="28"/>
                <w:szCs w:val="28"/>
              </w:rPr>
            </w:pPr>
          </w:p>
        </w:tc>
        <w:tc>
          <w:tcPr>
            <w:tcW w:w="945" w:type="dxa"/>
          </w:tcPr>
          <w:p w14:paraId="1034A447">
            <w:pPr>
              <w:spacing w:line="360" w:lineRule="auto"/>
              <w:jc w:val="center"/>
              <w:rPr>
                <w:rFonts w:hint="eastAsia" w:ascii="宋体" w:hAnsi="宋体" w:eastAsia="宋体" w:cs="宋体"/>
                <w:sz w:val="28"/>
                <w:szCs w:val="28"/>
              </w:rPr>
            </w:pPr>
          </w:p>
        </w:tc>
      </w:tr>
      <w:tr w14:paraId="67A1D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F348196">
            <w:pPr>
              <w:spacing w:line="360" w:lineRule="auto"/>
              <w:jc w:val="center"/>
              <w:rPr>
                <w:rFonts w:hint="eastAsia" w:ascii="宋体" w:hAnsi="宋体" w:eastAsia="宋体" w:cs="宋体"/>
                <w:sz w:val="28"/>
                <w:szCs w:val="28"/>
              </w:rPr>
            </w:pPr>
          </w:p>
        </w:tc>
        <w:tc>
          <w:tcPr>
            <w:tcW w:w="1155" w:type="dxa"/>
          </w:tcPr>
          <w:p w14:paraId="7C5C3CCB">
            <w:pPr>
              <w:spacing w:line="360" w:lineRule="auto"/>
              <w:jc w:val="center"/>
              <w:rPr>
                <w:rFonts w:hint="eastAsia" w:ascii="宋体" w:hAnsi="宋体" w:eastAsia="宋体" w:cs="宋体"/>
                <w:sz w:val="28"/>
                <w:szCs w:val="28"/>
              </w:rPr>
            </w:pPr>
          </w:p>
        </w:tc>
        <w:tc>
          <w:tcPr>
            <w:tcW w:w="1050" w:type="dxa"/>
          </w:tcPr>
          <w:p w14:paraId="799527C3">
            <w:pPr>
              <w:spacing w:line="360" w:lineRule="auto"/>
              <w:jc w:val="center"/>
              <w:rPr>
                <w:rFonts w:hint="eastAsia" w:ascii="宋体" w:hAnsi="宋体" w:eastAsia="宋体" w:cs="宋体"/>
                <w:sz w:val="28"/>
                <w:szCs w:val="28"/>
              </w:rPr>
            </w:pPr>
          </w:p>
        </w:tc>
        <w:tc>
          <w:tcPr>
            <w:tcW w:w="630" w:type="dxa"/>
          </w:tcPr>
          <w:p w14:paraId="6A2352F5">
            <w:pPr>
              <w:spacing w:line="360" w:lineRule="auto"/>
              <w:jc w:val="center"/>
              <w:rPr>
                <w:rFonts w:hint="eastAsia" w:ascii="宋体" w:hAnsi="宋体" w:eastAsia="宋体" w:cs="宋体"/>
                <w:sz w:val="28"/>
                <w:szCs w:val="28"/>
              </w:rPr>
            </w:pPr>
          </w:p>
        </w:tc>
        <w:tc>
          <w:tcPr>
            <w:tcW w:w="525" w:type="dxa"/>
          </w:tcPr>
          <w:p w14:paraId="6832693A">
            <w:pPr>
              <w:spacing w:line="360" w:lineRule="auto"/>
              <w:jc w:val="center"/>
              <w:rPr>
                <w:rFonts w:hint="eastAsia" w:ascii="宋体" w:hAnsi="宋体" w:eastAsia="宋体" w:cs="宋体"/>
                <w:sz w:val="28"/>
                <w:szCs w:val="28"/>
              </w:rPr>
            </w:pPr>
          </w:p>
        </w:tc>
        <w:tc>
          <w:tcPr>
            <w:tcW w:w="735" w:type="dxa"/>
          </w:tcPr>
          <w:p w14:paraId="70FBC94F">
            <w:pPr>
              <w:spacing w:line="360" w:lineRule="auto"/>
              <w:jc w:val="center"/>
              <w:rPr>
                <w:rFonts w:hint="eastAsia" w:ascii="宋体" w:hAnsi="宋体" w:eastAsia="宋体" w:cs="宋体"/>
                <w:sz w:val="28"/>
                <w:szCs w:val="28"/>
              </w:rPr>
            </w:pPr>
          </w:p>
        </w:tc>
        <w:tc>
          <w:tcPr>
            <w:tcW w:w="840" w:type="dxa"/>
          </w:tcPr>
          <w:p w14:paraId="0666C37B">
            <w:pPr>
              <w:spacing w:line="360" w:lineRule="auto"/>
              <w:jc w:val="center"/>
              <w:rPr>
                <w:rFonts w:hint="eastAsia" w:ascii="宋体" w:hAnsi="宋体" w:eastAsia="宋体" w:cs="宋体"/>
                <w:sz w:val="28"/>
                <w:szCs w:val="28"/>
              </w:rPr>
            </w:pPr>
          </w:p>
        </w:tc>
        <w:tc>
          <w:tcPr>
            <w:tcW w:w="840" w:type="dxa"/>
          </w:tcPr>
          <w:p w14:paraId="2F65E8D4">
            <w:pPr>
              <w:spacing w:line="360" w:lineRule="auto"/>
              <w:jc w:val="center"/>
              <w:rPr>
                <w:rFonts w:hint="eastAsia" w:ascii="宋体" w:hAnsi="宋体" w:eastAsia="宋体" w:cs="宋体"/>
                <w:sz w:val="28"/>
                <w:szCs w:val="28"/>
              </w:rPr>
            </w:pPr>
          </w:p>
        </w:tc>
        <w:tc>
          <w:tcPr>
            <w:tcW w:w="735" w:type="dxa"/>
          </w:tcPr>
          <w:p w14:paraId="73A1C7C2">
            <w:pPr>
              <w:spacing w:line="360" w:lineRule="auto"/>
              <w:jc w:val="center"/>
              <w:rPr>
                <w:rFonts w:hint="eastAsia" w:ascii="宋体" w:hAnsi="宋体" w:eastAsia="宋体" w:cs="宋体"/>
                <w:sz w:val="28"/>
                <w:szCs w:val="28"/>
              </w:rPr>
            </w:pPr>
          </w:p>
        </w:tc>
        <w:tc>
          <w:tcPr>
            <w:tcW w:w="945" w:type="dxa"/>
          </w:tcPr>
          <w:p w14:paraId="207946E7">
            <w:pPr>
              <w:spacing w:line="360" w:lineRule="auto"/>
              <w:jc w:val="center"/>
              <w:rPr>
                <w:rFonts w:hint="eastAsia" w:ascii="宋体" w:hAnsi="宋体" w:eastAsia="宋体" w:cs="宋体"/>
                <w:sz w:val="28"/>
                <w:szCs w:val="28"/>
              </w:rPr>
            </w:pPr>
          </w:p>
        </w:tc>
      </w:tr>
      <w:tr w14:paraId="61886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67FB19A">
            <w:pPr>
              <w:spacing w:line="360" w:lineRule="auto"/>
              <w:jc w:val="center"/>
              <w:rPr>
                <w:rFonts w:hint="eastAsia" w:ascii="宋体" w:hAnsi="宋体" w:eastAsia="宋体" w:cs="宋体"/>
                <w:sz w:val="28"/>
                <w:szCs w:val="28"/>
              </w:rPr>
            </w:pPr>
          </w:p>
        </w:tc>
        <w:tc>
          <w:tcPr>
            <w:tcW w:w="1155" w:type="dxa"/>
          </w:tcPr>
          <w:p w14:paraId="2BCD2C40">
            <w:pPr>
              <w:spacing w:line="360" w:lineRule="auto"/>
              <w:jc w:val="center"/>
              <w:rPr>
                <w:rFonts w:hint="eastAsia" w:ascii="宋体" w:hAnsi="宋体" w:eastAsia="宋体" w:cs="宋体"/>
                <w:sz w:val="28"/>
                <w:szCs w:val="28"/>
              </w:rPr>
            </w:pPr>
          </w:p>
        </w:tc>
        <w:tc>
          <w:tcPr>
            <w:tcW w:w="1050" w:type="dxa"/>
          </w:tcPr>
          <w:p w14:paraId="79275BC7">
            <w:pPr>
              <w:spacing w:line="360" w:lineRule="auto"/>
              <w:jc w:val="center"/>
              <w:rPr>
                <w:rFonts w:hint="eastAsia" w:ascii="宋体" w:hAnsi="宋体" w:eastAsia="宋体" w:cs="宋体"/>
                <w:sz w:val="28"/>
                <w:szCs w:val="28"/>
              </w:rPr>
            </w:pPr>
          </w:p>
        </w:tc>
        <w:tc>
          <w:tcPr>
            <w:tcW w:w="630" w:type="dxa"/>
          </w:tcPr>
          <w:p w14:paraId="75F8DAE6">
            <w:pPr>
              <w:spacing w:line="360" w:lineRule="auto"/>
              <w:jc w:val="center"/>
              <w:rPr>
                <w:rFonts w:hint="eastAsia" w:ascii="宋体" w:hAnsi="宋体" w:eastAsia="宋体" w:cs="宋体"/>
                <w:sz w:val="28"/>
                <w:szCs w:val="28"/>
              </w:rPr>
            </w:pPr>
          </w:p>
        </w:tc>
        <w:tc>
          <w:tcPr>
            <w:tcW w:w="525" w:type="dxa"/>
          </w:tcPr>
          <w:p w14:paraId="66F2A243">
            <w:pPr>
              <w:spacing w:line="360" w:lineRule="auto"/>
              <w:jc w:val="center"/>
              <w:rPr>
                <w:rFonts w:hint="eastAsia" w:ascii="宋体" w:hAnsi="宋体" w:eastAsia="宋体" w:cs="宋体"/>
                <w:sz w:val="28"/>
                <w:szCs w:val="28"/>
              </w:rPr>
            </w:pPr>
          </w:p>
        </w:tc>
        <w:tc>
          <w:tcPr>
            <w:tcW w:w="735" w:type="dxa"/>
          </w:tcPr>
          <w:p w14:paraId="0547D629">
            <w:pPr>
              <w:spacing w:line="360" w:lineRule="auto"/>
              <w:jc w:val="center"/>
              <w:rPr>
                <w:rFonts w:hint="eastAsia" w:ascii="宋体" w:hAnsi="宋体" w:eastAsia="宋体" w:cs="宋体"/>
                <w:sz w:val="28"/>
                <w:szCs w:val="28"/>
              </w:rPr>
            </w:pPr>
          </w:p>
        </w:tc>
        <w:tc>
          <w:tcPr>
            <w:tcW w:w="840" w:type="dxa"/>
          </w:tcPr>
          <w:p w14:paraId="2FEF9300">
            <w:pPr>
              <w:spacing w:line="360" w:lineRule="auto"/>
              <w:jc w:val="center"/>
              <w:rPr>
                <w:rFonts w:hint="eastAsia" w:ascii="宋体" w:hAnsi="宋体" w:eastAsia="宋体" w:cs="宋体"/>
                <w:sz w:val="28"/>
                <w:szCs w:val="28"/>
              </w:rPr>
            </w:pPr>
          </w:p>
        </w:tc>
        <w:tc>
          <w:tcPr>
            <w:tcW w:w="840" w:type="dxa"/>
          </w:tcPr>
          <w:p w14:paraId="14E73202">
            <w:pPr>
              <w:spacing w:line="360" w:lineRule="auto"/>
              <w:jc w:val="center"/>
              <w:rPr>
                <w:rFonts w:hint="eastAsia" w:ascii="宋体" w:hAnsi="宋体" w:eastAsia="宋体" w:cs="宋体"/>
                <w:sz w:val="28"/>
                <w:szCs w:val="28"/>
              </w:rPr>
            </w:pPr>
          </w:p>
        </w:tc>
        <w:tc>
          <w:tcPr>
            <w:tcW w:w="735" w:type="dxa"/>
          </w:tcPr>
          <w:p w14:paraId="04762363">
            <w:pPr>
              <w:spacing w:line="360" w:lineRule="auto"/>
              <w:jc w:val="center"/>
              <w:rPr>
                <w:rFonts w:hint="eastAsia" w:ascii="宋体" w:hAnsi="宋体" w:eastAsia="宋体" w:cs="宋体"/>
                <w:sz w:val="28"/>
                <w:szCs w:val="28"/>
              </w:rPr>
            </w:pPr>
          </w:p>
        </w:tc>
        <w:tc>
          <w:tcPr>
            <w:tcW w:w="945" w:type="dxa"/>
          </w:tcPr>
          <w:p w14:paraId="43384A55">
            <w:pPr>
              <w:spacing w:line="360" w:lineRule="auto"/>
              <w:jc w:val="center"/>
              <w:rPr>
                <w:rFonts w:hint="eastAsia" w:ascii="宋体" w:hAnsi="宋体" w:eastAsia="宋体" w:cs="宋体"/>
                <w:sz w:val="28"/>
                <w:szCs w:val="28"/>
              </w:rPr>
            </w:pPr>
          </w:p>
        </w:tc>
      </w:tr>
      <w:tr w14:paraId="103FE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A302C2A">
            <w:pPr>
              <w:spacing w:line="360" w:lineRule="auto"/>
              <w:jc w:val="center"/>
              <w:rPr>
                <w:rFonts w:hint="eastAsia" w:ascii="宋体" w:hAnsi="宋体" w:eastAsia="宋体" w:cs="宋体"/>
                <w:sz w:val="28"/>
                <w:szCs w:val="28"/>
              </w:rPr>
            </w:pPr>
          </w:p>
        </w:tc>
        <w:tc>
          <w:tcPr>
            <w:tcW w:w="1155" w:type="dxa"/>
          </w:tcPr>
          <w:p w14:paraId="351B2093">
            <w:pPr>
              <w:spacing w:line="360" w:lineRule="auto"/>
              <w:jc w:val="center"/>
              <w:rPr>
                <w:rFonts w:hint="eastAsia" w:ascii="宋体" w:hAnsi="宋体" w:eastAsia="宋体" w:cs="宋体"/>
                <w:sz w:val="28"/>
                <w:szCs w:val="28"/>
              </w:rPr>
            </w:pPr>
          </w:p>
        </w:tc>
        <w:tc>
          <w:tcPr>
            <w:tcW w:w="1050" w:type="dxa"/>
          </w:tcPr>
          <w:p w14:paraId="6CBD6EA8">
            <w:pPr>
              <w:spacing w:line="360" w:lineRule="auto"/>
              <w:jc w:val="center"/>
              <w:rPr>
                <w:rFonts w:hint="eastAsia" w:ascii="宋体" w:hAnsi="宋体" w:eastAsia="宋体" w:cs="宋体"/>
                <w:sz w:val="28"/>
                <w:szCs w:val="28"/>
              </w:rPr>
            </w:pPr>
          </w:p>
        </w:tc>
        <w:tc>
          <w:tcPr>
            <w:tcW w:w="630" w:type="dxa"/>
          </w:tcPr>
          <w:p w14:paraId="3A4B1945">
            <w:pPr>
              <w:spacing w:line="360" w:lineRule="auto"/>
              <w:jc w:val="center"/>
              <w:rPr>
                <w:rFonts w:hint="eastAsia" w:ascii="宋体" w:hAnsi="宋体" w:eastAsia="宋体" w:cs="宋体"/>
                <w:sz w:val="28"/>
                <w:szCs w:val="28"/>
              </w:rPr>
            </w:pPr>
          </w:p>
        </w:tc>
        <w:tc>
          <w:tcPr>
            <w:tcW w:w="525" w:type="dxa"/>
          </w:tcPr>
          <w:p w14:paraId="6E1537D1">
            <w:pPr>
              <w:spacing w:line="360" w:lineRule="auto"/>
              <w:jc w:val="center"/>
              <w:rPr>
                <w:rFonts w:hint="eastAsia" w:ascii="宋体" w:hAnsi="宋体" w:eastAsia="宋体" w:cs="宋体"/>
                <w:sz w:val="28"/>
                <w:szCs w:val="28"/>
              </w:rPr>
            </w:pPr>
          </w:p>
        </w:tc>
        <w:tc>
          <w:tcPr>
            <w:tcW w:w="735" w:type="dxa"/>
          </w:tcPr>
          <w:p w14:paraId="3F0B3F44">
            <w:pPr>
              <w:spacing w:line="360" w:lineRule="auto"/>
              <w:jc w:val="center"/>
              <w:rPr>
                <w:rFonts w:hint="eastAsia" w:ascii="宋体" w:hAnsi="宋体" w:eastAsia="宋体" w:cs="宋体"/>
                <w:sz w:val="28"/>
                <w:szCs w:val="28"/>
              </w:rPr>
            </w:pPr>
          </w:p>
        </w:tc>
        <w:tc>
          <w:tcPr>
            <w:tcW w:w="840" w:type="dxa"/>
          </w:tcPr>
          <w:p w14:paraId="2D86F4BD">
            <w:pPr>
              <w:spacing w:line="360" w:lineRule="auto"/>
              <w:jc w:val="center"/>
              <w:rPr>
                <w:rFonts w:hint="eastAsia" w:ascii="宋体" w:hAnsi="宋体" w:eastAsia="宋体" w:cs="宋体"/>
                <w:sz w:val="28"/>
                <w:szCs w:val="28"/>
              </w:rPr>
            </w:pPr>
          </w:p>
        </w:tc>
        <w:tc>
          <w:tcPr>
            <w:tcW w:w="840" w:type="dxa"/>
          </w:tcPr>
          <w:p w14:paraId="2D67B2C1">
            <w:pPr>
              <w:spacing w:line="360" w:lineRule="auto"/>
              <w:jc w:val="center"/>
              <w:rPr>
                <w:rFonts w:hint="eastAsia" w:ascii="宋体" w:hAnsi="宋体" w:eastAsia="宋体" w:cs="宋体"/>
                <w:sz w:val="28"/>
                <w:szCs w:val="28"/>
              </w:rPr>
            </w:pPr>
          </w:p>
        </w:tc>
        <w:tc>
          <w:tcPr>
            <w:tcW w:w="735" w:type="dxa"/>
          </w:tcPr>
          <w:p w14:paraId="7E416383">
            <w:pPr>
              <w:spacing w:line="360" w:lineRule="auto"/>
              <w:jc w:val="center"/>
              <w:rPr>
                <w:rFonts w:hint="eastAsia" w:ascii="宋体" w:hAnsi="宋体" w:eastAsia="宋体" w:cs="宋体"/>
                <w:sz w:val="28"/>
                <w:szCs w:val="28"/>
              </w:rPr>
            </w:pPr>
          </w:p>
        </w:tc>
        <w:tc>
          <w:tcPr>
            <w:tcW w:w="945" w:type="dxa"/>
          </w:tcPr>
          <w:p w14:paraId="2D938AC8">
            <w:pPr>
              <w:spacing w:line="360" w:lineRule="auto"/>
              <w:jc w:val="center"/>
              <w:rPr>
                <w:rFonts w:hint="eastAsia" w:ascii="宋体" w:hAnsi="宋体" w:eastAsia="宋体" w:cs="宋体"/>
                <w:sz w:val="28"/>
                <w:szCs w:val="28"/>
              </w:rPr>
            </w:pPr>
          </w:p>
        </w:tc>
      </w:tr>
      <w:tr w14:paraId="34079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F8B09B4">
            <w:pPr>
              <w:spacing w:line="360" w:lineRule="auto"/>
              <w:jc w:val="center"/>
              <w:rPr>
                <w:rFonts w:hint="eastAsia" w:ascii="宋体" w:hAnsi="宋体" w:eastAsia="宋体" w:cs="宋体"/>
                <w:sz w:val="28"/>
                <w:szCs w:val="28"/>
              </w:rPr>
            </w:pPr>
          </w:p>
        </w:tc>
        <w:tc>
          <w:tcPr>
            <w:tcW w:w="1155" w:type="dxa"/>
          </w:tcPr>
          <w:p w14:paraId="140039A7">
            <w:pPr>
              <w:spacing w:line="360" w:lineRule="auto"/>
              <w:jc w:val="center"/>
              <w:rPr>
                <w:rFonts w:hint="eastAsia" w:ascii="宋体" w:hAnsi="宋体" w:eastAsia="宋体" w:cs="宋体"/>
                <w:sz w:val="28"/>
                <w:szCs w:val="28"/>
              </w:rPr>
            </w:pPr>
          </w:p>
        </w:tc>
        <w:tc>
          <w:tcPr>
            <w:tcW w:w="1050" w:type="dxa"/>
          </w:tcPr>
          <w:p w14:paraId="67B06780">
            <w:pPr>
              <w:spacing w:line="360" w:lineRule="auto"/>
              <w:jc w:val="center"/>
              <w:rPr>
                <w:rFonts w:hint="eastAsia" w:ascii="宋体" w:hAnsi="宋体" w:eastAsia="宋体" w:cs="宋体"/>
                <w:sz w:val="28"/>
                <w:szCs w:val="28"/>
              </w:rPr>
            </w:pPr>
          </w:p>
        </w:tc>
        <w:tc>
          <w:tcPr>
            <w:tcW w:w="630" w:type="dxa"/>
          </w:tcPr>
          <w:p w14:paraId="757F7D4D">
            <w:pPr>
              <w:spacing w:line="360" w:lineRule="auto"/>
              <w:jc w:val="center"/>
              <w:rPr>
                <w:rFonts w:hint="eastAsia" w:ascii="宋体" w:hAnsi="宋体" w:eastAsia="宋体" w:cs="宋体"/>
                <w:sz w:val="28"/>
                <w:szCs w:val="28"/>
              </w:rPr>
            </w:pPr>
          </w:p>
        </w:tc>
        <w:tc>
          <w:tcPr>
            <w:tcW w:w="525" w:type="dxa"/>
          </w:tcPr>
          <w:p w14:paraId="36F6F114">
            <w:pPr>
              <w:spacing w:line="360" w:lineRule="auto"/>
              <w:jc w:val="center"/>
              <w:rPr>
                <w:rFonts w:hint="eastAsia" w:ascii="宋体" w:hAnsi="宋体" w:eastAsia="宋体" w:cs="宋体"/>
                <w:sz w:val="28"/>
                <w:szCs w:val="28"/>
              </w:rPr>
            </w:pPr>
          </w:p>
        </w:tc>
        <w:tc>
          <w:tcPr>
            <w:tcW w:w="735" w:type="dxa"/>
          </w:tcPr>
          <w:p w14:paraId="3A8B5AB7">
            <w:pPr>
              <w:spacing w:line="360" w:lineRule="auto"/>
              <w:jc w:val="center"/>
              <w:rPr>
                <w:rFonts w:hint="eastAsia" w:ascii="宋体" w:hAnsi="宋体" w:eastAsia="宋体" w:cs="宋体"/>
                <w:sz w:val="28"/>
                <w:szCs w:val="28"/>
              </w:rPr>
            </w:pPr>
          </w:p>
        </w:tc>
        <w:tc>
          <w:tcPr>
            <w:tcW w:w="840" w:type="dxa"/>
          </w:tcPr>
          <w:p w14:paraId="0F23FF24">
            <w:pPr>
              <w:spacing w:line="360" w:lineRule="auto"/>
              <w:jc w:val="center"/>
              <w:rPr>
                <w:rFonts w:hint="eastAsia" w:ascii="宋体" w:hAnsi="宋体" w:eastAsia="宋体" w:cs="宋体"/>
                <w:sz w:val="28"/>
                <w:szCs w:val="28"/>
              </w:rPr>
            </w:pPr>
          </w:p>
        </w:tc>
        <w:tc>
          <w:tcPr>
            <w:tcW w:w="840" w:type="dxa"/>
          </w:tcPr>
          <w:p w14:paraId="72FFC7B1">
            <w:pPr>
              <w:spacing w:line="360" w:lineRule="auto"/>
              <w:jc w:val="center"/>
              <w:rPr>
                <w:rFonts w:hint="eastAsia" w:ascii="宋体" w:hAnsi="宋体" w:eastAsia="宋体" w:cs="宋体"/>
                <w:sz w:val="28"/>
                <w:szCs w:val="28"/>
              </w:rPr>
            </w:pPr>
          </w:p>
        </w:tc>
        <w:tc>
          <w:tcPr>
            <w:tcW w:w="735" w:type="dxa"/>
          </w:tcPr>
          <w:p w14:paraId="599CB34E">
            <w:pPr>
              <w:spacing w:line="360" w:lineRule="auto"/>
              <w:jc w:val="center"/>
              <w:rPr>
                <w:rFonts w:hint="eastAsia" w:ascii="宋体" w:hAnsi="宋体" w:eastAsia="宋体" w:cs="宋体"/>
                <w:sz w:val="28"/>
                <w:szCs w:val="28"/>
              </w:rPr>
            </w:pPr>
          </w:p>
        </w:tc>
        <w:tc>
          <w:tcPr>
            <w:tcW w:w="945" w:type="dxa"/>
          </w:tcPr>
          <w:p w14:paraId="6B97A7A7">
            <w:pPr>
              <w:spacing w:line="360" w:lineRule="auto"/>
              <w:jc w:val="center"/>
              <w:rPr>
                <w:rFonts w:hint="eastAsia" w:ascii="宋体" w:hAnsi="宋体" w:eastAsia="宋体" w:cs="宋体"/>
                <w:sz w:val="28"/>
                <w:szCs w:val="28"/>
              </w:rPr>
            </w:pPr>
          </w:p>
        </w:tc>
      </w:tr>
      <w:tr w14:paraId="4F1C5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21AD98F">
            <w:pPr>
              <w:spacing w:line="360" w:lineRule="auto"/>
              <w:jc w:val="center"/>
              <w:rPr>
                <w:rFonts w:hint="eastAsia" w:ascii="宋体" w:hAnsi="宋体" w:eastAsia="宋体" w:cs="宋体"/>
                <w:sz w:val="28"/>
                <w:szCs w:val="28"/>
              </w:rPr>
            </w:pPr>
          </w:p>
        </w:tc>
        <w:tc>
          <w:tcPr>
            <w:tcW w:w="1155" w:type="dxa"/>
          </w:tcPr>
          <w:p w14:paraId="7B18F60C">
            <w:pPr>
              <w:spacing w:line="360" w:lineRule="auto"/>
              <w:jc w:val="center"/>
              <w:rPr>
                <w:rFonts w:hint="eastAsia" w:ascii="宋体" w:hAnsi="宋体" w:eastAsia="宋体" w:cs="宋体"/>
                <w:sz w:val="28"/>
                <w:szCs w:val="28"/>
              </w:rPr>
            </w:pPr>
          </w:p>
        </w:tc>
        <w:tc>
          <w:tcPr>
            <w:tcW w:w="1050" w:type="dxa"/>
          </w:tcPr>
          <w:p w14:paraId="07A425EB">
            <w:pPr>
              <w:spacing w:line="360" w:lineRule="auto"/>
              <w:jc w:val="center"/>
              <w:rPr>
                <w:rFonts w:hint="eastAsia" w:ascii="宋体" w:hAnsi="宋体" w:eastAsia="宋体" w:cs="宋体"/>
                <w:sz w:val="28"/>
                <w:szCs w:val="28"/>
              </w:rPr>
            </w:pPr>
          </w:p>
        </w:tc>
        <w:tc>
          <w:tcPr>
            <w:tcW w:w="630" w:type="dxa"/>
          </w:tcPr>
          <w:p w14:paraId="3F4F7014">
            <w:pPr>
              <w:spacing w:line="360" w:lineRule="auto"/>
              <w:jc w:val="center"/>
              <w:rPr>
                <w:rFonts w:hint="eastAsia" w:ascii="宋体" w:hAnsi="宋体" w:eastAsia="宋体" w:cs="宋体"/>
                <w:sz w:val="28"/>
                <w:szCs w:val="28"/>
              </w:rPr>
            </w:pPr>
          </w:p>
        </w:tc>
        <w:tc>
          <w:tcPr>
            <w:tcW w:w="525" w:type="dxa"/>
          </w:tcPr>
          <w:p w14:paraId="658B8295">
            <w:pPr>
              <w:spacing w:line="360" w:lineRule="auto"/>
              <w:jc w:val="center"/>
              <w:rPr>
                <w:rFonts w:hint="eastAsia" w:ascii="宋体" w:hAnsi="宋体" w:eastAsia="宋体" w:cs="宋体"/>
                <w:sz w:val="28"/>
                <w:szCs w:val="28"/>
              </w:rPr>
            </w:pPr>
          </w:p>
        </w:tc>
        <w:tc>
          <w:tcPr>
            <w:tcW w:w="735" w:type="dxa"/>
          </w:tcPr>
          <w:p w14:paraId="341D8DBC">
            <w:pPr>
              <w:spacing w:line="360" w:lineRule="auto"/>
              <w:jc w:val="center"/>
              <w:rPr>
                <w:rFonts w:hint="eastAsia" w:ascii="宋体" w:hAnsi="宋体" w:eastAsia="宋体" w:cs="宋体"/>
                <w:sz w:val="28"/>
                <w:szCs w:val="28"/>
              </w:rPr>
            </w:pPr>
          </w:p>
        </w:tc>
        <w:tc>
          <w:tcPr>
            <w:tcW w:w="840" w:type="dxa"/>
          </w:tcPr>
          <w:p w14:paraId="6CD32595">
            <w:pPr>
              <w:spacing w:line="360" w:lineRule="auto"/>
              <w:jc w:val="center"/>
              <w:rPr>
                <w:rFonts w:hint="eastAsia" w:ascii="宋体" w:hAnsi="宋体" w:eastAsia="宋体" w:cs="宋体"/>
                <w:sz w:val="28"/>
                <w:szCs w:val="28"/>
              </w:rPr>
            </w:pPr>
          </w:p>
        </w:tc>
        <w:tc>
          <w:tcPr>
            <w:tcW w:w="840" w:type="dxa"/>
          </w:tcPr>
          <w:p w14:paraId="7B55BF7C">
            <w:pPr>
              <w:spacing w:line="360" w:lineRule="auto"/>
              <w:jc w:val="center"/>
              <w:rPr>
                <w:rFonts w:hint="eastAsia" w:ascii="宋体" w:hAnsi="宋体" w:eastAsia="宋体" w:cs="宋体"/>
                <w:sz w:val="28"/>
                <w:szCs w:val="28"/>
              </w:rPr>
            </w:pPr>
          </w:p>
        </w:tc>
        <w:tc>
          <w:tcPr>
            <w:tcW w:w="735" w:type="dxa"/>
          </w:tcPr>
          <w:p w14:paraId="239FE9B7">
            <w:pPr>
              <w:spacing w:line="360" w:lineRule="auto"/>
              <w:jc w:val="center"/>
              <w:rPr>
                <w:rFonts w:hint="eastAsia" w:ascii="宋体" w:hAnsi="宋体" w:eastAsia="宋体" w:cs="宋体"/>
                <w:sz w:val="28"/>
                <w:szCs w:val="28"/>
              </w:rPr>
            </w:pPr>
          </w:p>
        </w:tc>
        <w:tc>
          <w:tcPr>
            <w:tcW w:w="945" w:type="dxa"/>
          </w:tcPr>
          <w:p w14:paraId="48D5DA16">
            <w:pPr>
              <w:spacing w:line="360" w:lineRule="auto"/>
              <w:jc w:val="center"/>
              <w:rPr>
                <w:rFonts w:hint="eastAsia" w:ascii="宋体" w:hAnsi="宋体" w:eastAsia="宋体" w:cs="宋体"/>
                <w:sz w:val="28"/>
                <w:szCs w:val="28"/>
              </w:rPr>
            </w:pPr>
          </w:p>
        </w:tc>
      </w:tr>
      <w:tr w14:paraId="0408D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D70B768">
            <w:pPr>
              <w:spacing w:line="360" w:lineRule="auto"/>
              <w:jc w:val="center"/>
              <w:rPr>
                <w:rFonts w:hint="eastAsia" w:ascii="宋体" w:hAnsi="宋体" w:eastAsia="宋体" w:cs="宋体"/>
                <w:sz w:val="28"/>
                <w:szCs w:val="28"/>
              </w:rPr>
            </w:pPr>
          </w:p>
        </w:tc>
        <w:tc>
          <w:tcPr>
            <w:tcW w:w="1155" w:type="dxa"/>
          </w:tcPr>
          <w:p w14:paraId="3838D591">
            <w:pPr>
              <w:spacing w:line="360" w:lineRule="auto"/>
              <w:jc w:val="center"/>
              <w:rPr>
                <w:rFonts w:hint="eastAsia" w:ascii="宋体" w:hAnsi="宋体" w:eastAsia="宋体" w:cs="宋体"/>
                <w:sz w:val="28"/>
                <w:szCs w:val="28"/>
              </w:rPr>
            </w:pPr>
          </w:p>
        </w:tc>
        <w:tc>
          <w:tcPr>
            <w:tcW w:w="1050" w:type="dxa"/>
          </w:tcPr>
          <w:p w14:paraId="7765EBC5">
            <w:pPr>
              <w:spacing w:line="360" w:lineRule="auto"/>
              <w:jc w:val="center"/>
              <w:rPr>
                <w:rFonts w:hint="eastAsia" w:ascii="宋体" w:hAnsi="宋体" w:eastAsia="宋体" w:cs="宋体"/>
                <w:sz w:val="28"/>
                <w:szCs w:val="28"/>
              </w:rPr>
            </w:pPr>
          </w:p>
        </w:tc>
        <w:tc>
          <w:tcPr>
            <w:tcW w:w="630" w:type="dxa"/>
          </w:tcPr>
          <w:p w14:paraId="1C12EB71">
            <w:pPr>
              <w:spacing w:line="360" w:lineRule="auto"/>
              <w:jc w:val="center"/>
              <w:rPr>
                <w:rFonts w:hint="eastAsia" w:ascii="宋体" w:hAnsi="宋体" w:eastAsia="宋体" w:cs="宋体"/>
                <w:sz w:val="28"/>
                <w:szCs w:val="28"/>
              </w:rPr>
            </w:pPr>
          </w:p>
        </w:tc>
        <w:tc>
          <w:tcPr>
            <w:tcW w:w="525" w:type="dxa"/>
          </w:tcPr>
          <w:p w14:paraId="1CDEFFBB">
            <w:pPr>
              <w:spacing w:line="360" w:lineRule="auto"/>
              <w:jc w:val="center"/>
              <w:rPr>
                <w:rFonts w:hint="eastAsia" w:ascii="宋体" w:hAnsi="宋体" w:eastAsia="宋体" w:cs="宋体"/>
                <w:sz w:val="28"/>
                <w:szCs w:val="28"/>
              </w:rPr>
            </w:pPr>
          </w:p>
        </w:tc>
        <w:tc>
          <w:tcPr>
            <w:tcW w:w="735" w:type="dxa"/>
          </w:tcPr>
          <w:p w14:paraId="32056CD2">
            <w:pPr>
              <w:spacing w:line="360" w:lineRule="auto"/>
              <w:jc w:val="center"/>
              <w:rPr>
                <w:rFonts w:hint="eastAsia" w:ascii="宋体" w:hAnsi="宋体" w:eastAsia="宋体" w:cs="宋体"/>
                <w:sz w:val="28"/>
                <w:szCs w:val="28"/>
              </w:rPr>
            </w:pPr>
          </w:p>
        </w:tc>
        <w:tc>
          <w:tcPr>
            <w:tcW w:w="840" w:type="dxa"/>
          </w:tcPr>
          <w:p w14:paraId="152C7D7F">
            <w:pPr>
              <w:spacing w:line="360" w:lineRule="auto"/>
              <w:jc w:val="center"/>
              <w:rPr>
                <w:rFonts w:hint="eastAsia" w:ascii="宋体" w:hAnsi="宋体" w:eastAsia="宋体" w:cs="宋体"/>
                <w:sz w:val="28"/>
                <w:szCs w:val="28"/>
              </w:rPr>
            </w:pPr>
          </w:p>
        </w:tc>
        <w:tc>
          <w:tcPr>
            <w:tcW w:w="840" w:type="dxa"/>
          </w:tcPr>
          <w:p w14:paraId="66D7365E">
            <w:pPr>
              <w:spacing w:line="360" w:lineRule="auto"/>
              <w:jc w:val="center"/>
              <w:rPr>
                <w:rFonts w:hint="eastAsia" w:ascii="宋体" w:hAnsi="宋体" w:eastAsia="宋体" w:cs="宋体"/>
                <w:sz w:val="28"/>
                <w:szCs w:val="28"/>
              </w:rPr>
            </w:pPr>
          </w:p>
        </w:tc>
        <w:tc>
          <w:tcPr>
            <w:tcW w:w="735" w:type="dxa"/>
          </w:tcPr>
          <w:p w14:paraId="694DAE0E">
            <w:pPr>
              <w:spacing w:line="360" w:lineRule="auto"/>
              <w:jc w:val="center"/>
              <w:rPr>
                <w:rFonts w:hint="eastAsia" w:ascii="宋体" w:hAnsi="宋体" w:eastAsia="宋体" w:cs="宋体"/>
                <w:sz w:val="28"/>
                <w:szCs w:val="28"/>
              </w:rPr>
            </w:pPr>
          </w:p>
        </w:tc>
        <w:tc>
          <w:tcPr>
            <w:tcW w:w="945" w:type="dxa"/>
          </w:tcPr>
          <w:p w14:paraId="641B3D3B">
            <w:pPr>
              <w:spacing w:line="360" w:lineRule="auto"/>
              <w:jc w:val="center"/>
              <w:rPr>
                <w:rFonts w:hint="eastAsia" w:ascii="宋体" w:hAnsi="宋体" w:eastAsia="宋体" w:cs="宋体"/>
                <w:sz w:val="28"/>
                <w:szCs w:val="28"/>
              </w:rPr>
            </w:pPr>
          </w:p>
        </w:tc>
      </w:tr>
      <w:tr w14:paraId="0BCF7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2BBC053">
            <w:pPr>
              <w:spacing w:line="360" w:lineRule="auto"/>
              <w:jc w:val="center"/>
              <w:rPr>
                <w:rFonts w:hint="eastAsia" w:ascii="宋体" w:hAnsi="宋体" w:eastAsia="宋体" w:cs="宋体"/>
                <w:sz w:val="28"/>
                <w:szCs w:val="28"/>
              </w:rPr>
            </w:pPr>
          </w:p>
        </w:tc>
        <w:tc>
          <w:tcPr>
            <w:tcW w:w="1155" w:type="dxa"/>
          </w:tcPr>
          <w:p w14:paraId="57CE172D">
            <w:pPr>
              <w:spacing w:line="360" w:lineRule="auto"/>
              <w:jc w:val="center"/>
              <w:rPr>
                <w:rFonts w:hint="eastAsia" w:ascii="宋体" w:hAnsi="宋体" w:eastAsia="宋体" w:cs="宋体"/>
                <w:sz w:val="28"/>
                <w:szCs w:val="28"/>
              </w:rPr>
            </w:pPr>
          </w:p>
        </w:tc>
        <w:tc>
          <w:tcPr>
            <w:tcW w:w="1050" w:type="dxa"/>
          </w:tcPr>
          <w:p w14:paraId="185C1030">
            <w:pPr>
              <w:spacing w:line="360" w:lineRule="auto"/>
              <w:jc w:val="center"/>
              <w:rPr>
                <w:rFonts w:hint="eastAsia" w:ascii="宋体" w:hAnsi="宋体" w:eastAsia="宋体" w:cs="宋体"/>
                <w:sz w:val="28"/>
                <w:szCs w:val="28"/>
              </w:rPr>
            </w:pPr>
          </w:p>
        </w:tc>
        <w:tc>
          <w:tcPr>
            <w:tcW w:w="630" w:type="dxa"/>
          </w:tcPr>
          <w:p w14:paraId="1EE5B810">
            <w:pPr>
              <w:spacing w:line="360" w:lineRule="auto"/>
              <w:jc w:val="center"/>
              <w:rPr>
                <w:rFonts w:hint="eastAsia" w:ascii="宋体" w:hAnsi="宋体" w:eastAsia="宋体" w:cs="宋体"/>
                <w:sz w:val="28"/>
                <w:szCs w:val="28"/>
              </w:rPr>
            </w:pPr>
          </w:p>
        </w:tc>
        <w:tc>
          <w:tcPr>
            <w:tcW w:w="525" w:type="dxa"/>
          </w:tcPr>
          <w:p w14:paraId="6DD3013F">
            <w:pPr>
              <w:spacing w:line="360" w:lineRule="auto"/>
              <w:jc w:val="center"/>
              <w:rPr>
                <w:rFonts w:hint="eastAsia" w:ascii="宋体" w:hAnsi="宋体" w:eastAsia="宋体" w:cs="宋体"/>
                <w:sz w:val="28"/>
                <w:szCs w:val="28"/>
              </w:rPr>
            </w:pPr>
          </w:p>
        </w:tc>
        <w:tc>
          <w:tcPr>
            <w:tcW w:w="735" w:type="dxa"/>
          </w:tcPr>
          <w:p w14:paraId="52E3BA02">
            <w:pPr>
              <w:spacing w:line="360" w:lineRule="auto"/>
              <w:jc w:val="center"/>
              <w:rPr>
                <w:rFonts w:hint="eastAsia" w:ascii="宋体" w:hAnsi="宋体" w:eastAsia="宋体" w:cs="宋体"/>
                <w:sz w:val="28"/>
                <w:szCs w:val="28"/>
              </w:rPr>
            </w:pPr>
          </w:p>
        </w:tc>
        <w:tc>
          <w:tcPr>
            <w:tcW w:w="840" w:type="dxa"/>
          </w:tcPr>
          <w:p w14:paraId="0563BCC4">
            <w:pPr>
              <w:spacing w:line="360" w:lineRule="auto"/>
              <w:jc w:val="center"/>
              <w:rPr>
                <w:rFonts w:hint="eastAsia" w:ascii="宋体" w:hAnsi="宋体" w:eastAsia="宋体" w:cs="宋体"/>
                <w:sz w:val="28"/>
                <w:szCs w:val="28"/>
              </w:rPr>
            </w:pPr>
          </w:p>
        </w:tc>
        <w:tc>
          <w:tcPr>
            <w:tcW w:w="840" w:type="dxa"/>
          </w:tcPr>
          <w:p w14:paraId="5E4D5D1B">
            <w:pPr>
              <w:spacing w:line="360" w:lineRule="auto"/>
              <w:jc w:val="center"/>
              <w:rPr>
                <w:rFonts w:hint="eastAsia" w:ascii="宋体" w:hAnsi="宋体" w:eastAsia="宋体" w:cs="宋体"/>
                <w:sz w:val="28"/>
                <w:szCs w:val="28"/>
              </w:rPr>
            </w:pPr>
          </w:p>
        </w:tc>
        <w:tc>
          <w:tcPr>
            <w:tcW w:w="735" w:type="dxa"/>
          </w:tcPr>
          <w:p w14:paraId="58F9AD99">
            <w:pPr>
              <w:spacing w:line="360" w:lineRule="auto"/>
              <w:jc w:val="center"/>
              <w:rPr>
                <w:rFonts w:hint="eastAsia" w:ascii="宋体" w:hAnsi="宋体" w:eastAsia="宋体" w:cs="宋体"/>
                <w:sz w:val="28"/>
                <w:szCs w:val="28"/>
              </w:rPr>
            </w:pPr>
          </w:p>
        </w:tc>
        <w:tc>
          <w:tcPr>
            <w:tcW w:w="945" w:type="dxa"/>
          </w:tcPr>
          <w:p w14:paraId="7D85A9C9">
            <w:pPr>
              <w:spacing w:line="360" w:lineRule="auto"/>
              <w:jc w:val="center"/>
              <w:rPr>
                <w:rFonts w:hint="eastAsia" w:ascii="宋体" w:hAnsi="宋体" w:eastAsia="宋体" w:cs="宋体"/>
                <w:sz w:val="28"/>
                <w:szCs w:val="28"/>
              </w:rPr>
            </w:pPr>
          </w:p>
        </w:tc>
      </w:tr>
      <w:tr w14:paraId="1ED35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024F214">
            <w:pPr>
              <w:spacing w:line="360" w:lineRule="auto"/>
              <w:jc w:val="center"/>
              <w:rPr>
                <w:rFonts w:hint="eastAsia" w:ascii="宋体" w:hAnsi="宋体" w:eastAsia="宋体" w:cs="宋体"/>
                <w:sz w:val="28"/>
                <w:szCs w:val="28"/>
              </w:rPr>
            </w:pPr>
          </w:p>
        </w:tc>
        <w:tc>
          <w:tcPr>
            <w:tcW w:w="1155" w:type="dxa"/>
          </w:tcPr>
          <w:p w14:paraId="1467C6EE">
            <w:pPr>
              <w:spacing w:line="360" w:lineRule="auto"/>
              <w:jc w:val="center"/>
              <w:rPr>
                <w:rFonts w:hint="eastAsia" w:ascii="宋体" w:hAnsi="宋体" w:eastAsia="宋体" w:cs="宋体"/>
                <w:sz w:val="28"/>
                <w:szCs w:val="28"/>
              </w:rPr>
            </w:pPr>
          </w:p>
        </w:tc>
        <w:tc>
          <w:tcPr>
            <w:tcW w:w="1050" w:type="dxa"/>
          </w:tcPr>
          <w:p w14:paraId="6C474DE2">
            <w:pPr>
              <w:spacing w:line="360" w:lineRule="auto"/>
              <w:jc w:val="center"/>
              <w:rPr>
                <w:rFonts w:hint="eastAsia" w:ascii="宋体" w:hAnsi="宋体" w:eastAsia="宋体" w:cs="宋体"/>
                <w:sz w:val="28"/>
                <w:szCs w:val="28"/>
              </w:rPr>
            </w:pPr>
          </w:p>
        </w:tc>
        <w:tc>
          <w:tcPr>
            <w:tcW w:w="630" w:type="dxa"/>
          </w:tcPr>
          <w:p w14:paraId="0683C480">
            <w:pPr>
              <w:spacing w:line="360" w:lineRule="auto"/>
              <w:jc w:val="center"/>
              <w:rPr>
                <w:rFonts w:hint="eastAsia" w:ascii="宋体" w:hAnsi="宋体" w:eastAsia="宋体" w:cs="宋体"/>
                <w:sz w:val="28"/>
                <w:szCs w:val="28"/>
              </w:rPr>
            </w:pPr>
          </w:p>
        </w:tc>
        <w:tc>
          <w:tcPr>
            <w:tcW w:w="525" w:type="dxa"/>
          </w:tcPr>
          <w:p w14:paraId="08161D79">
            <w:pPr>
              <w:spacing w:line="360" w:lineRule="auto"/>
              <w:jc w:val="center"/>
              <w:rPr>
                <w:rFonts w:hint="eastAsia" w:ascii="宋体" w:hAnsi="宋体" w:eastAsia="宋体" w:cs="宋体"/>
                <w:sz w:val="28"/>
                <w:szCs w:val="28"/>
              </w:rPr>
            </w:pPr>
          </w:p>
        </w:tc>
        <w:tc>
          <w:tcPr>
            <w:tcW w:w="735" w:type="dxa"/>
          </w:tcPr>
          <w:p w14:paraId="53755C8F">
            <w:pPr>
              <w:spacing w:line="360" w:lineRule="auto"/>
              <w:jc w:val="center"/>
              <w:rPr>
                <w:rFonts w:hint="eastAsia" w:ascii="宋体" w:hAnsi="宋体" w:eastAsia="宋体" w:cs="宋体"/>
                <w:sz w:val="28"/>
                <w:szCs w:val="28"/>
              </w:rPr>
            </w:pPr>
          </w:p>
        </w:tc>
        <w:tc>
          <w:tcPr>
            <w:tcW w:w="840" w:type="dxa"/>
          </w:tcPr>
          <w:p w14:paraId="586CBD3A">
            <w:pPr>
              <w:spacing w:line="360" w:lineRule="auto"/>
              <w:jc w:val="center"/>
              <w:rPr>
                <w:rFonts w:hint="eastAsia" w:ascii="宋体" w:hAnsi="宋体" w:eastAsia="宋体" w:cs="宋体"/>
                <w:sz w:val="28"/>
                <w:szCs w:val="28"/>
              </w:rPr>
            </w:pPr>
          </w:p>
        </w:tc>
        <w:tc>
          <w:tcPr>
            <w:tcW w:w="840" w:type="dxa"/>
          </w:tcPr>
          <w:p w14:paraId="5EA44DC2">
            <w:pPr>
              <w:spacing w:line="360" w:lineRule="auto"/>
              <w:jc w:val="center"/>
              <w:rPr>
                <w:rFonts w:hint="eastAsia" w:ascii="宋体" w:hAnsi="宋体" w:eastAsia="宋体" w:cs="宋体"/>
                <w:sz w:val="28"/>
                <w:szCs w:val="28"/>
              </w:rPr>
            </w:pPr>
          </w:p>
        </w:tc>
        <w:tc>
          <w:tcPr>
            <w:tcW w:w="735" w:type="dxa"/>
          </w:tcPr>
          <w:p w14:paraId="6047F6B3">
            <w:pPr>
              <w:spacing w:line="360" w:lineRule="auto"/>
              <w:jc w:val="center"/>
              <w:rPr>
                <w:rFonts w:hint="eastAsia" w:ascii="宋体" w:hAnsi="宋体" w:eastAsia="宋体" w:cs="宋体"/>
                <w:sz w:val="28"/>
                <w:szCs w:val="28"/>
              </w:rPr>
            </w:pPr>
          </w:p>
        </w:tc>
        <w:tc>
          <w:tcPr>
            <w:tcW w:w="945" w:type="dxa"/>
          </w:tcPr>
          <w:p w14:paraId="43D00818">
            <w:pPr>
              <w:spacing w:line="360" w:lineRule="auto"/>
              <w:jc w:val="center"/>
              <w:rPr>
                <w:rFonts w:hint="eastAsia" w:ascii="宋体" w:hAnsi="宋体" w:eastAsia="宋体" w:cs="宋体"/>
                <w:sz w:val="28"/>
                <w:szCs w:val="28"/>
              </w:rPr>
            </w:pPr>
          </w:p>
        </w:tc>
      </w:tr>
      <w:tr w14:paraId="34F1E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DA7AD3A">
            <w:pPr>
              <w:spacing w:line="360" w:lineRule="auto"/>
              <w:jc w:val="center"/>
              <w:rPr>
                <w:rFonts w:hint="eastAsia" w:ascii="宋体" w:hAnsi="宋体" w:eastAsia="宋体" w:cs="宋体"/>
                <w:sz w:val="28"/>
                <w:szCs w:val="28"/>
              </w:rPr>
            </w:pPr>
          </w:p>
        </w:tc>
        <w:tc>
          <w:tcPr>
            <w:tcW w:w="1155" w:type="dxa"/>
          </w:tcPr>
          <w:p w14:paraId="14AD4A70">
            <w:pPr>
              <w:spacing w:line="360" w:lineRule="auto"/>
              <w:jc w:val="center"/>
              <w:rPr>
                <w:rFonts w:hint="eastAsia" w:ascii="宋体" w:hAnsi="宋体" w:eastAsia="宋体" w:cs="宋体"/>
                <w:sz w:val="28"/>
                <w:szCs w:val="28"/>
              </w:rPr>
            </w:pPr>
          </w:p>
        </w:tc>
        <w:tc>
          <w:tcPr>
            <w:tcW w:w="1050" w:type="dxa"/>
          </w:tcPr>
          <w:p w14:paraId="570D5F49">
            <w:pPr>
              <w:spacing w:line="360" w:lineRule="auto"/>
              <w:jc w:val="center"/>
              <w:rPr>
                <w:rFonts w:hint="eastAsia" w:ascii="宋体" w:hAnsi="宋体" w:eastAsia="宋体" w:cs="宋体"/>
                <w:sz w:val="28"/>
                <w:szCs w:val="28"/>
              </w:rPr>
            </w:pPr>
          </w:p>
        </w:tc>
        <w:tc>
          <w:tcPr>
            <w:tcW w:w="630" w:type="dxa"/>
          </w:tcPr>
          <w:p w14:paraId="370D60FE">
            <w:pPr>
              <w:spacing w:line="360" w:lineRule="auto"/>
              <w:jc w:val="center"/>
              <w:rPr>
                <w:rFonts w:hint="eastAsia" w:ascii="宋体" w:hAnsi="宋体" w:eastAsia="宋体" w:cs="宋体"/>
                <w:sz w:val="28"/>
                <w:szCs w:val="28"/>
              </w:rPr>
            </w:pPr>
          </w:p>
        </w:tc>
        <w:tc>
          <w:tcPr>
            <w:tcW w:w="525" w:type="dxa"/>
          </w:tcPr>
          <w:p w14:paraId="174EB237">
            <w:pPr>
              <w:spacing w:line="360" w:lineRule="auto"/>
              <w:jc w:val="center"/>
              <w:rPr>
                <w:rFonts w:hint="eastAsia" w:ascii="宋体" w:hAnsi="宋体" w:eastAsia="宋体" w:cs="宋体"/>
                <w:sz w:val="28"/>
                <w:szCs w:val="28"/>
              </w:rPr>
            </w:pPr>
          </w:p>
        </w:tc>
        <w:tc>
          <w:tcPr>
            <w:tcW w:w="735" w:type="dxa"/>
          </w:tcPr>
          <w:p w14:paraId="41179576">
            <w:pPr>
              <w:spacing w:line="360" w:lineRule="auto"/>
              <w:jc w:val="center"/>
              <w:rPr>
                <w:rFonts w:hint="eastAsia" w:ascii="宋体" w:hAnsi="宋体" w:eastAsia="宋体" w:cs="宋体"/>
                <w:sz w:val="28"/>
                <w:szCs w:val="28"/>
              </w:rPr>
            </w:pPr>
          </w:p>
        </w:tc>
        <w:tc>
          <w:tcPr>
            <w:tcW w:w="840" w:type="dxa"/>
          </w:tcPr>
          <w:p w14:paraId="40CDB386">
            <w:pPr>
              <w:spacing w:line="360" w:lineRule="auto"/>
              <w:jc w:val="center"/>
              <w:rPr>
                <w:rFonts w:hint="eastAsia" w:ascii="宋体" w:hAnsi="宋体" w:eastAsia="宋体" w:cs="宋体"/>
                <w:sz w:val="28"/>
                <w:szCs w:val="28"/>
              </w:rPr>
            </w:pPr>
          </w:p>
        </w:tc>
        <w:tc>
          <w:tcPr>
            <w:tcW w:w="840" w:type="dxa"/>
          </w:tcPr>
          <w:p w14:paraId="2E6CE57C">
            <w:pPr>
              <w:spacing w:line="360" w:lineRule="auto"/>
              <w:jc w:val="center"/>
              <w:rPr>
                <w:rFonts w:hint="eastAsia" w:ascii="宋体" w:hAnsi="宋体" w:eastAsia="宋体" w:cs="宋体"/>
                <w:sz w:val="28"/>
                <w:szCs w:val="28"/>
              </w:rPr>
            </w:pPr>
          </w:p>
        </w:tc>
        <w:tc>
          <w:tcPr>
            <w:tcW w:w="735" w:type="dxa"/>
          </w:tcPr>
          <w:p w14:paraId="22AC9CAB">
            <w:pPr>
              <w:spacing w:line="360" w:lineRule="auto"/>
              <w:jc w:val="center"/>
              <w:rPr>
                <w:rFonts w:hint="eastAsia" w:ascii="宋体" w:hAnsi="宋体" w:eastAsia="宋体" w:cs="宋体"/>
                <w:sz w:val="28"/>
                <w:szCs w:val="28"/>
              </w:rPr>
            </w:pPr>
          </w:p>
        </w:tc>
        <w:tc>
          <w:tcPr>
            <w:tcW w:w="945" w:type="dxa"/>
          </w:tcPr>
          <w:p w14:paraId="5302FEB2">
            <w:pPr>
              <w:spacing w:line="360" w:lineRule="auto"/>
              <w:jc w:val="center"/>
              <w:rPr>
                <w:rFonts w:hint="eastAsia" w:ascii="宋体" w:hAnsi="宋体" w:eastAsia="宋体" w:cs="宋体"/>
                <w:sz w:val="28"/>
                <w:szCs w:val="28"/>
              </w:rPr>
            </w:pPr>
          </w:p>
        </w:tc>
      </w:tr>
    </w:tbl>
    <w:p w14:paraId="3EBD3A51">
      <w:pPr>
        <w:tabs>
          <w:tab w:val="left" w:pos="1440"/>
        </w:tabs>
        <w:spacing w:line="360" w:lineRule="auto"/>
        <w:rPr>
          <w:rFonts w:hint="eastAsia" w:ascii="宋体" w:hAnsi="宋体" w:eastAsia="宋体" w:cs="宋体"/>
          <w:szCs w:val="21"/>
        </w:rPr>
      </w:pPr>
      <w:r>
        <w:rPr>
          <w:rFonts w:hint="eastAsia" w:ascii="宋体" w:hAnsi="宋体" w:eastAsia="宋体" w:cs="宋体"/>
          <w:szCs w:val="21"/>
        </w:rPr>
        <w:t>备注：除合同另有约定外，本表所列发包人供应材料和工程设备的数量不考虑施工损耗，施工损耗被认为已经包括在承包人的投标价格中。</w:t>
      </w:r>
    </w:p>
    <w:p w14:paraId="7C72FF27">
      <w:pPr>
        <w:pStyle w:val="92"/>
        <w:spacing w:before="120" w:after="120"/>
        <w:rPr>
          <w:rFonts w:hint="eastAsia" w:ascii="宋体" w:hAnsi="宋体" w:eastAsia="宋体" w:cs="宋体"/>
          <w:bCs/>
        </w:rPr>
        <w:sectPr>
          <w:pgSz w:w="11906" w:h="16838"/>
          <w:pgMar w:top="1440" w:right="1701" w:bottom="1440" w:left="1701" w:header="851" w:footer="992" w:gutter="0"/>
          <w:cols w:space="425" w:num="1"/>
          <w:docGrid w:linePitch="312" w:charSpace="0"/>
        </w:sectPr>
      </w:pPr>
      <w:r>
        <w:rPr>
          <w:rFonts w:hint="eastAsia" w:ascii="宋体" w:hAnsi="宋体" w:eastAsia="宋体" w:cs="宋体"/>
        </w:rPr>
        <w:br w:type="page"/>
      </w:r>
    </w:p>
    <w:p w14:paraId="62B3712E">
      <w:pPr>
        <w:pStyle w:val="92"/>
        <w:spacing w:before="156" w:after="156"/>
        <w:rPr>
          <w:rFonts w:hint="eastAsia" w:ascii="宋体" w:hAnsi="宋体" w:eastAsia="宋体" w:cs="宋体"/>
          <w:sz w:val="24"/>
          <w:szCs w:val="24"/>
        </w:rPr>
      </w:pPr>
      <w:bookmarkStart w:id="589" w:name="_Toc135239978"/>
      <w:bookmarkStart w:id="590" w:name="_Toc22031752"/>
      <w:bookmarkStart w:id="591" w:name="_Toc489219296"/>
      <w:bookmarkStart w:id="592" w:name="_Toc497584568"/>
      <w:bookmarkStart w:id="593" w:name="_Toc497214127"/>
      <w:bookmarkStart w:id="594" w:name="_Toc485338209"/>
      <w:r>
        <w:rPr>
          <w:rFonts w:hint="eastAsia" w:ascii="宋体" w:hAnsi="宋体" w:eastAsia="宋体" w:cs="宋体"/>
          <w:sz w:val="24"/>
          <w:szCs w:val="24"/>
        </w:rPr>
        <w:t>附件五：质量保修书格式</w:t>
      </w:r>
      <w:bookmarkEnd w:id="589"/>
      <w:bookmarkEnd w:id="590"/>
      <w:bookmarkEnd w:id="591"/>
      <w:bookmarkEnd w:id="592"/>
      <w:bookmarkEnd w:id="593"/>
      <w:bookmarkEnd w:id="594"/>
    </w:p>
    <w:p w14:paraId="1909CED9">
      <w:pPr>
        <w:tabs>
          <w:tab w:val="left" w:pos="3855"/>
        </w:tabs>
        <w:snapToGrid w:val="0"/>
        <w:spacing w:line="360" w:lineRule="auto"/>
        <w:ind w:firstLine="560" w:firstLineChars="200"/>
        <w:jc w:val="center"/>
        <w:rPr>
          <w:rFonts w:hint="eastAsia" w:ascii="宋体" w:hAnsi="宋体" w:eastAsia="宋体" w:cs="宋体"/>
          <w:sz w:val="28"/>
        </w:rPr>
      </w:pPr>
    </w:p>
    <w:p w14:paraId="28512C35">
      <w:pPr>
        <w:tabs>
          <w:tab w:val="left" w:pos="3855"/>
        </w:tabs>
        <w:snapToGrid w:val="0"/>
        <w:spacing w:line="360" w:lineRule="auto"/>
        <w:ind w:firstLine="560" w:firstLineChars="200"/>
        <w:jc w:val="center"/>
        <w:rPr>
          <w:rFonts w:hint="eastAsia" w:ascii="宋体" w:hAnsi="宋体" w:eastAsia="宋体" w:cs="宋体"/>
          <w:sz w:val="28"/>
        </w:rPr>
      </w:pPr>
    </w:p>
    <w:p w14:paraId="4D19AAC5">
      <w:pPr>
        <w:tabs>
          <w:tab w:val="left" w:pos="3855"/>
        </w:tabs>
        <w:snapToGrid w:val="0"/>
        <w:spacing w:line="360" w:lineRule="auto"/>
        <w:ind w:firstLine="562" w:firstLineChars="200"/>
        <w:jc w:val="center"/>
        <w:rPr>
          <w:rFonts w:hint="eastAsia" w:ascii="宋体" w:hAnsi="宋体" w:eastAsia="宋体" w:cs="宋体"/>
          <w:b/>
          <w:sz w:val="28"/>
        </w:rPr>
      </w:pPr>
      <w:r>
        <w:rPr>
          <w:rFonts w:hint="eastAsia" w:ascii="宋体" w:hAnsi="宋体" w:eastAsia="宋体" w:cs="宋体"/>
          <w:b/>
          <w:sz w:val="28"/>
        </w:rPr>
        <w:t>工程质量保修书</w:t>
      </w:r>
    </w:p>
    <w:p w14:paraId="6CB92646">
      <w:pPr>
        <w:snapToGrid w:val="0"/>
        <w:spacing w:line="360" w:lineRule="auto"/>
        <w:rPr>
          <w:rFonts w:hint="eastAsia" w:ascii="宋体" w:hAnsi="宋体" w:eastAsia="宋体" w:cs="宋体"/>
        </w:rPr>
      </w:pPr>
    </w:p>
    <w:p w14:paraId="15FE3C0D">
      <w:pPr>
        <w:snapToGrid w:val="0"/>
        <w:spacing w:line="360" w:lineRule="auto"/>
        <w:rPr>
          <w:rFonts w:hint="eastAsia" w:ascii="宋体" w:hAnsi="宋体" w:eastAsia="宋体" w:cs="宋体"/>
          <w:u w:val="single"/>
        </w:rPr>
      </w:pPr>
      <w:r>
        <w:rPr>
          <w:rFonts w:hint="eastAsia" w:ascii="宋体" w:hAnsi="宋体" w:eastAsia="宋体" w:cs="宋体"/>
        </w:rPr>
        <w:t>发包人：</w:t>
      </w:r>
      <w:r>
        <w:rPr>
          <w:rFonts w:hint="eastAsia" w:ascii="宋体" w:hAnsi="宋体" w:eastAsia="宋体" w:cs="宋体"/>
          <w:szCs w:val="21"/>
          <w:u w:val="single"/>
        </w:rPr>
        <w:t>北京市海淀区人民政府永定路街道办事处</w:t>
      </w:r>
    </w:p>
    <w:p w14:paraId="5552727F">
      <w:pPr>
        <w:snapToGrid w:val="0"/>
        <w:spacing w:line="360" w:lineRule="auto"/>
        <w:rPr>
          <w:rFonts w:hint="eastAsia" w:ascii="宋体" w:hAnsi="宋体" w:eastAsia="宋体" w:cs="宋体"/>
        </w:rPr>
      </w:pPr>
      <w:r>
        <w:rPr>
          <w:rFonts w:hint="eastAsia" w:ascii="宋体" w:hAnsi="宋体" w:eastAsia="宋体" w:cs="宋体"/>
        </w:rPr>
        <w:t>承包人：</w:t>
      </w:r>
      <w:r>
        <w:rPr>
          <w:rFonts w:hint="eastAsia" w:ascii="宋体" w:hAnsi="宋体" w:eastAsia="宋体" w:cs="宋体"/>
          <w:szCs w:val="21"/>
          <w:u w:val="single"/>
        </w:rPr>
        <w:t xml:space="preserve">                                    </w:t>
      </w:r>
    </w:p>
    <w:p w14:paraId="56FF5FAE">
      <w:pPr>
        <w:snapToGrid w:val="0"/>
        <w:spacing w:line="360" w:lineRule="auto"/>
        <w:ind w:firstLine="488"/>
        <w:rPr>
          <w:rFonts w:hint="eastAsia" w:ascii="宋体" w:hAnsi="宋体" w:eastAsia="宋体" w:cs="宋体"/>
          <w:u w:val="single"/>
        </w:rPr>
      </w:pPr>
    </w:p>
    <w:p w14:paraId="1E06857B">
      <w:pPr>
        <w:snapToGrid w:val="0"/>
        <w:spacing w:line="360" w:lineRule="auto"/>
        <w:ind w:firstLine="420" w:firstLineChars="200"/>
        <w:rPr>
          <w:rFonts w:hint="eastAsia" w:ascii="宋体" w:hAnsi="宋体" w:eastAsia="宋体" w:cs="宋体"/>
        </w:rPr>
      </w:pPr>
      <w:r>
        <w:rPr>
          <w:rFonts w:hint="eastAsia" w:ascii="宋体" w:hAnsi="宋体" w:eastAsia="宋体" w:cs="宋体"/>
        </w:rPr>
        <w:t>发包人、承包人根据《中华人民共和国建筑法》、《建设工程质量管理条例》和《房屋建筑工程质量保修办法》，经协商一致，对</w:t>
      </w:r>
      <w:r>
        <w:rPr>
          <w:rFonts w:hint="eastAsia" w:ascii="宋体" w:hAnsi="宋体" w:eastAsia="宋体" w:cs="宋体"/>
          <w:szCs w:val="21"/>
          <w:u w:val="single"/>
        </w:rPr>
        <w:t xml:space="preserve">                                   </w:t>
      </w:r>
      <w:r>
        <w:rPr>
          <w:rFonts w:hint="eastAsia" w:ascii="宋体" w:hAnsi="宋体" w:eastAsia="宋体" w:cs="宋体"/>
        </w:rPr>
        <w:t>（</w:t>
      </w:r>
      <w:r>
        <w:rPr>
          <w:rFonts w:hint="eastAsia" w:ascii="宋体" w:hAnsi="宋体" w:eastAsia="宋体" w:cs="宋体"/>
          <w:szCs w:val="21"/>
        </w:rPr>
        <w:t>工程</w:t>
      </w:r>
      <w:r>
        <w:rPr>
          <w:rFonts w:hint="eastAsia" w:ascii="宋体" w:hAnsi="宋体" w:eastAsia="宋体" w:cs="宋体"/>
        </w:rPr>
        <w:t>名称）签订保修书。</w:t>
      </w:r>
    </w:p>
    <w:p w14:paraId="7B3B8F67">
      <w:pPr>
        <w:snapToGrid w:val="0"/>
        <w:spacing w:line="360" w:lineRule="auto"/>
        <w:ind w:firstLine="420" w:firstLineChars="200"/>
        <w:rPr>
          <w:rFonts w:hint="eastAsia" w:ascii="宋体" w:hAnsi="宋体" w:eastAsia="宋体" w:cs="宋体"/>
        </w:rPr>
      </w:pPr>
      <w:r>
        <w:rPr>
          <w:rFonts w:hint="eastAsia" w:ascii="宋体" w:hAnsi="宋体" w:eastAsia="宋体" w:cs="宋体"/>
        </w:rPr>
        <w:t>一、工程保修范围和内容</w:t>
      </w:r>
    </w:p>
    <w:p w14:paraId="36F96CD0">
      <w:pPr>
        <w:snapToGrid w:val="0"/>
        <w:spacing w:line="360" w:lineRule="auto"/>
        <w:ind w:firstLine="420" w:firstLineChars="200"/>
        <w:rPr>
          <w:rFonts w:hint="eastAsia" w:ascii="宋体" w:hAnsi="宋体" w:eastAsia="宋体" w:cs="宋体"/>
        </w:rPr>
      </w:pPr>
      <w:r>
        <w:rPr>
          <w:rFonts w:hint="eastAsia" w:ascii="宋体" w:hAnsi="宋体" w:eastAsia="宋体" w:cs="宋体"/>
        </w:rPr>
        <w:t>承包人在保修期内，按照有关法律、法规、规章的管理规定和双方约定，承担本工程保修责任。</w:t>
      </w:r>
    </w:p>
    <w:p w14:paraId="19D02DEC">
      <w:pPr>
        <w:snapToGrid w:val="0"/>
        <w:spacing w:line="360" w:lineRule="auto"/>
        <w:ind w:firstLine="420" w:firstLineChars="200"/>
        <w:rPr>
          <w:rFonts w:hint="eastAsia" w:ascii="宋体" w:hAnsi="宋体" w:eastAsia="宋体" w:cs="宋体"/>
        </w:rPr>
      </w:pPr>
      <w:r>
        <w:rPr>
          <w:rFonts w:hint="eastAsia" w:ascii="宋体" w:hAnsi="宋体" w:eastAsia="宋体" w:cs="宋体"/>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Cs/>
          <w:u w:val="single"/>
          <w:lang w:bidi="zh-CN"/>
        </w:rPr>
        <w:t>道路工程一年，绿化工程养护期一年。</w:t>
      </w:r>
    </w:p>
    <w:p w14:paraId="627E7FB6">
      <w:pPr>
        <w:snapToGrid w:val="0"/>
        <w:spacing w:line="360" w:lineRule="auto"/>
        <w:ind w:firstLine="420" w:firstLineChars="200"/>
        <w:rPr>
          <w:rFonts w:hint="eastAsia" w:ascii="宋体" w:hAnsi="宋体" w:eastAsia="宋体" w:cs="宋体"/>
        </w:rPr>
      </w:pPr>
      <w:r>
        <w:rPr>
          <w:rFonts w:hint="eastAsia" w:ascii="宋体" w:hAnsi="宋体" w:eastAsia="宋体" w:cs="宋体"/>
        </w:rPr>
        <w:t>二、保修期</w:t>
      </w:r>
    </w:p>
    <w:p w14:paraId="29F6662D">
      <w:pPr>
        <w:tabs>
          <w:tab w:val="right" w:pos="8454"/>
        </w:tabs>
        <w:adjustRightInd w:val="0"/>
        <w:snapToGrid w:val="0"/>
        <w:spacing w:line="440" w:lineRule="exact"/>
        <w:ind w:firstLine="371" w:firstLineChars="177"/>
        <w:rPr>
          <w:rFonts w:hint="eastAsia" w:ascii="宋体" w:hAnsi="宋体" w:eastAsia="宋体" w:cs="宋体"/>
        </w:rPr>
      </w:pPr>
      <w:r>
        <w:rPr>
          <w:rFonts w:hint="eastAsia" w:ascii="宋体" w:hAnsi="宋体" w:eastAsia="宋体" w:cs="宋体"/>
        </w:rPr>
        <w:t>道路铺装工程：</w:t>
      </w:r>
      <w:r>
        <w:rPr>
          <w:rFonts w:hint="eastAsia" w:ascii="宋体" w:hAnsi="宋体" w:eastAsia="宋体" w:cs="宋体"/>
          <w:u w:val="single"/>
        </w:rPr>
        <w:t xml:space="preserve"> 1年</w:t>
      </w:r>
    </w:p>
    <w:p w14:paraId="6CBA85E4">
      <w:pPr>
        <w:tabs>
          <w:tab w:val="right" w:pos="8454"/>
        </w:tabs>
        <w:adjustRightInd w:val="0"/>
        <w:snapToGrid w:val="0"/>
        <w:spacing w:line="440" w:lineRule="exact"/>
        <w:ind w:firstLine="371" w:firstLineChars="177"/>
        <w:rPr>
          <w:rFonts w:hint="eastAsia" w:ascii="宋体" w:hAnsi="宋体" w:eastAsia="宋体" w:cs="宋体"/>
        </w:rPr>
      </w:pPr>
      <w:r>
        <w:rPr>
          <w:rFonts w:hint="eastAsia" w:ascii="宋体" w:hAnsi="宋体" w:eastAsia="宋体" w:cs="宋体"/>
        </w:rPr>
        <w:t>其他附属工程：</w:t>
      </w:r>
      <w:r>
        <w:rPr>
          <w:rFonts w:hint="eastAsia" w:ascii="宋体" w:hAnsi="宋体" w:eastAsia="宋体" w:cs="宋体"/>
          <w:u w:val="single"/>
        </w:rPr>
        <w:t xml:space="preserve"> 1年</w:t>
      </w:r>
    </w:p>
    <w:p w14:paraId="4AAF68D9">
      <w:pPr>
        <w:tabs>
          <w:tab w:val="right" w:pos="8454"/>
        </w:tabs>
        <w:adjustRightInd w:val="0"/>
        <w:snapToGrid w:val="0"/>
        <w:spacing w:line="440" w:lineRule="exact"/>
        <w:ind w:firstLine="371" w:firstLineChars="177"/>
        <w:rPr>
          <w:rFonts w:hint="eastAsia" w:ascii="宋体" w:hAnsi="宋体" w:eastAsia="宋体" w:cs="宋体"/>
          <w:bCs/>
          <w:sz w:val="24"/>
          <w:u w:val="single"/>
        </w:rPr>
      </w:pPr>
      <w:r>
        <w:rPr>
          <w:rFonts w:hint="eastAsia" w:ascii="宋体" w:hAnsi="宋体" w:eastAsia="宋体" w:cs="宋体"/>
        </w:rPr>
        <w:t>绿化种植工程：</w:t>
      </w:r>
      <w:r>
        <w:rPr>
          <w:rFonts w:hint="eastAsia" w:ascii="宋体" w:hAnsi="宋体" w:eastAsia="宋体" w:cs="宋体"/>
          <w:u w:val="single"/>
        </w:rPr>
        <w:t xml:space="preserve"> 1年（养护期）</w:t>
      </w:r>
    </w:p>
    <w:p w14:paraId="465631C3">
      <w:pPr>
        <w:tabs>
          <w:tab w:val="right" w:pos="8454"/>
        </w:tabs>
        <w:adjustRightInd w:val="0"/>
        <w:snapToGrid w:val="0"/>
        <w:spacing w:line="440" w:lineRule="exact"/>
        <w:ind w:firstLine="371" w:firstLineChars="177"/>
        <w:rPr>
          <w:rFonts w:hint="eastAsia" w:ascii="宋体" w:hAnsi="宋体" w:eastAsia="宋体" w:cs="宋体"/>
          <w:bCs/>
          <w:sz w:val="24"/>
        </w:rPr>
      </w:pPr>
      <w:r>
        <w:rPr>
          <w:rFonts w:hint="eastAsia" w:ascii="宋体" w:hAnsi="宋体" w:eastAsia="宋体" w:cs="宋体"/>
        </w:rPr>
        <w:t>质量保修期及养护期自工程竣工验收合格之日起计算。</w:t>
      </w:r>
    </w:p>
    <w:p w14:paraId="73BFD303">
      <w:pPr>
        <w:snapToGrid w:val="0"/>
        <w:spacing w:line="360" w:lineRule="auto"/>
        <w:ind w:firstLine="420" w:firstLineChars="200"/>
        <w:rPr>
          <w:rFonts w:hint="eastAsia" w:ascii="宋体" w:hAnsi="宋体" w:eastAsia="宋体" w:cs="宋体"/>
        </w:rPr>
      </w:pPr>
    </w:p>
    <w:p w14:paraId="210F1DBE">
      <w:pPr>
        <w:snapToGrid w:val="0"/>
        <w:spacing w:line="360" w:lineRule="auto"/>
        <w:ind w:firstLine="420" w:firstLineChars="200"/>
        <w:rPr>
          <w:rFonts w:hint="eastAsia" w:ascii="宋体" w:hAnsi="宋体" w:eastAsia="宋体" w:cs="宋体"/>
        </w:rPr>
      </w:pPr>
      <w:r>
        <w:rPr>
          <w:rFonts w:hint="eastAsia" w:ascii="宋体" w:hAnsi="宋体" w:eastAsia="宋体" w:cs="宋体"/>
        </w:rPr>
        <w:t>三、保修责任</w:t>
      </w:r>
    </w:p>
    <w:p w14:paraId="5BF4BB0B">
      <w:pPr>
        <w:snapToGrid w:val="0"/>
        <w:spacing w:line="360" w:lineRule="auto"/>
        <w:ind w:firstLine="420" w:firstLineChars="200"/>
        <w:rPr>
          <w:rFonts w:hint="eastAsia" w:ascii="宋体" w:hAnsi="宋体" w:eastAsia="宋体" w:cs="宋体"/>
        </w:rPr>
      </w:pPr>
      <w:r>
        <w:rPr>
          <w:rFonts w:hint="eastAsia" w:ascii="宋体" w:hAnsi="宋体" w:eastAsia="宋体" w:cs="宋体"/>
        </w:rPr>
        <w:t>1、属于责任范围、内容的项目，承包人应当在接到保修通知之日起7天内派人保修。承包人不在约定期限内派人保修的，发包人可以委托他人修理。</w:t>
      </w:r>
    </w:p>
    <w:p w14:paraId="56B8779A">
      <w:pPr>
        <w:snapToGrid w:val="0"/>
        <w:spacing w:line="360" w:lineRule="auto"/>
        <w:ind w:firstLine="420" w:firstLineChars="200"/>
        <w:rPr>
          <w:rFonts w:hint="eastAsia" w:ascii="宋体" w:hAnsi="宋体" w:eastAsia="宋体" w:cs="宋体"/>
        </w:rPr>
      </w:pPr>
      <w:r>
        <w:rPr>
          <w:rFonts w:hint="eastAsia" w:ascii="宋体" w:hAnsi="宋体" w:eastAsia="宋体" w:cs="宋体"/>
        </w:rPr>
        <w:t>2、发生紧急抢修事故的，承包人在接到事故通知后，应当立即到达事故现场抢修。</w:t>
      </w:r>
    </w:p>
    <w:p w14:paraId="7DD12A48">
      <w:pPr>
        <w:snapToGrid w:val="0"/>
        <w:spacing w:line="360" w:lineRule="auto"/>
        <w:ind w:firstLine="420" w:firstLineChars="200"/>
        <w:rPr>
          <w:rFonts w:hint="eastAsia" w:ascii="宋体" w:hAnsi="宋体" w:eastAsia="宋体" w:cs="宋体"/>
        </w:rPr>
      </w:pPr>
      <w:r>
        <w:rPr>
          <w:rFonts w:hint="eastAsia" w:ascii="宋体" w:hAnsi="宋体" w:eastAsia="宋体" w:cs="宋体"/>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5C4FF61A">
      <w:pPr>
        <w:snapToGrid w:val="0"/>
        <w:spacing w:line="360" w:lineRule="auto"/>
        <w:ind w:firstLine="420" w:firstLineChars="200"/>
        <w:rPr>
          <w:rFonts w:hint="eastAsia" w:ascii="宋体" w:hAnsi="宋体" w:eastAsia="宋体" w:cs="宋体"/>
        </w:rPr>
      </w:pPr>
      <w:r>
        <w:rPr>
          <w:rFonts w:hint="eastAsia" w:ascii="宋体" w:hAnsi="宋体" w:eastAsia="宋体" w:cs="宋体"/>
        </w:rPr>
        <w:t>4、质量保修完成后，由发包人组织验收。</w:t>
      </w:r>
    </w:p>
    <w:p w14:paraId="02A13DA8">
      <w:pPr>
        <w:snapToGrid w:val="0"/>
        <w:spacing w:line="360" w:lineRule="auto"/>
        <w:ind w:firstLine="420" w:firstLineChars="200"/>
        <w:rPr>
          <w:rFonts w:hint="eastAsia" w:ascii="宋体" w:hAnsi="宋体" w:eastAsia="宋体" w:cs="宋体"/>
        </w:rPr>
      </w:pPr>
      <w:r>
        <w:rPr>
          <w:rFonts w:hint="eastAsia" w:ascii="宋体" w:hAnsi="宋体" w:eastAsia="宋体" w:cs="宋体"/>
        </w:rPr>
        <w:t>四、保修费用</w:t>
      </w:r>
    </w:p>
    <w:p w14:paraId="7EC71352">
      <w:pPr>
        <w:snapToGrid w:val="0"/>
        <w:spacing w:line="360" w:lineRule="auto"/>
        <w:ind w:firstLine="420" w:firstLineChars="200"/>
        <w:rPr>
          <w:rFonts w:hint="eastAsia" w:ascii="宋体" w:hAnsi="宋体" w:eastAsia="宋体" w:cs="宋体"/>
          <w:u w:val="single"/>
        </w:rPr>
      </w:pPr>
      <w:r>
        <w:rPr>
          <w:rFonts w:hint="eastAsia" w:ascii="宋体" w:hAnsi="宋体" w:eastAsia="宋体" w:cs="宋体"/>
        </w:rPr>
        <w:t>保修费用由造成质量缺陷的责任方承担。</w:t>
      </w:r>
    </w:p>
    <w:p w14:paraId="363D20F6">
      <w:pPr>
        <w:snapToGrid w:val="0"/>
        <w:spacing w:line="360" w:lineRule="auto"/>
        <w:ind w:firstLine="420" w:firstLineChars="200"/>
        <w:rPr>
          <w:rFonts w:hint="eastAsia" w:ascii="宋体" w:hAnsi="宋体" w:eastAsia="宋体" w:cs="宋体"/>
        </w:rPr>
      </w:pPr>
      <w:r>
        <w:rPr>
          <w:rFonts w:hint="eastAsia" w:ascii="宋体" w:hAnsi="宋体" w:eastAsia="宋体" w:cs="宋体"/>
        </w:rPr>
        <w:t>五、其他</w:t>
      </w:r>
    </w:p>
    <w:p w14:paraId="6226449F">
      <w:pPr>
        <w:snapToGrid w:val="0"/>
        <w:spacing w:line="360" w:lineRule="auto"/>
        <w:ind w:firstLine="420" w:firstLineChars="200"/>
        <w:rPr>
          <w:rFonts w:hint="eastAsia" w:ascii="宋体" w:hAnsi="宋体" w:eastAsia="宋体" w:cs="宋体"/>
        </w:rPr>
      </w:pPr>
      <w:r>
        <w:rPr>
          <w:rFonts w:hint="eastAsia" w:ascii="宋体" w:hAnsi="宋体" w:eastAsia="宋体" w:cs="宋体"/>
        </w:rPr>
        <w:t>双方约定的其他工程保修责任事项：</w:t>
      </w:r>
      <w:r>
        <w:rPr>
          <w:rFonts w:hint="eastAsia" w:ascii="宋体" w:hAnsi="宋体" w:eastAsia="宋体" w:cs="宋体"/>
          <w:szCs w:val="21"/>
          <w:u w:val="single"/>
        </w:rPr>
        <w:t xml:space="preserve">     </w:t>
      </w:r>
      <w:r>
        <w:rPr>
          <w:rFonts w:hint="eastAsia" w:ascii="宋体" w:hAnsi="宋体" w:eastAsia="宋体" w:cs="宋体"/>
          <w:szCs w:val="21"/>
          <w:u w:val="single"/>
          <w:lang w:bidi="zh-CN"/>
        </w:rPr>
        <w:t>无</w:t>
      </w:r>
      <w:r>
        <w:rPr>
          <w:rFonts w:hint="eastAsia" w:ascii="宋体" w:hAnsi="宋体" w:eastAsia="宋体" w:cs="宋体"/>
          <w:szCs w:val="21"/>
          <w:u w:val="single"/>
        </w:rPr>
        <w:t xml:space="preserve">                          </w:t>
      </w:r>
    </w:p>
    <w:p w14:paraId="71237DFF">
      <w:pPr>
        <w:snapToGrid w:val="0"/>
        <w:spacing w:line="360" w:lineRule="auto"/>
        <w:rPr>
          <w:rFonts w:hint="eastAsia" w:ascii="宋体" w:hAnsi="宋体" w:eastAsia="宋体" w:cs="宋体"/>
          <w:u w:val="single"/>
        </w:rPr>
      </w:pPr>
    </w:p>
    <w:p w14:paraId="79A59199">
      <w:pPr>
        <w:snapToGrid w:val="0"/>
        <w:spacing w:line="360" w:lineRule="auto"/>
        <w:ind w:firstLine="420" w:firstLineChars="200"/>
        <w:rPr>
          <w:rFonts w:hint="eastAsia" w:ascii="宋体" w:hAnsi="宋体" w:eastAsia="宋体" w:cs="宋体"/>
        </w:rPr>
      </w:pPr>
      <w:r>
        <w:rPr>
          <w:rFonts w:hint="eastAsia" w:ascii="宋体" w:hAnsi="宋体" w:eastAsia="宋体" w:cs="宋体"/>
        </w:rPr>
        <w:t>本工程保修书，由施工合同发包人、承包人双方在竣工验收前共同签署，作为施工合同附件，其有效期限至保修期满。</w:t>
      </w:r>
    </w:p>
    <w:p w14:paraId="5FCFA56C">
      <w:pPr>
        <w:snapToGrid w:val="0"/>
        <w:spacing w:line="360" w:lineRule="auto"/>
        <w:rPr>
          <w:rFonts w:hint="eastAsia" w:ascii="宋体" w:hAnsi="宋体" w:eastAsia="宋体" w:cs="宋体"/>
        </w:rPr>
      </w:pPr>
    </w:p>
    <w:p w14:paraId="3C0A1067">
      <w:pPr>
        <w:snapToGrid w:val="0"/>
        <w:spacing w:line="360" w:lineRule="auto"/>
        <w:rPr>
          <w:rFonts w:hint="eastAsia" w:ascii="宋体" w:hAnsi="宋体" w:eastAsia="宋体" w:cs="宋体"/>
        </w:rPr>
      </w:pPr>
      <w:r>
        <w:rPr>
          <w:rFonts w:hint="eastAsia" w:ascii="宋体" w:hAnsi="宋体" w:eastAsia="宋体" w:cs="宋体"/>
        </w:rPr>
        <w:t>发包人：</w:t>
      </w:r>
      <w:r>
        <w:rPr>
          <w:rFonts w:hint="eastAsia" w:ascii="宋体" w:hAnsi="宋体" w:eastAsia="宋体" w:cs="宋体"/>
          <w:szCs w:val="21"/>
          <w:u w:val="single"/>
        </w:rPr>
        <w:t xml:space="preserve">               </w:t>
      </w:r>
      <w:r>
        <w:rPr>
          <w:rFonts w:hint="eastAsia" w:ascii="宋体" w:hAnsi="宋体" w:eastAsia="宋体" w:cs="宋体"/>
        </w:rPr>
        <w:t>（公章）      承包人：</w:t>
      </w:r>
      <w:r>
        <w:rPr>
          <w:rFonts w:hint="eastAsia" w:ascii="宋体" w:hAnsi="宋体" w:eastAsia="宋体" w:cs="宋体"/>
          <w:szCs w:val="21"/>
          <w:u w:val="single"/>
          <w:lang w:bidi="zh-CN"/>
        </w:rPr>
        <w:t xml:space="preserve">                          </w:t>
      </w:r>
      <w:r>
        <w:rPr>
          <w:rFonts w:hint="eastAsia" w:ascii="宋体" w:hAnsi="宋体" w:eastAsia="宋体" w:cs="宋体"/>
        </w:rPr>
        <w:t>（公章）</w:t>
      </w:r>
    </w:p>
    <w:p w14:paraId="69241608">
      <w:pPr>
        <w:snapToGrid w:val="0"/>
        <w:spacing w:line="360" w:lineRule="auto"/>
        <w:rPr>
          <w:rFonts w:hint="eastAsia" w:ascii="宋体" w:hAnsi="宋体" w:eastAsia="宋体" w:cs="宋体"/>
        </w:rPr>
      </w:pPr>
      <w:r>
        <w:rPr>
          <w:rFonts w:hint="eastAsia" w:ascii="宋体" w:hAnsi="宋体" w:eastAsia="宋体" w:cs="宋体"/>
        </w:rPr>
        <w:t>法定地址：</w:t>
      </w:r>
      <w:r>
        <w:rPr>
          <w:rFonts w:hint="eastAsia" w:ascii="宋体" w:hAnsi="宋体" w:eastAsia="宋体" w:cs="宋体"/>
          <w:szCs w:val="21"/>
          <w:u w:val="single"/>
        </w:rPr>
        <w:t xml:space="preserve">               </w:t>
      </w:r>
      <w:r>
        <w:rPr>
          <w:rFonts w:hint="eastAsia" w:ascii="宋体" w:hAnsi="宋体" w:eastAsia="宋体" w:cs="宋体"/>
        </w:rPr>
        <w:t xml:space="preserve">             法定地址： </w:t>
      </w:r>
      <w:r>
        <w:rPr>
          <w:rFonts w:hint="eastAsia" w:ascii="宋体" w:hAnsi="宋体" w:eastAsia="宋体" w:cs="宋体"/>
          <w:u w:val="single"/>
        </w:rPr>
        <w:t xml:space="preserve">                         </w:t>
      </w:r>
      <w:r>
        <w:rPr>
          <w:rFonts w:hint="eastAsia" w:ascii="宋体" w:hAnsi="宋体" w:eastAsia="宋体" w:cs="宋体"/>
        </w:rPr>
        <w:t xml:space="preserve"> </w:t>
      </w:r>
    </w:p>
    <w:p w14:paraId="286E3036">
      <w:pPr>
        <w:snapToGrid w:val="0"/>
        <w:spacing w:line="360" w:lineRule="auto"/>
        <w:rPr>
          <w:rFonts w:hint="eastAsia" w:ascii="宋体" w:hAnsi="宋体" w:eastAsia="宋体" w:cs="宋体"/>
        </w:rPr>
      </w:pPr>
      <w:r>
        <w:rPr>
          <w:rFonts w:hint="eastAsia" w:ascii="宋体" w:hAnsi="宋体" w:eastAsia="宋体" w:cs="宋体"/>
        </w:rPr>
        <w:t>法定代表人或其                        法定代表人或其</w:t>
      </w:r>
    </w:p>
    <w:p w14:paraId="263C5266">
      <w:pPr>
        <w:snapToGrid w:val="0"/>
        <w:spacing w:line="360" w:lineRule="auto"/>
        <w:rPr>
          <w:rFonts w:hint="eastAsia" w:ascii="宋体" w:hAnsi="宋体" w:eastAsia="宋体" w:cs="宋体"/>
        </w:rPr>
      </w:pPr>
      <w:r>
        <w:rPr>
          <w:rFonts w:hint="eastAsia" w:ascii="宋体" w:hAnsi="宋体" w:eastAsia="宋体" w:cs="宋体"/>
        </w:rPr>
        <w:t>委托代理人：</w:t>
      </w:r>
      <w:r>
        <w:rPr>
          <w:rFonts w:hint="eastAsia" w:ascii="宋体" w:hAnsi="宋体" w:eastAsia="宋体" w:cs="宋体"/>
          <w:szCs w:val="21"/>
          <w:u w:val="single"/>
        </w:rPr>
        <w:t xml:space="preserve">           </w:t>
      </w:r>
      <w:r>
        <w:rPr>
          <w:rFonts w:hint="eastAsia" w:ascii="宋体" w:hAnsi="宋体" w:eastAsia="宋体" w:cs="宋体"/>
        </w:rPr>
        <w:t>（签字）       委托代理人：</w:t>
      </w:r>
      <w:r>
        <w:rPr>
          <w:rFonts w:hint="eastAsia" w:ascii="宋体" w:hAnsi="宋体" w:eastAsia="宋体" w:cs="宋体"/>
          <w:szCs w:val="21"/>
          <w:u w:val="single"/>
        </w:rPr>
        <w:t xml:space="preserve">                   </w:t>
      </w:r>
      <w:r>
        <w:rPr>
          <w:rFonts w:hint="eastAsia" w:ascii="宋体" w:hAnsi="宋体" w:eastAsia="宋体" w:cs="宋体"/>
        </w:rPr>
        <w:t>（签字）</w:t>
      </w:r>
    </w:p>
    <w:p w14:paraId="7331D12B">
      <w:pPr>
        <w:snapToGrid w:val="0"/>
        <w:spacing w:line="360" w:lineRule="auto"/>
        <w:rPr>
          <w:rFonts w:hint="eastAsia" w:ascii="宋体" w:hAnsi="宋体" w:eastAsia="宋体" w:cs="宋体"/>
        </w:rPr>
      </w:pPr>
      <w:r>
        <w:rPr>
          <w:rFonts w:hint="eastAsia" w:ascii="宋体" w:hAnsi="宋体" w:eastAsia="宋体" w:cs="宋体"/>
        </w:rPr>
        <w:t>电话：</w:t>
      </w:r>
      <w:r>
        <w:rPr>
          <w:rFonts w:hint="eastAsia" w:ascii="宋体" w:hAnsi="宋体" w:eastAsia="宋体" w:cs="宋体"/>
          <w:szCs w:val="21"/>
          <w:u w:val="single"/>
        </w:rPr>
        <w:t xml:space="preserve">               </w:t>
      </w:r>
      <w:r>
        <w:rPr>
          <w:rFonts w:hint="eastAsia" w:ascii="宋体" w:hAnsi="宋体" w:eastAsia="宋体" w:cs="宋体"/>
        </w:rPr>
        <w:t xml:space="preserve">                 电话：</w:t>
      </w:r>
      <w:r>
        <w:rPr>
          <w:rFonts w:hint="eastAsia" w:ascii="宋体" w:hAnsi="宋体" w:eastAsia="宋体" w:cs="宋体"/>
          <w:szCs w:val="21"/>
          <w:u w:val="single"/>
          <w:lang w:bidi="zh-CN"/>
        </w:rPr>
        <w:t xml:space="preserve">                               </w:t>
      </w:r>
    </w:p>
    <w:p w14:paraId="59324EB6">
      <w:pPr>
        <w:snapToGrid w:val="0"/>
        <w:spacing w:line="360" w:lineRule="auto"/>
        <w:rPr>
          <w:rFonts w:hint="eastAsia" w:ascii="宋体" w:hAnsi="宋体" w:eastAsia="宋体" w:cs="宋体"/>
        </w:rPr>
      </w:pPr>
      <w:r>
        <w:rPr>
          <w:rFonts w:hint="eastAsia" w:ascii="宋体" w:hAnsi="宋体" w:eastAsia="宋体" w:cs="宋体"/>
        </w:rPr>
        <w:t>开户银行：</w:t>
      </w:r>
      <w:r>
        <w:rPr>
          <w:rFonts w:hint="eastAsia" w:ascii="宋体" w:hAnsi="宋体" w:eastAsia="宋体" w:cs="宋体"/>
          <w:szCs w:val="21"/>
          <w:u w:val="single"/>
        </w:rPr>
        <w:t xml:space="preserve">               </w:t>
      </w:r>
      <w:r>
        <w:rPr>
          <w:rFonts w:hint="eastAsia" w:ascii="宋体" w:hAnsi="宋体" w:eastAsia="宋体" w:cs="宋体"/>
        </w:rPr>
        <w:t xml:space="preserve">             开户银行：</w:t>
      </w:r>
      <w:r>
        <w:rPr>
          <w:rFonts w:hint="eastAsia" w:ascii="宋体" w:hAnsi="宋体" w:eastAsia="宋体" w:cs="宋体"/>
          <w:szCs w:val="21"/>
          <w:u w:val="single"/>
          <w:lang w:bidi="zh-CN"/>
        </w:rPr>
        <w:t xml:space="preserve">                              </w:t>
      </w:r>
    </w:p>
    <w:p w14:paraId="7A029220">
      <w:pPr>
        <w:snapToGrid w:val="0"/>
        <w:spacing w:line="360" w:lineRule="auto"/>
        <w:rPr>
          <w:rFonts w:hint="eastAsia" w:ascii="宋体" w:hAnsi="宋体" w:eastAsia="宋体" w:cs="宋体"/>
        </w:rPr>
      </w:pPr>
      <w:r>
        <w:rPr>
          <w:rFonts w:hint="eastAsia" w:ascii="宋体" w:hAnsi="宋体" w:eastAsia="宋体" w:cs="宋体"/>
        </w:rPr>
        <w:t>帐号：</w:t>
      </w:r>
      <w:r>
        <w:rPr>
          <w:rFonts w:hint="eastAsia" w:ascii="宋体" w:hAnsi="宋体" w:eastAsia="宋体" w:cs="宋体"/>
          <w:szCs w:val="21"/>
          <w:u w:val="single"/>
        </w:rPr>
        <w:t xml:space="preserve">               </w:t>
      </w:r>
      <w:r>
        <w:rPr>
          <w:rFonts w:hint="eastAsia" w:ascii="宋体" w:hAnsi="宋体" w:eastAsia="宋体" w:cs="宋体"/>
        </w:rPr>
        <w:t xml:space="preserve">                 帐号：</w:t>
      </w:r>
      <w:r>
        <w:rPr>
          <w:rFonts w:hint="eastAsia" w:ascii="宋体" w:hAnsi="宋体" w:eastAsia="宋体" w:cs="宋体"/>
          <w:szCs w:val="21"/>
          <w:u w:val="single"/>
          <w:lang w:bidi="zh-CN"/>
        </w:rPr>
        <w:t xml:space="preserve">                                </w:t>
      </w:r>
    </w:p>
    <w:p w14:paraId="4FACD90C">
      <w:pPr>
        <w:snapToGrid w:val="0"/>
        <w:spacing w:line="360" w:lineRule="auto"/>
        <w:rPr>
          <w:rFonts w:hint="eastAsia" w:ascii="宋体" w:hAnsi="宋体" w:eastAsia="宋体" w:cs="宋体"/>
        </w:rPr>
      </w:pPr>
      <w:r>
        <w:rPr>
          <w:rFonts w:hint="eastAsia" w:ascii="宋体" w:hAnsi="宋体" w:eastAsia="宋体" w:cs="宋体"/>
        </w:rPr>
        <w:t>邮政编码：</w:t>
      </w:r>
      <w:r>
        <w:rPr>
          <w:rFonts w:hint="eastAsia" w:ascii="宋体" w:hAnsi="宋体" w:eastAsia="宋体" w:cs="宋体"/>
          <w:szCs w:val="21"/>
          <w:u w:val="single"/>
        </w:rPr>
        <w:t xml:space="preserve">               </w:t>
      </w:r>
      <w:r>
        <w:rPr>
          <w:rFonts w:hint="eastAsia" w:ascii="宋体" w:hAnsi="宋体" w:eastAsia="宋体" w:cs="宋体"/>
        </w:rPr>
        <w:t xml:space="preserve">             邮政编码：</w:t>
      </w:r>
      <w:r>
        <w:rPr>
          <w:rFonts w:hint="eastAsia" w:ascii="宋体" w:hAnsi="宋体" w:eastAsia="宋体" w:cs="宋体"/>
          <w:szCs w:val="21"/>
          <w:u w:val="single"/>
          <w:lang w:bidi="zh-CN"/>
        </w:rPr>
        <w:t xml:space="preserve">                    </w:t>
      </w:r>
      <w:r>
        <w:rPr>
          <w:rFonts w:hint="eastAsia" w:ascii="宋体" w:hAnsi="宋体" w:eastAsia="宋体" w:cs="宋体"/>
        </w:rPr>
        <w:t xml:space="preserve">           </w:t>
      </w:r>
    </w:p>
    <w:p w14:paraId="350F9247">
      <w:pPr>
        <w:pStyle w:val="92"/>
        <w:spacing w:before="156" w:after="156"/>
        <w:rPr>
          <w:rFonts w:hint="eastAsia" w:ascii="宋体" w:hAnsi="宋体" w:eastAsia="宋体" w:cs="宋体"/>
          <w:sz w:val="24"/>
          <w:szCs w:val="24"/>
        </w:rPr>
      </w:pPr>
      <w:r>
        <w:rPr>
          <w:rFonts w:hint="eastAsia" w:ascii="宋体" w:hAnsi="宋体" w:eastAsia="宋体" w:cs="宋体"/>
        </w:rPr>
        <w:br w:type="page"/>
      </w:r>
      <w:bookmarkStart w:id="595" w:name="_Toc22031753"/>
      <w:bookmarkStart w:id="596" w:name="_Toc497214128"/>
      <w:bookmarkStart w:id="597" w:name="_Toc135239979"/>
      <w:bookmarkStart w:id="598" w:name="_Toc489219297"/>
      <w:bookmarkStart w:id="599" w:name="_Toc485338210"/>
      <w:bookmarkStart w:id="600" w:name="_Toc497584569"/>
      <w:r>
        <w:rPr>
          <w:rFonts w:hint="eastAsia" w:ascii="宋体" w:hAnsi="宋体" w:eastAsia="宋体" w:cs="宋体"/>
          <w:sz w:val="24"/>
          <w:szCs w:val="24"/>
        </w:rPr>
        <w:t>附件六：廉政责任书格式</w:t>
      </w:r>
      <w:bookmarkEnd w:id="595"/>
      <w:bookmarkEnd w:id="596"/>
      <w:bookmarkEnd w:id="597"/>
      <w:bookmarkEnd w:id="598"/>
      <w:bookmarkEnd w:id="599"/>
      <w:bookmarkEnd w:id="600"/>
    </w:p>
    <w:p w14:paraId="316B7D5E">
      <w:pPr>
        <w:snapToGrid w:val="0"/>
        <w:spacing w:line="360" w:lineRule="auto"/>
        <w:ind w:firstLine="488"/>
        <w:jc w:val="center"/>
        <w:rPr>
          <w:rFonts w:hint="eastAsia" w:ascii="宋体" w:hAnsi="宋体" w:eastAsia="宋体" w:cs="宋体"/>
        </w:rPr>
      </w:pPr>
    </w:p>
    <w:p w14:paraId="03B5553F">
      <w:pPr>
        <w:snapToGrid w:val="0"/>
        <w:spacing w:line="360" w:lineRule="auto"/>
        <w:jc w:val="center"/>
        <w:rPr>
          <w:rFonts w:hint="eastAsia" w:ascii="宋体" w:hAnsi="宋体" w:eastAsia="宋体" w:cs="宋体"/>
          <w:b/>
          <w:sz w:val="28"/>
        </w:rPr>
      </w:pPr>
      <w:r>
        <w:rPr>
          <w:rFonts w:hint="eastAsia" w:ascii="宋体" w:hAnsi="宋体" w:eastAsia="宋体" w:cs="宋体"/>
          <w:b/>
          <w:sz w:val="28"/>
        </w:rPr>
        <w:t>建设工程廉政责任书</w:t>
      </w:r>
    </w:p>
    <w:p w14:paraId="5E93FA0C">
      <w:pPr>
        <w:snapToGrid w:val="0"/>
        <w:spacing w:line="360" w:lineRule="auto"/>
        <w:ind w:firstLine="420" w:firstLineChars="200"/>
        <w:rPr>
          <w:rFonts w:hint="eastAsia" w:ascii="宋体" w:hAnsi="宋体" w:eastAsia="宋体" w:cs="宋体"/>
        </w:rPr>
      </w:pPr>
    </w:p>
    <w:p w14:paraId="6DEC85FC">
      <w:pPr>
        <w:snapToGrid w:val="0"/>
        <w:spacing w:line="360" w:lineRule="auto"/>
        <w:rPr>
          <w:rFonts w:hint="eastAsia" w:ascii="宋体" w:hAnsi="宋体" w:eastAsia="宋体" w:cs="宋体"/>
          <w:u w:val="single"/>
        </w:rPr>
      </w:pPr>
      <w:r>
        <w:rPr>
          <w:rFonts w:hint="eastAsia" w:ascii="宋体" w:hAnsi="宋体" w:eastAsia="宋体" w:cs="宋体"/>
        </w:rPr>
        <w:t>发包人：</w:t>
      </w:r>
      <w:r>
        <w:rPr>
          <w:rFonts w:hint="eastAsia" w:ascii="宋体" w:hAnsi="宋体" w:eastAsia="宋体" w:cs="宋体"/>
          <w:szCs w:val="21"/>
          <w:u w:val="single"/>
        </w:rPr>
        <w:t>北京市海淀区人民政府永定路街道办事处</w:t>
      </w:r>
    </w:p>
    <w:p w14:paraId="25DCF668">
      <w:pPr>
        <w:snapToGrid w:val="0"/>
        <w:spacing w:line="360" w:lineRule="auto"/>
        <w:rPr>
          <w:rFonts w:hint="eastAsia" w:ascii="宋体" w:hAnsi="宋体" w:eastAsia="宋体" w:cs="宋体"/>
        </w:rPr>
      </w:pPr>
      <w:r>
        <w:rPr>
          <w:rFonts w:hint="eastAsia" w:ascii="宋体" w:hAnsi="宋体" w:eastAsia="宋体" w:cs="宋体"/>
        </w:rPr>
        <w:t>承包人：</w:t>
      </w:r>
      <w:r>
        <w:rPr>
          <w:rFonts w:hint="eastAsia" w:ascii="宋体" w:hAnsi="宋体" w:eastAsia="宋体" w:cs="宋体"/>
          <w:szCs w:val="21"/>
          <w:u w:val="single"/>
        </w:rPr>
        <w:t xml:space="preserve">                                   </w:t>
      </w:r>
    </w:p>
    <w:p w14:paraId="28E5AFF3">
      <w:pPr>
        <w:snapToGrid w:val="0"/>
        <w:spacing w:line="360" w:lineRule="auto"/>
        <w:ind w:firstLine="420" w:firstLineChars="200"/>
        <w:rPr>
          <w:rFonts w:hint="eastAsia" w:ascii="宋体" w:hAnsi="宋体" w:eastAsia="宋体" w:cs="宋体"/>
        </w:rPr>
      </w:pPr>
    </w:p>
    <w:p w14:paraId="0E9BD1A6">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0AC69504">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一、双方的责任</w:t>
      </w:r>
    </w:p>
    <w:p w14:paraId="7F4F6768">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1.1 应严格遵守国家关于建设工程的有关法律、法规，相关政策，以及廉政建设的各项规定。</w:t>
      </w:r>
    </w:p>
    <w:p w14:paraId="243F0063">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1.2 严格执行建设工程合同文件，自觉按合同办事。</w:t>
      </w:r>
    </w:p>
    <w:p w14:paraId="1FFE9655">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1.3 各项活动必须坚持公开、公平、公正、诚信、透明的原则（除法律法规另有规定者外），不得为获取不正当的利益，损害国家、集体和对方利益，不得违反建设工程管理的规章制度。</w:t>
      </w:r>
    </w:p>
    <w:p w14:paraId="04D9EF7C">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1.4 发现对方在业务活动中有违规、违纪、违法行为的，应及时提醒对方，情节严重的，应向其上级主管部门或纪检监察、司法等有关机关举报。</w:t>
      </w:r>
    </w:p>
    <w:p w14:paraId="37C508CB">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二、发包人责任</w:t>
      </w:r>
    </w:p>
    <w:p w14:paraId="1CEF15AF">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发包人的领导和从事该建设工程项目的工作人员，在工程建设的事前、事中、事后应遵守以下规定：</w:t>
      </w:r>
    </w:p>
    <w:p w14:paraId="1B1FAE6C">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2.1不得向承包人和相关单位索要或接受回扣、礼金、有价证券、贵重物品和好处费、感谢费等。</w:t>
      </w:r>
    </w:p>
    <w:p w14:paraId="29732287">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2.2 不得在承包人和相关单位报销任何应由发包人或个人支付的费用。</w:t>
      </w:r>
    </w:p>
    <w:p w14:paraId="41005ED9">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2.3 不得要求、暗示或接受承包人和相关单位为个人装修住房、婚丧嫁娶、配偶子女的工作安排以及出国（境）、旅游等提供方便。</w:t>
      </w:r>
    </w:p>
    <w:p w14:paraId="46438173">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2.4 不得参加有可能影响公正执行公务的承包人和相关单位的宴请、健身、娱乐等活动。</w:t>
      </w:r>
    </w:p>
    <w:p w14:paraId="26C9F1B8">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2.5 不得向承包人和相关单位介绍或为配偶、子女、亲属参与同发包人工程建设管理合同有关的业务活动；不得以任何理由要求承包人和相关单位使用某种产品、材料和设备。</w:t>
      </w:r>
    </w:p>
    <w:p w14:paraId="2C4AEAA0">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三、承包人责任</w:t>
      </w:r>
    </w:p>
    <w:p w14:paraId="5117BA3D">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应与发包人保持正常的业务交往，按照有关法律法规和程序开展业务工作，严格执行工程建设的有关方针、政策，执行工程建设强制性标准，并遵守以下规定：</w:t>
      </w:r>
    </w:p>
    <w:p w14:paraId="1650A641">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3.1 不得以任何理由向发包人及其工作人员索要、接受或赠送礼金、有价证券、贵重物品及回扣、好处费、感谢费等。</w:t>
      </w:r>
    </w:p>
    <w:p w14:paraId="2F06DB43">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3.2不得以任何理由为发包人和相关单位报销应由对方或个人支付的费用。</w:t>
      </w:r>
    </w:p>
    <w:p w14:paraId="35167667">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3.3不得接受或暗示为发包人、相关单位或个人装修住房、婚丧嫁娶、配偶子女的工作安排以及出国（境）、旅游等提供方便。</w:t>
      </w:r>
    </w:p>
    <w:p w14:paraId="39C917D3">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3.4不得以任何理由为发包人、相关单位或个人组织有可能影响公正执行公务的宴请、健身、娱乐等活动。</w:t>
      </w:r>
    </w:p>
    <w:p w14:paraId="72A3BB49">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四、违约责任</w:t>
      </w:r>
    </w:p>
    <w:p w14:paraId="0E54E439">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4.1发包人工作人员有违反本责任书第一、二条责任行为的，依据有关法律、法规给予处理；涉嫌犯罪的，移交司法机关追究刑事责任；给承包人单位造成经济损失的，应予以赔偿。</w:t>
      </w:r>
    </w:p>
    <w:p w14:paraId="69C40631">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4.2 承包人工作人员有违反本责任书第一、三条责任行为的，依据有关法律法规处理；涉嫌犯罪的，移交司法机关追究刑事责任；给发包人单位造成经济损失的，应予以赔偿。</w:t>
      </w:r>
    </w:p>
    <w:p w14:paraId="202E7B71">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4.3 本责任书作为建设工程合同的组成部分，与建设工程合同具有同等法律效力。经双方签署后立即生效。</w:t>
      </w:r>
    </w:p>
    <w:p w14:paraId="32425845">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五、责任书有效期</w:t>
      </w:r>
    </w:p>
    <w:p w14:paraId="36412E14">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本责任书的有效期为双方签署之日起至该工程项目竣工验收合格时止。</w:t>
      </w:r>
    </w:p>
    <w:p w14:paraId="7D917507">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六、责任书份数</w:t>
      </w:r>
    </w:p>
    <w:p w14:paraId="50437D7C">
      <w:pPr>
        <w:snapToGrid w:val="0"/>
        <w:spacing w:line="360" w:lineRule="auto"/>
        <w:ind w:firstLine="420" w:firstLineChars="200"/>
        <w:rPr>
          <w:rFonts w:hint="eastAsia" w:ascii="宋体" w:hAnsi="宋体" w:eastAsia="宋体" w:cs="宋体"/>
          <w:szCs w:val="28"/>
        </w:rPr>
      </w:pPr>
      <w:r>
        <w:rPr>
          <w:rFonts w:hint="eastAsia" w:ascii="宋体" w:hAnsi="宋体" w:eastAsia="宋体" w:cs="宋体"/>
          <w:szCs w:val="28"/>
        </w:rPr>
        <w:t>本责任书一式二份，发包人承包人各执一份，具有同等效力。</w:t>
      </w:r>
    </w:p>
    <w:p w14:paraId="4831E646">
      <w:pPr>
        <w:snapToGrid w:val="0"/>
        <w:spacing w:line="360" w:lineRule="auto"/>
        <w:rPr>
          <w:rFonts w:hint="eastAsia" w:ascii="宋体" w:hAnsi="宋体" w:eastAsia="宋体" w:cs="宋体"/>
          <w:szCs w:val="28"/>
        </w:rPr>
      </w:pPr>
    </w:p>
    <w:p w14:paraId="3D5BD84E">
      <w:pPr>
        <w:snapToGrid w:val="0"/>
        <w:spacing w:line="360" w:lineRule="auto"/>
        <w:rPr>
          <w:rFonts w:hint="eastAsia" w:ascii="宋体" w:hAnsi="宋体" w:eastAsia="宋体" w:cs="宋体"/>
        </w:rPr>
      </w:pPr>
    </w:p>
    <w:p w14:paraId="0786101E">
      <w:pPr>
        <w:snapToGrid w:val="0"/>
        <w:spacing w:line="360" w:lineRule="auto"/>
        <w:rPr>
          <w:rFonts w:hint="eastAsia" w:ascii="宋体" w:hAnsi="宋体" w:eastAsia="宋体" w:cs="宋体"/>
        </w:rPr>
      </w:pPr>
      <w:r>
        <w:rPr>
          <w:rFonts w:hint="eastAsia" w:ascii="宋体" w:hAnsi="宋体" w:eastAsia="宋体" w:cs="宋体"/>
        </w:rPr>
        <w:t>发包人：</w:t>
      </w:r>
      <w:r>
        <w:rPr>
          <w:rFonts w:hint="eastAsia" w:ascii="宋体" w:hAnsi="宋体" w:eastAsia="宋体" w:cs="宋体"/>
          <w:szCs w:val="21"/>
          <w:u w:val="single"/>
        </w:rPr>
        <w:t xml:space="preserve">               </w:t>
      </w:r>
      <w:r>
        <w:rPr>
          <w:rFonts w:hint="eastAsia" w:ascii="宋体" w:hAnsi="宋体" w:eastAsia="宋体" w:cs="宋体"/>
        </w:rPr>
        <w:t>（公章）      承包人：</w:t>
      </w:r>
      <w:r>
        <w:rPr>
          <w:rFonts w:hint="eastAsia" w:ascii="宋体" w:hAnsi="宋体" w:eastAsia="宋体" w:cs="宋体"/>
          <w:szCs w:val="21"/>
          <w:u w:val="single"/>
          <w:lang w:bidi="zh-CN"/>
        </w:rPr>
        <w:t xml:space="preserve">                          </w:t>
      </w:r>
      <w:r>
        <w:rPr>
          <w:rFonts w:hint="eastAsia" w:ascii="宋体" w:hAnsi="宋体" w:eastAsia="宋体" w:cs="宋体"/>
        </w:rPr>
        <w:t>（公章）</w:t>
      </w:r>
    </w:p>
    <w:p w14:paraId="3D24F1F7">
      <w:pPr>
        <w:snapToGrid w:val="0"/>
        <w:spacing w:line="360" w:lineRule="auto"/>
        <w:rPr>
          <w:rFonts w:hint="eastAsia" w:ascii="宋体" w:hAnsi="宋体" w:eastAsia="宋体" w:cs="宋体"/>
        </w:rPr>
      </w:pPr>
      <w:r>
        <w:rPr>
          <w:rFonts w:hint="eastAsia" w:ascii="宋体" w:hAnsi="宋体" w:eastAsia="宋体" w:cs="宋体"/>
        </w:rPr>
        <w:t>法定地址：</w:t>
      </w:r>
      <w:r>
        <w:rPr>
          <w:rFonts w:hint="eastAsia" w:ascii="宋体" w:hAnsi="宋体" w:eastAsia="宋体" w:cs="宋体"/>
          <w:szCs w:val="21"/>
          <w:u w:val="single"/>
        </w:rPr>
        <w:t xml:space="preserve">               </w:t>
      </w:r>
      <w:r>
        <w:rPr>
          <w:rFonts w:hint="eastAsia" w:ascii="宋体" w:hAnsi="宋体" w:eastAsia="宋体" w:cs="宋体"/>
        </w:rPr>
        <w:t xml:space="preserve">             法定地址：</w:t>
      </w:r>
      <w:r>
        <w:rPr>
          <w:rFonts w:hint="eastAsia" w:ascii="宋体" w:hAnsi="宋体" w:eastAsia="宋体" w:cs="宋体"/>
          <w:szCs w:val="21"/>
          <w:u w:val="single"/>
          <w:lang w:bidi="zh-CN"/>
        </w:rPr>
        <w:t xml:space="preserve">                        </w:t>
      </w:r>
    </w:p>
    <w:p w14:paraId="4D636ADE">
      <w:pPr>
        <w:snapToGrid w:val="0"/>
        <w:spacing w:line="360" w:lineRule="auto"/>
        <w:rPr>
          <w:rFonts w:hint="eastAsia" w:ascii="宋体" w:hAnsi="宋体" w:eastAsia="宋体" w:cs="宋体"/>
        </w:rPr>
      </w:pPr>
      <w:r>
        <w:rPr>
          <w:rFonts w:hint="eastAsia" w:ascii="宋体" w:hAnsi="宋体" w:eastAsia="宋体" w:cs="宋体"/>
        </w:rPr>
        <w:t>法定代表人或其                        法定代表人或其</w:t>
      </w:r>
    </w:p>
    <w:p w14:paraId="7A07B431">
      <w:pPr>
        <w:snapToGrid w:val="0"/>
        <w:spacing w:line="360" w:lineRule="auto"/>
        <w:rPr>
          <w:rFonts w:hint="eastAsia" w:ascii="宋体" w:hAnsi="宋体" w:eastAsia="宋体" w:cs="宋体"/>
        </w:rPr>
      </w:pPr>
      <w:r>
        <w:rPr>
          <w:rFonts w:hint="eastAsia" w:ascii="宋体" w:hAnsi="宋体" w:eastAsia="宋体" w:cs="宋体"/>
        </w:rPr>
        <w:t>委托代理人：</w:t>
      </w:r>
      <w:r>
        <w:rPr>
          <w:rFonts w:hint="eastAsia" w:ascii="宋体" w:hAnsi="宋体" w:eastAsia="宋体" w:cs="宋体"/>
          <w:szCs w:val="21"/>
          <w:u w:val="single"/>
        </w:rPr>
        <w:t xml:space="preserve">           </w:t>
      </w:r>
      <w:r>
        <w:rPr>
          <w:rFonts w:hint="eastAsia" w:ascii="宋体" w:hAnsi="宋体" w:eastAsia="宋体" w:cs="宋体"/>
        </w:rPr>
        <w:t>（签字）       委托代理人：</w:t>
      </w:r>
      <w:r>
        <w:rPr>
          <w:rFonts w:hint="eastAsia" w:ascii="宋体" w:hAnsi="宋体" w:eastAsia="宋体" w:cs="宋体"/>
          <w:szCs w:val="21"/>
          <w:u w:val="single"/>
        </w:rPr>
        <w:t xml:space="preserve">                   </w:t>
      </w:r>
      <w:r>
        <w:rPr>
          <w:rFonts w:hint="eastAsia" w:ascii="宋体" w:hAnsi="宋体" w:eastAsia="宋体" w:cs="宋体"/>
        </w:rPr>
        <w:t>（签字）</w:t>
      </w:r>
    </w:p>
    <w:p w14:paraId="1498AB13">
      <w:pPr>
        <w:snapToGrid w:val="0"/>
        <w:spacing w:line="360" w:lineRule="auto"/>
        <w:rPr>
          <w:rFonts w:hint="eastAsia" w:ascii="宋体" w:hAnsi="宋体" w:eastAsia="宋体" w:cs="宋体"/>
        </w:rPr>
      </w:pPr>
      <w:r>
        <w:rPr>
          <w:rFonts w:hint="eastAsia" w:ascii="宋体" w:hAnsi="宋体" w:eastAsia="宋体" w:cs="宋体"/>
        </w:rPr>
        <w:t>电话：</w:t>
      </w:r>
      <w:r>
        <w:rPr>
          <w:rFonts w:hint="eastAsia" w:ascii="宋体" w:hAnsi="宋体" w:eastAsia="宋体" w:cs="宋体"/>
          <w:szCs w:val="21"/>
          <w:u w:val="single"/>
        </w:rPr>
        <w:t xml:space="preserve">               </w:t>
      </w:r>
      <w:r>
        <w:rPr>
          <w:rFonts w:hint="eastAsia" w:ascii="宋体" w:hAnsi="宋体" w:eastAsia="宋体" w:cs="宋体"/>
        </w:rPr>
        <w:t xml:space="preserve">                 电话：</w:t>
      </w:r>
      <w:r>
        <w:rPr>
          <w:rFonts w:hint="eastAsia" w:ascii="宋体" w:hAnsi="宋体" w:eastAsia="宋体" w:cs="宋体"/>
          <w:szCs w:val="21"/>
          <w:u w:val="single"/>
          <w:lang w:bidi="zh-CN"/>
        </w:rPr>
        <w:t xml:space="preserve">                      </w:t>
      </w:r>
    </w:p>
    <w:p w14:paraId="3FE7A157">
      <w:pPr>
        <w:snapToGrid w:val="0"/>
        <w:spacing w:line="360" w:lineRule="auto"/>
        <w:rPr>
          <w:rFonts w:hint="eastAsia" w:ascii="宋体" w:hAnsi="宋体" w:eastAsia="宋体" w:cs="宋体"/>
        </w:rPr>
      </w:pPr>
      <w:r>
        <w:rPr>
          <w:rFonts w:hint="eastAsia" w:ascii="宋体" w:hAnsi="宋体" w:eastAsia="宋体" w:cs="宋体"/>
        </w:rPr>
        <w:t>开户银行：</w:t>
      </w:r>
      <w:r>
        <w:rPr>
          <w:rFonts w:hint="eastAsia" w:ascii="宋体" w:hAnsi="宋体" w:eastAsia="宋体" w:cs="宋体"/>
          <w:szCs w:val="21"/>
          <w:u w:val="single"/>
        </w:rPr>
        <w:t xml:space="preserve">               </w:t>
      </w:r>
      <w:r>
        <w:rPr>
          <w:rFonts w:hint="eastAsia" w:ascii="宋体" w:hAnsi="宋体" w:eastAsia="宋体" w:cs="宋体"/>
        </w:rPr>
        <w:t xml:space="preserve">             开户银行：</w:t>
      </w:r>
      <w:r>
        <w:rPr>
          <w:rFonts w:hint="eastAsia" w:ascii="宋体" w:hAnsi="宋体" w:eastAsia="宋体" w:cs="宋体"/>
          <w:szCs w:val="21"/>
          <w:u w:val="single"/>
          <w:lang w:bidi="zh-CN"/>
        </w:rPr>
        <w:t xml:space="preserve">                    </w:t>
      </w:r>
    </w:p>
    <w:p w14:paraId="34254B3E">
      <w:pPr>
        <w:snapToGrid w:val="0"/>
        <w:spacing w:line="360" w:lineRule="auto"/>
        <w:rPr>
          <w:rFonts w:hint="eastAsia" w:ascii="宋体" w:hAnsi="宋体" w:eastAsia="宋体" w:cs="宋体"/>
        </w:rPr>
      </w:pPr>
      <w:r>
        <w:rPr>
          <w:rFonts w:hint="eastAsia" w:ascii="宋体" w:hAnsi="宋体" w:eastAsia="宋体" w:cs="宋体"/>
        </w:rPr>
        <w:t>帐号：</w:t>
      </w:r>
      <w:r>
        <w:rPr>
          <w:rFonts w:hint="eastAsia" w:ascii="宋体" w:hAnsi="宋体" w:eastAsia="宋体" w:cs="宋体"/>
          <w:szCs w:val="21"/>
          <w:u w:val="single"/>
        </w:rPr>
        <w:t xml:space="preserve">               </w:t>
      </w:r>
      <w:r>
        <w:rPr>
          <w:rFonts w:hint="eastAsia" w:ascii="宋体" w:hAnsi="宋体" w:eastAsia="宋体" w:cs="宋体"/>
        </w:rPr>
        <w:t xml:space="preserve">                 帐号：</w:t>
      </w:r>
      <w:r>
        <w:rPr>
          <w:rFonts w:hint="eastAsia" w:ascii="宋体" w:hAnsi="宋体" w:eastAsia="宋体" w:cs="宋体"/>
          <w:szCs w:val="21"/>
          <w:u w:val="single"/>
          <w:lang w:bidi="zh-CN"/>
        </w:rPr>
        <w:t xml:space="preserve">                    </w:t>
      </w:r>
    </w:p>
    <w:p w14:paraId="15C44BB0">
      <w:pPr>
        <w:snapToGrid w:val="0"/>
        <w:spacing w:line="360" w:lineRule="auto"/>
        <w:rPr>
          <w:rFonts w:hint="eastAsia" w:ascii="宋体" w:hAnsi="宋体" w:eastAsia="宋体" w:cs="宋体"/>
        </w:rPr>
      </w:pPr>
      <w:r>
        <w:rPr>
          <w:rFonts w:hint="eastAsia" w:ascii="宋体" w:hAnsi="宋体" w:eastAsia="宋体" w:cs="宋体"/>
        </w:rPr>
        <w:t>邮政编码：</w:t>
      </w:r>
      <w:r>
        <w:rPr>
          <w:rFonts w:hint="eastAsia" w:ascii="宋体" w:hAnsi="宋体" w:eastAsia="宋体" w:cs="宋体"/>
          <w:szCs w:val="21"/>
          <w:u w:val="single"/>
        </w:rPr>
        <w:t xml:space="preserve">               </w:t>
      </w:r>
      <w:r>
        <w:rPr>
          <w:rFonts w:hint="eastAsia" w:ascii="宋体" w:hAnsi="宋体" w:eastAsia="宋体" w:cs="宋体"/>
        </w:rPr>
        <w:t xml:space="preserve">             邮政编码：</w:t>
      </w:r>
      <w:r>
        <w:rPr>
          <w:rFonts w:hint="eastAsia" w:ascii="宋体" w:hAnsi="宋体" w:eastAsia="宋体" w:cs="宋体"/>
          <w:szCs w:val="21"/>
          <w:u w:val="single"/>
          <w:lang w:bidi="zh-CN"/>
        </w:rPr>
        <w:t xml:space="preserve">               </w:t>
      </w:r>
    </w:p>
    <w:p w14:paraId="26986153">
      <w:pPr>
        <w:snapToGrid w:val="0"/>
        <w:spacing w:line="360" w:lineRule="auto"/>
        <w:rPr>
          <w:rFonts w:hint="eastAsia" w:ascii="宋体" w:hAnsi="宋体" w:eastAsia="宋体" w:cs="宋体"/>
        </w:rPr>
      </w:pPr>
    </w:p>
    <w:p w14:paraId="3EDA8472">
      <w:pPr>
        <w:rPr>
          <w:rFonts w:hint="eastAsia" w:ascii="宋体" w:hAnsi="宋体" w:eastAsia="宋体" w:cs="宋体"/>
        </w:rPr>
      </w:pPr>
    </w:p>
    <w:p w14:paraId="6017D457">
      <w:pPr>
        <w:jc w:val="center"/>
        <w:rPr>
          <w:rFonts w:hint="eastAsia" w:ascii="宋体" w:hAnsi="宋体" w:eastAsia="宋体" w:cs="宋体"/>
          <w:b/>
          <w:sz w:val="52"/>
          <w:szCs w:val="52"/>
        </w:rPr>
      </w:pPr>
    </w:p>
    <w:p w14:paraId="0D3A0006">
      <w:pPr>
        <w:jc w:val="center"/>
        <w:rPr>
          <w:rFonts w:hint="eastAsia" w:ascii="宋体" w:hAnsi="宋体" w:eastAsia="宋体" w:cs="宋体"/>
          <w:b/>
          <w:sz w:val="52"/>
          <w:szCs w:val="52"/>
        </w:rPr>
      </w:pPr>
    </w:p>
    <w:p w14:paraId="051FA7AC">
      <w:pPr>
        <w:jc w:val="center"/>
        <w:rPr>
          <w:rFonts w:hint="eastAsia" w:ascii="宋体" w:hAnsi="宋体" w:eastAsia="宋体" w:cs="宋体"/>
          <w:b/>
          <w:sz w:val="28"/>
          <w:szCs w:val="28"/>
        </w:rPr>
      </w:pPr>
      <w:bookmarkStart w:id="601" w:name="_Toc490331664"/>
      <w:bookmarkStart w:id="602" w:name="_Toc486580373"/>
      <w:r>
        <w:rPr>
          <w:rFonts w:hint="eastAsia" w:ascii="宋体" w:hAnsi="宋体" w:eastAsia="宋体" w:cs="宋体"/>
          <w:b/>
          <w:sz w:val="28"/>
          <w:szCs w:val="28"/>
        </w:rPr>
        <w:t>第二部分 合同条款通用部分</w:t>
      </w:r>
    </w:p>
    <w:p w14:paraId="2A701B85">
      <w:pPr>
        <w:keepNext/>
        <w:keepLines/>
        <w:spacing w:before="156" w:beforeLines="50" w:after="156" w:afterLines="50" w:line="360" w:lineRule="auto"/>
        <w:outlineLvl w:val="1"/>
        <w:rPr>
          <w:rFonts w:hint="eastAsia" w:ascii="宋体" w:hAnsi="宋体" w:eastAsia="宋体" w:cs="宋体"/>
          <w:sz w:val="28"/>
          <w:szCs w:val="20"/>
        </w:rPr>
      </w:pPr>
      <w:bookmarkStart w:id="603" w:name="_Toc486580042"/>
      <w:bookmarkStart w:id="604" w:name="_Toc61020232"/>
      <w:bookmarkStart w:id="605" w:name="_Toc497213718"/>
      <w:bookmarkStart w:id="606" w:name="_Toc10235312"/>
      <w:bookmarkStart w:id="607" w:name="_Toc489279853"/>
      <w:bookmarkStart w:id="608" w:name="_Toc490222487"/>
      <w:r>
        <w:rPr>
          <w:rFonts w:hint="eastAsia" w:ascii="宋体" w:hAnsi="宋体" w:eastAsia="宋体" w:cs="宋体"/>
          <w:sz w:val="28"/>
          <w:szCs w:val="20"/>
        </w:rPr>
        <w:t>1.一般约定</w:t>
      </w:r>
      <w:bookmarkEnd w:id="603"/>
      <w:bookmarkEnd w:id="604"/>
      <w:bookmarkEnd w:id="605"/>
      <w:bookmarkEnd w:id="606"/>
      <w:bookmarkEnd w:id="607"/>
      <w:bookmarkEnd w:id="608"/>
    </w:p>
    <w:p w14:paraId="29DC9356">
      <w:pPr>
        <w:keepNext/>
        <w:keepLines/>
        <w:spacing w:before="156" w:beforeLines="50" w:after="156" w:afterLines="50" w:line="360" w:lineRule="auto"/>
        <w:outlineLvl w:val="2"/>
        <w:rPr>
          <w:rFonts w:hint="eastAsia" w:ascii="宋体" w:hAnsi="宋体" w:eastAsia="宋体" w:cs="宋体"/>
          <w:sz w:val="24"/>
          <w:szCs w:val="20"/>
        </w:rPr>
      </w:pPr>
      <w:bookmarkStart w:id="609" w:name="_Toc490222488"/>
      <w:bookmarkStart w:id="610" w:name="_Toc61020233"/>
      <w:bookmarkStart w:id="611" w:name="_Toc489279854"/>
      <w:bookmarkStart w:id="612" w:name="_Toc10235313"/>
      <w:bookmarkStart w:id="613" w:name="_Toc497213719"/>
      <w:bookmarkStart w:id="614" w:name="_Toc486580043"/>
      <w:r>
        <w:rPr>
          <w:rFonts w:hint="eastAsia" w:ascii="宋体" w:hAnsi="宋体" w:eastAsia="宋体" w:cs="宋体"/>
          <w:sz w:val="24"/>
          <w:szCs w:val="20"/>
        </w:rPr>
        <w:t>1.1  词语定义</w:t>
      </w:r>
      <w:bookmarkEnd w:id="609"/>
      <w:bookmarkEnd w:id="610"/>
      <w:bookmarkEnd w:id="611"/>
      <w:bookmarkEnd w:id="612"/>
      <w:bookmarkEnd w:id="613"/>
      <w:bookmarkEnd w:id="614"/>
    </w:p>
    <w:p w14:paraId="0E0D11CD">
      <w:pPr>
        <w:spacing w:line="360" w:lineRule="auto"/>
        <w:ind w:firstLine="420" w:firstLineChars="200"/>
        <w:rPr>
          <w:rFonts w:hint="eastAsia" w:ascii="宋体" w:hAnsi="宋体" w:eastAsia="宋体" w:cs="宋体"/>
        </w:rPr>
      </w:pPr>
      <w:r>
        <w:rPr>
          <w:rFonts w:hint="eastAsia" w:ascii="宋体" w:hAnsi="宋体" w:eastAsia="宋体" w:cs="宋体"/>
        </w:rPr>
        <w:t>合同条款通用部分、合同条款专用部分中的下列词语应具有本款所赋予的含义。</w:t>
      </w:r>
    </w:p>
    <w:p w14:paraId="2670AADC">
      <w:pPr>
        <w:spacing w:line="360" w:lineRule="auto"/>
        <w:ind w:firstLine="420" w:firstLineChars="200"/>
        <w:rPr>
          <w:rFonts w:hint="eastAsia" w:ascii="宋体" w:hAnsi="宋体" w:eastAsia="宋体" w:cs="宋体"/>
        </w:rPr>
      </w:pPr>
      <w:r>
        <w:rPr>
          <w:rFonts w:hint="eastAsia" w:ascii="宋体" w:hAnsi="宋体" w:eastAsia="宋体" w:cs="宋体"/>
        </w:rPr>
        <w:t>1.1.1  合同</w:t>
      </w:r>
    </w:p>
    <w:p w14:paraId="4B57750A">
      <w:pPr>
        <w:spacing w:line="360" w:lineRule="auto"/>
        <w:ind w:firstLine="630" w:firstLineChars="300"/>
        <w:rPr>
          <w:rFonts w:hint="eastAsia" w:ascii="宋体" w:hAnsi="宋体" w:eastAsia="宋体" w:cs="宋体"/>
        </w:rPr>
      </w:pPr>
      <w:r>
        <w:rPr>
          <w:rFonts w:hint="eastAsia" w:ascii="宋体" w:hAnsi="宋体" w:eastAsia="宋体" w:cs="宋体"/>
        </w:rPr>
        <w:t>1.1.1.1  合同文件（或称合同）：指合同协议书、中标通知书、投标函及投标函附录、合同条款专用部分、合同条款通用部分、技术标准和要求、图纸、已标价工程量清单，以及其他合同文件。</w:t>
      </w:r>
    </w:p>
    <w:p w14:paraId="7531E688">
      <w:pPr>
        <w:spacing w:line="360" w:lineRule="auto"/>
        <w:ind w:firstLine="630" w:firstLineChars="300"/>
        <w:rPr>
          <w:rFonts w:hint="eastAsia" w:ascii="宋体" w:hAnsi="宋体" w:eastAsia="宋体" w:cs="宋体"/>
        </w:rPr>
      </w:pPr>
      <w:r>
        <w:rPr>
          <w:rFonts w:hint="eastAsia" w:ascii="宋体" w:hAnsi="宋体" w:eastAsia="宋体" w:cs="宋体"/>
        </w:rPr>
        <w:t>1.1.1.2  合同协议书：指第1.5款所指的合同协议书。</w:t>
      </w:r>
    </w:p>
    <w:p w14:paraId="1665F0CF">
      <w:pPr>
        <w:spacing w:line="360" w:lineRule="auto"/>
        <w:ind w:firstLine="630" w:firstLineChars="300"/>
        <w:rPr>
          <w:rFonts w:hint="eastAsia" w:ascii="宋体" w:hAnsi="宋体" w:eastAsia="宋体" w:cs="宋体"/>
        </w:rPr>
      </w:pPr>
      <w:r>
        <w:rPr>
          <w:rFonts w:hint="eastAsia" w:ascii="宋体" w:hAnsi="宋体" w:eastAsia="宋体" w:cs="宋体"/>
        </w:rPr>
        <w:t>1.1.1.3  中标通知书：指发包人通知承包人中标的函件。</w:t>
      </w:r>
    </w:p>
    <w:p w14:paraId="5FD40359">
      <w:pPr>
        <w:spacing w:line="360" w:lineRule="auto"/>
        <w:ind w:firstLine="630" w:firstLineChars="300"/>
        <w:rPr>
          <w:rFonts w:hint="eastAsia" w:ascii="宋体" w:hAnsi="宋体" w:eastAsia="宋体" w:cs="宋体"/>
        </w:rPr>
      </w:pPr>
      <w:r>
        <w:rPr>
          <w:rFonts w:hint="eastAsia" w:ascii="宋体" w:hAnsi="宋体" w:eastAsia="宋体" w:cs="宋体"/>
        </w:rPr>
        <w:t>1.1.1.4  投标函：指构成合同文件组成部分的由承包人填写并签署的投标函。</w:t>
      </w:r>
    </w:p>
    <w:p w14:paraId="6391587A">
      <w:pPr>
        <w:spacing w:line="360" w:lineRule="auto"/>
        <w:ind w:firstLine="630" w:firstLineChars="300"/>
        <w:rPr>
          <w:rFonts w:hint="eastAsia" w:ascii="宋体" w:hAnsi="宋体" w:eastAsia="宋体" w:cs="宋体"/>
        </w:rPr>
      </w:pPr>
      <w:r>
        <w:rPr>
          <w:rFonts w:hint="eastAsia" w:ascii="宋体" w:hAnsi="宋体" w:eastAsia="宋体" w:cs="宋体"/>
        </w:rPr>
        <w:t>1.1.1.5  投标函附录：指附在投标函后构成合同文件的投标函附录。</w:t>
      </w:r>
    </w:p>
    <w:p w14:paraId="59FC36C8">
      <w:pPr>
        <w:spacing w:line="360" w:lineRule="auto"/>
        <w:ind w:firstLine="630" w:firstLineChars="300"/>
        <w:rPr>
          <w:rFonts w:hint="eastAsia" w:ascii="宋体" w:hAnsi="宋体" w:eastAsia="宋体" w:cs="宋体"/>
        </w:rPr>
      </w:pPr>
      <w:r>
        <w:rPr>
          <w:rFonts w:hint="eastAsia" w:ascii="宋体" w:hAnsi="宋体" w:eastAsia="宋体" w:cs="宋体"/>
        </w:rPr>
        <w:t>1.1.1.6  合同条款：指构成合同文件组成部分的合同条款通用部分和（或）合同条款专用部分。</w:t>
      </w:r>
    </w:p>
    <w:p w14:paraId="3BCE772A">
      <w:pPr>
        <w:spacing w:line="360" w:lineRule="auto"/>
        <w:ind w:firstLine="630" w:firstLineChars="300"/>
        <w:rPr>
          <w:rFonts w:hint="eastAsia" w:ascii="宋体" w:hAnsi="宋体" w:eastAsia="宋体" w:cs="宋体"/>
        </w:rPr>
      </w:pPr>
      <w:r>
        <w:rPr>
          <w:rFonts w:hint="eastAsia" w:ascii="宋体" w:hAnsi="宋体" w:eastAsia="宋体" w:cs="宋体"/>
        </w:rPr>
        <w:t>1.1.1.7  技术标准和要求：指构成合同文件组成部分的名为技术标准和要求的文件，包括合同双方当事人约定对其所作的修改或补充。</w:t>
      </w:r>
    </w:p>
    <w:p w14:paraId="7ABE5E4C">
      <w:pPr>
        <w:spacing w:line="360" w:lineRule="auto"/>
        <w:ind w:firstLine="630" w:firstLineChars="300"/>
        <w:rPr>
          <w:rFonts w:hint="eastAsia" w:ascii="宋体" w:hAnsi="宋体" w:eastAsia="宋体" w:cs="宋体"/>
        </w:rPr>
      </w:pPr>
      <w:r>
        <w:rPr>
          <w:rFonts w:hint="eastAsia" w:ascii="宋体" w:hAnsi="宋体" w:eastAsia="宋体" w:cs="宋体"/>
        </w:rPr>
        <w:t>1.1.1.8  图纸：指包含在合同中的工程图纸，以及由发包人按合同约定提供的任何补充和修改的图纸，包括配套的说明。</w:t>
      </w:r>
    </w:p>
    <w:p w14:paraId="743473DB">
      <w:pPr>
        <w:spacing w:line="360" w:lineRule="auto"/>
        <w:ind w:firstLine="630" w:firstLineChars="300"/>
        <w:rPr>
          <w:rFonts w:hint="eastAsia" w:ascii="宋体" w:hAnsi="宋体" w:eastAsia="宋体" w:cs="宋体"/>
        </w:rPr>
      </w:pPr>
      <w:r>
        <w:rPr>
          <w:rFonts w:hint="eastAsia" w:ascii="宋体" w:hAnsi="宋体" w:eastAsia="宋体" w:cs="宋体"/>
        </w:rPr>
        <w:t>1.1.1.9  已标价工程量清单：指构成合同文件组成部分的由承包人按照规定的格式和要求填写并标明价格的工程量清单。</w:t>
      </w:r>
    </w:p>
    <w:p w14:paraId="1B4D8847">
      <w:pPr>
        <w:spacing w:line="360" w:lineRule="auto"/>
        <w:ind w:firstLine="630" w:firstLineChars="300"/>
        <w:rPr>
          <w:rFonts w:hint="eastAsia" w:ascii="宋体" w:hAnsi="宋体" w:eastAsia="宋体" w:cs="宋体"/>
        </w:rPr>
      </w:pPr>
      <w:r>
        <w:rPr>
          <w:rFonts w:hint="eastAsia" w:ascii="宋体" w:hAnsi="宋体" w:eastAsia="宋体" w:cs="宋体"/>
        </w:rPr>
        <w:t>1.1.1.10  其他合同文件：指经合同双方当事人确认构成合同文件的其他文件。</w:t>
      </w:r>
    </w:p>
    <w:p w14:paraId="0871DF0B">
      <w:pPr>
        <w:spacing w:line="360" w:lineRule="auto"/>
        <w:ind w:firstLine="420" w:firstLineChars="200"/>
        <w:rPr>
          <w:rFonts w:hint="eastAsia" w:ascii="宋体" w:hAnsi="宋体" w:eastAsia="宋体" w:cs="宋体"/>
        </w:rPr>
      </w:pPr>
      <w:r>
        <w:rPr>
          <w:rFonts w:hint="eastAsia" w:ascii="宋体" w:hAnsi="宋体" w:eastAsia="宋体" w:cs="宋体"/>
        </w:rPr>
        <w:t>1.1.2  合同当事人和人员</w:t>
      </w:r>
    </w:p>
    <w:p w14:paraId="138654E8">
      <w:pPr>
        <w:spacing w:line="360" w:lineRule="auto"/>
        <w:ind w:firstLine="630" w:firstLineChars="300"/>
        <w:rPr>
          <w:rFonts w:hint="eastAsia" w:ascii="宋体" w:hAnsi="宋体" w:eastAsia="宋体" w:cs="宋体"/>
        </w:rPr>
      </w:pPr>
      <w:r>
        <w:rPr>
          <w:rFonts w:hint="eastAsia" w:ascii="宋体" w:hAnsi="宋体" w:eastAsia="宋体" w:cs="宋体"/>
        </w:rPr>
        <w:t>1.1.2.1  合同当事人：指发包人和（或）承包人。</w:t>
      </w:r>
    </w:p>
    <w:p w14:paraId="23740CB1">
      <w:pPr>
        <w:spacing w:line="360" w:lineRule="auto"/>
        <w:ind w:firstLine="630" w:firstLineChars="300"/>
        <w:rPr>
          <w:rFonts w:hint="eastAsia" w:ascii="宋体" w:hAnsi="宋体" w:eastAsia="宋体" w:cs="宋体"/>
        </w:rPr>
      </w:pPr>
      <w:r>
        <w:rPr>
          <w:rFonts w:hint="eastAsia" w:ascii="宋体" w:hAnsi="宋体" w:eastAsia="宋体" w:cs="宋体"/>
        </w:rPr>
        <w:t>1.1.2.2  发包人：指合同协议书中约定，具有工程发包主体资格和承诺按照合同约定的条件、期限和方式向承包人支付工程价款的当事人，以及取得该当事人资格的合法继承人。发包人名称见合同条款专用部分。</w:t>
      </w:r>
    </w:p>
    <w:p w14:paraId="3617B5EC">
      <w:pPr>
        <w:spacing w:line="360" w:lineRule="auto"/>
        <w:ind w:firstLine="630" w:firstLineChars="300"/>
        <w:rPr>
          <w:rFonts w:hint="eastAsia" w:ascii="宋体" w:hAnsi="宋体" w:eastAsia="宋体" w:cs="宋体"/>
        </w:rPr>
      </w:pPr>
      <w:r>
        <w:rPr>
          <w:rFonts w:hint="eastAsia" w:ascii="宋体" w:hAnsi="宋体" w:eastAsia="宋体" w:cs="宋体"/>
        </w:rPr>
        <w:t>1.1.2.3  承包人：指合同协议书中约定，具有合同工程承包主体资格，并承诺按照合同约定进行施工、竣工、交付并承担质量缺陷保修责任的当事人，以及取得该当事人资格的合法继承人。承包人名称见合同条款专用部分。</w:t>
      </w:r>
    </w:p>
    <w:p w14:paraId="46AAED7C">
      <w:pPr>
        <w:spacing w:line="360" w:lineRule="auto"/>
        <w:ind w:firstLine="630" w:firstLineChars="300"/>
        <w:rPr>
          <w:rFonts w:hint="eastAsia" w:ascii="宋体" w:hAnsi="宋体" w:eastAsia="宋体" w:cs="宋体"/>
        </w:rPr>
      </w:pPr>
      <w:r>
        <w:rPr>
          <w:rFonts w:hint="eastAsia" w:ascii="宋体" w:hAnsi="宋体" w:eastAsia="宋体" w:cs="宋体"/>
        </w:rPr>
        <w:t>1.1.2.4  承包人项目经理：指承包人派驻施工场地的全权负责人。</w:t>
      </w:r>
    </w:p>
    <w:p w14:paraId="26658437">
      <w:pPr>
        <w:spacing w:line="360" w:lineRule="auto"/>
        <w:ind w:firstLine="630" w:firstLineChars="300"/>
        <w:rPr>
          <w:rFonts w:hint="eastAsia" w:ascii="宋体" w:hAnsi="宋体" w:eastAsia="宋体" w:cs="宋体"/>
        </w:rPr>
      </w:pPr>
      <w:r>
        <w:rPr>
          <w:rFonts w:hint="eastAsia" w:ascii="宋体" w:hAnsi="宋体" w:eastAsia="宋体" w:cs="宋体"/>
        </w:rPr>
        <w:t>1.1.2.5  分包人：指从承包人处分包合同中某一部分工程，并与其签订分包合同的分包人。</w:t>
      </w:r>
    </w:p>
    <w:p w14:paraId="1F8E077A">
      <w:pPr>
        <w:spacing w:line="360" w:lineRule="auto"/>
        <w:ind w:firstLine="630" w:firstLineChars="300"/>
        <w:rPr>
          <w:rFonts w:hint="eastAsia" w:ascii="宋体" w:hAnsi="宋体" w:eastAsia="宋体" w:cs="宋体"/>
        </w:rPr>
      </w:pPr>
      <w:r>
        <w:rPr>
          <w:rFonts w:hint="eastAsia" w:ascii="宋体" w:hAnsi="宋体" w:eastAsia="宋体" w:cs="宋体"/>
        </w:rPr>
        <w:t>1.1.2.6  监理人：指发包人委托的对合同履行实施管理的法人或其他组织。监理人名称见合同条款专用部分。</w:t>
      </w:r>
    </w:p>
    <w:p w14:paraId="26C19077">
      <w:pPr>
        <w:spacing w:line="360" w:lineRule="auto"/>
        <w:ind w:firstLine="630" w:firstLineChars="300"/>
        <w:rPr>
          <w:rFonts w:hint="eastAsia" w:ascii="宋体" w:hAnsi="宋体" w:eastAsia="宋体" w:cs="宋体"/>
        </w:rPr>
      </w:pPr>
      <w:r>
        <w:rPr>
          <w:rFonts w:hint="eastAsia" w:ascii="宋体" w:hAnsi="宋体" w:eastAsia="宋体" w:cs="宋体"/>
        </w:rPr>
        <w:t>1.1.2.7  总监理工程师（总监）：指由监理人委派常驻施工场地对合同履行实施管理的全权负责人。</w:t>
      </w:r>
    </w:p>
    <w:p w14:paraId="6ACFE119">
      <w:pPr>
        <w:spacing w:line="360" w:lineRule="auto"/>
        <w:ind w:firstLine="630" w:firstLineChars="300"/>
        <w:rPr>
          <w:rFonts w:hint="eastAsia" w:ascii="宋体" w:hAnsi="宋体" w:eastAsia="宋体" w:cs="宋体"/>
        </w:rPr>
      </w:pPr>
      <w:r>
        <w:rPr>
          <w:rFonts w:hint="eastAsia" w:ascii="宋体" w:hAnsi="宋体" w:eastAsia="宋体" w:cs="宋体"/>
        </w:rPr>
        <w:t>1.1.2.8  发包人代表：指由发包人指定的派驻施工场地（现场）的全权代表。发包人代表相关信息见合同条款专用部分。</w:t>
      </w:r>
    </w:p>
    <w:p w14:paraId="43FB5AF1">
      <w:pPr>
        <w:spacing w:line="360" w:lineRule="auto"/>
        <w:ind w:firstLine="630" w:firstLineChars="300"/>
        <w:rPr>
          <w:rFonts w:hint="eastAsia" w:ascii="宋体" w:hAnsi="宋体" w:eastAsia="宋体" w:cs="宋体"/>
        </w:rPr>
      </w:pPr>
      <w:r>
        <w:rPr>
          <w:rFonts w:hint="eastAsia" w:ascii="宋体" w:hAnsi="宋体" w:eastAsia="宋体" w:cs="宋体"/>
        </w:rPr>
        <w:t>1.1.2.9  专业分包人：指根据合同条款第15.8.1项的约定，由发包人和承包人以招标方式选择的分包人。</w:t>
      </w:r>
    </w:p>
    <w:p w14:paraId="1CDCA7E5">
      <w:pPr>
        <w:spacing w:line="360" w:lineRule="auto"/>
        <w:ind w:firstLine="630" w:firstLineChars="300"/>
        <w:rPr>
          <w:rFonts w:hint="eastAsia" w:ascii="宋体" w:hAnsi="宋体" w:eastAsia="宋体" w:cs="宋体"/>
        </w:rPr>
      </w:pPr>
      <w:r>
        <w:rPr>
          <w:rFonts w:hint="eastAsia" w:ascii="宋体" w:hAnsi="宋体" w:eastAsia="宋体" w:cs="宋体"/>
        </w:rPr>
        <w:t>1.1.2.10  专项供应商：指根据合同条款第15.8.1项的约定，由发包人和承包人以招标方式选择的供应商。</w:t>
      </w:r>
    </w:p>
    <w:p w14:paraId="5821B596">
      <w:pPr>
        <w:spacing w:line="360" w:lineRule="auto"/>
        <w:ind w:firstLine="630" w:firstLineChars="300"/>
        <w:rPr>
          <w:rFonts w:hint="eastAsia" w:ascii="宋体" w:hAnsi="宋体" w:eastAsia="宋体" w:cs="宋体"/>
        </w:rPr>
      </w:pPr>
      <w:r>
        <w:rPr>
          <w:rFonts w:hint="eastAsia" w:ascii="宋体" w:hAnsi="宋体" w:eastAsia="宋体" w:cs="宋体"/>
        </w:rPr>
        <w:t>1.1.2.11  独立承包人：指与发包人直接订立工程承包合同，负责实施与工程有关的其他工作的当事人。</w:t>
      </w:r>
    </w:p>
    <w:p w14:paraId="20401A94">
      <w:pPr>
        <w:spacing w:line="360" w:lineRule="auto"/>
        <w:ind w:firstLine="420" w:firstLineChars="200"/>
        <w:rPr>
          <w:rFonts w:hint="eastAsia" w:ascii="宋体" w:hAnsi="宋体" w:eastAsia="宋体" w:cs="宋体"/>
        </w:rPr>
      </w:pPr>
      <w:r>
        <w:rPr>
          <w:rFonts w:hint="eastAsia" w:ascii="宋体" w:hAnsi="宋体" w:eastAsia="宋体" w:cs="宋体"/>
        </w:rPr>
        <w:t>1.1.3  工程和设备</w:t>
      </w:r>
    </w:p>
    <w:p w14:paraId="5648667F">
      <w:pPr>
        <w:spacing w:line="360" w:lineRule="auto"/>
        <w:ind w:firstLine="630" w:firstLineChars="300"/>
        <w:rPr>
          <w:rFonts w:hint="eastAsia" w:ascii="宋体" w:hAnsi="宋体" w:eastAsia="宋体" w:cs="宋体"/>
        </w:rPr>
      </w:pPr>
      <w:r>
        <w:rPr>
          <w:rFonts w:hint="eastAsia" w:ascii="宋体" w:hAnsi="宋体" w:eastAsia="宋体" w:cs="宋体"/>
        </w:rPr>
        <w:t>1.1.3.1  工程：指永久工程和（或）临时工程。</w:t>
      </w:r>
    </w:p>
    <w:p w14:paraId="329101F6">
      <w:pPr>
        <w:spacing w:line="360" w:lineRule="auto"/>
        <w:ind w:firstLine="630" w:firstLineChars="300"/>
        <w:rPr>
          <w:rFonts w:hint="eastAsia" w:ascii="宋体" w:hAnsi="宋体" w:eastAsia="宋体" w:cs="宋体"/>
        </w:rPr>
      </w:pPr>
      <w:r>
        <w:rPr>
          <w:rFonts w:hint="eastAsia" w:ascii="宋体" w:hAnsi="宋体" w:eastAsia="宋体" w:cs="宋体"/>
        </w:rPr>
        <w:t>1.1.3.2  永久工程：指按照合同约定所需建造、完成并移交给发包人的工程，包括工程设备。永久工程的约定见合同条款专用部分。</w:t>
      </w:r>
    </w:p>
    <w:p w14:paraId="0004FC75">
      <w:pPr>
        <w:spacing w:line="360" w:lineRule="auto"/>
        <w:ind w:firstLine="630" w:firstLineChars="300"/>
        <w:rPr>
          <w:rFonts w:hint="eastAsia" w:ascii="宋体" w:hAnsi="宋体" w:eastAsia="宋体" w:cs="宋体"/>
        </w:rPr>
      </w:pPr>
      <w:r>
        <w:rPr>
          <w:rFonts w:hint="eastAsia" w:ascii="宋体" w:hAnsi="宋体" w:eastAsia="宋体" w:cs="宋体"/>
        </w:rPr>
        <w:t>1.1.3.3  临时工程：指为完成合同约定的永久工程所修建的各类临时性工程，不包括施工设备。临时工程的约定见合同条款专用部分。</w:t>
      </w:r>
    </w:p>
    <w:p w14:paraId="5A55CFEC">
      <w:pPr>
        <w:spacing w:line="360" w:lineRule="auto"/>
        <w:ind w:firstLine="630" w:firstLineChars="300"/>
        <w:rPr>
          <w:rFonts w:hint="eastAsia" w:ascii="宋体" w:hAnsi="宋体" w:eastAsia="宋体" w:cs="宋体"/>
        </w:rPr>
      </w:pPr>
      <w:r>
        <w:rPr>
          <w:rFonts w:hint="eastAsia" w:ascii="宋体" w:hAnsi="宋体" w:eastAsia="宋体" w:cs="宋体"/>
        </w:rPr>
        <w:t>1.1.3.4  单位工程：指具有相对独立的设计文件，能够独立组织施工并能形成独立使用功能的永久工程的组成部分。</w:t>
      </w:r>
    </w:p>
    <w:p w14:paraId="29166C26">
      <w:pPr>
        <w:spacing w:line="360" w:lineRule="auto"/>
        <w:ind w:firstLine="630" w:firstLineChars="300"/>
        <w:rPr>
          <w:rFonts w:hint="eastAsia" w:ascii="宋体" w:hAnsi="宋体" w:eastAsia="宋体" w:cs="宋体"/>
        </w:rPr>
      </w:pPr>
      <w:r>
        <w:rPr>
          <w:rFonts w:hint="eastAsia" w:ascii="宋体" w:hAnsi="宋体" w:eastAsia="宋体" w:cs="宋体"/>
        </w:rPr>
        <w:t>1.1.3.5  工程设备：指构成或计划构成永久工程一部分的机电设备、金属结构设备、仪器装置及其他类似的设备和装置。</w:t>
      </w:r>
    </w:p>
    <w:p w14:paraId="5C3FC638">
      <w:pPr>
        <w:spacing w:line="360" w:lineRule="auto"/>
        <w:ind w:firstLine="630" w:firstLineChars="300"/>
        <w:rPr>
          <w:rFonts w:hint="eastAsia" w:ascii="宋体" w:hAnsi="宋体" w:eastAsia="宋体" w:cs="宋体"/>
        </w:rPr>
      </w:pPr>
      <w:r>
        <w:rPr>
          <w:rFonts w:hint="eastAsia" w:ascii="宋体" w:hAnsi="宋体" w:eastAsia="宋体" w:cs="宋体"/>
        </w:rPr>
        <w:t>1.1.3.6  施工设备：指为完成合同约定的各项工作所需的设备、器具和其他物品，不包括临时工程和材料。</w:t>
      </w:r>
    </w:p>
    <w:p w14:paraId="15A43913">
      <w:pPr>
        <w:spacing w:line="360" w:lineRule="auto"/>
        <w:ind w:firstLine="630" w:firstLineChars="300"/>
        <w:rPr>
          <w:rFonts w:hint="eastAsia" w:ascii="宋体" w:hAnsi="宋体" w:eastAsia="宋体" w:cs="宋体"/>
        </w:rPr>
      </w:pPr>
      <w:r>
        <w:rPr>
          <w:rFonts w:hint="eastAsia" w:ascii="宋体" w:hAnsi="宋体" w:eastAsia="宋体" w:cs="宋体"/>
        </w:rPr>
        <w:t>1.1.3.7  临时设施：指为完成合同约定的各项工作所服务的临时性生产和生活设施。</w:t>
      </w:r>
    </w:p>
    <w:p w14:paraId="582E4280">
      <w:pPr>
        <w:spacing w:line="360" w:lineRule="auto"/>
        <w:ind w:firstLine="630" w:firstLineChars="300"/>
        <w:rPr>
          <w:rFonts w:hint="eastAsia" w:ascii="宋体" w:hAnsi="宋体" w:eastAsia="宋体" w:cs="宋体"/>
        </w:rPr>
      </w:pPr>
      <w:r>
        <w:rPr>
          <w:rFonts w:hint="eastAsia" w:ascii="宋体" w:hAnsi="宋体" w:eastAsia="宋体" w:cs="宋体"/>
        </w:rPr>
        <w:t>1.1.3.8  承包人设备：指承包人自带的施工设备。</w:t>
      </w:r>
    </w:p>
    <w:p w14:paraId="01BA15F9">
      <w:pPr>
        <w:spacing w:line="360" w:lineRule="auto"/>
        <w:ind w:firstLine="630" w:firstLineChars="300"/>
        <w:rPr>
          <w:rFonts w:hint="eastAsia" w:ascii="宋体" w:hAnsi="宋体" w:eastAsia="宋体" w:cs="宋体"/>
        </w:rPr>
      </w:pPr>
      <w:r>
        <w:rPr>
          <w:rFonts w:hint="eastAsia" w:ascii="宋体" w:hAnsi="宋体" w:eastAsia="宋体" w:cs="宋体"/>
        </w:rPr>
        <w:t>1.1.3.9  施工场地（或称工地、现场）：指用于合同工程施工的场所，以及在合同中指定作为施工场地组成部分的其他场所，包括永久占地和临时占地。</w:t>
      </w:r>
    </w:p>
    <w:p w14:paraId="5AE9B365">
      <w:pPr>
        <w:spacing w:line="360" w:lineRule="auto"/>
        <w:ind w:firstLine="630" w:firstLineChars="300"/>
        <w:rPr>
          <w:rFonts w:hint="eastAsia" w:ascii="宋体" w:hAnsi="宋体" w:eastAsia="宋体" w:cs="宋体"/>
        </w:rPr>
      </w:pPr>
      <w:r>
        <w:rPr>
          <w:rFonts w:hint="eastAsia" w:ascii="宋体" w:hAnsi="宋体" w:eastAsia="宋体" w:cs="宋体"/>
        </w:rPr>
        <w:t>1.1.3.10  永久占地：指为实施合同工程需永久占用的土地。永久占地的约定见合同条款专用部分。</w:t>
      </w:r>
    </w:p>
    <w:p w14:paraId="5293FD8A">
      <w:pPr>
        <w:spacing w:line="360" w:lineRule="auto"/>
        <w:ind w:firstLine="630" w:firstLineChars="300"/>
        <w:rPr>
          <w:rFonts w:hint="eastAsia" w:ascii="宋体" w:hAnsi="宋体" w:eastAsia="宋体" w:cs="宋体"/>
        </w:rPr>
      </w:pPr>
      <w:r>
        <w:rPr>
          <w:rFonts w:hint="eastAsia" w:ascii="宋体" w:hAnsi="宋体" w:eastAsia="宋体" w:cs="宋体"/>
        </w:rPr>
        <w:t>1.1.3.11  临时占地：指为实施合同工程需临时占用的土地。临时占地的约定见合同条款专用部分。</w:t>
      </w:r>
    </w:p>
    <w:p w14:paraId="12726B6E">
      <w:pPr>
        <w:spacing w:line="360" w:lineRule="auto"/>
        <w:ind w:firstLine="630" w:firstLineChars="300"/>
        <w:rPr>
          <w:rFonts w:hint="eastAsia" w:ascii="宋体" w:hAnsi="宋体" w:eastAsia="宋体" w:cs="宋体"/>
        </w:rPr>
      </w:pPr>
      <w:r>
        <w:rPr>
          <w:rFonts w:hint="eastAsia" w:ascii="宋体" w:hAnsi="宋体" w:eastAsia="宋体" w:cs="宋体"/>
        </w:rPr>
        <w:t>1.1.3.12  材料：指构成或将构成永久工程组成部分的各类物品(工程设备除外)，包括合同中可能约定的承包人仅负责供应的材料。</w:t>
      </w:r>
    </w:p>
    <w:p w14:paraId="4A901BB3">
      <w:pPr>
        <w:spacing w:line="360" w:lineRule="auto"/>
        <w:ind w:firstLine="420" w:firstLineChars="200"/>
        <w:rPr>
          <w:rFonts w:hint="eastAsia" w:ascii="宋体" w:hAnsi="宋体" w:eastAsia="宋体" w:cs="宋体"/>
        </w:rPr>
      </w:pPr>
      <w:r>
        <w:rPr>
          <w:rFonts w:hint="eastAsia" w:ascii="宋体" w:hAnsi="宋体" w:eastAsia="宋体" w:cs="宋体"/>
        </w:rPr>
        <w:t>1.1.4  日期</w:t>
      </w:r>
    </w:p>
    <w:p w14:paraId="15837979">
      <w:pPr>
        <w:spacing w:line="360" w:lineRule="auto"/>
        <w:ind w:firstLine="630" w:firstLineChars="300"/>
        <w:rPr>
          <w:rFonts w:hint="eastAsia" w:ascii="宋体" w:hAnsi="宋体" w:eastAsia="宋体" w:cs="宋体"/>
        </w:rPr>
      </w:pPr>
      <w:r>
        <w:rPr>
          <w:rFonts w:hint="eastAsia" w:ascii="宋体" w:hAnsi="宋体" w:eastAsia="宋体" w:cs="宋体"/>
        </w:rPr>
        <w:t>1.1.4.1  开工通知：指监理人按第11.1款通知承包人开工的函件。</w:t>
      </w:r>
    </w:p>
    <w:p w14:paraId="6FD7C975">
      <w:pPr>
        <w:spacing w:line="360" w:lineRule="auto"/>
        <w:ind w:firstLine="630" w:firstLineChars="300"/>
        <w:rPr>
          <w:rFonts w:hint="eastAsia" w:ascii="宋体" w:hAnsi="宋体" w:eastAsia="宋体" w:cs="宋体"/>
        </w:rPr>
      </w:pPr>
      <w:r>
        <w:rPr>
          <w:rFonts w:hint="eastAsia" w:ascii="宋体" w:hAnsi="宋体" w:eastAsia="宋体" w:cs="宋体"/>
        </w:rPr>
        <w:t>1.1.4.2  开工日期：指监理人按第11.1款发出的开工通知中写明的开工日期。</w:t>
      </w:r>
    </w:p>
    <w:p w14:paraId="445877AD">
      <w:pPr>
        <w:spacing w:line="360" w:lineRule="auto"/>
        <w:ind w:firstLine="630" w:firstLineChars="300"/>
        <w:rPr>
          <w:rFonts w:hint="eastAsia" w:ascii="宋体" w:hAnsi="宋体" w:eastAsia="宋体" w:cs="宋体"/>
        </w:rPr>
      </w:pPr>
      <w:r>
        <w:rPr>
          <w:rFonts w:hint="eastAsia" w:ascii="宋体" w:hAnsi="宋体" w:eastAsia="宋体" w:cs="宋体"/>
        </w:rPr>
        <w:t>1.1.4.3  工期：指承包人在投标函中承诺的完成合同工程所需的期限，包括按第11.3款、第11.4款和第11.6款约定所作的变更。</w:t>
      </w:r>
    </w:p>
    <w:p w14:paraId="10F41087">
      <w:pPr>
        <w:spacing w:line="360" w:lineRule="auto"/>
        <w:ind w:firstLine="630" w:firstLineChars="300"/>
        <w:rPr>
          <w:rFonts w:hint="eastAsia" w:ascii="宋体" w:hAnsi="宋体" w:eastAsia="宋体" w:cs="宋体"/>
        </w:rPr>
      </w:pPr>
      <w:r>
        <w:rPr>
          <w:rFonts w:hint="eastAsia" w:ascii="宋体" w:hAnsi="宋体" w:eastAsia="宋体" w:cs="宋体"/>
        </w:rPr>
        <w:t>1.1.4.4  竣工日期：指第1.1.4.3目约定工期届满时的日期。实际竣工日期以工程接收证书中写明的日期为准。</w:t>
      </w:r>
    </w:p>
    <w:p w14:paraId="7E2AB500">
      <w:pPr>
        <w:spacing w:line="360" w:lineRule="auto"/>
        <w:ind w:firstLine="630" w:firstLineChars="300"/>
        <w:rPr>
          <w:rFonts w:hint="eastAsia" w:ascii="宋体" w:hAnsi="宋体" w:eastAsia="宋体" w:cs="宋体"/>
        </w:rPr>
      </w:pPr>
      <w:r>
        <w:rPr>
          <w:rFonts w:hint="eastAsia" w:ascii="宋体" w:hAnsi="宋体" w:eastAsia="宋体" w:cs="宋体"/>
        </w:rPr>
        <w:t>1.1.4.5  缺陷责任期：指履行第19.2款约定的缺陷责任的期限，包括根据第19.3款约定所作的延长。缺陷责任期的具体期限见合同条款专用部分。</w:t>
      </w:r>
    </w:p>
    <w:p w14:paraId="476EB66A">
      <w:pPr>
        <w:spacing w:line="360" w:lineRule="auto"/>
        <w:ind w:firstLine="630" w:firstLineChars="300"/>
        <w:rPr>
          <w:rFonts w:hint="eastAsia" w:ascii="宋体" w:hAnsi="宋体" w:eastAsia="宋体" w:cs="宋体"/>
        </w:rPr>
      </w:pPr>
      <w:r>
        <w:rPr>
          <w:rFonts w:hint="eastAsia" w:ascii="宋体" w:hAnsi="宋体" w:eastAsia="宋体" w:cs="宋体"/>
        </w:rPr>
        <w:t>1.1.4.6  基准日期：指投标截止时间前28天的日期。</w:t>
      </w:r>
    </w:p>
    <w:p w14:paraId="7D58CC42">
      <w:pPr>
        <w:spacing w:line="360" w:lineRule="auto"/>
        <w:ind w:firstLine="630" w:firstLineChars="300"/>
        <w:rPr>
          <w:rFonts w:hint="eastAsia" w:ascii="宋体" w:hAnsi="宋体" w:eastAsia="宋体" w:cs="宋体"/>
        </w:rPr>
      </w:pPr>
      <w:r>
        <w:rPr>
          <w:rFonts w:hint="eastAsia" w:ascii="宋体" w:hAnsi="宋体" w:eastAsia="宋体" w:cs="宋体"/>
        </w:rPr>
        <w:t>1.1.4.7  天：除特别指明外，指日历天。合同中按天计算时间的，开始当天不计入，从次日开始计算。期限最后一天的截止时间为当天24:00。</w:t>
      </w:r>
    </w:p>
    <w:p w14:paraId="52A0F251">
      <w:pPr>
        <w:spacing w:line="360" w:lineRule="auto"/>
        <w:ind w:firstLine="630" w:firstLineChars="300"/>
        <w:rPr>
          <w:rFonts w:hint="eastAsia" w:ascii="宋体" w:hAnsi="宋体" w:eastAsia="宋体" w:cs="宋体"/>
        </w:rPr>
      </w:pPr>
      <w:r>
        <w:rPr>
          <w:rFonts w:hint="eastAsia" w:ascii="宋体" w:hAnsi="宋体" w:eastAsia="宋体" w:cs="宋体"/>
        </w:rPr>
        <w:t>1.1.4.8  保修期：是根据现行有关法律规定，在合同条款第19.7款中约定的由承包人负责对合同约定的保修范围内发生的质量问题履行保修义务并对造成的损失承担赔偿责任的期限。</w:t>
      </w:r>
    </w:p>
    <w:p w14:paraId="037CEE76">
      <w:pPr>
        <w:spacing w:line="360" w:lineRule="auto"/>
        <w:ind w:firstLine="420" w:firstLineChars="200"/>
        <w:rPr>
          <w:rFonts w:hint="eastAsia" w:ascii="宋体" w:hAnsi="宋体" w:eastAsia="宋体" w:cs="宋体"/>
        </w:rPr>
      </w:pPr>
      <w:r>
        <w:rPr>
          <w:rFonts w:hint="eastAsia" w:ascii="宋体" w:hAnsi="宋体" w:eastAsia="宋体" w:cs="宋体"/>
        </w:rPr>
        <w:t>1.1.5  合同价格和费用</w:t>
      </w:r>
    </w:p>
    <w:p w14:paraId="6AD4E0F5">
      <w:pPr>
        <w:spacing w:line="360" w:lineRule="auto"/>
        <w:ind w:firstLine="630" w:firstLineChars="300"/>
        <w:rPr>
          <w:rFonts w:hint="eastAsia" w:ascii="宋体" w:hAnsi="宋体" w:eastAsia="宋体" w:cs="宋体"/>
        </w:rPr>
      </w:pPr>
      <w:r>
        <w:rPr>
          <w:rFonts w:hint="eastAsia" w:ascii="宋体" w:hAnsi="宋体" w:eastAsia="宋体" w:cs="宋体"/>
        </w:rPr>
        <w:t>1.1.5.1  签约合同价：指签定合同时合同协议书中写明的，包括了暂列金额、暂估价的合同总金额。</w:t>
      </w:r>
    </w:p>
    <w:p w14:paraId="03C70AC6">
      <w:pPr>
        <w:spacing w:line="360" w:lineRule="auto"/>
        <w:ind w:firstLine="630" w:firstLineChars="300"/>
        <w:rPr>
          <w:rFonts w:hint="eastAsia" w:ascii="宋体" w:hAnsi="宋体" w:eastAsia="宋体" w:cs="宋体"/>
        </w:rPr>
      </w:pPr>
      <w:r>
        <w:rPr>
          <w:rFonts w:hint="eastAsia" w:ascii="宋体" w:hAnsi="宋体" w:eastAsia="宋体" w:cs="宋体"/>
        </w:rPr>
        <w:t>1.1.5.2  合同价格：指承包人按合同约定完成了包括缺陷责任期内的全部承包工作后，发包人应付给承包人的金额，包括在履行合同过程中按合同约定进行的变更和调整。</w:t>
      </w:r>
    </w:p>
    <w:p w14:paraId="05F4F379">
      <w:pPr>
        <w:spacing w:line="360" w:lineRule="auto"/>
        <w:ind w:firstLine="630" w:firstLineChars="300"/>
        <w:rPr>
          <w:rFonts w:hint="eastAsia" w:ascii="宋体" w:hAnsi="宋体" w:eastAsia="宋体" w:cs="宋体"/>
        </w:rPr>
      </w:pPr>
      <w:r>
        <w:rPr>
          <w:rFonts w:hint="eastAsia" w:ascii="宋体" w:hAnsi="宋体" w:eastAsia="宋体" w:cs="宋体"/>
        </w:rPr>
        <w:t>1.1.5.3  费用：指为履行合同所发生的或将要发生的所有合理开支，包括管理费和应分摊的其他费用，但不包括利润。</w:t>
      </w:r>
    </w:p>
    <w:p w14:paraId="212D1C83">
      <w:pPr>
        <w:spacing w:line="360" w:lineRule="auto"/>
        <w:ind w:firstLine="630" w:firstLineChars="300"/>
        <w:rPr>
          <w:rFonts w:hint="eastAsia" w:ascii="宋体" w:hAnsi="宋体" w:eastAsia="宋体" w:cs="宋体"/>
        </w:rPr>
      </w:pPr>
      <w:r>
        <w:rPr>
          <w:rFonts w:hint="eastAsia" w:ascii="宋体" w:hAnsi="宋体" w:eastAsia="宋体" w:cs="宋体"/>
        </w:rPr>
        <w:t>1.1.5.4  暂列金额：指已标价工程量清单中所列的暂列金额，用于在签订协议书时尚未确定或不可预见变更的施工及其所需材料、工程设备、服务等的金额，包括以计日工方式支付的金额。</w:t>
      </w:r>
    </w:p>
    <w:p w14:paraId="5AAB7FDE">
      <w:pPr>
        <w:spacing w:line="360" w:lineRule="auto"/>
        <w:ind w:firstLine="630" w:firstLineChars="300"/>
        <w:rPr>
          <w:rFonts w:hint="eastAsia" w:ascii="宋体" w:hAnsi="宋体" w:eastAsia="宋体" w:cs="宋体"/>
        </w:rPr>
      </w:pPr>
      <w:r>
        <w:rPr>
          <w:rFonts w:hint="eastAsia" w:ascii="宋体" w:hAnsi="宋体" w:eastAsia="宋体" w:cs="宋体"/>
        </w:rPr>
        <w:t>1.1.5.5  暂估价：指发包人在工程量清单中给定的用于支付必然发生但暂时不能确定价格的材料、设备以及专业工程的金额。</w:t>
      </w:r>
    </w:p>
    <w:p w14:paraId="00553CEC">
      <w:pPr>
        <w:spacing w:line="360" w:lineRule="auto"/>
        <w:ind w:firstLine="630" w:firstLineChars="300"/>
        <w:rPr>
          <w:rFonts w:hint="eastAsia" w:ascii="宋体" w:hAnsi="宋体" w:eastAsia="宋体" w:cs="宋体"/>
        </w:rPr>
      </w:pPr>
      <w:r>
        <w:rPr>
          <w:rFonts w:hint="eastAsia" w:ascii="宋体" w:hAnsi="宋体" w:eastAsia="宋体" w:cs="宋体"/>
        </w:rPr>
        <w:t>1.1.5.6  计日工：指对零星工作采取的一种计价方式，按合同中的计日工子目及其单价计价付款。</w:t>
      </w:r>
    </w:p>
    <w:p w14:paraId="610ED1F8">
      <w:pPr>
        <w:spacing w:line="360" w:lineRule="auto"/>
        <w:ind w:firstLine="630" w:firstLineChars="300"/>
        <w:rPr>
          <w:rFonts w:hint="eastAsia" w:ascii="宋体" w:hAnsi="宋体" w:eastAsia="宋体" w:cs="宋体"/>
        </w:rPr>
      </w:pPr>
      <w:r>
        <w:rPr>
          <w:rFonts w:hint="eastAsia" w:ascii="宋体" w:hAnsi="宋体" w:eastAsia="宋体" w:cs="宋体"/>
        </w:rPr>
        <w:t>1.1.5.7  质量保证金（或称保留金）：指按第17.4.1项约定用于保证在缺陷责任期内履行缺陷修复义务的金额。</w:t>
      </w:r>
    </w:p>
    <w:p w14:paraId="109A05B1">
      <w:pPr>
        <w:spacing w:line="360" w:lineRule="auto"/>
        <w:ind w:firstLine="420" w:firstLineChars="200"/>
        <w:rPr>
          <w:rFonts w:hint="eastAsia" w:ascii="宋体" w:hAnsi="宋体" w:eastAsia="宋体" w:cs="宋体"/>
        </w:rPr>
      </w:pPr>
      <w:r>
        <w:rPr>
          <w:rFonts w:hint="eastAsia" w:ascii="宋体" w:hAnsi="宋体" w:eastAsia="宋体" w:cs="宋体"/>
        </w:rPr>
        <w:t>1.1.6  书面形式</w:t>
      </w:r>
    </w:p>
    <w:p w14:paraId="7FD91D0E">
      <w:pPr>
        <w:spacing w:line="360" w:lineRule="auto"/>
        <w:ind w:firstLine="420" w:firstLineChars="200"/>
        <w:rPr>
          <w:rFonts w:hint="eastAsia" w:ascii="宋体" w:hAnsi="宋体" w:eastAsia="宋体" w:cs="宋体"/>
        </w:rPr>
      </w:pPr>
      <w:r>
        <w:rPr>
          <w:rFonts w:hint="eastAsia" w:ascii="宋体" w:hAnsi="宋体" w:eastAsia="宋体" w:cs="宋体"/>
        </w:rPr>
        <w:t>书面形式：指合同文件、信函、电报、传真等可以有形地表现所载内容的形式。</w:t>
      </w:r>
    </w:p>
    <w:p w14:paraId="473CA669">
      <w:pPr>
        <w:spacing w:line="360" w:lineRule="auto"/>
        <w:ind w:firstLine="420" w:firstLineChars="200"/>
        <w:rPr>
          <w:rFonts w:hint="eastAsia" w:ascii="宋体" w:hAnsi="宋体" w:eastAsia="宋体" w:cs="宋体"/>
        </w:rPr>
      </w:pPr>
      <w:r>
        <w:rPr>
          <w:rFonts w:hint="eastAsia" w:ascii="宋体" w:hAnsi="宋体" w:eastAsia="宋体" w:cs="宋体"/>
        </w:rPr>
        <w:t>1.1.7  争议评审组</w:t>
      </w:r>
    </w:p>
    <w:p w14:paraId="7CC8DB97">
      <w:pPr>
        <w:spacing w:line="360" w:lineRule="auto"/>
        <w:ind w:firstLine="420" w:firstLineChars="200"/>
        <w:rPr>
          <w:rFonts w:hint="eastAsia" w:ascii="宋体" w:hAnsi="宋体" w:eastAsia="宋体" w:cs="宋体"/>
        </w:rPr>
      </w:pPr>
      <w:r>
        <w:rPr>
          <w:rFonts w:hint="eastAsia" w:ascii="宋体" w:hAnsi="宋体" w:eastAsia="宋体" w:cs="宋体"/>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409D1AB4">
      <w:pPr>
        <w:spacing w:line="360" w:lineRule="auto"/>
        <w:ind w:firstLine="420" w:firstLineChars="200"/>
        <w:rPr>
          <w:rFonts w:hint="eastAsia" w:ascii="宋体" w:hAnsi="宋体" w:eastAsia="宋体" w:cs="宋体"/>
        </w:rPr>
      </w:pPr>
      <w:r>
        <w:rPr>
          <w:rFonts w:hint="eastAsia" w:ascii="宋体" w:hAnsi="宋体" w:eastAsia="宋体" w:cs="宋体"/>
        </w:rPr>
        <w:t>1.1.8  其他需要补充的内容</w:t>
      </w:r>
    </w:p>
    <w:p w14:paraId="66164620">
      <w:pPr>
        <w:spacing w:line="360" w:lineRule="auto"/>
        <w:ind w:firstLine="420" w:firstLineChars="200"/>
        <w:rPr>
          <w:rFonts w:hint="eastAsia" w:ascii="宋体" w:hAnsi="宋体" w:eastAsia="宋体" w:cs="宋体"/>
        </w:rPr>
      </w:pPr>
      <w:r>
        <w:rPr>
          <w:rFonts w:hint="eastAsia" w:ascii="宋体" w:hAnsi="宋体" w:eastAsia="宋体" w:cs="宋体"/>
        </w:rPr>
        <w:t>其他需要补充的内容见合同条款专用部分。</w:t>
      </w:r>
    </w:p>
    <w:p w14:paraId="7F8D388D">
      <w:pPr>
        <w:keepNext/>
        <w:keepLines/>
        <w:spacing w:before="156" w:beforeLines="50" w:after="156" w:afterLines="50" w:line="360" w:lineRule="auto"/>
        <w:outlineLvl w:val="2"/>
        <w:rPr>
          <w:rFonts w:hint="eastAsia" w:ascii="宋体" w:hAnsi="宋体" w:eastAsia="宋体" w:cs="宋体"/>
          <w:sz w:val="24"/>
          <w:szCs w:val="20"/>
        </w:rPr>
      </w:pPr>
      <w:bookmarkStart w:id="615" w:name="_Toc489279855"/>
      <w:bookmarkStart w:id="616" w:name="_Toc490222489"/>
      <w:bookmarkStart w:id="617" w:name="_Toc497213720"/>
      <w:bookmarkStart w:id="618" w:name="_Toc61020234"/>
      <w:bookmarkStart w:id="619" w:name="_Toc486580044"/>
      <w:bookmarkStart w:id="620" w:name="_Toc10235314"/>
      <w:r>
        <w:rPr>
          <w:rFonts w:hint="eastAsia" w:ascii="宋体" w:hAnsi="宋体" w:eastAsia="宋体" w:cs="宋体"/>
          <w:sz w:val="24"/>
          <w:szCs w:val="20"/>
        </w:rPr>
        <w:t>1.2  语言文字</w:t>
      </w:r>
      <w:bookmarkEnd w:id="615"/>
      <w:bookmarkEnd w:id="616"/>
      <w:bookmarkEnd w:id="617"/>
      <w:bookmarkEnd w:id="618"/>
      <w:bookmarkEnd w:id="619"/>
      <w:bookmarkEnd w:id="620"/>
    </w:p>
    <w:p w14:paraId="67BF6DE2">
      <w:pPr>
        <w:spacing w:line="360" w:lineRule="auto"/>
        <w:ind w:firstLine="420" w:firstLineChars="200"/>
        <w:rPr>
          <w:rFonts w:hint="eastAsia" w:ascii="宋体" w:hAnsi="宋体" w:eastAsia="宋体" w:cs="宋体"/>
        </w:rPr>
      </w:pPr>
      <w:r>
        <w:rPr>
          <w:rFonts w:hint="eastAsia" w:ascii="宋体" w:hAnsi="宋体" w:eastAsia="宋体" w:cs="宋体"/>
        </w:rPr>
        <w:t>除专用术语外，合同使用的语言文字为中文。必要时专用术语应附有中文注释。</w:t>
      </w:r>
    </w:p>
    <w:p w14:paraId="35E77043">
      <w:pPr>
        <w:keepNext/>
        <w:keepLines/>
        <w:spacing w:before="156" w:beforeLines="50" w:after="156" w:afterLines="50" w:line="360" w:lineRule="auto"/>
        <w:outlineLvl w:val="2"/>
        <w:rPr>
          <w:rFonts w:hint="eastAsia" w:ascii="宋体" w:hAnsi="宋体" w:eastAsia="宋体" w:cs="宋体"/>
          <w:sz w:val="24"/>
          <w:szCs w:val="20"/>
        </w:rPr>
      </w:pPr>
      <w:bookmarkStart w:id="621" w:name="_Toc61020235"/>
      <w:bookmarkStart w:id="622" w:name="_Toc490222490"/>
      <w:bookmarkStart w:id="623" w:name="_Toc486580045"/>
      <w:bookmarkStart w:id="624" w:name="_Toc489279856"/>
      <w:bookmarkStart w:id="625" w:name="_Toc497213721"/>
      <w:bookmarkStart w:id="626" w:name="_Toc10235315"/>
      <w:r>
        <w:rPr>
          <w:rFonts w:hint="eastAsia" w:ascii="宋体" w:hAnsi="宋体" w:eastAsia="宋体" w:cs="宋体"/>
          <w:sz w:val="24"/>
          <w:szCs w:val="20"/>
        </w:rPr>
        <w:t>1.3  法律</w:t>
      </w:r>
      <w:bookmarkEnd w:id="621"/>
      <w:bookmarkEnd w:id="622"/>
      <w:bookmarkEnd w:id="623"/>
      <w:bookmarkEnd w:id="624"/>
      <w:bookmarkEnd w:id="625"/>
      <w:bookmarkEnd w:id="626"/>
    </w:p>
    <w:p w14:paraId="0ACA892B">
      <w:pPr>
        <w:spacing w:line="360" w:lineRule="auto"/>
        <w:ind w:firstLine="420" w:firstLineChars="200"/>
        <w:rPr>
          <w:rFonts w:hint="eastAsia" w:ascii="宋体" w:hAnsi="宋体" w:eastAsia="宋体" w:cs="宋体"/>
        </w:rPr>
      </w:pPr>
      <w:r>
        <w:rPr>
          <w:rFonts w:hint="eastAsia" w:ascii="宋体" w:hAnsi="宋体" w:eastAsia="宋体" w:cs="宋体"/>
        </w:rPr>
        <w:t>适用于合同的法律包括中华人民共和国法律、行政法规、部门规章，以及工程所在地的地方法规、自治条例、单行条例和地方政府规章。</w:t>
      </w:r>
    </w:p>
    <w:p w14:paraId="16FCED66">
      <w:pPr>
        <w:keepNext/>
        <w:keepLines/>
        <w:spacing w:before="156" w:beforeLines="50" w:after="156" w:afterLines="50" w:line="360" w:lineRule="auto"/>
        <w:outlineLvl w:val="2"/>
        <w:rPr>
          <w:rFonts w:hint="eastAsia" w:ascii="宋体" w:hAnsi="宋体" w:eastAsia="宋体" w:cs="宋体"/>
          <w:sz w:val="24"/>
          <w:szCs w:val="20"/>
        </w:rPr>
      </w:pPr>
      <w:bookmarkStart w:id="627" w:name="_Toc490222491"/>
      <w:bookmarkStart w:id="628" w:name="_Toc10235316"/>
      <w:bookmarkStart w:id="629" w:name="_Toc489279857"/>
      <w:bookmarkStart w:id="630" w:name="_Toc61020236"/>
      <w:bookmarkStart w:id="631" w:name="_Toc486580046"/>
      <w:bookmarkStart w:id="632" w:name="_Toc497213722"/>
      <w:r>
        <w:rPr>
          <w:rFonts w:hint="eastAsia" w:ascii="宋体" w:hAnsi="宋体" w:eastAsia="宋体" w:cs="宋体"/>
          <w:sz w:val="24"/>
          <w:szCs w:val="20"/>
        </w:rPr>
        <w:t>1.4  合同文件的优先顺序</w:t>
      </w:r>
      <w:bookmarkEnd w:id="627"/>
      <w:bookmarkEnd w:id="628"/>
      <w:bookmarkEnd w:id="629"/>
      <w:bookmarkEnd w:id="630"/>
      <w:bookmarkEnd w:id="631"/>
      <w:bookmarkEnd w:id="632"/>
    </w:p>
    <w:p w14:paraId="002C0D11">
      <w:pPr>
        <w:spacing w:line="360" w:lineRule="auto"/>
        <w:ind w:firstLine="420" w:firstLineChars="200"/>
        <w:rPr>
          <w:rFonts w:hint="eastAsia" w:ascii="宋体" w:hAnsi="宋体" w:eastAsia="宋体" w:cs="宋体"/>
        </w:rPr>
      </w:pPr>
      <w:r>
        <w:rPr>
          <w:rFonts w:hint="eastAsia" w:ascii="宋体" w:hAnsi="宋体" w:eastAsia="宋体" w:cs="宋体"/>
        </w:rPr>
        <w:t>组成合同的各项文件应互相解释，互为说明。除合同条款专用部分另有约定外，解释合同文件的优先顺序如下：</w:t>
      </w:r>
    </w:p>
    <w:p w14:paraId="34FE02B1">
      <w:pPr>
        <w:spacing w:line="360" w:lineRule="auto"/>
        <w:ind w:firstLine="315" w:firstLineChars="150"/>
        <w:rPr>
          <w:rFonts w:hint="eastAsia" w:ascii="宋体" w:hAnsi="宋体" w:eastAsia="宋体" w:cs="宋体"/>
        </w:rPr>
      </w:pPr>
      <w:r>
        <w:rPr>
          <w:rFonts w:hint="eastAsia" w:ascii="宋体" w:hAnsi="宋体" w:eastAsia="宋体" w:cs="宋体"/>
        </w:rPr>
        <w:t>（1）合同协议书；</w:t>
      </w:r>
    </w:p>
    <w:p w14:paraId="0FBA1F04">
      <w:pPr>
        <w:spacing w:line="360" w:lineRule="auto"/>
        <w:ind w:firstLine="315" w:firstLineChars="150"/>
        <w:rPr>
          <w:rFonts w:hint="eastAsia" w:ascii="宋体" w:hAnsi="宋体" w:eastAsia="宋体" w:cs="宋体"/>
        </w:rPr>
      </w:pPr>
      <w:r>
        <w:rPr>
          <w:rFonts w:hint="eastAsia" w:ascii="宋体" w:hAnsi="宋体" w:eastAsia="宋体" w:cs="宋体"/>
        </w:rPr>
        <w:t>（2）中标通知书；</w:t>
      </w:r>
    </w:p>
    <w:p w14:paraId="72448EBA">
      <w:pPr>
        <w:spacing w:line="360" w:lineRule="auto"/>
        <w:ind w:firstLine="315" w:firstLineChars="150"/>
        <w:rPr>
          <w:rFonts w:hint="eastAsia" w:ascii="宋体" w:hAnsi="宋体" w:eastAsia="宋体" w:cs="宋体"/>
        </w:rPr>
      </w:pPr>
      <w:r>
        <w:rPr>
          <w:rFonts w:hint="eastAsia" w:ascii="宋体" w:hAnsi="宋体" w:eastAsia="宋体" w:cs="宋体"/>
        </w:rPr>
        <w:t>（3）投标函及投标函附录；</w:t>
      </w:r>
    </w:p>
    <w:p w14:paraId="4B247134">
      <w:pPr>
        <w:spacing w:line="360" w:lineRule="auto"/>
        <w:ind w:firstLine="315" w:firstLineChars="150"/>
        <w:rPr>
          <w:rFonts w:hint="eastAsia" w:ascii="宋体" w:hAnsi="宋体" w:eastAsia="宋体" w:cs="宋体"/>
        </w:rPr>
      </w:pPr>
      <w:r>
        <w:rPr>
          <w:rFonts w:hint="eastAsia" w:ascii="宋体" w:hAnsi="宋体" w:eastAsia="宋体" w:cs="宋体"/>
        </w:rPr>
        <w:t>（4）合同条款专用部分；</w:t>
      </w:r>
    </w:p>
    <w:p w14:paraId="5017A6A4">
      <w:pPr>
        <w:spacing w:line="360" w:lineRule="auto"/>
        <w:ind w:firstLine="315" w:firstLineChars="150"/>
        <w:rPr>
          <w:rFonts w:hint="eastAsia" w:ascii="宋体" w:hAnsi="宋体" w:eastAsia="宋体" w:cs="宋体"/>
        </w:rPr>
      </w:pPr>
      <w:r>
        <w:rPr>
          <w:rFonts w:hint="eastAsia" w:ascii="宋体" w:hAnsi="宋体" w:eastAsia="宋体" w:cs="宋体"/>
        </w:rPr>
        <w:t>（5）合同条款通用部分；</w:t>
      </w:r>
    </w:p>
    <w:p w14:paraId="3660B7BF">
      <w:pPr>
        <w:spacing w:line="360" w:lineRule="auto"/>
        <w:ind w:firstLine="315" w:firstLineChars="150"/>
        <w:rPr>
          <w:rFonts w:hint="eastAsia" w:ascii="宋体" w:hAnsi="宋体" w:eastAsia="宋体" w:cs="宋体"/>
        </w:rPr>
      </w:pPr>
      <w:r>
        <w:rPr>
          <w:rFonts w:hint="eastAsia" w:ascii="宋体" w:hAnsi="宋体" w:eastAsia="宋体" w:cs="宋体"/>
        </w:rPr>
        <w:t>（6）技术标准和要求；</w:t>
      </w:r>
    </w:p>
    <w:p w14:paraId="3775EFE1">
      <w:pPr>
        <w:spacing w:line="360" w:lineRule="auto"/>
        <w:ind w:firstLine="315" w:firstLineChars="150"/>
        <w:rPr>
          <w:rFonts w:hint="eastAsia" w:ascii="宋体" w:hAnsi="宋体" w:eastAsia="宋体" w:cs="宋体"/>
        </w:rPr>
      </w:pPr>
      <w:r>
        <w:rPr>
          <w:rFonts w:hint="eastAsia" w:ascii="宋体" w:hAnsi="宋体" w:eastAsia="宋体" w:cs="宋体"/>
        </w:rPr>
        <w:t>（7）图纸；</w:t>
      </w:r>
    </w:p>
    <w:p w14:paraId="42806E3E">
      <w:pPr>
        <w:spacing w:line="360" w:lineRule="auto"/>
        <w:ind w:firstLine="315" w:firstLineChars="150"/>
        <w:rPr>
          <w:rFonts w:hint="eastAsia" w:ascii="宋体" w:hAnsi="宋体" w:eastAsia="宋体" w:cs="宋体"/>
        </w:rPr>
      </w:pPr>
      <w:r>
        <w:rPr>
          <w:rFonts w:hint="eastAsia" w:ascii="宋体" w:hAnsi="宋体" w:eastAsia="宋体" w:cs="宋体"/>
        </w:rPr>
        <w:t>（8）已标价工程量清单；</w:t>
      </w:r>
    </w:p>
    <w:p w14:paraId="541222C1">
      <w:pPr>
        <w:spacing w:line="360" w:lineRule="auto"/>
        <w:ind w:firstLine="315" w:firstLineChars="150"/>
        <w:rPr>
          <w:rFonts w:hint="eastAsia" w:ascii="宋体" w:hAnsi="宋体" w:eastAsia="宋体" w:cs="宋体"/>
        </w:rPr>
      </w:pPr>
      <w:r>
        <w:rPr>
          <w:rFonts w:hint="eastAsia" w:ascii="宋体" w:hAnsi="宋体" w:eastAsia="宋体" w:cs="宋体"/>
        </w:rPr>
        <w:t>（9）其他合同文件。</w:t>
      </w:r>
    </w:p>
    <w:p w14:paraId="56CC24F9">
      <w:pPr>
        <w:spacing w:line="360" w:lineRule="auto"/>
        <w:ind w:firstLine="420" w:firstLineChars="200"/>
        <w:rPr>
          <w:rFonts w:hint="eastAsia" w:ascii="宋体" w:hAnsi="宋体" w:eastAsia="宋体" w:cs="宋体"/>
        </w:rPr>
      </w:pPr>
      <w:r>
        <w:rPr>
          <w:rFonts w:hint="eastAsia" w:ascii="宋体" w:hAnsi="宋体" w:eastAsia="宋体" w:cs="宋体"/>
        </w:rPr>
        <w:t>附注：构成合同文件的图纸与技术标准和要求之间有矛盾或者不一致的，应以其中要求较严格的标准为准。</w:t>
      </w:r>
    </w:p>
    <w:p w14:paraId="70B33CA5">
      <w:pPr>
        <w:spacing w:line="360" w:lineRule="auto"/>
        <w:ind w:firstLine="420" w:firstLineChars="200"/>
        <w:rPr>
          <w:rFonts w:hint="eastAsia" w:ascii="宋体" w:hAnsi="宋体" w:eastAsia="宋体" w:cs="宋体"/>
        </w:rPr>
      </w:pPr>
      <w:r>
        <w:rPr>
          <w:rFonts w:hint="eastAsia" w:ascii="宋体" w:hAnsi="宋体" w:eastAsia="宋体" w:cs="宋体"/>
        </w:rPr>
        <w:t>合同双方在合同履行过程中签署的不背离合同实质性内容的补充协议，应当视为合同文件的有效组成部分，其解释顺序视其内容与其他合同文件的相互关系而定。</w:t>
      </w:r>
    </w:p>
    <w:p w14:paraId="272A7E21">
      <w:pPr>
        <w:keepNext/>
        <w:keepLines/>
        <w:spacing w:before="156" w:beforeLines="50" w:after="156" w:afterLines="50" w:line="360" w:lineRule="auto"/>
        <w:outlineLvl w:val="2"/>
        <w:rPr>
          <w:rFonts w:hint="eastAsia" w:ascii="宋体" w:hAnsi="宋体" w:eastAsia="宋体" w:cs="宋体"/>
          <w:sz w:val="24"/>
          <w:szCs w:val="20"/>
        </w:rPr>
      </w:pPr>
      <w:bookmarkStart w:id="633" w:name="_Toc489279858"/>
      <w:bookmarkStart w:id="634" w:name="_Toc61020237"/>
      <w:bookmarkStart w:id="635" w:name="_Toc497213723"/>
      <w:bookmarkStart w:id="636" w:name="_Toc490222492"/>
      <w:bookmarkStart w:id="637" w:name="_Toc10235317"/>
      <w:bookmarkStart w:id="638" w:name="_Toc486580047"/>
      <w:r>
        <w:rPr>
          <w:rFonts w:hint="eastAsia" w:ascii="宋体" w:hAnsi="宋体" w:eastAsia="宋体" w:cs="宋体"/>
          <w:sz w:val="24"/>
          <w:szCs w:val="20"/>
        </w:rPr>
        <w:t>1.5  合同协议书</w:t>
      </w:r>
      <w:bookmarkEnd w:id="633"/>
      <w:bookmarkEnd w:id="634"/>
      <w:bookmarkEnd w:id="635"/>
      <w:bookmarkEnd w:id="636"/>
      <w:bookmarkEnd w:id="637"/>
      <w:bookmarkEnd w:id="638"/>
    </w:p>
    <w:p w14:paraId="243578F4">
      <w:pPr>
        <w:spacing w:line="360" w:lineRule="auto"/>
        <w:ind w:firstLine="420" w:firstLineChars="200"/>
        <w:rPr>
          <w:rFonts w:hint="eastAsia" w:ascii="宋体" w:hAnsi="宋体" w:eastAsia="宋体" w:cs="宋体"/>
        </w:rPr>
      </w:pPr>
      <w:r>
        <w:rPr>
          <w:rFonts w:hint="eastAsia" w:ascii="宋体" w:hAnsi="宋体" w:eastAsia="宋体" w:cs="宋体"/>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章后，合同生效。合同生效的条件见合同条款专用部分。</w:t>
      </w:r>
    </w:p>
    <w:p w14:paraId="326DEEA0">
      <w:pPr>
        <w:keepNext/>
        <w:keepLines/>
        <w:spacing w:before="156" w:beforeLines="50" w:after="156" w:afterLines="50" w:line="360" w:lineRule="auto"/>
        <w:outlineLvl w:val="2"/>
        <w:rPr>
          <w:rFonts w:hint="eastAsia" w:ascii="宋体" w:hAnsi="宋体" w:eastAsia="宋体" w:cs="宋体"/>
          <w:sz w:val="24"/>
          <w:szCs w:val="20"/>
        </w:rPr>
      </w:pPr>
      <w:bookmarkStart w:id="639" w:name="_Toc61020238"/>
      <w:bookmarkStart w:id="640" w:name="_Toc489279859"/>
      <w:bookmarkStart w:id="641" w:name="_Toc497213724"/>
      <w:bookmarkStart w:id="642" w:name="_Toc486580048"/>
      <w:bookmarkStart w:id="643" w:name="_Toc490222493"/>
      <w:bookmarkStart w:id="644" w:name="_Toc10235318"/>
      <w:r>
        <w:rPr>
          <w:rFonts w:hint="eastAsia" w:ascii="宋体" w:hAnsi="宋体" w:eastAsia="宋体" w:cs="宋体"/>
          <w:sz w:val="24"/>
          <w:szCs w:val="20"/>
        </w:rPr>
        <w:t>1.6  图纸和承包人文件</w:t>
      </w:r>
      <w:bookmarkEnd w:id="639"/>
      <w:bookmarkEnd w:id="640"/>
      <w:bookmarkEnd w:id="641"/>
      <w:bookmarkEnd w:id="642"/>
      <w:bookmarkEnd w:id="643"/>
      <w:bookmarkEnd w:id="644"/>
    </w:p>
    <w:p w14:paraId="3E683CA1">
      <w:pPr>
        <w:spacing w:line="360" w:lineRule="auto"/>
        <w:ind w:firstLine="420" w:firstLineChars="200"/>
        <w:rPr>
          <w:rFonts w:hint="eastAsia" w:ascii="宋体" w:hAnsi="宋体" w:eastAsia="宋体" w:cs="宋体"/>
        </w:rPr>
      </w:pPr>
      <w:r>
        <w:rPr>
          <w:rFonts w:hint="eastAsia" w:ascii="宋体" w:hAnsi="宋体" w:eastAsia="宋体" w:cs="宋体"/>
        </w:rPr>
        <w:t>1.6.1  图纸的提供</w:t>
      </w:r>
    </w:p>
    <w:p w14:paraId="3FEAB16C">
      <w:pPr>
        <w:spacing w:line="360" w:lineRule="auto"/>
        <w:ind w:firstLine="420" w:firstLineChars="200"/>
        <w:rPr>
          <w:rFonts w:hint="eastAsia" w:ascii="宋体" w:hAnsi="宋体" w:eastAsia="宋体" w:cs="宋体"/>
        </w:rPr>
      </w:pPr>
      <w:r>
        <w:rPr>
          <w:rFonts w:hint="eastAsia" w:ascii="宋体" w:hAnsi="宋体" w:eastAsia="宋体" w:cs="宋体"/>
        </w:rPr>
        <w:t>（1）发包人按照合同约定向承包人提供图纸。发包人未按时提供图纸造成工期延误的，按第11.3款的约定办理。承包人需要增加图纸套数的，发包人应代为复制，复制费用由承包人承担。</w:t>
      </w:r>
    </w:p>
    <w:p w14:paraId="29A55A45">
      <w:pPr>
        <w:spacing w:line="360" w:lineRule="auto"/>
        <w:ind w:firstLine="420" w:firstLineChars="200"/>
        <w:rPr>
          <w:rFonts w:hint="eastAsia" w:ascii="宋体" w:hAnsi="宋体" w:eastAsia="宋体" w:cs="宋体"/>
        </w:rPr>
      </w:pPr>
      <w:r>
        <w:rPr>
          <w:rFonts w:hint="eastAsia" w:ascii="宋体" w:hAnsi="宋体" w:eastAsia="宋体" w:cs="宋体"/>
        </w:rPr>
        <w:t>（2）依据合同条款专用部分第10.1款约定制定的合同进度计划，或依据合同条款专用部分第10.2款约定修订的合同进度计划，经监理人批准后7日内，承包人应当根据合同进度计划或合同进度计划修订和本项约定的图纸提供期限和数量，编制或者修改图纸供应计划并报送监理人，其中应当载明承包人对各最新版本图纸(包括第1.6.3项约定的图纸修改图)的最迟需求时间，监理人应当在收到图纸供应计划后7天内批复或提出修改意见，否则该图纸供应计划视为得到批准。</w:t>
      </w:r>
    </w:p>
    <w:p w14:paraId="4784E155">
      <w:pPr>
        <w:spacing w:line="360" w:lineRule="auto"/>
        <w:ind w:firstLine="420" w:firstLineChars="200"/>
        <w:rPr>
          <w:rFonts w:hint="eastAsia" w:ascii="宋体" w:hAnsi="宋体" w:eastAsia="宋体" w:cs="宋体"/>
        </w:rPr>
      </w:pPr>
      <w:r>
        <w:rPr>
          <w:rFonts w:hint="eastAsia" w:ascii="宋体" w:hAnsi="宋体" w:eastAsia="宋体" w:cs="宋体"/>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4FC552AB">
      <w:pPr>
        <w:spacing w:line="360" w:lineRule="auto"/>
        <w:ind w:firstLine="420" w:firstLineChars="200"/>
        <w:rPr>
          <w:rFonts w:hint="eastAsia" w:ascii="宋体" w:hAnsi="宋体" w:eastAsia="宋体" w:cs="宋体"/>
        </w:rPr>
      </w:pPr>
      <w:r>
        <w:rPr>
          <w:rFonts w:hint="eastAsia" w:ascii="宋体" w:hAnsi="宋体" w:eastAsia="宋体" w:cs="宋体"/>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60014D53">
      <w:pPr>
        <w:spacing w:line="360" w:lineRule="auto"/>
        <w:ind w:firstLine="420" w:firstLineChars="200"/>
        <w:rPr>
          <w:rFonts w:hint="eastAsia" w:ascii="宋体" w:hAnsi="宋体" w:eastAsia="宋体" w:cs="宋体"/>
        </w:rPr>
      </w:pPr>
      <w:r>
        <w:rPr>
          <w:rFonts w:hint="eastAsia" w:ascii="宋体" w:hAnsi="宋体" w:eastAsia="宋体" w:cs="宋体"/>
        </w:rPr>
        <w:t>（5）发包人提供图纸的期限、数量和其他约定见合同条款专用部分。</w:t>
      </w:r>
    </w:p>
    <w:p w14:paraId="2D0055E0">
      <w:pPr>
        <w:spacing w:line="360" w:lineRule="auto"/>
        <w:ind w:firstLine="420" w:firstLineChars="200"/>
        <w:rPr>
          <w:rFonts w:hint="eastAsia" w:ascii="宋体" w:hAnsi="宋体" w:eastAsia="宋体" w:cs="宋体"/>
        </w:rPr>
      </w:pPr>
      <w:r>
        <w:rPr>
          <w:rFonts w:hint="eastAsia" w:ascii="宋体" w:hAnsi="宋体" w:eastAsia="宋体" w:cs="宋体"/>
        </w:rPr>
        <w:t>1.6.2  承包人提供的文件</w:t>
      </w:r>
    </w:p>
    <w:p w14:paraId="00EB3B5C">
      <w:pPr>
        <w:spacing w:line="360" w:lineRule="auto"/>
        <w:ind w:firstLine="420" w:firstLineChars="200"/>
        <w:rPr>
          <w:rFonts w:hint="eastAsia" w:ascii="宋体" w:hAnsi="宋体" w:eastAsia="宋体" w:cs="宋体"/>
        </w:rPr>
      </w:pPr>
      <w:r>
        <w:rPr>
          <w:rFonts w:hint="eastAsia" w:ascii="宋体" w:hAnsi="宋体" w:eastAsia="宋体" w:cs="宋体"/>
        </w:rPr>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14:paraId="5B50E8C0">
      <w:pPr>
        <w:spacing w:line="360" w:lineRule="auto"/>
        <w:ind w:firstLine="420" w:firstLineChars="200"/>
        <w:rPr>
          <w:rFonts w:hint="eastAsia" w:ascii="宋体" w:hAnsi="宋体" w:eastAsia="宋体" w:cs="宋体"/>
        </w:rPr>
      </w:pPr>
      <w:r>
        <w:rPr>
          <w:rFonts w:hint="eastAsia" w:ascii="宋体" w:hAnsi="宋体" w:eastAsia="宋体" w:cs="宋体"/>
        </w:rPr>
        <w:t>（2）除合同条款第4.1.10项约定的由承包人提供的设计文件外，本项约定的其他应由承包人提供的文件，包括必要的加工图和大样图，均不能作为合同计量与支付的依据文件。</w:t>
      </w:r>
    </w:p>
    <w:p w14:paraId="49FDEDA9">
      <w:pPr>
        <w:spacing w:line="360" w:lineRule="auto"/>
        <w:ind w:firstLine="420" w:firstLineChars="200"/>
        <w:rPr>
          <w:rFonts w:hint="eastAsia" w:ascii="宋体" w:hAnsi="宋体" w:eastAsia="宋体" w:cs="宋体"/>
        </w:rPr>
      </w:pPr>
      <w:r>
        <w:rPr>
          <w:rFonts w:hint="eastAsia" w:ascii="宋体" w:hAnsi="宋体" w:eastAsia="宋体" w:cs="宋体"/>
        </w:rPr>
        <w:t>1.6.3  图纸的修改</w:t>
      </w:r>
    </w:p>
    <w:p w14:paraId="2D933E84">
      <w:pPr>
        <w:spacing w:line="360" w:lineRule="auto"/>
        <w:ind w:firstLine="420" w:firstLineChars="200"/>
        <w:rPr>
          <w:rFonts w:hint="eastAsia" w:ascii="宋体" w:hAnsi="宋体" w:eastAsia="宋体" w:cs="宋体"/>
        </w:rPr>
      </w:pPr>
      <w:r>
        <w:rPr>
          <w:rFonts w:hint="eastAsia" w:ascii="宋体" w:hAnsi="宋体" w:eastAsia="宋体" w:cs="宋体"/>
        </w:rPr>
        <w:t>图纸需要修改和补充的，监理人应当按照合同条款第1.6.1（2）目约定的有合同约束力的图纸供应计划，签发图纸修改图给承包人。承包人应按修改后的图纸施工。</w:t>
      </w:r>
    </w:p>
    <w:p w14:paraId="04D22ACB">
      <w:pPr>
        <w:spacing w:line="360" w:lineRule="auto"/>
        <w:ind w:firstLine="420" w:firstLineChars="200"/>
        <w:rPr>
          <w:rFonts w:hint="eastAsia" w:ascii="宋体" w:hAnsi="宋体" w:eastAsia="宋体" w:cs="宋体"/>
        </w:rPr>
      </w:pPr>
      <w:r>
        <w:rPr>
          <w:rFonts w:hint="eastAsia" w:ascii="宋体" w:hAnsi="宋体" w:eastAsia="宋体" w:cs="宋体"/>
        </w:rPr>
        <w:t>1.6.4  图纸的错误</w:t>
      </w:r>
    </w:p>
    <w:p w14:paraId="0DC06340">
      <w:pPr>
        <w:spacing w:line="360" w:lineRule="auto"/>
        <w:ind w:firstLine="420" w:firstLineChars="200"/>
        <w:rPr>
          <w:rFonts w:hint="eastAsia" w:ascii="宋体" w:hAnsi="宋体" w:eastAsia="宋体" w:cs="宋体"/>
        </w:rPr>
      </w:pPr>
      <w:r>
        <w:rPr>
          <w:rFonts w:hint="eastAsia" w:ascii="宋体" w:hAnsi="宋体" w:eastAsia="宋体" w:cs="宋体"/>
        </w:rPr>
        <w:t>承包人发现发包人提供的图纸存在明显错误或疏忽，应及时通知监理人。</w:t>
      </w:r>
    </w:p>
    <w:p w14:paraId="28AC35E4">
      <w:pPr>
        <w:spacing w:line="360" w:lineRule="auto"/>
        <w:ind w:firstLine="420" w:firstLineChars="200"/>
        <w:rPr>
          <w:rFonts w:hint="eastAsia" w:ascii="宋体" w:hAnsi="宋体" w:eastAsia="宋体" w:cs="宋体"/>
        </w:rPr>
      </w:pPr>
      <w:r>
        <w:rPr>
          <w:rFonts w:hint="eastAsia" w:ascii="宋体" w:hAnsi="宋体" w:eastAsia="宋体" w:cs="宋体"/>
        </w:rPr>
        <w:t>1.6.5  图纸和承包人文件的保管</w:t>
      </w:r>
    </w:p>
    <w:p w14:paraId="719C22AC">
      <w:pPr>
        <w:spacing w:line="360" w:lineRule="auto"/>
        <w:ind w:firstLine="420" w:firstLineChars="200"/>
        <w:rPr>
          <w:rFonts w:hint="eastAsia" w:ascii="宋体" w:hAnsi="宋体" w:eastAsia="宋体" w:cs="宋体"/>
        </w:rPr>
      </w:pPr>
      <w:r>
        <w:rPr>
          <w:rFonts w:hint="eastAsia" w:ascii="宋体" w:hAnsi="宋体" w:eastAsia="宋体" w:cs="宋体"/>
        </w:rPr>
        <w:t>监理人和承包人均应在施工场地各保存一套完整的包含第1.6.1项、第1.6.2项、第1.6.3项约定内容的图纸和承包人文件。</w:t>
      </w:r>
    </w:p>
    <w:p w14:paraId="0DEB1F31">
      <w:pPr>
        <w:keepNext/>
        <w:keepLines/>
        <w:spacing w:before="156" w:beforeLines="50" w:after="156" w:afterLines="50" w:line="360" w:lineRule="auto"/>
        <w:outlineLvl w:val="2"/>
        <w:rPr>
          <w:rFonts w:hint="eastAsia" w:ascii="宋体" w:hAnsi="宋体" w:eastAsia="宋体" w:cs="宋体"/>
          <w:sz w:val="24"/>
          <w:szCs w:val="20"/>
        </w:rPr>
      </w:pPr>
      <w:bookmarkStart w:id="645" w:name="_Toc490222494"/>
      <w:bookmarkStart w:id="646" w:name="_Toc61020239"/>
      <w:bookmarkStart w:id="647" w:name="_Toc497213725"/>
      <w:bookmarkStart w:id="648" w:name="_Toc486580049"/>
      <w:bookmarkStart w:id="649" w:name="_Toc10235319"/>
      <w:bookmarkStart w:id="650" w:name="_Toc489279860"/>
      <w:r>
        <w:rPr>
          <w:rFonts w:hint="eastAsia" w:ascii="宋体" w:hAnsi="宋体" w:eastAsia="宋体" w:cs="宋体"/>
          <w:sz w:val="24"/>
          <w:szCs w:val="20"/>
        </w:rPr>
        <w:t>1.7  联络</w:t>
      </w:r>
      <w:bookmarkEnd w:id="645"/>
      <w:bookmarkEnd w:id="646"/>
      <w:bookmarkEnd w:id="647"/>
      <w:bookmarkEnd w:id="648"/>
      <w:bookmarkEnd w:id="649"/>
      <w:bookmarkEnd w:id="650"/>
    </w:p>
    <w:p w14:paraId="10185446">
      <w:pPr>
        <w:spacing w:line="360" w:lineRule="auto"/>
        <w:ind w:firstLine="420" w:firstLineChars="200"/>
        <w:rPr>
          <w:rFonts w:hint="eastAsia" w:ascii="宋体" w:hAnsi="宋体" w:eastAsia="宋体" w:cs="宋体"/>
        </w:rPr>
      </w:pPr>
      <w:r>
        <w:rPr>
          <w:rFonts w:hint="eastAsia" w:ascii="宋体" w:hAnsi="宋体" w:eastAsia="宋体" w:cs="宋体"/>
        </w:rPr>
        <w:t>1.7.1  与合同有关的通知、批准、证明、证书、指示、要求、请求、同意、意见、确定和决定等，均应采用书面形式。</w:t>
      </w:r>
    </w:p>
    <w:p w14:paraId="1065C11F">
      <w:pPr>
        <w:spacing w:line="360" w:lineRule="auto"/>
        <w:ind w:firstLine="420" w:firstLineChars="200"/>
        <w:rPr>
          <w:rFonts w:hint="eastAsia" w:ascii="宋体" w:hAnsi="宋体" w:eastAsia="宋体" w:cs="宋体"/>
        </w:rPr>
      </w:pPr>
      <w:r>
        <w:rPr>
          <w:rFonts w:hint="eastAsia" w:ascii="宋体" w:hAnsi="宋体" w:eastAsia="宋体" w:cs="宋体"/>
        </w:rPr>
        <w:t>1.7.2  第1.7.1项中的通知、批准、证明、证书、指示、要求、请求、同意、意见、确定和决定等来往函件，均应在合同约定的期限内送达指定地点和接收人，并办理签收手续。</w:t>
      </w:r>
    </w:p>
    <w:p w14:paraId="2AAE84E0">
      <w:pPr>
        <w:spacing w:line="360" w:lineRule="auto"/>
        <w:ind w:firstLine="420" w:firstLineChars="200"/>
        <w:rPr>
          <w:rFonts w:hint="eastAsia" w:ascii="宋体" w:hAnsi="宋体" w:eastAsia="宋体" w:cs="宋体"/>
        </w:rPr>
      </w:pPr>
      <w:r>
        <w:rPr>
          <w:rFonts w:hint="eastAsia" w:ascii="宋体" w:hAnsi="宋体" w:eastAsia="宋体" w:cs="宋体"/>
        </w:rPr>
        <w:t>（1）联络来往信函的送达期限：合同约定了发出期限的，送达期限为合同约定的发出期限后的24小时内；合同约定了通知、提供或者报送期限的，通知、提供或者报送期限即为送达期限。</w:t>
      </w:r>
    </w:p>
    <w:p w14:paraId="042C4B36">
      <w:pPr>
        <w:spacing w:line="360" w:lineRule="auto"/>
        <w:ind w:firstLine="420" w:firstLineChars="200"/>
        <w:rPr>
          <w:rFonts w:hint="eastAsia" w:ascii="宋体" w:hAnsi="宋体" w:eastAsia="宋体" w:cs="宋体"/>
        </w:rPr>
      </w:pPr>
      <w:r>
        <w:rPr>
          <w:rFonts w:hint="eastAsia" w:ascii="宋体" w:hAnsi="宋体" w:eastAsia="宋体" w:cs="宋体"/>
        </w:rPr>
        <w:t>（2）发包人指定的接收人和接收地点见合同条款专用部分。</w:t>
      </w:r>
    </w:p>
    <w:p w14:paraId="324E152F">
      <w:pPr>
        <w:spacing w:line="360" w:lineRule="auto"/>
        <w:ind w:firstLine="420" w:firstLineChars="200"/>
        <w:rPr>
          <w:rFonts w:hint="eastAsia" w:ascii="宋体" w:hAnsi="宋体" w:eastAsia="宋体" w:cs="宋体"/>
        </w:rPr>
      </w:pPr>
      <w:r>
        <w:rPr>
          <w:rFonts w:hint="eastAsia" w:ascii="宋体" w:hAnsi="宋体" w:eastAsia="宋体" w:cs="宋体"/>
        </w:rPr>
        <w:t>（3）监理人指定的接收人和接收地点见合同条款专用部分。</w:t>
      </w:r>
    </w:p>
    <w:p w14:paraId="788F793F">
      <w:pPr>
        <w:spacing w:line="360" w:lineRule="auto"/>
        <w:ind w:firstLine="420" w:firstLineChars="200"/>
        <w:rPr>
          <w:rFonts w:hint="eastAsia" w:ascii="宋体" w:hAnsi="宋体" w:eastAsia="宋体" w:cs="宋体"/>
        </w:rPr>
      </w:pPr>
      <w:r>
        <w:rPr>
          <w:rFonts w:hint="eastAsia" w:ascii="宋体" w:hAnsi="宋体" w:eastAsia="宋体" w:cs="宋体"/>
        </w:rPr>
        <w:t>（4）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332B6989">
      <w:pPr>
        <w:spacing w:line="360" w:lineRule="auto"/>
        <w:ind w:firstLine="420" w:firstLineChars="200"/>
        <w:rPr>
          <w:rFonts w:hint="eastAsia" w:ascii="宋体" w:hAnsi="宋体" w:eastAsia="宋体" w:cs="宋体"/>
        </w:rPr>
      </w:pPr>
      <w:r>
        <w:rPr>
          <w:rFonts w:hint="eastAsia" w:ascii="宋体" w:hAnsi="宋体" w:eastAsia="宋体" w:cs="宋体"/>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237C8C28">
      <w:pPr>
        <w:spacing w:line="360" w:lineRule="auto"/>
        <w:ind w:firstLine="420" w:firstLineChars="200"/>
        <w:rPr>
          <w:rFonts w:hint="eastAsia" w:ascii="宋体" w:hAnsi="宋体" w:eastAsia="宋体" w:cs="宋体"/>
        </w:rPr>
      </w:pPr>
      <w:r>
        <w:rPr>
          <w:rFonts w:hint="eastAsia" w:ascii="宋体" w:hAnsi="宋体" w:eastAsia="宋体" w:cs="宋体"/>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7C1996C5">
      <w:pPr>
        <w:keepNext/>
        <w:keepLines/>
        <w:spacing w:before="156" w:beforeLines="50" w:after="156" w:afterLines="50" w:line="360" w:lineRule="auto"/>
        <w:outlineLvl w:val="2"/>
        <w:rPr>
          <w:rFonts w:hint="eastAsia" w:ascii="宋体" w:hAnsi="宋体" w:eastAsia="宋体" w:cs="宋体"/>
          <w:sz w:val="24"/>
          <w:szCs w:val="20"/>
        </w:rPr>
      </w:pPr>
      <w:bookmarkStart w:id="651" w:name="_Toc61020240"/>
      <w:bookmarkStart w:id="652" w:name="_Toc497213726"/>
      <w:bookmarkStart w:id="653" w:name="_Toc486580050"/>
      <w:bookmarkStart w:id="654" w:name="_Toc489279861"/>
      <w:bookmarkStart w:id="655" w:name="_Toc490222495"/>
      <w:bookmarkStart w:id="656" w:name="_Toc10235320"/>
      <w:r>
        <w:rPr>
          <w:rFonts w:hint="eastAsia" w:ascii="宋体" w:hAnsi="宋体" w:eastAsia="宋体" w:cs="宋体"/>
          <w:sz w:val="24"/>
          <w:szCs w:val="20"/>
        </w:rPr>
        <w:t>1.8  转让</w:t>
      </w:r>
      <w:bookmarkEnd w:id="651"/>
      <w:bookmarkEnd w:id="652"/>
      <w:bookmarkEnd w:id="653"/>
      <w:bookmarkEnd w:id="654"/>
      <w:bookmarkEnd w:id="655"/>
      <w:bookmarkEnd w:id="656"/>
    </w:p>
    <w:p w14:paraId="7CBA0544">
      <w:pPr>
        <w:spacing w:line="360" w:lineRule="auto"/>
        <w:ind w:firstLine="420" w:firstLineChars="200"/>
        <w:rPr>
          <w:rFonts w:hint="eastAsia" w:ascii="宋体" w:hAnsi="宋体" w:eastAsia="宋体" w:cs="宋体"/>
        </w:rPr>
      </w:pPr>
      <w:r>
        <w:rPr>
          <w:rFonts w:hint="eastAsia" w:ascii="宋体" w:hAnsi="宋体" w:eastAsia="宋体" w:cs="宋体"/>
        </w:rPr>
        <w:t>除合同另有约定外，未经对方当事人同意，一方当事人不得将合同权利全部或部分转让给第三人，也不得全部或部分转移合同义务。</w:t>
      </w:r>
    </w:p>
    <w:p w14:paraId="0768EBBB">
      <w:pPr>
        <w:keepNext/>
        <w:keepLines/>
        <w:spacing w:before="156" w:beforeLines="50" w:after="156" w:afterLines="50" w:line="360" w:lineRule="auto"/>
        <w:outlineLvl w:val="2"/>
        <w:rPr>
          <w:rFonts w:hint="eastAsia" w:ascii="宋体" w:hAnsi="宋体" w:eastAsia="宋体" w:cs="宋体"/>
          <w:sz w:val="24"/>
          <w:szCs w:val="20"/>
        </w:rPr>
      </w:pPr>
      <w:bookmarkStart w:id="657" w:name="_Toc61020241"/>
      <w:bookmarkStart w:id="658" w:name="_Toc10235321"/>
      <w:bookmarkStart w:id="659" w:name="_Toc490222496"/>
      <w:bookmarkStart w:id="660" w:name="_Toc497213727"/>
      <w:bookmarkStart w:id="661" w:name="_Toc489279862"/>
      <w:bookmarkStart w:id="662" w:name="_Toc486580051"/>
      <w:r>
        <w:rPr>
          <w:rFonts w:hint="eastAsia" w:ascii="宋体" w:hAnsi="宋体" w:eastAsia="宋体" w:cs="宋体"/>
          <w:sz w:val="24"/>
          <w:szCs w:val="20"/>
        </w:rPr>
        <w:t>1.9  严禁贿赂</w:t>
      </w:r>
      <w:bookmarkEnd w:id="657"/>
      <w:bookmarkEnd w:id="658"/>
      <w:bookmarkEnd w:id="659"/>
      <w:bookmarkEnd w:id="660"/>
      <w:bookmarkEnd w:id="661"/>
      <w:bookmarkEnd w:id="662"/>
    </w:p>
    <w:p w14:paraId="5F28194F">
      <w:pPr>
        <w:spacing w:line="360" w:lineRule="auto"/>
        <w:ind w:firstLine="420" w:firstLineChars="200"/>
        <w:rPr>
          <w:rFonts w:hint="eastAsia" w:ascii="宋体" w:hAnsi="宋体" w:eastAsia="宋体" w:cs="宋体"/>
        </w:rPr>
      </w:pPr>
      <w:r>
        <w:rPr>
          <w:rFonts w:hint="eastAsia" w:ascii="宋体" w:hAnsi="宋体" w:eastAsia="宋体" w:cs="宋体"/>
        </w:rPr>
        <w:t>合同双方当事人不得以贿赂或变相贿赂的方式，谋取不当利益或损害对方权益。因贿赂造成对方损失的，行为人应赔偿损失，并承担相应的法律责任。</w:t>
      </w:r>
    </w:p>
    <w:p w14:paraId="205FC444">
      <w:pPr>
        <w:keepNext/>
        <w:keepLines/>
        <w:spacing w:before="156" w:beforeLines="50" w:after="156" w:afterLines="50" w:line="360" w:lineRule="auto"/>
        <w:outlineLvl w:val="2"/>
        <w:rPr>
          <w:rFonts w:hint="eastAsia" w:ascii="宋体" w:hAnsi="宋体" w:eastAsia="宋体" w:cs="宋体"/>
          <w:sz w:val="24"/>
          <w:szCs w:val="20"/>
        </w:rPr>
      </w:pPr>
      <w:bookmarkStart w:id="663" w:name="_Toc497213728"/>
      <w:bookmarkStart w:id="664" w:name="_Toc10235322"/>
      <w:bookmarkStart w:id="665" w:name="_Toc486580052"/>
      <w:bookmarkStart w:id="666" w:name="_Toc490222497"/>
      <w:bookmarkStart w:id="667" w:name="_Toc61020242"/>
      <w:bookmarkStart w:id="668" w:name="_Toc489279863"/>
      <w:r>
        <w:rPr>
          <w:rFonts w:hint="eastAsia" w:ascii="宋体" w:hAnsi="宋体" w:eastAsia="宋体" w:cs="宋体"/>
          <w:sz w:val="24"/>
          <w:szCs w:val="20"/>
        </w:rPr>
        <w:t>1.10  化石、文物</w:t>
      </w:r>
      <w:bookmarkEnd w:id="663"/>
      <w:bookmarkEnd w:id="664"/>
      <w:bookmarkEnd w:id="665"/>
      <w:bookmarkEnd w:id="666"/>
      <w:bookmarkEnd w:id="667"/>
      <w:bookmarkEnd w:id="668"/>
    </w:p>
    <w:p w14:paraId="14F93302">
      <w:pPr>
        <w:spacing w:line="360" w:lineRule="auto"/>
        <w:ind w:firstLine="420" w:firstLineChars="200"/>
        <w:rPr>
          <w:rFonts w:hint="eastAsia" w:ascii="宋体" w:hAnsi="宋体" w:eastAsia="宋体" w:cs="宋体"/>
        </w:rPr>
      </w:pPr>
      <w:r>
        <w:rPr>
          <w:rFonts w:hint="eastAsia" w:ascii="宋体" w:hAnsi="宋体" w:eastAsia="宋体" w:cs="宋体"/>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37268016">
      <w:pPr>
        <w:spacing w:line="360" w:lineRule="auto"/>
        <w:ind w:firstLine="420" w:firstLineChars="200"/>
        <w:rPr>
          <w:rFonts w:hint="eastAsia" w:ascii="宋体" w:hAnsi="宋体" w:eastAsia="宋体" w:cs="宋体"/>
        </w:rPr>
      </w:pPr>
      <w:r>
        <w:rPr>
          <w:rFonts w:hint="eastAsia" w:ascii="宋体" w:hAnsi="宋体" w:eastAsia="宋体" w:cs="宋体"/>
        </w:rPr>
        <w:t>1.10.2  承包人发现文物后不及时报告或隐瞒不报，致使文物丢失或损坏的，应赔偿损失，并承担相应的法律责任。</w:t>
      </w:r>
    </w:p>
    <w:p w14:paraId="5B0C93D9">
      <w:pPr>
        <w:keepNext/>
        <w:keepLines/>
        <w:spacing w:before="156" w:beforeLines="50" w:after="156" w:afterLines="50" w:line="360" w:lineRule="auto"/>
        <w:outlineLvl w:val="2"/>
        <w:rPr>
          <w:rFonts w:hint="eastAsia" w:ascii="宋体" w:hAnsi="宋体" w:eastAsia="宋体" w:cs="宋体"/>
          <w:sz w:val="24"/>
          <w:szCs w:val="20"/>
        </w:rPr>
      </w:pPr>
      <w:bookmarkStart w:id="669" w:name="_Toc486580053"/>
      <w:bookmarkStart w:id="670" w:name="_Toc490222498"/>
      <w:bookmarkStart w:id="671" w:name="_Toc10235323"/>
      <w:bookmarkStart w:id="672" w:name="_Toc489279864"/>
      <w:bookmarkStart w:id="673" w:name="_Toc61020243"/>
      <w:bookmarkStart w:id="674" w:name="_Toc497213729"/>
      <w:r>
        <w:rPr>
          <w:rFonts w:hint="eastAsia" w:ascii="宋体" w:hAnsi="宋体" w:eastAsia="宋体" w:cs="宋体"/>
          <w:sz w:val="24"/>
          <w:szCs w:val="20"/>
        </w:rPr>
        <w:t>1.11  专利技术</w:t>
      </w:r>
      <w:bookmarkEnd w:id="669"/>
      <w:bookmarkEnd w:id="670"/>
      <w:bookmarkEnd w:id="671"/>
      <w:bookmarkEnd w:id="672"/>
      <w:bookmarkEnd w:id="673"/>
      <w:bookmarkEnd w:id="674"/>
    </w:p>
    <w:p w14:paraId="0C90CD18">
      <w:pPr>
        <w:spacing w:line="360" w:lineRule="auto"/>
        <w:ind w:firstLine="420" w:firstLineChars="200"/>
        <w:rPr>
          <w:rFonts w:hint="eastAsia" w:ascii="宋体" w:hAnsi="宋体" w:eastAsia="宋体" w:cs="宋体"/>
        </w:rPr>
      </w:pPr>
      <w:r>
        <w:rPr>
          <w:rFonts w:hint="eastAsia" w:ascii="宋体" w:hAnsi="宋体" w:eastAsia="宋体" w:cs="宋体"/>
        </w:rPr>
        <w:t>1.11.1  承包人在使用任何材料、承包人设备、工程设备或采用施工工艺时，因侵犯专利权或其他知识产权所引起的责任，由承包人承担，但由于遵照发包人提供的设计或技术标准和要求引起的除外。</w:t>
      </w:r>
    </w:p>
    <w:p w14:paraId="2A18BC5B">
      <w:pPr>
        <w:spacing w:line="360" w:lineRule="auto"/>
        <w:ind w:firstLine="420" w:firstLineChars="200"/>
        <w:rPr>
          <w:rFonts w:hint="eastAsia" w:ascii="宋体" w:hAnsi="宋体" w:eastAsia="宋体" w:cs="宋体"/>
        </w:rPr>
      </w:pPr>
      <w:r>
        <w:rPr>
          <w:rFonts w:hint="eastAsia" w:ascii="宋体" w:hAnsi="宋体" w:eastAsia="宋体" w:cs="宋体"/>
        </w:rPr>
        <w:t>1.11.2  承包人在投标文件中采用专利技术的，专利技术的使用费包含在投标报价内。</w:t>
      </w:r>
    </w:p>
    <w:p w14:paraId="11FEB019">
      <w:pPr>
        <w:spacing w:line="360" w:lineRule="auto"/>
        <w:ind w:firstLine="420" w:firstLineChars="200"/>
        <w:rPr>
          <w:rFonts w:hint="eastAsia" w:ascii="宋体" w:hAnsi="宋体" w:eastAsia="宋体" w:cs="宋体"/>
        </w:rPr>
      </w:pPr>
      <w:r>
        <w:rPr>
          <w:rFonts w:hint="eastAsia" w:ascii="宋体" w:hAnsi="宋体" w:eastAsia="宋体" w:cs="宋体"/>
        </w:rPr>
        <w:t>1.11.3  承包人的技术秘密和声明需要保密的资料和信息，发包人和监理人不得为合同以外的目的泄露给他人。</w:t>
      </w:r>
    </w:p>
    <w:p w14:paraId="72B67C08">
      <w:pPr>
        <w:keepNext/>
        <w:keepLines/>
        <w:spacing w:before="156" w:beforeLines="50" w:after="156" w:afterLines="50" w:line="360" w:lineRule="auto"/>
        <w:outlineLvl w:val="2"/>
        <w:rPr>
          <w:rFonts w:hint="eastAsia" w:ascii="宋体" w:hAnsi="宋体" w:eastAsia="宋体" w:cs="宋体"/>
          <w:sz w:val="24"/>
          <w:szCs w:val="20"/>
        </w:rPr>
      </w:pPr>
      <w:bookmarkStart w:id="675" w:name="_Toc490222499"/>
      <w:bookmarkStart w:id="676" w:name="_Toc10235324"/>
      <w:bookmarkStart w:id="677" w:name="_Toc61020244"/>
      <w:bookmarkStart w:id="678" w:name="_Toc486580054"/>
      <w:bookmarkStart w:id="679" w:name="_Toc497213730"/>
      <w:bookmarkStart w:id="680" w:name="_Toc489279865"/>
      <w:r>
        <w:rPr>
          <w:rFonts w:hint="eastAsia" w:ascii="宋体" w:hAnsi="宋体" w:eastAsia="宋体" w:cs="宋体"/>
          <w:sz w:val="24"/>
          <w:szCs w:val="20"/>
        </w:rPr>
        <w:t>1.12  图纸和文件的保密</w:t>
      </w:r>
      <w:bookmarkEnd w:id="675"/>
      <w:bookmarkEnd w:id="676"/>
      <w:bookmarkEnd w:id="677"/>
      <w:bookmarkEnd w:id="678"/>
      <w:bookmarkEnd w:id="679"/>
      <w:bookmarkEnd w:id="680"/>
    </w:p>
    <w:p w14:paraId="5DC12DA6">
      <w:pPr>
        <w:spacing w:line="360" w:lineRule="auto"/>
        <w:ind w:firstLine="420" w:firstLineChars="200"/>
        <w:rPr>
          <w:rFonts w:hint="eastAsia" w:ascii="宋体" w:hAnsi="宋体" w:eastAsia="宋体" w:cs="宋体"/>
        </w:rPr>
      </w:pPr>
      <w:r>
        <w:rPr>
          <w:rFonts w:hint="eastAsia" w:ascii="宋体" w:hAnsi="宋体" w:eastAsia="宋体" w:cs="宋体"/>
        </w:rPr>
        <w:t>1.12.1  发包人提供的图纸和文件，未经发包人同意，承包人不得为合同以外的目的泄露给他人或公开发表与引用。</w:t>
      </w:r>
    </w:p>
    <w:p w14:paraId="57012520">
      <w:pPr>
        <w:spacing w:line="360" w:lineRule="auto"/>
        <w:ind w:firstLine="420" w:firstLineChars="200"/>
        <w:rPr>
          <w:rFonts w:hint="eastAsia" w:ascii="宋体" w:hAnsi="宋体" w:eastAsia="宋体" w:cs="宋体"/>
        </w:rPr>
      </w:pPr>
      <w:r>
        <w:rPr>
          <w:rFonts w:hint="eastAsia" w:ascii="宋体" w:hAnsi="宋体" w:eastAsia="宋体" w:cs="宋体"/>
        </w:rPr>
        <w:t>1.12.2  承包人提供的文件，未经承包人同意，发包人和监理人不得为合同以外的目的泄露给他人或公开发表与引用。</w:t>
      </w:r>
    </w:p>
    <w:p w14:paraId="61FA2513">
      <w:pPr>
        <w:keepNext/>
        <w:keepLines/>
        <w:spacing w:before="156" w:beforeLines="50" w:after="156" w:afterLines="50" w:line="360" w:lineRule="auto"/>
        <w:outlineLvl w:val="1"/>
        <w:rPr>
          <w:rFonts w:hint="eastAsia" w:ascii="宋体" w:hAnsi="宋体" w:eastAsia="宋体" w:cs="宋体"/>
          <w:sz w:val="28"/>
          <w:szCs w:val="20"/>
        </w:rPr>
      </w:pPr>
      <w:bookmarkStart w:id="681" w:name="_Toc497213731"/>
      <w:bookmarkStart w:id="682" w:name="_Toc486580055"/>
      <w:bookmarkStart w:id="683" w:name="_Toc10235325"/>
      <w:bookmarkStart w:id="684" w:name="_Toc61020245"/>
      <w:bookmarkStart w:id="685" w:name="_Toc490222500"/>
      <w:bookmarkStart w:id="686" w:name="_Toc489279866"/>
      <w:r>
        <w:rPr>
          <w:rFonts w:hint="eastAsia" w:ascii="宋体" w:hAnsi="宋体" w:eastAsia="宋体" w:cs="宋体"/>
          <w:sz w:val="28"/>
          <w:szCs w:val="20"/>
        </w:rPr>
        <w:t>2.发包人义务</w:t>
      </w:r>
      <w:bookmarkEnd w:id="681"/>
      <w:bookmarkEnd w:id="682"/>
      <w:bookmarkEnd w:id="683"/>
      <w:bookmarkEnd w:id="684"/>
      <w:bookmarkEnd w:id="685"/>
      <w:bookmarkEnd w:id="686"/>
    </w:p>
    <w:p w14:paraId="546D2BAF">
      <w:pPr>
        <w:keepNext/>
        <w:keepLines/>
        <w:spacing w:before="156" w:beforeLines="50" w:after="156" w:afterLines="50" w:line="360" w:lineRule="auto"/>
        <w:outlineLvl w:val="2"/>
        <w:rPr>
          <w:rFonts w:hint="eastAsia" w:ascii="宋体" w:hAnsi="宋体" w:eastAsia="宋体" w:cs="宋体"/>
          <w:sz w:val="24"/>
          <w:szCs w:val="20"/>
        </w:rPr>
      </w:pPr>
      <w:bookmarkStart w:id="687" w:name="_Toc61020246"/>
      <w:bookmarkStart w:id="688" w:name="_Toc10235326"/>
      <w:bookmarkStart w:id="689" w:name="_Toc497213732"/>
      <w:bookmarkStart w:id="690" w:name="_Toc490222501"/>
      <w:bookmarkStart w:id="691" w:name="_Toc486580056"/>
      <w:bookmarkStart w:id="692" w:name="_Toc489279867"/>
      <w:r>
        <w:rPr>
          <w:rFonts w:hint="eastAsia" w:ascii="宋体" w:hAnsi="宋体" w:eastAsia="宋体" w:cs="宋体"/>
          <w:sz w:val="24"/>
          <w:szCs w:val="20"/>
        </w:rPr>
        <w:t>2.1  遵守法律</w:t>
      </w:r>
      <w:bookmarkEnd w:id="687"/>
      <w:bookmarkEnd w:id="688"/>
      <w:bookmarkEnd w:id="689"/>
      <w:bookmarkEnd w:id="690"/>
      <w:bookmarkEnd w:id="691"/>
      <w:bookmarkEnd w:id="692"/>
    </w:p>
    <w:p w14:paraId="7B31B3FC">
      <w:pPr>
        <w:spacing w:line="360" w:lineRule="auto"/>
        <w:ind w:firstLine="420" w:firstLineChars="200"/>
        <w:rPr>
          <w:rFonts w:hint="eastAsia" w:ascii="宋体" w:hAnsi="宋体" w:eastAsia="宋体" w:cs="宋体"/>
        </w:rPr>
      </w:pPr>
      <w:r>
        <w:rPr>
          <w:rFonts w:hint="eastAsia" w:ascii="宋体" w:hAnsi="宋体" w:eastAsia="宋体" w:cs="宋体"/>
        </w:rPr>
        <w:t>发包人在履行合同过程中应遵守法律，并保证承包人免于承担因发包人违反法律而引起的任何责任。</w:t>
      </w:r>
    </w:p>
    <w:p w14:paraId="3CD2BB77">
      <w:pPr>
        <w:keepNext/>
        <w:keepLines/>
        <w:spacing w:before="156" w:beforeLines="50" w:after="156" w:afterLines="50" w:line="360" w:lineRule="auto"/>
        <w:outlineLvl w:val="2"/>
        <w:rPr>
          <w:rFonts w:hint="eastAsia" w:ascii="宋体" w:hAnsi="宋体" w:eastAsia="宋体" w:cs="宋体"/>
          <w:sz w:val="24"/>
          <w:szCs w:val="20"/>
        </w:rPr>
      </w:pPr>
      <w:bookmarkStart w:id="693" w:name="_Toc486580057"/>
      <w:bookmarkStart w:id="694" w:name="_Toc497213733"/>
      <w:bookmarkStart w:id="695" w:name="_Toc489279868"/>
      <w:bookmarkStart w:id="696" w:name="_Toc61020247"/>
      <w:bookmarkStart w:id="697" w:name="_Toc10235327"/>
      <w:bookmarkStart w:id="698" w:name="_Toc490222502"/>
      <w:r>
        <w:rPr>
          <w:rFonts w:hint="eastAsia" w:ascii="宋体" w:hAnsi="宋体" w:eastAsia="宋体" w:cs="宋体"/>
          <w:sz w:val="24"/>
          <w:szCs w:val="20"/>
        </w:rPr>
        <w:t>2.2  发出开工通知</w:t>
      </w:r>
      <w:bookmarkEnd w:id="693"/>
      <w:bookmarkEnd w:id="694"/>
      <w:bookmarkEnd w:id="695"/>
      <w:bookmarkEnd w:id="696"/>
      <w:bookmarkEnd w:id="697"/>
      <w:bookmarkEnd w:id="698"/>
    </w:p>
    <w:p w14:paraId="7B6E93E0">
      <w:pPr>
        <w:spacing w:line="360" w:lineRule="auto"/>
        <w:ind w:firstLine="420" w:firstLineChars="200"/>
        <w:rPr>
          <w:rFonts w:hint="eastAsia" w:ascii="宋体" w:hAnsi="宋体" w:eastAsia="宋体" w:cs="宋体"/>
        </w:rPr>
      </w:pPr>
      <w:r>
        <w:rPr>
          <w:rFonts w:hint="eastAsia" w:ascii="宋体" w:hAnsi="宋体" w:eastAsia="宋体" w:cs="宋体"/>
        </w:rPr>
        <w:t>发包人应委托监理人按第11.1款的约定向承包人发出开工通知。</w:t>
      </w:r>
    </w:p>
    <w:p w14:paraId="5C2BFBCC">
      <w:pPr>
        <w:keepNext/>
        <w:keepLines/>
        <w:spacing w:before="156" w:beforeLines="50" w:after="156" w:afterLines="50" w:line="360" w:lineRule="auto"/>
        <w:outlineLvl w:val="2"/>
        <w:rPr>
          <w:rFonts w:hint="eastAsia" w:ascii="宋体" w:hAnsi="宋体" w:eastAsia="宋体" w:cs="宋体"/>
          <w:sz w:val="24"/>
          <w:szCs w:val="20"/>
        </w:rPr>
      </w:pPr>
      <w:bookmarkStart w:id="699" w:name="_Toc61020248"/>
      <w:bookmarkStart w:id="700" w:name="_Toc497213734"/>
      <w:bookmarkStart w:id="701" w:name="_Toc10235328"/>
      <w:bookmarkStart w:id="702" w:name="_Toc489279869"/>
      <w:bookmarkStart w:id="703" w:name="_Toc486580058"/>
      <w:bookmarkStart w:id="704" w:name="_Toc490222503"/>
      <w:r>
        <w:rPr>
          <w:rFonts w:hint="eastAsia" w:ascii="宋体" w:hAnsi="宋体" w:eastAsia="宋体" w:cs="宋体"/>
          <w:sz w:val="24"/>
          <w:szCs w:val="20"/>
        </w:rPr>
        <w:t>2.3  提供施工场地</w:t>
      </w:r>
      <w:bookmarkEnd w:id="699"/>
      <w:bookmarkEnd w:id="700"/>
      <w:bookmarkEnd w:id="701"/>
      <w:bookmarkEnd w:id="702"/>
      <w:bookmarkEnd w:id="703"/>
      <w:bookmarkEnd w:id="704"/>
    </w:p>
    <w:p w14:paraId="1E67B207">
      <w:pPr>
        <w:spacing w:line="360" w:lineRule="auto"/>
        <w:ind w:firstLine="420" w:firstLineChars="200"/>
        <w:rPr>
          <w:rFonts w:hint="eastAsia" w:ascii="宋体" w:hAnsi="宋体" w:eastAsia="宋体" w:cs="宋体"/>
        </w:rPr>
      </w:pPr>
      <w:r>
        <w:rPr>
          <w:rFonts w:hint="eastAsia" w:ascii="宋体" w:hAnsi="宋体" w:eastAsia="宋体" w:cs="宋体"/>
        </w:rPr>
        <w:t>发包人应在约定期限前确保施工场地具备施工条件并移交给承包人，具体施工条件在 “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14:paraId="0B25861F">
      <w:pPr>
        <w:keepNext/>
        <w:keepLines/>
        <w:spacing w:before="156" w:beforeLines="50" w:after="156" w:afterLines="50" w:line="360" w:lineRule="auto"/>
        <w:outlineLvl w:val="2"/>
        <w:rPr>
          <w:rFonts w:hint="eastAsia" w:ascii="宋体" w:hAnsi="宋体" w:eastAsia="宋体" w:cs="宋体"/>
          <w:sz w:val="24"/>
          <w:szCs w:val="20"/>
        </w:rPr>
      </w:pPr>
      <w:bookmarkStart w:id="705" w:name="_Toc497213735"/>
      <w:bookmarkStart w:id="706" w:name="_Toc489279870"/>
      <w:bookmarkStart w:id="707" w:name="_Toc486580059"/>
      <w:bookmarkStart w:id="708" w:name="_Toc490222504"/>
      <w:bookmarkStart w:id="709" w:name="_Toc10235329"/>
      <w:bookmarkStart w:id="710" w:name="_Toc61020249"/>
      <w:r>
        <w:rPr>
          <w:rFonts w:hint="eastAsia" w:ascii="宋体" w:hAnsi="宋体" w:eastAsia="宋体" w:cs="宋体"/>
          <w:sz w:val="24"/>
          <w:szCs w:val="20"/>
        </w:rPr>
        <w:t>2.4  协助承包人办理证件和批件</w:t>
      </w:r>
      <w:bookmarkEnd w:id="705"/>
      <w:bookmarkEnd w:id="706"/>
      <w:bookmarkEnd w:id="707"/>
      <w:bookmarkEnd w:id="708"/>
      <w:bookmarkEnd w:id="709"/>
      <w:bookmarkEnd w:id="710"/>
    </w:p>
    <w:p w14:paraId="399702FE">
      <w:pPr>
        <w:spacing w:line="360" w:lineRule="auto"/>
        <w:ind w:firstLine="420" w:firstLineChars="200"/>
        <w:rPr>
          <w:rFonts w:hint="eastAsia" w:ascii="宋体" w:hAnsi="宋体" w:eastAsia="宋体" w:cs="宋体"/>
        </w:rPr>
      </w:pPr>
      <w:r>
        <w:rPr>
          <w:rFonts w:hint="eastAsia" w:ascii="宋体" w:hAnsi="宋体" w:eastAsia="宋体" w:cs="宋体"/>
        </w:rPr>
        <w:t>发包人应协助承包人办理法律规定的有关施工证件和批件。</w:t>
      </w:r>
    </w:p>
    <w:p w14:paraId="715A98CC">
      <w:pPr>
        <w:keepNext/>
        <w:keepLines/>
        <w:spacing w:before="156" w:beforeLines="50" w:after="156" w:afterLines="50" w:line="360" w:lineRule="auto"/>
        <w:outlineLvl w:val="2"/>
        <w:rPr>
          <w:rFonts w:hint="eastAsia" w:ascii="宋体" w:hAnsi="宋体" w:eastAsia="宋体" w:cs="宋体"/>
          <w:sz w:val="24"/>
          <w:szCs w:val="20"/>
        </w:rPr>
      </w:pPr>
      <w:bookmarkStart w:id="711" w:name="_Toc486580060"/>
      <w:bookmarkStart w:id="712" w:name="_Toc490222505"/>
      <w:bookmarkStart w:id="713" w:name="_Toc489279871"/>
      <w:bookmarkStart w:id="714" w:name="_Toc61020250"/>
      <w:bookmarkStart w:id="715" w:name="_Toc497213736"/>
      <w:bookmarkStart w:id="716" w:name="_Toc10235330"/>
      <w:r>
        <w:rPr>
          <w:rFonts w:hint="eastAsia" w:ascii="宋体" w:hAnsi="宋体" w:eastAsia="宋体" w:cs="宋体"/>
          <w:sz w:val="24"/>
          <w:szCs w:val="20"/>
        </w:rPr>
        <w:t>2.5  组织设计交底</w:t>
      </w:r>
      <w:bookmarkEnd w:id="711"/>
      <w:bookmarkEnd w:id="712"/>
      <w:bookmarkEnd w:id="713"/>
      <w:bookmarkEnd w:id="714"/>
      <w:bookmarkEnd w:id="715"/>
      <w:bookmarkEnd w:id="716"/>
    </w:p>
    <w:p w14:paraId="3BA4B1BC">
      <w:pPr>
        <w:spacing w:line="360" w:lineRule="auto"/>
        <w:ind w:firstLine="420" w:firstLineChars="200"/>
        <w:rPr>
          <w:rFonts w:hint="eastAsia" w:ascii="宋体" w:hAnsi="宋体" w:eastAsia="宋体" w:cs="宋体"/>
        </w:rPr>
      </w:pPr>
      <w:r>
        <w:rPr>
          <w:rFonts w:hint="eastAsia" w:ascii="宋体" w:hAnsi="宋体" w:eastAsia="宋体" w:cs="宋体"/>
        </w:rPr>
        <w:t>发包人应根据批准的合同进度计划，组织设计单位向承包人进行设计交底。</w:t>
      </w:r>
    </w:p>
    <w:p w14:paraId="38435B3B">
      <w:pPr>
        <w:spacing w:line="360" w:lineRule="auto"/>
        <w:ind w:firstLine="420" w:firstLineChars="200"/>
        <w:rPr>
          <w:rFonts w:hint="eastAsia" w:ascii="宋体" w:hAnsi="宋体" w:eastAsia="宋体" w:cs="宋体"/>
        </w:rPr>
      </w:pPr>
      <w:r>
        <w:rPr>
          <w:rFonts w:hint="eastAsia" w:ascii="宋体" w:hAnsi="宋体" w:eastAsia="宋体" w:cs="宋体"/>
        </w:rPr>
        <w:t>发包人应在第11.1.1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0B0FA96C">
      <w:pPr>
        <w:keepNext/>
        <w:keepLines/>
        <w:spacing w:before="156" w:beforeLines="50" w:after="156" w:afterLines="50" w:line="360" w:lineRule="auto"/>
        <w:outlineLvl w:val="2"/>
        <w:rPr>
          <w:rFonts w:hint="eastAsia" w:ascii="宋体" w:hAnsi="宋体" w:eastAsia="宋体" w:cs="宋体"/>
          <w:sz w:val="24"/>
          <w:szCs w:val="20"/>
        </w:rPr>
      </w:pPr>
      <w:bookmarkStart w:id="717" w:name="_Toc10235331"/>
      <w:bookmarkStart w:id="718" w:name="_Toc490222506"/>
      <w:bookmarkStart w:id="719" w:name="_Toc486580061"/>
      <w:bookmarkStart w:id="720" w:name="_Toc61020251"/>
      <w:bookmarkStart w:id="721" w:name="_Toc489279872"/>
      <w:bookmarkStart w:id="722" w:name="_Toc497213737"/>
      <w:r>
        <w:rPr>
          <w:rFonts w:hint="eastAsia" w:ascii="宋体" w:hAnsi="宋体" w:eastAsia="宋体" w:cs="宋体"/>
          <w:sz w:val="24"/>
          <w:szCs w:val="20"/>
        </w:rPr>
        <w:t>2.6  支付合同价款</w:t>
      </w:r>
      <w:bookmarkEnd w:id="717"/>
      <w:bookmarkEnd w:id="718"/>
      <w:bookmarkEnd w:id="719"/>
      <w:bookmarkEnd w:id="720"/>
      <w:bookmarkEnd w:id="721"/>
      <w:bookmarkEnd w:id="722"/>
    </w:p>
    <w:p w14:paraId="72E3568B">
      <w:pPr>
        <w:spacing w:line="360" w:lineRule="auto"/>
        <w:ind w:firstLine="420" w:firstLineChars="200"/>
        <w:rPr>
          <w:rFonts w:hint="eastAsia" w:ascii="宋体" w:hAnsi="宋体" w:eastAsia="宋体" w:cs="宋体"/>
        </w:rPr>
      </w:pPr>
      <w:r>
        <w:rPr>
          <w:rFonts w:hint="eastAsia" w:ascii="宋体" w:hAnsi="宋体" w:eastAsia="宋体" w:cs="宋体"/>
        </w:rPr>
        <w:t>发包人应按合同约定向承包人及时支付合同价款。</w:t>
      </w:r>
    </w:p>
    <w:p w14:paraId="167C092F">
      <w:pPr>
        <w:keepNext/>
        <w:keepLines/>
        <w:spacing w:before="156" w:beforeLines="50" w:after="156" w:afterLines="50" w:line="360" w:lineRule="auto"/>
        <w:outlineLvl w:val="2"/>
        <w:rPr>
          <w:rFonts w:hint="eastAsia" w:ascii="宋体" w:hAnsi="宋体" w:eastAsia="宋体" w:cs="宋体"/>
          <w:sz w:val="24"/>
          <w:szCs w:val="20"/>
        </w:rPr>
      </w:pPr>
      <w:bookmarkStart w:id="723" w:name="_Toc486580062"/>
      <w:bookmarkStart w:id="724" w:name="_Toc489279873"/>
      <w:bookmarkStart w:id="725" w:name="_Toc10235332"/>
      <w:bookmarkStart w:id="726" w:name="_Toc61020252"/>
      <w:bookmarkStart w:id="727" w:name="_Toc490222507"/>
      <w:bookmarkStart w:id="728" w:name="_Toc497213738"/>
      <w:r>
        <w:rPr>
          <w:rFonts w:hint="eastAsia" w:ascii="宋体" w:hAnsi="宋体" w:eastAsia="宋体" w:cs="宋体"/>
          <w:sz w:val="24"/>
          <w:szCs w:val="20"/>
        </w:rPr>
        <w:t>2.7  组织竣工验收</w:t>
      </w:r>
      <w:bookmarkEnd w:id="723"/>
      <w:bookmarkEnd w:id="724"/>
      <w:bookmarkEnd w:id="725"/>
      <w:bookmarkEnd w:id="726"/>
      <w:bookmarkEnd w:id="727"/>
      <w:bookmarkEnd w:id="728"/>
    </w:p>
    <w:p w14:paraId="2F791F20">
      <w:pPr>
        <w:spacing w:line="360" w:lineRule="auto"/>
        <w:ind w:firstLine="420" w:firstLineChars="200"/>
        <w:rPr>
          <w:rFonts w:hint="eastAsia" w:ascii="宋体" w:hAnsi="宋体" w:eastAsia="宋体" w:cs="宋体"/>
        </w:rPr>
      </w:pPr>
      <w:r>
        <w:rPr>
          <w:rFonts w:hint="eastAsia" w:ascii="宋体" w:hAnsi="宋体" w:eastAsia="宋体" w:cs="宋体"/>
        </w:rPr>
        <w:t>发包人应按合同约定及时组织竣工验收。</w:t>
      </w:r>
    </w:p>
    <w:p w14:paraId="54ABDA4D">
      <w:pPr>
        <w:keepNext/>
        <w:keepLines/>
        <w:spacing w:before="156" w:beforeLines="50" w:after="156" w:afterLines="50" w:line="360" w:lineRule="auto"/>
        <w:outlineLvl w:val="2"/>
        <w:rPr>
          <w:rFonts w:hint="eastAsia" w:ascii="宋体" w:hAnsi="宋体" w:eastAsia="宋体" w:cs="宋体"/>
          <w:sz w:val="24"/>
          <w:szCs w:val="20"/>
        </w:rPr>
      </w:pPr>
      <w:bookmarkStart w:id="729" w:name="_Toc490222508"/>
      <w:bookmarkStart w:id="730" w:name="_Toc489279874"/>
      <w:bookmarkStart w:id="731" w:name="_Toc10235333"/>
      <w:bookmarkStart w:id="732" w:name="_Toc61020253"/>
      <w:bookmarkStart w:id="733" w:name="_Toc486580063"/>
      <w:bookmarkStart w:id="734" w:name="_Toc497213739"/>
      <w:r>
        <w:rPr>
          <w:rFonts w:hint="eastAsia" w:ascii="宋体" w:hAnsi="宋体" w:eastAsia="宋体" w:cs="宋体"/>
          <w:sz w:val="24"/>
          <w:szCs w:val="20"/>
        </w:rPr>
        <w:t>2.8  向承包人提交支付担保</w:t>
      </w:r>
      <w:bookmarkEnd w:id="729"/>
      <w:bookmarkEnd w:id="730"/>
      <w:bookmarkEnd w:id="731"/>
      <w:bookmarkEnd w:id="732"/>
      <w:bookmarkEnd w:id="733"/>
      <w:bookmarkEnd w:id="734"/>
    </w:p>
    <w:p w14:paraId="5FE2A75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发包人要求承包人提交履约担保的，除合同条款专用部分另有约定的，在承包人按合同条款第4.2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14:paraId="153ABFF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（2）支付担保的有效期应当自本合同生效之日起至发包人实际支付竣工付款之日止。</w:t>
      </w:r>
    </w:p>
    <w:p w14:paraId="09E3879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（3）发包人无法获得一份不带具体截止日期的履约担保，支付担保中应当约定有“变更工程竣工付款支付日期的，保证期间按照变更后的竣工付款支付日期做相应调整”或类似约定的条款。</w:t>
      </w:r>
    </w:p>
    <w:p w14:paraId="78D5F81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（4）支付担保应当在发包人付清竣工付款之日后28天内退还给发包人；承包人不承担发包人与支付担保有关的任何利息或其它类似的费用或者收益。</w:t>
      </w:r>
    </w:p>
    <w:p w14:paraId="439C29DB">
      <w:pPr>
        <w:keepNext/>
        <w:keepLines/>
        <w:spacing w:before="156" w:beforeLines="50" w:after="156" w:afterLines="50" w:line="360" w:lineRule="auto"/>
        <w:outlineLvl w:val="2"/>
        <w:rPr>
          <w:rFonts w:hint="eastAsia" w:ascii="宋体" w:hAnsi="宋体" w:eastAsia="宋体" w:cs="宋体"/>
          <w:sz w:val="24"/>
          <w:szCs w:val="20"/>
        </w:rPr>
      </w:pPr>
      <w:bookmarkStart w:id="735" w:name="_Toc61020254"/>
      <w:bookmarkStart w:id="736" w:name="_Toc10235334"/>
      <w:bookmarkStart w:id="737" w:name="_Toc497213740"/>
      <w:bookmarkStart w:id="738" w:name="_Toc486580064"/>
      <w:bookmarkStart w:id="739" w:name="_Toc489279875"/>
      <w:bookmarkStart w:id="740" w:name="_Toc490222509"/>
      <w:r>
        <w:rPr>
          <w:rFonts w:hint="eastAsia" w:ascii="宋体" w:hAnsi="宋体" w:eastAsia="宋体" w:cs="宋体"/>
          <w:sz w:val="24"/>
          <w:szCs w:val="20"/>
        </w:rPr>
        <w:t>2.9  办理工程质量监督手续</w:t>
      </w:r>
      <w:bookmarkEnd w:id="735"/>
      <w:bookmarkEnd w:id="736"/>
      <w:bookmarkEnd w:id="737"/>
      <w:bookmarkEnd w:id="738"/>
      <w:bookmarkEnd w:id="739"/>
      <w:bookmarkEnd w:id="740"/>
    </w:p>
    <w:p w14:paraId="58FE8EBF">
      <w:pPr>
        <w:spacing w:line="360" w:lineRule="auto"/>
        <w:ind w:firstLine="420" w:firstLineChars="200"/>
        <w:rPr>
          <w:rFonts w:hint="eastAsia" w:ascii="宋体" w:hAnsi="宋体" w:eastAsia="宋体" w:cs="宋体"/>
        </w:rPr>
      </w:pPr>
      <w:r>
        <w:rPr>
          <w:rFonts w:hint="eastAsia" w:ascii="宋体" w:hAnsi="宋体" w:eastAsia="宋体" w:cs="宋体"/>
        </w:rPr>
        <w:t>发包人应按有关规定及时办理工程质量监督手续。</w:t>
      </w:r>
    </w:p>
    <w:p w14:paraId="38B72D93">
      <w:pPr>
        <w:keepNext/>
        <w:keepLines/>
        <w:spacing w:before="156" w:beforeLines="50" w:after="156" w:afterLines="50" w:line="360" w:lineRule="auto"/>
        <w:outlineLvl w:val="2"/>
        <w:rPr>
          <w:rFonts w:hint="eastAsia" w:ascii="宋体" w:hAnsi="宋体" w:eastAsia="宋体" w:cs="宋体"/>
          <w:sz w:val="24"/>
          <w:szCs w:val="20"/>
        </w:rPr>
      </w:pPr>
      <w:bookmarkStart w:id="741" w:name="_Toc497213741"/>
      <w:bookmarkStart w:id="742" w:name="_Toc490222510"/>
      <w:bookmarkStart w:id="743" w:name="_Toc61020255"/>
      <w:bookmarkStart w:id="744" w:name="_Toc489279876"/>
      <w:bookmarkStart w:id="745" w:name="_Toc486580065"/>
      <w:bookmarkStart w:id="746" w:name="_Toc10235335"/>
      <w:r>
        <w:rPr>
          <w:rFonts w:hint="eastAsia" w:ascii="宋体" w:hAnsi="宋体" w:eastAsia="宋体" w:cs="宋体"/>
          <w:sz w:val="24"/>
          <w:szCs w:val="20"/>
        </w:rPr>
        <w:t>2.10  环境保护责任</w:t>
      </w:r>
      <w:bookmarkEnd w:id="741"/>
      <w:bookmarkEnd w:id="742"/>
      <w:bookmarkEnd w:id="743"/>
      <w:bookmarkEnd w:id="744"/>
      <w:bookmarkEnd w:id="745"/>
      <w:bookmarkEnd w:id="746"/>
    </w:p>
    <w:p w14:paraId="665C215D">
      <w:pPr>
        <w:spacing w:line="360" w:lineRule="auto"/>
        <w:ind w:firstLine="315" w:firstLineChars="150"/>
        <w:rPr>
          <w:rFonts w:hint="eastAsia" w:ascii="宋体" w:hAnsi="宋体" w:eastAsia="宋体" w:cs="宋体"/>
          <w:szCs w:val="21"/>
        </w:rPr>
      </w:pPr>
      <w:r>
        <w:rPr>
          <w:rFonts w:hint="eastAsia" w:ascii="宋体" w:hAnsi="宋体" w:eastAsia="宋体" w:cs="宋体"/>
          <w:szCs w:val="20"/>
        </w:rPr>
        <w:t xml:space="preserve"> 发包人对建筑垃圾处理、施工扬尘治理负总责。</w:t>
      </w:r>
    </w:p>
    <w:p w14:paraId="7778D921">
      <w:pPr>
        <w:keepNext/>
        <w:keepLines/>
        <w:spacing w:before="156" w:beforeLines="50" w:after="156" w:afterLines="50" w:line="360" w:lineRule="auto"/>
        <w:outlineLvl w:val="2"/>
        <w:rPr>
          <w:rFonts w:hint="eastAsia" w:ascii="宋体" w:hAnsi="宋体" w:eastAsia="宋体" w:cs="宋体"/>
          <w:sz w:val="24"/>
          <w:szCs w:val="20"/>
        </w:rPr>
      </w:pPr>
      <w:bookmarkStart w:id="747" w:name="_Toc61020256"/>
      <w:bookmarkStart w:id="748" w:name="_Toc10235336"/>
      <w:bookmarkStart w:id="749" w:name="_Toc486580066"/>
      <w:bookmarkStart w:id="750" w:name="_Toc497213742"/>
      <w:bookmarkStart w:id="751" w:name="_Toc489279877"/>
      <w:bookmarkStart w:id="752" w:name="_Toc490222511"/>
      <w:r>
        <w:rPr>
          <w:rFonts w:hint="eastAsia" w:ascii="宋体" w:hAnsi="宋体" w:eastAsia="宋体" w:cs="宋体"/>
          <w:sz w:val="24"/>
          <w:szCs w:val="20"/>
        </w:rPr>
        <w:t>2.11  移交工程档案</w:t>
      </w:r>
      <w:bookmarkEnd w:id="747"/>
      <w:bookmarkEnd w:id="748"/>
      <w:bookmarkEnd w:id="749"/>
      <w:bookmarkEnd w:id="750"/>
      <w:bookmarkEnd w:id="751"/>
      <w:bookmarkEnd w:id="752"/>
    </w:p>
    <w:p w14:paraId="722EB9DA">
      <w:pPr>
        <w:spacing w:line="360" w:lineRule="auto"/>
        <w:ind w:firstLine="420" w:firstLineChars="200"/>
        <w:rPr>
          <w:rFonts w:hint="eastAsia" w:ascii="宋体" w:hAnsi="宋体" w:eastAsia="宋体" w:cs="宋体"/>
          <w:szCs w:val="20"/>
        </w:rPr>
      </w:pPr>
      <w:r>
        <w:rPr>
          <w:rFonts w:hint="eastAsia" w:ascii="宋体" w:hAnsi="宋体" w:eastAsia="宋体" w:cs="宋体"/>
          <w:szCs w:val="20"/>
        </w:rPr>
        <w:t>发包人应根据建设行政主管部门和（或）城市建设档案管理机构的规定，收集、整理、立卷、归档工程资料，并按规定时间向建设行政主管部门或者城市建设档案管理机构移交规定的工程档案。</w:t>
      </w:r>
    </w:p>
    <w:p w14:paraId="059CCB92">
      <w:pPr>
        <w:keepNext/>
        <w:keepLines/>
        <w:spacing w:before="156" w:beforeLines="50" w:after="156" w:afterLines="50" w:line="360" w:lineRule="auto"/>
        <w:outlineLvl w:val="2"/>
        <w:rPr>
          <w:rFonts w:hint="eastAsia" w:ascii="宋体" w:hAnsi="宋体" w:eastAsia="宋体" w:cs="宋体"/>
          <w:sz w:val="24"/>
          <w:szCs w:val="20"/>
        </w:rPr>
      </w:pPr>
      <w:bookmarkStart w:id="753" w:name="_Toc61020257"/>
      <w:bookmarkStart w:id="754" w:name="_Toc486580067"/>
      <w:bookmarkStart w:id="755" w:name="_Toc10235337"/>
      <w:bookmarkStart w:id="756" w:name="_Toc497213743"/>
      <w:bookmarkStart w:id="757" w:name="_Toc490222512"/>
      <w:bookmarkStart w:id="758" w:name="_Toc489279878"/>
      <w:r>
        <w:rPr>
          <w:rFonts w:hint="eastAsia" w:ascii="宋体" w:hAnsi="宋体" w:eastAsia="宋体" w:cs="宋体"/>
          <w:sz w:val="24"/>
          <w:szCs w:val="20"/>
        </w:rPr>
        <w:t>2.12  批准和确认</w:t>
      </w:r>
      <w:bookmarkEnd w:id="753"/>
      <w:bookmarkEnd w:id="754"/>
      <w:bookmarkEnd w:id="755"/>
      <w:bookmarkEnd w:id="756"/>
      <w:bookmarkEnd w:id="757"/>
      <w:bookmarkEnd w:id="758"/>
    </w:p>
    <w:p w14:paraId="6B3A5EC0">
      <w:pPr>
        <w:spacing w:line="360" w:lineRule="auto"/>
        <w:ind w:firstLine="420" w:firstLineChars="200"/>
        <w:rPr>
          <w:rFonts w:hint="eastAsia" w:ascii="宋体" w:hAnsi="宋体" w:eastAsia="宋体" w:cs="宋体"/>
        </w:rPr>
      </w:pPr>
      <w:r>
        <w:rPr>
          <w:rFonts w:hint="eastAsia" w:ascii="宋体" w:hAnsi="宋体" w:eastAsia="宋体" w:cs="宋体"/>
          <w:szCs w:val="20"/>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3951ED3A">
      <w:pPr>
        <w:keepNext/>
        <w:keepLines/>
        <w:spacing w:before="156" w:beforeLines="50" w:after="156" w:afterLines="50" w:line="360" w:lineRule="auto"/>
        <w:outlineLvl w:val="2"/>
        <w:rPr>
          <w:rFonts w:hint="eastAsia" w:ascii="宋体" w:hAnsi="宋体" w:eastAsia="宋体" w:cs="宋体"/>
          <w:sz w:val="24"/>
          <w:szCs w:val="20"/>
        </w:rPr>
      </w:pPr>
      <w:bookmarkStart w:id="759" w:name="_Toc10235338"/>
      <w:bookmarkStart w:id="760" w:name="_Toc490222513"/>
      <w:bookmarkStart w:id="761" w:name="_Toc489279879"/>
      <w:bookmarkStart w:id="762" w:name="_Toc497213744"/>
      <w:bookmarkStart w:id="763" w:name="_Toc61020258"/>
      <w:bookmarkStart w:id="764" w:name="_Toc486580068"/>
      <w:r>
        <w:rPr>
          <w:rFonts w:hint="eastAsia" w:ascii="宋体" w:hAnsi="宋体" w:eastAsia="宋体" w:cs="宋体"/>
          <w:sz w:val="24"/>
          <w:szCs w:val="20"/>
        </w:rPr>
        <w:t>2.13  其他义务</w:t>
      </w:r>
      <w:bookmarkEnd w:id="759"/>
      <w:bookmarkEnd w:id="760"/>
      <w:bookmarkEnd w:id="761"/>
      <w:bookmarkEnd w:id="762"/>
      <w:bookmarkEnd w:id="763"/>
      <w:bookmarkEnd w:id="764"/>
    </w:p>
    <w:p w14:paraId="17069F1E">
      <w:pPr>
        <w:spacing w:line="360" w:lineRule="auto"/>
        <w:ind w:firstLine="420" w:firstLineChars="200"/>
        <w:rPr>
          <w:rFonts w:hint="eastAsia" w:ascii="宋体" w:hAnsi="宋体" w:eastAsia="宋体" w:cs="宋体"/>
          <w:b/>
        </w:rPr>
      </w:pPr>
      <w:r>
        <w:rPr>
          <w:rFonts w:hint="eastAsia" w:ascii="宋体" w:hAnsi="宋体" w:eastAsia="宋体" w:cs="宋体"/>
        </w:rPr>
        <w:t>发包人应履行的其他义务见合同条款专用部分。</w:t>
      </w:r>
    </w:p>
    <w:p w14:paraId="7412FB97">
      <w:pPr>
        <w:keepNext/>
        <w:keepLines/>
        <w:spacing w:before="156" w:beforeLines="50" w:after="156" w:afterLines="50" w:line="360" w:lineRule="auto"/>
        <w:outlineLvl w:val="1"/>
        <w:rPr>
          <w:rFonts w:hint="eastAsia" w:ascii="宋体" w:hAnsi="宋体" w:eastAsia="宋体" w:cs="宋体"/>
          <w:sz w:val="28"/>
          <w:szCs w:val="20"/>
        </w:rPr>
      </w:pPr>
      <w:bookmarkStart w:id="765" w:name="_Toc497213745"/>
      <w:bookmarkStart w:id="766" w:name="_Toc10235339"/>
      <w:bookmarkStart w:id="767" w:name="_Toc490222514"/>
      <w:bookmarkStart w:id="768" w:name="_Toc61020259"/>
      <w:bookmarkStart w:id="769" w:name="_Toc489279880"/>
      <w:bookmarkStart w:id="770" w:name="_Toc486580069"/>
      <w:r>
        <w:rPr>
          <w:rFonts w:hint="eastAsia" w:ascii="宋体" w:hAnsi="宋体" w:eastAsia="宋体" w:cs="宋体"/>
          <w:sz w:val="28"/>
          <w:szCs w:val="20"/>
        </w:rPr>
        <w:t>3.监理人</w:t>
      </w:r>
      <w:bookmarkEnd w:id="765"/>
      <w:bookmarkEnd w:id="766"/>
      <w:bookmarkEnd w:id="767"/>
      <w:bookmarkEnd w:id="768"/>
      <w:bookmarkEnd w:id="769"/>
      <w:bookmarkEnd w:id="770"/>
    </w:p>
    <w:p w14:paraId="174ACAD1">
      <w:pPr>
        <w:keepNext/>
        <w:keepLines/>
        <w:spacing w:before="156" w:beforeLines="50" w:after="156" w:afterLines="50" w:line="360" w:lineRule="auto"/>
        <w:outlineLvl w:val="2"/>
        <w:rPr>
          <w:rFonts w:hint="eastAsia" w:ascii="宋体" w:hAnsi="宋体" w:eastAsia="宋体" w:cs="宋体"/>
          <w:sz w:val="24"/>
          <w:szCs w:val="20"/>
        </w:rPr>
      </w:pPr>
      <w:bookmarkStart w:id="771" w:name="_Toc490222515"/>
      <w:bookmarkStart w:id="772" w:name="_Toc489279881"/>
      <w:bookmarkStart w:id="773" w:name="_Toc61020260"/>
      <w:bookmarkStart w:id="774" w:name="_Toc10235340"/>
      <w:bookmarkStart w:id="775" w:name="_Toc497213746"/>
      <w:bookmarkStart w:id="776" w:name="_Toc486580070"/>
      <w:r>
        <w:rPr>
          <w:rFonts w:hint="eastAsia" w:ascii="宋体" w:hAnsi="宋体" w:eastAsia="宋体" w:cs="宋体"/>
          <w:sz w:val="24"/>
          <w:szCs w:val="20"/>
        </w:rPr>
        <w:t>3.1  监理人的职责和权力</w:t>
      </w:r>
      <w:bookmarkEnd w:id="771"/>
      <w:bookmarkEnd w:id="772"/>
      <w:bookmarkEnd w:id="773"/>
      <w:bookmarkEnd w:id="774"/>
      <w:bookmarkEnd w:id="775"/>
      <w:bookmarkEnd w:id="776"/>
    </w:p>
    <w:p w14:paraId="2B536A40">
      <w:pPr>
        <w:spacing w:line="360" w:lineRule="auto"/>
        <w:ind w:firstLine="420" w:firstLineChars="200"/>
        <w:rPr>
          <w:rFonts w:hint="eastAsia" w:ascii="宋体" w:hAnsi="宋体" w:eastAsia="宋体" w:cs="宋体"/>
        </w:rPr>
      </w:pPr>
      <w:r>
        <w:rPr>
          <w:rFonts w:hint="eastAsia" w:ascii="宋体" w:hAnsi="宋体" w:eastAsia="宋体" w:cs="宋体"/>
        </w:rPr>
        <w:t>3.1.1  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w:t>
      </w:r>
      <w:r>
        <w:rPr>
          <w:rFonts w:hint="eastAsia" w:ascii="宋体" w:hAnsi="宋体" w:eastAsia="宋体" w:cs="宋体"/>
          <w:szCs w:val="21"/>
        </w:rPr>
        <w:t>。发包人需批准明确行使的权力见</w:t>
      </w:r>
      <w:r>
        <w:rPr>
          <w:rFonts w:hint="eastAsia" w:ascii="宋体" w:hAnsi="宋体" w:eastAsia="宋体" w:cs="宋体"/>
        </w:rPr>
        <w:t>合同条款专用部分。</w:t>
      </w:r>
    </w:p>
    <w:p w14:paraId="3A1FE72D">
      <w:pPr>
        <w:spacing w:line="360" w:lineRule="auto"/>
        <w:ind w:firstLine="420" w:firstLineChars="200"/>
        <w:rPr>
          <w:rFonts w:hint="eastAsia" w:ascii="宋体" w:hAnsi="宋体" w:eastAsia="宋体" w:cs="宋体"/>
        </w:rPr>
      </w:pPr>
      <w:r>
        <w:rPr>
          <w:rFonts w:hint="eastAsia" w:ascii="宋体" w:hAnsi="宋体" w:eastAsia="宋体" w:cs="宋体"/>
        </w:rPr>
        <w:t>3.1.2  监理人发出的任何指示应视为已得到发包人的批准，但监理人无权免除或变更合同约定的发包人和承包人的权利、义务和责任。</w:t>
      </w:r>
    </w:p>
    <w:p w14:paraId="74F47F96">
      <w:pPr>
        <w:spacing w:line="360" w:lineRule="auto"/>
        <w:ind w:firstLine="420" w:firstLineChars="200"/>
        <w:rPr>
          <w:rFonts w:hint="eastAsia" w:ascii="宋体" w:hAnsi="宋体" w:eastAsia="宋体" w:cs="宋体"/>
        </w:rPr>
      </w:pPr>
      <w:r>
        <w:rPr>
          <w:rFonts w:hint="eastAsia" w:ascii="宋体" w:hAnsi="宋体" w:eastAsia="宋体" w:cs="宋体"/>
        </w:rPr>
        <w:t>3.1.3  合同约定应由承包人承担的义务和责任，不因监理人对承包人提交文件的审查或批准，对工程、材料和设备的检查和检验，以及为实施监理作出的指示等职务行为而减轻或解除。</w:t>
      </w:r>
    </w:p>
    <w:p w14:paraId="62CFA051">
      <w:pPr>
        <w:keepNext/>
        <w:keepLines/>
        <w:spacing w:before="156" w:beforeLines="50" w:after="156" w:afterLines="50" w:line="360" w:lineRule="auto"/>
        <w:outlineLvl w:val="2"/>
        <w:rPr>
          <w:rFonts w:hint="eastAsia" w:ascii="宋体" w:hAnsi="宋体" w:eastAsia="宋体" w:cs="宋体"/>
          <w:sz w:val="24"/>
          <w:szCs w:val="20"/>
        </w:rPr>
      </w:pPr>
      <w:bookmarkStart w:id="777" w:name="_Toc486580071"/>
      <w:bookmarkStart w:id="778" w:name="_Toc497213747"/>
      <w:bookmarkStart w:id="779" w:name="_Toc61020261"/>
      <w:bookmarkStart w:id="780" w:name="_Toc10235341"/>
      <w:bookmarkStart w:id="781" w:name="_Toc490222516"/>
      <w:bookmarkStart w:id="782" w:name="_Toc489279882"/>
      <w:r>
        <w:rPr>
          <w:rFonts w:hint="eastAsia" w:ascii="宋体" w:hAnsi="宋体" w:eastAsia="宋体" w:cs="宋体"/>
          <w:sz w:val="24"/>
          <w:szCs w:val="20"/>
        </w:rPr>
        <w:t>3.2  总监理工程师</w:t>
      </w:r>
      <w:bookmarkEnd w:id="777"/>
      <w:bookmarkEnd w:id="778"/>
      <w:bookmarkEnd w:id="779"/>
      <w:bookmarkEnd w:id="780"/>
      <w:bookmarkEnd w:id="781"/>
      <w:bookmarkEnd w:id="782"/>
    </w:p>
    <w:p w14:paraId="524622F5">
      <w:pPr>
        <w:spacing w:line="360" w:lineRule="auto"/>
        <w:ind w:firstLine="420" w:firstLineChars="200"/>
        <w:rPr>
          <w:rFonts w:hint="eastAsia" w:ascii="宋体" w:hAnsi="宋体" w:eastAsia="宋体" w:cs="宋体"/>
        </w:rPr>
      </w:pPr>
      <w:r>
        <w:rPr>
          <w:rFonts w:hint="eastAsia" w:ascii="宋体" w:hAnsi="宋体" w:eastAsia="宋体" w:cs="宋体"/>
        </w:rPr>
        <w:t>发包人应在发出开工通知前将总监理工程师的任命通知承包人。总监理工程师更换时，应在调离14天前通知承包人。总监理工程师短期离开施工场地的，应委派代表代行其职责，并通知承包人。</w:t>
      </w:r>
    </w:p>
    <w:p w14:paraId="67B8018B">
      <w:pPr>
        <w:keepNext/>
        <w:keepLines/>
        <w:spacing w:before="156" w:beforeLines="50" w:after="156" w:afterLines="50" w:line="360" w:lineRule="auto"/>
        <w:outlineLvl w:val="2"/>
        <w:rPr>
          <w:rFonts w:hint="eastAsia" w:ascii="宋体" w:hAnsi="宋体" w:eastAsia="宋体" w:cs="宋体"/>
          <w:sz w:val="24"/>
          <w:szCs w:val="20"/>
        </w:rPr>
      </w:pPr>
      <w:bookmarkStart w:id="783" w:name="_Toc486580072"/>
      <w:bookmarkStart w:id="784" w:name="_Toc490222517"/>
      <w:bookmarkStart w:id="785" w:name="_Toc10235342"/>
      <w:bookmarkStart w:id="786" w:name="_Toc61020262"/>
      <w:bookmarkStart w:id="787" w:name="_Toc489279883"/>
      <w:bookmarkStart w:id="788" w:name="_Toc497213748"/>
      <w:r>
        <w:rPr>
          <w:rFonts w:hint="eastAsia" w:ascii="宋体" w:hAnsi="宋体" w:eastAsia="宋体" w:cs="宋体"/>
          <w:sz w:val="24"/>
          <w:szCs w:val="20"/>
        </w:rPr>
        <w:t>3.3  监理人员</w:t>
      </w:r>
      <w:bookmarkEnd w:id="783"/>
      <w:bookmarkEnd w:id="784"/>
      <w:bookmarkEnd w:id="785"/>
      <w:bookmarkEnd w:id="786"/>
      <w:bookmarkEnd w:id="787"/>
      <w:bookmarkEnd w:id="788"/>
    </w:p>
    <w:p w14:paraId="19202AF5">
      <w:pPr>
        <w:spacing w:line="360" w:lineRule="auto"/>
        <w:ind w:firstLine="420" w:firstLineChars="200"/>
        <w:rPr>
          <w:rFonts w:hint="eastAsia" w:ascii="宋体" w:hAnsi="宋体" w:eastAsia="宋体" w:cs="宋体"/>
        </w:rPr>
      </w:pPr>
      <w:r>
        <w:rPr>
          <w:rFonts w:hint="eastAsia" w:ascii="宋体" w:hAnsi="宋体" w:eastAsia="宋体" w:cs="宋体"/>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021CBD58">
      <w:pPr>
        <w:spacing w:line="360" w:lineRule="auto"/>
        <w:ind w:firstLine="420" w:firstLineChars="200"/>
        <w:rPr>
          <w:rFonts w:hint="eastAsia" w:ascii="宋体" w:hAnsi="宋体" w:eastAsia="宋体" w:cs="宋体"/>
        </w:rPr>
      </w:pPr>
      <w:r>
        <w:rPr>
          <w:rFonts w:hint="eastAsia" w:ascii="宋体" w:hAnsi="宋体" w:eastAsia="宋体" w:cs="宋体"/>
        </w:rPr>
        <w:t>3.3.2  监理人员对承包人的任何工作、工程或其采用的材料和工程设备未在约定的或合理的期限内提出否定意见的，视为已获批准，但不影响监理人在以后拒绝该项工作、工程、材料或工程设备的权利。</w:t>
      </w:r>
    </w:p>
    <w:p w14:paraId="23987F42">
      <w:pPr>
        <w:spacing w:line="360" w:lineRule="auto"/>
        <w:ind w:firstLine="420" w:firstLineChars="200"/>
        <w:rPr>
          <w:rFonts w:hint="eastAsia" w:ascii="宋体" w:hAnsi="宋体" w:eastAsia="宋体" w:cs="宋体"/>
        </w:rPr>
      </w:pPr>
      <w:r>
        <w:rPr>
          <w:rFonts w:hint="eastAsia" w:ascii="宋体" w:hAnsi="宋体" w:eastAsia="宋体" w:cs="宋体"/>
        </w:rPr>
        <w:t>3.3.3  承包人对总监理工程师授权的监理人员发出的指示有疑问的，可向总监理工程师提出书面异议，总监理工程师应在48小时内对该指示予以确认、更改或撤销。</w:t>
      </w:r>
    </w:p>
    <w:p w14:paraId="2C56D9DA">
      <w:pPr>
        <w:spacing w:line="360" w:lineRule="auto"/>
        <w:ind w:firstLine="420" w:firstLineChars="200"/>
        <w:rPr>
          <w:rFonts w:hint="eastAsia" w:ascii="宋体" w:hAnsi="宋体" w:eastAsia="宋体" w:cs="宋体"/>
        </w:rPr>
      </w:pPr>
      <w:r>
        <w:rPr>
          <w:rFonts w:hint="eastAsia" w:ascii="宋体" w:hAnsi="宋体" w:eastAsia="宋体" w:cs="宋体"/>
        </w:rPr>
        <w:t xml:space="preserve">3.3.4  </w:t>
      </w:r>
      <w:r>
        <w:rPr>
          <w:rFonts w:hint="eastAsia" w:ascii="宋体" w:hAnsi="宋体" w:eastAsia="宋体" w:cs="宋体"/>
          <w:szCs w:val="21"/>
        </w:rPr>
        <w:t>总监理工程师不应将合同条款通用部分第3.5款约定应由总监理工程师作出确定的权力授权或者委托给其他监理人员。</w:t>
      </w:r>
    </w:p>
    <w:p w14:paraId="1AF046A1">
      <w:pPr>
        <w:keepNext/>
        <w:keepLines/>
        <w:spacing w:before="156" w:beforeLines="50" w:after="156" w:afterLines="50" w:line="360" w:lineRule="auto"/>
        <w:outlineLvl w:val="2"/>
        <w:rPr>
          <w:rFonts w:hint="eastAsia" w:ascii="宋体" w:hAnsi="宋体" w:eastAsia="宋体" w:cs="宋体"/>
          <w:sz w:val="24"/>
          <w:szCs w:val="20"/>
        </w:rPr>
      </w:pPr>
      <w:bookmarkStart w:id="789" w:name="_Toc497213749"/>
      <w:bookmarkStart w:id="790" w:name="_Toc490222518"/>
      <w:bookmarkStart w:id="791" w:name="_Toc10235343"/>
      <w:bookmarkStart w:id="792" w:name="_Toc486580073"/>
      <w:bookmarkStart w:id="793" w:name="_Toc61020263"/>
      <w:bookmarkStart w:id="794" w:name="_Toc489279884"/>
      <w:r>
        <w:rPr>
          <w:rFonts w:hint="eastAsia" w:ascii="宋体" w:hAnsi="宋体" w:eastAsia="宋体" w:cs="宋体"/>
          <w:sz w:val="24"/>
          <w:szCs w:val="20"/>
        </w:rPr>
        <w:t>3.4  监理人的指示</w:t>
      </w:r>
      <w:bookmarkEnd w:id="789"/>
      <w:bookmarkEnd w:id="790"/>
      <w:bookmarkEnd w:id="791"/>
      <w:bookmarkEnd w:id="792"/>
      <w:bookmarkEnd w:id="793"/>
      <w:bookmarkEnd w:id="794"/>
    </w:p>
    <w:p w14:paraId="0ED25E71">
      <w:pPr>
        <w:spacing w:line="360" w:lineRule="auto"/>
        <w:ind w:firstLine="420" w:firstLineChars="200"/>
        <w:rPr>
          <w:rFonts w:hint="eastAsia" w:ascii="宋体" w:hAnsi="宋体" w:eastAsia="宋体" w:cs="宋体"/>
        </w:rPr>
      </w:pPr>
      <w:r>
        <w:rPr>
          <w:rFonts w:hint="eastAsia" w:ascii="宋体" w:hAnsi="宋体" w:eastAsia="宋体" w:cs="宋体"/>
        </w:rPr>
        <w:t>3.4.1  监理人应按第3.1款的约定向承包人发出指示，监理人的指示应加盖监理人授权的施工场地机构章，并由总监理工程师或总监理工程师按第3.3.1项约定授权的监理人员签字。</w:t>
      </w:r>
    </w:p>
    <w:p w14:paraId="377DC142">
      <w:pPr>
        <w:spacing w:line="360" w:lineRule="auto"/>
        <w:ind w:firstLine="420" w:firstLineChars="200"/>
        <w:rPr>
          <w:rFonts w:hint="eastAsia" w:ascii="宋体" w:hAnsi="宋体" w:eastAsia="宋体" w:cs="宋体"/>
        </w:rPr>
      </w:pPr>
      <w:r>
        <w:rPr>
          <w:rFonts w:hint="eastAsia" w:ascii="宋体" w:hAnsi="宋体" w:eastAsia="宋体" w:cs="宋体"/>
        </w:rPr>
        <w:t>3.4.2  承包人收到监理人按第3.4.1项作出的指示后，应遵照执行。指示构成变更的，应按第15条处理。</w:t>
      </w:r>
    </w:p>
    <w:p w14:paraId="6E6BE142">
      <w:pPr>
        <w:spacing w:line="360" w:lineRule="auto"/>
        <w:ind w:firstLine="420" w:firstLineChars="200"/>
        <w:rPr>
          <w:rFonts w:hint="eastAsia" w:ascii="宋体" w:hAnsi="宋体" w:eastAsia="宋体" w:cs="宋体"/>
        </w:rPr>
      </w:pPr>
      <w:r>
        <w:rPr>
          <w:rFonts w:hint="eastAsia" w:ascii="宋体" w:hAnsi="宋体" w:eastAsia="宋体" w:cs="宋体"/>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3BAD8A7A">
      <w:pPr>
        <w:spacing w:line="360" w:lineRule="auto"/>
        <w:ind w:firstLine="420" w:firstLineChars="200"/>
        <w:rPr>
          <w:rFonts w:hint="eastAsia" w:ascii="宋体" w:hAnsi="宋体" w:eastAsia="宋体" w:cs="宋体"/>
        </w:rPr>
      </w:pPr>
      <w:r>
        <w:rPr>
          <w:rFonts w:hint="eastAsia" w:ascii="宋体" w:hAnsi="宋体" w:eastAsia="宋体" w:cs="宋体"/>
        </w:rPr>
        <w:t>3.4.4  除合同另有约定外，承包人只从总监理工程师或按第3.3.1项被授权的监理人员处取得指示。</w:t>
      </w:r>
    </w:p>
    <w:p w14:paraId="0BA63A92">
      <w:pPr>
        <w:spacing w:line="360" w:lineRule="auto"/>
        <w:ind w:firstLine="420" w:firstLineChars="200"/>
        <w:rPr>
          <w:rFonts w:hint="eastAsia" w:ascii="宋体" w:hAnsi="宋体" w:eastAsia="宋体" w:cs="宋体"/>
        </w:rPr>
      </w:pPr>
      <w:r>
        <w:rPr>
          <w:rFonts w:hint="eastAsia" w:ascii="宋体" w:hAnsi="宋体" w:eastAsia="宋体" w:cs="宋体"/>
        </w:rPr>
        <w:t xml:space="preserve">3.4.5  由于监理人未能按合同约定发出指示、指示延误或指示错误而导致承包人费用增加和（或）工期延误的，由发包人承担赔偿责任。 </w:t>
      </w:r>
    </w:p>
    <w:p w14:paraId="0321BB20">
      <w:pPr>
        <w:keepNext/>
        <w:keepLines/>
        <w:spacing w:before="156" w:beforeLines="50" w:after="156" w:afterLines="50" w:line="360" w:lineRule="auto"/>
        <w:outlineLvl w:val="2"/>
        <w:rPr>
          <w:rFonts w:hint="eastAsia" w:ascii="宋体" w:hAnsi="宋体" w:eastAsia="宋体" w:cs="宋体"/>
          <w:sz w:val="24"/>
          <w:szCs w:val="20"/>
        </w:rPr>
      </w:pPr>
      <w:bookmarkStart w:id="795" w:name="_Toc489279885"/>
      <w:bookmarkStart w:id="796" w:name="_Toc490222519"/>
      <w:bookmarkStart w:id="797" w:name="_Toc497213750"/>
      <w:bookmarkStart w:id="798" w:name="_Toc10235344"/>
      <w:bookmarkStart w:id="799" w:name="_Toc61020264"/>
      <w:bookmarkStart w:id="800" w:name="_Toc486580074"/>
      <w:r>
        <w:rPr>
          <w:rFonts w:hint="eastAsia" w:ascii="宋体" w:hAnsi="宋体" w:eastAsia="宋体" w:cs="宋体"/>
          <w:sz w:val="24"/>
          <w:szCs w:val="20"/>
        </w:rPr>
        <w:t>3.5  商定或确定</w:t>
      </w:r>
      <w:bookmarkEnd w:id="795"/>
      <w:bookmarkEnd w:id="796"/>
      <w:bookmarkEnd w:id="797"/>
      <w:bookmarkEnd w:id="798"/>
      <w:bookmarkEnd w:id="799"/>
      <w:bookmarkEnd w:id="800"/>
    </w:p>
    <w:p w14:paraId="40146410">
      <w:pPr>
        <w:spacing w:line="360" w:lineRule="auto"/>
        <w:ind w:firstLine="420" w:firstLineChars="200"/>
        <w:rPr>
          <w:rFonts w:hint="eastAsia" w:ascii="宋体" w:hAnsi="宋体" w:eastAsia="宋体" w:cs="宋体"/>
        </w:rPr>
      </w:pPr>
      <w:r>
        <w:rPr>
          <w:rFonts w:hint="eastAsia" w:ascii="宋体" w:hAnsi="宋体" w:eastAsia="宋体" w:cs="宋体"/>
        </w:rPr>
        <w:t>3.5.1  总监理工程师应按照本款对任何事项进行商定或确定时，总监理工程师应与合同当事人协商，尽量达成一致。不能达成一致的，总监理工程师应认真研究后审慎确定。</w:t>
      </w:r>
    </w:p>
    <w:p w14:paraId="694F7E72">
      <w:pPr>
        <w:spacing w:line="360" w:lineRule="auto"/>
        <w:ind w:firstLine="420" w:firstLineChars="200"/>
        <w:rPr>
          <w:rFonts w:hint="eastAsia" w:ascii="宋体" w:hAnsi="宋体" w:eastAsia="宋体" w:cs="宋体"/>
        </w:rPr>
      </w:pPr>
      <w:r>
        <w:rPr>
          <w:rFonts w:hint="eastAsia" w:ascii="宋体" w:hAnsi="宋体" w:eastAsia="宋体" w:cs="宋体"/>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作出修改的，按修改后的结果执行。</w:t>
      </w:r>
    </w:p>
    <w:p w14:paraId="29B2DAF2">
      <w:pPr>
        <w:keepNext/>
        <w:keepLines/>
        <w:spacing w:before="156" w:beforeLines="50" w:after="156" w:afterLines="50" w:line="360" w:lineRule="auto"/>
        <w:outlineLvl w:val="2"/>
        <w:rPr>
          <w:rFonts w:hint="eastAsia" w:ascii="宋体" w:hAnsi="宋体" w:eastAsia="宋体" w:cs="宋体"/>
          <w:sz w:val="24"/>
          <w:szCs w:val="20"/>
        </w:rPr>
      </w:pPr>
      <w:bookmarkStart w:id="801" w:name="_Toc489279886"/>
      <w:bookmarkStart w:id="802" w:name="_Toc61020265"/>
      <w:bookmarkStart w:id="803" w:name="_Toc486580075"/>
      <w:bookmarkStart w:id="804" w:name="_Toc490222520"/>
      <w:bookmarkStart w:id="805" w:name="_Toc497213751"/>
      <w:bookmarkStart w:id="806" w:name="_Toc10235345"/>
      <w:r>
        <w:rPr>
          <w:rFonts w:hint="eastAsia" w:ascii="宋体" w:hAnsi="宋体" w:eastAsia="宋体" w:cs="宋体"/>
          <w:sz w:val="24"/>
          <w:szCs w:val="20"/>
        </w:rPr>
        <w:t>3.6  监理人的宽恕</w:t>
      </w:r>
      <w:bookmarkEnd w:id="801"/>
      <w:bookmarkEnd w:id="802"/>
      <w:bookmarkEnd w:id="803"/>
      <w:bookmarkEnd w:id="804"/>
      <w:bookmarkEnd w:id="805"/>
      <w:bookmarkEnd w:id="806"/>
    </w:p>
    <w:p w14:paraId="4D862F3C">
      <w:pPr>
        <w:spacing w:line="360" w:lineRule="auto"/>
        <w:ind w:firstLine="420" w:firstLineChars="200"/>
        <w:rPr>
          <w:rFonts w:hint="eastAsia" w:ascii="宋体" w:hAnsi="宋体" w:eastAsia="宋体" w:cs="宋体"/>
        </w:rPr>
      </w:pPr>
      <w:r>
        <w:rPr>
          <w:rFonts w:hint="eastAsia" w:ascii="宋体" w:hAnsi="宋体" w:eastAsia="宋体" w:cs="宋体"/>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2FCEE8EA">
      <w:pPr>
        <w:keepNext/>
        <w:keepLines/>
        <w:spacing w:before="156" w:beforeLines="50" w:after="156" w:afterLines="50" w:line="360" w:lineRule="auto"/>
        <w:outlineLvl w:val="1"/>
        <w:rPr>
          <w:rFonts w:hint="eastAsia" w:ascii="宋体" w:hAnsi="宋体" w:eastAsia="宋体" w:cs="宋体"/>
          <w:sz w:val="28"/>
          <w:szCs w:val="20"/>
        </w:rPr>
      </w:pPr>
      <w:bookmarkStart w:id="807" w:name="_Toc486580076"/>
      <w:bookmarkStart w:id="808" w:name="_Toc489279887"/>
      <w:bookmarkStart w:id="809" w:name="_Toc497213752"/>
      <w:bookmarkStart w:id="810" w:name="_Toc61020266"/>
      <w:bookmarkStart w:id="811" w:name="_Toc10235346"/>
      <w:bookmarkStart w:id="812" w:name="_Toc490222521"/>
      <w:r>
        <w:rPr>
          <w:rFonts w:hint="eastAsia" w:ascii="宋体" w:hAnsi="宋体" w:eastAsia="宋体" w:cs="宋体"/>
          <w:sz w:val="28"/>
          <w:szCs w:val="20"/>
        </w:rPr>
        <w:t>4.承包人</w:t>
      </w:r>
      <w:bookmarkEnd w:id="807"/>
      <w:bookmarkEnd w:id="808"/>
      <w:bookmarkEnd w:id="809"/>
      <w:bookmarkEnd w:id="810"/>
      <w:bookmarkEnd w:id="811"/>
      <w:bookmarkEnd w:id="812"/>
    </w:p>
    <w:p w14:paraId="2FCA23DD">
      <w:pPr>
        <w:keepNext/>
        <w:keepLines/>
        <w:spacing w:before="156" w:beforeLines="50" w:after="156" w:afterLines="50" w:line="360" w:lineRule="auto"/>
        <w:outlineLvl w:val="2"/>
        <w:rPr>
          <w:rFonts w:hint="eastAsia" w:ascii="宋体" w:hAnsi="宋体" w:eastAsia="宋体" w:cs="宋体"/>
          <w:sz w:val="24"/>
          <w:szCs w:val="20"/>
        </w:rPr>
      </w:pPr>
      <w:bookmarkStart w:id="813" w:name="_Toc489279888"/>
      <w:bookmarkStart w:id="814" w:name="_Toc486580077"/>
      <w:bookmarkStart w:id="815" w:name="_Toc490222522"/>
      <w:bookmarkStart w:id="816" w:name="_Toc10235347"/>
      <w:bookmarkStart w:id="817" w:name="_Toc61020267"/>
      <w:bookmarkStart w:id="818" w:name="_Toc497213753"/>
      <w:r>
        <w:rPr>
          <w:rFonts w:hint="eastAsia" w:ascii="宋体" w:hAnsi="宋体" w:eastAsia="宋体" w:cs="宋体"/>
          <w:sz w:val="24"/>
          <w:szCs w:val="20"/>
        </w:rPr>
        <w:t>4.1  承包人的一般义务</w:t>
      </w:r>
      <w:bookmarkEnd w:id="813"/>
      <w:bookmarkEnd w:id="814"/>
      <w:bookmarkEnd w:id="815"/>
      <w:bookmarkEnd w:id="816"/>
      <w:bookmarkEnd w:id="817"/>
      <w:bookmarkEnd w:id="818"/>
    </w:p>
    <w:p w14:paraId="78CE9A5E">
      <w:pPr>
        <w:spacing w:line="360" w:lineRule="auto"/>
        <w:ind w:firstLine="420" w:firstLineChars="200"/>
        <w:rPr>
          <w:rFonts w:hint="eastAsia" w:ascii="宋体" w:hAnsi="宋体" w:eastAsia="宋体" w:cs="宋体"/>
        </w:rPr>
      </w:pPr>
      <w:r>
        <w:rPr>
          <w:rFonts w:hint="eastAsia" w:ascii="宋体" w:hAnsi="宋体" w:eastAsia="宋体" w:cs="宋体"/>
        </w:rPr>
        <w:t>4.1.1  遵守法律</w:t>
      </w:r>
    </w:p>
    <w:p w14:paraId="2904F41F">
      <w:pPr>
        <w:spacing w:line="360" w:lineRule="auto"/>
        <w:ind w:firstLine="420" w:firstLineChars="200"/>
        <w:rPr>
          <w:rFonts w:hint="eastAsia" w:ascii="宋体" w:hAnsi="宋体" w:eastAsia="宋体" w:cs="宋体"/>
        </w:rPr>
      </w:pPr>
      <w:r>
        <w:rPr>
          <w:rFonts w:hint="eastAsia" w:ascii="宋体" w:hAnsi="宋体" w:eastAsia="宋体" w:cs="宋体"/>
        </w:rPr>
        <w:t>承包人在履行合同过程中应遵守法律，并保证发包人免于承担因承包人违反法律而引起的任何责任。</w:t>
      </w:r>
    </w:p>
    <w:p w14:paraId="3E16195C">
      <w:pPr>
        <w:spacing w:line="360" w:lineRule="auto"/>
        <w:ind w:firstLine="420" w:firstLineChars="200"/>
        <w:rPr>
          <w:rFonts w:hint="eastAsia" w:ascii="宋体" w:hAnsi="宋体" w:eastAsia="宋体" w:cs="宋体"/>
        </w:rPr>
      </w:pPr>
      <w:r>
        <w:rPr>
          <w:rFonts w:hint="eastAsia" w:ascii="宋体" w:hAnsi="宋体" w:eastAsia="宋体" w:cs="宋体"/>
        </w:rPr>
        <w:t>4.1.2  依法纳税</w:t>
      </w:r>
    </w:p>
    <w:p w14:paraId="70D7BEED">
      <w:pPr>
        <w:spacing w:line="360" w:lineRule="auto"/>
        <w:ind w:firstLine="420" w:firstLineChars="200"/>
        <w:rPr>
          <w:rFonts w:hint="eastAsia" w:ascii="宋体" w:hAnsi="宋体" w:eastAsia="宋体" w:cs="宋体"/>
        </w:rPr>
      </w:pPr>
      <w:r>
        <w:rPr>
          <w:rFonts w:hint="eastAsia" w:ascii="宋体" w:hAnsi="宋体" w:eastAsia="宋体" w:cs="宋体"/>
        </w:rPr>
        <w:t>承包人应按有关法律规定纳税，应缴纳的税金包括在合同价格内。</w:t>
      </w:r>
    </w:p>
    <w:p w14:paraId="1FC48881">
      <w:pPr>
        <w:spacing w:line="360" w:lineRule="auto"/>
        <w:ind w:firstLine="420" w:firstLineChars="200"/>
        <w:rPr>
          <w:rFonts w:hint="eastAsia" w:ascii="宋体" w:hAnsi="宋体" w:eastAsia="宋体" w:cs="宋体"/>
        </w:rPr>
      </w:pPr>
      <w:r>
        <w:rPr>
          <w:rFonts w:hint="eastAsia" w:ascii="宋体" w:hAnsi="宋体" w:eastAsia="宋体" w:cs="宋体"/>
        </w:rPr>
        <w:t>4.1.3  完成各项承包工作</w:t>
      </w:r>
    </w:p>
    <w:p w14:paraId="51B580D3">
      <w:pPr>
        <w:spacing w:line="360" w:lineRule="auto"/>
        <w:ind w:firstLine="420" w:firstLineChars="200"/>
        <w:rPr>
          <w:rFonts w:hint="eastAsia" w:ascii="宋体" w:hAnsi="宋体" w:eastAsia="宋体" w:cs="宋体"/>
          <w:szCs w:val="21"/>
        </w:rPr>
      </w:pPr>
      <w:r>
        <w:rPr>
          <w:rFonts w:hint="eastAsia" w:ascii="宋体" w:hAnsi="宋体" w:eastAsia="宋体" w:cs="宋体"/>
        </w:rPr>
        <w:t>（1）承包人应按合同约定以及监理人根据第3.4款作出的指示，实施、完成全部工程，并修补工程中的任何缺陷。</w:t>
      </w:r>
      <w:r>
        <w:rPr>
          <w:rFonts w:hint="eastAsia" w:ascii="宋体" w:hAnsi="宋体" w:eastAsia="宋体" w:cs="宋体"/>
          <w:szCs w:val="21"/>
        </w:rPr>
        <w:t>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3B1BEED4">
      <w:pPr>
        <w:spacing w:line="360" w:lineRule="auto"/>
        <w:ind w:firstLine="420" w:firstLineChars="200"/>
        <w:rPr>
          <w:rFonts w:hint="eastAsia" w:ascii="宋体" w:hAnsi="宋体" w:eastAsia="宋体" w:cs="宋体"/>
        </w:rPr>
      </w:pPr>
      <w:r>
        <w:rPr>
          <w:rFonts w:hint="eastAsia" w:ascii="宋体" w:hAnsi="宋体" w:eastAsia="宋体" w:cs="宋体"/>
          <w:szCs w:val="21"/>
        </w:rPr>
        <w:t>（2）承包人还应当依法合规建立施工扬尘综合治理、建筑垃圾、土方和砂石清运与消纳、严禁使用高排放非道路移动机械和行业挥发性有机物治理（如</w:t>
      </w:r>
      <w:r>
        <w:rPr>
          <w:rFonts w:hint="eastAsia" w:ascii="宋体" w:hAnsi="宋体" w:eastAsia="宋体" w:cs="宋体"/>
        </w:rPr>
        <w:t>建筑外墙涂装、钢结构等鼓励使用水性漆替代油性漆</w:t>
      </w:r>
      <w:r>
        <w:rPr>
          <w:rFonts w:hint="eastAsia" w:ascii="宋体" w:hAnsi="宋体" w:eastAsia="宋体" w:cs="宋体"/>
          <w:szCs w:val="21"/>
        </w:rPr>
        <w:t>）等责任制，制定具体的管控机制和实施方案，严格落实。</w:t>
      </w:r>
    </w:p>
    <w:p w14:paraId="39A5FC21">
      <w:pPr>
        <w:spacing w:line="360" w:lineRule="auto"/>
        <w:ind w:firstLine="420" w:firstLineChars="200"/>
        <w:rPr>
          <w:rFonts w:hint="eastAsia" w:ascii="宋体" w:hAnsi="宋体" w:eastAsia="宋体" w:cs="宋体"/>
        </w:rPr>
      </w:pPr>
      <w:r>
        <w:rPr>
          <w:rFonts w:hint="eastAsia" w:ascii="宋体" w:hAnsi="宋体" w:eastAsia="宋体" w:cs="宋体"/>
        </w:rPr>
        <w:t>4.1.4  对施工作业和施工方法的完备性负责</w:t>
      </w:r>
    </w:p>
    <w:p w14:paraId="2FC651E9">
      <w:pPr>
        <w:spacing w:line="360" w:lineRule="auto"/>
        <w:ind w:firstLine="420" w:firstLineChars="200"/>
        <w:rPr>
          <w:rFonts w:hint="eastAsia" w:ascii="宋体" w:hAnsi="宋体" w:eastAsia="宋体" w:cs="宋体"/>
        </w:rPr>
      </w:pPr>
      <w:r>
        <w:rPr>
          <w:rFonts w:hint="eastAsia" w:ascii="宋体" w:hAnsi="宋体" w:eastAsia="宋体" w:cs="宋体"/>
        </w:rPr>
        <w:t>承包人应按合同约定的工作内容和施工进度要求，编制施工组织设计和施工措施计划，并对所有施工作业和施工方法的完备性和安全可靠性负责。</w:t>
      </w:r>
    </w:p>
    <w:p w14:paraId="66411BE7">
      <w:pPr>
        <w:spacing w:line="360" w:lineRule="auto"/>
        <w:ind w:firstLine="420" w:firstLineChars="200"/>
        <w:rPr>
          <w:rFonts w:hint="eastAsia" w:ascii="宋体" w:hAnsi="宋体" w:eastAsia="宋体" w:cs="宋体"/>
        </w:rPr>
      </w:pPr>
      <w:r>
        <w:rPr>
          <w:rFonts w:hint="eastAsia" w:ascii="宋体" w:hAnsi="宋体" w:eastAsia="宋体" w:cs="宋体"/>
        </w:rPr>
        <w:t>4.1.5  保证工程施工和人员的安全</w:t>
      </w:r>
    </w:p>
    <w:p w14:paraId="6AD858F6">
      <w:pPr>
        <w:spacing w:line="360" w:lineRule="auto"/>
        <w:ind w:firstLine="420" w:firstLineChars="200"/>
        <w:rPr>
          <w:rFonts w:hint="eastAsia" w:ascii="宋体" w:hAnsi="宋体" w:eastAsia="宋体" w:cs="宋体"/>
        </w:rPr>
      </w:pPr>
      <w:r>
        <w:rPr>
          <w:rFonts w:hint="eastAsia" w:ascii="宋体" w:hAnsi="宋体" w:eastAsia="宋体" w:cs="宋体"/>
        </w:rPr>
        <w:t>承包人应按照第9.2款约定采取施工安全措施，确保工程及其人员、材料、设备和设施的安全，防止因工程施工造成的人身伤害和财产损失。</w:t>
      </w:r>
    </w:p>
    <w:p w14:paraId="08D9D2BA">
      <w:pPr>
        <w:spacing w:line="360" w:lineRule="auto"/>
        <w:ind w:firstLine="420" w:firstLineChars="200"/>
        <w:rPr>
          <w:rFonts w:hint="eastAsia" w:ascii="宋体" w:hAnsi="宋体" w:eastAsia="宋体" w:cs="宋体"/>
        </w:rPr>
      </w:pPr>
      <w:r>
        <w:rPr>
          <w:rFonts w:hint="eastAsia" w:ascii="宋体" w:hAnsi="宋体" w:eastAsia="宋体" w:cs="宋体"/>
        </w:rPr>
        <w:t>4.1.6  负责施工场地及其周边环境与生态的保护工作</w:t>
      </w:r>
    </w:p>
    <w:p w14:paraId="2775D8B4">
      <w:pPr>
        <w:spacing w:line="360" w:lineRule="auto"/>
        <w:ind w:firstLine="420" w:firstLineChars="200"/>
        <w:rPr>
          <w:rFonts w:hint="eastAsia" w:ascii="宋体" w:hAnsi="宋体" w:eastAsia="宋体" w:cs="宋体"/>
        </w:rPr>
      </w:pPr>
      <w:r>
        <w:rPr>
          <w:rFonts w:hint="eastAsia" w:ascii="宋体" w:hAnsi="宋体" w:eastAsia="宋体" w:cs="宋体"/>
        </w:rPr>
        <w:t>承包人应按照第9.4款约定负责施工场地及其周边环境与生态的保护工作。</w:t>
      </w:r>
    </w:p>
    <w:p w14:paraId="6F072E88">
      <w:pPr>
        <w:spacing w:line="360" w:lineRule="auto"/>
        <w:ind w:firstLine="420" w:firstLineChars="200"/>
        <w:rPr>
          <w:rFonts w:hint="eastAsia" w:ascii="宋体" w:hAnsi="宋体" w:eastAsia="宋体" w:cs="宋体"/>
        </w:rPr>
      </w:pPr>
      <w:r>
        <w:rPr>
          <w:rFonts w:hint="eastAsia" w:ascii="宋体" w:hAnsi="宋体" w:eastAsia="宋体" w:cs="宋体"/>
        </w:rPr>
        <w:t>4.1.7  避免施工对公众与他人的利益造成损害</w:t>
      </w:r>
    </w:p>
    <w:p w14:paraId="0190F9A4">
      <w:pPr>
        <w:spacing w:line="360" w:lineRule="auto"/>
        <w:ind w:firstLine="420" w:firstLineChars="200"/>
        <w:rPr>
          <w:rFonts w:hint="eastAsia" w:ascii="宋体" w:hAnsi="宋体" w:eastAsia="宋体" w:cs="宋体"/>
        </w:rPr>
      </w:pPr>
      <w:r>
        <w:rPr>
          <w:rFonts w:hint="eastAsia" w:ascii="宋体" w:hAnsi="宋体" w:eastAsia="宋体" w:cs="宋体"/>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1C5C126">
      <w:pPr>
        <w:spacing w:line="360" w:lineRule="auto"/>
        <w:ind w:firstLine="420" w:firstLineChars="200"/>
        <w:rPr>
          <w:rFonts w:hint="eastAsia" w:ascii="宋体" w:hAnsi="宋体" w:eastAsia="宋体" w:cs="宋体"/>
        </w:rPr>
      </w:pPr>
      <w:r>
        <w:rPr>
          <w:rFonts w:hint="eastAsia" w:ascii="宋体" w:hAnsi="宋体" w:eastAsia="宋体" w:cs="宋体"/>
        </w:rPr>
        <w:t>4.1.8  为他人提供方便</w:t>
      </w:r>
    </w:p>
    <w:p w14:paraId="0A8FADF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14:paraId="4511B5EF">
      <w:pPr>
        <w:spacing w:line="360" w:lineRule="auto"/>
        <w:ind w:firstLine="420" w:firstLineChars="200"/>
        <w:rPr>
          <w:rFonts w:hint="eastAsia" w:ascii="宋体" w:hAnsi="宋体" w:eastAsia="宋体" w:cs="宋体"/>
        </w:rPr>
      </w:pPr>
      <w:r>
        <w:rPr>
          <w:rFonts w:hint="eastAsia" w:ascii="宋体" w:hAnsi="宋体" w:eastAsia="宋体" w:cs="宋体"/>
          <w:szCs w:val="21"/>
        </w:rPr>
        <w:t>（2）承包人还应按照监理人指示为独立承包人以外的他人在施工场地或者附近实施与合同工程有关的其他工作提供可能的条件，可能发生费用由监理人按合同条款通用部分第3.5款商定或者确定。</w:t>
      </w:r>
    </w:p>
    <w:p w14:paraId="537D61CF">
      <w:pPr>
        <w:spacing w:line="360" w:lineRule="auto"/>
        <w:ind w:firstLine="420" w:firstLineChars="200"/>
        <w:rPr>
          <w:rFonts w:hint="eastAsia" w:ascii="宋体" w:hAnsi="宋体" w:eastAsia="宋体" w:cs="宋体"/>
        </w:rPr>
      </w:pPr>
      <w:r>
        <w:rPr>
          <w:rFonts w:hint="eastAsia" w:ascii="宋体" w:hAnsi="宋体" w:eastAsia="宋体" w:cs="宋体"/>
        </w:rPr>
        <w:t>4.1.9  工程的维护和照管</w:t>
      </w:r>
    </w:p>
    <w:p w14:paraId="0C1E2B67">
      <w:pPr>
        <w:spacing w:line="360" w:lineRule="auto"/>
        <w:ind w:firstLine="420" w:firstLineChars="200"/>
        <w:rPr>
          <w:rFonts w:hint="eastAsia" w:ascii="宋体" w:hAnsi="宋体" w:eastAsia="宋体" w:cs="宋体"/>
        </w:rPr>
      </w:pPr>
      <w:r>
        <w:rPr>
          <w:rFonts w:hint="eastAsia" w:ascii="宋体" w:hAnsi="宋体" w:eastAsia="宋体" w:cs="宋体"/>
        </w:rPr>
        <w:t>工程接收证书颁发前，承包人应负责照管和维护工程。工程接收证书颁发时尚有部分未竣工工程的，承包人还应负责该未竣工工程的照管和维护工作，直至竣工后移交给发包人为止。</w:t>
      </w:r>
    </w:p>
    <w:p w14:paraId="7C73C2C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4.1.10  承包人的设计工作 </w:t>
      </w:r>
    </w:p>
    <w:p w14:paraId="0004BE5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容</w:t>
      </w:r>
      <w:r>
        <w:rPr>
          <w:rFonts w:hint="eastAsia" w:ascii="宋体" w:hAnsi="宋体" w:eastAsia="宋体" w:cs="宋体"/>
        </w:rPr>
        <w:t>见合同条款专用部分。</w:t>
      </w:r>
    </w:p>
    <w:p w14:paraId="5105D183">
      <w:pPr>
        <w:spacing w:line="360" w:lineRule="auto"/>
        <w:ind w:firstLine="420" w:firstLineChars="200"/>
        <w:rPr>
          <w:rFonts w:hint="eastAsia" w:ascii="宋体" w:hAnsi="宋体" w:eastAsia="宋体" w:cs="宋体"/>
        </w:rPr>
      </w:pPr>
      <w:r>
        <w:rPr>
          <w:rFonts w:hint="eastAsia" w:ascii="宋体" w:hAnsi="宋体" w:eastAsia="宋体" w:cs="宋体"/>
        </w:rPr>
        <w:t>4.1.11  农民工工资保证金</w:t>
      </w:r>
    </w:p>
    <w:p w14:paraId="67436F3F">
      <w:pPr>
        <w:spacing w:line="360" w:lineRule="auto"/>
        <w:ind w:firstLine="420" w:firstLineChars="200"/>
        <w:rPr>
          <w:rFonts w:hint="eastAsia" w:ascii="宋体" w:hAnsi="宋体" w:eastAsia="宋体" w:cs="宋体"/>
          <w:szCs w:val="21"/>
        </w:rPr>
      </w:pPr>
      <w:r>
        <w:rPr>
          <w:rFonts w:hint="eastAsia" w:ascii="宋体" w:hAnsi="宋体" w:eastAsia="宋体" w:cs="宋体"/>
        </w:rPr>
        <w:t>承包人应在银行设立工资保证金专用账户，专项用于发生欠薪时支付农民工工资的应急保障。账户内资金启用应当经建设主管部门和劳动保障行政部门批准。</w:t>
      </w:r>
    </w:p>
    <w:p w14:paraId="210FB7BA">
      <w:pPr>
        <w:spacing w:line="360" w:lineRule="auto"/>
        <w:ind w:firstLine="420" w:firstLineChars="200"/>
        <w:rPr>
          <w:rFonts w:hint="eastAsia" w:ascii="宋体" w:hAnsi="宋体" w:eastAsia="宋体" w:cs="宋体"/>
        </w:rPr>
      </w:pPr>
      <w:r>
        <w:rPr>
          <w:rFonts w:hint="eastAsia" w:ascii="宋体" w:hAnsi="宋体" w:eastAsia="宋体" w:cs="宋体"/>
        </w:rPr>
        <w:t>4.1.12  其他义务</w:t>
      </w:r>
    </w:p>
    <w:p w14:paraId="73082D5D">
      <w:pPr>
        <w:spacing w:line="360" w:lineRule="auto"/>
        <w:ind w:firstLine="420" w:firstLineChars="200"/>
        <w:rPr>
          <w:rFonts w:hint="eastAsia" w:ascii="宋体" w:hAnsi="宋体" w:eastAsia="宋体" w:cs="宋体"/>
        </w:rPr>
      </w:pPr>
      <w:r>
        <w:rPr>
          <w:rFonts w:hint="eastAsia" w:ascii="宋体" w:hAnsi="宋体" w:eastAsia="宋体" w:cs="宋体"/>
        </w:rPr>
        <w:t>承包人应履行的其他义务见合同条款专用部分。</w:t>
      </w:r>
    </w:p>
    <w:p w14:paraId="1BC13DFA">
      <w:pPr>
        <w:keepNext/>
        <w:keepLines/>
        <w:spacing w:before="156" w:beforeLines="50" w:after="156" w:afterLines="50" w:line="360" w:lineRule="auto"/>
        <w:outlineLvl w:val="2"/>
        <w:rPr>
          <w:rFonts w:hint="eastAsia" w:ascii="宋体" w:hAnsi="宋体" w:eastAsia="宋体" w:cs="宋体"/>
          <w:sz w:val="24"/>
          <w:szCs w:val="20"/>
        </w:rPr>
      </w:pPr>
      <w:bookmarkStart w:id="819" w:name="_Toc489279889"/>
      <w:bookmarkStart w:id="820" w:name="_Toc497213754"/>
      <w:bookmarkStart w:id="821" w:name="_Toc10235348"/>
      <w:bookmarkStart w:id="822" w:name="_Toc61020268"/>
      <w:bookmarkStart w:id="823" w:name="_Toc490222523"/>
      <w:bookmarkStart w:id="824" w:name="_Toc486580078"/>
      <w:r>
        <w:rPr>
          <w:rFonts w:hint="eastAsia" w:ascii="宋体" w:hAnsi="宋体" w:eastAsia="宋体" w:cs="宋体"/>
          <w:sz w:val="24"/>
          <w:szCs w:val="20"/>
        </w:rPr>
        <w:t>4.2  履约担保</w:t>
      </w:r>
      <w:bookmarkEnd w:id="819"/>
      <w:bookmarkEnd w:id="820"/>
      <w:bookmarkEnd w:id="821"/>
      <w:bookmarkEnd w:id="822"/>
      <w:bookmarkEnd w:id="823"/>
      <w:bookmarkEnd w:id="824"/>
    </w:p>
    <w:p w14:paraId="5F73569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4.2.1  履约担保的格式和金额</w:t>
      </w:r>
    </w:p>
    <w:p w14:paraId="66CDD697">
      <w:pPr>
        <w:spacing w:line="360" w:lineRule="auto"/>
        <w:ind w:firstLine="420" w:firstLineChars="200"/>
        <w:rPr>
          <w:rFonts w:hint="eastAsia" w:ascii="宋体" w:hAnsi="宋体" w:eastAsia="宋体" w:cs="宋体"/>
          <w:szCs w:val="21"/>
        </w:rPr>
      </w:pPr>
      <w:r>
        <w:rPr>
          <w:rFonts w:hint="eastAsia" w:ascii="宋体" w:hAnsi="宋体" w:eastAsia="宋体" w:cs="宋体"/>
        </w:rPr>
        <w:t>合同约定承包人提交履约担保的，</w:t>
      </w:r>
      <w:r>
        <w:rPr>
          <w:rFonts w:hint="eastAsia" w:ascii="宋体" w:hAnsi="宋体" w:eastAsia="宋体" w:cs="宋体"/>
          <w:szCs w:val="21"/>
        </w:rPr>
        <w:t>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w:t>
      </w:r>
      <w:r>
        <w:rPr>
          <w:rFonts w:hint="eastAsia" w:ascii="宋体" w:hAnsi="宋体" w:eastAsia="宋体" w:cs="宋体"/>
        </w:rPr>
        <w:t>见合同条款专用部分。</w:t>
      </w:r>
      <w:r>
        <w:rPr>
          <w:rFonts w:hint="eastAsia" w:ascii="宋体" w:hAnsi="宋体" w:eastAsia="宋体" w:cs="宋体"/>
          <w:szCs w:val="21"/>
        </w:rPr>
        <w:t>承包人履约担保格式见合同条款专用部分附件五。</w:t>
      </w:r>
    </w:p>
    <w:p w14:paraId="01AE42B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4.2.2  履约担保的有效期</w:t>
      </w:r>
    </w:p>
    <w:p w14:paraId="1543050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4723E7F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4.2.3  履约担保的退还</w:t>
      </w:r>
    </w:p>
    <w:p w14:paraId="4787794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履约担保应在监理人向承包人颁发（出具）工程接收证书之日后28天内退还给承包人。发包人不承担承包人与履约担保有关的任何利息或其它类似的费用或者收益。</w:t>
      </w:r>
    </w:p>
    <w:p w14:paraId="334369C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4.2.4  通知义务</w:t>
      </w:r>
    </w:p>
    <w:p w14:paraId="3C3D2BB1">
      <w:pPr>
        <w:spacing w:line="360" w:lineRule="auto"/>
        <w:ind w:firstLine="420" w:firstLineChars="200"/>
        <w:rPr>
          <w:rFonts w:hint="eastAsia" w:ascii="宋体" w:hAnsi="宋体" w:eastAsia="宋体" w:cs="宋体"/>
        </w:rPr>
      </w:pPr>
      <w:r>
        <w:rPr>
          <w:rFonts w:hint="eastAsia" w:ascii="宋体" w:hAnsi="宋体" w:eastAsia="宋体" w:cs="宋体"/>
          <w:szCs w:val="21"/>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11C1F494">
      <w:pPr>
        <w:keepNext/>
        <w:keepLines/>
        <w:spacing w:before="156" w:beforeLines="50" w:after="156" w:afterLines="50" w:line="360" w:lineRule="auto"/>
        <w:outlineLvl w:val="2"/>
        <w:rPr>
          <w:rFonts w:hint="eastAsia" w:ascii="宋体" w:hAnsi="宋体" w:eastAsia="宋体" w:cs="宋体"/>
          <w:sz w:val="24"/>
          <w:szCs w:val="20"/>
        </w:rPr>
      </w:pPr>
      <w:bookmarkStart w:id="825" w:name="_Toc10235349"/>
      <w:bookmarkStart w:id="826" w:name="_Toc489279890"/>
      <w:bookmarkStart w:id="827" w:name="_Toc61020269"/>
      <w:bookmarkStart w:id="828" w:name="_Toc497213755"/>
      <w:bookmarkStart w:id="829" w:name="_Toc486580079"/>
      <w:bookmarkStart w:id="830" w:name="_Toc490222524"/>
      <w:r>
        <w:rPr>
          <w:rFonts w:hint="eastAsia" w:ascii="宋体" w:hAnsi="宋体" w:eastAsia="宋体" w:cs="宋体"/>
          <w:sz w:val="24"/>
          <w:szCs w:val="20"/>
        </w:rPr>
        <w:t>4.3  分包</w:t>
      </w:r>
      <w:bookmarkEnd w:id="825"/>
      <w:bookmarkEnd w:id="826"/>
      <w:bookmarkEnd w:id="827"/>
      <w:bookmarkEnd w:id="828"/>
      <w:bookmarkEnd w:id="829"/>
      <w:bookmarkEnd w:id="830"/>
    </w:p>
    <w:p w14:paraId="58D08BFC">
      <w:pPr>
        <w:spacing w:line="360" w:lineRule="auto"/>
        <w:ind w:firstLine="420" w:firstLineChars="200"/>
        <w:rPr>
          <w:rFonts w:hint="eastAsia" w:ascii="宋体" w:hAnsi="宋体" w:eastAsia="宋体" w:cs="宋体"/>
        </w:rPr>
      </w:pPr>
      <w:r>
        <w:rPr>
          <w:rFonts w:hint="eastAsia" w:ascii="宋体" w:hAnsi="宋体" w:eastAsia="宋体" w:cs="宋体"/>
        </w:rPr>
        <w:t>4.3.1  承包人不得将其承包的全部工程转包给第三人，或将其承包的全部工程肢解后以分包的名义转包给第三人。</w:t>
      </w:r>
    </w:p>
    <w:p w14:paraId="5397218E">
      <w:pPr>
        <w:spacing w:line="360" w:lineRule="auto"/>
        <w:ind w:firstLine="420" w:firstLineChars="200"/>
        <w:rPr>
          <w:rFonts w:hint="eastAsia" w:ascii="宋体" w:hAnsi="宋体" w:eastAsia="宋体" w:cs="宋体"/>
        </w:rPr>
      </w:pPr>
      <w:r>
        <w:rPr>
          <w:rFonts w:hint="eastAsia" w:ascii="宋体" w:hAnsi="宋体" w:eastAsia="宋体" w:cs="宋体"/>
        </w:rPr>
        <w:t>4.3.2  承包人不得将工程主体、关键性工作分包给第三人。</w:t>
      </w:r>
    </w:p>
    <w:p w14:paraId="67EF2AB6">
      <w:pPr>
        <w:spacing w:line="360" w:lineRule="auto"/>
        <w:ind w:firstLine="420" w:firstLineChars="200"/>
        <w:rPr>
          <w:rFonts w:hint="eastAsia" w:ascii="宋体" w:hAnsi="宋体" w:eastAsia="宋体" w:cs="宋体"/>
        </w:rPr>
      </w:pPr>
      <w:r>
        <w:rPr>
          <w:rFonts w:hint="eastAsia" w:ascii="宋体" w:hAnsi="宋体" w:eastAsia="宋体" w:cs="宋体"/>
        </w:rPr>
        <w:t>4.3.3  未经发包人同意，承包人不得将其自行施工范围工程的其他部分或工作分包给第三人。</w:t>
      </w:r>
      <w:r>
        <w:rPr>
          <w:rFonts w:hint="eastAsia" w:ascii="宋体" w:hAnsi="宋体" w:eastAsia="宋体" w:cs="宋体"/>
          <w:szCs w:val="21"/>
        </w:rPr>
        <w:t>发包人同意承包人分包的非主体、非关键性工作包括：</w:t>
      </w:r>
    </w:p>
    <w:p w14:paraId="5D46780F">
      <w:pPr>
        <w:spacing w:line="360" w:lineRule="auto"/>
        <w:ind w:firstLine="315" w:firstLineChars="150"/>
        <w:rPr>
          <w:rFonts w:hint="eastAsia" w:ascii="宋体" w:hAnsi="宋体" w:eastAsia="宋体" w:cs="宋体"/>
        </w:rPr>
      </w:pPr>
      <w:r>
        <w:rPr>
          <w:rFonts w:hint="eastAsia" w:ascii="宋体" w:hAnsi="宋体" w:eastAsia="宋体" w:cs="宋体"/>
        </w:rPr>
        <w:t>（1）</w:t>
      </w:r>
      <w:r>
        <w:rPr>
          <w:rFonts w:hint="eastAsia" w:ascii="宋体" w:hAnsi="宋体" w:eastAsia="宋体" w:cs="宋体"/>
          <w:szCs w:val="21"/>
        </w:rPr>
        <w:t>投标函附录</w:t>
      </w:r>
      <w:r>
        <w:rPr>
          <w:rFonts w:hint="eastAsia" w:ascii="宋体" w:hAnsi="宋体" w:eastAsia="宋体" w:cs="宋体"/>
        </w:rPr>
        <w:t>约定的分包工程；</w:t>
      </w:r>
    </w:p>
    <w:p w14:paraId="7378BF86">
      <w:pPr>
        <w:spacing w:line="360" w:lineRule="auto"/>
        <w:ind w:firstLine="315" w:firstLineChars="150"/>
        <w:rPr>
          <w:rFonts w:hint="eastAsia" w:ascii="宋体" w:hAnsi="宋体" w:eastAsia="宋体" w:cs="宋体"/>
          <w:szCs w:val="21"/>
        </w:rPr>
      </w:pPr>
      <w:r>
        <w:rPr>
          <w:rFonts w:hint="eastAsia" w:ascii="宋体" w:hAnsi="宋体" w:eastAsia="宋体" w:cs="宋体"/>
        </w:rPr>
        <w:t>（2）</w:t>
      </w:r>
      <w:r>
        <w:rPr>
          <w:rFonts w:hint="eastAsia" w:ascii="宋体" w:hAnsi="宋体" w:eastAsia="宋体" w:cs="宋体"/>
          <w:szCs w:val="21"/>
        </w:rPr>
        <w:t>除投标函附录中约定的分包内容外，经过发包人和监理人同意的其他非主体、非关键性工作，但分包人应当经过发包人和监理人审批。发包人和监理人有权拒绝承包人的分包请求和承包人选择的分包人。</w:t>
      </w:r>
    </w:p>
    <w:p w14:paraId="7A585CFB">
      <w:pPr>
        <w:spacing w:line="360" w:lineRule="auto"/>
        <w:ind w:firstLine="420" w:firstLineChars="200"/>
        <w:rPr>
          <w:rFonts w:hint="eastAsia" w:ascii="宋体" w:hAnsi="宋体" w:eastAsia="宋体" w:cs="宋体"/>
        </w:rPr>
      </w:pPr>
      <w:r>
        <w:rPr>
          <w:rFonts w:hint="eastAsia" w:ascii="宋体" w:hAnsi="宋体" w:eastAsia="宋体" w:cs="宋体"/>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14:paraId="2AF3F934">
      <w:pPr>
        <w:spacing w:line="360" w:lineRule="auto"/>
        <w:ind w:firstLine="420" w:firstLineChars="200"/>
        <w:rPr>
          <w:rFonts w:hint="eastAsia" w:ascii="宋体" w:hAnsi="宋体" w:eastAsia="宋体" w:cs="宋体"/>
        </w:rPr>
      </w:pPr>
      <w:r>
        <w:rPr>
          <w:rFonts w:hint="eastAsia" w:ascii="宋体" w:hAnsi="宋体" w:eastAsia="宋体" w:cs="宋体"/>
        </w:rPr>
        <w:t>4.3.5  在相关分包合同签订并报送有关建设行政主管部门备案后7天内，承包人应当将一份副本提交给监理人，承包人应保障分包工作不得再次分包。</w:t>
      </w:r>
    </w:p>
    <w:p w14:paraId="6CAC08A5">
      <w:pPr>
        <w:spacing w:line="360" w:lineRule="auto"/>
        <w:ind w:firstLine="420" w:firstLineChars="200"/>
        <w:rPr>
          <w:rFonts w:hint="eastAsia" w:ascii="宋体" w:hAnsi="宋体" w:eastAsia="宋体" w:cs="宋体"/>
        </w:rPr>
      </w:pPr>
      <w:r>
        <w:rPr>
          <w:rFonts w:hint="eastAsia" w:ascii="宋体" w:hAnsi="宋体" w:eastAsia="宋体" w:cs="宋体"/>
        </w:rPr>
        <w:t>4.3.6  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1ED48A18">
      <w:pPr>
        <w:spacing w:line="360" w:lineRule="auto"/>
        <w:ind w:firstLine="420" w:firstLineChars="200"/>
        <w:rPr>
          <w:rFonts w:hint="eastAsia" w:ascii="宋体" w:hAnsi="宋体" w:eastAsia="宋体" w:cs="宋体"/>
        </w:rPr>
      </w:pPr>
      <w:r>
        <w:rPr>
          <w:rFonts w:hint="eastAsia" w:ascii="宋体" w:hAnsi="宋体" w:eastAsia="宋体" w:cs="宋体"/>
        </w:rPr>
        <w:t>4.3.7  未经发包人和监理人审批同意的分包工程和分包人，发包人有权拒绝验收分包工程和支付相应款项，由此引起的承包人费用增加和（或）延误的工期由承包人承担。</w:t>
      </w:r>
    </w:p>
    <w:p w14:paraId="5AC280C7">
      <w:pPr>
        <w:spacing w:line="360" w:lineRule="auto"/>
        <w:ind w:firstLine="420" w:firstLineChars="200"/>
        <w:rPr>
          <w:rFonts w:hint="eastAsia" w:ascii="宋体" w:hAnsi="宋体" w:eastAsia="宋体" w:cs="宋体"/>
        </w:rPr>
      </w:pPr>
      <w:r>
        <w:rPr>
          <w:rFonts w:hint="eastAsia" w:ascii="宋体" w:hAnsi="宋体" w:eastAsia="宋体" w:cs="宋体"/>
        </w:rPr>
        <w:t>4.3.8  分包人的资格能力应与其分包工程的标准和规模相适应。</w:t>
      </w:r>
    </w:p>
    <w:p w14:paraId="72D325C3">
      <w:pPr>
        <w:spacing w:line="360" w:lineRule="auto"/>
        <w:ind w:firstLine="420" w:firstLineChars="200"/>
        <w:rPr>
          <w:rFonts w:hint="eastAsia" w:ascii="宋体" w:hAnsi="宋体" w:eastAsia="宋体" w:cs="宋体"/>
        </w:rPr>
      </w:pPr>
      <w:r>
        <w:rPr>
          <w:rFonts w:hint="eastAsia" w:ascii="宋体" w:hAnsi="宋体" w:eastAsia="宋体" w:cs="宋体"/>
        </w:rPr>
        <w:t>4.3.9  发包人同意的分包工程，承包人应向发包人和监理人提供合同副本。</w:t>
      </w:r>
    </w:p>
    <w:p w14:paraId="295C9105">
      <w:pPr>
        <w:spacing w:line="360" w:lineRule="auto"/>
        <w:ind w:firstLine="420" w:firstLineChars="200"/>
        <w:rPr>
          <w:rFonts w:hint="eastAsia" w:ascii="宋体" w:hAnsi="宋体" w:eastAsia="宋体" w:cs="宋体"/>
        </w:rPr>
      </w:pPr>
      <w:r>
        <w:rPr>
          <w:rFonts w:hint="eastAsia" w:ascii="宋体" w:hAnsi="宋体" w:eastAsia="宋体" w:cs="宋体"/>
        </w:rPr>
        <w:t>4.3.10  承包人应与分包人就分包工程向发包人承担连带责任。</w:t>
      </w:r>
    </w:p>
    <w:p w14:paraId="5F3424F0">
      <w:pPr>
        <w:keepNext/>
        <w:keepLines/>
        <w:spacing w:before="156" w:beforeLines="50" w:after="156" w:afterLines="50" w:line="360" w:lineRule="auto"/>
        <w:outlineLvl w:val="2"/>
        <w:rPr>
          <w:rFonts w:hint="eastAsia" w:ascii="宋体" w:hAnsi="宋体" w:eastAsia="宋体" w:cs="宋体"/>
          <w:sz w:val="24"/>
          <w:szCs w:val="20"/>
        </w:rPr>
      </w:pPr>
      <w:bookmarkStart w:id="831" w:name="_Toc61020277"/>
      <w:bookmarkStart w:id="832" w:name="_Toc10235357"/>
      <w:bookmarkStart w:id="833" w:name="_Toc486580087"/>
      <w:bookmarkStart w:id="834" w:name="_Toc490222532"/>
      <w:bookmarkStart w:id="835" w:name="_Toc489279898"/>
      <w:bookmarkStart w:id="836" w:name="_Toc497213763"/>
      <w:bookmarkStart w:id="837" w:name="_Toc489279892"/>
      <w:bookmarkStart w:id="838" w:name="_Toc497213757"/>
      <w:bookmarkStart w:id="839" w:name="_Toc61020271"/>
      <w:bookmarkStart w:id="840" w:name="_Toc490222526"/>
      <w:bookmarkStart w:id="841" w:name="_Toc486580081"/>
      <w:bookmarkStart w:id="842" w:name="_Toc10235351"/>
      <w:r>
        <w:rPr>
          <w:rFonts w:hint="eastAsia" w:ascii="宋体" w:hAnsi="宋体" w:eastAsia="宋体" w:cs="宋体"/>
          <w:sz w:val="24"/>
          <w:szCs w:val="20"/>
        </w:rPr>
        <w:t>4.4  不利物质条件</w:t>
      </w:r>
      <w:bookmarkEnd w:id="831"/>
      <w:bookmarkEnd w:id="832"/>
      <w:bookmarkEnd w:id="833"/>
      <w:bookmarkEnd w:id="834"/>
      <w:bookmarkEnd w:id="835"/>
      <w:bookmarkEnd w:id="836"/>
    </w:p>
    <w:p w14:paraId="6E79E6E6">
      <w:pPr>
        <w:spacing w:line="360" w:lineRule="auto"/>
        <w:ind w:firstLine="420" w:firstLineChars="200"/>
        <w:rPr>
          <w:rFonts w:hint="eastAsia" w:ascii="宋体" w:hAnsi="宋体" w:eastAsia="宋体" w:cs="宋体"/>
          <w:szCs w:val="21"/>
        </w:rPr>
      </w:pPr>
      <w:r>
        <w:rPr>
          <w:rFonts w:hint="eastAsia" w:ascii="宋体" w:hAnsi="宋体" w:eastAsia="宋体" w:cs="宋体"/>
        </w:rPr>
        <w:t>4.4.1  不利物质条件一般是指承包人在施工场地遇到的不可预见的自然物质条件、非自然的物质障碍和污染物，包括地下和水文条件，但不包括气候条件。不利物质条件的具体范围见合同条款专用部分。</w:t>
      </w:r>
    </w:p>
    <w:p w14:paraId="559BEBFB">
      <w:pPr>
        <w:spacing w:line="360" w:lineRule="auto"/>
        <w:ind w:firstLine="420" w:firstLineChars="200"/>
        <w:rPr>
          <w:rFonts w:hint="eastAsia" w:ascii="宋体" w:hAnsi="宋体" w:eastAsia="宋体" w:cs="宋体"/>
        </w:rPr>
      </w:pPr>
      <w:r>
        <w:rPr>
          <w:rFonts w:hint="eastAsia" w:ascii="宋体" w:hAnsi="宋体" w:eastAsia="宋体" w:cs="宋体"/>
        </w:rPr>
        <w:t>4.4.2  承包人遇到不利物质条件时，应采取适应不利物质条件的合理措施继续施工，并及时通知监理人。监理人应当及时发出指示，指示构成变更的，按第15条约定办理。监理人没有发出指示的，承包人因采取合理措施增加的费用和（或）工期延误，由发包人承担。</w:t>
      </w:r>
    </w:p>
    <w:p w14:paraId="59B8E1B6">
      <w:pPr>
        <w:keepNext/>
        <w:keepLines/>
        <w:spacing w:before="156" w:beforeLines="50" w:after="156" w:afterLines="50" w:line="360" w:lineRule="auto"/>
        <w:outlineLvl w:val="2"/>
        <w:rPr>
          <w:rFonts w:hint="eastAsia" w:ascii="宋体" w:hAnsi="宋体" w:eastAsia="宋体" w:cs="宋体"/>
          <w:sz w:val="24"/>
          <w:szCs w:val="20"/>
        </w:rPr>
      </w:pPr>
      <w:r>
        <w:rPr>
          <w:rFonts w:hint="eastAsia" w:ascii="宋体" w:hAnsi="宋体" w:eastAsia="宋体" w:cs="宋体"/>
          <w:sz w:val="24"/>
          <w:szCs w:val="20"/>
        </w:rPr>
        <w:t>4.5  承包人项目经理</w:t>
      </w:r>
      <w:bookmarkEnd w:id="837"/>
      <w:bookmarkEnd w:id="838"/>
      <w:bookmarkEnd w:id="839"/>
      <w:bookmarkEnd w:id="840"/>
      <w:bookmarkEnd w:id="841"/>
      <w:bookmarkEnd w:id="842"/>
    </w:p>
    <w:p w14:paraId="24B7E1AE">
      <w:pPr>
        <w:spacing w:line="360" w:lineRule="auto"/>
        <w:ind w:firstLine="420" w:firstLineChars="200"/>
        <w:rPr>
          <w:rFonts w:hint="eastAsia" w:ascii="宋体" w:hAnsi="宋体" w:eastAsia="宋体" w:cs="宋体"/>
        </w:rPr>
      </w:pPr>
      <w:r>
        <w:rPr>
          <w:rFonts w:hint="eastAsia" w:ascii="宋体" w:hAnsi="宋体" w:eastAsia="宋体" w:cs="宋体"/>
        </w:rPr>
        <w:t xml:space="preserve">4.5.1  </w:t>
      </w:r>
      <w:r>
        <w:rPr>
          <w:rFonts w:hint="eastAsia" w:ascii="宋体" w:hAnsi="宋体" w:eastAsia="宋体" w:cs="宋体"/>
          <w:szCs w:val="21"/>
        </w:rPr>
        <w:t>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r>
        <w:rPr>
          <w:rFonts w:hint="eastAsia" w:ascii="宋体" w:hAnsi="宋体" w:eastAsia="宋体" w:cs="宋体"/>
        </w:rPr>
        <w:t>承包人更换项目经理应事先征得发包人同意，并应在更换14天前通知发包人和监理人。承包人项目经理短期离开施工场地，应事先征得监理人同意，并委派代表代行其职责。</w:t>
      </w:r>
    </w:p>
    <w:p w14:paraId="3D598C87">
      <w:pPr>
        <w:spacing w:line="360" w:lineRule="auto"/>
        <w:ind w:firstLine="420" w:firstLineChars="200"/>
        <w:rPr>
          <w:rFonts w:hint="eastAsia" w:ascii="宋体" w:hAnsi="宋体" w:eastAsia="宋体" w:cs="宋体"/>
        </w:rPr>
      </w:pPr>
      <w:r>
        <w:rPr>
          <w:rFonts w:hint="eastAsia" w:ascii="宋体" w:hAnsi="宋体" w:eastAsia="宋体" w:cs="宋体"/>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2F70F95A">
      <w:pPr>
        <w:spacing w:line="360" w:lineRule="auto"/>
        <w:ind w:firstLine="420" w:firstLineChars="200"/>
        <w:rPr>
          <w:rFonts w:hint="eastAsia" w:ascii="宋体" w:hAnsi="宋体" w:eastAsia="宋体" w:cs="宋体"/>
        </w:rPr>
      </w:pPr>
      <w:r>
        <w:rPr>
          <w:rFonts w:hint="eastAsia" w:ascii="宋体" w:hAnsi="宋体" w:eastAsia="宋体" w:cs="宋体"/>
        </w:rPr>
        <w:t>4.5.3  承包人为履行合同发出的一切函件均应盖有承包人授权的施工场地管理机构章，并由承包人项目经理或其授权代表签字。</w:t>
      </w:r>
    </w:p>
    <w:p w14:paraId="1C1AB129">
      <w:pPr>
        <w:spacing w:line="360" w:lineRule="auto"/>
        <w:ind w:firstLine="420" w:firstLineChars="200"/>
        <w:rPr>
          <w:rFonts w:hint="eastAsia" w:ascii="宋体" w:hAnsi="宋体" w:eastAsia="宋体" w:cs="宋体"/>
        </w:rPr>
      </w:pPr>
      <w:r>
        <w:rPr>
          <w:rFonts w:hint="eastAsia" w:ascii="宋体" w:hAnsi="宋体" w:eastAsia="宋体" w:cs="宋体"/>
        </w:rPr>
        <w:t>4.5.4  承包人项目经理可以授权其下属人员履行其某项职责，但事先应将这些人员的姓名和授权范围通知监理人。</w:t>
      </w:r>
    </w:p>
    <w:p w14:paraId="470B45F7">
      <w:pPr>
        <w:keepNext/>
        <w:keepLines/>
        <w:spacing w:before="156" w:beforeLines="50" w:after="156" w:afterLines="50" w:line="360" w:lineRule="auto"/>
        <w:outlineLvl w:val="2"/>
        <w:rPr>
          <w:rFonts w:hint="eastAsia" w:ascii="宋体" w:hAnsi="宋体" w:eastAsia="宋体" w:cs="宋体"/>
          <w:sz w:val="24"/>
          <w:szCs w:val="20"/>
        </w:rPr>
      </w:pPr>
      <w:bookmarkStart w:id="843" w:name="_Toc490222527"/>
      <w:bookmarkStart w:id="844" w:name="_Toc489279893"/>
      <w:bookmarkStart w:id="845" w:name="_Toc497213758"/>
      <w:bookmarkStart w:id="846" w:name="_Toc61020272"/>
      <w:bookmarkStart w:id="847" w:name="_Toc486580082"/>
      <w:bookmarkStart w:id="848" w:name="_Toc10235352"/>
      <w:r>
        <w:rPr>
          <w:rFonts w:hint="eastAsia" w:ascii="宋体" w:hAnsi="宋体" w:eastAsia="宋体" w:cs="宋体"/>
          <w:sz w:val="24"/>
          <w:szCs w:val="20"/>
        </w:rPr>
        <w:t>4.6  承包人人员的管理</w:t>
      </w:r>
      <w:bookmarkEnd w:id="843"/>
      <w:bookmarkEnd w:id="844"/>
      <w:bookmarkEnd w:id="845"/>
      <w:bookmarkEnd w:id="846"/>
      <w:bookmarkEnd w:id="847"/>
      <w:bookmarkEnd w:id="848"/>
    </w:p>
    <w:p w14:paraId="1687E6EE">
      <w:pPr>
        <w:spacing w:line="360" w:lineRule="auto"/>
        <w:ind w:firstLine="420" w:firstLineChars="200"/>
        <w:rPr>
          <w:rFonts w:hint="eastAsia" w:ascii="宋体" w:hAnsi="宋体" w:eastAsia="宋体" w:cs="宋体"/>
        </w:rPr>
      </w:pPr>
      <w:r>
        <w:rPr>
          <w:rFonts w:hint="eastAsia" w:ascii="宋体" w:hAnsi="宋体" w:eastAsia="宋体" w:cs="宋体"/>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76B2F5E6">
      <w:pPr>
        <w:spacing w:line="360" w:lineRule="auto"/>
        <w:ind w:firstLine="420" w:firstLineChars="200"/>
        <w:rPr>
          <w:rFonts w:hint="eastAsia" w:ascii="宋体" w:hAnsi="宋体" w:eastAsia="宋体" w:cs="宋体"/>
        </w:rPr>
      </w:pPr>
      <w:r>
        <w:rPr>
          <w:rFonts w:hint="eastAsia" w:ascii="宋体" w:hAnsi="宋体" w:eastAsia="宋体" w:cs="宋体"/>
        </w:rPr>
        <w:t>4.6.2  为完成合同约定的各项工作，承包人应向施工场地派遣或雇佣足够数量的下列人员：</w:t>
      </w:r>
    </w:p>
    <w:p w14:paraId="4A9076A9">
      <w:pPr>
        <w:spacing w:line="360" w:lineRule="auto"/>
        <w:ind w:firstLine="315" w:firstLineChars="150"/>
        <w:rPr>
          <w:rFonts w:hint="eastAsia" w:ascii="宋体" w:hAnsi="宋体" w:eastAsia="宋体" w:cs="宋体"/>
        </w:rPr>
      </w:pPr>
      <w:r>
        <w:rPr>
          <w:rFonts w:hint="eastAsia" w:ascii="宋体" w:hAnsi="宋体" w:eastAsia="宋体" w:cs="宋体"/>
        </w:rPr>
        <w:t>（1）具有相应资格的专业技工和合格的普工；</w:t>
      </w:r>
    </w:p>
    <w:p w14:paraId="2324FFD9">
      <w:pPr>
        <w:spacing w:line="360" w:lineRule="auto"/>
        <w:ind w:firstLine="315" w:firstLineChars="150"/>
        <w:rPr>
          <w:rFonts w:hint="eastAsia" w:ascii="宋体" w:hAnsi="宋体" w:eastAsia="宋体" w:cs="宋体"/>
        </w:rPr>
      </w:pPr>
      <w:r>
        <w:rPr>
          <w:rFonts w:hint="eastAsia" w:ascii="宋体" w:hAnsi="宋体" w:eastAsia="宋体" w:cs="宋体"/>
        </w:rPr>
        <w:t>（2）具有相应施工经验的技术人员；</w:t>
      </w:r>
    </w:p>
    <w:p w14:paraId="5D77E220">
      <w:pPr>
        <w:spacing w:line="360" w:lineRule="auto"/>
        <w:ind w:firstLine="315" w:firstLineChars="150"/>
        <w:rPr>
          <w:rFonts w:hint="eastAsia" w:ascii="宋体" w:hAnsi="宋体" w:eastAsia="宋体" w:cs="宋体"/>
        </w:rPr>
      </w:pPr>
      <w:r>
        <w:rPr>
          <w:rFonts w:hint="eastAsia" w:ascii="宋体" w:hAnsi="宋体" w:eastAsia="宋体" w:cs="宋体"/>
        </w:rPr>
        <w:t>（3）具有相应岗位资格的各级管理人员。</w:t>
      </w:r>
    </w:p>
    <w:p w14:paraId="5B2ACB9A">
      <w:pPr>
        <w:spacing w:line="360" w:lineRule="auto"/>
        <w:ind w:firstLine="420" w:firstLineChars="200"/>
        <w:rPr>
          <w:rFonts w:hint="eastAsia" w:ascii="宋体" w:hAnsi="宋体" w:eastAsia="宋体" w:cs="宋体"/>
        </w:rPr>
      </w:pPr>
      <w:r>
        <w:rPr>
          <w:rFonts w:hint="eastAsia" w:ascii="宋体" w:hAnsi="宋体" w:eastAsia="宋体" w:cs="宋体"/>
        </w:rPr>
        <w:t>4.6.3  承包人安排在施工场地的主要管理人员和技术骨干应相对稳定。承包人更换主要管理人员和技术骨干时，应取得监理人的同意。</w:t>
      </w:r>
    </w:p>
    <w:p w14:paraId="13D1B4F4">
      <w:pPr>
        <w:spacing w:line="360" w:lineRule="auto"/>
        <w:ind w:firstLine="420" w:firstLineChars="200"/>
        <w:rPr>
          <w:rFonts w:hint="eastAsia" w:ascii="宋体" w:hAnsi="宋体" w:eastAsia="宋体" w:cs="宋体"/>
        </w:rPr>
      </w:pPr>
      <w:r>
        <w:rPr>
          <w:rFonts w:hint="eastAsia" w:ascii="宋体" w:hAnsi="宋体" w:eastAsia="宋体" w:cs="宋体"/>
        </w:rPr>
        <w:t>4.6.4  特殊岗位的工作人员均应持有相应的资格证明，监理人有权随时检查。监理人认为有必要时，可进行现场考核。</w:t>
      </w:r>
    </w:p>
    <w:p w14:paraId="6F17BE98">
      <w:pPr>
        <w:keepNext/>
        <w:keepLines/>
        <w:spacing w:before="156" w:beforeLines="50" w:after="156" w:afterLines="50" w:line="360" w:lineRule="auto"/>
        <w:outlineLvl w:val="2"/>
        <w:rPr>
          <w:rFonts w:hint="eastAsia" w:ascii="宋体" w:hAnsi="宋体" w:eastAsia="宋体" w:cs="宋体"/>
          <w:sz w:val="24"/>
          <w:szCs w:val="20"/>
        </w:rPr>
      </w:pPr>
      <w:bookmarkStart w:id="849" w:name="_Toc490222528"/>
      <w:bookmarkStart w:id="850" w:name="_Toc10235353"/>
      <w:bookmarkStart w:id="851" w:name="_Toc486580083"/>
      <w:bookmarkStart w:id="852" w:name="_Toc61020273"/>
      <w:bookmarkStart w:id="853" w:name="_Toc497213759"/>
      <w:bookmarkStart w:id="854" w:name="_Toc489279894"/>
      <w:r>
        <w:rPr>
          <w:rFonts w:hint="eastAsia" w:ascii="宋体" w:hAnsi="宋体" w:eastAsia="宋体" w:cs="宋体"/>
          <w:sz w:val="24"/>
          <w:szCs w:val="20"/>
        </w:rPr>
        <w:t>4.7  撤换承包人项目经理和其他人员</w:t>
      </w:r>
      <w:bookmarkEnd w:id="849"/>
      <w:bookmarkEnd w:id="850"/>
      <w:bookmarkEnd w:id="851"/>
      <w:bookmarkEnd w:id="852"/>
      <w:bookmarkEnd w:id="853"/>
      <w:bookmarkEnd w:id="854"/>
    </w:p>
    <w:p w14:paraId="7CF7B1C5">
      <w:pPr>
        <w:spacing w:line="360" w:lineRule="auto"/>
        <w:ind w:firstLine="420" w:firstLineChars="200"/>
        <w:rPr>
          <w:rFonts w:hint="eastAsia" w:ascii="宋体" w:hAnsi="宋体" w:eastAsia="宋体" w:cs="宋体"/>
        </w:rPr>
      </w:pPr>
      <w:r>
        <w:rPr>
          <w:rFonts w:hint="eastAsia" w:ascii="宋体" w:hAnsi="宋体" w:eastAsia="宋体" w:cs="宋体"/>
        </w:rPr>
        <w:t>承包人应对其项目经理和其他人员进行有效管理。监理人要求撤换不能胜任本职工作、行为不端或玩忽职守的承包人项目经理和其他人员的，承包人应予以撤换。</w:t>
      </w:r>
    </w:p>
    <w:p w14:paraId="456BC9C7">
      <w:pPr>
        <w:keepNext/>
        <w:keepLines/>
        <w:spacing w:before="156" w:beforeLines="50" w:after="156" w:afterLines="50" w:line="360" w:lineRule="auto"/>
        <w:outlineLvl w:val="2"/>
        <w:rPr>
          <w:rFonts w:hint="eastAsia" w:ascii="宋体" w:hAnsi="宋体" w:eastAsia="宋体" w:cs="宋体"/>
          <w:sz w:val="24"/>
          <w:szCs w:val="20"/>
        </w:rPr>
      </w:pPr>
      <w:bookmarkStart w:id="855" w:name="_Toc489279895"/>
      <w:bookmarkStart w:id="856" w:name="_Toc490222529"/>
      <w:bookmarkStart w:id="857" w:name="_Toc10235354"/>
      <w:bookmarkStart w:id="858" w:name="_Toc61020274"/>
      <w:bookmarkStart w:id="859" w:name="_Toc486580084"/>
      <w:bookmarkStart w:id="860" w:name="_Toc497213760"/>
      <w:r>
        <w:rPr>
          <w:rFonts w:hint="eastAsia" w:ascii="宋体" w:hAnsi="宋体" w:eastAsia="宋体" w:cs="宋体"/>
          <w:sz w:val="24"/>
          <w:szCs w:val="20"/>
        </w:rPr>
        <w:t>4.8  保障承包人人员的合法权益</w:t>
      </w:r>
      <w:bookmarkEnd w:id="855"/>
      <w:bookmarkEnd w:id="856"/>
      <w:bookmarkEnd w:id="857"/>
      <w:bookmarkEnd w:id="858"/>
      <w:bookmarkEnd w:id="859"/>
      <w:bookmarkEnd w:id="860"/>
    </w:p>
    <w:p w14:paraId="5328B0D5">
      <w:pPr>
        <w:spacing w:line="360" w:lineRule="auto"/>
        <w:ind w:firstLine="420" w:firstLineChars="200"/>
        <w:rPr>
          <w:rFonts w:hint="eastAsia" w:ascii="宋体" w:hAnsi="宋体" w:eastAsia="宋体" w:cs="宋体"/>
        </w:rPr>
      </w:pPr>
      <w:r>
        <w:rPr>
          <w:rFonts w:hint="eastAsia" w:ascii="宋体" w:hAnsi="宋体" w:eastAsia="宋体" w:cs="宋体"/>
        </w:rPr>
        <w:t>4.8.1  承包人应与其雇佣的人员签订劳动合同，并按时发放工资。</w:t>
      </w:r>
    </w:p>
    <w:p w14:paraId="5B14B78A">
      <w:pPr>
        <w:spacing w:line="360" w:lineRule="auto"/>
        <w:ind w:firstLine="420" w:firstLineChars="200"/>
        <w:rPr>
          <w:rFonts w:hint="eastAsia" w:ascii="宋体" w:hAnsi="宋体" w:eastAsia="宋体" w:cs="宋体"/>
        </w:rPr>
      </w:pPr>
      <w:r>
        <w:rPr>
          <w:rFonts w:hint="eastAsia" w:ascii="宋体" w:hAnsi="宋体" w:eastAsia="宋体" w:cs="宋体"/>
        </w:rPr>
        <w:t>4.8.2  承包人应按劳动法的规定安排工作时间，保证其雇佣人员享有休息和休假的权利。因工程施工的特殊需要占用休假日或延长工作时间的，应不超过法律规定的限度，并按法律规定给予补休或付酬。</w:t>
      </w:r>
    </w:p>
    <w:p w14:paraId="44D21302">
      <w:pPr>
        <w:spacing w:line="360" w:lineRule="auto"/>
        <w:ind w:firstLine="420" w:firstLineChars="200"/>
        <w:rPr>
          <w:rFonts w:hint="eastAsia" w:ascii="宋体" w:hAnsi="宋体" w:eastAsia="宋体" w:cs="宋体"/>
        </w:rPr>
      </w:pPr>
      <w:r>
        <w:rPr>
          <w:rFonts w:hint="eastAsia" w:ascii="宋体" w:hAnsi="宋体" w:eastAsia="宋体" w:cs="宋体"/>
        </w:rPr>
        <w:t>4.8.3  承包人应为其雇佣人员提供必要的食宿条件，以及符合环境保护和卫生要求的生活环境，在远离城镇的施工场地，还应配备必要的伤病防治和急救的医务人员与医疗设施。</w:t>
      </w:r>
    </w:p>
    <w:p w14:paraId="4A300074">
      <w:pPr>
        <w:spacing w:line="360" w:lineRule="auto"/>
        <w:ind w:firstLine="420" w:firstLineChars="200"/>
        <w:rPr>
          <w:rFonts w:hint="eastAsia" w:ascii="宋体" w:hAnsi="宋体" w:eastAsia="宋体" w:cs="宋体"/>
        </w:rPr>
      </w:pPr>
      <w:r>
        <w:rPr>
          <w:rFonts w:hint="eastAsia" w:ascii="宋体" w:hAnsi="宋体" w:eastAsia="宋体" w:cs="宋体"/>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2E8E3BFB">
      <w:pPr>
        <w:spacing w:line="360" w:lineRule="auto"/>
        <w:ind w:firstLine="420" w:firstLineChars="200"/>
        <w:rPr>
          <w:rFonts w:hint="eastAsia" w:ascii="宋体" w:hAnsi="宋体" w:eastAsia="宋体" w:cs="宋体"/>
        </w:rPr>
      </w:pPr>
      <w:r>
        <w:rPr>
          <w:rFonts w:hint="eastAsia" w:ascii="宋体" w:hAnsi="宋体" w:eastAsia="宋体" w:cs="宋体"/>
        </w:rPr>
        <w:t>4.8.5  承包人应按有关法律规定和合同约定，为其雇佣人员办理保险。</w:t>
      </w:r>
    </w:p>
    <w:p w14:paraId="219FDDDC">
      <w:pPr>
        <w:spacing w:line="360" w:lineRule="auto"/>
        <w:ind w:firstLine="420" w:firstLineChars="200"/>
        <w:rPr>
          <w:rFonts w:hint="eastAsia" w:ascii="宋体" w:hAnsi="宋体" w:eastAsia="宋体" w:cs="宋体"/>
        </w:rPr>
      </w:pPr>
      <w:r>
        <w:rPr>
          <w:rFonts w:hint="eastAsia" w:ascii="宋体" w:hAnsi="宋体" w:eastAsia="宋体" w:cs="宋体"/>
        </w:rPr>
        <w:t>4.8.6  承包人应负责处理其雇佣人员因工伤亡事故的善后事宜。</w:t>
      </w:r>
    </w:p>
    <w:p w14:paraId="0D0EF3F4">
      <w:pPr>
        <w:keepNext/>
        <w:keepLines/>
        <w:spacing w:before="156" w:beforeLines="50" w:after="156" w:afterLines="50" w:line="360" w:lineRule="auto"/>
        <w:outlineLvl w:val="2"/>
        <w:rPr>
          <w:rFonts w:hint="eastAsia" w:ascii="宋体" w:hAnsi="宋体" w:eastAsia="宋体" w:cs="宋体"/>
          <w:sz w:val="24"/>
          <w:szCs w:val="20"/>
        </w:rPr>
      </w:pPr>
      <w:bookmarkStart w:id="861" w:name="_Toc61020275"/>
      <w:bookmarkStart w:id="862" w:name="_Toc10235355"/>
      <w:bookmarkStart w:id="863" w:name="_Toc486580085"/>
      <w:bookmarkStart w:id="864" w:name="_Toc489279896"/>
      <w:bookmarkStart w:id="865" w:name="_Toc497213761"/>
      <w:bookmarkStart w:id="866" w:name="_Toc490222530"/>
      <w:r>
        <w:rPr>
          <w:rFonts w:hint="eastAsia" w:ascii="宋体" w:hAnsi="宋体" w:eastAsia="宋体" w:cs="宋体"/>
          <w:sz w:val="24"/>
          <w:szCs w:val="20"/>
        </w:rPr>
        <w:t>4.9  工程价款应专款专用</w:t>
      </w:r>
      <w:bookmarkEnd w:id="861"/>
      <w:bookmarkEnd w:id="862"/>
      <w:bookmarkEnd w:id="863"/>
      <w:bookmarkEnd w:id="864"/>
      <w:bookmarkEnd w:id="865"/>
      <w:bookmarkEnd w:id="866"/>
    </w:p>
    <w:p w14:paraId="11B17F81">
      <w:pPr>
        <w:spacing w:line="360" w:lineRule="auto"/>
        <w:ind w:firstLine="420" w:firstLineChars="200"/>
        <w:rPr>
          <w:rFonts w:hint="eastAsia" w:ascii="宋体" w:hAnsi="宋体" w:eastAsia="宋体" w:cs="宋体"/>
        </w:rPr>
      </w:pPr>
      <w:r>
        <w:rPr>
          <w:rFonts w:hint="eastAsia" w:ascii="宋体" w:hAnsi="宋体" w:eastAsia="宋体" w:cs="宋体"/>
        </w:rPr>
        <w:t>发包人按合同约定支付给承包人的各项价款应专用于合同工程。</w:t>
      </w:r>
    </w:p>
    <w:p w14:paraId="6175439D">
      <w:pPr>
        <w:keepNext/>
        <w:keepLines/>
        <w:spacing w:before="156" w:beforeLines="50" w:after="156" w:afterLines="50" w:line="360" w:lineRule="auto"/>
        <w:outlineLvl w:val="2"/>
        <w:rPr>
          <w:rFonts w:hint="eastAsia" w:ascii="宋体" w:hAnsi="宋体" w:eastAsia="宋体" w:cs="宋体"/>
          <w:sz w:val="24"/>
          <w:szCs w:val="20"/>
        </w:rPr>
      </w:pPr>
      <w:bookmarkStart w:id="867" w:name="_Toc489279897"/>
      <w:bookmarkStart w:id="868" w:name="_Toc497213762"/>
      <w:bookmarkStart w:id="869" w:name="_Toc61020276"/>
      <w:bookmarkStart w:id="870" w:name="_Toc490222531"/>
      <w:bookmarkStart w:id="871" w:name="_Toc10235356"/>
      <w:bookmarkStart w:id="872" w:name="_Toc486580086"/>
      <w:r>
        <w:rPr>
          <w:rFonts w:hint="eastAsia" w:ascii="宋体" w:hAnsi="宋体" w:eastAsia="宋体" w:cs="宋体"/>
          <w:sz w:val="24"/>
          <w:szCs w:val="20"/>
        </w:rPr>
        <w:t>4.10  承包人现场查勘</w:t>
      </w:r>
      <w:bookmarkEnd w:id="867"/>
      <w:bookmarkEnd w:id="868"/>
      <w:bookmarkEnd w:id="869"/>
      <w:bookmarkEnd w:id="870"/>
      <w:bookmarkEnd w:id="871"/>
      <w:bookmarkEnd w:id="872"/>
    </w:p>
    <w:p w14:paraId="6AAFD060">
      <w:pPr>
        <w:spacing w:line="360" w:lineRule="auto"/>
        <w:ind w:firstLine="420" w:firstLineChars="200"/>
        <w:rPr>
          <w:rFonts w:hint="eastAsia" w:ascii="宋体" w:hAnsi="宋体" w:eastAsia="宋体" w:cs="宋体"/>
        </w:rPr>
      </w:pPr>
      <w:r>
        <w:rPr>
          <w:rFonts w:hint="eastAsia" w:ascii="宋体" w:hAnsi="宋体" w:eastAsia="宋体" w:cs="宋体"/>
        </w:rPr>
        <w:t>4.10.1  发包人应将其持有的现场地质勘探资料、水文气象资料提供给承包人，并对其准确性负责。但承包人应对其阅读上述有关资料后所作出的解释和推断负责。</w:t>
      </w:r>
    </w:p>
    <w:p w14:paraId="75D9D3C1">
      <w:pPr>
        <w:spacing w:line="360" w:lineRule="auto"/>
        <w:ind w:firstLine="420" w:firstLineChars="200"/>
        <w:rPr>
          <w:rFonts w:hint="eastAsia" w:ascii="宋体" w:hAnsi="宋体" w:eastAsia="宋体" w:cs="宋体"/>
        </w:rPr>
      </w:pPr>
      <w:r>
        <w:rPr>
          <w:rFonts w:hint="eastAsia" w:ascii="宋体" w:hAnsi="宋体" w:eastAsia="宋体" w:cs="宋体"/>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409D8DFF">
      <w:pPr>
        <w:keepNext/>
        <w:keepLines/>
        <w:spacing w:before="156" w:beforeLines="50" w:after="156" w:afterLines="50" w:line="360" w:lineRule="auto"/>
        <w:outlineLvl w:val="1"/>
        <w:rPr>
          <w:rFonts w:hint="eastAsia" w:ascii="宋体" w:hAnsi="宋体" w:eastAsia="宋体" w:cs="宋体"/>
          <w:sz w:val="28"/>
          <w:szCs w:val="20"/>
        </w:rPr>
      </w:pPr>
      <w:bookmarkStart w:id="873" w:name="_Toc10235358"/>
      <w:bookmarkStart w:id="874" w:name="_Toc486580088"/>
      <w:bookmarkStart w:id="875" w:name="_Toc497213764"/>
      <w:bookmarkStart w:id="876" w:name="_Toc490222533"/>
      <w:bookmarkStart w:id="877" w:name="_Toc61020278"/>
      <w:bookmarkStart w:id="878" w:name="_Toc489279899"/>
      <w:r>
        <w:rPr>
          <w:rFonts w:hint="eastAsia" w:ascii="宋体" w:hAnsi="宋体" w:eastAsia="宋体" w:cs="宋体"/>
          <w:sz w:val="28"/>
          <w:szCs w:val="20"/>
        </w:rPr>
        <w:t>5.材料和工程设备</w:t>
      </w:r>
      <w:bookmarkEnd w:id="873"/>
      <w:bookmarkEnd w:id="874"/>
      <w:bookmarkEnd w:id="875"/>
      <w:bookmarkEnd w:id="876"/>
      <w:bookmarkEnd w:id="877"/>
      <w:bookmarkEnd w:id="878"/>
    </w:p>
    <w:p w14:paraId="775D4547">
      <w:pPr>
        <w:keepNext/>
        <w:keepLines/>
        <w:spacing w:before="156" w:beforeLines="50" w:after="156" w:afterLines="50" w:line="360" w:lineRule="auto"/>
        <w:outlineLvl w:val="2"/>
        <w:rPr>
          <w:rFonts w:hint="eastAsia" w:ascii="宋体" w:hAnsi="宋体" w:eastAsia="宋体" w:cs="宋体"/>
          <w:sz w:val="24"/>
          <w:szCs w:val="20"/>
        </w:rPr>
      </w:pPr>
      <w:bookmarkStart w:id="879" w:name="_Toc490222534"/>
      <w:bookmarkStart w:id="880" w:name="_Toc10235359"/>
      <w:bookmarkStart w:id="881" w:name="_Toc486580089"/>
      <w:bookmarkStart w:id="882" w:name="_Toc497213765"/>
      <w:bookmarkStart w:id="883" w:name="_Toc489279900"/>
      <w:bookmarkStart w:id="884" w:name="_Toc61020279"/>
      <w:r>
        <w:rPr>
          <w:rFonts w:hint="eastAsia" w:ascii="宋体" w:hAnsi="宋体" w:eastAsia="宋体" w:cs="宋体"/>
          <w:sz w:val="24"/>
          <w:szCs w:val="20"/>
        </w:rPr>
        <w:t>5.1  承包人提供的材料和工程设备</w:t>
      </w:r>
      <w:bookmarkEnd w:id="879"/>
      <w:bookmarkEnd w:id="880"/>
      <w:bookmarkEnd w:id="881"/>
      <w:bookmarkEnd w:id="882"/>
      <w:bookmarkEnd w:id="883"/>
      <w:bookmarkEnd w:id="884"/>
    </w:p>
    <w:p w14:paraId="5037A63C">
      <w:pPr>
        <w:spacing w:line="360" w:lineRule="auto"/>
        <w:ind w:firstLine="420" w:firstLineChars="200"/>
        <w:rPr>
          <w:rFonts w:hint="eastAsia" w:ascii="宋体" w:hAnsi="宋体" w:eastAsia="宋体" w:cs="宋体"/>
        </w:rPr>
      </w:pPr>
      <w:r>
        <w:rPr>
          <w:rFonts w:hint="eastAsia" w:ascii="宋体" w:hAnsi="宋体" w:eastAsia="宋体" w:cs="宋体"/>
        </w:rPr>
        <w:t xml:space="preserve">5.1.1  </w:t>
      </w:r>
      <w:r>
        <w:rPr>
          <w:rFonts w:hint="eastAsia" w:ascii="宋体" w:hAnsi="宋体" w:eastAsia="宋体" w:cs="宋体"/>
          <w:szCs w:val="21"/>
        </w:rPr>
        <w:t>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w:t>
      </w:r>
      <w:r>
        <w:rPr>
          <w:rFonts w:hint="eastAsia" w:ascii="宋体" w:hAnsi="宋体" w:eastAsia="宋体" w:cs="宋体"/>
        </w:rPr>
        <w:t>达到规定的规模标准的，以及虽不属于依法必须招标的范围但合同中约定采用招标方式采购的，应当按第15.8.1项的约定，</w:t>
      </w:r>
      <w:r>
        <w:rPr>
          <w:rFonts w:hint="eastAsia" w:ascii="宋体" w:hAnsi="宋体" w:eastAsia="宋体" w:cs="宋体"/>
          <w:szCs w:val="21"/>
        </w:rPr>
        <w:t>由发包人和承包人以招标方式确定专项供应商。承包人负责提供的主要材料和工程设备清单见合同条款专用部分“附件三：承包人提供的材料和工程设备一览表”。</w:t>
      </w:r>
    </w:p>
    <w:p w14:paraId="01F125F1">
      <w:pPr>
        <w:spacing w:line="360" w:lineRule="auto"/>
        <w:ind w:firstLine="420" w:firstLineChars="200"/>
        <w:rPr>
          <w:rFonts w:hint="eastAsia" w:ascii="宋体" w:hAnsi="宋体" w:eastAsia="宋体" w:cs="宋体"/>
        </w:rPr>
      </w:pPr>
      <w:r>
        <w:rPr>
          <w:rFonts w:hint="eastAsia" w:ascii="宋体" w:hAnsi="宋体" w:eastAsia="宋体" w:cs="宋体"/>
        </w:rPr>
        <w:t>5.1.2  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1B492F5F">
      <w:pPr>
        <w:spacing w:line="360" w:lineRule="auto"/>
        <w:ind w:firstLine="420" w:firstLineChars="200"/>
        <w:rPr>
          <w:rFonts w:hint="eastAsia" w:ascii="宋体" w:hAnsi="宋体" w:eastAsia="宋体" w:cs="宋体"/>
        </w:rPr>
      </w:pPr>
      <w:r>
        <w:rPr>
          <w:rFonts w:hint="eastAsia" w:ascii="宋体" w:hAnsi="宋体" w:eastAsia="宋体" w:cs="宋体"/>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61AB186B">
      <w:pPr>
        <w:keepNext/>
        <w:keepLines/>
        <w:spacing w:before="156" w:beforeLines="50" w:after="156" w:afterLines="50" w:line="360" w:lineRule="auto"/>
        <w:outlineLvl w:val="2"/>
        <w:rPr>
          <w:rFonts w:hint="eastAsia" w:ascii="宋体" w:hAnsi="宋体" w:eastAsia="宋体" w:cs="宋体"/>
          <w:sz w:val="24"/>
          <w:szCs w:val="20"/>
        </w:rPr>
      </w:pPr>
      <w:bookmarkStart w:id="885" w:name="_Toc497213766"/>
      <w:bookmarkStart w:id="886" w:name="_Toc489279901"/>
      <w:bookmarkStart w:id="887" w:name="_Toc10235360"/>
      <w:bookmarkStart w:id="888" w:name="_Toc486580090"/>
      <w:bookmarkStart w:id="889" w:name="_Toc61020280"/>
      <w:bookmarkStart w:id="890" w:name="_Toc490222535"/>
      <w:r>
        <w:rPr>
          <w:rFonts w:hint="eastAsia" w:ascii="宋体" w:hAnsi="宋体" w:eastAsia="宋体" w:cs="宋体"/>
          <w:sz w:val="24"/>
          <w:szCs w:val="20"/>
        </w:rPr>
        <w:t>5.2  发包人提供的材料和工程设备</w:t>
      </w:r>
      <w:bookmarkEnd w:id="885"/>
      <w:bookmarkEnd w:id="886"/>
      <w:bookmarkEnd w:id="887"/>
      <w:bookmarkEnd w:id="888"/>
      <w:bookmarkEnd w:id="889"/>
      <w:bookmarkEnd w:id="890"/>
    </w:p>
    <w:p w14:paraId="7BD4A798">
      <w:pPr>
        <w:spacing w:line="360" w:lineRule="auto"/>
        <w:ind w:firstLine="420" w:firstLineChars="200"/>
        <w:rPr>
          <w:rFonts w:hint="eastAsia" w:ascii="宋体" w:hAnsi="宋体" w:eastAsia="宋体" w:cs="宋体"/>
        </w:rPr>
      </w:pPr>
      <w:r>
        <w:rPr>
          <w:rFonts w:hint="eastAsia" w:ascii="宋体" w:hAnsi="宋体" w:eastAsia="宋体" w:cs="宋体"/>
        </w:rPr>
        <w:t xml:space="preserve">5.2.1  </w:t>
      </w:r>
      <w:r>
        <w:rPr>
          <w:rFonts w:hint="eastAsia" w:ascii="宋体" w:hAnsi="宋体" w:eastAsia="宋体" w:cs="宋体"/>
          <w:szCs w:val="21"/>
        </w:rPr>
        <w:t>发包人负责提供的材料和工程设备的名称、规格、数量、价格、交货方式、交货地点和计划交货日期等见合同条款专用部分“附件四：发包人提供的材料和工程设备一览表”。</w:t>
      </w:r>
    </w:p>
    <w:p w14:paraId="282E738C">
      <w:pPr>
        <w:spacing w:line="360" w:lineRule="auto"/>
        <w:ind w:firstLine="420" w:firstLineChars="200"/>
        <w:rPr>
          <w:rFonts w:hint="eastAsia" w:ascii="宋体" w:hAnsi="宋体" w:eastAsia="宋体" w:cs="宋体"/>
        </w:rPr>
      </w:pPr>
      <w:r>
        <w:rPr>
          <w:rFonts w:hint="eastAsia" w:ascii="宋体" w:hAnsi="宋体" w:eastAsia="宋体" w:cs="宋体"/>
        </w:rPr>
        <w:t>5.2.2  承包人应根据合同进度计划的安排，向监理人报送要求发包人交货的日期计划。发包人应按照监理人与合同双方当事人商定的交货日期，向承包人提交材料和工程设备。</w:t>
      </w:r>
    </w:p>
    <w:p w14:paraId="1913891E">
      <w:pPr>
        <w:spacing w:line="360" w:lineRule="auto"/>
        <w:ind w:firstLine="420" w:firstLineChars="200"/>
        <w:rPr>
          <w:rFonts w:hint="eastAsia" w:ascii="宋体" w:hAnsi="宋体" w:eastAsia="宋体" w:cs="宋体"/>
        </w:rPr>
      </w:pPr>
      <w:r>
        <w:rPr>
          <w:rFonts w:hint="eastAsia" w:ascii="宋体" w:hAnsi="宋体" w:eastAsia="宋体" w:cs="宋体"/>
        </w:rPr>
        <w:t>5.2.3  发包人应在材料和工程设备到货7天前通知承包人，承包人应会同监理人在约定的时间内，赴交货地点共同进行验收。</w:t>
      </w:r>
      <w:r>
        <w:rPr>
          <w:rFonts w:hint="eastAsia" w:ascii="宋体" w:hAnsi="宋体" w:eastAsia="宋体" w:cs="宋体"/>
          <w:szCs w:val="21"/>
        </w:rPr>
        <w:t>由发包人提供的材料和工程设备验收后，由承包人负责接收、运输和保管。</w:t>
      </w:r>
    </w:p>
    <w:p w14:paraId="1D8013C6">
      <w:pPr>
        <w:spacing w:line="360" w:lineRule="auto"/>
        <w:ind w:firstLine="420" w:firstLineChars="200"/>
        <w:rPr>
          <w:rFonts w:hint="eastAsia" w:ascii="宋体" w:hAnsi="宋体" w:eastAsia="宋体" w:cs="宋体"/>
        </w:rPr>
      </w:pPr>
      <w:r>
        <w:rPr>
          <w:rFonts w:hint="eastAsia" w:ascii="宋体" w:hAnsi="宋体" w:eastAsia="宋体" w:cs="宋体"/>
        </w:rPr>
        <w:t xml:space="preserve">5.2.4  发包人要求向承包人提前交货的，承包人不得拒绝，但发包人应承担承包人由此增加的费用。 </w:t>
      </w:r>
    </w:p>
    <w:p w14:paraId="55835E88">
      <w:pPr>
        <w:spacing w:line="360" w:lineRule="auto"/>
        <w:ind w:firstLine="420" w:firstLineChars="200"/>
        <w:rPr>
          <w:rFonts w:hint="eastAsia" w:ascii="宋体" w:hAnsi="宋体" w:eastAsia="宋体" w:cs="宋体"/>
        </w:rPr>
      </w:pPr>
      <w:r>
        <w:rPr>
          <w:rFonts w:hint="eastAsia" w:ascii="宋体" w:hAnsi="宋体" w:eastAsia="宋体" w:cs="宋体"/>
        </w:rPr>
        <w:t xml:space="preserve">5.2.5  承包人要求更改交货日期或地点的，应事先报请监理人批准。由于承包人要求更改交货时间或地点所增加的费用和（或）工期延误由承包人承担。 </w:t>
      </w:r>
    </w:p>
    <w:p w14:paraId="2BCE6BD0">
      <w:pPr>
        <w:spacing w:line="360" w:lineRule="auto"/>
        <w:ind w:firstLine="420" w:firstLineChars="200"/>
        <w:rPr>
          <w:rFonts w:hint="eastAsia" w:ascii="宋体" w:hAnsi="宋体" w:eastAsia="宋体" w:cs="宋体"/>
        </w:rPr>
      </w:pPr>
      <w:r>
        <w:rPr>
          <w:rFonts w:hint="eastAsia" w:ascii="宋体" w:hAnsi="宋体" w:eastAsia="宋体" w:cs="宋体"/>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290ACD53">
      <w:pPr>
        <w:keepNext/>
        <w:keepLines/>
        <w:spacing w:before="156" w:beforeLines="50" w:after="156" w:afterLines="50" w:line="360" w:lineRule="auto"/>
        <w:outlineLvl w:val="2"/>
        <w:rPr>
          <w:rFonts w:hint="eastAsia" w:ascii="宋体" w:hAnsi="宋体" w:eastAsia="宋体" w:cs="宋体"/>
          <w:sz w:val="24"/>
          <w:szCs w:val="20"/>
        </w:rPr>
      </w:pPr>
      <w:bookmarkStart w:id="891" w:name="_Toc10235361"/>
      <w:bookmarkStart w:id="892" w:name="_Toc490222536"/>
      <w:bookmarkStart w:id="893" w:name="_Toc61020281"/>
      <w:bookmarkStart w:id="894" w:name="_Toc486580091"/>
      <w:bookmarkStart w:id="895" w:name="_Toc497213767"/>
      <w:bookmarkStart w:id="896" w:name="_Toc489279902"/>
      <w:r>
        <w:rPr>
          <w:rFonts w:hint="eastAsia" w:ascii="宋体" w:hAnsi="宋体" w:eastAsia="宋体" w:cs="宋体"/>
          <w:sz w:val="24"/>
          <w:szCs w:val="20"/>
        </w:rPr>
        <w:t>5.3  材料和工程设备专用于合同工程</w:t>
      </w:r>
      <w:bookmarkEnd w:id="891"/>
      <w:bookmarkEnd w:id="892"/>
      <w:bookmarkEnd w:id="893"/>
      <w:bookmarkEnd w:id="894"/>
      <w:bookmarkEnd w:id="895"/>
      <w:bookmarkEnd w:id="896"/>
    </w:p>
    <w:p w14:paraId="1E73BCED">
      <w:pPr>
        <w:spacing w:line="360" w:lineRule="auto"/>
        <w:ind w:firstLine="420" w:firstLineChars="200"/>
        <w:rPr>
          <w:rFonts w:hint="eastAsia" w:ascii="宋体" w:hAnsi="宋体" w:eastAsia="宋体" w:cs="宋体"/>
        </w:rPr>
      </w:pPr>
      <w:r>
        <w:rPr>
          <w:rFonts w:hint="eastAsia" w:ascii="宋体" w:hAnsi="宋体" w:eastAsia="宋体" w:cs="宋体"/>
        </w:rPr>
        <w:t>5.3.1  运入施工场地的材料、工程设备，包括备品备件、安装专用工器具与随机资料，必须专用于合同工程，未经监理人同意，承包人不得运出施工场地或挪作他用。</w:t>
      </w:r>
    </w:p>
    <w:p w14:paraId="5923866B">
      <w:pPr>
        <w:spacing w:line="360" w:lineRule="auto"/>
        <w:ind w:firstLine="420" w:firstLineChars="200"/>
        <w:rPr>
          <w:rFonts w:hint="eastAsia" w:ascii="宋体" w:hAnsi="宋体" w:eastAsia="宋体" w:cs="宋体"/>
        </w:rPr>
      </w:pPr>
      <w:r>
        <w:rPr>
          <w:rFonts w:hint="eastAsia" w:ascii="宋体" w:hAnsi="宋体" w:eastAsia="宋体" w:cs="宋体"/>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42E8AB29">
      <w:pPr>
        <w:keepNext/>
        <w:keepLines/>
        <w:spacing w:before="156" w:beforeLines="50" w:after="156" w:afterLines="50" w:line="360" w:lineRule="auto"/>
        <w:outlineLvl w:val="2"/>
        <w:rPr>
          <w:rFonts w:hint="eastAsia" w:ascii="宋体" w:hAnsi="宋体" w:eastAsia="宋体" w:cs="宋体"/>
          <w:sz w:val="24"/>
          <w:szCs w:val="20"/>
        </w:rPr>
      </w:pPr>
      <w:bookmarkStart w:id="897" w:name="_Toc490222537"/>
      <w:bookmarkStart w:id="898" w:name="_Toc486580092"/>
      <w:bookmarkStart w:id="899" w:name="_Toc61020282"/>
      <w:bookmarkStart w:id="900" w:name="_Toc497213768"/>
      <w:bookmarkStart w:id="901" w:name="_Toc489279903"/>
      <w:bookmarkStart w:id="902" w:name="_Toc10235362"/>
      <w:r>
        <w:rPr>
          <w:rFonts w:hint="eastAsia" w:ascii="宋体" w:hAnsi="宋体" w:eastAsia="宋体" w:cs="宋体"/>
          <w:sz w:val="24"/>
          <w:szCs w:val="20"/>
        </w:rPr>
        <w:t>5.4  禁止使用不合格的材料和工程设备</w:t>
      </w:r>
      <w:bookmarkEnd w:id="897"/>
      <w:bookmarkEnd w:id="898"/>
      <w:bookmarkEnd w:id="899"/>
      <w:bookmarkEnd w:id="900"/>
      <w:bookmarkEnd w:id="901"/>
      <w:bookmarkEnd w:id="902"/>
    </w:p>
    <w:p w14:paraId="72FB1A22">
      <w:pPr>
        <w:spacing w:line="360" w:lineRule="auto"/>
        <w:ind w:firstLine="420" w:firstLineChars="200"/>
        <w:rPr>
          <w:rFonts w:hint="eastAsia" w:ascii="宋体" w:hAnsi="宋体" w:eastAsia="宋体" w:cs="宋体"/>
        </w:rPr>
      </w:pPr>
      <w:r>
        <w:rPr>
          <w:rFonts w:hint="eastAsia" w:ascii="宋体" w:hAnsi="宋体" w:eastAsia="宋体" w:cs="宋体"/>
        </w:rPr>
        <w:t>5.4.1  监理人有权拒绝承包人提供的不合格材料或工程设备，并要求承包人立即进行更换。监理人应在更换后再次进行检查和检验，由此增加的费用和（或）工期延误由承包人承担。</w:t>
      </w:r>
    </w:p>
    <w:p w14:paraId="26268D2E">
      <w:pPr>
        <w:spacing w:line="360" w:lineRule="auto"/>
        <w:ind w:firstLine="420" w:firstLineChars="200"/>
        <w:rPr>
          <w:rFonts w:hint="eastAsia" w:ascii="宋体" w:hAnsi="宋体" w:eastAsia="宋体" w:cs="宋体"/>
        </w:rPr>
      </w:pPr>
      <w:r>
        <w:rPr>
          <w:rFonts w:hint="eastAsia" w:ascii="宋体" w:hAnsi="宋体" w:eastAsia="宋体" w:cs="宋体"/>
        </w:rPr>
        <w:t>5.4.2  监理人发现承包人使用了不合格的材料和工程设备，应即时发出指示要求承包人立即改正，并禁止在工程中继续使用不合格的材料和工程设备。</w:t>
      </w:r>
    </w:p>
    <w:p w14:paraId="3002D6E2">
      <w:pPr>
        <w:spacing w:line="360" w:lineRule="auto"/>
        <w:ind w:firstLine="420" w:firstLineChars="200"/>
        <w:rPr>
          <w:rFonts w:hint="eastAsia" w:ascii="宋体" w:hAnsi="宋体" w:eastAsia="宋体" w:cs="宋体"/>
        </w:rPr>
      </w:pPr>
      <w:r>
        <w:rPr>
          <w:rFonts w:hint="eastAsia" w:ascii="宋体" w:hAnsi="宋体" w:eastAsia="宋体" w:cs="宋体"/>
        </w:rPr>
        <w:t>5.4.3  发包人提供的材料或工程设备不符合合同要求的，承包人有权拒绝，并可要求发包人更换，由此增加的费用和（或）工期延误由发包人承担。</w:t>
      </w:r>
    </w:p>
    <w:p w14:paraId="77FA6647">
      <w:pPr>
        <w:keepNext/>
        <w:keepLines/>
        <w:spacing w:before="156" w:beforeLines="50" w:after="156" w:afterLines="50" w:line="360" w:lineRule="auto"/>
        <w:outlineLvl w:val="1"/>
        <w:rPr>
          <w:rFonts w:hint="eastAsia" w:ascii="宋体" w:hAnsi="宋体" w:eastAsia="宋体" w:cs="宋体"/>
          <w:sz w:val="28"/>
          <w:szCs w:val="20"/>
        </w:rPr>
      </w:pPr>
      <w:bookmarkStart w:id="903" w:name="_Toc10235363"/>
      <w:bookmarkStart w:id="904" w:name="_Toc490222538"/>
      <w:bookmarkStart w:id="905" w:name="_Toc497213769"/>
      <w:bookmarkStart w:id="906" w:name="_Toc61020283"/>
      <w:bookmarkStart w:id="907" w:name="_Toc489279904"/>
      <w:bookmarkStart w:id="908" w:name="_Toc486580093"/>
      <w:r>
        <w:rPr>
          <w:rFonts w:hint="eastAsia" w:ascii="宋体" w:hAnsi="宋体" w:eastAsia="宋体" w:cs="宋体"/>
          <w:sz w:val="28"/>
          <w:szCs w:val="20"/>
        </w:rPr>
        <w:t>6.施工设备和临时设施</w:t>
      </w:r>
      <w:bookmarkEnd w:id="903"/>
      <w:bookmarkEnd w:id="904"/>
      <w:bookmarkEnd w:id="905"/>
      <w:bookmarkEnd w:id="906"/>
      <w:bookmarkEnd w:id="907"/>
      <w:bookmarkEnd w:id="908"/>
    </w:p>
    <w:p w14:paraId="5C32AB40">
      <w:pPr>
        <w:keepNext/>
        <w:keepLines/>
        <w:spacing w:before="156" w:beforeLines="50" w:after="156" w:afterLines="50" w:line="360" w:lineRule="auto"/>
        <w:outlineLvl w:val="2"/>
        <w:rPr>
          <w:rFonts w:hint="eastAsia" w:ascii="宋体" w:hAnsi="宋体" w:eastAsia="宋体" w:cs="宋体"/>
          <w:sz w:val="24"/>
          <w:szCs w:val="20"/>
        </w:rPr>
      </w:pPr>
      <w:bookmarkStart w:id="909" w:name="_Toc486580094"/>
      <w:bookmarkStart w:id="910" w:name="_Toc61020284"/>
      <w:bookmarkStart w:id="911" w:name="_Toc489279905"/>
      <w:bookmarkStart w:id="912" w:name="_Toc497213770"/>
      <w:bookmarkStart w:id="913" w:name="_Toc10235364"/>
      <w:bookmarkStart w:id="914" w:name="_Toc490222539"/>
      <w:r>
        <w:rPr>
          <w:rFonts w:hint="eastAsia" w:ascii="宋体" w:hAnsi="宋体" w:eastAsia="宋体" w:cs="宋体"/>
          <w:sz w:val="24"/>
          <w:szCs w:val="20"/>
        </w:rPr>
        <w:t>6.1  承包人提供的施工设备和临时设施</w:t>
      </w:r>
      <w:bookmarkEnd w:id="909"/>
      <w:bookmarkEnd w:id="910"/>
      <w:bookmarkEnd w:id="911"/>
      <w:bookmarkEnd w:id="912"/>
      <w:bookmarkEnd w:id="913"/>
      <w:bookmarkEnd w:id="914"/>
    </w:p>
    <w:p w14:paraId="1EE0A106">
      <w:pPr>
        <w:spacing w:line="360" w:lineRule="auto"/>
        <w:ind w:firstLine="420" w:firstLineChars="200"/>
        <w:rPr>
          <w:rFonts w:hint="eastAsia" w:ascii="宋体" w:hAnsi="宋体" w:eastAsia="宋体" w:cs="宋体"/>
        </w:rPr>
      </w:pPr>
      <w:r>
        <w:rPr>
          <w:rFonts w:hint="eastAsia" w:ascii="宋体" w:hAnsi="宋体" w:eastAsia="宋体" w:cs="宋体"/>
        </w:rPr>
        <w:t>6.1.1  承包人应按合同进度计划的要求，及时配置施工设备和修建临时设施。进入施工场地的承包人设备需经监理人核查后才能投入使用。承包人更换合同约定的承包人设备的，应报监理人批准。</w:t>
      </w:r>
    </w:p>
    <w:p w14:paraId="2A8E36CD">
      <w:pPr>
        <w:spacing w:line="360" w:lineRule="auto"/>
        <w:ind w:firstLine="420" w:firstLineChars="200"/>
        <w:rPr>
          <w:rFonts w:hint="eastAsia" w:ascii="宋体" w:hAnsi="宋体" w:eastAsia="宋体" w:cs="宋体"/>
        </w:rPr>
      </w:pPr>
      <w:r>
        <w:rPr>
          <w:rFonts w:hint="eastAsia" w:ascii="宋体" w:hAnsi="宋体" w:eastAsia="宋体" w:cs="宋体"/>
        </w:rPr>
        <w:t>6.1.2  除合同另有约定外，承包人应承担自行修建临时设施的费用。需要临时占地的，应由发包人办理申请手续并承担相应费用。承包人自行修建临时设施的范围以及所需临时占地见合同条款专用部分。</w:t>
      </w:r>
    </w:p>
    <w:p w14:paraId="2CD92539">
      <w:pPr>
        <w:keepNext/>
        <w:keepLines/>
        <w:spacing w:before="156" w:beforeLines="50" w:after="156" w:afterLines="50" w:line="360" w:lineRule="auto"/>
        <w:outlineLvl w:val="2"/>
        <w:rPr>
          <w:rFonts w:hint="eastAsia" w:ascii="宋体" w:hAnsi="宋体" w:eastAsia="宋体" w:cs="宋体"/>
          <w:sz w:val="24"/>
          <w:szCs w:val="20"/>
        </w:rPr>
      </w:pPr>
      <w:bookmarkStart w:id="915" w:name="_Toc61020285"/>
      <w:bookmarkStart w:id="916" w:name="_Toc490222540"/>
      <w:bookmarkStart w:id="917" w:name="_Toc497213771"/>
      <w:bookmarkStart w:id="918" w:name="_Toc489279906"/>
      <w:bookmarkStart w:id="919" w:name="_Toc486580095"/>
      <w:bookmarkStart w:id="920" w:name="_Toc10235365"/>
      <w:r>
        <w:rPr>
          <w:rFonts w:hint="eastAsia" w:ascii="宋体" w:hAnsi="宋体" w:eastAsia="宋体" w:cs="宋体"/>
          <w:sz w:val="24"/>
          <w:szCs w:val="20"/>
        </w:rPr>
        <w:t>6.2  发包人提供的施工设备和临时设施</w:t>
      </w:r>
      <w:bookmarkEnd w:id="915"/>
      <w:bookmarkEnd w:id="916"/>
      <w:bookmarkEnd w:id="917"/>
      <w:bookmarkEnd w:id="918"/>
      <w:bookmarkEnd w:id="919"/>
      <w:bookmarkEnd w:id="920"/>
    </w:p>
    <w:p w14:paraId="2175D1E0">
      <w:pPr>
        <w:spacing w:line="360" w:lineRule="auto"/>
        <w:ind w:firstLine="420" w:firstLineChars="200"/>
        <w:rPr>
          <w:rFonts w:hint="eastAsia" w:ascii="宋体" w:hAnsi="宋体" w:eastAsia="宋体" w:cs="宋体"/>
        </w:rPr>
      </w:pPr>
      <w:r>
        <w:rPr>
          <w:rFonts w:hint="eastAsia" w:ascii="宋体" w:hAnsi="宋体" w:eastAsia="宋体" w:cs="宋体"/>
        </w:rPr>
        <w:t>发包人提供的施工设备或临时设施，以及相关</w:t>
      </w:r>
      <w:r>
        <w:rPr>
          <w:rFonts w:hint="eastAsia" w:ascii="宋体" w:hAnsi="宋体" w:eastAsia="宋体" w:cs="宋体"/>
          <w:szCs w:val="21"/>
        </w:rPr>
        <w:t>运行、维护、拆除、清运费用的承担人见</w:t>
      </w:r>
      <w:r>
        <w:rPr>
          <w:rFonts w:hint="eastAsia" w:ascii="宋体" w:hAnsi="宋体" w:eastAsia="宋体" w:cs="宋体"/>
        </w:rPr>
        <w:t>合同条款专用部分。</w:t>
      </w:r>
    </w:p>
    <w:p w14:paraId="400153DE">
      <w:pPr>
        <w:keepNext/>
        <w:keepLines/>
        <w:spacing w:before="156" w:beforeLines="50" w:after="156" w:afterLines="50" w:line="360" w:lineRule="auto"/>
        <w:outlineLvl w:val="2"/>
        <w:rPr>
          <w:rFonts w:hint="eastAsia" w:ascii="宋体" w:hAnsi="宋体" w:eastAsia="宋体" w:cs="宋体"/>
          <w:sz w:val="24"/>
          <w:szCs w:val="20"/>
        </w:rPr>
      </w:pPr>
      <w:bookmarkStart w:id="921" w:name="_Toc489279907"/>
      <w:bookmarkStart w:id="922" w:name="_Toc486580096"/>
      <w:bookmarkStart w:id="923" w:name="_Toc490222541"/>
      <w:bookmarkStart w:id="924" w:name="_Toc10235366"/>
      <w:bookmarkStart w:id="925" w:name="_Toc61020286"/>
      <w:bookmarkStart w:id="926" w:name="_Toc497213772"/>
      <w:r>
        <w:rPr>
          <w:rFonts w:hint="eastAsia" w:ascii="宋体" w:hAnsi="宋体" w:eastAsia="宋体" w:cs="宋体"/>
          <w:sz w:val="24"/>
          <w:szCs w:val="20"/>
        </w:rPr>
        <w:t>6.3  要求承包人增加或更换施工设备</w:t>
      </w:r>
      <w:bookmarkEnd w:id="921"/>
      <w:bookmarkEnd w:id="922"/>
      <w:bookmarkEnd w:id="923"/>
      <w:bookmarkEnd w:id="924"/>
      <w:bookmarkEnd w:id="925"/>
      <w:bookmarkEnd w:id="926"/>
    </w:p>
    <w:p w14:paraId="0DFB4F28">
      <w:pPr>
        <w:spacing w:line="360" w:lineRule="auto"/>
        <w:ind w:firstLine="420" w:firstLineChars="200"/>
        <w:rPr>
          <w:rFonts w:hint="eastAsia" w:ascii="宋体" w:hAnsi="宋体" w:eastAsia="宋体" w:cs="宋体"/>
        </w:rPr>
      </w:pPr>
      <w:r>
        <w:rPr>
          <w:rFonts w:hint="eastAsia" w:ascii="宋体" w:hAnsi="宋体" w:eastAsia="宋体" w:cs="宋体"/>
        </w:rPr>
        <w:t>承包人使用的施工设备不能满足合同进度计划和（或）质量要求时，监理人有权要求承包人增加或更换施工设备，承包人应及时增加或更换，由此增加的费用和（或）工期延误由承包人承担。</w:t>
      </w:r>
    </w:p>
    <w:p w14:paraId="7D186D65">
      <w:pPr>
        <w:keepNext/>
        <w:keepLines/>
        <w:spacing w:before="156" w:beforeLines="50" w:after="156" w:afterLines="50" w:line="360" w:lineRule="auto"/>
        <w:outlineLvl w:val="2"/>
        <w:rPr>
          <w:rFonts w:hint="eastAsia" w:ascii="宋体" w:hAnsi="宋体" w:eastAsia="宋体" w:cs="宋体"/>
          <w:sz w:val="24"/>
          <w:szCs w:val="20"/>
        </w:rPr>
      </w:pPr>
      <w:bookmarkStart w:id="927" w:name="_Toc61020287"/>
      <w:bookmarkStart w:id="928" w:name="_Toc10235367"/>
      <w:bookmarkStart w:id="929" w:name="_Toc497213773"/>
      <w:bookmarkStart w:id="930" w:name="_Toc486580097"/>
      <w:bookmarkStart w:id="931" w:name="_Toc490222542"/>
      <w:bookmarkStart w:id="932" w:name="_Toc489279908"/>
      <w:r>
        <w:rPr>
          <w:rFonts w:hint="eastAsia" w:ascii="宋体" w:hAnsi="宋体" w:eastAsia="宋体" w:cs="宋体"/>
          <w:sz w:val="24"/>
          <w:szCs w:val="20"/>
        </w:rPr>
        <w:t>6.4  施工设备和临时设施专用于合同工程</w:t>
      </w:r>
      <w:bookmarkEnd w:id="927"/>
      <w:bookmarkEnd w:id="928"/>
      <w:bookmarkEnd w:id="929"/>
      <w:bookmarkEnd w:id="930"/>
      <w:bookmarkEnd w:id="931"/>
      <w:bookmarkEnd w:id="932"/>
    </w:p>
    <w:p w14:paraId="2D29C0EA">
      <w:pPr>
        <w:spacing w:line="360" w:lineRule="auto"/>
        <w:ind w:firstLine="420" w:firstLineChars="200"/>
        <w:rPr>
          <w:rFonts w:hint="eastAsia" w:ascii="宋体" w:hAnsi="宋体" w:eastAsia="宋体" w:cs="宋体"/>
        </w:rPr>
      </w:pPr>
      <w:r>
        <w:rPr>
          <w:rFonts w:hint="eastAsia" w:ascii="宋体" w:hAnsi="宋体" w:eastAsia="宋体" w:cs="宋体"/>
        </w:rPr>
        <w:t xml:space="preserve">6.4.1  </w:t>
      </w:r>
      <w:r>
        <w:rPr>
          <w:rFonts w:hint="eastAsia" w:ascii="宋体" w:hAnsi="宋体" w:eastAsia="宋体" w:cs="宋体"/>
          <w:szCs w:val="21"/>
        </w:rPr>
        <w:t>除为第4.1.8项约定的其他独立承包人和监理人指示的他人提供条件外,承包人运入施工场地的所有施工设备以及在施工场地建设的临时设施仅限于用于合同工程。</w:t>
      </w:r>
      <w:r>
        <w:rPr>
          <w:rFonts w:hint="eastAsia" w:ascii="宋体" w:hAnsi="宋体" w:eastAsia="宋体" w:cs="宋体"/>
        </w:rPr>
        <w:t>未经监理人同意，不得将上述施工设备和临时设施中的任何部分运出施工场地或挪作他用。</w:t>
      </w:r>
    </w:p>
    <w:p w14:paraId="35DAA959">
      <w:pPr>
        <w:spacing w:line="360" w:lineRule="auto"/>
        <w:ind w:firstLine="420" w:firstLineChars="200"/>
        <w:rPr>
          <w:rFonts w:hint="eastAsia" w:ascii="宋体" w:hAnsi="宋体" w:eastAsia="宋体" w:cs="宋体"/>
        </w:rPr>
      </w:pPr>
      <w:r>
        <w:rPr>
          <w:rFonts w:hint="eastAsia" w:ascii="宋体" w:hAnsi="宋体" w:eastAsia="宋体" w:cs="宋体"/>
        </w:rPr>
        <w:t>6.4.2  经监理人同意，承包人可根据合同进度计划撤走闲置的施工设备。</w:t>
      </w:r>
    </w:p>
    <w:p w14:paraId="209F9B18">
      <w:pPr>
        <w:keepNext/>
        <w:keepLines/>
        <w:spacing w:before="156" w:beforeLines="50" w:after="156" w:afterLines="50" w:line="360" w:lineRule="auto"/>
        <w:outlineLvl w:val="1"/>
        <w:rPr>
          <w:rFonts w:hint="eastAsia" w:ascii="宋体" w:hAnsi="宋体" w:eastAsia="宋体" w:cs="宋体"/>
          <w:sz w:val="28"/>
          <w:szCs w:val="20"/>
        </w:rPr>
      </w:pPr>
      <w:bookmarkStart w:id="933" w:name="_Toc490222543"/>
      <w:bookmarkStart w:id="934" w:name="_Toc486580098"/>
      <w:bookmarkStart w:id="935" w:name="_Toc489279909"/>
      <w:bookmarkStart w:id="936" w:name="_Toc61020288"/>
      <w:bookmarkStart w:id="937" w:name="_Toc10235368"/>
      <w:bookmarkStart w:id="938" w:name="_Toc497213774"/>
      <w:r>
        <w:rPr>
          <w:rFonts w:hint="eastAsia" w:ascii="宋体" w:hAnsi="宋体" w:eastAsia="宋体" w:cs="宋体"/>
          <w:sz w:val="28"/>
          <w:szCs w:val="20"/>
        </w:rPr>
        <w:t>7.交通运输</w:t>
      </w:r>
      <w:bookmarkEnd w:id="933"/>
      <w:bookmarkEnd w:id="934"/>
      <w:bookmarkEnd w:id="935"/>
      <w:bookmarkEnd w:id="936"/>
      <w:bookmarkEnd w:id="937"/>
      <w:bookmarkEnd w:id="938"/>
    </w:p>
    <w:p w14:paraId="260DA071">
      <w:pPr>
        <w:keepNext/>
        <w:keepLines/>
        <w:spacing w:before="156" w:beforeLines="50" w:after="156" w:afterLines="50" w:line="360" w:lineRule="auto"/>
        <w:outlineLvl w:val="2"/>
        <w:rPr>
          <w:rFonts w:hint="eastAsia" w:ascii="宋体" w:hAnsi="宋体" w:eastAsia="宋体" w:cs="宋体"/>
          <w:sz w:val="24"/>
          <w:szCs w:val="20"/>
        </w:rPr>
      </w:pPr>
      <w:bookmarkStart w:id="939" w:name="_Toc10235369"/>
      <w:bookmarkStart w:id="940" w:name="_Toc61020289"/>
      <w:bookmarkStart w:id="941" w:name="_Toc489279910"/>
      <w:bookmarkStart w:id="942" w:name="_Toc486580099"/>
      <w:bookmarkStart w:id="943" w:name="_Toc490222544"/>
      <w:bookmarkStart w:id="944" w:name="_Toc497213775"/>
      <w:r>
        <w:rPr>
          <w:rFonts w:hint="eastAsia" w:ascii="宋体" w:hAnsi="宋体" w:eastAsia="宋体" w:cs="宋体"/>
          <w:sz w:val="24"/>
          <w:szCs w:val="20"/>
        </w:rPr>
        <w:t>7.1  道路通行权和场外设施</w:t>
      </w:r>
      <w:bookmarkEnd w:id="939"/>
      <w:bookmarkEnd w:id="940"/>
      <w:bookmarkEnd w:id="941"/>
      <w:bookmarkEnd w:id="942"/>
      <w:bookmarkEnd w:id="943"/>
      <w:bookmarkEnd w:id="944"/>
    </w:p>
    <w:p w14:paraId="73D0D5C8">
      <w:pPr>
        <w:spacing w:line="360" w:lineRule="auto"/>
        <w:ind w:firstLine="420" w:firstLineChars="200"/>
        <w:rPr>
          <w:rFonts w:hint="eastAsia" w:ascii="宋体" w:hAnsi="宋体" w:eastAsia="宋体" w:cs="宋体"/>
        </w:rPr>
      </w:pPr>
      <w:r>
        <w:rPr>
          <w:rFonts w:hint="eastAsia" w:ascii="宋体" w:hAnsi="宋体" w:eastAsia="宋体" w:cs="宋体"/>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2DA6457B">
      <w:pPr>
        <w:keepNext/>
        <w:keepLines/>
        <w:spacing w:before="156" w:beforeLines="50" w:after="156" w:afterLines="50" w:line="360" w:lineRule="auto"/>
        <w:outlineLvl w:val="2"/>
        <w:rPr>
          <w:rFonts w:hint="eastAsia" w:ascii="宋体" w:hAnsi="宋体" w:eastAsia="宋体" w:cs="宋体"/>
          <w:sz w:val="24"/>
          <w:szCs w:val="20"/>
        </w:rPr>
      </w:pPr>
      <w:bookmarkStart w:id="945" w:name="_Toc10235370"/>
      <w:bookmarkStart w:id="946" w:name="_Toc497213776"/>
      <w:bookmarkStart w:id="947" w:name="_Toc490222545"/>
      <w:bookmarkStart w:id="948" w:name="_Toc486580100"/>
      <w:bookmarkStart w:id="949" w:name="_Toc489279911"/>
      <w:bookmarkStart w:id="950" w:name="_Toc61020290"/>
      <w:r>
        <w:rPr>
          <w:rFonts w:hint="eastAsia" w:ascii="宋体" w:hAnsi="宋体" w:eastAsia="宋体" w:cs="宋体"/>
          <w:sz w:val="24"/>
          <w:szCs w:val="20"/>
        </w:rPr>
        <w:t>7.2  场内施工道路</w:t>
      </w:r>
      <w:bookmarkEnd w:id="945"/>
      <w:bookmarkEnd w:id="946"/>
      <w:bookmarkEnd w:id="947"/>
      <w:bookmarkEnd w:id="948"/>
      <w:bookmarkEnd w:id="949"/>
      <w:bookmarkEnd w:id="950"/>
    </w:p>
    <w:p w14:paraId="5EC441D8">
      <w:pPr>
        <w:spacing w:line="360" w:lineRule="auto"/>
        <w:ind w:firstLine="420" w:firstLineChars="200"/>
        <w:rPr>
          <w:rFonts w:hint="eastAsia" w:ascii="宋体" w:hAnsi="宋体" w:eastAsia="宋体" w:cs="宋体"/>
        </w:rPr>
      </w:pPr>
      <w:r>
        <w:rPr>
          <w:rFonts w:hint="eastAsia" w:ascii="宋体" w:hAnsi="宋体" w:eastAsia="宋体" w:cs="宋体"/>
        </w:rPr>
        <w:t>7.2.1  除合同条款专用部分另有约定外，承包人应负责修建、维修、养护和管理施工所需的临时道路和交通设施，包括维修、养护和管理发包人提供的道路和交通设施，并承担相应费用。</w:t>
      </w:r>
    </w:p>
    <w:p w14:paraId="2A1EE438">
      <w:pPr>
        <w:spacing w:line="360" w:lineRule="auto"/>
        <w:ind w:firstLine="420" w:firstLineChars="200"/>
        <w:rPr>
          <w:rFonts w:hint="eastAsia" w:ascii="宋体" w:hAnsi="宋体" w:eastAsia="宋体" w:cs="宋体"/>
        </w:rPr>
      </w:pPr>
      <w:r>
        <w:rPr>
          <w:rFonts w:hint="eastAsia" w:ascii="宋体" w:hAnsi="宋体" w:eastAsia="宋体" w:cs="宋体"/>
        </w:rPr>
        <w:t xml:space="preserve">7.2.2  </w:t>
      </w:r>
      <w:r>
        <w:rPr>
          <w:rFonts w:hint="eastAsia" w:ascii="宋体" w:hAnsi="宋体" w:eastAsia="宋体" w:cs="宋体"/>
          <w:szCs w:val="21"/>
        </w:rPr>
        <w:t>发包人和监理人有权无偿使用承包人修建的临时道路和交通设施，不需要交纳任何费用。</w:t>
      </w:r>
    </w:p>
    <w:p w14:paraId="7E260FA2">
      <w:pPr>
        <w:keepNext/>
        <w:keepLines/>
        <w:spacing w:before="156" w:beforeLines="50" w:after="156" w:afterLines="50" w:line="360" w:lineRule="auto"/>
        <w:outlineLvl w:val="2"/>
        <w:rPr>
          <w:rFonts w:hint="eastAsia" w:ascii="宋体" w:hAnsi="宋体" w:eastAsia="宋体" w:cs="宋体"/>
          <w:sz w:val="24"/>
          <w:szCs w:val="20"/>
        </w:rPr>
      </w:pPr>
      <w:bookmarkStart w:id="951" w:name="_Toc489279912"/>
      <w:bookmarkStart w:id="952" w:name="_Toc10235371"/>
      <w:bookmarkStart w:id="953" w:name="_Toc497213777"/>
      <w:bookmarkStart w:id="954" w:name="_Toc490222546"/>
      <w:bookmarkStart w:id="955" w:name="_Toc61020291"/>
      <w:bookmarkStart w:id="956" w:name="_Toc486580101"/>
      <w:r>
        <w:rPr>
          <w:rFonts w:hint="eastAsia" w:ascii="宋体" w:hAnsi="宋体" w:eastAsia="宋体" w:cs="宋体"/>
          <w:sz w:val="24"/>
          <w:szCs w:val="20"/>
        </w:rPr>
        <w:t>7.3  场外交通</w:t>
      </w:r>
      <w:bookmarkEnd w:id="951"/>
      <w:bookmarkEnd w:id="952"/>
      <w:bookmarkEnd w:id="953"/>
      <w:bookmarkEnd w:id="954"/>
      <w:bookmarkEnd w:id="955"/>
      <w:bookmarkEnd w:id="956"/>
    </w:p>
    <w:p w14:paraId="1532AB25">
      <w:pPr>
        <w:spacing w:line="360" w:lineRule="auto"/>
        <w:ind w:firstLine="420" w:firstLineChars="200"/>
        <w:rPr>
          <w:rFonts w:hint="eastAsia" w:ascii="宋体" w:hAnsi="宋体" w:eastAsia="宋体" w:cs="宋体"/>
        </w:rPr>
      </w:pPr>
      <w:r>
        <w:rPr>
          <w:rFonts w:hint="eastAsia" w:ascii="宋体" w:hAnsi="宋体" w:eastAsia="宋体" w:cs="宋体"/>
        </w:rPr>
        <w:t>7.3.1  承包人车辆外出行驶所需的场外公共道路的通行费、养路费和税款等由承包人承担。</w:t>
      </w:r>
    </w:p>
    <w:p w14:paraId="53DC767E">
      <w:pPr>
        <w:spacing w:line="360" w:lineRule="auto"/>
        <w:ind w:firstLine="420" w:firstLineChars="200"/>
        <w:rPr>
          <w:rFonts w:hint="eastAsia" w:ascii="宋体" w:hAnsi="宋体" w:eastAsia="宋体" w:cs="宋体"/>
        </w:rPr>
      </w:pPr>
      <w:r>
        <w:rPr>
          <w:rFonts w:hint="eastAsia" w:ascii="宋体" w:hAnsi="宋体" w:eastAsia="宋体" w:cs="宋体"/>
        </w:rPr>
        <w:t>7.3.2  承包人应遵守有关交通法规，严格按照道路和桥梁的限制荷重安全行驶，并服从交通管理部门的检查和监督。</w:t>
      </w:r>
    </w:p>
    <w:p w14:paraId="4BBAA7A0">
      <w:pPr>
        <w:keepNext/>
        <w:keepLines/>
        <w:spacing w:before="156" w:beforeLines="50" w:after="156" w:afterLines="50" w:line="360" w:lineRule="auto"/>
        <w:outlineLvl w:val="2"/>
        <w:rPr>
          <w:rFonts w:hint="eastAsia" w:ascii="宋体" w:hAnsi="宋体" w:eastAsia="宋体" w:cs="宋体"/>
          <w:sz w:val="24"/>
          <w:szCs w:val="20"/>
        </w:rPr>
      </w:pPr>
      <w:bookmarkStart w:id="957" w:name="_Toc486580102"/>
      <w:bookmarkStart w:id="958" w:name="_Toc10235372"/>
      <w:bookmarkStart w:id="959" w:name="_Toc489279913"/>
      <w:bookmarkStart w:id="960" w:name="_Toc497213778"/>
      <w:bookmarkStart w:id="961" w:name="_Toc490222547"/>
      <w:bookmarkStart w:id="962" w:name="_Toc61020292"/>
      <w:r>
        <w:rPr>
          <w:rFonts w:hint="eastAsia" w:ascii="宋体" w:hAnsi="宋体" w:eastAsia="宋体" w:cs="宋体"/>
          <w:sz w:val="24"/>
          <w:szCs w:val="20"/>
        </w:rPr>
        <w:t>7.4  超大件和超重件的运输</w:t>
      </w:r>
      <w:bookmarkEnd w:id="957"/>
      <w:bookmarkEnd w:id="958"/>
      <w:bookmarkEnd w:id="959"/>
      <w:bookmarkEnd w:id="960"/>
      <w:bookmarkEnd w:id="961"/>
      <w:bookmarkEnd w:id="962"/>
    </w:p>
    <w:p w14:paraId="52BD7586">
      <w:pPr>
        <w:spacing w:line="360" w:lineRule="auto"/>
        <w:ind w:firstLine="420" w:firstLineChars="200"/>
        <w:rPr>
          <w:rFonts w:hint="eastAsia" w:ascii="宋体" w:hAnsi="宋体" w:eastAsia="宋体" w:cs="宋体"/>
        </w:rPr>
      </w:pPr>
      <w:r>
        <w:rPr>
          <w:rFonts w:hint="eastAsia" w:ascii="宋体" w:hAnsi="宋体" w:eastAsia="宋体" w:cs="宋体"/>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49526BB2">
      <w:pPr>
        <w:keepNext/>
        <w:keepLines/>
        <w:spacing w:before="156" w:beforeLines="50" w:after="156" w:afterLines="50" w:line="360" w:lineRule="auto"/>
        <w:outlineLvl w:val="2"/>
        <w:rPr>
          <w:rFonts w:hint="eastAsia" w:ascii="宋体" w:hAnsi="宋体" w:eastAsia="宋体" w:cs="宋体"/>
          <w:sz w:val="24"/>
          <w:szCs w:val="20"/>
        </w:rPr>
      </w:pPr>
      <w:bookmarkStart w:id="963" w:name="_Toc489279914"/>
      <w:bookmarkStart w:id="964" w:name="_Toc10235373"/>
      <w:bookmarkStart w:id="965" w:name="_Toc61020293"/>
      <w:bookmarkStart w:id="966" w:name="_Toc486580103"/>
      <w:bookmarkStart w:id="967" w:name="_Toc497213779"/>
      <w:bookmarkStart w:id="968" w:name="_Toc490222548"/>
      <w:r>
        <w:rPr>
          <w:rFonts w:hint="eastAsia" w:ascii="宋体" w:hAnsi="宋体" w:eastAsia="宋体" w:cs="宋体"/>
          <w:sz w:val="24"/>
          <w:szCs w:val="20"/>
        </w:rPr>
        <w:t>7.5  道路和桥梁的损坏责任</w:t>
      </w:r>
      <w:bookmarkEnd w:id="963"/>
      <w:bookmarkEnd w:id="964"/>
      <w:bookmarkEnd w:id="965"/>
      <w:bookmarkEnd w:id="966"/>
      <w:bookmarkEnd w:id="967"/>
      <w:bookmarkEnd w:id="968"/>
    </w:p>
    <w:p w14:paraId="79FA7995">
      <w:pPr>
        <w:spacing w:line="360" w:lineRule="auto"/>
        <w:ind w:firstLine="420" w:firstLineChars="200"/>
        <w:rPr>
          <w:rFonts w:hint="eastAsia" w:ascii="宋体" w:hAnsi="宋体" w:eastAsia="宋体" w:cs="宋体"/>
        </w:rPr>
      </w:pPr>
      <w:r>
        <w:rPr>
          <w:rFonts w:hint="eastAsia" w:ascii="宋体" w:hAnsi="宋体" w:eastAsia="宋体" w:cs="宋体"/>
        </w:rPr>
        <w:t>因承包人运输造成施工场地内外公共道路和桥梁损坏的，由承包人承担修复损坏的全部费用和可能引起的赔偿。</w:t>
      </w:r>
    </w:p>
    <w:p w14:paraId="191734E1">
      <w:pPr>
        <w:keepNext/>
        <w:keepLines/>
        <w:spacing w:before="156" w:beforeLines="50" w:after="156" w:afterLines="50" w:line="360" w:lineRule="auto"/>
        <w:outlineLvl w:val="2"/>
        <w:rPr>
          <w:rFonts w:hint="eastAsia" w:ascii="宋体" w:hAnsi="宋体" w:eastAsia="宋体" w:cs="宋体"/>
          <w:sz w:val="24"/>
          <w:szCs w:val="20"/>
        </w:rPr>
      </w:pPr>
      <w:bookmarkStart w:id="969" w:name="_Toc497213780"/>
      <w:bookmarkStart w:id="970" w:name="_Toc10235374"/>
      <w:bookmarkStart w:id="971" w:name="_Toc486580104"/>
      <w:bookmarkStart w:id="972" w:name="_Toc490222549"/>
      <w:bookmarkStart w:id="973" w:name="_Toc61020294"/>
      <w:bookmarkStart w:id="974" w:name="_Toc489279915"/>
      <w:r>
        <w:rPr>
          <w:rFonts w:hint="eastAsia" w:ascii="宋体" w:hAnsi="宋体" w:eastAsia="宋体" w:cs="宋体"/>
          <w:sz w:val="24"/>
          <w:szCs w:val="20"/>
        </w:rPr>
        <w:t>7.6  水路和航空运输</w:t>
      </w:r>
      <w:bookmarkEnd w:id="969"/>
      <w:bookmarkEnd w:id="970"/>
      <w:bookmarkEnd w:id="971"/>
      <w:bookmarkEnd w:id="972"/>
      <w:bookmarkEnd w:id="973"/>
      <w:bookmarkEnd w:id="974"/>
    </w:p>
    <w:p w14:paraId="2A545702">
      <w:pPr>
        <w:spacing w:line="360" w:lineRule="auto"/>
        <w:ind w:firstLine="420" w:firstLineChars="200"/>
        <w:rPr>
          <w:rFonts w:hint="eastAsia" w:ascii="宋体" w:hAnsi="宋体" w:eastAsia="宋体" w:cs="宋体"/>
        </w:rPr>
      </w:pPr>
      <w:r>
        <w:rPr>
          <w:rFonts w:hint="eastAsia" w:ascii="宋体" w:hAnsi="宋体" w:eastAsia="宋体" w:cs="宋体"/>
        </w:rPr>
        <w:t>本条上述各款的内容适用于水路运输和航空运输，其中“道路”一词的涵义包括河道、航线、船闸、机场、码头、堤防以及水路或航空运输中其他相似结构物；“车辆”一词的涵义包括船舶和飞机等。</w:t>
      </w:r>
    </w:p>
    <w:p w14:paraId="009AB535">
      <w:pPr>
        <w:keepNext/>
        <w:keepLines/>
        <w:spacing w:before="156" w:beforeLines="50" w:after="156" w:afterLines="50" w:line="360" w:lineRule="auto"/>
        <w:outlineLvl w:val="1"/>
        <w:rPr>
          <w:rFonts w:hint="eastAsia" w:ascii="宋体" w:hAnsi="宋体" w:eastAsia="宋体" w:cs="宋体"/>
          <w:sz w:val="28"/>
          <w:szCs w:val="20"/>
        </w:rPr>
      </w:pPr>
      <w:bookmarkStart w:id="975" w:name="_Toc10235375"/>
      <w:bookmarkStart w:id="976" w:name="_Toc489279916"/>
      <w:bookmarkStart w:id="977" w:name="_Toc61020295"/>
      <w:bookmarkStart w:id="978" w:name="_Toc497213781"/>
      <w:bookmarkStart w:id="979" w:name="_Toc486580105"/>
      <w:bookmarkStart w:id="980" w:name="_Toc490222550"/>
      <w:r>
        <w:rPr>
          <w:rFonts w:hint="eastAsia" w:ascii="宋体" w:hAnsi="宋体" w:eastAsia="宋体" w:cs="宋体"/>
          <w:sz w:val="28"/>
          <w:szCs w:val="20"/>
        </w:rPr>
        <w:t>8.测量放线</w:t>
      </w:r>
      <w:bookmarkEnd w:id="975"/>
      <w:bookmarkEnd w:id="976"/>
      <w:bookmarkEnd w:id="977"/>
      <w:bookmarkEnd w:id="978"/>
      <w:bookmarkEnd w:id="979"/>
      <w:bookmarkEnd w:id="980"/>
    </w:p>
    <w:p w14:paraId="4A265EB0">
      <w:pPr>
        <w:keepNext/>
        <w:keepLines/>
        <w:spacing w:before="156" w:beforeLines="50" w:after="156" w:afterLines="50" w:line="360" w:lineRule="auto"/>
        <w:outlineLvl w:val="2"/>
        <w:rPr>
          <w:rFonts w:hint="eastAsia" w:ascii="宋体" w:hAnsi="宋体" w:eastAsia="宋体" w:cs="宋体"/>
          <w:sz w:val="24"/>
          <w:szCs w:val="20"/>
        </w:rPr>
      </w:pPr>
      <w:bookmarkStart w:id="981" w:name="_Toc10235376"/>
      <w:bookmarkStart w:id="982" w:name="_Toc486580106"/>
      <w:bookmarkStart w:id="983" w:name="_Toc489279917"/>
      <w:bookmarkStart w:id="984" w:name="_Toc61020296"/>
      <w:bookmarkStart w:id="985" w:name="_Toc490222551"/>
      <w:bookmarkStart w:id="986" w:name="_Toc497213782"/>
      <w:r>
        <w:rPr>
          <w:rFonts w:hint="eastAsia" w:ascii="宋体" w:hAnsi="宋体" w:eastAsia="宋体" w:cs="宋体"/>
          <w:sz w:val="24"/>
          <w:szCs w:val="20"/>
        </w:rPr>
        <w:t>8.1  施工控制网</w:t>
      </w:r>
      <w:bookmarkEnd w:id="981"/>
      <w:bookmarkEnd w:id="982"/>
      <w:bookmarkEnd w:id="983"/>
      <w:bookmarkEnd w:id="984"/>
      <w:bookmarkEnd w:id="985"/>
      <w:bookmarkEnd w:id="986"/>
    </w:p>
    <w:p w14:paraId="3D0B54C4">
      <w:pPr>
        <w:spacing w:line="360" w:lineRule="auto"/>
        <w:ind w:firstLine="420" w:firstLineChars="200"/>
        <w:rPr>
          <w:rFonts w:hint="eastAsia" w:ascii="宋体" w:hAnsi="宋体" w:eastAsia="宋体" w:cs="宋体"/>
        </w:rPr>
      </w:pPr>
      <w:r>
        <w:rPr>
          <w:rFonts w:hint="eastAsia" w:ascii="宋体" w:hAnsi="宋体" w:eastAsia="宋体" w:cs="宋体"/>
        </w:rPr>
        <w:t>8.1.1  发包人应在合同约定的期限内，通过监理人向承包人提供测量基准点、基准线和水准点及其书面资料。向承包人提供测量基准点、基准线和水准点及其书面资料的期限见合同条款专用部分。</w:t>
      </w:r>
    </w:p>
    <w:p w14:paraId="76BFA570">
      <w:pPr>
        <w:spacing w:line="360" w:lineRule="auto"/>
        <w:ind w:firstLine="420" w:firstLineChars="200"/>
        <w:rPr>
          <w:rFonts w:hint="eastAsia" w:ascii="宋体" w:hAnsi="宋体" w:eastAsia="宋体" w:cs="宋体"/>
        </w:rPr>
      </w:pPr>
      <w:r>
        <w:rPr>
          <w:rFonts w:hint="eastAsia" w:ascii="宋体" w:hAnsi="宋体" w:eastAsia="宋体" w:cs="宋体"/>
        </w:rPr>
        <w:t>8.1.2  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14:paraId="313AA968">
      <w:pPr>
        <w:spacing w:line="360" w:lineRule="auto"/>
        <w:ind w:firstLine="420" w:firstLineChars="200"/>
        <w:rPr>
          <w:rFonts w:hint="eastAsia" w:ascii="宋体" w:hAnsi="宋体" w:eastAsia="宋体" w:cs="宋体"/>
        </w:rPr>
      </w:pPr>
      <w:r>
        <w:rPr>
          <w:rFonts w:hint="eastAsia" w:ascii="宋体" w:hAnsi="宋体" w:eastAsia="宋体" w:cs="宋体"/>
        </w:rPr>
        <w:t>8.1.3  承包人应负责管理施工控制网点。施工控制网点丢失或损坏的，承包人应及时修复，并承担施工控制网点的管理与修复费用。工程竣工后将施工控制网点移交发包人。</w:t>
      </w:r>
    </w:p>
    <w:p w14:paraId="3281CE07">
      <w:pPr>
        <w:keepNext/>
        <w:keepLines/>
        <w:spacing w:before="156" w:beforeLines="50" w:after="156" w:afterLines="50" w:line="360" w:lineRule="auto"/>
        <w:outlineLvl w:val="2"/>
        <w:rPr>
          <w:rFonts w:hint="eastAsia" w:ascii="宋体" w:hAnsi="宋体" w:eastAsia="宋体" w:cs="宋体"/>
          <w:sz w:val="24"/>
          <w:szCs w:val="20"/>
        </w:rPr>
      </w:pPr>
      <w:bookmarkStart w:id="987" w:name="_Toc497213783"/>
      <w:bookmarkStart w:id="988" w:name="_Toc61020297"/>
      <w:bookmarkStart w:id="989" w:name="_Toc10235377"/>
      <w:bookmarkStart w:id="990" w:name="_Toc489279918"/>
      <w:bookmarkStart w:id="991" w:name="_Toc486580107"/>
      <w:bookmarkStart w:id="992" w:name="_Toc490222552"/>
      <w:r>
        <w:rPr>
          <w:rFonts w:hint="eastAsia" w:ascii="宋体" w:hAnsi="宋体" w:eastAsia="宋体" w:cs="宋体"/>
          <w:sz w:val="24"/>
          <w:szCs w:val="20"/>
        </w:rPr>
        <w:t>8.2  施工测量</w:t>
      </w:r>
      <w:bookmarkEnd w:id="987"/>
      <w:bookmarkEnd w:id="988"/>
      <w:bookmarkEnd w:id="989"/>
      <w:bookmarkEnd w:id="990"/>
      <w:bookmarkEnd w:id="991"/>
      <w:bookmarkEnd w:id="992"/>
    </w:p>
    <w:p w14:paraId="38C9B4D1">
      <w:pPr>
        <w:spacing w:line="360" w:lineRule="auto"/>
        <w:ind w:firstLine="420" w:firstLineChars="200"/>
        <w:rPr>
          <w:rFonts w:hint="eastAsia" w:ascii="宋体" w:hAnsi="宋体" w:eastAsia="宋体" w:cs="宋体"/>
        </w:rPr>
      </w:pPr>
      <w:r>
        <w:rPr>
          <w:rFonts w:hint="eastAsia" w:ascii="宋体" w:hAnsi="宋体" w:eastAsia="宋体" w:cs="宋体"/>
        </w:rPr>
        <w:t>8.2.1  承包人应负责施工过程中的全部施工测量放线工作，并配置合格的人员、仪器、设备和其他物品。</w:t>
      </w:r>
    </w:p>
    <w:p w14:paraId="2D2A7A56">
      <w:pPr>
        <w:spacing w:line="360" w:lineRule="auto"/>
        <w:ind w:firstLine="420" w:firstLineChars="200"/>
        <w:rPr>
          <w:rFonts w:hint="eastAsia" w:ascii="宋体" w:hAnsi="宋体" w:eastAsia="宋体" w:cs="宋体"/>
        </w:rPr>
      </w:pPr>
      <w:r>
        <w:rPr>
          <w:rFonts w:hint="eastAsia" w:ascii="宋体" w:hAnsi="宋体" w:eastAsia="宋体" w:cs="宋体"/>
        </w:rPr>
        <w:t>8.2.2  监理人可以指示承包人进行抽样复测，当复测中发现错误或出现超过合同约定的误差时，承包人应按监理人指示进行修正或补测，并承担相应的复测费用。</w:t>
      </w:r>
    </w:p>
    <w:p w14:paraId="51A408DD">
      <w:pPr>
        <w:keepNext/>
        <w:keepLines/>
        <w:spacing w:before="156" w:beforeLines="50" w:after="156" w:afterLines="50" w:line="360" w:lineRule="auto"/>
        <w:outlineLvl w:val="2"/>
        <w:rPr>
          <w:rFonts w:hint="eastAsia" w:ascii="宋体" w:hAnsi="宋体" w:eastAsia="宋体" w:cs="宋体"/>
          <w:sz w:val="24"/>
          <w:szCs w:val="20"/>
        </w:rPr>
      </w:pPr>
      <w:bookmarkStart w:id="993" w:name="_Toc490222553"/>
      <w:bookmarkStart w:id="994" w:name="_Toc61020298"/>
      <w:bookmarkStart w:id="995" w:name="_Toc10235378"/>
      <w:bookmarkStart w:id="996" w:name="_Toc489279919"/>
      <w:bookmarkStart w:id="997" w:name="_Toc497213784"/>
      <w:bookmarkStart w:id="998" w:name="_Toc486580108"/>
      <w:r>
        <w:rPr>
          <w:rFonts w:hint="eastAsia" w:ascii="宋体" w:hAnsi="宋体" w:eastAsia="宋体" w:cs="宋体"/>
          <w:sz w:val="24"/>
          <w:szCs w:val="20"/>
        </w:rPr>
        <w:t>8.3  基准资料错误的责任</w:t>
      </w:r>
      <w:bookmarkEnd w:id="993"/>
      <w:bookmarkEnd w:id="994"/>
      <w:bookmarkEnd w:id="995"/>
      <w:bookmarkEnd w:id="996"/>
      <w:bookmarkEnd w:id="997"/>
      <w:bookmarkEnd w:id="998"/>
    </w:p>
    <w:p w14:paraId="1CF4D50A">
      <w:pPr>
        <w:spacing w:line="360" w:lineRule="auto"/>
        <w:ind w:firstLine="420" w:firstLineChars="200"/>
        <w:rPr>
          <w:rFonts w:hint="eastAsia" w:ascii="宋体" w:hAnsi="宋体" w:eastAsia="宋体" w:cs="宋体"/>
        </w:rPr>
      </w:pPr>
      <w:r>
        <w:rPr>
          <w:rFonts w:hint="eastAsia" w:ascii="宋体" w:hAnsi="宋体" w:eastAsia="宋体" w:cs="宋体"/>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779D906F">
      <w:pPr>
        <w:keepNext/>
        <w:keepLines/>
        <w:spacing w:before="156" w:beforeLines="50" w:after="156" w:afterLines="50" w:line="360" w:lineRule="auto"/>
        <w:outlineLvl w:val="2"/>
        <w:rPr>
          <w:rFonts w:hint="eastAsia" w:ascii="宋体" w:hAnsi="宋体" w:eastAsia="宋体" w:cs="宋体"/>
          <w:sz w:val="24"/>
          <w:szCs w:val="20"/>
        </w:rPr>
      </w:pPr>
      <w:bookmarkStart w:id="999" w:name="_Toc486580109"/>
      <w:bookmarkStart w:id="1000" w:name="_Toc490222554"/>
      <w:bookmarkStart w:id="1001" w:name="_Toc10235379"/>
      <w:bookmarkStart w:id="1002" w:name="_Toc61020299"/>
      <w:bookmarkStart w:id="1003" w:name="_Toc489279920"/>
      <w:bookmarkStart w:id="1004" w:name="_Toc497213785"/>
      <w:r>
        <w:rPr>
          <w:rFonts w:hint="eastAsia" w:ascii="宋体" w:hAnsi="宋体" w:eastAsia="宋体" w:cs="宋体"/>
          <w:sz w:val="24"/>
          <w:szCs w:val="20"/>
        </w:rPr>
        <w:t>8.4  监理人使用施工控制网</w:t>
      </w:r>
      <w:bookmarkEnd w:id="999"/>
      <w:bookmarkEnd w:id="1000"/>
      <w:bookmarkEnd w:id="1001"/>
      <w:bookmarkEnd w:id="1002"/>
      <w:bookmarkEnd w:id="1003"/>
      <w:bookmarkEnd w:id="1004"/>
    </w:p>
    <w:p w14:paraId="72BAEE2E">
      <w:pPr>
        <w:spacing w:line="360" w:lineRule="auto"/>
        <w:ind w:firstLine="420" w:firstLineChars="200"/>
        <w:rPr>
          <w:rFonts w:hint="eastAsia" w:ascii="宋体" w:hAnsi="宋体" w:eastAsia="宋体" w:cs="宋体"/>
          <w:dstrike/>
          <w:szCs w:val="21"/>
        </w:rPr>
      </w:pPr>
      <w:r>
        <w:rPr>
          <w:rFonts w:hint="eastAsia" w:ascii="宋体" w:hAnsi="宋体" w:eastAsia="宋体" w:cs="宋体"/>
        </w:rPr>
        <w:t>监理人需要使用施工控制网的，承包人应提供必要的协助，发包人不再为此支付费用。</w:t>
      </w:r>
    </w:p>
    <w:p w14:paraId="08503E4B">
      <w:pPr>
        <w:keepNext/>
        <w:keepLines/>
        <w:spacing w:before="156" w:beforeLines="50" w:after="156" w:afterLines="50" w:line="360" w:lineRule="auto"/>
        <w:outlineLvl w:val="1"/>
        <w:rPr>
          <w:rFonts w:hint="eastAsia" w:ascii="宋体" w:hAnsi="宋体" w:eastAsia="宋体" w:cs="宋体"/>
          <w:sz w:val="28"/>
          <w:szCs w:val="20"/>
        </w:rPr>
      </w:pPr>
      <w:bookmarkStart w:id="1005" w:name="_Toc490222555"/>
      <w:bookmarkStart w:id="1006" w:name="_Toc489279921"/>
      <w:bookmarkStart w:id="1007" w:name="_Toc61020300"/>
      <w:bookmarkStart w:id="1008" w:name="_Toc497213786"/>
      <w:bookmarkStart w:id="1009" w:name="_Toc486580110"/>
      <w:bookmarkStart w:id="1010" w:name="_Toc10235380"/>
      <w:r>
        <w:rPr>
          <w:rFonts w:hint="eastAsia" w:ascii="宋体" w:hAnsi="宋体" w:eastAsia="宋体" w:cs="宋体"/>
          <w:sz w:val="28"/>
          <w:szCs w:val="20"/>
        </w:rPr>
        <w:t>9.施工安全、治安保卫和环境保护</w:t>
      </w:r>
      <w:bookmarkEnd w:id="1005"/>
      <w:bookmarkEnd w:id="1006"/>
      <w:bookmarkEnd w:id="1007"/>
      <w:bookmarkEnd w:id="1008"/>
      <w:bookmarkEnd w:id="1009"/>
      <w:bookmarkEnd w:id="1010"/>
    </w:p>
    <w:p w14:paraId="09728629">
      <w:pPr>
        <w:keepNext/>
        <w:keepLines/>
        <w:spacing w:before="156" w:beforeLines="50" w:after="156" w:afterLines="50" w:line="360" w:lineRule="auto"/>
        <w:outlineLvl w:val="2"/>
        <w:rPr>
          <w:rFonts w:hint="eastAsia" w:ascii="宋体" w:hAnsi="宋体" w:eastAsia="宋体" w:cs="宋体"/>
          <w:sz w:val="24"/>
          <w:szCs w:val="20"/>
        </w:rPr>
      </w:pPr>
      <w:bookmarkStart w:id="1011" w:name="_Toc486580111"/>
      <w:bookmarkStart w:id="1012" w:name="_Toc61020301"/>
      <w:bookmarkStart w:id="1013" w:name="_Toc497213787"/>
      <w:bookmarkStart w:id="1014" w:name="_Toc10235381"/>
      <w:bookmarkStart w:id="1015" w:name="_Toc489279922"/>
      <w:bookmarkStart w:id="1016" w:name="_Toc490222556"/>
      <w:r>
        <w:rPr>
          <w:rFonts w:hint="eastAsia" w:ascii="宋体" w:hAnsi="宋体" w:eastAsia="宋体" w:cs="宋体"/>
          <w:sz w:val="24"/>
          <w:szCs w:val="20"/>
        </w:rPr>
        <w:t>9.1  发包人的施工安全责任</w:t>
      </w:r>
      <w:bookmarkEnd w:id="1011"/>
      <w:bookmarkEnd w:id="1012"/>
      <w:bookmarkEnd w:id="1013"/>
      <w:bookmarkEnd w:id="1014"/>
      <w:bookmarkEnd w:id="1015"/>
      <w:bookmarkEnd w:id="1016"/>
    </w:p>
    <w:p w14:paraId="09918E3E">
      <w:pPr>
        <w:spacing w:line="360" w:lineRule="auto"/>
        <w:ind w:firstLine="420" w:firstLineChars="200"/>
        <w:rPr>
          <w:rFonts w:hint="eastAsia" w:ascii="宋体" w:hAnsi="宋体" w:eastAsia="宋体" w:cs="宋体"/>
        </w:rPr>
      </w:pPr>
      <w:r>
        <w:rPr>
          <w:rFonts w:hint="eastAsia" w:ascii="宋体" w:hAnsi="宋体" w:eastAsia="宋体" w:cs="宋体"/>
        </w:rPr>
        <w:t>9.1.1  发包人应按合同约定履行安全职责，授权监理人按合同约定的安全工作内容监督、检查承包人安全工作的实施，组织承包人和有关单位进行安全检查。</w:t>
      </w:r>
    </w:p>
    <w:p w14:paraId="300A8E9B">
      <w:pPr>
        <w:spacing w:line="360" w:lineRule="auto"/>
        <w:ind w:firstLine="420" w:firstLineChars="200"/>
        <w:rPr>
          <w:rFonts w:hint="eastAsia" w:ascii="宋体" w:hAnsi="宋体" w:eastAsia="宋体" w:cs="宋体"/>
        </w:rPr>
      </w:pPr>
      <w:r>
        <w:rPr>
          <w:rFonts w:hint="eastAsia" w:ascii="宋体" w:hAnsi="宋体" w:eastAsia="宋体" w:cs="宋体"/>
        </w:rPr>
        <w:t>9.1.2  发包人应对其现场机构雇佣的全部人员的工伤事故承担责任，但由于承包人原因造成发包人人员工伤的，应由承包人承担责任。</w:t>
      </w:r>
    </w:p>
    <w:p w14:paraId="200D9EFC">
      <w:pPr>
        <w:spacing w:line="360" w:lineRule="auto"/>
        <w:ind w:firstLine="420" w:firstLineChars="200"/>
        <w:rPr>
          <w:rFonts w:hint="eastAsia" w:ascii="宋体" w:hAnsi="宋体" w:eastAsia="宋体" w:cs="宋体"/>
        </w:rPr>
      </w:pPr>
      <w:r>
        <w:rPr>
          <w:rFonts w:hint="eastAsia" w:ascii="宋体" w:hAnsi="宋体" w:eastAsia="宋体" w:cs="宋体"/>
        </w:rPr>
        <w:t>9.1.3  发包人应负责赔偿以下各种情况造成的第三者人身伤亡和财产损失：</w:t>
      </w:r>
    </w:p>
    <w:p w14:paraId="4598F8BF">
      <w:pPr>
        <w:spacing w:line="360" w:lineRule="auto"/>
        <w:ind w:firstLine="315" w:firstLineChars="150"/>
        <w:rPr>
          <w:rFonts w:hint="eastAsia" w:ascii="宋体" w:hAnsi="宋体" w:eastAsia="宋体" w:cs="宋体"/>
        </w:rPr>
      </w:pPr>
      <w:r>
        <w:rPr>
          <w:rFonts w:hint="eastAsia" w:ascii="宋体" w:hAnsi="宋体" w:eastAsia="宋体" w:cs="宋体"/>
        </w:rPr>
        <w:t>（1）工程或工程的任何部分对土地的占用所造成的第三者财产损失；</w:t>
      </w:r>
    </w:p>
    <w:p w14:paraId="188B9101">
      <w:pPr>
        <w:spacing w:line="360" w:lineRule="auto"/>
        <w:ind w:firstLine="315" w:firstLineChars="150"/>
        <w:rPr>
          <w:rFonts w:hint="eastAsia" w:ascii="宋体" w:hAnsi="宋体" w:eastAsia="宋体" w:cs="宋体"/>
        </w:rPr>
      </w:pPr>
      <w:r>
        <w:rPr>
          <w:rFonts w:hint="eastAsia" w:ascii="宋体" w:hAnsi="宋体" w:eastAsia="宋体" w:cs="宋体"/>
        </w:rPr>
        <w:t>（2）由于发包人原因在施工场地及其毗邻地带造成的第三者人身伤亡和财产损失。</w:t>
      </w:r>
    </w:p>
    <w:p w14:paraId="3D469021">
      <w:pPr>
        <w:keepNext/>
        <w:keepLines/>
        <w:spacing w:before="156" w:beforeLines="50" w:after="156" w:afterLines="50" w:line="360" w:lineRule="auto"/>
        <w:outlineLvl w:val="2"/>
        <w:rPr>
          <w:rFonts w:hint="eastAsia" w:ascii="宋体" w:hAnsi="宋体" w:eastAsia="宋体" w:cs="宋体"/>
          <w:sz w:val="24"/>
          <w:szCs w:val="20"/>
        </w:rPr>
      </w:pPr>
      <w:bookmarkStart w:id="1017" w:name="_Toc10235382"/>
      <w:bookmarkStart w:id="1018" w:name="_Toc489279923"/>
      <w:bookmarkStart w:id="1019" w:name="_Toc486580112"/>
      <w:bookmarkStart w:id="1020" w:name="_Toc497213788"/>
      <w:bookmarkStart w:id="1021" w:name="_Toc61020302"/>
      <w:bookmarkStart w:id="1022" w:name="_Toc490222557"/>
      <w:r>
        <w:rPr>
          <w:rFonts w:hint="eastAsia" w:ascii="宋体" w:hAnsi="宋体" w:eastAsia="宋体" w:cs="宋体"/>
          <w:sz w:val="24"/>
          <w:szCs w:val="20"/>
        </w:rPr>
        <w:t>9.2  承包人的施工安全责任</w:t>
      </w:r>
      <w:bookmarkEnd w:id="1017"/>
      <w:bookmarkEnd w:id="1018"/>
      <w:bookmarkEnd w:id="1019"/>
      <w:bookmarkEnd w:id="1020"/>
      <w:bookmarkEnd w:id="1021"/>
      <w:bookmarkEnd w:id="1022"/>
    </w:p>
    <w:p w14:paraId="571427BD">
      <w:pPr>
        <w:spacing w:line="360" w:lineRule="auto"/>
        <w:ind w:firstLine="420" w:firstLineChars="200"/>
        <w:rPr>
          <w:rFonts w:hint="eastAsia" w:ascii="宋体" w:hAnsi="宋体" w:eastAsia="宋体" w:cs="宋体"/>
        </w:rPr>
      </w:pPr>
      <w:r>
        <w:rPr>
          <w:rFonts w:hint="eastAsia" w:ascii="宋体" w:hAnsi="宋体" w:eastAsia="宋体" w:cs="宋体"/>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3B457120">
      <w:pPr>
        <w:spacing w:line="360" w:lineRule="auto"/>
        <w:ind w:firstLine="420" w:firstLineChars="200"/>
        <w:rPr>
          <w:rFonts w:hint="eastAsia" w:ascii="宋体" w:hAnsi="宋体" w:eastAsia="宋体" w:cs="宋体"/>
        </w:rPr>
      </w:pPr>
      <w:r>
        <w:rPr>
          <w:rFonts w:hint="eastAsia" w:ascii="宋体" w:hAnsi="宋体" w:eastAsia="宋体" w:cs="宋体"/>
        </w:rPr>
        <w:t>9.2.2  承包人应加强施工作业安全管理，特别应加强易燃、易爆材料、火工器材、有毒与腐蚀性材料、行业挥发性有机物和其他危险品的管理，以及对爆破作业和地下工程施工等危险作业的管理。</w:t>
      </w:r>
    </w:p>
    <w:p w14:paraId="7211AEF1">
      <w:pPr>
        <w:spacing w:line="360" w:lineRule="auto"/>
        <w:ind w:firstLine="420" w:firstLineChars="200"/>
        <w:rPr>
          <w:rFonts w:hint="eastAsia" w:ascii="宋体" w:hAnsi="宋体" w:eastAsia="宋体" w:cs="宋体"/>
        </w:rPr>
      </w:pPr>
      <w:r>
        <w:rPr>
          <w:rFonts w:hint="eastAsia" w:ascii="宋体" w:hAnsi="宋体" w:eastAsia="宋体" w:cs="宋体"/>
        </w:rPr>
        <w:t>9.2.3  承包人应严格按照国家安全标准制定施工安全操作规程，配备必要的安全生产和劳动保护设施，加强对承包人人员的安全教育，并发放安全工作手册和劳动保护用具。</w:t>
      </w:r>
    </w:p>
    <w:p w14:paraId="2B7136FB">
      <w:pPr>
        <w:spacing w:line="360" w:lineRule="auto"/>
        <w:ind w:firstLine="420" w:firstLineChars="200"/>
        <w:rPr>
          <w:rFonts w:hint="eastAsia" w:ascii="宋体" w:hAnsi="宋体" w:eastAsia="宋体" w:cs="宋体"/>
        </w:rPr>
      </w:pPr>
      <w:r>
        <w:rPr>
          <w:rFonts w:hint="eastAsia" w:ascii="宋体" w:hAnsi="宋体" w:eastAsia="宋体" w:cs="宋体"/>
        </w:rPr>
        <w:t>9.2.4  承包人应按监理人的指示制定应对灾害的紧急预案，报送监理人审批。承包人还应按预案做好安全检查，配置必要的救助物资和器材，切实保护好有关人员的人身和财产安全。</w:t>
      </w:r>
    </w:p>
    <w:p w14:paraId="31571686">
      <w:pPr>
        <w:spacing w:line="360" w:lineRule="auto"/>
        <w:ind w:firstLine="420" w:firstLineChars="200"/>
        <w:rPr>
          <w:rFonts w:hint="eastAsia" w:ascii="宋体" w:hAnsi="宋体" w:eastAsia="宋体" w:cs="宋体"/>
        </w:rPr>
      </w:pPr>
      <w:r>
        <w:rPr>
          <w:rFonts w:hint="eastAsia" w:ascii="宋体" w:hAnsi="宋体" w:eastAsia="宋体" w:cs="宋体"/>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7507D643">
      <w:pPr>
        <w:spacing w:line="360" w:lineRule="auto"/>
        <w:ind w:firstLine="420" w:firstLineChars="200"/>
        <w:rPr>
          <w:rFonts w:hint="eastAsia" w:ascii="宋体" w:hAnsi="宋体" w:eastAsia="宋体" w:cs="宋体"/>
        </w:rPr>
      </w:pPr>
      <w:r>
        <w:rPr>
          <w:rFonts w:hint="eastAsia" w:ascii="宋体" w:hAnsi="宋体" w:eastAsia="宋体" w:cs="宋体"/>
        </w:rPr>
        <w:t>9.2.6  承包人应对其履行合同所雇佣的全部人员，包括分包人人员的工伤事故承担责任，但由于发包人原因造成承包人人员工伤事故的，应由发包人承担责任。</w:t>
      </w:r>
    </w:p>
    <w:p w14:paraId="48B3C266">
      <w:pPr>
        <w:spacing w:line="360" w:lineRule="auto"/>
        <w:ind w:firstLine="420" w:firstLineChars="200"/>
        <w:rPr>
          <w:rFonts w:hint="eastAsia" w:ascii="宋体" w:hAnsi="宋体" w:eastAsia="宋体" w:cs="宋体"/>
        </w:rPr>
      </w:pPr>
      <w:r>
        <w:rPr>
          <w:rFonts w:hint="eastAsia" w:ascii="宋体" w:hAnsi="宋体" w:eastAsia="宋体" w:cs="宋体"/>
        </w:rPr>
        <w:t>9.2.7  由于承包人原因在施工场地内及其毗邻地带造成的第三者人员伤亡和财产损失，由承包人负责赔偿。</w:t>
      </w:r>
    </w:p>
    <w:p w14:paraId="333598D9">
      <w:pPr>
        <w:keepNext/>
        <w:keepLines/>
        <w:spacing w:before="156" w:beforeLines="50" w:after="156" w:afterLines="50" w:line="360" w:lineRule="auto"/>
        <w:outlineLvl w:val="2"/>
        <w:rPr>
          <w:rFonts w:hint="eastAsia" w:ascii="宋体" w:hAnsi="宋体" w:eastAsia="宋体" w:cs="宋体"/>
          <w:sz w:val="24"/>
          <w:szCs w:val="20"/>
        </w:rPr>
      </w:pPr>
      <w:bookmarkStart w:id="1023" w:name="_Toc10235383"/>
      <w:bookmarkStart w:id="1024" w:name="_Toc497213789"/>
      <w:bookmarkStart w:id="1025" w:name="_Toc489279924"/>
      <w:bookmarkStart w:id="1026" w:name="_Toc486580113"/>
      <w:bookmarkStart w:id="1027" w:name="_Toc61020303"/>
      <w:bookmarkStart w:id="1028" w:name="_Toc490222558"/>
      <w:r>
        <w:rPr>
          <w:rFonts w:hint="eastAsia" w:ascii="宋体" w:hAnsi="宋体" w:eastAsia="宋体" w:cs="宋体"/>
          <w:sz w:val="24"/>
          <w:szCs w:val="20"/>
        </w:rPr>
        <w:t>9.3  治安保卫</w:t>
      </w:r>
      <w:bookmarkEnd w:id="1023"/>
      <w:bookmarkEnd w:id="1024"/>
      <w:bookmarkEnd w:id="1025"/>
      <w:bookmarkEnd w:id="1026"/>
      <w:bookmarkEnd w:id="1027"/>
      <w:bookmarkEnd w:id="1028"/>
    </w:p>
    <w:p w14:paraId="2A3595D9">
      <w:pPr>
        <w:spacing w:line="360" w:lineRule="auto"/>
        <w:ind w:firstLine="420" w:firstLineChars="200"/>
        <w:rPr>
          <w:rFonts w:hint="eastAsia" w:ascii="宋体" w:hAnsi="宋体" w:eastAsia="宋体" w:cs="宋体"/>
        </w:rPr>
      </w:pPr>
      <w:r>
        <w:rPr>
          <w:rFonts w:hint="eastAsia" w:ascii="宋体" w:hAnsi="宋体" w:eastAsia="宋体" w:cs="宋体"/>
        </w:rPr>
        <w:t>9.3.1  发包人应与当地公安部门协商，在现场建立治安管理机构或联防组织，负责统一管理施工场地的治安保卫事项，履行合同工程的治安保卫职责。</w:t>
      </w:r>
    </w:p>
    <w:p w14:paraId="64C27794">
      <w:pPr>
        <w:spacing w:line="360" w:lineRule="auto"/>
        <w:ind w:firstLine="420" w:firstLineChars="200"/>
        <w:rPr>
          <w:rFonts w:hint="eastAsia" w:ascii="宋体" w:hAnsi="宋体" w:eastAsia="宋体" w:cs="宋体"/>
        </w:rPr>
      </w:pPr>
      <w:r>
        <w:rPr>
          <w:rFonts w:hint="eastAsia" w:ascii="宋体" w:hAnsi="宋体" w:eastAsia="宋体" w:cs="宋体"/>
        </w:rPr>
        <w:t>9.3.2  发包人和承包人除应协助现场治安管理机构或联防组织维护施工场地的社会治安外，还应做好包括生活区在内的各自管辖区的治安保卫工作。</w:t>
      </w:r>
    </w:p>
    <w:p w14:paraId="13724920">
      <w:pPr>
        <w:spacing w:line="360" w:lineRule="auto"/>
        <w:ind w:firstLine="420" w:firstLineChars="200"/>
        <w:rPr>
          <w:rFonts w:hint="eastAsia" w:ascii="宋体" w:hAnsi="宋体" w:eastAsia="宋体" w:cs="宋体"/>
        </w:rPr>
      </w:pPr>
      <w:r>
        <w:rPr>
          <w:rFonts w:hint="eastAsia" w:ascii="宋体" w:hAnsi="宋体" w:eastAsia="宋体" w:cs="宋体"/>
        </w:rPr>
        <w:t>9.3.3  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w:t>
      </w:r>
      <w:r>
        <w:rPr>
          <w:rFonts w:hint="eastAsia" w:ascii="宋体" w:hAnsi="宋体" w:eastAsia="宋体" w:cs="宋体"/>
          <w:szCs w:val="21"/>
        </w:rPr>
        <w:t>施工场地治安管理计划和突发治安事件紧急预案的责任人</w:t>
      </w:r>
      <w:r>
        <w:rPr>
          <w:rFonts w:hint="eastAsia" w:ascii="宋体" w:hAnsi="宋体" w:eastAsia="宋体" w:cs="宋体"/>
        </w:rPr>
        <w:t>见合同条款专用部分。</w:t>
      </w:r>
    </w:p>
    <w:p w14:paraId="226C1ABB">
      <w:pPr>
        <w:keepNext/>
        <w:keepLines/>
        <w:spacing w:before="156" w:beforeLines="50" w:after="156" w:afterLines="50" w:line="360" w:lineRule="auto"/>
        <w:outlineLvl w:val="2"/>
        <w:rPr>
          <w:rFonts w:hint="eastAsia" w:ascii="宋体" w:hAnsi="宋体" w:eastAsia="宋体" w:cs="宋体"/>
          <w:sz w:val="24"/>
          <w:szCs w:val="20"/>
        </w:rPr>
      </w:pPr>
      <w:bookmarkStart w:id="1029" w:name="_Toc497213790"/>
      <w:bookmarkStart w:id="1030" w:name="_Toc489279925"/>
      <w:bookmarkStart w:id="1031" w:name="_Toc490222559"/>
      <w:bookmarkStart w:id="1032" w:name="_Toc10235384"/>
      <w:bookmarkStart w:id="1033" w:name="_Toc61020304"/>
      <w:bookmarkStart w:id="1034" w:name="_Toc486580114"/>
      <w:r>
        <w:rPr>
          <w:rFonts w:hint="eastAsia" w:ascii="宋体" w:hAnsi="宋体" w:eastAsia="宋体" w:cs="宋体"/>
          <w:sz w:val="24"/>
          <w:szCs w:val="20"/>
        </w:rPr>
        <w:t>9.4  环境保护</w:t>
      </w:r>
      <w:bookmarkEnd w:id="1029"/>
      <w:bookmarkEnd w:id="1030"/>
      <w:bookmarkEnd w:id="1031"/>
      <w:bookmarkEnd w:id="1032"/>
      <w:bookmarkEnd w:id="1033"/>
      <w:bookmarkEnd w:id="1034"/>
    </w:p>
    <w:p w14:paraId="284A4410">
      <w:pPr>
        <w:spacing w:line="360" w:lineRule="auto"/>
        <w:ind w:firstLine="420" w:firstLineChars="200"/>
        <w:rPr>
          <w:rFonts w:hint="eastAsia" w:ascii="宋体" w:hAnsi="宋体" w:eastAsia="宋体" w:cs="宋体"/>
        </w:rPr>
      </w:pPr>
      <w:r>
        <w:rPr>
          <w:rFonts w:hint="eastAsia" w:ascii="宋体" w:hAnsi="宋体" w:eastAsia="宋体" w:cs="宋体"/>
        </w:rPr>
        <w:t>9.4.1  承包人在施工过程中，应遵守有关环境保护的法律，履行合同约定的环境保护义务，并对违反法律和合同约定义务所造成的环境破坏、人身伤害和财产损失负责。</w:t>
      </w:r>
    </w:p>
    <w:p w14:paraId="4421E245">
      <w:pPr>
        <w:spacing w:line="360" w:lineRule="auto"/>
        <w:ind w:firstLine="420" w:firstLineChars="200"/>
        <w:rPr>
          <w:rFonts w:hint="eastAsia" w:ascii="宋体" w:hAnsi="宋体" w:eastAsia="宋体" w:cs="宋体"/>
        </w:rPr>
      </w:pPr>
      <w:r>
        <w:rPr>
          <w:rFonts w:hint="eastAsia" w:ascii="宋体" w:hAnsi="宋体" w:eastAsia="宋体" w:cs="宋体"/>
        </w:rPr>
        <w:t>9.4.2  承包人应建立</w:t>
      </w:r>
      <w:r>
        <w:rPr>
          <w:rFonts w:hint="eastAsia" w:ascii="宋体" w:hAnsi="宋体" w:eastAsia="宋体" w:cs="宋体"/>
          <w:szCs w:val="21"/>
        </w:rPr>
        <w:t>施工扬尘治理、建筑垃圾、土方和砂石清运与消纳、严禁使用高排放非道路移动机械和行业挥发性有机物治理（如</w:t>
      </w:r>
      <w:r>
        <w:rPr>
          <w:rFonts w:hint="eastAsia" w:ascii="宋体" w:hAnsi="宋体" w:eastAsia="宋体" w:cs="宋体"/>
        </w:rPr>
        <w:t>建筑外墙涂装、钢结构等鼓励使用水性漆替代油性漆</w:t>
      </w:r>
      <w:r>
        <w:rPr>
          <w:rFonts w:hint="eastAsia" w:ascii="宋体" w:hAnsi="宋体" w:eastAsia="宋体" w:cs="宋体"/>
          <w:szCs w:val="21"/>
        </w:rPr>
        <w:t>）等</w:t>
      </w:r>
      <w:r>
        <w:rPr>
          <w:rFonts w:hint="eastAsia" w:ascii="宋体" w:hAnsi="宋体" w:eastAsia="宋体" w:cs="宋体"/>
        </w:rPr>
        <w:t>责任制，针对工程项目特点制定具体的实施方案，并严格实施。如扬尘治理，承包人应在建筑工地公示施工扬尘治理措施、责任人、主管部门等信息，并及时向当地主管部门报送施工扬尘治理措施落实情况。</w:t>
      </w:r>
    </w:p>
    <w:p w14:paraId="62F23D57">
      <w:pPr>
        <w:spacing w:line="360" w:lineRule="auto"/>
        <w:ind w:firstLine="420" w:firstLineChars="200"/>
        <w:rPr>
          <w:rFonts w:hint="eastAsia" w:ascii="宋体" w:hAnsi="宋体" w:eastAsia="宋体" w:cs="宋体"/>
        </w:rPr>
      </w:pPr>
      <w:r>
        <w:rPr>
          <w:rFonts w:hint="eastAsia" w:ascii="宋体" w:hAnsi="宋体" w:eastAsia="宋体" w:cs="宋体"/>
        </w:rPr>
        <w:t>9.4.3  承包人应在合同条款专用部分约定的时限内，按合同约定的环保工作内容，编制施工环保措施计划（包含第9.4.2项约定的实施方案内容），报送监理人审批。监理人在合同条款专用部分约定的期限内给予批复。</w:t>
      </w:r>
    </w:p>
    <w:p w14:paraId="02282F5D">
      <w:pPr>
        <w:spacing w:line="360" w:lineRule="auto"/>
        <w:ind w:firstLine="420" w:firstLineChars="200"/>
        <w:rPr>
          <w:rFonts w:hint="eastAsia" w:ascii="宋体" w:hAnsi="宋体" w:eastAsia="宋体" w:cs="宋体"/>
        </w:rPr>
      </w:pPr>
      <w:r>
        <w:rPr>
          <w:rFonts w:hint="eastAsia" w:ascii="宋体" w:hAnsi="宋体" w:eastAsia="宋体" w:cs="宋体"/>
        </w:rPr>
        <w:t>9.4.4  承包人应按照批准的施工环保措施计划有序地堆放和处理施工废弃物</w:t>
      </w:r>
      <w:r>
        <w:rPr>
          <w:rFonts w:hint="eastAsia" w:ascii="宋体" w:hAnsi="宋体" w:eastAsia="宋体" w:cs="宋体"/>
          <w:szCs w:val="21"/>
        </w:rPr>
        <w:t>，</w:t>
      </w:r>
      <w:r>
        <w:rPr>
          <w:rFonts w:hint="eastAsia" w:ascii="宋体" w:hAnsi="宋体" w:eastAsia="宋体" w:cs="宋体"/>
        </w:rPr>
        <w:t>避免对环境造成破坏。因承包人任意堆放或弃置施工废弃物造成妨碍公共交通、影响城镇居民生活、降低河流行洪能力、危及居民安全、破坏和污染环境，或者影响其他承包人施工等后果的，承包人应承担责任。</w:t>
      </w:r>
    </w:p>
    <w:p w14:paraId="5AADC6D2">
      <w:pPr>
        <w:spacing w:line="360" w:lineRule="auto"/>
        <w:ind w:firstLine="420" w:firstLineChars="200"/>
        <w:rPr>
          <w:rFonts w:hint="eastAsia" w:ascii="宋体" w:hAnsi="宋体" w:eastAsia="宋体" w:cs="宋体"/>
        </w:rPr>
      </w:pPr>
      <w:r>
        <w:rPr>
          <w:rFonts w:hint="eastAsia" w:ascii="宋体" w:hAnsi="宋体" w:eastAsia="宋体" w:cs="宋体"/>
        </w:rPr>
        <w:t>9.4.5  承包人应按合同约定采取有效措施，对施工开挖的边坡及时进行支护,维护排水设施，并进行水土保护，避免因施工造成的地质灾害。</w:t>
      </w:r>
    </w:p>
    <w:p w14:paraId="57B13D6F">
      <w:pPr>
        <w:spacing w:line="360" w:lineRule="auto"/>
        <w:ind w:firstLine="420" w:firstLineChars="200"/>
        <w:rPr>
          <w:rFonts w:hint="eastAsia" w:ascii="宋体" w:hAnsi="宋体" w:eastAsia="宋体" w:cs="宋体"/>
        </w:rPr>
      </w:pPr>
      <w:r>
        <w:rPr>
          <w:rFonts w:hint="eastAsia" w:ascii="宋体" w:hAnsi="宋体" w:eastAsia="宋体" w:cs="宋体"/>
        </w:rPr>
        <w:t>9.4.6  承包人应按国家饮用水管理标准定期对饮用水源进行监测，防止施工活动污染饮用水源。</w:t>
      </w:r>
    </w:p>
    <w:p w14:paraId="458E9F52">
      <w:pPr>
        <w:spacing w:line="360" w:lineRule="auto"/>
        <w:ind w:firstLine="420" w:firstLineChars="200"/>
        <w:rPr>
          <w:rFonts w:hint="eastAsia" w:ascii="宋体" w:hAnsi="宋体" w:eastAsia="宋体" w:cs="宋体"/>
        </w:rPr>
      </w:pPr>
      <w:r>
        <w:rPr>
          <w:rFonts w:hint="eastAsia" w:ascii="宋体" w:hAnsi="宋体" w:eastAsia="宋体" w:cs="宋体"/>
        </w:rPr>
        <w:t>9.4.7  承包人应按合同约定，加强对噪声、粉尘、废气、废水和废油的控制，努力降低噪声，控制粉尘和废气浓度，做好废水和废油的治理和排放。</w:t>
      </w:r>
    </w:p>
    <w:p w14:paraId="0B82D805">
      <w:pPr>
        <w:keepNext/>
        <w:keepLines/>
        <w:spacing w:before="156" w:beforeLines="50" w:after="156" w:afterLines="50" w:line="360" w:lineRule="auto"/>
        <w:outlineLvl w:val="2"/>
        <w:rPr>
          <w:rFonts w:hint="eastAsia" w:ascii="宋体" w:hAnsi="宋体" w:eastAsia="宋体" w:cs="宋体"/>
          <w:sz w:val="24"/>
          <w:szCs w:val="20"/>
        </w:rPr>
      </w:pPr>
      <w:bookmarkStart w:id="1035" w:name="_Toc490222560"/>
      <w:bookmarkStart w:id="1036" w:name="_Toc486580115"/>
      <w:bookmarkStart w:id="1037" w:name="_Toc10235385"/>
      <w:bookmarkStart w:id="1038" w:name="_Toc489279926"/>
      <w:bookmarkStart w:id="1039" w:name="_Toc497213791"/>
      <w:bookmarkStart w:id="1040" w:name="_Toc61020305"/>
      <w:r>
        <w:rPr>
          <w:rFonts w:hint="eastAsia" w:ascii="宋体" w:hAnsi="宋体" w:eastAsia="宋体" w:cs="宋体"/>
          <w:sz w:val="24"/>
          <w:szCs w:val="20"/>
        </w:rPr>
        <w:t>9.5  事故处理</w:t>
      </w:r>
      <w:bookmarkEnd w:id="1035"/>
      <w:bookmarkEnd w:id="1036"/>
      <w:bookmarkEnd w:id="1037"/>
      <w:bookmarkEnd w:id="1038"/>
      <w:bookmarkEnd w:id="1039"/>
      <w:bookmarkEnd w:id="1040"/>
    </w:p>
    <w:p w14:paraId="35A5F961">
      <w:pPr>
        <w:spacing w:line="360" w:lineRule="auto"/>
        <w:ind w:firstLine="420" w:firstLineChars="200"/>
        <w:rPr>
          <w:rFonts w:hint="eastAsia" w:ascii="宋体" w:hAnsi="宋体" w:eastAsia="宋体" w:cs="宋体"/>
        </w:rPr>
      </w:pPr>
      <w:r>
        <w:rPr>
          <w:rFonts w:hint="eastAsia" w:ascii="宋体" w:hAnsi="宋体" w:eastAsia="宋体" w:cs="宋体"/>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B5CD59B">
      <w:pPr>
        <w:pStyle w:val="94"/>
        <w:tabs>
          <w:tab w:val="left" w:pos="709"/>
        </w:tabs>
        <w:spacing w:before="156" w:after="156"/>
        <w:rPr>
          <w:rFonts w:hint="eastAsia" w:ascii="宋体" w:hAnsi="宋体" w:eastAsia="宋体" w:cs="宋体"/>
        </w:rPr>
      </w:pPr>
      <w:bookmarkStart w:id="1041" w:name="_Toc10235386"/>
      <w:bookmarkStart w:id="1042" w:name="_Toc61020306"/>
      <w:r>
        <w:rPr>
          <w:rFonts w:hint="eastAsia" w:ascii="宋体" w:hAnsi="宋体" w:eastAsia="宋体" w:cs="宋体"/>
        </w:rPr>
        <w:t>9.6  施工现场安全生产标准化管理目标</w:t>
      </w:r>
      <w:bookmarkEnd w:id="1041"/>
      <w:bookmarkEnd w:id="1042"/>
    </w:p>
    <w:p w14:paraId="737B6D34">
      <w:pPr>
        <w:spacing w:line="360" w:lineRule="auto"/>
        <w:ind w:firstLine="420" w:firstLineChars="200"/>
        <w:rPr>
          <w:rFonts w:hint="eastAsia" w:ascii="宋体" w:hAnsi="宋体" w:eastAsia="宋体" w:cs="宋体"/>
        </w:rPr>
      </w:pPr>
      <w:r>
        <w:rPr>
          <w:rFonts w:hint="eastAsia" w:ascii="宋体" w:hAnsi="宋体" w:eastAsia="宋体" w:cs="宋体"/>
        </w:rPr>
        <w:t>9.6.1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见合同条款专用部分。</w:t>
      </w:r>
    </w:p>
    <w:p w14:paraId="6119522F">
      <w:pPr>
        <w:spacing w:line="360" w:lineRule="auto"/>
        <w:ind w:firstLine="420" w:firstLineChars="200"/>
        <w:rPr>
          <w:rFonts w:hint="eastAsia" w:ascii="宋体" w:hAnsi="宋体" w:eastAsia="宋体" w:cs="宋体"/>
        </w:rPr>
      </w:pPr>
      <w:r>
        <w:rPr>
          <w:rFonts w:hint="eastAsia" w:ascii="宋体" w:hAnsi="宋体" w:eastAsia="宋体" w:cs="宋体"/>
        </w:rPr>
        <w:t>9.6.2 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见合同条款专用部分。</w:t>
      </w:r>
    </w:p>
    <w:p w14:paraId="2372BD4D">
      <w:pPr>
        <w:pStyle w:val="94"/>
        <w:spacing w:before="156" w:after="156"/>
        <w:rPr>
          <w:rFonts w:hint="eastAsia" w:ascii="宋体" w:hAnsi="宋体" w:eastAsia="宋体" w:cs="宋体"/>
        </w:rPr>
      </w:pPr>
      <w:bookmarkStart w:id="1043" w:name="_Toc61020307"/>
      <w:bookmarkStart w:id="1044" w:name="_Toc10235387"/>
      <w:r>
        <w:rPr>
          <w:rFonts w:hint="eastAsia" w:ascii="宋体" w:hAnsi="宋体" w:eastAsia="宋体" w:cs="宋体"/>
        </w:rPr>
        <w:t>9.7  特殊安全文明施工</w:t>
      </w:r>
      <w:bookmarkEnd w:id="1043"/>
      <w:bookmarkEnd w:id="1044"/>
    </w:p>
    <w:p w14:paraId="03D4FFDA">
      <w:pPr>
        <w:spacing w:line="360" w:lineRule="auto"/>
        <w:ind w:firstLine="420" w:firstLineChars="200"/>
        <w:rPr>
          <w:rFonts w:hint="eastAsia" w:ascii="宋体" w:hAnsi="宋体" w:eastAsia="宋体" w:cs="宋体"/>
        </w:rPr>
      </w:pPr>
      <w:r>
        <w:rPr>
          <w:rFonts w:hint="eastAsia" w:ascii="宋体" w:hAnsi="宋体" w:eastAsia="宋体" w:cs="宋体"/>
        </w:rPr>
        <w:t>9.7.1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见合同条款专用部分。</w:t>
      </w:r>
    </w:p>
    <w:p w14:paraId="1D680F9C">
      <w:pPr>
        <w:spacing w:line="360" w:lineRule="auto"/>
        <w:ind w:firstLine="420" w:firstLineChars="200"/>
        <w:rPr>
          <w:rFonts w:hint="eastAsia" w:ascii="宋体" w:hAnsi="宋体" w:eastAsia="宋体" w:cs="宋体"/>
        </w:rPr>
      </w:pPr>
      <w:r>
        <w:rPr>
          <w:rFonts w:hint="eastAsia" w:ascii="宋体" w:hAnsi="宋体" w:eastAsia="宋体" w:cs="宋体"/>
        </w:rPr>
        <w:t>9.7.2 发包人鼓励承包人提高特殊安全文明施工要求。特殊安全文明施工要求高于合同约定的要求，发包人可给予承包人创优奖励。发包人是否给予承包人创优奖励及创优奖励金额或者计算方法见合同条款专用部分。</w:t>
      </w:r>
    </w:p>
    <w:p w14:paraId="3C2B9D1A">
      <w:pPr>
        <w:keepNext/>
        <w:keepLines/>
        <w:spacing w:before="156" w:beforeLines="50" w:after="156" w:afterLines="50" w:line="360" w:lineRule="auto"/>
        <w:outlineLvl w:val="1"/>
        <w:rPr>
          <w:rFonts w:hint="eastAsia" w:ascii="宋体" w:hAnsi="宋体" w:eastAsia="宋体" w:cs="宋体"/>
          <w:sz w:val="28"/>
          <w:szCs w:val="20"/>
        </w:rPr>
      </w:pPr>
      <w:bookmarkStart w:id="1045" w:name="_Toc490222561"/>
      <w:bookmarkStart w:id="1046" w:name="_Toc489279927"/>
      <w:bookmarkStart w:id="1047" w:name="_Toc10235388"/>
      <w:bookmarkStart w:id="1048" w:name="_Toc61020308"/>
      <w:bookmarkStart w:id="1049" w:name="_Toc486580116"/>
      <w:bookmarkStart w:id="1050" w:name="_Toc497213792"/>
      <w:r>
        <w:rPr>
          <w:rFonts w:hint="eastAsia" w:ascii="宋体" w:hAnsi="宋体" w:eastAsia="宋体" w:cs="宋体"/>
          <w:sz w:val="28"/>
          <w:szCs w:val="20"/>
        </w:rPr>
        <w:t>10.进度计划</w:t>
      </w:r>
      <w:bookmarkEnd w:id="1045"/>
      <w:bookmarkEnd w:id="1046"/>
      <w:bookmarkEnd w:id="1047"/>
      <w:bookmarkEnd w:id="1048"/>
      <w:bookmarkEnd w:id="1049"/>
      <w:bookmarkEnd w:id="1050"/>
    </w:p>
    <w:p w14:paraId="7036C895">
      <w:pPr>
        <w:keepNext/>
        <w:keepLines/>
        <w:spacing w:before="156" w:beforeLines="50" w:after="156" w:afterLines="50" w:line="360" w:lineRule="auto"/>
        <w:outlineLvl w:val="2"/>
        <w:rPr>
          <w:rFonts w:hint="eastAsia" w:ascii="宋体" w:hAnsi="宋体" w:eastAsia="宋体" w:cs="宋体"/>
          <w:sz w:val="24"/>
          <w:szCs w:val="20"/>
        </w:rPr>
      </w:pPr>
      <w:bookmarkStart w:id="1051" w:name="_Toc490222562"/>
      <w:bookmarkStart w:id="1052" w:name="_Toc489279928"/>
      <w:bookmarkStart w:id="1053" w:name="_Toc61020309"/>
      <w:bookmarkStart w:id="1054" w:name="_Toc486580117"/>
      <w:bookmarkStart w:id="1055" w:name="_Toc497213793"/>
      <w:bookmarkStart w:id="1056" w:name="_Toc10235389"/>
      <w:r>
        <w:rPr>
          <w:rFonts w:hint="eastAsia" w:ascii="宋体" w:hAnsi="宋体" w:eastAsia="宋体" w:cs="宋体"/>
          <w:sz w:val="24"/>
          <w:szCs w:val="20"/>
        </w:rPr>
        <w:t>10.1  合同进度计划</w:t>
      </w:r>
      <w:bookmarkEnd w:id="1051"/>
      <w:bookmarkEnd w:id="1052"/>
      <w:bookmarkEnd w:id="1053"/>
      <w:bookmarkEnd w:id="1054"/>
      <w:bookmarkEnd w:id="1055"/>
      <w:bookmarkEnd w:id="1056"/>
    </w:p>
    <w:p w14:paraId="00B9E9AE">
      <w:pPr>
        <w:spacing w:line="360" w:lineRule="auto"/>
        <w:ind w:firstLine="420" w:firstLineChars="200"/>
        <w:rPr>
          <w:rFonts w:hint="eastAsia" w:ascii="宋体" w:hAnsi="宋体" w:eastAsia="宋体" w:cs="宋体"/>
        </w:rPr>
      </w:pPr>
      <w:r>
        <w:rPr>
          <w:rFonts w:hint="eastAsia" w:ascii="宋体" w:hAnsi="宋体" w:eastAsia="宋体" w:cs="宋体"/>
        </w:rPr>
        <w:t>10.1.1  承包人应</w:t>
      </w:r>
      <w:r>
        <w:rPr>
          <w:rFonts w:hint="eastAsia" w:ascii="宋体" w:hAnsi="宋体" w:eastAsia="宋体" w:cs="宋体"/>
          <w:szCs w:val="21"/>
        </w:rPr>
        <w:t>当在收到监理人按照第11.1.1项发出的开工通知后7天内，</w:t>
      </w:r>
      <w:r>
        <w:rPr>
          <w:rFonts w:hint="eastAsia" w:ascii="宋体" w:hAnsi="宋体" w:eastAsia="宋体" w:cs="宋体"/>
        </w:rPr>
        <w:t>编制详细的施工进度计划和施工方案说明报送监理人，</w:t>
      </w:r>
      <w:r>
        <w:rPr>
          <w:rFonts w:hint="eastAsia" w:ascii="宋体" w:hAnsi="宋体" w:eastAsia="宋体" w:cs="宋体"/>
          <w:szCs w:val="21"/>
        </w:rPr>
        <w:t>施工进度计划中应载明要求发包人组织设计人进行阶段性工程设计交底的时间。</w:t>
      </w:r>
      <w:r>
        <w:rPr>
          <w:rFonts w:hint="eastAsia" w:ascii="宋体" w:hAnsi="宋体" w:eastAsia="宋体" w:cs="宋体"/>
        </w:rPr>
        <w:t>监理人应在</w:t>
      </w:r>
      <w:r>
        <w:rPr>
          <w:rFonts w:hint="eastAsia" w:ascii="宋体" w:hAnsi="宋体" w:eastAsia="宋体" w:cs="宋体"/>
          <w:szCs w:val="21"/>
        </w:rPr>
        <w:t>收到承包人报送的相关进度计划和施工方案说明后14天内</w:t>
      </w:r>
      <w:r>
        <w:rPr>
          <w:rFonts w:hint="eastAsia" w:ascii="宋体" w:hAnsi="宋体" w:eastAsia="宋体" w:cs="宋体"/>
        </w:rPr>
        <w:t>批复或提出修改意见，否则该进度计划视为已得到批准。经监理人批准的施工进度计划称合同进度计划，是控制合同工程进度的依据。</w:t>
      </w:r>
      <w:r>
        <w:rPr>
          <w:rFonts w:hint="eastAsia" w:ascii="宋体" w:hAnsi="宋体" w:eastAsia="宋体" w:cs="宋体"/>
          <w:szCs w:val="21"/>
        </w:rPr>
        <w:t>承包人编制施工进度计划和施工方案说明的内容</w:t>
      </w:r>
      <w:r>
        <w:rPr>
          <w:rFonts w:hint="eastAsia" w:ascii="宋体" w:hAnsi="宋体" w:eastAsia="宋体" w:cs="宋体"/>
        </w:rPr>
        <w:t>见合同条款专用部分。</w:t>
      </w:r>
    </w:p>
    <w:p w14:paraId="77465AE6">
      <w:pPr>
        <w:spacing w:line="360" w:lineRule="auto"/>
        <w:ind w:firstLine="420" w:firstLineChars="200"/>
        <w:rPr>
          <w:rFonts w:hint="eastAsia" w:ascii="宋体" w:hAnsi="宋体" w:eastAsia="宋体" w:cs="宋体"/>
        </w:rPr>
      </w:pPr>
      <w:r>
        <w:rPr>
          <w:rFonts w:hint="eastAsia" w:ascii="宋体" w:hAnsi="宋体" w:eastAsia="宋体" w:cs="宋体"/>
        </w:rPr>
        <w:t>10.1.2  承包人还应根据合同进度计划，按照第10.1.1项相关约定编制更为详细的分阶段或分项进度计划，报监理人审批。</w:t>
      </w:r>
      <w:r>
        <w:rPr>
          <w:rFonts w:hint="eastAsia" w:ascii="宋体" w:hAnsi="宋体" w:eastAsia="宋体" w:cs="宋体"/>
          <w:szCs w:val="21"/>
        </w:rPr>
        <w:t>承包人编制分阶段或分项施工进度计划和施工方案说明的内容及时限要求</w:t>
      </w:r>
      <w:r>
        <w:rPr>
          <w:rFonts w:hint="eastAsia" w:ascii="宋体" w:hAnsi="宋体" w:eastAsia="宋体" w:cs="宋体"/>
        </w:rPr>
        <w:t>见合同条款专用部分。</w:t>
      </w:r>
    </w:p>
    <w:p w14:paraId="611A2D94">
      <w:pPr>
        <w:spacing w:line="360" w:lineRule="auto"/>
        <w:ind w:firstLine="420" w:firstLineChars="200"/>
        <w:rPr>
          <w:rFonts w:hint="eastAsia" w:ascii="宋体" w:hAnsi="宋体" w:eastAsia="宋体" w:cs="宋体"/>
        </w:rPr>
      </w:pPr>
      <w:r>
        <w:rPr>
          <w:rFonts w:hint="eastAsia" w:ascii="宋体" w:hAnsi="宋体" w:eastAsia="宋体" w:cs="宋体"/>
          <w:szCs w:val="21"/>
        </w:rPr>
        <w:t>10.1.3  群体工程中单位工程分期进行施工的，承包人</w:t>
      </w:r>
      <w:r>
        <w:rPr>
          <w:rFonts w:hint="eastAsia" w:ascii="宋体" w:hAnsi="宋体" w:eastAsia="宋体" w:cs="宋体"/>
        </w:rPr>
        <w:t>应当</w:t>
      </w:r>
      <w:r>
        <w:rPr>
          <w:rFonts w:hint="eastAsia" w:ascii="宋体" w:hAnsi="宋体" w:eastAsia="宋体" w:cs="宋体"/>
          <w:szCs w:val="21"/>
        </w:rPr>
        <w:t>按照发包人提供图纸及有关资料的时间要求，编制单位工程进度计划和施工方案说明。群体工程中有关编制进度计划和施工方案说明的要求</w:t>
      </w:r>
      <w:r>
        <w:rPr>
          <w:rFonts w:hint="eastAsia" w:ascii="宋体" w:hAnsi="宋体" w:eastAsia="宋体" w:cs="宋体"/>
        </w:rPr>
        <w:t>见合同条款专用部分。</w:t>
      </w:r>
    </w:p>
    <w:p w14:paraId="44536E18">
      <w:pPr>
        <w:keepNext/>
        <w:keepLines/>
        <w:spacing w:before="156" w:beforeLines="50" w:after="156" w:afterLines="50" w:line="360" w:lineRule="auto"/>
        <w:outlineLvl w:val="2"/>
        <w:rPr>
          <w:rFonts w:hint="eastAsia" w:ascii="宋体" w:hAnsi="宋体" w:eastAsia="宋体" w:cs="宋体"/>
          <w:sz w:val="24"/>
          <w:szCs w:val="20"/>
        </w:rPr>
      </w:pPr>
      <w:bookmarkStart w:id="1057" w:name="_Toc486580118"/>
      <w:bookmarkStart w:id="1058" w:name="_Toc10235390"/>
      <w:bookmarkStart w:id="1059" w:name="_Toc490222563"/>
      <w:bookmarkStart w:id="1060" w:name="_Toc489279929"/>
      <w:bookmarkStart w:id="1061" w:name="_Toc61020310"/>
      <w:bookmarkStart w:id="1062" w:name="_Toc497213794"/>
      <w:r>
        <w:rPr>
          <w:rFonts w:hint="eastAsia" w:ascii="宋体" w:hAnsi="宋体" w:eastAsia="宋体" w:cs="宋体"/>
          <w:sz w:val="24"/>
          <w:szCs w:val="20"/>
        </w:rPr>
        <w:t>10.2  合同进度计划的修订</w:t>
      </w:r>
      <w:bookmarkEnd w:id="1057"/>
      <w:bookmarkEnd w:id="1058"/>
      <w:bookmarkEnd w:id="1059"/>
      <w:bookmarkEnd w:id="1060"/>
      <w:bookmarkEnd w:id="1061"/>
      <w:bookmarkEnd w:id="1062"/>
    </w:p>
    <w:p w14:paraId="4FB354B3">
      <w:pPr>
        <w:spacing w:line="360" w:lineRule="auto"/>
        <w:ind w:firstLine="420" w:firstLineChars="200"/>
        <w:rPr>
          <w:rFonts w:hint="eastAsia" w:ascii="宋体" w:hAnsi="宋体" w:eastAsia="宋体" w:cs="宋体"/>
        </w:rPr>
      </w:pPr>
      <w:r>
        <w:rPr>
          <w:rFonts w:hint="eastAsia" w:ascii="宋体" w:hAnsi="宋体" w:eastAsia="宋体" w:cs="宋体"/>
        </w:rPr>
        <w:t>10.2.1  不论何种原因造成工程的实际进度与第10.1款的合同进度计划不符时，承包人可以在合同条款专用部分约定的期限内向监理人提交修订合同进度计划的申请报告，并附有关措施和相关资料，报监理人审批；</w:t>
      </w:r>
    </w:p>
    <w:p w14:paraId="2DC549E5">
      <w:pPr>
        <w:spacing w:line="360" w:lineRule="auto"/>
        <w:ind w:firstLine="420" w:firstLineChars="200"/>
        <w:rPr>
          <w:rFonts w:hint="eastAsia" w:ascii="宋体" w:hAnsi="宋体" w:eastAsia="宋体" w:cs="宋体"/>
        </w:rPr>
      </w:pPr>
      <w:r>
        <w:rPr>
          <w:rFonts w:hint="eastAsia" w:ascii="宋体" w:hAnsi="宋体" w:eastAsia="宋体" w:cs="宋体"/>
        </w:rPr>
        <w:t>10.2.2  监理人也可以直接向承包人作出修订合同进度计划的指示，承包人应按该指示修订合同进度计划，报监理人审批。监理人应在合同条款专用部分约定的期限内完成批复。监理人在批复前应获得发包人同意。</w:t>
      </w:r>
    </w:p>
    <w:p w14:paraId="04B09B21">
      <w:pPr>
        <w:keepNext/>
        <w:keepLines/>
        <w:spacing w:before="156" w:beforeLines="50" w:after="156" w:afterLines="50" w:line="360" w:lineRule="auto"/>
        <w:outlineLvl w:val="1"/>
        <w:rPr>
          <w:rFonts w:hint="eastAsia" w:ascii="宋体" w:hAnsi="宋体" w:eastAsia="宋体" w:cs="宋体"/>
          <w:sz w:val="28"/>
          <w:szCs w:val="20"/>
        </w:rPr>
      </w:pPr>
      <w:bookmarkStart w:id="1063" w:name="_Toc497213795"/>
      <w:bookmarkStart w:id="1064" w:name="_Toc486580119"/>
      <w:bookmarkStart w:id="1065" w:name="_Toc61020311"/>
      <w:bookmarkStart w:id="1066" w:name="_Toc490222564"/>
      <w:bookmarkStart w:id="1067" w:name="_Toc10235391"/>
      <w:bookmarkStart w:id="1068" w:name="_Toc489279930"/>
      <w:r>
        <w:rPr>
          <w:rFonts w:hint="eastAsia" w:ascii="宋体" w:hAnsi="宋体" w:eastAsia="宋体" w:cs="宋体"/>
          <w:sz w:val="28"/>
          <w:szCs w:val="20"/>
        </w:rPr>
        <w:t>11.开工和竣工</w:t>
      </w:r>
      <w:bookmarkEnd w:id="1063"/>
      <w:bookmarkEnd w:id="1064"/>
      <w:bookmarkEnd w:id="1065"/>
      <w:bookmarkEnd w:id="1066"/>
      <w:bookmarkEnd w:id="1067"/>
      <w:bookmarkEnd w:id="1068"/>
    </w:p>
    <w:p w14:paraId="063BF8AA">
      <w:pPr>
        <w:keepNext/>
        <w:keepLines/>
        <w:spacing w:before="156" w:beforeLines="50" w:after="156" w:afterLines="50" w:line="360" w:lineRule="auto"/>
        <w:outlineLvl w:val="2"/>
        <w:rPr>
          <w:rFonts w:hint="eastAsia" w:ascii="宋体" w:hAnsi="宋体" w:eastAsia="宋体" w:cs="宋体"/>
          <w:sz w:val="24"/>
          <w:szCs w:val="20"/>
        </w:rPr>
      </w:pPr>
      <w:bookmarkStart w:id="1069" w:name="_Toc490222565"/>
      <w:bookmarkStart w:id="1070" w:name="_Toc497213796"/>
      <w:bookmarkStart w:id="1071" w:name="_Toc489279931"/>
      <w:bookmarkStart w:id="1072" w:name="_Toc61020312"/>
      <w:bookmarkStart w:id="1073" w:name="_Toc10235392"/>
      <w:bookmarkStart w:id="1074" w:name="_Toc486580120"/>
      <w:r>
        <w:rPr>
          <w:rFonts w:hint="eastAsia" w:ascii="宋体" w:hAnsi="宋体" w:eastAsia="宋体" w:cs="宋体"/>
          <w:sz w:val="24"/>
          <w:szCs w:val="20"/>
        </w:rPr>
        <w:t>11.1  开工</w:t>
      </w:r>
      <w:bookmarkEnd w:id="1069"/>
      <w:bookmarkEnd w:id="1070"/>
      <w:bookmarkEnd w:id="1071"/>
      <w:bookmarkEnd w:id="1072"/>
      <w:bookmarkEnd w:id="1073"/>
      <w:bookmarkEnd w:id="1074"/>
    </w:p>
    <w:p w14:paraId="45BF43A9">
      <w:pPr>
        <w:spacing w:line="360" w:lineRule="auto"/>
        <w:ind w:firstLine="420" w:firstLineChars="200"/>
        <w:rPr>
          <w:rFonts w:hint="eastAsia" w:ascii="宋体" w:hAnsi="宋体" w:eastAsia="宋体" w:cs="宋体"/>
        </w:rPr>
      </w:pPr>
      <w:r>
        <w:rPr>
          <w:rFonts w:hint="eastAsia" w:ascii="宋体" w:hAnsi="宋体" w:eastAsia="宋体" w:cs="宋体"/>
        </w:rPr>
        <w:t>11.1.1  监理人应在开工日期7天前向承包人发出开工通知。监理人在发出开工通知前应获得发包人同意。工期自监理人发出的开工通知中载明的开工日期起计算。承包人应在开工日期后尽快施工。</w:t>
      </w:r>
    </w:p>
    <w:p w14:paraId="5593832F">
      <w:pPr>
        <w:spacing w:line="360" w:lineRule="auto"/>
        <w:ind w:firstLine="420" w:firstLineChars="200"/>
        <w:rPr>
          <w:rFonts w:hint="eastAsia" w:ascii="宋体" w:hAnsi="宋体" w:eastAsia="宋体" w:cs="宋体"/>
          <w:shd w:val="pct10" w:color="auto" w:fill="FFFFFF"/>
        </w:rPr>
      </w:pPr>
      <w:r>
        <w:rPr>
          <w:rFonts w:hint="eastAsia" w:ascii="宋体" w:hAnsi="宋体" w:eastAsia="宋体" w:cs="宋体"/>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171C8548">
      <w:pPr>
        <w:keepNext/>
        <w:keepLines/>
        <w:spacing w:before="156" w:beforeLines="50" w:after="156" w:afterLines="50" w:line="360" w:lineRule="auto"/>
        <w:outlineLvl w:val="2"/>
        <w:rPr>
          <w:rFonts w:hint="eastAsia" w:ascii="宋体" w:hAnsi="宋体" w:eastAsia="宋体" w:cs="宋体"/>
          <w:sz w:val="24"/>
          <w:szCs w:val="20"/>
        </w:rPr>
      </w:pPr>
      <w:bookmarkStart w:id="1075" w:name="_Toc486580121"/>
      <w:bookmarkStart w:id="1076" w:name="_Toc490222566"/>
      <w:bookmarkStart w:id="1077" w:name="_Toc497213797"/>
      <w:bookmarkStart w:id="1078" w:name="_Toc489279932"/>
      <w:bookmarkStart w:id="1079" w:name="_Toc61020313"/>
      <w:bookmarkStart w:id="1080" w:name="_Toc10235393"/>
      <w:r>
        <w:rPr>
          <w:rFonts w:hint="eastAsia" w:ascii="宋体" w:hAnsi="宋体" w:eastAsia="宋体" w:cs="宋体"/>
          <w:sz w:val="24"/>
          <w:szCs w:val="20"/>
        </w:rPr>
        <w:t>11.2  竣工</w:t>
      </w:r>
      <w:bookmarkEnd w:id="1075"/>
      <w:bookmarkEnd w:id="1076"/>
      <w:bookmarkEnd w:id="1077"/>
      <w:bookmarkEnd w:id="1078"/>
      <w:bookmarkEnd w:id="1079"/>
      <w:bookmarkEnd w:id="1080"/>
    </w:p>
    <w:p w14:paraId="3C31E184">
      <w:pPr>
        <w:spacing w:line="360" w:lineRule="auto"/>
        <w:ind w:firstLine="420" w:firstLineChars="200"/>
        <w:rPr>
          <w:rFonts w:hint="eastAsia" w:ascii="宋体" w:hAnsi="宋体" w:eastAsia="宋体" w:cs="宋体"/>
        </w:rPr>
      </w:pPr>
      <w:r>
        <w:rPr>
          <w:rFonts w:hint="eastAsia" w:ascii="宋体" w:hAnsi="宋体" w:eastAsia="宋体" w:cs="宋体"/>
        </w:rPr>
        <w:t>承包人应在第1.1.4.3目约定的期限内完成合同工程。实际竣工日期在接收证书中写明。</w:t>
      </w:r>
    </w:p>
    <w:p w14:paraId="60A54DEE">
      <w:pPr>
        <w:keepNext/>
        <w:keepLines/>
        <w:spacing w:before="156" w:beforeLines="50" w:after="156" w:afterLines="50" w:line="360" w:lineRule="auto"/>
        <w:outlineLvl w:val="2"/>
        <w:rPr>
          <w:rFonts w:hint="eastAsia" w:ascii="宋体" w:hAnsi="宋体" w:eastAsia="宋体" w:cs="宋体"/>
          <w:sz w:val="24"/>
          <w:szCs w:val="20"/>
        </w:rPr>
      </w:pPr>
      <w:bookmarkStart w:id="1081" w:name="_Toc489279933"/>
      <w:bookmarkStart w:id="1082" w:name="_Toc61020314"/>
      <w:bookmarkStart w:id="1083" w:name="_Toc10235394"/>
      <w:bookmarkStart w:id="1084" w:name="_Toc497213798"/>
      <w:bookmarkStart w:id="1085" w:name="_Toc486580122"/>
      <w:bookmarkStart w:id="1086" w:name="_Toc490222567"/>
      <w:r>
        <w:rPr>
          <w:rFonts w:hint="eastAsia" w:ascii="宋体" w:hAnsi="宋体" w:eastAsia="宋体" w:cs="宋体"/>
          <w:sz w:val="24"/>
          <w:szCs w:val="20"/>
        </w:rPr>
        <w:t>11.3  发包人的工期延误</w:t>
      </w:r>
      <w:bookmarkEnd w:id="1081"/>
      <w:bookmarkEnd w:id="1082"/>
      <w:bookmarkEnd w:id="1083"/>
      <w:bookmarkEnd w:id="1084"/>
      <w:bookmarkEnd w:id="1085"/>
      <w:bookmarkEnd w:id="1086"/>
    </w:p>
    <w:p w14:paraId="40ABA084">
      <w:pPr>
        <w:spacing w:line="360" w:lineRule="auto"/>
        <w:ind w:firstLine="420" w:firstLineChars="200"/>
        <w:rPr>
          <w:rFonts w:hint="eastAsia" w:ascii="宋体" w:hAnsi="宋体" w:eastAsia="宋体" w:cs="宋体"/>
        </w:rPr>
      </w:pPr>
      <w:r>
        <w:rPr>
          <w:rFonts w:hint="eastAsia" w:ascii="宋体" w:hAnsi="宋体" w:eastAsia="宋体" w:cs="宋体"/>
        </w:rPr>
        <w:t>在履行合同过程中，由于发包人的下列原因造成承包人关键线路工期延误的，承包人有权要求发包人延长工期和（或）增加费用，并支付合理利润。需要修订合同进度计划的，按照第10.2款的约定办理。</w:t>
      </w:r>
    </w:p>
    <w:p w14:paraId="1339C7DD">
      <w:pPr>
        <w:spacing w:line="360" w:lineRule="auto"/>
        <w:ind w:firstLine="315" w:firstLineChars="150"/>
        <w:rPr>
          <w:rFonts w:hint="eastAsia" w:ascii="宋体" w:hAnsi="宋体" w:eastAsia="宋体" w:cs="宋体"/>
        </w:rPr>
      </w:pPr>
      <w:r>
        <w:rPr>
          <w:rFonts w:hint="eastAsia" w:ascii="宋体" w:hAnsi="宋体" w:eastAsia="宋体" w:cs="宋体"/>
        </w:rPr>
        <w:t>（1）增加合同工作内容；</w:t>
      </w:r>
    </w:p>
    <w:p w14:paraId="2AB52FF2">
      <w:pPr>
        <w:spacing w:line="360" w:lineRule="auto"/>
        <w:ind w:firstLine="315" w:firstLineChars="150"/>
        <w:rPr>
          <w:rFonts w:hint="eastAsia" w:ascii="宋体" w:hAnsi="宋体" w:eastAsia="宋体" w:cs="宋体"/>
        </w:rPr>
      </w:pPr>
      <w:r>
        <w:rPr>
          <w:rFonts w:hint="eastAsia" w:ascii="宋体" w:hAnsi="宋体" w:eastAsia="宋体" w:cs="宋体"/>
        </w:rPr>
        <w:t>（2）改变合同中任何一项工作的质量要求或其他特性；</w:t>
      </w:r>
    </w:p>
    <w:p w14:paraId="03FD1569">
      <w:pPr>
        <w:spacing w:line="360" w:lineRule="auto"/>
        <w:ind w:firstLine="315" w:firstLineChars="150"/>
        <w:rPr>
          <w:rFonts w:hint="eastAsia" w:ascii="宋体" w:hAnsi="宋体" w:eastAsia="宋体" w:cs="宋体"/>
        </w:rPr>
      </w:pPr>
      <w:r>
        <w:rPr>
          <w:rFonts w:hint="eastAsia" w:ascii="宋体" w:hAnsi="宋体" w:eastAsia="宋体" w:cs="宋体"/>
        </w:rPr>
        <w:t>（3）发包人迟延提供材料、工程设备或变更交货地点的；</w:t>
      </w:r>
    </w:p>
    <w:p w14:paraId="1F2AFCFE">
      <w:pPr>
        <w:spacing w:line="360" w:lineRule="auto"/>
        <w:ind w:firstLine="315" w:firstLineChars="150"/>
        <w:rPr>
          <w:rFonts w:hint="eastAsia" w:ascii="宋体" w:hAnsi="宋体" w:eastAsia="宋体" w:cs="宋体"/>
        </w:rPr>
      </w:pPr>
      <w:r>
        <w:rPr>
          <w:rFonts w:hint="eastAsia" w:ascii="宋体" w:hAnsi="宋体" w:eastAsia="宋体" w:cs="宋体"/>
        </w:rPr>
        <w:t>（4）因发包人原因导致的暂停施工；</w:t>
      </w:r>
    </w:p>
    <w:p w14:paraId="4F385751">
      <w:pPr>
        <w:spacing w:line="360" w:lineRule="auto"/>
        <w:ind w:firstLine="315" w:firstLineChars="150"/>
        <w:rPr>
          <w:rFonts w:hint="eastAsia" w:ascii="宋体" w:hAnsi="宋体" w:eastAsia="宋体" w:cs="宋体"/>
        </w:rPr>
      </w:pPr>
      <w:r>
        <w:rPr>
          <w:rFonts w:hint="eastAsia" w:ascii="宋体" w:hAnsi="宋体" w:eastAsia="宋体" w:cs="宋体"/>
        </w:rPr>
        <w:t>（5）提供图纸延误；</w:t>
      </w:r>
    </w:p>
    <w:p w14:paraId="3F7A9D5C">
      <w:pPr>
        <w:spacing w:line="360" w:lineRule="auto"/>
        <w:ind w:firstLine="315" w:firstLineChars="150"/>
        <w:rPr>
          <w:rFonts w:hint="eastAsia" w:ascii="宋体" w:hAnsi="宋体" w:eastAsia="宋体" w:cs="宋体"/>
        </w:rPr>
      </w:pPr>
      <w:r>
        <w:rPr>
          <w:rFonts w:hint="eastAsia" w:ascii="宋体" w:hAnsi="宋体" w:eastAsia="宋体" w:cs="宋体"/>
        </w:rPr>
        <w:t>（6）未按合同约定及时支付预付款、进度款；</w:t>
      </w:r>
    </w:p>
    <w:p w14:paraId="5DF3B194">
      <w:pPr>
        <w:spacing w:line="360" w:lineRule="auto"/>
        <w:ind w:firstLine="315" w:firstLineChars="150"/>
        <w:rPr>
          <w:rFonts w:hint="eastAsia" w:ascii="宋体" w:hAnsi="宋体" w:eastAsia="宋体" w:cs="宋体"/>
        </w:rPr>
      </w:pPr>
      <w:r>
        <w:rPr>
          <w:rFonts w:hint="eastAsia" w:ascii="宋体" w:hAnsi="宋体" w:eastAsia="宋体" w:cs="宋体"/>
        </w:rPr>
        <w:t>（7）</w:t>
      </w:r>
      <w:r>
        <w:rPr>
          <w:rFonts w:hint="eastAsia" w:ascii="宋体" w:hAnsi="宋体" w:eastAsia="宋体" w:cs="宋体"/>
          <w:szCs w:val="21"/>
        </w:rPr>
        <w:t xml:space="preserve">因发包人原因不能按照监理人发出的开工通知中载明的开工日期开工； </w:t>
      </w:r>
    </w:p>
    <w:p w14:paraId="68F06ED4">
      <w:pPr>
        <w:spacing w:line="360" w:lineRule="auto"/>
        <w:ind w:firstLine="315" w:firstLineChars="150"/>
        <w:rPr>
          <w:rFonts w:hint="eastAsia" w:ascii="宋体" w:hAnsi="宋体" w:eastAsia="宋体" w:cs="宋体"/>
        </w:rPr>
      </w:pPr>
      <w:r>
        <w:rPr>
          <w:rFonts w:hint="eastAsia" w:ascii="宋体" w:hAnsi="宋体" w:eastAsia="宋体" w:cs="宋体"/>
        </w:rPr>
        <w:t>（8）发包人造成工期延误的其他原因见合同条款专用部分。</w:t>
      </w:r>
    </w:p>
    <w:p w14:paraId="6AD8A2B7">
      <w:pPr>
        <w:keepNext/>
        <w:keepLines/>
        <w:spacing w:before="156" w:beforeLines="50" w:after="156" w:afterLines="50" w:line="360" w:lineRule="auto"/>
        <w:outlineLvl w:val="2"/>
        <w:rPr>
          <w:rFonts w:hint="eastAsia" w:ascii="宋体" w:hAnsi="宋体" w:eastAsia="宋体" w:cs="宋体"/>
          <w:sz w:val="24"/>
          <w:szCs w:val="20"/>
        </w:rPr>
      </w:pPr>
      <w:bookmarkStart w:id="1087" w:name="_Toc490222568"/>
      <w:bookmarkStart w:id="1088" w:name="_Toc489279934"/>
      <w:bookmarkStart w:id="1089" w:name="_Toc497213799"/>
      <w:bookmarkStart w:id="1090" w:name="_Toc10235395"/>
      <w:bookmarkStart w:id="1091" w:name="_Toc486580123"/>
      <w:bookmarkStart w:id="1092" w:name="_Toc61020315"/>
      <w:r>
        <w:rPr>
          <w:rFonts w:hint="eastAsia" w:ascii="宋体" w:hAnsi="宋体" w:eastAsia="宋体" w:cs="宋体"/>
          <w:sz w:val="24"/>
          <w:szCs w:val="20"/>
        </w:rPr>
        <w:t>11.4  异常恶劣的气候条件</w:t>
      </w:r>
      <w:bookmarkEnd w:id="1087"/>
      <w:bookmarkEnd w:id="1088"/>
      <w:bookmarkEnd w:id="1089"/>
      <w:bookmarkEnd w:id="1090"/>
      <w:bookmarkEnd w:id="1091"/>
      <w:bookmarkEnd w:id="1092"/>
    </w:p>
    <w:p w14:paraId="13E72F4F">
      <w:pPr>
        <w:spacing w:line="360" w:lineRule="auto"/>
        <w:ind w:firstLine="420" w:firstLineChars="200"/>
        <w:rPr>
          <w:rFonts w:hint="eastAsia" w:ascii="宋体" w:hAnsi="宋体" w:eastAsia="宋体" w:cs="宋体"/>
        </w:rPr>
      </w:pPr>
      <w:r>
        <w:rPr>
          <w:rFonts w:hint="eastAsia" w:ascii="宋体" w:hAnsi="宋体" w:eastAsia="宋体" w:cs="宋体"/>
        </w:rPr>
        <w:t>由于出现异常恶劣气候的条件导致工期延误的，承包人有权要求发包人延长工期。</w:t>
      </w:r>
      <w:r>
        <w:rPr>
          <w:rFonts w:hint="eastAsia" w:ascii="宋体" w:hAnsi="宋体" w:eastAsia="宋体" w:cs="宋体"/>
          <w:szCs w:val="21"/>
        </w:rPr>
        <w:t>异常恶劣的气候条件的范围和标准</w:t>
      </w:r>
      <w:r>
        <w:rPr>
          <w:rFonts w:hint="eastAsia" w:ascii="宋体" w:hAnsi="宋体" w:eastAsia="宋体" w:cs="宋体"/>
        </w:rPr>
        <w:t>见合同条款专用部分。</w:t>
      </w:r>
    </w:p>
    <w:p w14:paraId="270EA1AC">
      <w:pPr>
        <w:keepNext/>
        <w:keepLines/>
        <w:spacing w:before="156" w:beforeLines="50" w:after="156" w:afterLines="50" w:line="360" w:lineRule="auto"/>
        <w:outlineLvl w:val="2"/>
        <w:rPr>
          <w:rFonts w:hint="eastAsia" w:ascii="宋体" w:hAnsi="宋体" w:eastAsia="宋体" w:cs="宋体"/>
          <w:sz w:val="24"/>
          <w:szCs w:val="20"/>
        </w:rPr>
      </w:pPr>
      <w:bookmarkStart w:id="1093" w:name="_Toc10235396"/>
      <w:bookmarkStart w:id="1094" w:name="_Toc490222569"/>
      <w:bookmarkStart w:id="1095" w:name="_Toc497213800"/>
      <w:bookmarkStart w:id="1096" w:name="_Toc486580124"/>
      <w:bookmarkStart w:id="1097" w:name="_Toc61020316"/>
      <w:bookmarkStart w:id="1098" w:name="_Toc489279935"/>
      <w:r>
        <w:rPr>
          <w:rFonts w:hint="eastAsia" w:ascii="宋体" w:hAnsi="宋体" w:eastAsia="宋体" w:cs="宋体"/>
          <w:sz w:val="24"/>
          <w:szCs w:val="20"/>
        </w:rPr>
        <w:t>11.5  承包人的工期延误</w:t>
      </w:r>
      <w:bookmarkEnd w:id="1093"/>
      <w:bookmarkEnd w:id="1094"/>
      <w:bookmarkEnd w:id="1095"/>
      <w:bookmarkEnd w:id="1096"/>
      <w:bookmarkEnd w:id="1097"/>
      <w:bookmarkEnd w:id="1098"/>
    </w:p>
    <w:p w14:paraId="775D1142">
      <w:pPr>
        <w:spacing w:line="360" w:lineRule="auto"/>
        <w:ind w:firstLine="420" w:firstLineChars="200"/>
        <w:rPr>
          <w:rFonts w:hint="eastAsia" w:ascii="宋体" w:hAnsi="宋体" w:eastAsia="宋体" w:cs="宋体"/>
        </w:rPr>
      </w:pPr>
      <w:r>
        <w:rPr>
          <w:rFonts w:hint="eastAsia" w:ascii="宋体" w:hAnsi="宋体" w:eastAsia="宋体" w:cs="宋体"/>
          <w:szCs w:val="21"/>
        </w:rPr>
        <w:t xml:space="preserve">11.5.1  </w:t>
      </w:r>
      <w:r>
        <w:rPr>
          <w:rFonts w:hint="eastAsia" w:ascii="宋体" w:hAnsi="宋体" w:eastAsia="宋体" w:cs="宋体"/>
        </w:rPr>
        <w:t>由于承包人原因，未能按合同进度计划完成工作，或监理人认为承包人施工进度不能满足合同工期要求的，承包人应采取措施加快进度，并承担加快进度所增加的费用。</w:t>
      </w:r>
    </w:p>
    <w:p w14:paraId="486BFFA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11.5.2  由于承包人原因造成不能按期竣工的，按照合同约定的竣工日期（包括按合同工期延长）后7天内，监理人应当按第23.4.1项的约定书面通知承包人,说明发包人有权得到逾期竣工违约金，逾期竣工违约金计算标准和计算方法</w:t>
      </w:r>
      <w:r>
        <w:rPr>
          <w:rFonts w:hint="eastAsia" w:ascii="宋体" w:hAnsi="宋体" w:eastAsia="宋体" w:cs="宋体"/>
        </w:rPr>
        <w:t>见合同条款专用部分。</w:t>
      </w:r>
      <w:r>
        <w:rPr>
          <w:rFonts w:hint="eastAsia" w:ascii="宋体" w:hAnsi="宋体" w:eastAsia="宋体" w:cs="宋体"/>
          <w:szCs w:val="21"/>
        </w:rPr>
        <w:t>但最终逾期竣工违约金的金额不应超过合同约定的逾期竣工违约金最高限额。逾期竣工违约金最高限额</w:t>
      </w:r>
      <w:r>
        <w:rPr>
          <w:rFonts w:hint="eastAsia" w:ascii="宋体" w:hAnsi="宋体" w:eastAsia="宋体" w:cs="宋体"/>
        </w:rPr>
        <w:t>见合同条款专用部分</w:t>
      </w:r>
      <w:r>
        <w:rPr>
          <w:rFonts w:hint="eastAsia" w:ascii="宋体" w:hAnsi="宋体" w:eastAsia="宋体" w:cs="宋体"/>
          <w:szCs w:val="21"/>
        </w:rPr>
        <w:t>。</w:t>
      </w:r>
    </w:p>
    <w:p w14:paraId="723B41B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监理人未在规定的期限内发出本款约定的书面通知的，发包人丧失主张逾期竣工违约金的权利。</w:t>
      </w:r>
    </w:p>
    <w:p w14:paraId="66551572">
      <w:pPr>
        <w:spacing w:line="360" w:lineRule="auto"/>
        <w:ind w:firstLine="420" w:firstLineChars="200"/>
        <w:rPr>
          <w:rFonts w:hint="eastAsia" w:ascii="宋体" w:hAnsi="宋体" w:eastAsia="宋体" w:cs="宋体"/>
        </w:rPr>
      </w:pPr>
      <w:r>
        <w:rPr>
          <w:rFonts w:hint="eastAsia" w:ascii="宋体" w:hAnsi="宋体" w:eastAsia="宋体" w:cs="宋体"/>
          <w:szCs w:val="21"/>
        </w:rPr>
        <w:t xml:space="preserve">11.5.3  </w:t>
      </w:r>
      <w:r>
        <w:rPr>
          <w:rFonts w:hint="eastAsia" w:ascii="宋体" w:hAnsi="宋体" w:eastAsia="宋体" w:cs="宋体"/>
        </w:rPr>
        <w:t>承包人支付逾期竣工违约金，不免除承包人完成工程及修补缺陷的义务。</w:t>
      </w:r>
    </w:p>
    <w:p w14:paraId="69249BF1">
      <w:pPr>
        <w:keepNext/>
        <w:keepLines/>
        <w:spacing w:before="156" w:beforeLines="50" w:after="156" w:afterLines="50" w:line="360" w:lineRule="auto"/>
        <w:outlineLvl w:val="2"/>
        <w:rPr>
          <w:rFonts w:hint="eastAsia" w:ascii="宋体" w:hAnsi="宋体" w:eastAsia="宋体" w:cs="宋体"/>
          <w:sz w:val="24"/>
          <w:szCs w:val="20"/>
        </w:rPr>
      </w:pPr>
      <w:bookmarkStart w:id="1099" w:name="_Toc10235397"/>
      <w:bookmarkStart w:id="1100" w:name="_Toc486580125"/>
      <w:bookmarkStart w:id="1101" w:name="_Toc497213801"/>
      <w:bookmarkStart w:id="1102" w:name="_Toc489279936"/>
      <w:bookmarkStart w:id="1103" w:name="_Toc490222570"/>
      <w:bookmarkStart w:id="1104" w:name="_Toc61020317"/>
      <w:r>
        <w:rPr>
          <w:rFonts w:hint="eastAsia" w:ascii="宋体" w:hAnsi="宋体" w:eastAsia="宋体" w:cs="宋体"/>
          <w:sz w:val="24"/>
          <w:szCs w:val="20"/>
        </w:rPr>
        <w:t>11.6  工期提前</w:t>
      </w:r>
      <w:bookmarkEnd w:id="1099"/>
      <w:bookmarkEnd w:id="1100"/>
      <w:bookmarkEnd w:id="1101"/>
      <w:bookmarkEnd w:id="1102"/>
      <w:bookmarkEnd w:id="1103"/>
      <w:bookmarkEnd w:id="1104"/>
    </w:p>
    <w:p w14:paraId="3C7F4B1C">
      <w:pPr>
        <w:spacing w:line="360" w:lineRule="auto"/>
        <w:ind w:firstLine="420" w:firstLineChars="200"/>
        <w:rPr>
          <w:rFonts w:hint="eastAsia" w:ascii="宋体" w:hAnsi="宋体" w:eastAsia="宋体" w:cs="宋体"/>
        </w:rPr>
      </w:pPr>
      <w:r>
        <w:rPr>
          <w:rFonts w:hint="eastAsia" w:ascii="宋体" w:hAnsi="宋体" w:eastAsia="宋体" w:cs="宋体"/>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w:t>
      </w:r>
      <w:r>
        <w:rPr>
          <w:rFonts w:hint="eastAsia" w:ascii="宋体" w:hAnsi="宋体" w:eastAsia="宋体" w:cs="宋体"/>
          <w:szCs w:val="21"/>
        </w:rPr>
        <w:t>提前竣工的奖励办法</w:t>
      </w:r>
      <w:r>
        <w:rPr>
          <w:rFonts w:hint="eastAsia" w:ascii="宋体" w:hAnsi="宋体" w:eastAsia="宋体" w:cs="宋体"/>
        </w:rPr>
        <w:t>见合同条款专用部分。</w:t>
      </w:r>
    </w:p>
    <w:p w14:paraId="7A7153D9">
      <w:pPr>
        <w:keepNext/>
        <w:keepLines/>
        <w:spacing w:before="156" w:beforeLines="50" w:after="156" w:afterLines="50" w:line="360" w:lineRule="auto"/>
        <w:outlineLvl w:val="1"/>
        <w:rPr>
          <w:rFonts w:hint="eastAsia" w:ascii="宋体" w:hAnsi="宋体" w:eastAsia="宋体" w:cs="宋体"/>
          <w:sz w:val="28"/>
          <w:szCs w:val="20"/>
        </w:rPr>
      </w:pPr>
      <w:bookmarkStart w:id="1105" w:name="_Toc489279937"/>
      <w:bookmarkStart w:id="1106" w:name="_Toc10235398"/>
      <w:bookmarkStart w:id="1107" w:name="_Toc490222571"/>
      <w:bookmarkStart w:id="1108" w:name="_Toc61020318"/>
      <w:bookmarkStart w:id="1109" w:name="_Toc497213802"/>
      <w:bookmarkStart w:id="1110" w:name="_Toc486580126"/>
      <w:r>
        <w:rPr>
          <w:rFonts w:hint="eastAsia" w:ascii="宋体" w:hAnsi="宋体" w:eastAsia="宋体" w:cs="宋体"/>
          <w:sz w:val="28"/>
          <w:szCs w:val="20"/>
        </w:rPr>
        <w:t>12.暂停施工</w:t>
      </w:r>
      <w:bookmarkEnd w:id="1105"/>
      <w:bookmarkEnd w:id="1106"/>
      <w:bookmarkEnd w:id="1107"/>
      <w:bookmarkEnd w:id="1108"/>
      <w:bookmarkEnd w:id="1109"/>
      <w:bookmarkEnd w:id="1110"/>
    </w:p>
    <w:p w14:paraId="68AAB480">
      <w:pPr>
        <w:keepNext/>
        <w:keepLines/>
        <w:spacing w:before="156" w:beforeLines="50" w:after="156" w:afterLines="50" w:line="360" w:lineRule="auto"/>
        <w:outlineLvl w:val="2"/>
        <w:rPr>
          <w:rFonts w:hint="eastAsia" w:ascii="宋体" w:hAnsi="宋体" w:eastAsia="宋体" w:cs="宋体"/>
          <w:sz w:val="24"/>
          <w:szCs w:val="20"/>
        </w:rPr>
      </w:pPr>
      <w:bookmarkStart w:id="1111" w:name="_Toc486580127"/>
      <w:bookmarkStart w:id="1112" w:name="_Toc61020319"/>
      <w:bookmarkStart w:id="1113" w:name="_Toc490222572"/>
      <w:bookmarkStart w:id="1114" w:name="_Toc10235399"/>
      <w:bookmarkStart w:id="1115" w:name="_Toc489279938"/>
      <w:bookmarkStart w:id="1116" w:name="_Toc497213803"/>
      <w:r>
        <w:rPr>
          <w:rFonts w:hint="eastAsia" w:ascii="宋体" w:hAnsi="宋体" w:eastAsia="宋体" w:cs="宋体"/>
          <w:sz w:val="24"/>
          <w:szCs w:val="20"/>
        </w:rPr>
        <w:t>12.1  承包人暂停施工的责任</w:t>
      </w:r>
      <w:bookmarkEnd w:id="1111"/>
      <w:bookmarkEnd w:id="1112"/>
      <w:bookmarkEnd w:id="1113"/>
      <w:bookmarkEnd w:id="1114"/>
      <w:bookmarkEnd w:id="1115"/>
      <w:bookmarkEnd w:id="1116"/>
    </w:p>
    <w:p w14:paraId="77DB7853">
      <w:pPr>
        <w:spacing w:line="360" w:lineRule="auto"/>
        <w:ind w:firstLine="420" w:firstLineChars="200"/>
        <w:rPr>
          <w:rFonts w:hint="eastAsia" w:ascii="宋体" w:hAnsi="宋体" w:eastAsia="宋体" w:cs="宋体"/>
        </w:rPr>
      </w:pPr>
      <w:r>
        <w:rPr>
          <w:rFonts w:hint="eastAsia" w:ascii="宋体" w:hAnsi="宋体" w:eastAsia="宋体" w:cs="宋体"/>
        </w:rPr>
        <w:t>因下列</w:t>
      </w:r>
      <w:r>
        <w:rPr>
          <w:rFonts w:hint="eastAsia" w:ascii="宋体" w:hAnsi="宋体" w:eastAsia="宋体" w:cs="宋体"/>
          <w:szCs w:val="21"/>
        </w:rPr>
        <w:t>情形</w:t>
      </w:r>
      <w:r>
        <w:rPr>
          <w:rFonts w:hint="eastAsia" w:ascii="宋体" w:hAnsi="宋体" w:eastAsia="宋体" w:cs="宋体"/>
        </w:rPr>
        <w:t>暂停施工增加的费用和（或）工期延误由承包人承担：</w:t>
      </w:r>
    </w:p>
    <w:p w14:paraId="39A40296">
      <w:pPr>
        <w:spacing w:line="360" w:lineRule="auto"/>
        <w:ind w:firstLine="315" w:firstLineChars="150"/>
        <w:rPr>
          <w:rFonts w:hint="eastAsia" w:ascii="宋体" w:hAnsi="宋体" w:eastAsia="宋体" w:cs="宋体"/>
        </w:rPr>
      </w:pPr>
      <w:r>
        <w:rPr>
          <w:rFonts w:hint="eastAsia" w:ascii="宋体" w:hAnsi="宋体" w:eastAsia="宋体" w:cs="宋体"/>
        </w:rPr>
        <w:t>（1）承包人违约引起的暂停施工；</w:t>
      </w:r>
    </w:p>
    <w:p w14:paraId="640406D6">
      <w:pPr>
        <w:spacing w:line="360" w:lineRule="auto"/>
        <w:ind w:firstLine="315" w:firstLineChars="150"/>
        <w:rPr>
          <w:rFonts w:hint="eastAsia" w:ascii="宋体" w:hAnsi="宋体" w:eastAsia="宋体" w:cs="宋体"/>
        </w:rPr>
      </w:pPr>
      <w:r>
        <w:rPr>
          <w:rFonts w:hint="eastAsia" w:ascii="宋体" w:hAnsi="宋体" w:eastAsia="宋体" w:cs="宋体"/>
        </w:rPr>
        <w:t>（2）由于承包人原因为工程合理施工和安全保障所必需的暂停施工；</w:t>
      </w:r>
    </w:p>
    <w:p w14:paraId="0987317D">
      <w:pPr>
        <w:spacing w:line="360" w:lineRule="auto"/>
        <w:ind w:firstLine="315" w:firstLineChars="150"/>
        <w:rPr>
          <w:rFonts w:hint="eastAsia" w:ascii="宋体" w:hAnsi="宋体" w:eastAsia="宋体" w:cs="宋体"/>
        </w:rPr>
      </w:pPr>
      <w:r>
        <w:rPr>
          <w:rFonts w:hint="eastAsia" w:ascii="宋体" w:hAnsi="宋体" w:eastAsia="宋体" w:cs="宋体"/>
        </w:rPr>
        <w:t>（3）承包人擅自暂停施工；</w:t>
      </w:r>
    </w:p>
    <w:p w14:paraId="2282318C">
      <w:pPr>
        <w:spacing w:line="360" w:lineRule="auto"/>
        <w:ind w:firstLine="315" w:firstLineChars="150"/>
        <w:rPr>
          <w:rFonts w:hint="eastAsia" w:ascii="宋体" w:hAnsi="宋体" w:eastAsia="宋体" w:cs="宋体"/>
        </w:rPr>
      </w:pPr>
      <w:r>
        <w:rPr>
          <w:rFonts w:hint="eastAsia" w:ascii="宋体" w:hAnsi="宋体" w:eastAsia="宋体" w:cs="宋体"/>
        </w:rPr>
        <w:t>（4）</w:t>
      </w:r>
      <w:r>
        <w:rPr>
          <w:rFonts w:hint="eastAsia" w:ascii="宋体" w:hAnsi="宋体" w:eastAsia="宋体" w:cs="宋体"/>
          <w:szCs w:val="21"/>
        </w:rPr>
        <w:t>承包人承担暂停施工责任的其他情形</w:t>
      </w:r>
      <w:r>
        <w:rPr>
          <w:rFonts w:hint="eastAsia" w:ascii="宋体" w:hAnsi="宋体" w:eastAsia="宋体" w:cs="宋体"/>
        </w:rPr>
        <w:t>见合同条款专用部分。</w:t>
      </w:r>
    </w:p>
    <w:p w14:paraId="77B396FB">
      <w:pPr>
        <w:keepNext/>
        <w:keepLines/>
        <w:spacing w:before="156" w:beforeLines="50" w:after="156" w:afterLines="50" w:line="360" w:lineRule="auto"/>
        <w:outlineLvl w:val="2"/>
        <w:rPr>
          <w:rFonts w:hint="eastAsia" w:ascii="宋体" w:hAnsi="宋体" w:eastAsia="宋体" w:cs="宋体"/>
          <w:sz w:val="24"/>
          <w:szCs w:val="20"/>
        </w:rPr>
      </w:pPr>
      <w:bookmarkStart w:id="1117" w:name="_Toc486580128"/>
      <w:bookmarkStart w:id="1118" w:name="_Toc490222573"/>
      <w:bookmarkStart w:id="1119" w:name="_Toc10235400"/>
      <w:bookmarkStart w:id="1120" w:name="_Toc489279939"/>
      <w:bookmarkStart w:id="1121" w:name="_Toc61020320"/>
      <w:bookmarkStart w:id="1122" w:name="_Toc497213804"/>
      <w:r>
        <w:rPr>
          <w:rFonts w:hint="eastAsia" w:ascii="宋体" w:hAnsi="宋体" w:eastAsia="宋体" w:cs="宋体"/>
          <w:sz w:val="24"/>
          <w:szCs w:val="20"/>
        </w:rPr>
        <w:t>12.2  发包人暂停施工的责任</w:t>
      </w:r>
      <w:bookmarkEnd w:id="1117"/>
      <w:bookmarkEnd w:id="1118"/>
      <w:bookmarkEnd w:id="1119"/>
      <w:bookmarkEnd w:id="1120"/>
      <w:bookmarkEnd w:id="1121"/>
      <w:bookmarkEnd w:id="1122"/>
    </w:p>
    <w:p w14:paraId="3FB41431">
      <w:pPr>
        <w:spacing w:line="360" w:lineRule="auto"/>
        <w:ind w:firstLine="420" w:firstLineChars="200"/>
        <w:rPr>
          <w:rFonts w:hint="eastAsia" w:ascii="宋体" w:hAnsi="宋体" w:eastAsia="宋体" w:cs="宋体"/>
        </w:rPr>
      </w:pPr>
      <w:r>
        <w:rPr>
          <w:rFonts w:hint="eastAsia" w:ascii="宋体" w:hAnsi="宋体" w:eastAsia="宋体" w:cs="宋体"/>
        </w:rPr>
        <w:t>由于发包人原因引起的暂停施工造成工期延误的，承包人有权要求发包人延长工期和（或）增加费用，并支付合理利润。</w:t>
      </w:r>
    </w:p>
    <w:p w14:paraId="7A778320">
      <w:pPr>
        <w:keepNext/>
        <w:keepLines/>
        <w:spacing w:before="156" w:beforeLines="50" w:after="156" w:afterLines="50" w:line="360" w:lineRule="auto"/>
        <w:outlineLvl w:val="2"/>
        <w:rPr>
          <w:rFonts w:hint="eastAsia" w:ascii="宋体" w:hAnsi="宋体" w:eastAsia="宋体" w:cs="宋体"/>
          <w:sz w:val="24"/>
          <w:szCs w:val="20"/>
        </w:rPr>
      </w:pPr>
      <w:bookmarkStart w:id="1123" w:name="_Toc497213805"/>
      <w:bookmarkStart w:id="1124" w:name="_Toc490222574"/>
      <w:bookmarkStart w:id="1125" w:name="_Toc10235401"/>
      <w:bookmarkStart w:id="1126" w:name="_Toc61020321"/>
      <w:bookmarkStart w:id="1127" w:name="_Toc489279940"/>
      <w:bookmarkStart w:id="1128" w:name="_Toc486580129"/>
      <w:r>
        <w:rPr>
          <w:rFonts w:hint="eastAsia" w:ascii="宋体" w:hAnsi="宋体" w:eastAsia="宋体" w:cs="宋体"/>
          <w:sz w:val="24"/>
          <w:szCs w:val="20"/>
        </w:rPr>
        <w:t>12.3  监理人暂停施工指示</w:t>
      </w:r>
      <w:bookmarkEnd w:id="1123"/>
      <w:bookmarkEnd w:id="1124"/>
      <w:bookmarkEnd w:id="1125"/>
      <w:bookmarkEnd w:id="1126"/>
      <w:bookmarkEnd w:id="1127"/>
      <w:bookmarkEnd w:id="1128"/>
    </w:p>
    <w:p w14:paraId="55EE4EF8">
      <w:pPr>
        <w:spacing w:line="360" w:lineRule="auto"/>
        <w:ind w:firstLine="420" w:firstLineChars="200"/>
        <w:rPr>
          <w:rFonts w:hint="eastAsia" w:ascii="宋体" w:hAnsi="宋体" w:eastAsia="宋体" w:cs="宋体"/>
        </w:rPr>
      </w:pPr>
      <w:r>
        <w:rPr>
          <w:rFonts w:hint="eastAsia" w:ascii="宋体" w:hAnsi="宋体" w:eastAsia="宋体" w:cs="宋体"/>
        </w:rPr>
        <w:t>12.3.1  监理人认为有必要时，可向承包人作出暂停施工的指示，承包人应按监理人指示暂停施工。不论由于何种原因引起的暂停施工，暂停施工期间承包人应负责妥善保护工程并提供安全保障。</w:t>
      </w:r>
    </w:p>
    <w:p w14:paraId="3258731C">
      <w:pPr>
        <w:spacing w:line="360" w:lineRule="auto"/>
        <w:ind w:firstLine="420" w:firstLineChars="200"/>
        <w:rPr>
          <w:rFonts w:hint="eastAsia" w:ascii="宋体" w:hAnsi="宋体" w:eastAsia="宋体" w:cs="宋体"/>
        </w:rPr>
      </w:pPr>
      <w:r>
        <w:rPr>
          <w:rFonts w:hint="eastAsia" w:ascii="宋体" w:hAnsi="宋体" w:eastAsia="宋体" w:cs="宋体"/>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0644CC0C">
      <w:pPr>
        <w:keepNext/>
        <w:keepLines/>
        <w:spacing w:before="156" w:beforeLines="50" w:after="156" w:afterLines="50" w:line="360" w:lineRule="auto"/>
        <w:outlineLvl w:val="2"/>
        <w:rPr>
          <w:rFonts w:hint="eastAsia" w:ascii="宋体" w:hAnsi="宋体" w:eastAsia="宋体" w:cs="宋体"/>
          <w:sz w:val="24"/>
          <w:szCs w:val="20"/>
        </w:rPr>
      </w:pPr>
      <w:bookmarkStart w:id="1129" w:name="_Toc489279941"/>
      <w:bookmarkStart w:id="1130" w:name="_Toc10235402"/>
      <w:bookmarkStart w:id="1131" w:name="_Toc486580130"/>
      <w:bookmarkStart w:id="1132" w:name="_Toc490222575"/>
      <w:bookmarkStart w:id="1133" w:name="_Toc61020322"/>
      <w:bookmarkStart w:id="1134" w:name="_Toc497213806"/>
      <w:r>
        <w:rPr>
          <w:rFonts w:hint="eastAsia" w:ascii="宋体" w:hAnsi="宋体" w:eastAsia="宋体" w:cs="宋体"/>
          <w:sz w:val="24"/>
          <w:szCs w:val="20"/>
        </w:rPr>
        <w:t>12.4  暂停施工后的复工</w:t>
      </w:r>
      <w:bookmarkEnd w:id="1129"/>
      <w:bookmarkEnd w:id="1130"/>
      <w:bookmarkEnd w:id="1131"/>
      <w:bookmarkEnd w:id="1132"/>
      <w:bookmarkEnd w:id="1133"/>
      <w:bookmarkEnd w:id="1134"/>
    </w:p>
    <w:p w14:paraId="185497CB">
      <w:pPr>
        <w:spacing w:line="360" w:lineRule="auto"/>
        <w:ind w:firstLine="420" w:firstLineChars="200"/>
        <w:rPr>
          <w:rFonts w:hint="eastAsia" w:ascii="宋体" w:hAnsi="宋体" w:eastAsia="宋体" w:cs="宋体"/>
        </w:rPr>
      </w:pPr>
      <w:r>
        <w:rPr>
          <w:rFonts w:hint="eastAsia" w:ascii="宋体" w:hAnsi="宋体" w:eastAsia="宋体" w:cs="宋体"/>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004FF967">
      <w:pPr>
        <w:spacing w:line="360" w:lineRule="auto"/>
        <w:ind w:firstLine="420" w:firstLineChars="200"/>
        <w:rPr>
          <w:rFonts w:hint="eastAsia" w:ascii="宋体" w:hAnsi="宋体" w:eastAsia="宋体" w:cs="宋体"/>
        </w:rPr>
      </w:pPr>
      <w:r>
        <w:rPr>
          <w:rFonts w:hint="eastAsia" w:ascii="宋体" w:hAnsi="宋体" w:eastAsia="宋体" w:cs="宋体"/>
        </w:rPr>
        <w:t>12.4.2  承包人无故拖延和拒绝复工的，由此增加的费用和工期延误由承包人承担；因发包人原因无法按时复工的，承包人有权要求发包人延长工期和（或）增加费用，并支付合理利润。</w:t>
      </w:r>
    </w:p>
    <w:p w14:paraId="171F8FCE">
      <w:pPr>
        <w:spacing w:line="360" w:lineRule="auto"/>
        <w:ind w:firstLine="420" w:firstLineChars="200"/>
        <w:rPr>
          <w:rFonts w:hint="eastAsia" w:ascii="宋体" w:hAnsi="宋体" w:eastAsia="宋体" w:cs="宋体"/>
          <w:szCs w:val="21"/>
        </w:rPr>
      </w:pPr>
      <w:r>
        <w:rPr>
          <w:rFonts w:hint="eastAsia" w:ascii="宋体" w:hAnsi="宋体" w:eastAsia="宋体" w:cs="宋体"/>
        </w:rPr>
        <w:t xml:space="preserve">12.4.3  </w:t>
      </w:r>
      <w:r>
        <w:rPr>
          <w:rFonts w:hint="eastAsia" w:ascii="宋体" w:hAnsi="宋体" w:eastAsia="宋体" w:cs="宋体"/>
          <w:szCs w:val="21"/>
        </w:rPr>
        <w:t>根据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30DC8BD5">
      <w:pPr>
        <w:spacing w:line="360" w:lineRule="auto"/>
        <w:ind w:firstLine="420" w:firstLineChars="200"/>
        <w:rPr>
          <w:rFonts w:hint="eastAsia" w:ascii="宋体" w:hAnsi="宋体" w:eastAsia="宋体" w:cs="宋体"/>
        </w:rPr>
      </w:pPr>
      <w:r>
        <w:rPr>
          <w:rFonts w:hint="eastAsia" w:ascii="宋体" w:hAnsi="宋体" w:eastAsia="宋体" w:cs="宋体"/>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17ED42DA">
      <w:pPr>
        <w:keepNext/>
        <w:keepLines/>
        <w:spacing w:before="156" w:beforeLines="50" w:after="156" w:afterLines="50" w:line="360" w:lineRule="auto"/>
        <w:outlineLvl w:val="2"/>
        <w:rPr>
          <w:rFonts w:hint="eastAsia" w:ascii="宋体" w:hAnsi="宋体" w:eastAsia="宋体" w:cs="宋体"/>
          <w:sz w:val="24"/>
          <w:szCs w:val="20"/>
        </w:rPr>
      </w:pPr>
      <w:bookmarkStart w:id="1135" w:name="_Toc61020323"/>
      <w:bookmarkStart w:id="1136" w:name="_Toc486580131"/>
      <w:bookmarkStart w:id="1137" w:name="_Toc490222576"/>
      <w:bookmarkStart w:id="1138" w:name="_Toc489279942"/>
      <w:bookmarkStart w:id="1139" w:name="_Toc10235403"/>
      <w:bookmarkStart w:id="1140" w:name="_Toc497213807"/>
      <w:r>
        <w:rPr>
          <w:rFonts w:hint="eastAsia" w:ascii="宋体" w:hAnsi="宋体" w:eastAsia="宋体" w:cs="宋体"/>
          <w:sz w:val="24"/>
          <w:szCs w:val="20"/>
        </w:rPr>
        <w:t>12.5  暂停施工持续56天以上</w:t>
      </w:r>
      <w:bookmarkEnd w:id="1135"/>
      <w:bookmarkEnd w:id="1136"/>
      <w:bookmarkEnd w:id="1137"/>
      <w:bookmarkEnd w:id="1138"/>
      <w:bookmarkEnd w:id="1139"/>
      <w:bookmarkEnd w:id="1140"/>
    </w:p>
    <w:p w14:paraId="042A7466">
      <w:pPr>
        <w:spacing w:line="360" w:lineRule="auto"/>
        <w:ind w:firstLine="411" w:firstLineChars="196"/>
        <w:rPr>
          <w:rFonts w:hint="eastAsia" w:ascii="宋体" w:hAnsi="宋体" w:eastAsia="宋体" w:cs="宋体"/>
        </w:rPr>
      </w:pPr>
      <w:r>
        <w:rPr>
          <w:rFonts w:hint="eastAsia" w:ascii="宋体" w:hAnsi="宋体" w:eastAsia="宋体" w:cs="宋体"/>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6BC0204E">
      <w:pPr>
        <w:tabs>
          <w:tab w:val="left" w:pos="1560"/>
        </w:tabs>
        <w:spacing w:line="360" w:lineRule="auto"/>
        <w:ind w:firstLine="420" w:firstLineChars="200"/>
        <w:rPr>
          <w:rFonts w:hint="eastAsia" w:ascii="宋体" w:hAnsi="宋体" w:eastAsia="宋体" w:cs="宋体"/>
        </w:rPr>
      </w:pPr>
      <w:r>
        <w:rPr>
          <w:rFonts w:hint="eastAsia" w:ascii="宋体" w:hAnsi="宋体" w:eastAsia="宋体" w:cs="宋体"/>
        </w:rPr>
        <w:t>12.5.2  由于承包人责任引起的暂停施工，如承包人在收到监理人暂停施工指示后56天内不认真采取有效的复工措施，造成工期延误，可视为承包人违约，应按第22.1款的规定办理。</w:t>
      </w:r>
    </w:p>
    <w:p w14:paraId="44A43377">
      <w:pPr>
        <w:keepNext/>
        <w:keepLines/>
        <w:spacing w:before="156" w:beforeLines="50" w:after="156" w:afterLines="50" w:line="360" w:lineRule="auto"/>
        <w:outlineLvl w:val="1"/>
        <w:rPr>
          <w:rFonts w:hint="eastAsia" w:ascii="宋体" w:hAnsi="宋体" w:eastAsia="宋体" w:cs="宋体"/>
          <w:sz w:val="28"/>
          <w:szCs w:val="20"/>
        </w:rPr>
      </w:pPr>
      <w:bookmarkStart w:id="1141" w:name="_Toc489279943"/>
      <w:bookmarkStart w:id="1142" w:name="_Toc486580132"/>
      <w:bookmarkStart w:id="1143" w:name="_Toc10235404"/>
      <w:bookmarkStart w:id="1144" w:name="_Toc490222577"/>
      <w:bookmarkStart w:id="1145" w:name="_Toc497213808"/>
      <w:bookmarkStart w:id="1146" w:name="_Toc61020324"/>
      <w:r>
        <w:rPr>
          <w:rFonts w:hint="eastAsia" w:ascii="宋体" w:hAnsi="宋体" w:eastAsia="宋体" w:cs="宋体"/>
          <w:sz w:val="28"/>
          <w:szCs w:val="20"/>
        </w:rPr>
        <w:t>13.工程质量</w:t>
      </w:r>
      <w:bookmarkEnd w:id="1141"/>
      <w:bookmarkEnd w:id="1142"/>
      <w:bookmarkEnd w:id="1143"/>
      <w:bookmarkEnd w:id="1144"/>
      <w:bookmarkEnd w:id="1145"/>
      <w:bookmarkEnd w:id="1146"/>
    </w:p>
    <w:p w14:paraId="6A57420E">
      <w:pPr>
        <w:keepNext/>
        <w:keepLines/>
        <w:spacing w:before="156" w:beforeLines="50" w:after="156" w:afterLines="50" w:line="360" w:lineRule="auto"/>
        <w:outlineLvl w:val="2"/>
        <w:rPr>
          <w:rFonts w:hint="eastAsia" w:ascii="宋体" w:hAnsi="宋体" w:eastAsia="宋体" w:cs="宋体"/>
          <w:sz w:val="24"/>
          <w:szCs w:val="20"/>
        </w:rPr>
      </w:pPr>
      <w:bookmarkStart w:id="1147" w:name="_Toc490222578"/>
      <w:bookmarkStart w:id="1148" w:name="_Toc486580133"/>
      <w:bookmarkStart w:id="1149" w:name="_Toc489279944"/>
      <w:bookmarkStart w:id="1150" w:name="_Toc497213809"/>
      <w:bookmarkStart w:id="1151" w:name="_Toc10235405"/>
      <w:bookmarkStart w:id="1152" w:name="_Toc61020325"/>
      <w:r>
        <w:rPr>
          <w:rFonts w:hint="eastAsia" w:ascii="宋体" w:hAnsi="宋体" w:eastAsia="宋体" w:cs="宋体"/>
          <w:sz w:val="24"/>
          <w:szCs w:val="20"/>
        </w:rPr>
        <w:t>13.1  工程质量要求</w:t>
      </w:r>
      <w:bookmarkEnd w:id="1147"/>
      <w:bookmarkEnd w:id="1148"/>
      <w:bookmarkEnd w:id="1149"/>
      <w:bookmarkEnd w:id="1150"/>
      <w:bookmarkEnd w:id="1151"/>
      <w:bookmarkEnd w:id="1152"/>
    </w:p>
    <w:p w14:paraId="308E0D85">
      <w:pPr>
        <w:spacing w:line="360" w:lineRule="auto"/>
        <w:ind w:firstLine="420" w:firstLineChars="200"/>
        <w:rPr>
          <w:rFonts w:hint="eastAsia" w:ascii="宋体" w:hAnsi="宋体" w:eastAsia="宋体" w:cs="宋体"/>
        </w:rPr>
      </w:pPr>
      <w:r>
        <w:rPr>
          <w:rFonts w:hint="eastAsia" w:ascii="宋体" w:hAnsi="宋体" w:eastAsia="宋体" w:cs="宋体"/>
        </w:rPr>
        <w:t>13.1.1  工程质量验收按合同约定验收标准执行。</w:t>
      </w:r>
    </w:p>
    <w:p w14:paraId="54A97983">
      <w:pPr>
        <w:spacing w:line="360" w:lineRule="auto"/>
        <w:ind w:firstLine="420" w:firstLineChars="200"/>
        <w:rPr>
          <w:rFonts w:hint="eastAsia" w:ascii="宋体" w:hAnsi="宋体" w:eastAsia="宋体" w:cs="宋体"/>
        </w:rPr>
      </w:pPr>
      <w:r>
        <w:rPr>
          <w:rFonts w:hint="eastAsia" w:ascii="宋体" w:hAnsi="宋体" w:eastAsia="宋体" w:cs="宋体"/>
        </w:rPr>
        <w:t>13.1.2  因承包人原因造成工程质量达不到合同约定验收标准的，监理人有权要求承包人返工直至符合合同要求为止，由此造成的费用增加和（或）工期延误由承包人承担。</w:t>
      </w:r>
    </w:p>
    <w:p w14:paraId="04A77A66">
      <w:pPr>
        <w:spacing w:line="360" w:lineRule="auto"/>
        <w:ind w:firstLine="420" w:firstLineChars="200"/>
        <w:rPr>
          <w:rFonts w:hint="eastAsia" w:ascii="宋体" w:hAnsi="宋体" w:eastAsia="宋体" w:cs="宋体"/>
        </w:rPr>
      </w:pPr>
      <w:r>
        <w:rPr>
          <w:rFonts w:hint="eastAsia" w:ascii="宋体" w:hAnsi="宋体" w:eastAsia="宋体" w:cs="宋体"/>
        </w:rPr>
        <w:t>13.1.3  因发包人原因造成工程质量达不到合同约定验收标准的，发包人应承担由于承包人返工造成的费用增加和（或）工期延误，并支付承包人合理利润。</w:t>
      </w:r>
    </w:p>
    <w:p w14:paraId="280F4C6F">
      <w:pPr>
        <w:keepNext/>
        <w:keepLines/>
        <w:spacing w:before="156" w:beforeLines="50" w:after="156" w:afterLines="50" w:line="360" w:lineRule="auto"/>
        <w:outlineLvl w:val="2"/>
        <w:rPr>
          <w:rFonts w:hint="eastAsia" w:ascii="宋体" w:hAnsi="宋体" w:eastAsia="宋体" w:cs="宋体"/>
          <w:sz w:val="24"/>
          <w:szCs w:val="20"/>
        </w:rPr>
      </w:pPr>
      <w:bookmarkStart w:id="1153" w:name="_Toc497213810"/>
      <w:bookmarkStart w:id="1154" w:name="_Toc489279945"/>
      <w:bookmarkStart w:id="1155" w:name="_Toc10235406"/>
      <w:bookmarkStart w:id="1156" w:name="_Toc486580134"/>
      <w:bookmarkStart w:id="1157" w:name="_Toc490222579"/>
      <w:bookmarkStart w:id="1158" w:name="_Toc61020326"/>
      <w:r>
        <w:rPr>
          <w:rFonts w:hint="eastAsia" w:ascii="宋体" w:hAnsi="宋体" w:eastAsia="宋体" w:cs="宋体"/>
          <w:sz w:val="24"/>
          <w:szCs w:val="20"/>
        </w:rPr>
        <w:t>13.2  承包人的质量管理</w:t>
      </w:r>
      <w:bookmarkEnd w:id="1153"/>
      <w:bookmarkEnd w:id="1154"/>
      <w:bookmarkEnd w:id="1155"/>
      <w:bookmarkEnd w:id="1156"/>
      <w:bookmarkEnd w:id="1157"/>
      <w:bookmarkEnd w:id="1158"/>
    </w:p>
    <w:p w14:paraId="6DF40CB2">
      <w:pPr>
        <w:spacing w:line="360" w:lineRule="auto"/>
        <w:ind w:firstLine="420" w:firstLineChars="200"/>
        <w:rPr>
          <w:rFonts w:hint="eastAsia" w:ascii="宋体" w:hAnsi="宋体" w:eastAsia="宋体" w:cs="宋体"/>
        </w:rPr>
      </w:pPr>
      <w:r>
        <w:rPr>
          <w:rFonts w:hint="eastAsia" w:ascii="宋体" w:hAnsi="宋体" w:eastAsia="宋体" w:cs="宋体"/>
        </w:rPr>
        <w:t>13.2.1  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469808B7">
      <w:pPr>
        <w:spacing w:line="360" w:lineRule="auto"/>
        <w:ind w:firstLine="420" w:firstLineChars="200"/>
        <w:rPr>
          <w:rFonts w:hint="eastAsia" w:ascii="宋体" w:hAnsi="宋体" w:eastAsia="宋体" w:cs="宋体"/>
        </w:rPr>
      </w:pPr>
      <w:r>
        <w:rPr>
          <w:rFonts w:hint="eastAsia" w:ascii="宋体" w:hAnsi="宋体" w:eastAsia="宋体" w:cs="宋体"/>
        </w:rPr>
        <w:t>13.2.2  承包人应加强对施工人员的质量教育和技术培训，定期考核施工人员的劳动技能，严格执行规范和操作规程。</w:t>
      </w:r>
    </w:p>
    <w:p w14:paraId="51933EA7">
      <w:pPr>
        <w:keepNext/>
        <w:keepLines/>
        <w:spacing w:before="156" w:beforeLines="50" w:after="156" w:afterLines="50" w:line="360" w:lineRule="auto"/>
        <w:outlineLvl w:val="2"/>
        <w:rPr>
          <w:rFonts w:hint="eastAsia" w:ascii="宋体" w:hAnsi="宋体" w:eastAsia="宋体" w:cs="宋体"/>
          <w:sz w:val="24"/>
          <w:szCs w:val="20"/>
        </w:rPr>
      </w:pPr>
      <w:bookmarkStart w:id="1159" w:name="_Toc490222580"/>
      <w:bookmarkStart w:id="1160" w:name="_Toc10235407"/>
      <w:bookmarkStart w:id="1161" w:name="_Toc489279946"/>
      <w:bookmarkStart w:id="1162" w:name="_Toc497213811"/>
      <w:bookmarkStart w:id="1163" w:name="_Toc486580135"/>
      <w:bookmarkStart w:id="1164" w:name="_Toc61020327"/>
      <w:r>
        <w:rPr>
          <w:rFonts w:hint="eastAsia" w:ascii="宋体" w:hAnsi="宋体" w:eastAsia="宋体" w:cs="宋体"/>
          <w:sz w:val="24"/>
          <w:szCs w:val="20"/>
        </w:rPr>
        <w:t>13.3  承包人的质量检查</w:t>
      </w:r>
      <w:bookmarkEnd w:id="1159"/>
      <w:bookmarkEnd w:id="1160"/>
      <w:bookmarkEnd w:id="1161"/>
      <w:bookmarkEnd w:id="1162"/>
      <w:bookmarkEnd w:id="1163"/>
      <w:bookmarkEnd w:id="1164"/>
    </w:p>
    <w:p w14:paraId="18D77545">
      <w:pPr>
        <w:spacing w:line="360" w:lineRule="auto"/>
        <w:ind w:firstLine="420" w:firstLineChars="200"/>
        <w:rPr>
          <w:rFonts w:hint="eastAsia" w:ascii="宋体" w:hAnsi="宋体" w:eastAsia="宋体" w:cs="宋体"/>
        </w:rPr>
      </w:pPr>
      <w:r>
        <w:rPr>
          <w:rFonts w:hint="eastAsia" w:ascii="宋体" w:hAnsi="宋体" w:eastAsia="宋体" w:cs="宋体"/>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1CBAA16C">
      <w:pPr>
        <w:keepNext/>
        <w:keepLines/>
        <w:spacing w:before="156" w:beforeLines="50" w:after="156" w:afterLines="50" w:line="360" w:lineRule="auto"/>
        <w:outlineLvl w:val="2"/>
        <w:rPr>
          <w:rFonts w:hint="eastAsia" w:ascii="宋体" w:hAnsi="宋体" w:eastAsia="宋体" w:cs="宋体"/>
          <w:sz w:val="24"/>
          <w:szCs w:val="20"/>
        </w:rPr>
      </w:pPr>
      <w:bookmarkStart w:id="1165" w:name="_Toc486580136"/>
      <w:bookmarkStart w:id="1166" w:name="_Toc61020328"/>
      <w:bookmarkStart w:id="1167" w:name="_Toc497213812"/>
      <w:bookmarkStart w:id="1168" w:name="_Toc489279947"/>
      <w:bookmarkStart w:id="1169" w:name="_Toc10235408"/>
      <w:bookmarkStart w:id="1170" w:name="_Toc490222581"/>
      <w:r>
        <w:rPr>
          <w:rFonts w:hint="eastAsia" w:ascii="宋体" w:hAnsi="宋体" w:eastAsia="宋体" w:cs="宋体"/>
          <w:sz w:val="24"/>
          <w:szCs w:val="20"/>
        </w:rPr>
        <w:t>13.4  监理人的质量检查</w:t>
      </w:r>
      <w:bookmarkEnd w:id="1165"/>
      <w:bookmarkEnd w:id="1166"/>
      <w:bookmarkEnd w:id="1167"/>
      <w:bookmarkEnd w:id="1168"/>
      <w:bookmarkEnd w:id="1169"/>
      <w:bookmarkEnd w:id="1170"/>
    </w:p>
    <w:p w14:paraId="3ECF7F68">
      <w:pPr>
        <w:spacing w:line="360" w:lineRule="auto"/>
        <w:ind w:firstLine="420" w:firstLineChars="200"/>
        <w:rPr>
          <w:rFonts w:hint="eastAsia" w:ascii="宋体" w:hAnsi="宋体" w:eastAsia="宋体" w:cs="宋体"/>
        </w:rPr>
      </w:pPr>
      <w:r>
        <w:rPr>
          <w:rFonts w:hint="eastAsia" w:ascii="宋体" w:hAnsi="宋体" w:eastAsia="宋体" w:cs="宋体"/>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39578416">
      <w:pPr>
        <w:keepNext/>
        <w:keepLines/>
        <w:spacing w:before="156" w:beforeLines="50" w:after="156" w:afterLines="50" w:line="360" w:lineRule="auto"/>
        <w:outlineLvl w:val="2"/>
        <w:rPr>
          <w:rFonts w:hint="eastAsia" w:ascii="宋体" w:hAnsi="宋体" w:eastAsia="宋体" w:cs="宋体"/>
          <w:sz w:val="24"/>
          <w:szCs w:val="20"/>
        </w:rPr>
      </w:pPr>
      <w:bookmarkStart w:id="1171" w:name="_Toc486580137"/>
      <w:bookmarkStart w:id="1172" w:name="_Toc497213813"/>
      <w:bookmarkStart w:id="1173" w:name="_Toc10235409"/>
      <w:bookmarkStart w:id="1174" w:name="_Toc489279948"/>
      <w:bookmarkStart w:id="1175" w:name="_Toc61020329"/>
      <w:bookmarkStart w:id="1176" w:name="_Toc490222582"/>
      <w:r>
        <w:rPr>
          <w:rFonts w:hint="eastAsia" w:ascii="宋体" w:hAnsi="宋体" w:eastAsia="宋体" w:cs="宋体"/>
          <w:sz w:val="24"/>
          <w:szCs w:val="20"/>
        </w:rPr>
        <w:t>13.5  工程隐蔽部位覆盖前的检查</w:t>
      </w:r>
      <w:bookmarkEnd w:id="1171"/>
      <w:bookmarkEnd w:id="1172"/>
      <w:bookmarkEnd w:id="1173"/>
      <w:bookmarkEnd w:id="1174"/>
      <w:bookmarkEnd w:id="1175"/>
      <w:bookmarkEnd w:id="1176"/>
    </w:p>
    <w:p w14:paraId="6D730885">
      <w:pPr>
        <w:spacing w:line="360" w:lineRule="auto"/>
        <w:ind w:firstLine="420" w:firstLineChars="200"/>
        <w:rPr>
          <w:rFonts w:hint="eastAsia" w:ascii="宋体" w:hAnsi="宋体" w:eastAsia="宋体" w:cs="宋体"/>
        </w:rPr>
      </w:pPr>
      <w:r>
        <w:rPr>
          <w:rFonts w:hint="eastAsia" w:ascii="宋体" w:hAnsi="宋体" w:eastAsia="宋体" w:cs="宋体"/>
        </w:rPr>
        <w:t>13.5.1  通知监理人检查</w:t>
      </w:r>
    </w:p>
    <w:p w14:paraId="711ACFEC">
      <w:pPr>
        <w:spacing w:line="360" w:lineRule="auto"/>
        <w:ind w:firstLine="420" w:firstLineChars="200"/>
        <w:rPr>
          <w:rFonts w:hint="eastAsia" w:ascii="宋体" w:hAnsi="宋体" w:eastAsia="宋体" w:cs="宋体"/>
        </w:rPr>
      </w:pPr>
      <w:r>
        <w:rPr>
          <w:rFonts w:hint="eastAsia" w:ascii="宋体" w:hAnsi="宋体" w:eastAsia="宋体" w:cs="宋体"/>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宋体" w:hAnsi="宋体" w:eastAsia="宋体" w:cs="宋体"/>
          <w:szCs w:val="21"/>
        </w:rPr>
        <w:t>监理人对工程隐蔽部位进行检查的期限</w:t>
      </w:r>
      <w:r>
        <w:rPr>
          <w:rFonts w:hint="eastAsia" w:ascii="宋体" w:hAnsi="宋体" w:eastAsia="宋体" w:cs="宋体"/>
        </w:rPr>
        <w:t>见合同条款专用部分。</w:t>
      </w:r>
    </w:p>
    <w:p w14:paraId="2CA78972">
      <w:pPr>
        <w:spacing w:line="360" w:lineRule="auto"/>
        <w:ind w:firstLine="420" w:firstLineChars="200"/>
        <w:rPr>
          <w:rFonts w:hint="eastAsia" w:ascii="宋体" w:hAnsi="宋体" w:eastAsia="宋体" w:cs="宋体"/>
        </w:rPr>
      </w:pPr>
      <w:r>
        <w:rPr>
          <w:rFonts w:hint="eastAsia" w:ascii="宋体" w:hAnsi="宋体" w:eastAsia="宋体" w:cs="宋体"/>
        </w:rPr>
        <w:t>13.5.2  监理人未到场检查</w:t>
      </w:r>
    </w:p>
    <w:p w14:paraId="3250A5DE">
      <w:pPr>
        <w:spacing w:line="360" w:lineRule="auto"/>
        <w:ind w:firstLine="420" w:firstLineChars="200"/>
        <w:rPr>
          <w:rFonts w:hint="eastAsia" w:ascii="宋体" w:hAnsi="宋体" w:eastAsia="宋体" w:cs="宋体"/>
        </w:rPr>
      </w:pPr>
      <w:r>
        <w:rPr>
          <w:rFonts w:hint="eastAsia" w:ascii="宋体" w:hAnsi="宋体" w:eastAsia="宋体" w:cs="宋体"/>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5AF80C1D">
      <w:pPr>
        <w:spacing w:line="360" w:lineRule="auto"/>
        <w:ind w:firstLine="420" w:firstLineChars="200"/>
        <w:rPr>
          <w:rFonts w:hint="eastAsia" w:ascii="宋体" w:hAnsi="宋体" w:eastAsia="宋体" w:cs="宋体"/>
        </w:rPr>
      </w:pPr>
      <w:r>
        <w:rPr>
          <w:rFonts w:hint="eastAsia" w:ascii="宋体" w:hAnsi="宋体" w:eastAsia="宋体" w:cs="宋体"/>
        </w:rPr>
        <w:t>13.5.3  监理人重新检查</w:t>
      </w:r>
    </w:p>
    <w:p w14:paraId="78F5A5E6">
      <w:pPr>
        <w:spacing w:line="360" w:lineRule="auto"/>
        <w:ind w:firstLine="420" w:firstLineChars="200"/>
        <w:rPr>
          <w:rFonts w:hint="eastAsia" w:ascii="宋体" w:hAnsi="宋体" w:eastAsia="宋体" w:cs="宋体"/>
        </w:rPr>
      </w:pPr>
      <w:r>
        <w:rPr>
          <w:rFonts w:hint="eastAsia" w:ascii="宋体" w:hAnsi="宋体" w:eastAsia="宋体" w:cs="宋体"/>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02EA61F1">
      <w:pPr>
        <w:spacing w:line="360" w:lineRule="auto"/>
        <w:ind w:firstLine="420" w:firstLineChars="200"/>
        <w:rPr>
          <w:rFonts w:hint="eastAsia" w:ascii="宋体" w:hAnsi="宋体" w:eastAsia="宋体" w:cs="宋体"/>
        </w:rPr>
      </w:pPr>
      <w:r>
        <w:rPr>
          <w:rFonts w:hint="eastAsia" w:ascii="宋体" w:hAnsi="宋体" w:eastAsia="宋体" w:cs="宋体"/>
        </w:rPr>
        <w:t>13.5.4  承包人私自覆盖</w:t>
      </w:r>
    </w:p>
    <w:p w14:paraId="74BC17EA">
      <w:pPr>
        <w:spacing w:line="360" w:lineRule="auto"/>
        <w:ind w:firstLine="420" w:firstLineChars="200"/>
        <w:rPr>
          <w:rFonts w:hint="eastAsia" w:ascii="宋体" w:hAnsi="宋体" w:eastAsia="宋体" w:cs="宋体"/>
        </w:rPr>
      </w:pPr>
      <w:r>
        <w:rPr>
          <w:rFonts w:hint="eastAsia" w:ascii="宋体" w:hAnsi="宋体" w:eastAsia="宋体" w:cs="宋体"/>
        </w:rPr>
        <w:t>承包人未通知监理人到场检查，私自将工程隐蔽部位覆盖的，监理人有权指示承包人钻孔探测或揭开检查，由此增加的费用和（或）工期延误由承包人承担。</w:t>
      </w:r>
    </w:p>
    <w:p w14:paraId="6EEE6325">
      <w:pPr>
        <w:keepNext/>
        <w:keepLines/>
        <w:spacing w:before="156" w:beforeLines="50" w:after="156" w:afterLines="50" w:line="360" w:lineRule="auto"/>
        <w:outlineLvl w:val="2"/>
        <w:rPr>
          <w:rFonts w:hint="eastAsia" w:ascii="宋体" w:hAnsi="宋体" w:eastAsia="宋体" w:cs="宋体"/>
          <w:sz w:val="24"/>
          <w:szCs w:val="20"/>
        </w:rPr>
      </w:pPr>
      <w:bookmarkStart w:id="1177" w:name="_Toc490222583"/>
      <w:bookmarkStart w:id="1178" w:name="_Toc486580138"/>
      <w:bookmarkStart w:id="1179" w:name="_Toc497213814"/>
      <w:bookmarkStart w:id="1180" w:name="_Toc61020330"/>
      <w:bookmarkStart w:id="1181" w:name="_Toc489279949"/>
      <w:bookmarkStart w:id="1182" w:name="_Toc10235410"/>
      <w:r>
        <w:rPr>
          <w:rFonts w:hint="eastAsia" w:ascii="宋体" w:hAnsi="宋体" w:eastAsia="宋体" w:cs="宋体"/>
          <w:sz w:val="24"/>
          <w:szCs w:val="20"/>
        </w:rPr>
        <w:t>13.6  清除不合格工程</w:t>
      </w:r>
      <w:bookmarkEnd w:id="1177"/>
      <w:bookmarkEnd w:id="1178"/>
      <w:bookmarkEnd w:id="1179"/>
      <w:bookmarkEnd w:id="1180"/>
      <w:bookmarkEnd w:id="1181"/>
      <w:bookmarkEnd w:id="1182"/>
    </w:p>
    <w:p w14:paraId="4A5E6C04">
      <w:pPr>
        <w:spacing w:line="360" w:lineRule="auto"/>
        <w:ind w:firstLine="420" w:firstLineChars="200"/>
        <w:rPr>
          <w:rFonts w:hint="eastAsia" w:ascii="宋体" w:hAnsi="宋体" w:eastAsia="宋体" w:cs="宋体"/>
        </w:rPr>
      </w:pPr>
      <w:r>
        <w:rPr>
          <w:rFonts w:hint="eastAsia" w:ascii="宋体" w:hAnsi="宋体" w:eastAsia="宋体" w:cs="宋体"/>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2362ACBF">
      <w:pPr>
        <w:spacing w:line="360" w:lineRule="auto"/>
        <w:ind w:firstLine="420" w:firstLineChars="200"/>
        <w:rPr>
          <w:rFonts w:hint="eastAsia" w:ascii="宋体" w:hAnsi="宋体" w:eastAsia="宋体" w:cs="宋体"/>
        </w:rPr>
      </w:pPr>
      <w:r>
        <w:rPr>
          <w:rFonts w:hint="eastAsia" w:ascii="宋体" w:hAnsi="宋体" w:eastAsia="宋体" w:cs="宋体"/>
        </w:rPr>
        <w:t>13.6.2  由于发包人提供的材料或工程设备不合格造成的工程不合格，需要承包人采取措施补救的，发包人应承担由此增加的费用和（或）工期延误，并支付承包人合理利润。</w:t>
      </w:r>
    </w:p>
    <w:p w14:paraId="1B89E651">
      <w:pPr>
        <w:keepNext/>
        <w:keepLines/>
        <w:spacing w:before="156" w:beforeLines="50" w:after="156" w:afterLines="50" w:line="360" w:lineRule="auto"/>
        <w:outlineLvl w:val="2"/>
        <w:rPr>
          <w:rFonts w:hint="eastAsia" w:ascii="宋体" w:hAnsi="宋体" w:eastAsia="宋体" w:cs="宋体"/>
          <w:sz w:val="24"/>
          <w:szCs w:val="20"/>
        </w:rPr>
      </w:pPr>
      <w:bookmarkStart w:id="1183" w:name="_Toc10235411"/>
      <w:bookmarkStart w:id="1184" w:name="_Toc490222584"/>
      <w:bookmarkStart w:id="1185" w:name="_Toc61020331"/>
      <w:bookmarkStart w:id="1186" w:name="_Toc489279950"/>
      <w:bookmarkStart w:id="1187" w:name="_Toc497213815"/>
      <w:bookmarkStart w:id="1188" w:name="_Toc486580139"/>
      <w:r>
        <w:rPr>
          <w:rFonts w:hint="eastAsia" w:ascii="宋体" w:hAnsi="宋体" w:eastAsia="宋体" w:cs="宋体"/>
          <w:sz w:val="24"/>
          <w:szCs w:val="20"/>
        </w:rPr>
        <w:t>13.7  质量争议</w:t>
      </w:r>
      <w:bookmarkEnd w:id="1183"/>
      <w:bookmarkEnd w:id="1184"/>
      <w:bookmarkEnd w:id="1185"/>
      <w:bookmarkEnd w:id="1186"/>
      <w:bookmarkEnd w:id="1187"/>
      <w:bookmarkEnd w:id="1188"/>
    </w:p>
    <w:p w14:paraId="14557D7B">
      <w:pPr>
        <w:spacing w:line="360" w:lineRule="auto"/>
        <w:ind w:firstLine="420" w:firstLineChars="200"/>
        <w:rPr>
          <w:rFonts w:hint="eastAsia" w:ascii="宋体" w:hAnsi="宋体" w:eastAsia="宋体" w:cs="宋体"/>
        </w:rPr>
      </w:pPr>
      <w:r>
        <w:rPr>
          <w:rFonts w:hint="eastAsia" w:ascii="宋体" w:hAnsi="宋体" w:eastAsia="宋体" w:cs="宋体"/>
          <w:szCs w:val="21"/>
        </w:rPr>
        <w:t>发包人和承包人对工程质量有争议的，除可按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2EBB992C">
      <w:pPr>
        <w:keepNext/>
        <w:keepLines/>
        <w:spacing w:before="156" w:beforeLines="50" w:after="156" w:afterLines="50" w:line="360" w:lineRule="auto"/>
        <w:outlineLvl w:val="1"/>
        <w:rPr>
          <w:rFonts w:hint="eastAsia" w:ascii="宋体" w:hAnsi="宋体" w:eastAsia="宋体" w:cs="宋体"/>
          <w:sz w:val="28"/>
          <w:szCs w:val="20"/>
        </w:rPr>
      </w:pPr>
      <w:bookmarkStart w:id="1189" w:name="_Toc490222585"/>
      <w:bookmarkStart w:id="1190" w:name="_Toc489279951"/>
      <w:bookmarkStart w:id="1191" w:name="_Toc486580140"/>
      <w:bookmarkStart w:id="1192" w:name="_Toc61020332"/>
      <w:bookmarkStart w:id="1193" w:name="_Toc10235412"/>
      <w:bookmarkStart w:id="1194" w:name="_Toc497213816"/>
      <w:r>
        <w:rPr>
          <w:rFonts w:hint="eastAsia" w:ascii="宋体" w:hAnsi="宋体" w:eastAsia="宋体" w:cs="宋体"/>
          <w:sz w:val="28"/>
          <w:szCs w:val="20"/>
        </w:rPr>
        <w:t>14.试验和检验</w:t>
      </w:r>
      <w:bookmarkEnd w:id="1189"/>
      <w:bookmarkEnd w:id="1190"/>
      <w:bookmarkEnd w:id="1191"/>
      <w:bookmarkEnd w:id="1192"/>
      <w:bookmarkEnd w:id="1193"/>
      <w:bookmarkEnd w:id="1194"/>
    </w:p>
    <w:p w14:paraId="6DEFFD61">
      <w:pPr>
        <w:keepNext/>
        <w:keepLines/>
        <w:spacing w:before="156" w:beforeLines="50" w:after="156" w:afterLines="50" w:line="360" w:lineRule="auto"/>
        <w:outlineLvl w:val="2"/>
        <w:rPr>
          <w:rFonts w:hint="eastAsia" w:ascii="宋体" w:hAnsi="宋体" w:eastAsia="宋体" w:cs="宋体"/>
          <w:sz w:val="24"/>
          <w:szCs w:val="20"/>
        </w:rPr>
      </w:pPr>
      <w:bookmarkStart w:id="1195" w:name="_Toc497213817"/>
      <w:bookmarkStart w:id="1196" w:name="_Toc489279952"/>
      <w:bookmarkStart w:id="1197" w:name="_Toc486580141"/>
      <w:bookmarkStart w:id="1198" w:name="_Toc10235413"/>
      <w:bookmarkStart w:id="1199" w:name="_Toc490222586"/>
      <w:bookmarkStart w:id="1200" w:name="_Toc61020333"/>
      <w:r>
        <w:rPr>
          <w:rFonts w:hint="eastAsia" w:ascii="宋体" w:hAnsi="宋体" w:eastAsia="宋体" w:cs="宋体"/>
          <w:sz w:val="24"/>
          <w:szCs w:val="20"/>
        </w:rPr>
        <w:t>14.1  材料、工程设备和工程的试验和检验</w:t>
      </w:r>
      <w:bookmarkEnd w:id="1195"/>
      <w:bookmarkEnd w:id="1196"/>
      <w:bookmarkEnd w:id="1197"/>
      <w:bookmarkEnd w:id="1198"/>
      <w:bookmarkEnd w:id="1199"/>
      <w:bookmarkEnd w:id="1200"/>
    </w:p>
    <w:p w14:paraId="2AD86E9F">
      <w:pPr>
        <w:spacing w:line="360" w:lineRule="auto"/>
        <w:ind w:firstLine="420" w:firstLineChars="200"/>
        <w:rPr>
          <w:rFonts w:hint="eastAsia" w:ascii="宋体" w:hAnsi="宋体" w:eastAsia="宋体" w:cs="宋体"/>
        </w:rPr>
      </w:pPr>
      <w:r>
        <w:rPr>
          <w:rFonts w:hint="eastAsia" w:ascii="宋体" w:hAnsi="宋体" w:eastAsia="宋体" w:cs="宋体"/>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4C189151">
      <w:pPr>
        <w:spacing w:line="360" w:lineRule="auto"/>
        <w:ind w:firstLine="420" w:firstLineChars="200"/>
        <w:rPr>
          <w:rFonts w:hint="eastAsia" w:ascii="宋体" w:hAnsi="宋体" w:eastAsia="宋体" w:cs="宋体"/>
        </w:rPr>
      </w:pPr>
      <w:r>
        <w:rPr>
          <w:rFonts w:hint="eastAsia" w:ascii="宋体" w:hAnsi="宋体" w:eastAsia="宋体" w:cs="宋体"/>
        </w:rPr>
        <w:t>14.1.2  监理人未按合同约定派员参加试验和检验的，除监理人另有指示外，承包人可自行试验和检验，并应立即将试验和检验结果报送监理人，监理人应签字确认。</w:t>
      </w:r>
    </w:p>
    <w:p w14:paraId="658BBC2C">
      <w:pPr>
        <w:spacing w:line="360" w:lineRule="auto"/>
        <w:ind w:firstLine="420" w:firstLineChars="200"/>
        <w:rPr>
          <w:rFonts w:hint="eastAsia" w:ascii="宋体" w:hAnsi="宋体" w:eastAsia="宋体" w:cs="宋体"/>
        </w:rPr>
      </w:pPr>
      <w:r>
        <w:rPr>
          <w:rFonts w:hint="eastAsia" w:ascii="宋体" w:hAnsi="宋体" w:eastAsia="宋体" w:cs="宋体"/>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3CBEC577">
      <w:pPr>
        <w:keepNext/>
        <w:keepLines/>
        <w:spacing w:before="156" w:beforeLines="50" w:after="156" w:afterLines="50" w:line="360" w:lineRule="auto"/>
        <w:outlineLvl w:val="2"/>
        <w:rPr>
          <w:rFonts w:hint="eastAsia" w:ascii="宋体" w:hAnsi="宋体" w:eastAsia="宋体" w:cs="宋体"/>
          <w:sz w:val="24"/>
          <w:szCs w:val="20"/>
        </w:rPr>
      </w:pPr>
      <w:bookmarkStart w:id="1201" w:name="_Toc10235414"/>
      <w:bookmarkStart w:id="1202" w:name="_Toc497213818"/>
      <w:bookmarkStart w:id="1203" w:name="_Toc486580142"/>
      <w:bookmarkStart w:id="1204" w:name="_Toc490222587"/>
      <w:bookmarkStart w:id="1205" w:name="_Toc489279953"/>
      <w:bookmarkStart w:id="1206" w:name="_Toc61020334"/>
      <w:r>
        <w:rPr>
          <w:rFonts w:hint="eastAsia" w:ascii="宋体" w:hAnsi="宋体" w:eastAsia="宋体" w:cs="宋体"/>
          <w:sz w:val="24"/>
          <w:szCs w:val="20"/>
        </w:rPr>
        <w:t>14.2  现场材料试验</w:t>
      </w:r>
      <w:bookmarkEnd w:id="1201"/>
      <w:bookmarkEnd w:id="1202"/>
      <w:bookmarkEnd w:id="1203"/>
      <w:bookmarkEnd w:id="1204"/>
      <w:bookmarkEnd w:id="1205"/>
      <w:bookmarkEnd w:id="1206"/>
    </w:p>
    <w:p w14:paraId="7DAA4C21">
      <w:pPr>
        <w:spacing w:line="360" w:lineRule="auto"/>
        <w:ind w:firstLine="420" w:firstLineChars="200"/>
        <w:rPr>
          <w:rFonts w:hint="eastAsia" w:ascii="宋体" w:hAnsi="宋体" w:eastAsia="宋体" w:cs="宋体"/>
        </w:rPr>
      </w:pPr>
      <w:r>
        <w:rPr>
          <w:rFonts w:hint="eastAsia" w:ascii="宋体" w:hAnsi="宋体" w:eastAsia="宋体" w:cs="宋体"/>
        </w:rPr>
        <w:t>14.2.1  承包人根据合同约定或监理人指示进行的现场材料试验，应由承包人提供试验场所、试验人员、试验设备器材以及其他必要的试验条件。</w:t>
      </w:r>
    </w:p>
    <w:p w14:paraId="09378F65">
      <w:pPr>
        <w:spacing w:line="360" w:lineRule="auto"/>
        <w:ind w:firstLine="420" w:firstLineChars="200"/>
        <w:rPr>
          <w:rFonts w:hint="eastAsia" w:ascii="宋体" w:hAnsi="宋体" w:eastAsia="宋体" w:cs="宋体"/>
        </w:rPr>
      </w:pPr>
      <w:r>
        <w:rPr>
          <w:rFonts w:hint="eastAsia" w:ascii="宋体" w:hAnsi="宋体" w:eastAsia="宋体" w:cs="宋体"/>
        </w:rPr>
        <w:t>14.2.2  监理人在必要时可以使用承包人的试验场所、试验设备器材以及其他试验条件，进行以工程质量检查为目的的复核性材料试验，承包人应予以协助。</w:t>
      </w:r>
    </w:p>
    <w:p w14:paraId="3384BD7B">
      <w:pPr>
        <w:keepNext/>
        <w:keepLines/>
        <w:spacing w:before="156" w:beforeLines="50" w:after="156" w:afterLines="50" w:line="360" w:lineRule="auto"/>
        <w:outlineLvl w:val="2"/>
        <w:rPr>
          <w:rFonts w:hint="eastAsia" w:ascii="宋体" w:hAnsi="宋体" w:eastAsia="宋体" w:cs="宋体"/>
          <w:sz w:val="24"/>
          <w:szCs w:val="20"/>
        </w:rPr>
      </w:pPr>
      <w:bookmarkStart w:id="1207" w:name="_Toc486580143"/>
      <w:bookmarkStart w:id="1208" w:name="_Toc489279954"/>
      <w:bookmarkStart w:id="1209" w:name="_Toc490222588"/>
      <w:bookmarkStart w:id="1210" w:name="_Toc497213819"/>
      <w:bookmarkStart w:id="1211" w:name="_Toc10235415"/>
      <w:bookmarkStart w:id="1212" w:name="_Toc61020335"/>
      <w:r>
        <w:rPr>
          <w:rFonts w:hint="eastAsia" w:ascii="宋体" w:hAnsi="宋体" w:eastAsia="宋体" w:cs="宋体"/>
          <w:sz w:val="24"/>
          <w:szCs w:val="20"/>
        </w:rPr>
        <w:t>14.3  现场工艺试验</w:t>
      </w:r>
      <w:bookmarkEnd w:id="1207"/>
      <w:bookmarkEnd w:id="1208"/>
      <w:bookmarkEnd w:id="1209"/>
      <w:bookmarkEnd w:id="1210"/>
      <w:bookmarkEnd w:id="1211"/>
      <w:bookmarkEnd w:id="1212"/>
    </w:p>
    <w:p w14:paraId="0665DC79">
      <w:pPr>
        <w:spacing w:line="360" w:lineRule="auto"/>
        <w:ind w:firstLine="420" w:firstLineChars="200"/>
        <w:rPr>
          <w:rFonts w:hint="eastAsia" w:ascii="宋体" w:hAnsi="宋体" w:eastAsia="宋体" w:cs="宋体"/>
        </w:rPr>
      </w:pPr>
      <w:r>
        <w:rPr>
          <w:rFonts w:hint="eastAsia" w:ascii="宋体" w:hAnsi="宋体" w:eastAsia="宋体" w:cs="宋体"/>
        </w:rPr>
        <w:t>承包人应按合同约定或监理人指示进行现场工艺试验。对大型的现场工艺试验，监理人认为必要时，应由承包人根据监理人提出的工艺试验要求，编制工艺试验措施计划，报送监理人审批。</w:t>
      </w:r>
    </w:p>
    <w:p w14:paraId="0CC7B7B2">
      <w:pPr>
        <w:keepNext/>
        <w:keepLines/>
        <w:spacing w:before="156" w:beforeLines="50" w:after="156" w:afterLines="50" w:line="360" w:lineRule="auto"/>
        <w:outlineLvl w:val="1"/>
        <w:rPr>
          <w:rFonts w:hint="eastAsia" w:ascii="宋体" w:hAnsi="宋体" w:eastAsia="宋体" w:cs="宋体"/>
          <w:sz w:val="28"/>
          <w:szCs w:val="20"/>
        </w:rPr>
      </w:pPr>
      <w:bookmarkStart w:id="1213" w:name="_Toc10235416"/>
      <w:bookmarkStart w:id="1214" w:name="_Toc489279955"/>
      <w:bookmarkStart w:id="1215" w:name="_Toc497213820"/>
      <w:bookmarkStart w:id="1216" w:name="_Toc486580144"/>
      <w:bookmarkStart w:id="1217" w:name="_Toc61020336"/>
      <w:bookmarkStart w:id="1218" w:name="_Toc490222589"/>
      <w:r>
        <w:rPr>
          <w:rFonts w:hint="eastAsia" w:ascii="宋体" w:hAnsi="宋体" w:eastAsia="宋体" w:cs="宋体"/>
          <w:sz w:val="28"/>
          <w:szCs w:val="20"/>
        </w:rPr>
        <w:t>15.变更</w:t>
      </w:r>
      <w:bookmarkEnd w:id="1213"/>
      <w:bookmarkEnd w:id="1214"/>
      <w:bookmarkEnd w:id="1215"/>
      <w:bookmarkEnd w:id="1216"/>
      <w:bookmarkEnd w:id="1217"/>
      <w:bookmarkEnd w:id="1218"/>
    </w:p>
    <w:p w14:paraId="64DEE1CE">
      <w:pPr>
        <w:keepNext/>
        <w:keepLines/>
        <w:spacing w:before="156" w:beforeLines="50" w:after="156" w:afterLines="50" w:line="360" w:lineRule="auto"/>
        <w:outlineLvl w:val="2"/>
        <w:rPr>
          <w:rFonts w:hint="eastAsia" w:ascii="宋体" w:hAnsi="宋体" w:eastAsia="宋体" w:cs="宋体"/>
          <w:sz w:val="24"/>
          <w:szCs w:val="20"/>
        </w:rPr>
      </w:pPr>
      <w:bookmarkStart w:id="1219" w:name="_Toc61020337"/>
      <w:bookmarkStart w:id="1220" w:name="_Toc489279956"/>
      <w:bookmarkStart w:id="1221" w:name="_Toc486580145"/>
      <w:bookmarkStart w:id="1222" w:name="_Toc10235417"/>
      <w:bookmarkStart w:id="1223" w:name="_Toc490222590"/>
      <w:bookmarkStart w:id="1224" w:name="_Toc497213821"/>
      <w:r>
        <w:rPr>
          <w:rFonts w:hint="eastAsia" w:ascii="宋体" w:hAnsi="宋体" w:eastAsia="宋体" w:cs="宋体"/>
          <w:sz w:val="24"/>
          <w:szCs w:val="20"/>
        </w:rPr>
        <w:t>15.1  变更的范围和内容</w:t>
      </w:r>
      <w:bookmarkEnd w:id="1219"/>
      <w:bookmarkEnd w:id="1220"/>
      <w:bookmarkEnd w:id="1221"/>
      <w:bookmarkEnd w:id="1222"/>
      <w:bookmarkEnd w:id="1223"/>
      <w:bookmarkEnd w:id="1224"/>
    </w:p>
    <w:p w14:paraId="55899A3D">
      <w:pPr>
        <w:spacing w:line="360" w:lineRule="auto"/>
        <w:ind w:firstLine="420" w:firstLineChars="200"/>
        <w:rPr>
          <w:rFonts w:hint="eastAsia" w:ascii="宋体" w:hAnsi="宋体" w:eastAsia="宋体" w:cs="宋体"/>
        </w:rPr>
      </w:pPr>
      <w:r>
        <w:rPr>
          <w:rFonts w:hint="eastAsia" w:ascii="宋体" w:hAnsi="宋体" w:eastAsia="宋体" w:cs="宋体"/>
        </w:rPr>
        <w:t>15.1.1  在履行合同中发生以下情形之一，应按照本条规定进行变更。</w:t>
      </w:r>
    </w:p>
    <w:p w14:paraId="1AEF0069">
      <w:pPr>
        <w:spacing w:line="360" w:lineRule="auto"/>
        <w:ind w:firstLine="315" w:firstLineChars="150"/>
        <w:rPr>
          <w:rFonts w:hint="eastAsia" w:ascii="宋体" w:hAnsi="宋体" w:eastAsia="宋体" w:cs="宋体"/>
        </w:rPr>
      </w:pPr>
      <w:r>
        <w:rPr>
          <w:rFonts w:hint="eastAsia" w:ascii="宋体" w:hAnsi="宋体" w:eastAsia="宋体" w:cs="宋体"/>
        </w:rPr>
        <w:t>（1）取消合同中任何一项工作，但被取消的工作不能转由发包人或其他人实施；</w:t>
      </w:r>
    </w:p>
    <w:p w14:paraId="5DEF8559">
      <w:pPr>
        <w:spacing w:line="360" w:lineRule="auto"/>
        <w:ind w:firstLine="315" w:firstLineChars="150"/>
        <w:rPr>
          <w:rFonts w:hint="eastAsia" w:ascii="宋体" w:hAnsi="宋体" w:eastAsia="宋体" w:cs="宋体"/>
        </w:rPr>
      </w:pPr>
      <w:r>
        <w:rPr>
          <w:rFonts w:hint="eastAsia" w:ascii="宋体" w:hAnsi="宋体" w:eastAsia="宋体" w:cs="宋体"/>
        </w:rPr>
        <w:t>（2）改变合同中任何一项工作的质量或其他特性；</w:t>
      </w:r>
    </w:p>
    <w:p w14:paraId="48DB92EE">
      <w:pPr>
        <w:spacing w:line="360" w:lineRule="auto"/>
        <w:ind w:firstLine="315" w:firstLineChars="150"/>
        <w:rPr>
          <w:rFonts w:hint="eastAsia" w:ascii="宋体" w:hAnsi="宋体" w:eastAsia="宋体" w:cs="宋体"/>
        </w:rPr>
      </w:pPr>
      <w:r>
        <w:rPr>
          <w:rFonts w:hint="eastAsia" w:ascii="宋体" w:hAnsi="宋体" w:eastAsia="宋体" w:cs="宋体"/>
        </w:rPr>
        <w:t>（3）改变合同工程的基线、标高、位置或尺寸；</w:t>
      </w:r>
    </w:p>
    <w:p w14:paraId="2AA08802">
      <w:pPr>
        <w:spacing w:line="360" w:lineRule="auto"/>
        <w:ind w:firstLine="315" w:firstLineChars="150"/>
        <w:rPr>
          <w:rFonts w:hint="eastAsia" w:ascii="宋体" w:hAnsi="宋体" w:eastAsia="宋体" w:cs="宋体"/>
        </w:rPr>
      </w:pPr>
      <w:r>
        <w:rPr>
          <w:rFonts w:hint="eastAsia" w:ascii="宋体" w:hAnsi="宋体" w:eastAsia="宋体" w:cs="宋体"/>
        </w:rPr>
        <w:t>（4）改变合同中任何一项工作的施工时间或改变已批准的施工工艺或顺序；</w:t>
      </w:r>
    </w:p>
    <w:p w14:paraId="6B8E7C81">
      <w:pPr>
        <w:spacing w:line="360" w:lineRule="auto"/>
        <w:ind w:firstLine="315" w:firstLineChars="150"/>
        <w:rPr>
          <w:rFonts w:hint="eastAsia" w:ascii="宋体" w:hAnsi="宋体" w:eastAsia="宋体" w:cs="宋体"/>
        </w:rPr>
      </w:pPr>
      <w:r>
        <w:rPr>
          <w:rFonts w:hint="eastAsia" w:ascii="宋体" w:hAnsi="宋体" w:eastAsia="宋体" w:cs="宋体"/>
        </w:rPr>
        <w:t>（5）为完成工程需要追加的额外工作；</w:t>
      </w:r>
    </w:p>
    <w:p w14:paraId="544B6184">
      <w:pPr>
        <w:spacing w:line="360" w:lineRule="auto"/>
        <w:ind w:firstLine="315" w:firstLineChars="150"/>
        <w:rPr>
          <w:rFonts w:hint="eastAsia" w:ascii="宋体" w:hAnsi="宋体" w:eastAsia="宋体" w:cs="宋体"/>
        </w:rPr>
      </w:pPr>
      <w:r>
        <w:rPr>
          <w:rFonts w:hint="eastAsia" w:ascii="宋体" w:hAnsi="宋体" w:eastAsia="宋体" w:cs="宋体"/>
        </w:rPr>
        <w:t>（6）</w:t>
      </w:r>
      <w:r>
        <w:rPr>
          <w:rFonts w:hint="eastAsia" w:ascii="宋体" w:hAnsi="宋体" w:eastAsia="宋体" w:cs="宋体"/>
          <w:szCs w:val="21"/>
        </w:rPr>
        <w:t>变更的其他情形</w:t>
      </w:r>
      <w:r>
        <w:rPr>
          <w:rFonts w:hint="eastAsia" w:ascii="宋体" w:hAnsi="宋体" w:eastAsia="宋体" w:cs="宋体"/>
        </w:rPr>
        <w:t>见合同条款专用部分。</w:t>
      </w:r>
    </w:p>
    <w:p w14:paraId="6AE8DA2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15.1.2  发包人违背第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第23.1（1）项的约定，在上述28天期限到期后的28天内，向监理人递交索赔意向通知书,并按第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0205AB71">
      <w:pPr>
        <w:keepNext/>
        <w:keepLines/>
        <w:spacing w:before="156" w:beforeLines="50" w:after="156" w:afterLines="50" w:line="360" w:lineRule="auto"/>
        <w:outlineLvl w:val="2"/>
        <w:rPr>
          <w:rFonts w:hint="eastAsia" w:ascii="宋体" w:hAnsi="宋体" w:eastAsia="宋体" w:cs="宋体"/>
          <w:sz w:val="24"/>
          <w:szCs w:val="20"/>
        </w:rPr>
      </w:pPr>
      <w:bookmarkStart w:id="1225" w:name="_Toc10235418"/>
      <w:bookmarkStart w:id="1226" w:name="_Toc497213822"/>
      <w:bookmarkStart w:id="1227" w:name="_Toc61020338"/>
      <w:bookmarkStart w:id="1228" w:name="_Toc486580146"/>
      <w:bookmarkStart w:id="1229" w:name="_Toc490222591"/>
      <w:bookmarkStart w:id="1230" w:name="_Toc489279957"/>
      <w:r>
        <w:rPr>
          <w:rFonts w:hint="eastAsia" w:ascii="宋体" w:hAnsi="宋体" w:eastAsia="宋体" w:cs="宋体"/>
          <w:sz w:val="24"/>
          <w:szCs w:val="20"/>
        </w:rPr>
        <w:t>15.2  变更权</w:t>
      </w:r>
      <w:bookmarkEnd w:id="1225"/>
      <w:bookmarkEnd w:id="1226"/>
      <w:bookmarkEnd w:id="1227"/>
      <w:bookmarkEnd w:id="1228"/>
      <w:bookmarkEnd w:id="1229"/>
      <w:bookmarkEnd w:id="1230"/>
    </w:p>
    <w:p w14:paraId="2E8EB40A">
      <w:pPr>
        <w:spacing w:line="360" w:lineRule="auto"/>
        <w:ind w:firstLine="420" w:firstLineChars="200"/>
        <w:rPr>
          <w:rFonts w:hint="eastAsia" w:ascii="宋体" w:hAnsi="宋体" w:eastAsia="宋体" w:cs="宋体"/>
        </w:rPr>
      </w:pPr>
      <w:r>
        <w:rPr>
          <w:rFonts w:hint="eastAsia" w:ascii="宋体" w:hAnsi="宋体" w:eastAsia="宋体" w:cs="宋体"/>
        </w:rPr>
        <w:t>在履行合同过程中，经发包人同意，监理人可按第15.3款约定的变更程序向承包人作出变更指示，承包人应遵照执行。没有监理人的变更指示，承包人不得擅自变更。</w:t>
      </w:r>
    </w:p>
    <w:p w14:paraId="339DC0FF">
      <w:pPr>
        <w:keepNext/>
        <w:keepLines/>
        <w:spacing w:before="156" w:beforeLines="50" w:after="156" w:afterLines="50" w:line="360" w:lineRule="auto"/>
        <w:outlineLvl w:val="2"/>
        <w:rPr>
          <w:rFonts w:hint="eastAsia" w:ascii="宋体" w:hAnsi="宋体" w:eastAsia="宋体" w:cs="宋体"/>
          <w:sz w:val="24"/>
          <w:szCs w:val="20"/>
        </w:rPr>
      </w:pPr>
      <w:bookmarkStart w:id="1231" w:name="_Toc61020339"/>
      <w:bookmarkStart w:id="1232" w:name="_Toc490222592"/>
      <w:bookmarkStart w:id="1233" w:name="_Toc10235419"/>
      <w:bookmarkStart w:id="1234" w:name="_Toc486580147"/>
      <w:bookmarkStart w:id="1235" w:name="_Toc497213823"/>
      <w:bookmarkStart w:id="1236" w:name="_Toc489279958"/>
      <w:r>
        <w:rPr>
          <w:rFonts w:hint="eastAsia" w:ascii="宋体" w:hAnsi="宋体" w:eastAsia="宋体" w:cs="宋体"/>
          <w:sz w:val="24"/>
          <w:szCs w:val="20"/>
        </w:rPr>
        <w:t>15.3  变更程序</w:t>
      </w:r>
      <w:bookmarkEnd w:id="1231"/>
      <w:bookmarkEnd w:id="1232"/>
      <w:bookmarkEnd w:id="1233"/>
      <w:bookmarkEnd w:id="1234"/>
      <w:bookmarkEnd w:id="1235"/>
      <w:bookmarkEnd w:id="1236"/>
    </w:p>
    <w:p w14:paraId="4601CD8E">
      <w:pPr>
        <w:spacing w:line="360" w:lineRule="auto"/>
        <w:ind w:firstLine="420" w:firstLineChars="200"/>
        <w:rPr>
          <w:rFonts w:hint="eastAsia" w:ascii="宋体" w:hAnsi="宋体" w:eastAsia="宋体" w:cs="宋体"/>
        </w:rPr>
      </w:pPr>
      <w:r>
        <w:rPr>
          <w:rFonts w:hint="eastAsia" w:ascii="宋体" w:hAnsi="宋体" w:eastAsia="宋体" w:cs="宋体"/>
        </w:rPr>
        <w:t>15.3.1  变更的提出</w:t>
      </w:r>
    </w:p>
    <w:p w14:paraId="4E378F09">
      <w:pPr>
        <w:spacing w:line="360" w:lineRule="auto"/>
        <w:ind w:firstLine="315" w:firstLineChars="150"/>
        <w:rPr>
          <w:rFonts w:hint="eastAsia" w:ascii="宋体" w:hAnsi="宋体" w:eastAsia="宋体" w:cs="宋体"/>
        </w:rPr>
      </w:pPr>
      <w:r>
        <w:rPr>
          <w:rFonts w:hint="eastAsia" w:ascii="宋体" w:hAnsi="宋体" w:eastAsia="宋体" w:cs="宋体"/>
        </w:rPr>
        <w:t xml:space="preserve">（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44772CED">
      <w:pPr>
        <w:spacing w:line="360" w:lineRule="auto"/>
        <w:ind w:firstLine="315" w:firstLineChars="150"/>
        <w:rPr>
          <w:rFonts w:hint="eastAsia" w:ascii="宋体" w:hAnsi="宋体" w:eastAsia="宋体" w:cs="宋体"/>
        </w:rPr>
      </w:pPr>
      <w:r>
        <w:rPr>
          <w:rFonts w:hint="eastAsia" w:ascii="宋体" w:hAnsi="宋体" w:eastAsia="宋体" w:cs="宋体"/>
        </w:rPr>
        <w:t>（2）在合同履行过程中，发生第15.1.1项约定情形的，监理人应按照第15.3.3项约定向承包人发出变更指示。</w:t>
      </w:r>
    </w:p>
    <w:p w14:paraId="2B036614">
      <w:pPr>
        <w:spacing w:line="360" w:lineRule="auto"/>
        <w:ind w:firstLine="315" w:firstLineChars="150"/>
        <w:rPr>
          <w:rFonts w:hint="eastAsia" w:ascii="宋体" w:hAnsi="宋体" w:eastAsia="宋体" w:cs="宋体"/>
        </w:rPr>
      </w:pPr>
      <w:r>
        <w:rPr>
          <w:rFonts w:hint="eastAsia" w:ascii="宋体" w:hAnsi="宋体" w:eastAsia="宋体" w:cs="宋体"/>
        </w:rPr>
        <w:t>（3）承包人收到监理人按合同约定发出的图纸和文件，经检查认为其中存在第15.1.1项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3C6FC8E9">
      <w:pPr>
        <w:spacing w:line="360" w:lineRule="auto"/>
        <w:ind w:firstLine="315" w:firstLineChars="150"/>
        <w:rPr>
          <w:rFonts w:hint="eastAsia" w:ascii="宋体" w:hAnsi="宋体" w:eastAsia="宋体" w:cs="宋体"/>
        </w:rPr>
      </w:pPr>
      <w:r>
        <w:rPr>
          <w:rFonts w:hint="eastAsia" w:ascii="宋体" w:hAnsi="宋体" w:eastAsia="宋体" w:cs="宋体"/>
        </w:rPr>
        <w:t>（4）若承包人收到监理人的变更意向书后认为难以实施此项变更，应立即通知监理人，说明原因并附详细依据。监理人与承包人和发包人协商后确定撤销、改变或不改变原变更意向书。</w:t>
      </w:r>
    </w:p>
    <w:p w14:paraId="277B5C9A">
      <w:pPr>
        <w:spacing w:line="360" w:lineRule="auto"/>
        <w:ind w:firstLine="420" w:firstLineChars="200"/>
        <w:rPr>
          <w:rFonts w:hint="eastAsia" w:ascii="宋体" w:hAnsi="宋体" w:eastAsia="宋体" w:cs="宋体"/>
        </w:rPr>
      </w:pPr>
      <w:r>
        <w:rPr>
          <w:rFonts w:hint="eastAsia" w:ascii="宋体" w:hAnsi="宋体" w:eastAsia="宋体" w:cs="宋体"/>
        </w:rPr>
        <w:t>15.3.2  变更估价</w:t>
      </w:r>
    </w:p>
    <w:p w14:paraId="429C3E23">
      <w:pPr>
        <w:spacing w:line="360" w:lineRule="auto"/>
        <w:ind w:firstLine="315" w:firstLineChars="150"/>
        <w:rPr>
          <w:rFonts w:hint="eastAsia" w:ascii="宋体" w:hAnsi="宋体" w:eastAsia="宋体" w:cs="宋体"/>
        </w:rPr>
      </w:pPr>
      <w:r>
        <w:rPr>
          <w:rFonts w:hint="eastAsia" w:ascii="宋体" w:hAnsi="宋体" w:eastAsia="宋体" w:cs="宋体"/>
        </w:rPr>
        <w:t>（1）除合同条款专用部分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hint="eastAsia" w:ascii="宋体" w:hAnsi="宋体" w:eastAsia="宋体" w:cs="宋体"/>
          <w:szCs w:val="21"/>
        </w:rPr>
        <w:t>承包人提交变更报价书的期限</w:t>
      </w:r>
      <w:r>
        <w:rPr>
          <w:rFonts w:hint="eastAsia" w:ascii="宋体" w:hAnsi="宋体" w:eastAsia="宋体" w:cs="宋体"/>
        </w:rPr>
        <w:t>见合同条款专用部分。</w:t>
      </w:r>
    </w:p>
    <w:p w14:paraId="7F089569">
      <w:pPr>
        <w:spacing w:line="360" w:lineRule="auto"/>
        <w:ind w:firstLine="315" w:firstLineChars="150"/>
        <w:rPr>
          <w:rFonts w:hint="eastAsia" w:ascii="宋体" w:hAnsi="宋体" w:eastAsia="宋体" w:cs="宋体"/>
        </w:rPr>
      </w:pPr>
      <w:r>
        <w:rPr>
          <w:rFonts w:hint="eastAsia" w:ascii="宋体" w:hAnsi="宋体" w:eastAsia="宋体" w:cs="宋体"/>
        </w:rPr>
        <w:t>（2）变更工作影响工期的，承包人应提出调整工期的具体细节。监理人认为有必要时，可要求承包人提交要求提前或延长工期的施工进度计划，及相应施工措施等详细资料。</w:t>
      </w:r>
    </w:p>
    <w:p w14:paraId="0758CF0A">
      <w:pPr>
        <w:spacing w:line="360" w:lineRule="auto"/>
        <w:ind w:firstLine="315" w:firstLineChars="150"/>
        <w:rPr>
          <w:rFonts w:hint="eastAsia" w:ascii="宋体" w:hAnsi="宋体" w:eastAsia="宋体" w:cs="宋体"/>
        </w:rPr>
      </w:pPr>
      <w:r>
        <w:rPr>
          <w:rFonts w:hint="eastAsia" w:ascii="宋体" w:hAnsi="宋体" w:eastAsia="宋体" w:cs="宋体"/>
        </w:rPr>
        <w:t>（3）除合同条款专用部分对期限另有约定外，监理人收到承包人变更报价书后的14天内，根据第15.4款约定的估价原则，按照第3.5款商定或确定变更价格。</w:t>
      </w:r>
      <w:r>
        <w:rPr>
          <w:rFonts w:hint="eastAsia" w:ascii="宋体" w:hAnsi="宋体" w:eastAsia="宋体" w:cs="宋体"/>
          <w:szCs w:val="21"/>
        </w:rPr>
        <w:t>监理人商定或确定变更价格的期限</w:t>
      </w:r>
      <w:r>
        <w:rPr>
          <w:rFonts w:hint="eastAsia" w:ascii="宋体" w:hAnsi="宋体" w:eastAsia="宋体" w:cs="宋体"/>
        </w:rPr>
        <w:t>见合同条款专用部分。</w:t>
      </w:r>
    </w:p>
    <w:p w14:paraId="750B69B4">
      <w:pPr>
        <w:spacing w:line="360" w:lineRule="auto"/>
        <w:ind w:firstLine="315" w:firstLineChars="150"/>
        <w:rPr>
          <w:rFonts w:hint="eastAsia" w:ascii="宋体" w:hAnsi="宋体" w:eastAsia="宋体" w:cs="宋体"/>
        </w:rPr>
      </w:pPr>
      <w:r>
        <w:rPr>
          <w:rFonts w:hint="eastAsia" w:ascii="宋体" w:hAnsi="宋体" w:eastAsia="宋体" w:cs="宋体"/>
          <w:szCs w:val="21"/>
        </w:rPr>
        <w:t>（4）收到变更指示后，如承包人未在规定的期限内提交变更报价书的，监理人可自行决定是否调整合同价款以及如果监理人决定调整合同价款时，相应调整的具体金额。</w:t>
      </w:r>
    </w:p>
    <w:p w14:paraId="51E30BA3">
      <w:pPr>
        <w:spacing w:line="360" w:lineRule="auto"/>
        <w:ind w:firstLine="420" w:firstLineChars="200"/>
        <w:rPr>
          <w:rFonts w:hint="eastAsia" w:ascii="宋体" w:hAnsi="宋体" w:eastAsia="宋体" w:cs="宋体"/>
        </w:rPr>
      </w:pPr>
      <w:r>
        <w:rPr>
          <w:rFonts w:hint="eastAsia" w:ascii="宋体" w:hAnsi="宋体" w:eastAsia="宋体" w:cs="宋体"/>
        </w:rPr>
        <w:t>15.3.3  变更指示</w:t>
      </w:r>
    </w:p>
    <w:p w14:paraId="0E423FC3">
      <w:pPr>
        <w:spacing w:line="360" w:lineRule="auto"/>
        <w:ind w:firstLine="420" w:firstLineChars="200"/>
        <w:rPr>
          <w:rFonts w:hint="eastAsia" w:ascii="宋体" w:hAnsi="宋体" w:eastAsia="宋体" w:cs="宋体"/>
        </w:rPr>
      </w:pPr>
      <w:r>
        <w:rPr>
          <w:rFonts w:hint="eastAsia" w:ascii="宋体" w:hAnsi="宋体" w:eastAsia="宋体" w:cs="宋体"/>
        </w:rPr>
        <w:t>（1）变更指示只能由监理人发出。</w:t>
      </w:r>
    </w:p>
    <w:p w14:paraId="1E94E3A0">
      <w:pPr>
        <w:spacing w:line="360" w:lineRule="auto"/>
        <w:ind w:firstLine="420" w:firstLineChars="200"/>
        <w:rPr>
          <w:rFonts w:hint="eastAsia" w:ascii="宋体" w:hAnsi="宋体" w:eastAsia="宋体" w:cs="宋体"/>
        </w:rPr>
      </w:pPr>
      <w:r>
        <w:rPr>
          <w:rFonts w:hint="eastAsia" w:ascii="宋体" w:hAnsi="宋体" w:eastAsia="宋体" w:cs="宋体"/>
        </w:rPr>
        <w:t>（2）变更指示应说明变更的目的、范围、变更内容以及变更的工程量及其进度和技术要求，并附有关图纸和文件。承包人收到变更指示后，应按变更指示进行变更工作。</w:t>
      </w:r>
    </w:p>
    <w:p w14:paraId="50ED250D">
      <w:pPr>
        <w:keepNext/>
        <w:keepLines/>
        <w:spacing w:before="156" w:beforeLines="50" w:after="156" w:afterLines="50" w:line="360" w:lineRule="auto"/>
        <w:outlineLvl w:val="2"/>
        <w:rPr>
          <w:rFonts w:hint="eastAsia" w:ascii="宋体" w:hAnsi="宋体" w:eastAsia="宋体" w:cs="宋体"/>
          <w:sz w:val="24"/>
          <w:szCs w:val="20"/>
        </w:rPr>
      </w:pPr>
      <w:bookmarkStart w:id="1237" w:name="_Toc489279959"/>
      <w:bookmarkStart w:id="1238" w:name="_Toc10235420"/>
      <w:bookmarkStart w:id="1239" w:name="_Toc497213824"/>
      <w:bookmarkStart w:id="1240" w:name="_Toc61020340"/>
      <w:bookmarkStart w:id="1241" w:name="_Toc486580148"/>
      <w:bookmarkStart w:id="1242" w:name="_Toc490222593"/>
      <w:r>
        <w:rPr>
          <w:rFonts w:hint="eastAsia" w:ascii="宋体" w:hAnsi="宋体" w:eastAsia="宋体" w:cs="宋体"/>
          <w:sz w:val="24"/>
          <w:szCs w:val="20"/>
        </w:rPr>
        <w:t>15.4  变更的估价原则</w:t>
      </w:r>
      <w:bookmarkEnd w:id="1237"/>
      <w:bookmarkEnd w:id="1238"/>
      <w:bookmarkEnd w:id="1239"/>
      <w:bookmarkEnd w:id="1240"/>
      <w:bookmarkEnd w:id="1241"/>
      <w:bookmarkEnd w:id="1242"/>
    </w:p>
    <w:p w14:paraId="34B338D8">
      <w:pPr>
        <w:spacing w:line="360" w:lineRule="auto"/>
        <w:ind w:firstLine="420" w:firstLineChars="200"/>
        <w:rPr>
          <w:rFonts w:hint="eastAsia" w:ascii="宋体" w:hAnsi="宋体" w:eastAsia="宋体" w:cs="宋体"/>
        </w:rPr>
      </w:pPr>
      <w:r>
        <w:rPr>
          <w:rFonts w:hint="eastAsia" w:ascii="宋体" w:hAnsi="宋体" w:eastAsia="宋体" w:cs="宋体"/>
        </w:rPr>
        <w:t>因</w:t>
      </w:r>
      <w:r>
        <w:rPr>
          <w:rFonts w:hint="eastAsia" w:ascii="宋体" w:hAnsi="宋体" w:eastAsia="宋体" w:cs="宋体"/>
          <w:szCs w:val="21"/>
        </w:rPr>
        <w:t>工程量清单漏项（仅适用于合同协议书约定采用单价合同形式时）或</w:t>
      </w:r>
      <w:r>
        <w:rPr>
          <w:rFonts w:hint="eastAsia" w:ascii="宋体" w:hAnsi="宋体" w:eastAsia="宋体" w:cs="宋体"/>
        </w:rPr>
        <w:t>变更引起的价格调整按照本款约定处理。</w:t>
      </w:r>
    </w:p>
    <w:p w14:paraId="5A987721">
      <w:pPr>
        <w:spacing w:line="360" w:lineRule="auto"/>
        <w:ind w:firstLine="420" w:firstLineChars="200"/>
        <w:rPr>
          <w:rFonts w:hint="eastAsia" w:ascii="宋体" w:hAnsi="宋体" w:eastAsia="宋体" w:cs="宋体"/>
        </w:rPr>
      </w:pPr>
      <w:r>
        <w:rPr>
          <w:rFonts w:hint="eastAsia" w:ascii="宋体" w:hAnsi="宋体" w:eastAsia="宋体" w:cs="宋体"/>
        </w:rPr>
        <w:t>15.4.1  已标价工程量清单中有适用于变更工作的子目的，采用该子目的单价。</w:t>
      </w:r>
    </w:p>
    <w:p w14:paraId="261F23D4">
      <w:pPr>
        <w:spacing w:line="360" w:lineRule="auto"/>
        <w:ind w:firstLine="420" w:firstLineChars="200"/>
        <w:rPr>
          <w:rFonts w:hint="eastAsia" w:ascii="宋体" w:hAnsi="宋体" w:eastAsia="宋体" w:cs="宋体"/>
        </w:rPr>
      </w:pPr>
      <w:r>
        <w:rPr>
          <w:rFonts w:hint="eastAsia" w:ascii="宋体" w:hAnsi="宋体" w:eastAsia="宋体" w:cs="宋体"/>
        </w:rPr>
        <w:t>15.4.2  已标价工程量清单中无适用于变更工作的子目，但有类似子目的，可在合理范围内参照类似子目的单价，由监理人按第3.5款商定或确定变更工作的单价。</w:t>
      </w:r>
    </w:p>
    <w:p w14:paraId="13AE32A4">
      <w:pPr>
        <w:spacing w:line="360" w:lineRule="auto"/>
        <w:ind w:firstLine="420" w:firstLineChars="200"/>
        <w:rPr>
          <w:rFonts w:hint="eastAsia" w:ascii="宋体" w:hAnsi="宋体" w:eastAsia="宋体" w:cs="宋体"/>
        </w:rPr>
      </w:pPr>
      <w:r>
        <w:rPr>
          <w:rFonts w:hint="eastAsia" w:ascii="宋体" w:hAnsi="宋体" w:eastAsia="宋体" w:cs="宋体"/>
        </w:rPr>
        <w:t>15.4.3  已标价工程量清单中无适用或类似子目的单价，可按照成本加利润的原则，由监理人按第3.5款商定或确定变更工作的单价。</w:t>
      </w:r>
    </w:p>
    <w:p w14:paraId="1CD98104">
      <w:pPr>
        <w:spacing w:line="360" w:lineRule="auto"/>
        <w:ind w:firstLine="420" w:firstLineChars="200"/>
        <w:rPr>
          <w:rFonts w:hint="eastAsia" w:ascii="宋体" w:hAnsi="宋体" w:eastAsia="宋体" w:cs="宋体"/>
          <w:szCs w:val="21"/>
        </w:rPr>
      </w:pPr>
      <w:r>
        <w:rPr>
          <w:rFonts w:hint="eastAsia" w:ascii="宋体" w:hAnsi="宋体" w:eastAsia="宋体" w:cs="宋体"/>
        </w:rPr>
        <w:t xml:space="preserve">15.4.4  </w:t>
      </w:r>
      <w:r>
        <w:rPr>
          <w:rFonts w:hint="eastAsia" w:ascii="宋体" w:hAnsi="宋体" w:eastAsia="宋体" w:cs="宋体"/>
          <w:szCs w:val="21"/>
        </w:rPr>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5F373C36">
      <w:pPr>
        <w:spacing w:line="360" w:lineRule="auto"/>
        <w:ind w:firstLine="420" w:firstLineChars="200"/>
        <w:rPr>
          <w:rFonts w:hint="eastAsia" w:ascii="宋体" w:hAnsi="宋体" w:eastAsia="宋体" w:cs="宋体"/>
        </w:rPr>
      </w:pPr>
      <w:r>
        <w:rPr>
          <w:rFonts w:hint="eastAsia" w:ascii="宋体" w:hAnsi="宋体" w:eastAsia="宋体" w:cs="宋体"/>
        </w:rPr>
        <w:t xml:space="preserve">15.4.5  </w:t>
      </w:r>
      <w:r>
        <w:rPr>
          <w:rFonts w:hint="eastAsia" w:ascii="宋体" w:hAnsi="宋体" w:eastAsia="宋体" w:cs="宋体"/>
          <w:szCs w:val="21"/>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650DC193">
      <w:pPr>
        <w:spacing w:line="360" w:lineRule="auto"/>
        <w:ind w:firstLine="420" w:firstLineChars="200"/>
        <w:rPr>
          <w:rFonts w:hint="eastAsia" w:ascii="宋体" w:hAnsi="宋体" w:eastAsia="宋体" w:cs="宋体"/>
        </w:rPr>
      </w:pPr>
      <w:r>
        <w:rPr>
          <w:rFonts w:hint="eastAsia" w:ascii="宋体" w:hAnsi="宋体" w:eastAsia="宋体" w:cs="宋体"/>
        </w:rPr>
        <w:t xml:space="preserve">15.4.6  </w:t>
      </w:r>
      <w:r>
        <w:rPr>
          <w:rFonts w:hint="eastAsia" w:ascii="宋体" w:hAnsi="宋体" w:eastAsia="宋体" w:cs="宋体"/>
          <w:szCs w:val="21"/>
        </w:rPr>
        <w:t>因变更引起价格调整的其他处理方式见合同条款专用部分。</w:t>
      </w:r>
    </w:p>
    <w:p w14:paraId="5BC81C10">
      <w:pPr>
        <w:keepNext/>
        <w:keepLines/>
        <w:spacing w:before="156" w:beforeLines="50" w:after="156" w:afterLines="50" w:line="360" w:lineRule="auto"/>
        <w:outlineLvl w:val="2"/>
        <w:rPr>
          <w:rFonts w:hint="eastAsia" w:ascii="宋体" w:hAnsi="宋体" w:eastAsia="宋体" w:cs="宋体"/>
          <w:sz w:val="24"/>
          <w:szCs w:val="20"/>
        </w:rPr>
      </w:pPr>
      <w:bookmarkStart w:id="1243" w:name="_Toc490222594"/>
      <w:bookmarkStart w:id="1244" w:name="_Toc497213825"/>
      <w:bookmarkStart w:id="1245" w:name="_Toc61020341"/>
      <w:bookmarkStart w:id="1246" w:name="_Toc489279960"/>
      <w:bookmarkStart w:id="1247" w:name="_Toc486580149"/>
      <w:bookmarkStart w:id="1248" w:name="_Toc10235421"/>
      <w:r>
        <w:rPr>
          <w:rFonts w:hint="eastAsia" w:ascii="宋体" w:hAnsi="宋体" w:eastAsia="宋体" w:cs="宋体"/>
          <w:sz w:val="24"/>
          <w:szCs w:val="20"/>
        </w:rPr>
        <w:t>15.5  承包人的合理化建议</w:t>
      </w:r>
      <w:bookmarkEnd w:id="1243"/>
      <w:bookmarkEnd w:id="1244"/>
      <w:bookmarkEnd w:id="1245"/>
      <w:bookmarkEnd w:id="1246"/>
      <w:bookmarkEnd w:id="1247"/>
      <w:bookmarkEnd w:id="1248"/>
    </w:p>
    <w:p w14:paraId="26E96EBA">
      <w:pPr>
        <w:spacing w:line="360" w:lineRule="auto"/>
        <w:ind w:firstLine="420" w:firstLineChars="200"/>
        <w:rPr>
          <w:rFonts w:hint="eastAsia" w:ascii="宋体" w:hAnsi="宋体" w:eastAsia="宋体" w:cs="宋体"/>
        </w:rPr>
      </w:pPr>
      <w:r>
        <w:rPr>
          <w:rFonts w:hint="eastAsia" w:ascii="宋体" w:hAnsi="宋体" w:eastAsia="宋体" w:cs="宋体"/>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64499209">
      <w:pPr>
        <w:spacing w:line="360" w:lineRule="auto"/>
        <w:ind w:firstLine="420" w:firstLineChars="200"/>
        <w:rPr>
          <w:rFonts w:hint="eastAsia" w:ascii="宋体" w:hAnsi="宋体" w:eastAsia="宋体" w:cs="宋体"/>
        </w:rPr>
      </w:pPr>
      <w:r>
        <w:rPr>
          <w:rFonts w:hint="eastAsia" w:ascii="宋体" w:hAnsi="宋体" w:eastAsia="宋体" w:cs="宋体"/>
        </w:rPr>
        <w:t>15.5.2  承包人提出的合理化建议降低了合同价格、缩短了工期或者提高了工程经济效益的，发包人可按国家有关规定给予奖励。</w:t>
      </w:r>
      <w:r>
        <w:rPr>
          <w:rFonts w:hint="eastAsia" w:ascii="宋体" w:hAnsi="宋体" w:eastAsia="宋体" w:cs="宋体"/>
          <w:szCs w:val="21"/>
        </w:rPr>
        <w:t>对承包人提出合理化建议的奖励方法见合同条款专用部分。</w:t>
      </w:r>
    </w:p>
    <w:p w14:paraId="75745382">
      <w:pPr>
        <w:keepNext/>
        <w:keepLines/>
        <w:spacing w:before="156" w:beforeLines="50" w:after="156" w:afterLines="50" w:line="360" w:lineRule="auto"/>
        <w:outlineLvl w:val="2"/>
        <w:rPr>
          <w:rFonts w:hint="eastAsia" w:ascii="宋体" w:hAnsi="宋体" w:eastAsia="宋体" w:cs="宋体"/>
          <w:sz w:val="24"/>
          <w:szCs w:val="20"/>
        </w:rPr>
      </w:pPr>
      <w:bookmarkStart w:id="1249" w:name="_Toc490222595"/>
      <w:bookmarkStart w:id="1250" w:name="_Toc486580150"/>
      <w:bookmarkStart w:id="1251" w:name="_Toc61020342"/>
      <w:bookmarkStart w:id="1252" w:name="_Toc489279961"/>
      <w:bookmarkStart w:id="1253" w:name="_Toc10235422"/>
      <w:bookmarkStart w:id="1254" w:name="_Toc497213826"/>
      <w:r>
        <w:rPr>
          <w:rFonts w:hint="eastAsia" w:ascii="宋体" w:hAnsi="宋体" w:eastAsia="宋体" w:cs="宋体"/>
          <w:sz w:val="24"/>
          <w:szCs w:val="20"/>
        </w:rPr>
        <w:t>15.6  暂列金额</w:t>
      </w:r>
      <w:bookmarkEnd w:id="1249"/>
      <w:bookmarkEnd w:id="1250"/>
      <w:bookmarkEnd w:id="1251"/>
      <w:bookmarkEnd w:id="1252"/>
      <w:bookmarkEnd w:id="1253"/>
      <w:bookmarkEnd w:id="1254"/>
    </w:p>
    <w:p w14:paraId="0AB4A62E">
      <w:pPr>
        <w:spacing w:line="360" w:lineRule="auto"/>
        <w:ind w:firstLine="420" w:firstLineChars="200"/>
        <w:rPr>
          <w:rFonts w:hint="eastAsia" w:ascii="宋体" w:hAnsi="宋体" w:eastAsia="宋体" w:cs="宋体"/>
        </w:rPr>
      </w:pPr>
      <w:r>
        <w:rPr>
          <w:rFonts w:hint="eastAsia" w:ascii="宋体" w:hAnsi="宋体" w:eastAsia="宋体" w:cs="宋体"/>
        </w:rPr>
        <w:t>暂列金额只能按照监理人的指示使用，并对合同价格进行相应调整。</w:t>
      </w:r>
    </w:p>
    <w:p w14:paraId="4F57E13E">
      <w:pPr>
        <w:keepNext/>
        <w:keepLines/>
        <w:spacing w:before="156" w:beforeLines="50" w:after="156" w:afterLines="50" w:line="360" w:lineRule="auto"/>
        <w:outlineLvl w:val="2"/>
        <w:rPr>
          <w:rFonts w:hint="eastAsia" w:ascii="宋体" w:hAnsi="宋体" w:eastAsia="宋体" w:cs="宋体"/>
          <w:sz w:val="24"/>
          <w:szCs w:val="20"/>
        </w:rPr>
      </w:pPr>
      <w:bookmarkStart w:id="1255" w:name="_Toc10235423"/>
      <w:bookmarkStart w:id="1256" w:name="_Toc490222596"/>
      <w:bookmarkStart w:id="1257" w:name="_Toc489279962"/>
      <w:bookmarkStart w:id="1258" w:name="_Toc486580151"/>
      <w:bookmarkStart w:id="1259" w:name="_Toc61020343"/>
      <w:bookmarkStart w:id="1260" w:name="_Toc497213827"/>
      <w:r>
        <w:rPr>
          <w:rFonts w:hint="eastAsia" w:ascii="宋体" w:hAnsi="宋体" w:eastAsia="宋体" w:cs="宋体"/>
          <w:sz w:val="24"/>
          <w:szCs w:val="20"/>
        </w:rPr>
        <w:t>15.7  计日工</w:t>
      </w:r>
      <w:bookmarkEnd w:id="1255"/>
      <w:bookmarkEnd w:id="1256"/>
      <w:bookmarkEnd w:id="1257"/>
      <w:bookmarkEnd w:id="1258"/>
      <w:bookmarkEnd w:id="1259"/>
      <w:bookmarkEnd w:id="1260"/>
    </w:p>
    <w:p w14:paraId="7968D9A4">
      <w:pPr>
        <w:spacing w:line="360" w:lineRule="auto"/>
        <w:ind w:firstLine="420" w:firstLineChars="200"/>
        <w:rPr>
          <w:rFonts w:hint="eastAsia" w:ascii="宋体" w:hAnsi="宋体" w:eastAsia="宋体" w:cs="宋体"/>
          <w:shd w:val="pct10" w:color="auto" w:fill="FFFFFF"/>
        </w:rPr>
      </w:pPr>
      <w:r>
        <w:rPr>
          <w:rFonts w:hint="eastAsia" w:ascii="宋体" w:hAnsi="宋体" w:eastAsia="宋体" w:cs="宋体"/>
        </w:rPr>
        <w:t>15.7.1  发包人认为有必要时，</w:t>
      </w:r>
      <w:r>
        <w:rPr>
          <w:rFonts w:hint="eastAsia" w:ascii="宋体" w:hAnsi="宋体" w:eastAsia="宋体" w:cs="宋体"/>
          <w:szCs w:val="21"/>
        </w:rPr>
        <w:t>由</w:t>
      </w:r>
      <w:r>
        <w:rPr>
          <w:rFonts w:hint="eastAsia" w:ascii="宋体" w:hAnsi="宋体" w:eastAsia="宋体" w:cs="宋体"/>
        </w:rPr>
        <w:t>监理人通知承包人以计日工方式实施变更的零星工作。其价款按列入已标价工程量清单中的计日工计价子目及其单价进行计算。</w:t>
      </w:r>
    </w:p>
    <w:p w14:paraId="46726BC7">
      <w:pPr>
        <w:spacing w:line="360" w:lineRule="auto"/>
        <w:ind w:firstLine="420" w:firstLineChars="200"/>
        <w:rPr>
          <w:rFonts w:hint="eastAsia" w:ascii="宋体" w:hAnsi="宋体" w:eastAsia="宋体" w:cs="宋体"/>
        </w:rPr>
      </w:pPr>
      <w:r>
        <w:rPr>
          <w:rFonts w:hint="eastAsia" w:ascii="宋体" w:hAnsi="宋体" w:eastAsia="宋体" w:cs="宋体"/>
        </w:rPr>
        <w:t>15.7.2  采用计日工计价的任何一项变更工作，应从暂列金额中支付，承包人应在该项变更的实施过程中，每天提交以下报表和有关凭证报送监理人审批：</w:t>
      </w:r>
    </w:p>
    <w:p w14:paraId="2E9D8D3B">
      <w:pPr>
        <w:spacing w:line="360" w:lineRule="auto"/>
        <w:ind w:firstLine="315" w:firstLineChars="150"/>
        <w:rPr>
          <w:rFonts w:hint="eastAsia" w:ascii="宋体" w:hAnsi="宋体" w:eastAsia="宋体" w:cs="宋体"/>
        </w:rPr>
      </w:pPr>
      <w:r>
        <w:rPr>
          <w:rFonts w:hint="eastAsia" w:ascii="宋体" w:hAnsi="宋体" w:eastAsia="宋体" w:cs="宋体"/>
        </w:rPr>
        <w:t>（1）工作名称、内容和数量；</w:t>
      </w:r>
    </w:p>
    <w:p w14:paraId="6D3FE566">
      <w:pPr>
        <w:spacing w:line="360" w:lineRule="auto"/>
        <w:ind w:firstLine="315" w:firstLineChars="150"/>
        <w:rPr>
          <w:rFonts w:hint="eastAsia" w:ascii="宋体" w:hAnsi="宋体" w:eastAsia="宋体" w:cs="宋体"/>
        </w:rPr>
      </w:pPr>
      <w:r>
        <w:rPr>
          <w:rFonts w:hint="eastAsia" w:ascii="宋体" w:hAnsi="宋体" w:eastAsia="宋体" w:cs="宋体"/>
        </w:rPr>
        <w:t>（2）投入该工作所有人员的姓名、工种、级别和耗用工时；</w:t>
      </w:r>
    </w:p>
    <w:p w14:paraId="47507982">
      <w:pPr>
        <w:spacing w:line="360" w:lineRule="auto"/>
        <w:ind w:firstLine="315" w:firstLineChars="150"/>
        <w:rPr>
          <w:rFonts w:hint="eastAsia" w:ascii="宋体" w:hAnsi="宋体" w:eastAsia="宋体" w:cs="宋体"/>
        </w:rPr>
      </w:pPr>
      <w:r>
        <w:rPr>
          <w:rFonts w:hint="eastAsia" w:ascii="宋体" w:hAnsi="宋体" w:eastAsia="宋体" w:cs="宋体"/>
        </w:rPr>
        <w:t>（3）投入该工作的材料类别和数量；</w:t>
      </w:r>
    </w:p>
    <w:p w14:paraId="75524903">
      <w:pPr>
        <w:spacing w:line="360" w:lineRule="auto"/>
        <w:ind w:firstLine="315" w:firstLineChars="150"/>
        <w:rPr>
          <w:rFonts w:hint="eastAsia" w:ascii="宋体" w:hAnsi="宋体" w:eastAsia="宋体" w:cs="宋体"/>
        </w:rPr>
      </w:pPr>
      <w:r>
        <w:rPr>
          <w:rFonts w:hint="eastAsia" w:ascii="宋体" w:hAnsi="宋体" w:eastAsia="宋体" w:cs="宋体"/>
        </w:rPr>
        <w:t>（4）投入该工作的施工设备型号、台数和耗用台时；</w:t>
      </w:r>
    </w:p>
    <w:p w14:paraId="70C801A8">
      <w:pPr>
        <w:spacing w:line="360" w:lineRule="auto"/>
        <w:ind w:firstLine="315" w:firstLineChars="150"/>
        <w:rPr>
          <w:rFonts w:hint="eastAsia" w:ascii="宋体" w:hAnsi="宋体" w:eastAsia="宋体" w:cs="宋体"/>
        </w:rPr>
      </w:pPr>
      <w:r>
        <w:rPr>
          <w:rFonts w:hint="eastAsia" w:ascii="宋体" w:hAnsi="宋体" w:eastAsia="宋体" w:cs="宋体"/>
        </w:rPr>
        <w:t>（5）监理人要求提交的其他资料和凭证。</w:t>
      </w:r>
    </w:p>
    <w:p w14:paraId="43F476C1">
      <w:pPr>
        <w:spacing w:line="360" w:lineRule="auto"/>
        <w:ind w:firstLine="420" w:firstLineChars="200"/>
        <w:rPr>
          <w:rFonts w:hint="eastAsia" w:ascii="宋体" w:hAnsi="宋体" w:eastAsia="宋体" w:cs="宋体"/>
        </w:rPr>
      </w:pPr>
      <w:r>
        <w:rPr>
          <w:rFonts w:hint="eastAsia" w:ascii="宋体" w:hAnsi="宋体" w:eastAsia="宋体" w:cs="宋体"/>
        </w:rPr>
        <w:t>15.7.3  计日工由承包人汇总后，按第17.3.2项的约定列入进度付款申请单，由监理人复核并经发包人同意后列入进度付款。</w:t>
      </w:r>
    </w:p>
    <w:p w14:paraId="147C932C">
      <w:pPr>
        <w:keepNext/>
        <w:keepLines/>
        <w:spacing w:before="156" w:beforeLines="50" w:after="156" w:afterLines="50" w:line="360" w:lineRule="auto"/>
        <w:outlineLvl w:val="2"/>
        <w:rPr>
          <w:rFonts w:hint="eastAsia" w:ascii="宋体" w:hAnsi="宋体" w:eastAsia="宋体" w:cs="宋体"/>
          <w:sz w:val="24"/>
          <w:szCs w:val="20"/>
        </w:rPr>
      </w:pPr>
      <w:bookmarkStart w:id="1261" w:name="_Toc486580152"/>
      <w:bookmarkStart w:id="1262" w:name="_Toc10235424"/>
      <w:bookmarkStart w:id="1263" w:name="_Toc61020344"/>
      <w:bookmarkStart w:id="1264" w:name="_Toc490222597"/>
      <w:bookmarkStart w:id="1265" w:name="_Toc489279963"/>
      <w:bookmarkStart w:id="1266" w:name="_Toc497213828"/>
      <w:r>
        <w:rPr>
          <w:rFonts w:hint="eastAsia" w:ascii="宋体" w:hAnsi="宋体" w:eastAsia="宋体" w:cs="宋体"/>
          <w:sz w:val="24"/>
          <w:szCs w:val="20"/>
        </w:rPr>
        <w:t>15.8  暂估价</w:t>
      </w:r>
      <w:bookmarkEnd w:id="1261"/>
      <w:bookmarkEnd w:id="1262"/>
      <w:bookmarkEnd w:id="1263"/>
      <w:bookmarkEnd w:id="1264"/>
      <w:bookmarkEnd w:id="1265"/>
      <w:bookmarkEnd w:id="1266"/>
    </w:p>
    <w:p w14:paraId="0A26B649">
      <w:pPr>
        <w:spacing w:line="360" w:lineRule="auto"/>
        <w:ind w:firstLine="420" w:firstLineChars="200"/>
        <w:rPr>
          <w:rFonts w:hint="eastAsia" w:ascii="宋体" w:hAnsi="宋体" w:eastAsia="宋体" w:cs="宋体"/>
        </w:rPr>
      </w:pPr>
      <w:r>
        <w:rPr>
          <w:rFonts w:hint="eastAsia" w:ascii="宋体" w:hAnsi="宋体" w:eastAsia="宋体" w:cs="宋体"/>
        </w:rPr>
        <w:t>15.8.1  发包人在工程量清单中给定暂估价的材料和工程设备及专业工程属于依法必须招标的范围并达到规定的规模标准的，由发包人和承包人</w:t>
      </w:r>
      <w:r>
        <w:rPr>
          <w:rFonts w:hint="eastAsia" w:ascii="宋体" w:hAnsi="宋体" w:eastAsia="宋体" w:cs="宋体"/>
          <w:szCs w:val="21"/>
        </w:rPr>
        <w:t>采用招标方式选择专项供应商或专业分包人</w:t>
      </w:r>
      <w:r>
        <w:rPr>
          <w:rFonts w:hint="eastAsia" w:ascii="宋体" w:hAnsi="宋体" w:eastAsia="宋体" w:cs="宋体"/>
        </w:rPr>
        <w:t xml:space="preserve">。发包人和承包人的权利义务关系约定如下： </w:t>
      </w:r>
    </w:p>
    <w:p w14:paraId="0A2BC3F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（1）由承包人作为招标人，依法组织招标工作并接受有管辖权的建设工程招标投标行政监督部门的监督。</w:t>
      </w:r>
    </w:p>
    <w:p w14:paraId="4C08E1F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（2）与组织招标工作有关的费用应当被认为已经包括在承包人的签约合同价（投标总报价）中。</w:t>
      </w:r>
    </w:p>
    <w:p w14:paraId="0BD0E240">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（3）中标金额与工程量清单中所列的暂估价的金额差以及相应的税金等其他费用列入合同价格。</w:t>
      </w:r>
    </w:p>
    <w:p w14:paraId="678462DA">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5CD12879">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5F0A9DA5">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（6）如果发、承包任何一方委派评标代表，评标委员会应当由七人以上单数构成。除发包人或者承包人自愿放弃委派评标代表的权利外，招标人评标代表应当分别由发包人和承包人等额委派。</w:t>
      </w:r>
    </w:p>
    <w:p w14:paraId="354EAE2A">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7）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267C5854">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8）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0B55448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9）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61333A8C">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0559F397">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（11）发包人对承包人报送文件进行审批或提出的修改意见应当合理，并符合现行有关法律法规的规定。</w:t>
      </w:r>
    </w:p>
    <w:p w14:paraId="66E29C74">
      <w:pPr>
        <w:spacing w:line="360" w:lineRule="auto"/>
        <w:ind w:firstLine="315" w:firstLineChars="150"/>
        <w:rPr>
          <w:rFonts w:hint="eastAsia" w:ascii="宋体" w:hAnsi="宋体" w:eastAsia="宋体" w:cs="宋体"/>
        </w:rPr>
      </w:pPr>
      <w:r>
        <w:rPr>
          <w:rFonts w:hint="eastAsia" w:ascii="宋体" w:hAnsi="宋体" w:eastAsia="宋体" w:cs="宋体"/>
          <w:szCs w:val="21"/>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1E98FB9D">
      <w:pPr>
        <w:spacing w:line="360" w:lineRule="auto"/>
        <w:ind w:firstLine="420" w:firstLineChars="200"/>
        <w:rPr>
          <w:rFonts w:hint="eastAsia" w:ascii="宋体" w:hAnsi="宋体" w:eastAsia="宋体" w:cs="宋体"/>
        </w:rPr>
      </w:pPr>
      <w:r>
        <w:rPr>
          <w:rFonts w:hint="eastAsia" w:ascii="宋体" w:hAnsi="宋体" w:eastAsia="宋体" w:cs="宋体"/>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6DF977F8">
      <w:pPr>
        <w:spacing w:line="360" w:lineRule="auto"/>
        <w:ind w:firstLine="420" w:firstLineChars="200"/>
        <w:rPr>
          <w:rFonts w:hint="eastAsia" w:ascii="宋体" w:hAnsi="宋体" w:eastAsia="宋体" w:cs="宋体"/>
        </w:rPr>
      </w:pPr>
      <w:r>
        <w:rPr>
          <w:rFonts w:hint="eastAsia" w:ascii="宋体" w:hAnsi="宋体" w:eastAsia="宋体" w:cs="宋体"/>
        </w:rPr>
        <w:t>15.8.3  发包人在工程量清单中给定暂估价的专业工程不属于依法必须招标的范围或未达到规定的规模标准的，由监理人按照第15.4款进行估价，但合同条款专用部分另有约定的除外。经估价的专业工程与工程量清单中所列的暂估价的金额差以及相应的税金等其他费用列入合同价格。</w:t>
      </w:r>
    </w:p>
    <w:p w14:paraId="167C5F4E">
      <w:pPr>
        <w:keepNext/>
        <w:keepLines/>
        <w:spacing w:before="156" w:beforeLines="50" w:after="156" w:afterLines="50" w:line="360" w:lineRule="auto"/>
        <w:outlineLvl w:val="1"/>
        <w:rPr>
          <w:rFonts w:hint="eastAsia" w:ascii="宋体" w:hAnsi="宋体" w:eastAsia="宋体" w:cs="宋体"/>
          <w:sz w:val="28"/>
          <w:szCs w:val="20"/>
        </w:rPr>
      </w:pPr>
      <w:bookmarkStart w:id="1267" w:name="_Toc490222598"/>
      <w:bookmarkStart w:id="1268" w:name="_Toc10235425"/>
      <w:bookmarkStart w:id="1269" w:name="_Toc489279964"/>
      <w:bookmarkStart w:id="1270" w:name="_Toc61020345"/>
      <w:bookmarkStart w:id="1271" w:name="_Toc486580153"/>
      <w:bookmarkStart w:id="1272" w:name="_Toc497213829"/>
      <w:r>
        <w:rPr>
          <w:rFonts w:hint="eastAsia" w:ascii="宋体" w:hAnsi="宋体" w:eastAsia="宋体" w:cs="宋体"/>
          <w:sz w:val="28"/>
          <w:szCs w:val="20"/>
        </w:rPr>
        <w:t>16.价格调整</w:t>
      </w:r>
      <w:bookmarkEnd w:id="1267"/>
      <w:bookmarkEnd w:id="1268"/>
      <w:bookmarkEnd w:id="1269"/>
      <w:bookmarkEnd w:id="1270"/>
      <w:bookmarkEnd w:id="1271"/>
      <w:bookmarkEnd w:id="1272"/>
    </w:p>
    <w:p w14:paraId="3C60F0B4">
      <w:pPr>
        <w:keepNext/>
        <w:keepLines/>
        <w:spacing w:before="156" w:beforeLines="50" w:after="156" w:afterLines="50" w:line="360" w:lineRule="auto"/>
        <w:outlineLvl w:val="2"/>
        <w:rPr>
          <w:rFonts w:hint="eastAsia" w:ascii="宋体" w:hAnsi="宋体" w:eastAsia="宋体" w:cs="宋体"/>
          <w:sz w:val="24"/>
          <w:szCs w:val="20"/>
        </w:rPr>
      </w:pPr>
      <w:bookmarkStart w:id="1273" w:name="_Toc10235426"/>
      <w:bookmarkStart w:id="1274" w:name="_Toc490222599"/>
      <w:bookmarkStart w:id="1275" w:name="_Toc486580154"/>
      <w:bookmarkStart w:id="1276" w:name="_Toc489279965"/>
      <w:bookmarkStart w:id="1277" w:name="_Toc497213830"/>
      <w:bookmarkStart w:id="1278" w:name="_Toc61020346"/>
      <w:r>
        <w:rPr>
          <w:rFonts w:hint="eastAsia" w:ascii="宋体" w:hAnsi="宋体" w:eastAsia="宋体" w:cs="宋体"/>
          <w:sz w:val="24"/>
          <w:szCs w:val="20"/>
        </w:rPr>
        <w:t>16.1  物价波动引起的价格调整</w:t>
      </w:r>
      <w:bookmarkEnd w:id="1273"/>
      <w:bookmarkEnd w:id="1274"/>
      <w:bookmarkEnd w:id="1275"/>
      <w:bookmarkEnd w:id="1276"/>
      <w:bookmarkEnd w:id="1277"/>
      <w:bookmarkEnd w:id="1278"/>
    </w:p>
    <w:p w14:paraId="6DFEFA29">
      <w:pPr>
        <w:spacing w:line="360" w:lineRule="auto"/>
        <w:ind w:firstLine="420" w:firstLineChars="200"/>
        <w:rPr>
          <w:rFonts w:hint="eastAsia" w:ascii="宋体" w:hAnsi="宋体" w:eastAsia="宋体" w:cs="宋体"/>
        </w:rPr>
      </w:pPr>
      <w:r>
        <w:rPr>
          <w:rFonts w:hint="eastAsia" w:ascii="宋体" w:hAnsi="宋体" w:eastAsia="宋体" w:cs="宋体"/>
        </w:rPr>
        <w:t>除合同条款专用部分另有约定外，因物价波动引起的价格调整按照本款约定处理。</w:t>
      </w:r>
    </w:p>
    <w:p w14:paraId="69CFEFC0">
      <w:pPr>
        <w:spacing w:line="360" w:lineRule="auto"/>
        <w:ind w:firstLine="420" w:firstLineChars="200"/>
        <w:rPr>
          <w:rFonts w:hint="eastAsia" w:ascii="宋体" w:hAnsi="宋体" w:eastAsia="宋体" w:cs="宋体"/>
        </w:rPr>
      </w:pPr>
      <w:r>
        <w:rPr>
          <w:rFonts w:hint="eastAsia" w:ascii="宋体" w:hAnsi="宋体" w:eastAsia="宋体" w:cs="宋体"/>
        </w:rPr>
        <w:t>16.1.1 采用价格指数调整价格差额</w:t>
      </w:r>
    </w:p>
    <w:p w14:paraId="692D9880">
      <w:pPr>
        <w:spacing w:line="360" w:lineRule="auto"/>
        <w:ind w:firstLine="630" w:firstLineChars="300"/>
        <w:rPr>
          <w:rFonts w:hint="eastAsia" w:ascii="宋体" w:hAnsi="宋体" w:eastAsia="宋体" w:cs="宋体"/>
        </w:rPr>
      </w:pPr>
      <w:r>
        <w:rPr>
          <w:rFonts w:hint="eastAsia" w:ascii="宋体" w:hAnsi="宋体" w:eastAsia="宋体" w:cs="宋体"/>
        </w:rPr>
        <w:t>16.1.1.1 价格调整公式</w:t>
      </w:r>
    </w:p>
    <w:p w14:paraId="15405B17">
      <w:pPr>
        <w:spacing w:line="360" w:lineRule="auto"/>
        <w:ind w:firstLine="630" w:firstLineChars="300"/>
        <w:rPr>
          <w:rFonts w:hint="eastAsia" w:ascii="宋体" w:hAnsi="宋体" w:eastAsia="宋体" w:cs="宋体"/>
        </w:rPr>
      </w:pPr>
      <w:r>
        <w:rPr>
          <w:rFonts w:hint="eastAsia" w:ascii="宋体" w:hAnsi="宋体" w:eastAsia="宋体" w:cs="宋体"/>
        </w:rPr>
        <w:t>因人工、材料和设备等价格波动影响合同价格时，根据投标函附录中的价格指数和权重表约定的数据，按以下公式计算差额并调整合同价格。</w:t>
      </w:r>
    </w:p>
    <w:p w14:paraId="60F34D1B">
      <w:pPr>
        <w:adjustRightInd w:val="0"/>
        <w:spacing w:line="1200" w:lineRule="exact"/>
        <w:ind w:right="248" w:firstLine="759" w:firstLineChars="398"/>
        <w:rPr>
          <w:rFonts w:hint="eastAsia" w:ascii="宋体" w:hAnsi="宋体" w:eastAsia="宋体" w:cs="宋体"/>
        </w:rPr>
      </w:pPr>
      <w:r>
        <w:rPr>
          <w:rFonts w:hint="eastAsia" w:ascii="宋体" w:hAnsi="宋体" w:eastAsia="宋体" w:cs="宋体"/>
          <w:b/>
          <w:bCs/>
          <w:sz w:val="19"/>
          <w:szCs w:val="19"/>
        </w:rPr>
        <w:t xml:space="preserve">        </w:t>
      </w:r>
      <w:r>
        <w:rPr>
          <w:rFonts w:hint="eastAsia" w:ascii="宋体" w:hAnsi="宋体" w:eastAsia="宋体" w:cs="宋体"/>
          <w:position w:val="-34"/>
        </w:rPr>
        <w:object>
          <v:shape id="_x0000_i1025" o:spt="75" type="#_x0000_t75" style="height:40.75pt;width:307pt;" o:ole="t" filled="f" o:preferrelative="t" stroked="f" coordsize="21600,21600">
            <v:path/>
            <v:fill on="f" focussize="0,0"/>
            <v:stroke on="f" joinstyle="miter"/>
            <v:imagedata r:id="rId9" o:title=""/>
            <o:lock v:ext="edit" aspectratio="t"/>
            <w10:wrap type="none"/>
            <w10:anchorlock/>
          </v:shape>
          <o:OLEObject Type="Embed" ProgID="Equation.3" ShapeID="_x0000_i1025" DrawAspect="Content" ObjectID="_1468075725" r:id="rId8">
            <o:LockedField>false</o:LockedField>
          </o:OLEObject>
        </w:object>
      </w:r>
    </w:p>
    <w:p w14:paraId="70E1F726">
      <w:pPr>
        <w:tabs>
          <w:tab w:val="left" w:pos="1260"/>
        </w:tabs>
        <w:spacing w:line="400" w:lineRule="exact"/>
        <w:ind w:firstLine="420" w:firstLineChars="200"/>
        <w:rPr>
          <w:rFonts w:hint="eastAsia" w:ascii="宋体" w:hAnsi="宋体" w:eastAsia="宋体" w:cs="宋体"/>
        </w:rPr>
      </w:pPr>
      <w:r>
        <w:rPr>
          <w:rFonts w:hint="eastAsia" w:ascii="宋体" w:hAnsi="宋体" w:eastAsia="宋体" w:cs="宋体"/>
        </w:rPr>
        <w:t xml:space="preserve"> </w:t>
      </w:r>
    </w:p>
    <w:p w14:paraId="27D34DB0">
      <w:pPr>
        <w:tabs>
          <w:tab w:val="left" w:pos="1260"/>
        </w:tabs>
        <w:spacing w:line="360" w:lineRule="auto"/>
        <w:ind w:firstLine="420" w:firstLineChars="200"/>
        <w:rPr>
          <w:rFonts w:hint="eastAsia" w:ascii="宋体" w:hAnsi="宋体" w:eastAsia="宋体" w:cs="宋体"/>
        </w:rPr>
      </w:pPr>
      <w:r>
        <w:rPr>
          <w:rFonts w:hint="eastAsia" w:ascii="宋体" w:hAnsi="宋体" w:eastAsia="宋体" w:cs="宋体"/>
        </w:rPr>
        <w:t>式中： △P -- 需调整的价格差额；</w:t>
      </w:r>
    </w:p>
    <w:p w14:paraId="70582D87">
      <w:pPr>
        <w:tabs>
          <w:tab w:val="left" w:pos="1260"/>
        </w:tabs>
        <w:spacing w:line="360" w:lineRule="auto"/>
        <w:rPr>
          <w:rFonts w:hint="eastAsia" w:ascii="宋体" w:hAnsi="宋体" w:eastAsia="宋体" w:cs="宋体"/>
        </w:rPr>
      </w:pPr>
      <w:r>
        <w:rPr>
          <w:rFonts w:hint="eastAsia" w:ascii="宋体" w:hAnsi="宋体" w:eastAsia="宋体" w:cs="宋体"/>
        </w:rPr>
        <w:tab/>
      </w:r>
      <w:r>
        <w:rPr>
          <w:rFonts w:hint="eastAsia" w:ascii="宋体" w:hAnsi="宋体" w:eastAsia="宋体" w:cs="宋体"/>
        </w:rPr>
        <w:t>P</w:t>
      </w:r>
      <w:r>
        <w:rPr>
          <w:rFonts w:hint="eastAsia" w:ascii="宋体" w:hAnsi="宋体" w:eastAsia="宋体" w:cs="宋体"/>
          <w:szCs w:val="21"/>
          <w:vertAlign w:val="subscript"/>
        </w:rPr>
        <w:t>0</w:t>
      </w:r>
      <w:r>
        <w:rPr>
          <w:rFonts w:hint="eastAsia" w:ascii="宋体" w:hAnsi="宋体" w:eastAsia="宋体" w:cs="宋体"/>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01D79706">
      <w:pPr>
        <w:tabs>
          <w:tab w:val="left" w:pos="1260"/>
        </w:tabs>
        <w:spacing w:line="360" w:lineRule="auto"/>
        <w:rPr>
          <w:rFonts w:hint="eastAsia" w:ascii="宋体" w:hAnsi="宋体" w:eastAsia="宋体" w:cs="宋体"/>
        </w:rPr>
      </w:pPr>
      <w:r>
        <w:rPr>
          <w:rFonts w:hint="eastAsia" w:ascii="宋体" w:hAnsi="宋体" w:eastAsia="宋体" w:cs="宋体"/>
        </w:rPr>
        <w:tab/>
      </w:r>
      <w:r>
        <w:rPr>
          <w:rFonts w:hint="eastAsia" w:ascii="宋体" w:hAnsi="宋体" w:eastAsia="宋体" w:cs="宋体"/>
        </w:rPr>
        <w:t>A -- 定值权重(即不调部分的权重)；</w:t>
      </w:r>
    </w:p>
    <w:p w14:paraId="46C961C6">
      <w:pPr>
        <w:tabs>
          <w:tab w:val="left" w:pos="1260"/>
        </w:tabs>
        <w:spacing w:line="360" w:lineRule="auto"/>
        <w:rPr>
          <w:rFonts w:hint="eastAsia" w:ascii="宋体" w:hAnsi="宋体" w:eastAsia="宋体" w:cs="宋体"/>
        </w:rPr>
      </w:pPr>
      <w:r>
        <w:rPr>
          <w:rFonts w:hint="eastAsia" w:ascii="宋体" w:hAnsi="宋体" w:eastAsia="宋体" w:cs="宋体"/>
        </w:rPr>
        <w:tab/>
      </w:r>
      <w:r>
        <w:rPr>
          <w:rFonts w:hint="eastAsia" w:ascii="宋体" w:hAnsi="宋体" w:eastAsia="宋体" w:cs="宋体"/>
        </w:rPr>
        <w:t>B</w:t>
      </w:r>
      <w:r>
        <w:rPr>
          <w:rFonts w:hint="eastAsia" w:ascii="宋体" w:hAnsi="宋体" w:eastAsia="宋体" w:cs="宋体"/>
          <w:szCs w:val="21"/>
          <w:vertAlign w:val="subscript"/>
        </w:rPr>
        <w:t>1</w:t>
      </w:r>
      <w:r>
        <w:rPr>
          <w:rFonts w:hint="eastAsia" w:ascii="宋体" w:hAnsi="宋体" w:eastAsia="宋体" w:cs="宋体"/>
          <w:sz w:val="15"/>
          <w:szCs w:val="15"/>
        </w:rPr>
        <w:t>;</w:t>
      </w:r>
      <w:r>
        <w:rPr>
          <w:rFonts w:hint="eastAsia" w:ascii="宋体" w:hAnsi="宋体" w:eastAsia="宋体" w:cs="宋体"/>
        </w:rPr>
        <w:t xml:space="preserve"> B</w:t>
      </w:r>
      <w:r>
        <w:rPr>
          <w:rFonts w:hint="eastAsia" w:ascii="宋体" w:hAnsi="宋体" w:eastAsia="宋体" w:cs="宋体"/>
          <w:szCs w:val="21"/>
          <w:vertAlign w:val="subscript"/>
        </w:rPr>
        <w:t>2</w:t>
      </w:r>
      <w:r>
        <w:rPr>
          <w:rFonts w:hint="eastAsia" w:ascii="宋体" w:hAnsi="宋体" w:eastAsia="宋体" w:cs="宋体"/>
        </w:rPr>
        <w:t xml:space="preserve"> ;B</w:t>
      </w:r>
      <w:r>
        <w:rPr>
          <w:rFonts w:hint="eastAsia" w:ascii="宋体" w:hAnsi="宋体" w:eastAsia="宋体" w:cs="宋体"/>
          <w:szCs w:val="21"/>
          <w:vertAlign w:val="subscript"/>
        </w:rPr>
        <w:t>3</w:t>
      </w:r>
      <w:r>
        <w:rPr>
          <w:rFonts w:hint="eastAsia" w:ascii="宋体" w:hAnsi="宋体" w:eastAsia="宋体" w:cs="宋体"/>
          <w:sz w:val="15"/>
          <w:szCs w:val="15"/>
        </w:rPr>
        <w:t>·····</w:t>
      </w:r>
      <w:r>
        <w:rPr>
          <w:rFonts w:hint="eastAsia" w:ascii="宋体" w:hAnsi="宋体" w:eastAsia="宋体" w:cs="宋体"/>
        </w:rPr>
        <w:t>B</w:t>
      </w:r>
      <w:r>
        <w:rPr>
          <w:rFonts w:hint="eastAsia" w:ascii="宋体" w:hAnsi="宋体" w:eastAsia="宋体" w:cs="宋体"/>
          <w:szCs w:val="21"/>
          <w:vertAlign w:val="subscript"/>
        </w:rPr>
        <w:t>n</w:t>
      </w:r>
      <w:r>
        <w:rPr>
          <w:rFonts w:hint="eastAsia" w:ascii="宋体" w:hAnsi="宋体" w:eastAsia="宋体" w:cs="宋体"/>
        </w:rPr>
        <w:t xml:space="preserve"> -- 各可调因子的变值权重(即可调部分的权重)为各可调因子在投标函投标总报价中所占的比例；</w:t>
      </w:r>
    </w:p>
    <w:p w14:paraId="36B8C34C">
      <w:pPr>
        <w:tabs>
          <w:tab w:val="left" w:pos="1260"/>
        </w:tabs>
        <w:spacing w:line="360" w:lineRule="auto"/>
        <w:rPr>
          <w:rFonts w:hint="eastAsia" w:ascii="宋体" w:hAnsi="宋体" w:eastAsia="宋体" w:cs="宋体"/>
        </w:rPr>
      </w:pPr>
      <w:r>
        <w:rPr>
          <w:rFonts w:hint="eastAsia" w:ascii="宋体" w:hAnsi="宋体" w:eastAsia="宋体" w:cs="宋体"/>
        </w:rPr>
        <w:tab/>
      </w:r>
      <w:r>
        <w:rPr>
          <w:rFonts w:hint="eastAsia" w:ascii="宋体" w:hAnsi="宋体" w:eastAsia="宋体" w:cs="宋体"/>
        </w:rPr>
        <w:t>F</w:t>
      </w:r>
      <w:r>
        <w:rPr>
          <w:rFonts w:hint="eastAsia" w:ascii="宋体" w:hAnsi="宋体" w:eastAsia="宋体" w:cs="宋体"/>
          <w:szCs w:val="21"/>
          <w:vertAlign w:val="subscript"/>
        </w:rPr>
        <w:t>t1</w:t>
      </w:r>
      <w:r>
        <w:rPr>
          <w:rFonts w:hint="eastAsia" w:ascii="宋体" w:hAnsi="宋体" w:eastAsia="宋体" w:cs="宋体"/>
        </w:rPr>
        <w:t xml:space="preserve"> ;F</w:t>
      </w:r>
      <w:r>
        <w:rPr>
          <w:rFonts w:hint="eastAsia" w:ascii="宋体" w:hAnsi="宋体" w:eastAsia="宋体" w:cs="宋体"/>
          <w:szCs w:val="21"/>
          <w:vertAlign w:val="subscript"/>
        </w:rPr>
        <w:t>t2</w:t>
      </w:r>
      <w:r>
        <w:rPr>
          <w:rFonts w:hint="eastAsia" w:ascii="宋体" w:hAnsi="宋体" w:eastAsia="宋体" w:cs="宋体"/>
        </w:rPr>
        <w:t xml:space="preserve"> ;F</w:t>
      </w:r>
      <w:r>
        <w:rPr>
          <w:rFonts w:hint="eastAsia" w:ascii="宋体" w:hAnsi="宋体" w:eastAsia="宋体" w:cs="宋体"/>
          <w:szCs w:val="21"/>
          <w:vertAlign w:val="subscript"/>
        </w:rPr>
        <w:t>t3</w:t>
      </w:r>
      <w:r>
        <w:rPr>
          <w:rFonts w:hint="eastAsia" w:ascii="宋体" w:hAnsi="宋体" w:eastAsia="宋体" w:cs="宋体"/>
          <w:sz w:val="15"/>
          <w:szCs w:val="15"/>
        </w:rPr>
        <w:t>·····</w:t>
      </w:r>
      <w:r>
        <w:rPr>
          <w:rFonts w:hint="eastAsia" w:ascii="宋体" w:hAnsi="宋体" w:eastAsia="宋体" w:cs="宋体"/>
        </w:rPr>
        <w:t>F</w:t>
      </w:r>
      <w:r>
        <w:rPr>
          <w:rFonts w:hint="eastAsia" w:ascii="宋体" w:hAnsi="宋体" w:eastAsia="宋体" w:cs="宋体"/>
          <w:szCs w:val="21"/>
          <w:vertAlign w:val="subscript"/>
        </w:rPr>
        <w:t>tn</w:t>
      </w:r>
      <w:r>
        <w:rPr>
          <w:rFonts w:hint="eastAsia" w:ascii="宋体" w:hAnsi="宋体" w:eastAsia="宋体" w:cs="宋体"/>
        </w:rPr>
        <w:t xml:space="preserve"> -- 各可调因子的现行价格指数，指第17.3.3项、第17.5.2项和第17.6.2项约定的付款证书相关周期最后一天的前42天的各可调因子的价格指数；</w:t>
      </w:r>
    </w:p>
    <w:p w14:paraId="69290755">
      <w:pPr>
        <w:tabs>
          <w:tab w:val="left" w:pos="1260"/>
        </w:tabs>
        <w:spacing w:line="360" w:lineRule="auto"/>
        <w:rPr>
          <w:rFonts w:hint="eastAsia" w:ascii="宋体" w:hAnsi="宋体" w:eastAsia="宋体" w:cs="宋体"/>
        </w:rPr>
      </w:pPr>
      <w:r>
        <w:rPr>
          <w:rFonts w:hint="eastAsia" w:ascii="宋体" w:hAnsi="宋体" w:eastAsia="宋体" w:cs="宋体"/>
        </w:rPr>
        <w:tab/>
      </w:r>
      <w:r>
        <w:rPr>
          <w:rFonts w:hint="eastAsia" w:ascii="宋体" w:hAnsi="宋体" w:eastAsia="宋体" w:cs="宋体"/>
        </w:rPr>
        <w:t>F</w:t>
      </w:r>
      <w:r>
        <w:rPr>
          <w:rFonts w:hint="eastAsia" w:ascii="宋体" w:hAnsi="宋体" w:eastAsia="宋体" w:cs="宋体"/>
          <w:szCs w:val="21"/>
          <w:vertAlign w:val="subscript"/>
        </w:rPr>
        <w:t>o1</w:t>
      </w:r>
      <w:r>
        <w:rPr>
          <w:rFonts w:hint="eastAsia" w:ascii="宋体" w:hAnsi="宋体" w:eastAsia="宋体" w:cs="宋体"/>
        </w:rPr>
        <w:t>; F</w:t>
      </w:r>
      <w:r>
        <w:rPr>
          <w:rFonts w:hint="eastAsia" w:ascii="宋体" w:hAnsi="宋体" w:eastAsia="宋体" w:cs="宋体"/>
          <w:szCs w:val="21"/>
          <w:vertAlign w:val="subscript"/>
        </w:rPr>
        <w:t>o2</w:t>
      </w:r>
      <w:r>
        <w:rPr>
          <w:rFonts w:hint="eastAsia" w:ascii="宋体" w:hAnsi="宋体" w:eastAsia="宋体" w:cs="宋体"/>
          <w:sz w:val="15"/>
          <w:szCs w:val="15"/>
        </w:rPr>
        <w:t>;</w:t>
      </w:r>
      <w:r>
        <w:rPr>
          <w:rFonts w:hint="eastAsia" w:ascii="宋体" w:hAnsi="宋体" w:eastAsia="宋体" w:cs="宋体"/>
        </w:rPr>
        <w:t xml:space="preserve"> F</w:t>
      </w:r>
      <w:r>
        <w:rPr>
          <w:rFonts w:hint="eastAsia" w:ascii="宋体" w:hAnsi="宋体" w:eastAsia="宋体" w:cs="宋体"/>
          <w:szCs w:val="21"/>
          <w:vertAlign w:val="subscript"/>
        </w:rPr>
        <w:t>o3</w:t>
      </w:r>
      <w:r>
        <w:rPr>
          <w:rFonts w:hint="eastAsia" w:ascii="宋体" w:hAnsi="宋体" w:eastAsia="宋体" w:cs="宋体"/>
          <w:sz w:val="15"/>
          <w:szCs w:val="15"/>
        </w:rPr>
        <w:t>·····</w:t>
      </w:r>
      <w:r>
        <w:rPr>
          <w:rFonts w:hint="eastAsia" w:ascii="宋体" w:hAnsi="宋体" w:eastAsia="宋体" w:cs="宋体"/>
        </w:rPr>
        <w:t>F</w:t>
      </w:r>
      <w:r>
        <w:rPr>
          <w:rFonts w:hint="eastAsia" w:ascii="宋体" w:hAnsi="宋体" w:eastAsia="宋体" w:cs="宋体"/>
          <w:szCs w:val="21"/>
          <w:vertAlign w:val="subscript"/>
        </w:rPr>
        <w:t>on</w:t>
      </w:r>
      <w:r>
        <w:rPr>
          <w:rFonts w:hint="eastAsia" w:ascii="宋体" w:hAnsi="宋体" w:eastAsia="宋体" w:cs="宋体"/>
        </w:rPr>
        <w:t xml:space="preserve"> -- 各可调因子的基本价格指数，指基准日期的各可调因子的价格指数。</w:t>
      </w:r>
    </w:p>
    <w:p w14:paraId="660B4814">
      <w:pPr>
        <w:spacing w:line="360" w:lineRule="auto"/>
        <w:ind w:firstLine="630" w:firstLineChars="300"/>
        <w:rPr>
          <w:rFonts w:hint="eastAsia" w:ascii="宋体" w:hAnsi="宋体" w:eastAsia="宋体" w:cs="宋体"/>
        </w:rPr>
      </w:pPr>
      <w:r>
        <w:rPr>
          <w:rFonts w:hint="eastAsia" w:ascii="宋体" w:hAnsi="宋体" w:eastAsia="宋体" w:cs="宋体"/>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59D91F4D">
      <w:pPr>
        <w:spacing w:line="360" w:lineRule="auto"/>
        <w:ind w:firstLine="630" w:firstLineChars="300"/>
        <w:rPr>
          <w:rFonts w:hint="eastAsia" w:ascii="宋体" w:hAnsi="宋体" w:eastAsia="宋体" w:cs="宋体"/>
        </w:rPr>
      </w:pPr>
      <w:r>
        <w:rPr>
          <w:rFonts w:hint="eastAsia" w:ascii="宋体" w:hAnsi="宋体" w:eastAsia="宋体" w:cs="宋体"/>
        </w:rPr>
        <w:t>16.1.1.2 暂时确定调整差额</w:t>
      </w:r>
    </w:p>
    <w:p w14:paraId="7992A65C">
      <w:pPr>
        <w:spacing w:line="360" w:lineRule="auto"/>
        <w:ind w:firstLine="630" w:firstLineChars="300"/>
        <w:rPr>
          <w:rFonts w:hint="eastAsia" w:ascii="宋体" w:hAnsi="宋体" w:eastAsia="宋体" w:cs="宋体"/>
        </w:rPr>
      </w:pPr>
      <w:r>
        <w:rPr>
          <w:rFonts w:hint="eastAsia" w:ascii="宋体" w:hAnsi="宋体" w:eastAsia="宋体" w:cs="宋体"/>
        </w:rPr>
        <w:t>在计算调整差额时得不到现行价格指数的，可暂用上一次价格指数计算，并在以后的付款中再按实际价格指数进行调整。</w:t>
      </w:r>
    </w:p>
    <w:p w14:paraId="0A050C04">
      <w:pPr>
        <w:spacing w:line="360" w:lineRule="auto"/>
        <w:ind w:firstLine="630" w:firstLineChars="300"/>
        <w:rPr>
          <w:rFonts w:hint="eastAsia" w:ascii="宋体" w:hAnsi="宋体" w:eastAsia="宋体" w:cs="宋体"/>
        </w:rPr>
      </w:pPr>
      <w:r>
        <w:rPr>
          <w:rFonts w:hint="eastAsia" w:ascii="宋体" w:hAnsi="宋体" w:eastAsia="宋体" w:cs="宋体"/>
        </w:rPr>
        <w:t>16.1.1.3 权重的调整</w:t>
      </w:r>
    </w:p>
    <w:p w14:paraId="7EAA9AD7">
      <w:pPr>
        <w:spacing w:line="360" w:lineRule="auto"/>
        <w:ind w:firstLine="630" w:firstLineChars="300"/>
        <w:rPr>
          <w:rFonts w:hint="eastAsia" w:ascii="宋体" w:hAnsi="宋体" w:eastAsia="宋体" w:cs="宋体"/>
        </w:rPr>
      </w:pPr>
      <w:r>
        <w:rPr>
          <w:rFonts w:hint="eastAsia" w:ascii="宋体" w:hAnsi="宋体" w:eastAsia="宋体" w:cs="宋体"/>
        </w:rPr>
        <w:t>按第15.1款约定的变更导致原定合同中的权重不合理时，由监理人与承包人和发包人协商后进行调整。</w:t>
      </w:r>
    </w:p>
    <w:p w14:paraId="72031C71">
      <w:pPr>
        <w:spacing w:line="360" w:lineRule="auto"/>
        <w:ind w:firstLine="630" w:firstLineChars="300"/>
        <w:rPr>
          <w:rFonts w:hint="eastAsia" w:ascii="宋体" w:hAnsi="宋体" w:eastAsia="宋体" w:cs="宋体"/>
        </w:rPr>
      </w:pPr>
      <w:r>
        <w:rPr>
          <w:rFonts w:hint="eastAsia" w:ascii="宋体" w:hAnsi="宋体" w:eastAsia="宋体" w:cs="宋体"/>
        </w:rPr>
        <w:t>16.1.1.4 承包人工期延误后的价格调整</w:t>
      </w:r>
    </w:p>
    <w:p w14:paraId="7C672271">
      <w:pPr>
        <w:spacing w:line="360" w:lineRule="auto"/>
        <w:ind w:firstLine="630" w:firstLineChars="300"/>
        <w:rPr>
          <w:rFonts w:hint="eastAsia" w:ascii="宋体" w:hAnsi="宋体" w:eastAsia="宋体" w:cs="宋体"/>
        </w:rPr>
      </w:pPr>
      <w:r>
        <w:rPr>
          <w:rFonts w:hint="eastAsia" w:ascii="宋体" w:hAnsi="宋体" w:eastAsia="宋体" w:cs="宋体"/>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1BA151F3">
      <w:pPr>
        <w:spacing w:line="360" w:lineRule="auto"/>
        <w:ind w:firstLine="420" w:firstLineChars="200"/>
        <w:rPr>
          <w:rFonts w:hint="eastAsia" w:ascii="宋体" w:hAnsi="宋体" w:eastAsia="宋体" w:cs="宋体"/>
        </w:rPr>
      </w:pPr>
      <w:r>
        <w:rPr>
          <w:rFonts w:hint="eastAsia" w:ascii="宋体" w:hAnsi="宋体" w:eastAsia="宋体" w:cs="宋体"/>
        </w:rPr>
        <w:t>16.1.2  采用造价信息调整价格差额</w:t>
      </w:r>
    </w:p>
    <w:p w14:paraId="16D1855C">
      <w:pPr>
        <w:spacing w:line="360" w:lineRule="auto"/>
        <w:ind w:firstLine="420" w:firstLineChars="200"/>
        <w:rPr>
          <w:rFonts w:hint="eastAsia" w:ascii="宋体" w:hAnsi="宋体" w:eastAsia="宋体" w:cs="宋体"/>
        </w:rPr>
      </w:pPr>
      <w:r>
        <w:rPr>
          <w:rFonts w:hint="eastAsia" w:ascii="宋体" w:hAnsi="宋体" w:eastAsia="宋体" w:cs="宋体"/>
        </w:rPr>
        <w:t>施工期内，因人工、材料、设备和机械台班价格波动影响合同价格时，需要进行价格调整的，其价格和数量应由监理人审核，监理人确认需调整的内容、范围、价格和数量作为调整工程合同价格差额的依据。</w:t>
      </w:r>
    </w:p>
    <w:p w14:paraId="7EF5E918">
      <w:pPr>
        <w:spacing w:line="360" w:lineRule="auto"/>
        <w:ind w:firstLine="630" w:firstLineChars="300"/>
        <w:rPr>
          <w:rFonts w:hint="eastAsia" w:ascii="宋体" w:hAnsi="宋体" w:eastAsia="宋体" w:cs="宋体"/>
        </w:rPr>
      </w:pPr>
      <w:r>
        <w:rPr>
          <w:rFonts w:hint="eastAsia" w:ascii="宋体" w:hAnsi="宋体" w:eastAsia="宋体" w:cs="宋体"/>
        </w:rPr>
        <w:t>16.1.2.1  引起价格调整的物价波动风险范围及幅度</w:t>
      </w:r>
    </w:p>
    <w:p w14:paraId="3AFC3348">
      <w:pPr>
        <w:spacing w:line="360" w:lineRule="auto"/>
        <w:ind w:firstLine="630" w:firstLineChars="300"/>
        <w:rPr>
          <w:rFonts w:hint="eastAsia" w:ascii="宋体" w:hAnsi="宋体" w:eastAsia="宋体" w:cs="宋体"/>
        </w:rPr>
      </w:pPr>
      <w:r>
        <w:rPr>
          <w:rFonts w:hint="eastAsia" w:ascii="宋体" w:hAnsi="宋体" w:eastAsia="宋体" w:cs="宋体"/>
        </w:rPr>
        <w:t>施工期内，因人工、材料、设备和机械台班发生物价波动变化幅度在合同约定的风险幅度范围以内的，由承包人承担或受益，不调整合同价格；其价格波动变化幅度在合同约定的风险幅度范围以外的，由发包人承担或受益。</w:t>
      </w:r>
      <w:r>
        <w:rPr>
          <w:rFonts w:hint="eastAsia" w:ascii="宋体" w:hAnsi="宋体" w:eastAsia="宋体" w:cs="宋体"/>
          <w:szCs w:val="21"/>
        </w:rPr>
        <w:t>物价波动引起</w:t>
      </w:r>
      <w:r>
        <w:rPr>
          <w:rFonts w:hint="eastAsia" w:ascii="宋体" w:hAnsi="宋体" w:eastAsia="宋体" w:cs="宋体"/>
        </w:rPr>
        <w:t>价格调整的风险范围以及调整的风险幅度</w:t>
      </w:r>
      <w:r>
        <w:rPr>
          <w:rFonts w:hint="eastAsia" w:ascii="宋体" w:hAnsi="宋体" w:eastAsia="宋体" w:cs="宋体"/>
          <w:szCs w:val="21"/>
        </w:rPr>
        <w:t>见合同条款专用部分。</w:t>
      </w:r>
    </w:p>
    <w:p w14:paraId="78482AD8">
      <w:pPr>
        <w:spacing w:line="360" w:lineRule="auto"/>
        <w:ind w:firstLine="630" w:firstLineChars="300"/>
        <w:rPr>
          <w:rFonts w:hint="eastAsia" w:ascii="宋体" w:hAnsi="宋体" w:eastAsia="宋体" w:cs="宋体"/>
        </w:rPr>
      </w:pPr>
      <w:r>
        <w:rPr>
          <w:rFonts w:hint="eastAsia" w:ascii="宋体" w:hAnsi="宋体" w:eastAsia="宋体" w:cs="宋体"/>
        </w:rPr>
        <w:t>16.1.2.2  物价波动变化幅度的计算方法</w:t>
      </w:r>
    </w:p>
    <w:p w14:paraId="03A08A92">
      <w:pPr>
        <w:spacing w:line="360" w:lineRule="auto"/>
        <w:ind w:firstLine="525" w:firstLineChars="250"/>
        <w:rPr>
          <w:rFonts w:hint="eastAsia" w:ascii="宋体" w:hAnsi="宋体" w:eastAsia="宋体" w:cs="宋体"/>
        </w:rPr>
      </w:pPr>
      <w:r>
        <w:rPr>
          <w:rFonts w:hint="eastAsia" w:ascii="宋体" w:hAnsi="宋体" w:eastAsia="宋体" w:cs="宋体"/>
        </w:rPr>
        <w:t>（1）投标报价基准期确定的人工、材料、设备和机械台班的市场价格即为基准价。投标报价基准期</w:t>
      </w:r>
      <w:r>
        <w:rPr>
          <w:rFonts w:hint="eastAsia" w:ascii="宋体" w:hAnsi="宋体" w:eastAsia="宋体" w:cs="宋体"/>
          <w:szCs w:val="21"/>
        </w:rPr>
        <w:t>见合同条款专用部分。</w:t>
      </w:r>
    </w:p>
    <w:p w14:paraId="40F0BE4F">
      <w:pPr>
        <w:spacing w:line="360" w:lineRule="auto"/>
        <w:ind w:firstLine="525" w:firstLineChars="250"/>
        <w:rPr>
          <w:rFonts w:hint="eastAsia" w:ascii="宋体" w:hAnsi="宋体" w:eastAsia="宋体" w:cs="宋体"/>
        </w:rPr>
      </w:pPr>
      <w:r>
        <w:rPr>
          <w:rFonts w:hint="eastAsia" w:ascii="宋体" w:hAnsi="宋体" w:eastAsia="宋体" w:cs="宋体"/>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w:t>
      </w:r>
      <w:r>
        <w:rPr>
          <w:rFonts w:hint="eastAsia" w:ascii="宋体" w:hAnsi="宋体" w:eastAsia="宋体" w:cs="宋体"/>
          <w:szCs w:val="21"/>
        </w:rPr>
        <w:t>见合同条款专用部分。</w:t>
      </w:r>
    </w:p>
    <w:p w14:paraId="6EC1AA2C">
      <w:pPr>
        <w:spacing w:line="360" w:lineRule="auto"/>
        <w:ind w:firstLine="525" w:firstLineChars="250"/>
        <w:rPr>
          <w:rFonts w:hint="eastAsia" w:ascii="宋体" w:hAnsi="宋体" w:eastAsia="宋体" w:cs="宋体"/>
        </w:rPr>
      </w:pPr>
      <w:r>
        <w:rPr>
          <w:rFonts w:hint="eastAsia" w:ascii="宋体" w:hAnsi="宋体" w:eastAsia="宋体" w:cs="宋体"/>
        </w:rPr>
        <w:t>（3）合同施工期市场价格的确定方法</w:t>
      </w:r>
      <w:r>
        <w:rPr>
          <w:rFonts w:hint="eastAsia" w:ascii="宋体" w:hAnsi="宋体" w:eastAsia="宋体" w:cs="宋体"/>
          <w:szCs w:val="21"/>
        </w:rPr>
        <w:t>见合同条款专用部分。</w:t>
      </w:r>
    </w:p>
    <w:p w14:paraId="16AA5325">
      <w:pPr>
        <w:spacing w:line="360" w:lineRule="auto"/>
        <w:ind w:firstLine="525" w:firstLineChars="250"/>
        <w:rPr>
          <w:rFonts w:hint="eastAsia" w:ascii="宋体" w:hAnsi="宋体" w:eastAsia="宋体" w:cs="宋体"/>
          <w:szCs w:val="21"/>
        </w:rPr>
      </w:pPr>
      <w:r>
        <w:rPr>
          <w:rFonts w:hint="eastAsia" w:ascii="宋体" w:hAnsi="宋体" w:eastAsia="宋体" w:cs="宋体"/>
        </w:rPr>
        <w:t>（4）物价波动变化幅度</w:t>
      </w:r>
      <w:r>
        <w:rPr>
          <w:rFonts w:hint="eastAsia" w:ascii="宋体" w:hAnsi="宋体" w:eastAsia="宋体" w:cs="宋体"/>
          <w:szCs w:val="21"/>
        </w:rPr>
        <w:t>的计算方法：</w:t>
      </w:r>
    </w:p>
    <w:p w14:paraId="1F448158">
      <w:pPr>
        <w:spacing w:line="360" w:lineRule="auto"/>
        <w:ind w:left="993"/>
        <w:rPr>
          <w:rFonts w:hint="eastAsia" w:ascii="宋体" w:hAnsi="宋体" w:eastAsia="宋体" w:cs="宋体"/>
          <w:szCs w:val="21"/>
        </w:rPr>
      </w:pPr>
      <w:r>
        <w:rPr>
          <w:rFonts w:hint="eastAsia" w:ascii="宋体" w:hAnsi="宋体" w:eastAsia="宋体" w:cs="宋体"/>
          <w:szCs w:val="21"/>
        </w:rPr>
        <w:t>1）当承包人投标报价中的单价低于基准价时：</w:t>
      </w:r>
    </w:p>
    <w:p w14:paraId="2222CAB6">
      <w:pPr>
        <w:spacing w:line="360" w:lineRule="auto"/>
        <w:ind w:left="1418" w:leftChars="675"/>
        <w:rPr>
          <w:rFonts w:hint="eastAsia" w:ascii="宋体" w:hAnsi="宋体" w:eastAsia="宋体" w:cs="宋体"/>
          <w:szCs w:val="21"/>
        </w:rPr>
      </w:pPr>
      <w:r>
        <w:rPr>
          <w:rFonts w:hint="eastAsia" w:ascii="宋体" w:hAnsi="宋体" w:eastAsia="宋体" w:cs="宋体"/>
        </w:rPr>
        <w:t>物价波动变化幅度</w:t>
      </w:r>
      <w:r>
        <w:rPr>
          <w:rFonts w:hint="eastAsia" w:ascii="宋体" w:hAnsi="宋体" w:eastAsia="宋体" w:cs="宋体"/>
          <w:szCs w:val="21"/>
        </w:rPr>
        <w:t>（涨幅）=（施工期市场价-基准价）/基准价×100%</w:t>
      </w:r>
    </w:p>
    <w:p w14:paraId="2BC7755F">
      <w:pPr>
        <w:spacing w:line="360" w:lineRule="auto"/>
        <w:ind w:left="1418" w:leftChars="675"/>
        <w:rPr>
          <w:rFonts w:hint="eastAsia" w:ascii="宋体" w:hAnsi="宋体" w:eastAsia="宋体" w:cs="宋体"/>
          <w:szCs w:val="21"/>
        </w:rPr>
      </w:pPr>
      <w:r>
        <w:rPr>
          <w:rFonts w:hint="eastAsia" w:ascii="宋体" w:hAnsi="宋体" w:eastAsia="宋体" w:cs="宋体"/>
        </w:rPr>
        <w:t>物价波动变化幅度</w:t>
      </w:r>
      <w:r>
        <w:rPr>
          <w:rFonts w:hint="eastAsia" w:ascii="宋体" w:hAnsi="宋体" w:eastAsia="宋体" w:cs="宋体"/>
          <w:szCs w:val="21"/>
        </w:rPr>
        <w:t>（跌幅）=（施工期市场价-投标单价）/投标单价×100%</w:t>
      </w:r>
    </w:p>
    <w:p w14:paraId="1DEE7B68">
      <w:pPr>
        <w:spacing w:line="360" w:lineRule="auto"/>
        <w:ind w:left="993"/>
        <w:rPr>
          <w:rFonts w:hint="eastAsia" w:ascii="宋体" w:hAnsi="宋体" w:eastAsia="宋体" w:cs="宋体"/>
          <w:szCs w:val="21"/>
        </w:rPr>
      </w:pPr>
      <w:r>
        <w:rPr>
          <w:rFonts w:hint="eastAsia" w:ascii="宋体" w:hAnsi="宋体" w:eastAsia="宋体" w:cs="宋体"/>
          <w:szCs w:val="21"/>
        </w:rPr>
        <w:t>2）当承包人投标报价中的单价高于基准价时：</w:t>
      </w:r>
    </w:p>
    <w:p w14:paraId="6100F99B">
      <w:pPr>
        <w:spacing w:line="360" w:lineRule="auto"/>
        <w:ind w:left="1418" w:leftChars="675"/>
        <w:rPr>
          <w:rFonts w:hint="eastAsia" w:ascii="宋体" w:hAnsi="宋体" w:eastAsia="宋体" w:cs="宋体"/>
        </w:rPr>
      </w:pPr>
      <w:r>
        <w:rPr>
          <w:rFonts w:hint="eastAsia" w:ascii="宋体" w:hAnsi="宋体" w:eastAsia="宋体" w:cs="宋体"/>
        </w:rPr>
        <w:t>物价波动变化幅度（涨幅）=（施工期市场价-投标单价）/投标单价×100%</w:t>
      </w:r>
    </w:p>
    <w:p w14:paraId="7D748B51">
      <w:pPr>
        <w:spacing w:line="360" w:lineRule="auto"/>
        <w:ind w:left="1418" w:leftChars="675"/>
        <w:rPr>
          <w:rFonts w:hint="eastAsia" w:ascii="宋体" w:hAnsi="宋体" w:eastAsia="宋体" w:cs="宋体"/>
        </w:rPr>
      </w:pPr>
      <w:r>
        <w:rPr>
          <w:rFonts w:hint="eastAsia" w:ascii="宋体" w:hAnsi="宋体" w:eastAsia="宋体" w:cs="宋体"/>
        </w:rPr>
        <w:t>物价波动变化幅度（跌幅）=（施工期市场价-基准价）/基准价×100%</w:t>
      </w:r>
    </w:p>
    <w:p w14:paraId="7B11A4B9">
      <w:pPr>
        <w:spacing w:line="360" w:lineRule="auto"/>
        <w:ind w:left="993"/>
        <w:rPr>
          <w:rFonts w:hint="eastAsia" w:ascii="宋体" w:hAnsi="宋体" w:eastAsia="宋体" w:cs="宋体"/>
          <w:szCs w:val="21"/>
        </w:rPr>
      </w:pPr>
      <w:r>
        <w:rPr>
          <w:rFonts w:hint="eastAsia" w:ascii="宋体" w:hAnsi="宋体" w:eastAsia="宋体" w:cs="宋体"/>
          <w:szCs w:val="21"/>
        </w:rPr>
        <w:t>3）当承包人投标报价中的单价等于基准价时：</w:t>
      </w:r>
    </w:p>
    <w:p w14:paraId="6EE9489D">
      <w:pPr>
        <w:spacing w:line="360" w:lineRule="auto"/>
        <w:ind w:left="1418" w:leftChars="675"/>
        <w:rPr>
          <w:rFonts w:hint="eastAsia" w:ascii="宋体" w:hAnsi="宋体" w:eastAsia="宋体" w:cs="宋体"/>
        </w:rPr>
      </w:pPr>
      <w:r>
        <w:rPr>
          <w:rFonts w:hint="eastAsia" w:ascii="宋体" w:hAnsi="宋体" w:eastAsia="宋体" w:cs="宋体"/>
        </w:rPr>
        <w:t>物价波动变化幅度=（施工期市场价-基准价）/基准价×100%</w:t>
      </w:r>
    </w:p>
    <w:p w14:paraId="06938F2C">
      <w:pPr>
        <w:spacing w:line="360" w:lineRule="auto"/>
        <w:ind w:firstLine="630" w:firstLineChars="300"/>
        <w:rPr>
          <w:rFonts w:hint="eastAsia" w:ascii="宋体" w:hAnsi="宋体" w:eastAsia="宋体" w:cs="宋体"/>
        </w:rPr>
      </w:pPr>
      <w:r>
        <w:rPr>
          <w:rFonts w:hint="eastAsia" w:ascii="宋体" w:hAnsi="宋体" w:eastAsia="宋体" w:cs="宋体"/>
        </w:rPr>
        <w:t>16.1.2.3  物价波动引起价格调整的方法</w:t>
      </w:r>
    </w:p>
    <w:p w14:paraId="65E84042">
      <w:pPr>
        <w:spacing w:line="360" w:lineRule="auto"/>
        <w:ind w:firstLine="420" w:firstLineChars="200"/>
        <w:rPr>
          <w:rFonts w:hint="eastAsia" w:ascii="宋体" w:hAnsi="宋体" w:eastAsia="宋体" w:cs="宋体"/>
        </w:rPr>
      </w:pPr>
      <w:r>
        <w:rPr>
          <w:rFonts w:hint="eastAsia" w:ascii="宋体" w:hAnsi="宋体" w:eastAsia="宋体" w:cs="宋体"/>
        </w:rPr>
        <w:t>（1）第16.1.2.1目中约定的人工、材料、设备和机械台班</w:t>
      </w:r>
      <w:r>
        <w:rPr>
          <w:rFonts w:hint="eastAsia" w:ascii="宋体" w:hAnsi="宋体" w:eastAsia="宋体" w:cs="宋体"/>
          <w:szCs w:val="21"/>
        </w:rPr>
        <w:t>的</w:t>
      </w:r>
      <w:r>
        <w:rPr>
          <w:rFonts w:hint="eastAsia" w:ascii="宋体" w:hAnsi="宋体" w:eastAsia="宋体" w:cs="宋体"/>
        </w:rPr>
        <w:t>物价波动变化幅度</w:t>
      </w:r>
      <w:r>
        <w:rPr>
          <w:rFonts w:hint="eastAsia" w:ascii="宋体" w:hAnsi="宋体" w:eastAsia="宋体" w:cs="宋体"/>
          <w:szCs w:val="21"/>
        </w:rPr>
        <w:t>超过风险幅度时，其计算价格调整差额的方法见合同条款专用部分。</w:t>
      </w:r>
    </w:p>
    <w:p w14:paraId="19F60370">
      <w:pPr>
        <w:widowControl/>
        <w:shd w:val="clear" w:color="auto" w:fill="FFFFFF"/>
        <w:spacing w:line="360" w:lineRule="auto"/>
        <w:ind w:firstLine="420" w:firstLineChars="200"/>
        <w:rPr>
          <w:rFonts w:hint="eastAsia" w:ascii="宋体" w:hAnsi="宋体" w:eastAsia="宋体" w:cs="宋体"/>
          <w:szCs w:val="21"/>
        </w:rPr>
      </w:pPr>
      <w:r>
        <w:rPr>
          <w:rFonts w:hint="eastAsia" w:ascii="宋体" w:hAnsi="宋体" w:eastAsia="宋体" w:cs="宋体"/>
        </w:rPr>
        <w:t>（2）第16.1.2.1目中约定的</w:t>
      </w:r>
      <w:r>
        <w:rPr>
          <w:rFonts w:hint="eastAsia" w:ascii="宋体" w:hAnsi="宋体" w:eastAsia="宋体" w:cs="宋体"/>
          <w:szCs w:val="21"/>
        </w:rPr>
        <w:t>人工的</w:t>
      </w:r>
      <w:r>
        <w:rPr>
          <w:rFonts w:hint="eastAsia" w:ascii="宋体" w:hAnsi="宋体" w:eastAsia="宋体" w:cs="宋体"/>
        </w:rPr>
        <w:t>物价波动变化幅度</w:t>
      </w:r>
      <w:r>
        <w:rPr>
          <w:rFonts w:hint="eastAsia" w:ascii="宋体" w:hAnsi="宋体" w:eastAsia="宋体" w:cs="宋体"/>
          <w:szCs w:val="21"/>
        </w:rPr>
        <w:t>超过风险幅度时，应当计算全部价格差额，其价格差额由发包人承担或受益，其价格差额不计取规费，只计取税金。</w:t>
      </w:r>
    </w:p>
    <w:p w14:paraId="0DEEA2E7">
      <w:pPr>
        <w:widowControl/>
        <w:shd w:val="clear" w:color="auto" w:fill="FFFFFF"/>
        <w:spacing w:line="360"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rPr>
        <w:t>第16.1.2.1目中约定的材料、设备和机械台班</w:t>
      </w:r>
      <w:r>
        <w:rPr>
          <w:rFonts w:hint="eastAsia" w:ascii="宋体" w:hAnsi="宋体" w:eastAsia="宋体" w:cs="宋体"/>
          <w:szCs w:val="21"/>
        </w:rPr>
        <w:t>的</w:t>
      </w:r>
      <w:r>
        <w:rPr>
          <w:rFonts w:hint="eastAsia" w:ascii="宋体" w:hAnsi="宋体" w:eastAsia="宋体" w:cs="宋体"/>
        </w:rPr>
        <w:t>物价波动变化幅度</w:t>
      </w:r>
      <w:r>
        <w:rPr>
          <w:rFonts w:hint="eastAsia" w:ascii="宋体" w:hAnsi="宋体" w:eastAsia="宋体" w:cs="宋体"/>
          <w:szCs w:val="21"/>
        </w:rPr>
        <w:t>超过风险幅度时，应当计算超过部分的价格差额，其价格差额由发包人承担或受益，其价格差额不计取规费，只计取税金。</w:t>
      </w:r>
    </w:p>
    <w:p w14:paraId="16EC28C6">
      <w:pPr>
        <w:widowControl/>
        <w:shd w:val="clear" w:color="auto" w:fill="FFFFFF"/>
        <w:spacing w:line="360" w:lineRule="auto"/>
        <w:ind w:firstLine="630" w:firstLineChars="300"/>
        <w:rPr>
          <w:rFonts w:hint="eastAsia" w:ascii="宋体" w:hAnsi="宋体" w:eastAsia="宋体" w:cs="宋体"/>
          <w:szCs w:val="21"/>
        </w:rPr>
      </w:pPr>
      <w:r>
        <w:rPr>
          <w:rFonts w:hint="eastAsia" w:ascii="宋体" w:hAnsi="宋体" w:eastAsia="宋体" w:cs="宋体"/>
        </w:rPr>
        <w:t xml:space="preserve">16.1.2.4  </w:t>
      </w:r>
      <w:r>
        <w:rPr>
          <w:rFonts w:hint="eastAsia" w:ascii="宋体" w:hAnsi="宋体" w:eastAsia="宋体" w:cs="宋体"/>
          <w:szCs w:val="21"/>
        </w:rPr>
        <w:t>物</w:t>
      </w:r>
      <w:r>
        <w:rPr>
          <w:rFonts w:hint="eastAsia" w:ascii="宋体" w:hAnsi="宋体" w:eastAsia="宋体" w:cs="宋体"/>
        </w:rPr>
        <w:t>价波动引起价格调整的</w:t>
      </w:r>
      <w:r>
        <w:rPr>
          <w:rFonts w:hint="eastAsia" w:ascii="宋体" w:hAnsi="宋体" w:eastAsia="宋体" w:cs="宋体"/>
          <w:szCs w:val="21"/>
        </w:rPr>
        <w:t>其他约定见合同条款专用部分。</w:t>
      </w:r>
    </w:p>
    <w:p w14:paraId="7CE4F7E3">
      <w:pPr>
        <w:spacing w:line="360" w:lineRule="auto"/>
        <w:ind w:firstLine="420" w:firstLineChars="200"/>
        <w:rPr>
          <w:rFonts w:hint="eastAsia" w:ascii="宋体" w:hAnsi="宋体" w:eastAsia="宋体" w:cs="宋体"/>
        </w:rPr>
      </w:pPr>
      <w:r>
        <w:rPr>
          <w:rFonts w:hint="eastAsia" w:ascii="宋体" w:hAnsi="宋体" w:eastAsia="宋体" w:cs="宋体"/>
        </w:rPr>
        <w:t xml:space="preserve">16.1.3  </w:t>
      </w:r>
      <w:r>
        <w:rPr>
          <w:rFonts w:hint="eastAsia" w:ascii="宋体" w:hAnsi="宋体" w:eastAsia="宋体" w:cs="宋体"/>
          <w:szCs w:val="21"/>
        </w:rPr>
        <w:t>物</w:t>
      </w:r>
      <w:r>
        <w:rPr>
          <w:rFonts w:hint="eastAsia" w:ascii="宋体" w:hAnsi="宋体" w:eastAsia="宋体" w:cs="宋体"/>
        </w:rPr>
        <w:t>价波动引起价格调整的其他方法</w:t>
      </w:r>
      <w:r>
        <w:rPr>
          <w:rFonts w:hint="eastAsia" w:ascii="宋体" w:hAnsi="宋体" w:eastAsia="宋体" w:cs="宋体"/>
          <w:szCs w:val="21"/>
        </w:rPr>
        <w:t>见合同条款专用部分</w:t>
      </w:r>
      <w:r>
        <w:rPr>
          <w:rFonts w:hint="eastAsia" w:ascii="宋体" w:hAnsi="宋体" w:eastAsia="宋体" w:cs="宋体"/>
        </w:rPr>
        <w:t>。</w:t>
      </w:r>
    </w:p>
    <w:p w14:paraId="7706B600">
      <w:pPr>
        <w:keepNext/>
        <w:keepLines/>
        <w:spacing w:before="156" w:beforeLines="50" w:after="156" w:afterLines="50" w:line="360" w:lineRule="auto"/>
        <w:outlineLvl w:val="2"/>
        <w:rPr>
          <w:rFonts w:hint="eastAsia" w:ascii="宋体" w:hAnsi="宋体" w:eastAsia="宋体" w:cs="宋体"/>
          <w:sz w:val="24"/>
          <w:szCs w:val="20"/>
        </w:rPr>
      </w:pPr>
      <w:bookmarkStart w:id="1279" w:name="_Toc490222600"/>
      <w:bookmarkStart w:id="1280" w:name="_Toc10235427"/>
      <w:bookmarkStart w:id="1281" w:name="_Toc61020347"/>
      <w:bookmarkStart w:id="1282" w:name="_Toc489279966"/>
      <w:bookmarkStart w:id="1283" w:name="_Toc497213831"/>
      <w:bookmarkStart w:id="1284" w:name="_Toc486580155"/>
      <w:r>
        <w:rPr>
          <w:rFonts w:hint="eastAsia" w:ascii="宋体" w:hAnsi="宋体" w:eastAsia="宋体" w:cs="宋体"/>
          <w:sz w:val="24"/>
          <w:szCs w:val="20"/>
        </w:rPr>
        <w:t>16.2  法律变化引起的价格调整</w:t>
      </w:r>
      <w:bookmarkEnd w:id="1279"/>
      <w:bookmarkEnd w:id="1280"/>
      <w:bookmarkEnd w:id="1281"/>
      <w:bookmarkEnd w:id="1282"/>
      <w:bookmarkEnd w:id="1283"/>
      <w:bookmarkEnd w:id="1284"/>
    </w:p>
    <w:p w14:paraId="578105A0">
      <w:pPr>
        <w:spacing w:line="360" w:lineRule="auto"/>
        <w:ind w:firstLine="420" w:firstLineChars="200"/>
        <w:rPr>
          <w:rFonts w:hint="eastAsia" w:ascii="宋体" w:hAnsi="宋体" w:eastAsia="宋体" w:cs="宋体"/>
        </w:rPr>
      </w:pPr>
      <w:r>
        <w:rPr>
          <w:rFonts w:hint="eastAsia" w:ascii="宋体" w:hAnsi="宋体" w:eastAsia="宋体" w:cs="宋体"/>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0BC1AD0F">
      <w:pPr>
        <w:keepNext/>
        <w:keepLines/>
        <w:spacing w:before="156" w:beforeLines="50" w:after="156" w:afterLines="50" w:line="360" w:lineRule="auto"/>
        <w:outlineLvl w:val="1"/>
        <w:rPr>
          <w:rFonts w:hint="eastAsia" w:ascii="宋体" w:hAnsi="宋体" w:eastAsia="宋体" w:cs="宋体"/>
          <w:sz w:val="28"/>
          <w:szCs w:val="20"/>
        </w:rPr>
      </w:pPr>
      <w:bookmarkStart w:id="1285" w:name="_Toc486580156"/>
      <w:bookmarkStart w:id="1286" w:name="_Toc497213832"/>
      <w:bookmarkStart w:id="1287" w:name="_Toc489279967"/>
      <w:bookmarkStart w:id="1288" w:name="_Toc490222601"/>
      <w:bookmarkStart w:id="1289" w:name="_Toc10235428"/>
      <w:bookmarkStart w:id="1290" w:name="_Toc61020348"/>
      <w:r>
        <w:rPr>
          <w:rFonts w:hint="eastAsia" w:ascii="宋体" w:hAnsi="宋体" w:eastAsia="宋体" w:cs="宋体"/>
          <w:sz w:val="28"/>
          <w:szCs w:val="20"/>
        </w:rPr>
        <w:t>17.计量与支付</w:t>
      </w:r>
      <w:bookmarkEnd w:id="1285"/>
      <w:bookmarkEnd w:id="1286"/>
      <w:bookmarkEnd w:id="1287"/>
      <w:bookmarkEnd w:id="1288"/>
      <w:bookmarkEnd w:id="1289"/>
      <w:bookmarkEnd w:id="1290"/>
    </w:p>
    <w:p w14:paraId="2018DB70">
      <w:pPr>
        <w:keepNext/>
        <w:keepLines/>
        <w:spacing w:before="156" w:beforeLines="50" w:after="156" w:afterLines="50" w:line="360" w:lineRule="auto"/>
        <w:outlineLvl w:val="2"/>
        <w:rPr>
          <w:rFonts w:hint="eastAsia" w:ascii="宋体" w:hAnsi="宋体" w:eastAsia="宋体" w:cs="宋体"/>
          <w:sz w:val="24"/>
          <w:szCs w:val="20"/>
        </w:rPr>
      </w:pPr>
      <w:bookmarkStart w:id="1291" w:name="_Toc10235429"/>
      <w:bookmarkStart w:id="1292" w:name="_Toc497213833"/>
      <w:bookmarkStart w:id="1293" w:name="_Toc489279968"/>
      <w:bookmarkStart w:id="1294" w:name="_Toc486580157"/>
      <w:bookmarkStart w:id="1295" w:name="_Toc61020349"/>
      <w:bookmarkStart w:id="1296" w:name="_Toc490222602"/>
      <w:r>
        <w:rPr>
          <w:rFonts w:hint="eastAsia" w:ascii="宋体" w:hAnsi="宋体" w:eastAsia="宋体" w:cs="宋体"/>
          <w:sz w:val="24"/>
          <w:szCs w:val="20"/>
        </w:rPr>
        <w:t>17.1  计量</w:t>
      </w:r>
      <w:bookmarkEnd w:id="1291"/>
      <w:bookmarkEnd w:id="1292"/>
      <w:bookmarkEnd w:id="1293"/>
      <w:bookmarkEnd w:id="1294"/>
      <w:bookmarkEnd w:id="1295"/>
      <w:bookmarkEnd w:id="1296"/>
    </w:p>
    <w:p w14:paraId="74A719FF">
      <w:pPr>
        <w:spacing w:line="360" w:lineRule="auto"/>
        <w:ind w:firstLine="420" w:firstLineChars="200"/>
        <w:rPr>
          <w:rFonts w:hint="eastAsia" w:ascii="宋体" w:hAnsi="宋体" w:eastAsia="宋体" w:cs="宋体"/>
        </w:rPr>
      </w:pPr>
      <w:r>
        <w:rPr>
          <w:rFonts w:hint="eastAsia" w:ascii="宋体" w:hAnsi="宋体" w:eastAsia="宋体" w:cs="宋体"/>
        </w:rPr>
        <w:t>17.1.1  计量单位</w:t>
      </w:r>
    </w:p>
    <w:p w14:paraId="499D4253">
      <w:pPr>
        <w:spacing w:line="360" w:lineRule="auto"/>
        <w:ind w:firstLine="420" w:firstLineChars="200"/>
        <w:rPr>
          <w:rFonts w:hint="eastAsia" w:ascii="宋体" w:hAnsi="宋体" w:eastAsia="宋体" w:cs="宋体"/>
        </w:rPr>
      </w:pPr>
      <w:r>
        <w:rPr>
          <w:rFonts w:hint="eastAsia" w:ascii="宋体" w:hAnsi="宋体" w:eastAsia="宋体" w:cs="宋体"/>
        </w:rPr>
        <w:t>计量采用国家法定的计量单位。</w:t>
      </w:r>
    </w:p>
    <w:p w14:paraId="31063934">
      <w:pPr>
        <w:spacing w:line="360" w:lineRule="auto"/>
        <w:ind w:firstLine="420" w:firstLineChars="200"/>
        <w:rPr>
          <w:rFonts w:hint="eastAsia" w:ascii="宋体" w:hAnsi="宋体" w:eastAsia="宋体" w:cs="宋体"/>
        </w:rPr>
      </w:pPr>
      <w:r>
        <w:rPr>
          <w:rFonts w:hint="eastAsia" w:ascii="宋体" w:hAnsi="宋体" w:eastAsia="宋体" w:cs="宋体"/>
        </w:rPr>
        <w:t>17.1.2  计量方法</w:t>
      </w:r>
    </w:p>
    <w:p w14:paraId="56CD4B91">
      <w:pPr>
        <w:spacing w:line="360" w:lineRule="auto"/>
        <w:ind w:firstLine="420" w:firstLineChars="200"/>
        <w:rPr>
          <w:rFonts w:hint="eastAsia" w:ascii="宋体" w:hAnsi="宋体" w:eastAsia="宋体" w:cs="宋体"/>
        </w:rPr>
      </w:pPr>
      <w:r>
        <w:rPr>
          <w:rFonts w:hint="eastAsia" w:ascii="宋体" w:hAnsi="宋体" w:eastAsia="宋体" w:cs="宋体"/>
        </w:rPr>
        <w:t>工程量计算规则执行工程量清单中约定的计量计价规范版本。除合同另有约定外，承包人实际完成的工程量按约定的工程量计算规则和有合同约束力的图纸进行计量。</w:t>
      </w:r>
    </w:p>
    <w:p w14:paraId="1CD8E50D">
      <w:pPr>
        <w:spacing w:line="360" w:lineRule="auto"/>
        <w:ind w:firstLine="420" w:firstLineChars="200"/>
        <w:rPr>
          <w:rFonts w:hint="eastAsia" w:ascii="宋体" w:hAnsi="宋体" w:eastAsia="宋体" w:cs="宋体"/>
        </w:rPr>
      </w:pPr>
      <w:r>
        <w:rPr>
          <w:rFonts w:hint="eastAsia" w:ascii="宋体" w:hAnsi="宋体" w:eastAsia="宋体" w:cs="宋体"/>
        </w:rPr>
        <w:t>17.1.3  计量周期</w:t>
      </w:r>
    </w:p>
    <w:p w14:paraId="47D7E25D">
      <w:pPr>
        <w:spacing w:line="360" w:lineRule="auto"/>
        <w:ind w:firstLine="420" w:firstLineChars="200"/>
        <w:rPr>
          <w:rFonts w:hint="eastAsia" w:ascii="宋体" w:hAnsi="宋体" w:eastAsia="宋体" w:cs="宋体"/>
        </w:rPr>
      </w:pPr>
      <w:r>
        <w:rPr>
          <w:rFonts w:hint="eastAsia" w:ascii="宋体" w:hAnsi="宋体" w:eastAsia="宋体" w:cs="宋体"/>
          <w:szCs w:val="21"/>
        </w:rPr>
        <w:t>（1）本合同的计量周期为月，当月计量截止日期（不含当日）和下月计量起始日期（含当日）见合同条款专用部分。</w:t>
      </w:r>
    </w:p>
    <w:p w14:paraId="4013DDEE">
      <w:pPr>
        <w:spacing w:line="360" w:lineRule="auto"/>
        <w:ind w:firstLine="420" w:firstLineChars="200"/>
        <w:rPr>
          <w:rFonts w:hint="eastAsia" w:ascii="宋体" w:hAnsi="宋体" w:eastAsia="宋体" w:cs="宋体"/>
        </w:rPr>
      </w:pPr>
      <w:r>
        <w:rPr>
          <w:rFonts w:hint="eastAsia" w:ascii="宋体" w:hAnsi="宋体" w:eastAsia="宋体" w:cs="宋体"/>
        </w:rPr>
        <w:t>（2）单价子目已完成工程量是否按月计量</w:t>
      </w:r>
      <w:r>
        <w:rPr>
          <w:rFonts w:hint="eastAsia" w:ascii="宋体" w:hAnsi="宋体" w:eastAsia="宋体" w:cs="宋体"/>
          <w:szCs w:val="21"/>
        </w:rPr>
        <w:t>见合同条款专用部分。</w:t>
      </w:r>
    </w:p>
    <w:p w14:paraId="5535CCA0">
      <w:pPr>
        <w:spacing w:line="360" w:lineRule="auto"/>
        <w:ind w:firstLine="420" w:firstLineChars="200"/>
        <w:rPr>
          <w:rFonts w:hint="eastAsia" w:ascii="宋体" w:hAnsi="宋体" w:eastAsia="宋体" w:cs="宋体"/>
        </w:rPr>
      </w:pPr>
      <w:r>
        <w:rPr>
          <w:rFonts w:hint="eastAsia" w:ascii="宋体" w:hAnsi="宋体" w:eastAsia="宋体" w:cs="宋体"/>
          <w:szCs w:val="21"/>
        </w:rPr>
        <w:t>（3）总价子目计量方法见合同条款专用部分</w:t>
      </w:r>
      <w:r>
        <w:rPr>
          <w:rFonts w:hint="eastAsia" w:ascii="宋体" w:hAnsi="宋体" w:eastAsia="宋体" w:cs="宋体"/>
        </w:rPr>
        <w:t>。</w:t>
      </w:r>
    </w:p>
    <w:p w14:paraId="0BF7F5D0">
      <w:pPr>
        <w:spacing w:line="360" w:lineRule="auto"/>
        <w:ind w:firstLine="420" w:firstLineChars="200"/>
        <w:rPr>
          <w:rFonts w:hint="eastAsia" w:ascii="宋体" w:hAnsi="宋体" w:eastAsia="宋体" w:cs="宋体"/>
        </w:rPr>
      </w:pPr>
      <w:r>
        <w:rPr>
          <w:rFonts w:hint="eastAsia" w:ascii="宋体" w:hAnsi="宋体" w:eastAsia="宋体" w:cs="宋体"/>
        </w:rPr>
        <w:t>17.1.4  单价子目的计量</w:t>
      </w:r>
    </w:p>
    <w:p w14:paraId="429DDE51">
      <w:pPr>
        <w:spacing w:line="360" w:lineRule="auto"/>
        <w:ind w:firstLine="420" w:firstLineChars="200"/>
        <w:rPr>
          <w:rFonts w:hint="eastAsia" w:ascii="宋体" w:hAnsi="宋体" w:eastAsia="宋体" w:cs="宋体"/>
        </w:rPr>
      </w:pPr>
      <w:r>
        <w:rPr>
          <w:rFonts w:hint="eastAsia" w:ascii="宋体" w:hAnsi="宋体" w:eastAsia="宋体" w:cs="宋体"/>
        </w:rPr>
        <w:t>（1）已标价工程量清单中的单价子目工程量为估算工程量。结算工程量是承包人实际完成的，并按合同约定的计量方法进行计量的工程量。</w:t>
      </w:r>
    </w:p>
    <w:p w14:paraId="3D669448">
      <w:pPr>
        <w:spacing w:line="360" w:lineRule="auto"/>
        <w:ind w:firstLine="420" w:firstLineChars="200"/>
        <w:rPr>
          <w:rFonts w:hint="eastAsia" w:ascii="宋体" w:hAnsi="宋体" w:eastAsia="宋体" w:cs="宋体"/>
        </w:rPr>
      </w:pPr>
      <w:r>
        <w:rPr>
          <w:rFonts w:hint="eastAsia" w:ascii="宋体" w:hAnsi="宋体" w:eastAsia="宋体" w:cs="宋体"/>
        </w:rPr>
        <w:t>（2）承包人对已完成的工程进行计量，向监理人提交进度付款申请单、已完成工程量报表和有关计量资料。</w:t>
      </w:r>
    </w:p>
    <w:p w14:paraId="2353533E">
      <w:pPr>
        <w:spacing w:line="360" w:lineRule="auto"/>
        <w:ind w:firstLine="420" w:firstLineChars="200"/>
        <w:rPr>
          <w:rFonts w:hint="eastAsia" w:ascii="宋体" w:hAnsi="宋体" w:eastAsia="宋体" w:cs="宋体"/>
        </w:rPr>
      </w:pPr>
      <w:r>
        <w:rPr>
          <w:rFonts w:hint="eastAsia" w:ascii="宋体" w:hAnsi="宋体" w:eastAsia="宋体" w:cs="宋体"/>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4EAD3722">
      <w:pPr>
        <w:spacing w:line="360" w:lineRule="auto"/>
        <w:ind w:firstLine="420" w:firstLineChars="200"/>
        <w:rPr>
          <w:rFonts w:hint="eastAsia" w:ascii="宋体" w:hAnsi="宋体" w:eastAsia="宋体" w:cs="宋体"/>
        </w:rPr>
      </w:pPr>
      <w:r>
        <w:rPr>
          <w:rFonts w:hint="eastAsia" w:ascii="宋体" w:hAnsi="宋体" w:eastAsia="宋体" w:cs="宋体"/>
        </w:rPr>
        <w:t>（4）监理人认为有必要时，可通知承包人共同进行联合测量、计量，承包人应遵照执行。</w:t>
      </w:r>
    </w:p>
    <w:p w14:paraId="6628E35F">
      <w:pPr>
        <w:spacing w:line="360" w:lineRule="auto"/>
        <w:ind w:firstLine="420" w:firstLineChars="200"/>
        <w:rPr>
          <w:rFonts w:hint="eastAsia" w:ascii="宋体" w:hAnsi="宋体" w:eastAsia="宋体" w:cs="宋体"/>
        </w:rPr>
      </w:pPr>
      <w:r>
        <w:rPr>
          <w:rFonts w:hint="eastAsia" w:ascii="宋体" w:hAnsi="宋体" w:eastAsia="宋体" w:cs="宋体"/>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49A7B36A">
      <w:pPr>
        <w:spacing w:line="360" w:lineRule="auto"/>
        <w:ind w:firstLine="420" w:firstLineChars="200"/>
        <w:rPr>
          <w:rFonts w:hint="eastAsia" w:ascii="宋体" w:hAnsi="宋体" w:eastAsia="宋体" w:cs="宋体"/>
        </w:rPr>
      </w:pPr>
      <w:r>
        <w:rPr>
          <w:rFonts w:hint="eastAsia" w:ascii="宋体" w:hAnsi="宋体" w:eastAsia="宋体" w:cs="宋体"/>
        </w:rPr>
        <w:t>（6）监理人应在收到承包人提交的工程量报表后的7天内进行复核，监理人未在约定时间内复核的，承包人提交的工程量报表中的工程量视为承包人实际完成的工程量，据此计算工程价款。</w:t>
      </w:r>
    </w:p>
    <w:p w14:paraId="419AC5AB">
      <w:pPr>
        <w:spacing w:line="360" w:lineRule="auto"/>
        <w:ind w:firstLine="420" w:firstLineChars="200"/>
        <w:rPr>
          <w:rFonts w:hint="eastAsia" w:ascii="宋体" w:hAnsi="宋体" w:eastAsia="宋体" w:cs="宋体"/>
        </w:rPr>
      </w:pPr>
      <w:r>
        <w:rPr>
          <w:rFonts w:hint="eastAsia" w:ascii="宋体" w:hAnsi="宋体" w:eastAsia="宋体" w:cs="宋体"/>
        </w:rPr>
        <w:t>17.1.5  总价子目的计量（适用于采用支付分解报告）</w:t>
      </w:r>
    </w:p>
    <w:p w14:paraId="699E1AFE">
      <w:pPr>
        <w:spacing w:line="400" w:lineRule="exact"/>
        <w:ind w:firstLine="420" w:firstLineChars="200"/>
        <w:rPr>
          <w:rFonts w:hint="eastAsia" w:ascii="宋体" w:hAnsi="宋体" w:eastAsia="宋体" w:cs="宋体"/>
          <w:szCs w:val="21"/>
        </w:rPr>
      </w:pPr>
      <w:r>
        <w:rPr>
          <w:rFonts w:hint="eastAsia" w:ascii="宋体" w:hAnsi="宋体" w:eastAsia="宋体" w:cs="宋体"/>
          <w:szCs w:val="21"/>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717E755C">
      <w:pPr>
        <w:spacing w:line="400" w:lineRule="exact"/>
        <w:ind w:firstLine="420" w:firstLineChars="200"/>
        <w:rPr>
          <w:rFonts w:hint="eastAsia" w:ascii="宋体" w:hAnsi="宋体" w:eastAsia="宋体" w:cs="宋体"/>
        </w:rPr>
      </w:pPr>
      <w:r>
        <w:rPr>
          <w:rFonts w:hint="eastAsia" w:ascii="宋体" w:hAnsi="宋体" w:eastAsia="宋体" w:cs="宋体"/>
        </w:rPr>
        <w:t>（1）总价</w:t>
      </w:r>
      <w:r>
        <w:rPr>
          <w:rFonts w:hint="eastAsia" w:ascii="宋体" w:hAnsi="宋体" w:eastAsia="宋体" w:cs="宋体"/>
          <w:szCs w:val="21"/>
        </w:rPr>
        <w:t>子目</w:t>
      </w:r>
      <w:r>
        <w:rPr>
          <w:rFonts w:hint="eastAsia" w:ascii="宋体" w:hAnsi="宋体" w:eastAsia="宋体" w:cs="宋体"/>
        </w:rPr>
        <w:t>的价格调整方法</w:t>
      </w:r>
      <w:r>
        <w:rPr>
          <w:rFonts w:hint="eastAsia" w:ascii="宋体" w:hAnsi="宋体" w:eastAsia="宋体" w:cs="宋体"/>
          <w:szCs w:val="21"/>
        </w:rPr>
        <w:t>见合同条款专用部分</w:t>
      </w:r>
      <w:r>
        <w:rPr>
          <w:rFonts w:hint="eastAsia" w:ascii="宋体" w:hAnsi="宋体" w:eastAsia="宋体" w:cs="宋体"/>
        </w:rPr>
        <w:t>。</w:t>
      </w:r>
    </w:p>
    <w:p w14:paraId="1B694AA0">
      <w:pPr>
        <w:spacing w:line="400" w:lineRule="exact"/>
        <w:ind w:firstLine="420" w:firstLineChars="200"/>
        <w:rPr>
          <w:rFonts w:hint="eastAsia" w:ascii="宋体" w:hAnsi="宋体" w:eastAsia="宋体" w:cs="宋体"/>
        </w:rPr>
      </w:pPr>
      <w:r>
        <w:rPr>
          <w:rFonts w:hint="eastAsia" w:ascii="宋体" w:hAnsi="宋体" w:eastAsia="宋体" w:cs="宋体"/>
        </w:rPr>
        <w:t>（2）列入每月进度付款申请单中各总价</w:t>
      </w:r>
      <w:r>
        <w:rPr>
          <w:rFonts w:hint="eastAsia" w:ascii="宋体" w:hAnsi="宋体" w:eastAsia="宋体" w:cs="宋体"/>
          <w:szCs w:val="21"/>
        </w:rPr>
        <w:t>子目</w:t>
      </w:r>
      <w:r>
        <w:rPr>
          <w:rFonts w:hint="eastAsia" w:ascii="宋体" w:hAnsi="宋体" w:eastAsia="宋体" w:cs="宋体"/>
        </w:rPr>
        <w:t>的价值为有合同约束力的支付分解表中对应月份的总价</w:t>
      </w:r>
      <w:r>
        <w:rPr>
          <w:rFonts w:hint="eastAsia" w:ascii="宋体" w:hAnsi="宋体" w:eastAsia="宋体" w:cs="宋体"/>
          <w:szCs w:val="21"/>
        </w:rPr>
        <w:t>子目</w:t>
      </w:r>
      <w:r>
        <w:rPr>
          <w:rFonts w:hint="eastAsia" w:ascii="宋体" w:hAnsi="宋体" w:eastAsia="宋体" w:cs="宋体"/>
        </w:rPr>
        <w:t>总价值。</w:t>
      </w:r>
    </w:p>
    <w:p w14:paraId="3160ADDF">
      <w:pPr>
        <w:spacing w:line="400" w:lineRule="exact"/>
        <w:ind w:firstLine="420" w:firstLineChars="200"/>
        <w:rPr>
          <w:rFonts w:hint="eastAsia" w:ascii="宋体" w:hAnsi="宋体" w:eastAsia="宋体" w:cs="宋体"/>
        </w:rPr>
      </w:pPr>
      <w:r>
        <w:rPr>
          <w:rFonts w:hint="eastAsia" w:ascii="宋体" w:hAnsi="宋体" w:eastAsia="宋体" w:cs="宋体"/>
        </w:rPr>
        <w:t>（3）监理人根据有合同约束力的支付分解表复核列入每月进度付款申请单中的总价</w:t>
      </w:r>
      <w:r>
        <w:rPr>
          <w:rFonts w:hint="eastAsia" w:ascii="宋体" w:hAnsi="宋体" w:eastAsia="宋体" w:cs="宋体"/>
          <w:szCs w:val="21"/>
        </w:rPr>
        <w:t>子目</w:t>
      </w:r>
      <w:r>
        <w:rPr>
          <w:rFonts w:hint="eastAsia" w:ascii="宋体" w:hAnsi="宋体" w:eastAsia="宋体" w:cs="宋体"/>
        </w:rPr>
        <w:t>的总价值。</w:t>
      </w:r>
    </w:p>
    <w:p w14:paraId="64FB245E">
      <w:pPr>
        <w:spacing w:line="360" w:lineRule="auto"/>
        <w:ind w:firstLine="420" w:firstLineChars="200"/>
        <w:rPr>
          <w:rFonts w:hint="eastAsia" w:ascii="宋体" w:hAnsi="宋体" w:eastAsia="宋体" w:cs="宋体"/>
        </w:rPr>
      </w:pPr>
      <w:r>
        <w:rPr>
          <w:rFonts w:hint="eastAsia" w:ascii="宋体" w:hAnsi="宋体" w:eastAsia="宋体" w:cs="宋体"/>
        </w:rPr>
        <w:t>（4）除按照第15条约定的变更外，在竣工结算时总价</w:t>
      </w:r>
      <w:r>
        <w:rPr>
          <w:rFonts w:hint="eastAsia" w:ascii="宋体" w:hAnsi="宋体" w:eastAsia="宋体" w:cs="宋体"/>
          <w:szCs w:val="21"/>
        </w:rPr>
        <w:t>子目</w:t>
      </w:r>
      <w:r>
        <w:rPr>
          <w:rFonts w:hint="eastAsia" w:ascii="宋体" w:hAnsi="宋体" w:eastAsia="宋体" w:cs="宋体"/>
        </w:rPr>
        <w:t>的工程量不应当重新计量，签约合同价所基于的工程量即是用于竣工结算的最终工程量。</w:t>
      </w:r>
    </w:p>
    <w:p w14:paraId="11AF1A9E">
      <w:pPr>
        <w:spacing w:line="360" w:lineRule="auto"/>
        <w:ind w:firstLine="420" w:firstLineChars="200"/>
        <w:rPr>
          <w:rFonts w:hint="eastAsia" w:ascii="宋体" w:hAnsi="宋体" w:eastAsia="宋体" w:cs="宋体"/>
        </w:rPr>
      </w:pPr>
      <w:r>
        <w:rPr>
          <w:rFonts w:hint="eastAsia" w:ascii="宋体" w:hAnsi="宋体" w:eastAsia="宋体" w:cs="宋体"/>
        </w:rPr>
        <w:t>17.1.6  总价</w:t>
      </w:r>
      <w:r>
        <w:rPr>
          <w:rFonts w:hint="eastAsia" w:ascii="宋体" w:hAnsi="宋体" w:eastAsia="宋体" w:cs="宋体"/>
          <w:szCs w:val="21"/>
        </w:rPr>
        <w:t>子目</w:t>
      </w:r>
      <w:r>
        <w:rPr>
          <w:rFonts w:hint="eastAsia" w:ascii="宋体" w:hAnsi="宋体" w:eastAsia="宋体" w:cs="宋体"/>
        </w:rPr>
        <w:t>的计量（适用于采用按实际完成工程量计量）</w:t>
      </w:r>
    </w:p>
    <w:p w14:paraId="059CEB88">
      <w:pPr>
        <w:spacing w:line="360" w:lineRule="auto"/>
        <w:ind w:firstLine="420" w:firstLineChars="200"/>
        <w:rPr>
          <w:rFonts w:hint="eastAsia" w:ascii="宋体" w:hAnsi="宋体" w:eastAsia="宋体" w:cs="宋体"/>
        </w:rPr>
      </w:pPr>
      <w:r>
        <w:rPr>
          <w:rFonts w:hint="eastAsia" w:ascii="宋体" w:hAnsi="宋体" w:eastAsia="宋体" w:cs="宋体"/>
        </w:rPr>
        <w:t>（1）总价</w:t>
      </w:r>
      <w:r>
        <w:rPr>
          <w:rFonts w:hint="eastAsia" w:ascii="宋体" w:hAnsi="宋体" w:eastAsia="宋体" w:cs="宋体"/>
          <w:szCs w:val="21"/>
        </w:rPr>
        <w:t>子目</w:t>
      </w:r>
      <w:r>
        <w:rPr>
          <w:rFonts w:hint="eastAsia" w:ascii="宋体" w:hAnsi="宋体" w:eastAsia="宋体" w:cs="宋体"/>
        </w:rPr>
        <w:t>的计量和支付应以总价为基础，对承包人实际完成的工程量进行计量，是进行工程目标管理和控制进度款支付的依据。总价</w:t>
      </w:r>
      <w:r>
        <w:rPr>
          <w:rFonts w:hint="eastAsia" w:ascii="宋体" w:hAnsi="宋体" w:eastAsia="宋体" w:cs="宋体"/>
          <w:szCs w:val="21"/>
        </w:rPr>
        <w:t>子目</w:t>
      </w:r>
      <w:r>
        <w:rPr>
          <w:rFonts w:hint="eastAsia" w:ascii="宋体" w:hAnsi="宋体" w:eastAsia="宋体" w:cs="宋体"/>
        </w:rPr>
        <w:t>的价格调整方法</w:t>
      </w:r>
      <w:r>
        <w:rPr>
          <w:rFonts w:hint="eastAsia" w:ascii="宋体" w:hAnsi="宋体" w:eastAsia="宋体" w:cs="宋体"/>
          <w:szCs w:val="21"/>
        </w:rPr>
        <w:t>见合同条款专用部分</w:t>
      </w:r>
      <w:r>
        <w:rPr>
          <w:rFonts w:hint="eastAsia" w:ascii="宋体" w:hAnsi="宋体" w:eastAsia="宋体" w:cs="宋体"/>
        </w:rPr>
        <w:t>。</w:t>
      </w:r>
    </w:p>
    <w:p w14:paraId="7004627F">
      <w:pPr>
        <w:spacing w:line="360" w:lineRule="auto"/>
        <w:ind w:firstLine="420" w:firstLineChars="200"/>
        <w:rPr>
          <w:rFonts w:hint="eastAsia" w:ascii="宋体" w:hAnsi="宋体" w:eastAsia="宋体" w:cs="宋体"/>
        </w:rPr>
      </w:pPr>
      <w:r>
        <w:rPr>
          <w:rFonts w:hint="eastAsia" w:ascii="宋体" w:hAnsi="宋体" w:eastAsia="宋体" w:cs="宋体"/>
        </w:rPr>
        <w:t>（2）承包人在合同条款专用部分第17.1.3（1）目约定的每月计量截止日期后，对已完成的分部分项工程和单价措施项目的</w:t>
      </w:r>
      <w:r>
        <w:rPr>
          <w:rFonts w:hint="eastAsia" w:ascii="宋体" w:hAnsi="宋体" w:eastAsia="宋体" w:cs="宋体"/>
          <w:szCs w:val="21"/>
        </w:rPr>
        <w:t>子目</w:t>
      </w:r>
      <w:r>
        <w:rPr>
          <w:rFonts w:hint="eastAsia" w:ascii="宋体" w:hAnsi="宋体" w:eastAsia="宋体" w:cs="宋体"/>
        </w:rPr>
        <w:t>，按照合同条款第17.1.2项约定的计量方法进行计量，对已完成的总价措施项目的相关</w:t>
      </w:r>
      <w:r>
        <w:rPr>
          <w:rFonts w:hint="eastAsia" w:ascii="宋体" w:hAnsi="宋体" w:eastAsia="宋体" w:cs="宋体"/>
          <w:szCs w:val="21"/>
        </w:rPr>
        <w:t>子目，按其总价构成、费用性质和实际发生比例进行计量，向监理人提交进度付款申请单、已完成工程量报表和有关计量资料</w:t>
      </w:r>
      <w:r>
        <w:rPr>
          <w:rFonts w:hint="eastAsia" w:ascii="宋体" w:hAnsi="宋体" w:eastAsia="宋体" w:cs="宋体"/>
        </w:rPr>
        <w:t>。</w:t>
      </w:r>
    </w:p>
    <w:p w14:paraId="734394C6">
      <w:pPr>
        <w:spacing w:line="360" w:lineRule="auto"/>
        <w:ind w:firstLine="420" w:firstLineChars="200"/>
        <w:rPr>
          <w:rFonts w:hint="eastAsia" w:ascii="宋体" w:hAnsi="宋体" w:eastAsia="宋体" w:cs="宋体"/>
        </w:rPr>
      </w:pPr>
      <w:r>
        <w:rPr>
          <w:rFonts w:hint="eastAsia" w:ascii="宋体" w:hAnsi="宋体" w:eastAsia="宋体" w:cs="宋体"/>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02AF6CD7">
      <w:pPr>
        <w:spacing w:line="360" w:lineRule="auto"/>
        <w:ind w:firstLine="420" w:firstLineChars="200"/>
        <w:rPr>
          <w:rFonts w:hint="eastAsia" w:ascii="宋体" w:hAnsi="宋体" w:eastAsia="宋体" w:cs="宋体"/>
        </w:rPr>
      </w:pPr>
      <w:r>
        <w:rPr>
          <w:rFonts w:hint="eastAsia" w:ascii="宋体" w:hAnsi="宋体" w:eastAsia="宋体" w:cs="宋体"/>
        </w:rPr>
        <w:t>（4）监理人应在收到承包人提交的工程量报表后的7天内进行复核，监理人未在约定时间内复核的，承包人提交的工程量报表中的工程量视为承包人实际完成的工程量，据此计算工程价款。</w:t>
      </w:r>
    </w:p>
    <w:p w14:paraId="1EEF1FCA">
      <w:pPr>
        <w:spacing w:line="360" w:lineRule="auto"/>
        <w:ind w:firstLine="420" w:firstLineChars="200"/>
        <w:rPr>
          <w:rFonts w:hint="eastAsia" w:ascii="宋体" w:hAnsi="宋体" w:eastAsia="宋体" w:cs="宋体"/>
        </w:rPr>
      </w:pPr>
      <w:r>
        <w:rPr>
          <w:rFonts w:hint="eastAsia" w:ascii="宋体" w:hAnsi="宋体" w:eastAsia="宋体" w:cs="宋体"/>
        </w:rPr>
        <w:t>（5）除按照第15条约定的变更外，在竣工结算时总价</w:t>
      </w:r>
      <w:r>
        <w:rPr>
          <w:rFonts w:hint="eastAsia" w:ascii="宋体" w:hAnsi="宋体" w:eastAsia="宋体" w:cs="宋体"/>
          <w:szCs w:val="21"/>
        </w:rPr>
        <w:t>子目</w:t>
      </w:r>
      <w:r>
        <w:rPr>
          <w:rFonts w:hint="eastAsia" w:ascii="宋体" w:hAnsi="宋体" w:eastAsia="宋体" w:cs="宋体"/>
        </w:rPr>
        <w:t>的工程量不应当重新计量，签约合同价所基于的工程量即是用于竣工结算的最终工程量。</w:t>
      </w:r>
    </w:p>
    <w:p w14:paraId="56A35E40">
      <w:pPr>
        <w:keepNext/>
        <w:keepLines/>
        <w:spacing w:before="156" w:beforeLines="50" w:after="156" w:afterLines="50" w:line="360" w:lineRule="auto"/>
        <w:outlineLvl w:val="2"/>
        <w:rPr>
          <w:rFonts w:hint="eastAsia" w:ascii="宋体" w:hAnsi="宋体" w:eastAsia="宋体" w:cs="宋体"/>
          <w:sz w:val="24"/>
          <w:szCs w:val="20"/>
        </w:rPr>
      </w:pPr>
      <w:bookmarkStart w:id="1297" w:name="_Toc489279969"/>
      <w:bookmarkStart w:id="1298" w:name="_Toc61020350"/>
      <w:bookmarkStart w:id="1299" w:name="_Toc490222603"/>
      <w:bookmarkStart w:id="1300" w:name="_Toc497213834"/>
      <w:bookmarkStart w:id="1301" w:name="_Toc10235430"/>
      <w:bookmarkStart w:id="1302" w:name="_Toc486580158"/>
      <w:r>
        <w:rPr>
          <w:rFonts w:hint="eastAsia" w:ascii="宋体" w:hAnsi="宋体" w:eastAsia="宋体" w:cs="宋体"/>
          <w:sz w:val="24"/>
          <w:szCs w:val="20"/>
        </w:rPr>
        <w:t>17.2  预付款</w:t>
      </w:r>
      <w:bookmarkEnd w:id="1297"/>
      <w:bookmarkEnd w:id="1298"/>
      <w:bookmarkEnd w:id="1299"/>
      <w:bookmarkEnd w:id="1300"/>
      <w:bookmarkEnd w:id="1301"/>
      <w:bookmarkEnd w:id="1302"/>
    </w:p>
    <w:p w14:paraId="5463B43C">
      <w:pPr>
        <w:spacing w:line="360" w:lineRule="auto"/>
        <w:ind w:firstLine="420" w:firstLineChars="200"/>
        <w:rPr>
          <w:rFonts w:hint="eastAsia" w:ascii="宋体" w:hAnsi="宋体" w:eastAsia="宋体" w:cs="宋体"/>
        </w:rPr>
      </w:pPr>
      <w:r>
        <w:rPr>
          <w:rFonts w:hint="eastAsia" w:ascii="宋体" w:hAnsi="宋体" w:eastAsia="宋体" w:cs="宋体"/>
        </w:rPr>
        <w:t>17.2.1  预付款</w:t>
      </w:r>
    </w:p>
    <w:p w14:paraId="10064CB9">
      <w:pPr>
        <w:spacing w:line="360" w:lineRule="auto"/>
        <w:ind w:firstLine="420" w:firstLineChars="200"/>
        <w:rPr>
          <w:rFonts w:hint="eastAsia" w:ascii="宋体" w:hAnsi="宋体" w:eastAsia="宋体" w:cs="宋体"/>
        </w:rPr>
      </w:pPr>
      <w:r>
        <w:rPr>
          <w:rFonts w:hint="eastAsia" w:ascii="宋体" w:hAnsi="宋体" w:eastAsia="宋体" w:cs="宋体"/>
        </w:rPr>
        <w:t>预付款用于承包人为合同工程施工购置材料、工程设备、施工设备、修建临时设施以及组织施工队伍进场等。预付款必须专用于合同工程。预付款的额度和预付办法以及支付时间见合同条款专用部分。</w:t>
      </w:r>
    </w:p>
    <w:p w14:paraId="5CBA1066">
      <w:pPr>
        <w:spacing w:line="360" w:lineRule="auto"/>
        <w:ind w:firstLine="420" w:firstLineChars="200"/>
        <w:rPr>
          <w:rFonts w:hint="eastAsia" w:ascii="宋体" w:hAnsi="宋体" w:eastAsia="宋体" w:cs="宋体"/>
        </w:rPr>
      </w:pPr>
      <w:r>
        <w:rPr>
          <w:rFonts w:hint="eastAsia" w:ascii="宋体" w:hAnsi="宋体" w:eastAsia="宋体" w:cs="宋体"/>
          <w:szCs w:val="21"/>
        </w:rPr>
        <w:t>安全文明施工费用预付款额度及方式见合同条款专用部分</w:t>
      </w:r>
      <w:r>
        <w:rPr>
          <w:rFonts w:hint="eastAsia" w:ascii="宋体" w:hAnsi="宋体" w:eastAsia="宋体" w:cs="宋体"/>
        </w:rPr>
        <w:t>。</w:t>
      </w:r>
    </w:p>
    <w:p w14:paraId="691405EC">
      <w:pPr>
        <w:spacing w:line="360" w:lineRule="auto"/>
        <w:ind w:firstLine="420" w:firstLineChars="200"/>
        <w:rPr>
          <w:rFonts w:hint="eastAsia" w:ascii="宋体" w:hAnsi="宋体" w:eastAsia="宋体" w:cs="宋体"/>
        </w:rPr>
      </w:pPr>
      <w:r>
        <w:rPr>
          <w:rFonts w:hint="eastAsia" w:ascii="宋体" w:hAnsi="宋体" w:eastAsia="宋体" w:cs="宋体"/>
          <w:szCs w:val="21"/>
        </w:rPr>
        <w:t>发包人逾期支付合同约定的预付款，除承担第22.2款约定的违约责任外，还应向承包人支付按第17.3.3(2)目约定的标准和方法计算的逾期付款违约金。</w:t>
      </w:r>
    </w:p>
    <w:p w14:paraId="40342C04">
      <w:pPr>
        <w:spacing w:line="360" w:lineRule="auto"/>
        <w:ind w:firstLine="420" w:firstLineChars="200"/>
        <w:rPr>
          <w:rFonts w:hint="eastAsia" w:ascii="宋体" w:hAnsi="宋体" w:eastAsia="宋体" w:cs="宋体"/>
        </w:rPr>
      </w:pPr>
      <w:r>
        <w:rPr>
          <w:rFonts w:hint="eastAsia" w:ascii="宋体" w:hAnsi="宋体" w:eastAsia="宋体" w:cs="宋体"/>
        </w:rPr>
        <w:t>17.2.2  预付款的扣回与还清</w:t>
      </w:r>
    </w:p>
    <w:p w14:paraId="2C8963E8">
      <w:pPr>
        <w:spacing w:line="360" w:lineRule="auto"/>
        <w:ind w:firstLine="420" w:firstLineChars="200"/>
        <w:rPr>
          <w:rFonts w:hint="eastAsia" w:ascii="宋体" w:hAnsi="宋体" w:eastAsia="宋体" w:cs="宋体"/>
        </w:rPr>
      </w:pPr>
      <w:r>
        <w:rPr>
          <w:rFonts w:hint="eastAsia" w:ascii="宋体" w:hAnsi="宋体" w:eastAsia="宋体" w:cs="宋体"/>
        </w:rPr>
        <w:t>预付款在进度付款中按照合同约定扣回。在颁发工程接收证书前，由于不可抗力或其他原因解除合同时，预付款尚未扣清的，尚未扣清的预付款余额应作为承包人的到期应付款。预付款扣回办法</w:t>
      </w:r>
      <w:r>
        <w:rPr>
          <w:rFonts w:hint="eastAsia" w:ascii="宋体" w:hAnsi="宋体" w:eastAsia="宋体" w:cs="宋体"/>
          <w:szCs w:val="21"/>
        </w:rPr>
        <w:t>见合同条款专用部分</w:t>
      </w:r>
      <w:r>
        <w:rPr>
          <w:rFonts w:hint="eastAsia" w:ascii="宋体" w:hAnsi="宋体" w:eastAsia="宋体" w:cs="宋体"/>
        </w:rPr>
        <w:t>。</w:t>
      </w:r>
    </w:p>
    <w:p w14:paraId="2DCA7594">
      <w:pPr>
        <w:keepNext/>
        <w:keepLines/>
        <w:spacing w:before="156" w:beforeLines="50" w:after="156" w:afterLines="50" w:line="360" w:lineRule="auto"/>
        <w:outlineLvl w:val="2"/>
        <w:rPr>
          <w:rFonts w:hint="eastAsia" w:ascii="宋体" w:hAnsi="宋体" w:eastAsia="宋体" w:cs="宋体"/>
          <w:sz w:val="24"/>
          <w:szCs w:val="20"/>
        </w:rPr>
      </w:pPr>
      <w:bookmarkStart w:id="1303" w:name="_Toc489279970"/>
      <w:bookmarkStart w:id="1304" w:name="_Toc61020351"/>
      <w:bookmarkStart w:id="1305" w:name="_Toc490222604"/>
      <w:bookmarkStart w:id="1306" w:name="_Toc497213835"/>
      <w:bookmarkStart w:id="1307" w:name="_Toc10235431"/>
      <w:bookmarkStart w:id="1308" w:name="_Toc486580159"/>
      <w:r>
        <w:rPr>
          <w:rFonts w:hint="eastAsia" w:ascii="宋体" w:hAnsi="宋体" w:eastAsia="宋体" w:cs="宋体"/>
          <w:sz w:val="24"/>
          <w:szCs w:val="20"/>
        </w:rPr>
        <w:t>17.3  工程进度付款</w:t>
      </w:r>
      <w:bookmarkEnd w:id="1303"/>
      <w:bookmarkEnd w:id="1304"/>
      <w:bookmarkEnd w:id="1305"/>
      <w:bookmarkEnd w:id="1306"/>
      <w:bookmarkEnd w:id="1307"/>
      <w:bookmarkEnd w:id="1308"/>
    </w:p>
    <w:p w14:paraId="4B0D6E61">
      <w:pPr>
        <w:spacing w:line="360" w:lineRule="auto"/>
        <w:ind w:firstLine="420" w:firstLineChars="200"/>
        <w:rPr>
          <w:rFonts w:hint="eastAsia" w:ascii="宋体" w:hAnsi="宋体" w:eastAsia="宋体" w:cs="宋体"/>
        </w:rPr>
      </w:pPr>
      <w:r>
        <w:rPr>
          <w:rFonts w:hint="eastAsia" w:ascii="宋体" w:hAnsi="宋体" w:eastAsia="宋体" w:cs="宋体"/>
        </w:rPr>
        <w:t>17.3.1  付款周期</w:t>
      </w:r>
    </w:p>
    <w:p w14:paraId="5D50613E">
      <w:pPr>
        <w:spacing w:line="360" w:lineRule="auto"/>
        <w:ind w:firstLine="420" w:firstLineChars="200"/>
        <w:rPr>
          <w:rFonts w:hint="eastAsia" w:ascii="宋体" w:hAnsi="宋体" w:eastAsia="宋体" w:cs="宋体"/>
        </w:rPr>
      </w:pPr>
      <w:r>
        <w:rPr>
          <w:rFonts w:hint="eastAsia" w:ascii="宋体" w:hAnsi="宋体" w:eastAsia="宋体" w:cs="宋体"/>
        </w:rPr>
        <w:t>付款周期同计量周期。</w:t>
      </w:r>
    </w:p>
    <w:p w14:paraId="6FAF77D7">
      <w:pPr>
        <w:spacing w:line="360" w:lineRule="auto"/>
        <w:ind w:firstLine="420" w:firstLineChars="200"/>
        <w:rPr>
          <w:rFonts w:hint="eastAsia" w:ascii="宋体" w:hAnsi="宋体" w:eastAsia="宋体" w:cs="宋体"/>
        </w:rPr>
      </w:pPr>
      <w:r>
        <w:rPr>
          <w:rFonts w:hint="eastAsia" w:ascii="宋体" w:hAnsi="宋体" w:eastAsia="宋体" w:cs="宋体"/>
        </w:rPr>
        <w:t>17.3.2  进度付款申请单</w:t>
      </w:r>
    </w:p>
    <w:p w14:paraId="399557A9">
      <w:pPr>
        <w:spacing w:line="360" w:lineRule="auto"/>
        <w:ind w:firstLine="420" w:firstLineChars="200"/>
        <w:rPr>
          <w:rFonts w:hint="eastAsia" w:ascii="宋体" w:hAnsi="宋体" w:eastAsia="宋体" w:cs="宋体"/>
        </w:rPr>
      </w:pPr>
      <w:r>
        <w:rPr>
          <w:rFonts w:hint="eastAsia" w:ascii="宋体" w:hAnsi="宋体" w:eastAsia="宋体" w:cs="宋体"/>
        </w:rPr>
        <w:t>承包人应在每个付款周期末，按监理人批准的格式和合同约定的份数，向监理人提交进度付款申请单，并附相应的支持性证明文件。承包人提交进度付款申请单份数</w:t>
      </w:r>
      <w:r>
        <w:rPr>
          <w:rFonts w:hint="eastAsia" w:ascii="宋体" w:hAnsi="宋体" w:eastAsia="宋体" w:cs="宋体"/>
          <w:szCs w:val="21"/>
        </w:rPr>
        <w:t>见合同条款专用部分</w:t>
      </w:r>
      <w:r>
        <w:rPr>
          <w:rFonts w:hint="eastAsia" w:ascii="宋体" w:hAnsi="宋体" w:eastAsia="宋体" w:cs="宋体"/>
        </w:rPr>
        <w:t>。</w:t>
      </w:r>
    </w:p>
    <w:p w14:paraId="3150BF3E">
      <w:pPr>
        <w:spacing w:line="360" w:lineRule="auto"/>
        <w:ind w:firstLine="420" w:firstLineChars="200"/>
        <w:rPr>
          <w:rFonts w:hint="eastAsia" w:ascii="宋体" w:hAnsi="宋体" w:eastAsia="宋体" w:cs="宋体"/>
          <w:dstrike/>
          <w:szCs w:val="21"/>
        </w:rPr>
      </w:pPr>
      <w:r>
        <w:rPr>
          <w:rFonts w:hint="eastAsia" w:ascii="宋体" w:hAnsi="宋体" w:eastAsia="宋体" w:cs="宋体"/>
        </w:rPr>
        <w:t>承包人报送监理人的进度付款申请单应包括下列内容：</w:t>
      </w:r>
    </w:p>
    <w:p w14:paraId="01C586FE">
      <w:pPr>
        <w:spacing w:line="360" w:lineRule="auto"/>
        <w:ind w:firstLine="315" w:firstLineChars="150"/>
        <w:rPr>
          <w:rFonts w:hint="eastAsia" w:ascii="宋体" w:hAnsi="宋体" w:eastAsia="宋体" w:cs="宋体"/>
        </w:rPr>
      </w:pPr>
      <w:r>
        <w:rPr>
          <w:rFonts w:hint="eastAsia" w:ascii="宋体" w:hAnsi="宋体" w:eastAsia="宋体" w:cs="宋体"/>
        </w:rPr>
        <w:t>（1）截至本次付款周期末已实施工程的价款；</w:t>
      </w:r>
    </w:p>
    <w:p w14:paraId="11D86D1B">
      <w:pPr>
        <w:spacing w:line="360" w:lineRule="auto"/>
        <w:ind w:firstLine="315" w:firstLineChars="150"/>
        <w:rPr>
          <w:rFonts w:hint="eastAsia" w:ascii="宋体" w:hAnsi="宋体" w:eastAsia="宋体" w:cs="宋体"/>
        </w:rPr>
      </w:pPr>
      <w:r>
        <w:rPr>
          <w:rFonts w:hint="eastAsia" w:ascii="宋体" w:hAnsi="宋体" w:eastAsia="宋体" w:cs="宋体"/>
        </w:rPr>
        <w:t>（2）根据第15条应增加和扣减的变更金额；</w:t>
      </w:r>
    </w:p>
    <w:p w14:paraId="36DE6C71">
      <w:pPr>
        <w:spacing w:line="360" w:lineRule="auto"/>
        <w:ind w:firstLine="315" w:firstLineChars="150"/>
        <w:rPr>
          <w:rFonts w:hint="eastAsia" w:ascii="宋体" w:hAnsi="宋体" w:eastAsia="宋体" w:cs="宋体"/>
        </w:rPr>
      </w:pPr>
      <w:r>
        <w:rPr>
          <w:rFonts w:hint="eastAsia" w:ascii="宋体" w:hAnsi="宋体" w:eastAsia="宋体" w:cs="宋体"/>
        </w:rPr>
        <w:t>（3）根据第23条应增加和扣减的索赔金额；</w:t>
      </w:r>
    </w:p>
    <w:p w14:paraId="0DF30E69">
      <w:pPr>
        <w:spacing w:line="360" w:lineRule="auto"/>
        <w:ind w:firstLine="315" w:firstLineChars="150"/>
        <w:rPr>
          <w:rFonts w:hint="eastAsia" w:ascii="宋体" w:hAnsi="宋体" w:eastAsia="宋体" w:cs="宋体"/>
        </w:rPr>
      </w:pPr>
      <w:r>
        <w:rPr>
          <w:rFonts w:hint="eastAsia" w:ascii="宋体" w:hAnsi="宋体" w:eastAsia="宋体" w:cs="宋体"/>
        </w:rPr>
        <w:t>（4）根据第17.2款约定应支付的预付款和扣减的返还预付款；</w:t>
      </w:r>
    </w:p>
    <w:p w14:paraId="407C8013">
      <w:pPr>
        <w:spacing w:line="360" w:lineRule="auto"/>
        <w:ind w:firstLine="315" w:firstLineChars="150"/>
        <w:rPr>
          <w:rFonts w:hint="eastAsia" w:ascii="宋体" w:hAnsi="宋体" w:eastAsia="宋体" w:cs="宋体"/>
        </w:rPr>
      </w:pPr>
      <w:r>
        <w:rPr>
          <w:rFonts w:hint="eastAsia" w:ascii="宋体" w:hAnsi="宋体" w:eastAsia="宋体" w:cs="宋体"/>
        </w:rPr>
        <w:t>（5）根据第17.4.1项约定应扣减的质量保证金；</w:t>
      </w:r>
    </w:p>
    <w:p w14:paraId="034A4002">
      <w:pPr>
        <w:spacing w:line="360" w:lineRule="auto"/>
        <w:ind w:firstLine="315" w:firstLineChars="150"/>
        <w:rPr>
          <w:rFonts w:hint="eastAsia" w:ascii="宋体" w:hAnsi="宋体" w:eastAsia="宋体" w:cs="宋体"/>
        </w:rPr>
      </w:pPr>
      <w:r>
        <w:rPr>
          <w:rFonts w:hint="eastAsia" w:ascii="宋体" w:hAnsi="宋体" w:eastAsia="宋体" w:cs="宋体"/>
        </w:rPr>
        <w:t>（6）根据合同应增加和（或）扣减的其他内容金额</w:t>
      </w:r>
      <w:r>
        <w:rPr>
          <w:rFonts w:hint="eastAsia" w:ascii="宋体" w:hAnsi="宋体" w:eastAsia="宋体" w:cs="宋体"/>
          <w:szCs w:val="21"/>
        </w:rPr>
        <w:t>见合同条款专用部分</w:t>
      </w:r>
      <w:r>
        <w:rPr>
          <w:rFonts w:hint="eastAsia" w:ascii="宋体" w:hAnsi="宋体" w:eastAsia="宋体" w:cs="宋体"/>
        </w:rPr>
        <w:t>。</w:t>
      </w:r>
    </w:p>
    <w:p w14:paraId="52863DCE">
      <w:pPr>
        <w:spacing w:line="360" w:lineRule="auto"/>
        <w:ind w:firstLine="420" w:firstLineChars="200"/>
        <w:rPr>
          <w:rFonts w:hint="eastAsia" w:ascii="宋体" w:hAnsi="宋体" w:eastAsia="宋体" w:cs="宋体"/>
        </w:rPr>
      </w:pPr>
      <w:r>
        <w:rPr>
          <w:rFonts w:hint="eastAsia" w:ascii="宋体" w:hAnsi="宋体" w:eastAsia="宋体" w:cs="宋体"/>
        </w:rPr>
        <w:t>17.3.3  进度付款证书和支付时间</w:t>
      </w:r>
    </w:p>
    <w:p w14:paraId="02FDE0B5">
      <w:pPr>
        <w:spacing w:line="360" w:lineRule="auto"/>
        <w:ind w:firstLine="420" w:firstLineChars="200"/>
        <w:rPr>
          <w:rFonts w:hint="eastAsia" w:ascii="宋体" w:hAnsi="宋体" w:eastAsia="宋体" w:cs="宋体"/>
        </w:rPr>
      </w:pPr>
      <w:r>
        <w:rPr>
          <w:rFonts w:hint="eastAsia" w:ascii="宋体" w:hAnsi="宋体" w:eastAsia="宋体" w:cs="宋体"/>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60A23434">
      <w:pPr>
        <w:spacing w:line="360" w:lineRule="auto"/>
        <w:ind w:firstLine="420" w:firstLineChars="200"/>
        <w:rPr>
          <w:rFonts w:hint="eastAsia" w:ascii="宋体" w:hAnsi="宋体" w:eastAsia="宋体" w:cs="宋体"/>
        </w:rPr>
      </w:pPr>
      <w:r>
        <w:rPr>
          <w:rFonts w:hint="eastAsia" w:ascii="宋体" w:hAnsi="宋体" w:eastAsia="宋体" w:cs="宋体"/>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部分。</w:t>
      </w:r>
    </w:p>
    <w:p w14:paraId="49B98E6D">
      <w:pPr>
        <w:spacing w:line="360" w:lineRule="auto"/>
        <w:ind w:firstLine="420" w:firstLineChars="200"/>
        <w:rPr>
          <w:rFonts w:hint="eastAsia" w:ascii="宋体" w:hAnsi="宋体" w:eastAsia="宋体" w:cs="宋体"/>
        </w:rPr>
      </w:pPr>
      <w:r>
        <w:rPr>
          <w:rFonts w:hint="eastAsia" w:ascii="宋体" w:hAnsi="宋体" w:eastAsia="宋体" w:cs="宋体"/>
        </w:rPr>
        <w:t>（3）监理人出具进度付款证书，不应视为监理人已同意、批准或接受了承包人完成的该部分工作。</w:t>
      </w:r>
    </w:p>
    <w:p w14:paraId="6E99CCC7">
      <w:pPr>
        <w:spacing w:line="360" w:lineRule="auto"/>
        <w:ind w:firstLine="420" w:firstLineChars="200"/>
        <w:rPr>
          <w:rFonts w:hint="eastAsia" w:ascii="宋体" w:hAnsi="宋体" w:eastAsia="宋体" w:cs="宋体"/>
        </w:rPr>
      </w:pPr>
      <w:r>
        <w:rPr>
          <w:rFonts w:hint="eastAsia" w:ascii="宋体" w:hAnsi="宋体" w:eastAsia="宋体" w:cs="宋体"/>
        </w:rPr>
        <w:t>（4）进度付款涉及政府投资资金的，按照国库集中支付等国家相关规定和合同约定办理。进度付款涉及政府性资金的支付方法见合同条款专用部分。</w:t>
      </w:r>
    </w:p>
    <w:p w14:paraId="1D51DEB0">
      <w:pPr>
        <w:spacing w:line="360" w:lineRule="auto"/>
        <w:ind w:firstLine="420" w:firstLineChars="200"/>
        <w:rPr>
          <w:rFonts w:hint="eastAsia" w:ascii="宋体" w:hAnsi="宋体" w:eastAsia="宋体" w:cs="宋体"/>
        </w:rPr>
      </w:pPr>
      <w:r>
        <w:rPr>
          <w:rFonts w:hint="eastAsia" w:ascii="宋体" w:hAnsi="宋体" w:eastAsia="宋体" w:cs="宋体"/>
        </w:rPr>
        <w:t>17.3.4  工程进度付款的修正</w:t>
      </w:r>
    </w:p>
    <w:p w14:paraId="68D8CB18">
      <w:pPr>
        <w:spacing w:line="360" w:lineRule="auto"/>
        <w:ind w:firstLine="420" w:firstLineChars="200"/>
        <w:rPr>
          <w:rFonts w:hint="eastAsia" w:ascii="宋体" w:hAnsi="宋体" w:eastAsia="宋体" w:cs="宋体"/>
        </w:rPr>
      </w:pPr>
      <w:r>
        <w:rPr>
          <w:rFonts w:hint="eastAsia" w:ascii="宋体" w:hAnsi="宋体" w:eastAsia="宋体" w:cs="宋体"/>
        </w:rPr>
        <w:t>在对以往历次已签发的进度付款证书进行汇总和复核中发现错、漏或重复的，监理人有权予以修正，承包人也有权提出修正申请。经双方复核同意的修正，应在本次进度付款中支付或扣除。</w:t>
      </w:r>
    </w:p>
    <w:p w14:paraId="5FF44AA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17.3.5  临时付款证书</w:t>
      </w:r>
    </w:p>
    <w:p w14:paraId="39E1014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07FB9A8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14:paraId="5A63DF52">
      <w:pPr>
        <w:spacing w:line="360" w:lineRule="auto"/>
        <w:ind w:firstLine="420" w:firstLineChars="200"/>
        <w:rPr>
          <w:rFonts w:hint="eastAsia" w:ascii="宋体" w:hAnsi="宋体" w:eastAsia="宋体" w:cs="宋体"/>
        </w:rPr>
      </w:pPr>
      <w:r>
        <w:rPr>
          <w:rFonts w:hint="eastAsia" w:ascii="宋体" w:hAnsi="宋体" w:eastAsia="宋体" w:cs="宋体"/>
          <w:szCs w:val="21"/>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447B220F">
      <w:pPr>
        <w:keepNext/>
        <w:keepLines/>
        <w:spacing w:before="156" w:beforeLines="50" w:after="156" w:afterLines="50" w:line="360" w:lineRule="auto"/>
        <w:outlineLvl w:val="2"/>
        <w:rPr>
          <w:rFonts w:hint="eastAsia" w:ascii="宋体" w:hAnsi="宋体" w:eastAsia="宋体" w:cs="宋体"/>
          <w:sz w:val="24"/>
          <w:szCs w:val="20"/>
        </w:rPr>
      </w:pPr>
      <w:bookmarkStart w:id="1309" w:name="_Toc490222605"/>
      <w:bookmarkStart w:id="1310" w:name="_Toc61020352"/>
      <w:bookmarkStart w:id="1311" w:name="_Toc489279971"/>
      <w:bookmarkStart w:id="1312" w:name="_Toc486580160"/>
      <w:bookmarkStart w:id="1313" w:name="_Toc497213836"/>
      <w:bookmarkStart w:id="1314" w:name="_Toc10235432"/>
      <w:r>
        <w:rPr>
          <w:rFonts w:hint="eastAsia" w:ascii="宋体" w:hAnsi="宋体" w:eastAsia="宋体" w:cs="宋体"/>
          <w:sz w:val="24"/>
          <w:szCs w:val="20"/>
        </w:rPr>
        <w:t>17.4  质量保证金</w:t>
      </w:r>
      <w:bookmarkEnd w:id="1309"/>
      <w:bookmarkEnd w:id="1310"/>
      <w:bookmarkEnd w:id="1311"/>
      <w:bookmarkEnd w:id="1312"/>
      <w:bookmarkEnd w:id="1313"/>
      <w:bookmarkEnd w:id="1314"/>
    </w:p>
    <w:p w14:paraId="42D6680D">
      <w:pPr>
        <w:spacing w:line="360" w:lineRule="auto"/>
        <w:ind w:firstLine="420" w:firstLineChars="200"/>
        <w:rPr>
          <w:rFonts w:hint="eastAsia" w:ascii="宋体" w:hAnsi="宋体" w:eastAsia="宋体" w:cs="宋体"/>
        </w:rPr>
      </w:pPr>
      <w:bookmarkStart w:id="1315" w:name="_Toc490222606"/>
      <w:bookmarkStart w:id="1316" w:name="_Toc489279972"/>
      <w:bookmarkStart w:id="1317" w:name="_Toc486580161"/>
      <w:r>
        <w:rPr>
          <w:rFonts w:hint="eastAsia" w:ascii="宋体" w:hAnsi="宋体" w:eastAsia="宋体" w:cs="宋体"/>
          <w:szCs w:val="21"/>
        </w:rPr>
        <w:t xml:space="preserve">17.4.1  </w:t>
      </w:r>
      <w:r>
        <w:rPr>
          <w:rFonts w:hint="eastAsia" w:ascii="宋体" w:hAnsi="宋体" w:eastAsia="宋体" w:cs="宋体"/>
        </w:rPr>
        <w:t>质量保证金处理</w:t>
      </w:r>
    </w:p>
    <w:p w14:paraId="366282F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合同条款专用部分第4.2.1项约定不提交履约担保，采用扣留质量保证金的，质量保证金由监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14:paraId="7C46A85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（2）合同条款专用部分第4.2.1项约定提交履约担保，采用扣留质量保证金的，在第17.5款竣工结算中，应当按照竣工结算合同总价约定的比例扣留质量保证金，当</w:t>
      </w:r>
      <w:r>
        <w:rPr>
          <w:rFonts w:hint="eastAsia" w:ascii="宋体" w:hAnsi="宋体" w:eastAsia="宋体" w:cs="宋体"/>
        </w:rPr>
        <w:t>应支付的竣工付款金额不足应扣留的质量保证金金额时，承包人应返款差额部分；</w:t>
      </w:r>
      <w:r>
        <w:rPr>
          <w:rFonts w:hint="eastAsia" w:ascii="宋体" w:hAnsi="宋体" w:eastAsia="宋体" w:cs="宋体"/>
          <w:szCs w:val="21"/>
        </w:rPr>
        <w:t>采用质量保证金保函担保形式的，工程竣工前，不得扣留质量保证金；</w:t>
      </w:r>
    </w:p>
    <w:p w14:paraId="3DB64DA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（3）质量保证金的形式与约定比例见合同条款专用部分。</w:t>
      </w:r>
    </w:p>
    <w:p w14:paraId="15CD02EA">
      <w:pPr>
        <w:spacing w:line="360" w:lineRule="auto"/>
        <w:ind w:firstLine="420" w:firstLineChars="200"/>
        <w:rPr>
          <w:rFonts w:hint="eastAsia" w:ascii="宋体" w:hAnsi="宋体" w:eastAsia="宋体" w:cs="宋体"/>
        </w:rPr>
      </w:pPr>
      <w:r>
        <w:rPr>
          <w:rFonts w:hint="eastAsia" w:ascii="宋体" w:hAnsi="宋体" w:eastAsia="宋体" w:cs="宋体"/>
        </w:rPr>
        <w:t>17.4.2  在第1.1.4.5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74F59449">
      <w:pPr>
        <w:spacing w:line="360" w:lineRule="auto"/>
        <w:ind w:firstLine="420" w:firstLineChars="200"/>
        <w:rPr>
          <w:rFonts w:hint="eastAsia" w:ascii="宋体" w:hAnsi="宋体" w:eastAsia="宋体" w:cs="宋体"/>
        </w:rPr>
      </w:pPr>
      <w:r>
        <w:rPr>
          <w:rFonts w:hint="eastAsia" w:ascii="宋体" w:hAnsi="宋体" w:eastAsia="宋体" w:cs="宋体"/>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0C46A717">
      <w:pPr>
        <w:keepNext/>
        <w:keepLines/>
        <w:spacing w:before="156" w:beforeLines="50" w:after="156" w:afterLines="50" w:line="360" w:lineRule="auto"/>
        <w:outlineLvl w:val="2"/>
        <w:rPr>
          <w:rFonts w:hint="eastAsia" w:ascii="宋体" w:hAnsi="宋体" w:eastAsia="宋体" w:cs="宋体"/>
          <w:sz w:val="24"/>
          <w:szCs w:val="20"/>
        </w:rPr>
      </w:pPr>
      <w:bookmarkStart w:id="1318" w:name="_Toc10235433"/>
      <w:bookmarkStart w:id="1319" w:name="_Toc497213837"/>
      <w:bookmarkStart w:id="1320" w:name="_Toc61020353"/>
      <w:r>
        <w:rPr>
          <w:rFonts w:hint="eastAsia" w:ascii="宋体" w:hAnsi="宋体" w:eastAsia="宋体" w:cs="宋体"/>
          <w:sz w:val="24"/>
          <w:szCs w:val="20"/>
        </w:rPr>
        <w:t>17.5  竣工结算</w:t>
      </w:r>
      <w:bookmarkEnd w:id="1315"/>
      <w:bookmarkEnd w:id="1316"/>
      <w:bookmarkEnd w:id="1317"/>
      <w:bookmarkEnd w:id="1318"/>
      <w:bookmarkEnd w:id="1319"/>
      <w:bookmarkEnd w:id="1320"/>
    </w:p>
    <w:p w14:paraId="0D84C67F">
      <w:pPr>
        <w:spacing w:line="360" w:lineRule="auto"/>
        <w:ind w:firstLine="420" w:firstLineChars="200"/>
        <w:rPr>
          <w:rFonts w:hint="eastAsia" w:ascii="宋体" w:hAnsi="宋体" w:eastAsia="宋体" w:cs="宋体"/>
        </w:rPr>
      </w:pPr>
      <w:r>
        <w:rPr>
          <w:rFonts w:hint="eastAsia" w:ascii="宋体" w:hAnsi="宋体" w:eastAsia="宋体" w:cs="宋体"/>
        </w:rPr>
        <w:t>17.5.1  竣工付款申请单</w:t>
      </w:r>
    </w:p>
    <w:p w14:paraId="39BF9EE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（1）工程接收证书颁发后，承包人应按合同约定的份数和期限向监理人提交竣工付款申请单，并提供相关证明材料。承包人提交竣工付款申请单份数和期限见合同条款专用部分。</w:t>
      </w:r>
    </w:p>
    <w:p w14:paraId="073FB03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31577BC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（3）监理人对竣工付款申请单有异议的，有权要求承包人进行修正和提供补充资料。经监理人和承包人协商后，由承包人向监理人提交修正后的竣工付款申请单。</w:t>
      </w:r>
    </w:p>
    <w:p w14:paraId="043466A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承包人未按本项约定的期限和内容提交竣工付款申请单或者未按第17.5.1（3)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p>
    <w:p w14:paraId="6953A51B">
      <w:pPr>
        <w:spacing w:line="360" w:lineRule="auto"/>
        <w:ind w:firstLine="420" w:firstLineChars="200"/>
        <w:rPr>
          <w:rFonts w:hint="eastAsia" w:ascii="宋体" w:hAnsi="宋体" w:eastAsia="宋体" w:cs="宋体"/>
        </w:rPr>
      </w:pPr>
      <w:r>
        <w:rPr>
          <w:rFonts w:hint="eastAsia" w:ascii="宋体" w:hAnsi="宋体" w:eastAsia="宋体" w:cs="宋体"/>
        </w:rPr>
        <w:t>17.5.2  竣工付款证书及支付时间</w:t>
      </w:r>
    </w:p>
    <w:p w14:paraId="48F1E7B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监理人在收到承包人提交的竣工付款申请单后的14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0353D27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（2）发包人应在监理人出具竣工付款证书后的14天内，将应支付款支付给承包人。发包人不按期支付的，按第17.3.3（2）目的约定，将逾期付款违约金支付给承包人。</w:t>
      </w:r>
    </w:p>
    <w:p w14:paraId="41BEF24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（3）承包人对发包人签认的竣工付款证书有异议的，发包人可出具竣工付款申请单中与承包人达成一致意见部分的临时付款证书。存在争议的部分，按第24条“争议的解决”的约定办理。</w:t>
      </w:r>
    </w:p>
    <w:p w14:paraId="55618B1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（4）竣工付款涉及政府投资资金的，按第17.3.3（4）目的约定办理。</w:t>
      </w:r>
    </w:p>
    <w:p w14:paraId="1A213D5C">
      <w:pPr>
        <w:spacing w:line="360" w:lineRule="auto"/>
        <w:ind w:firstLine="420" w:firstLineChars="200"/>
        <w:rPr>
          <w:rFonts w:hint="eastAsia" w:ascii="宋体" w:hAnsi="宋体" w:eastAsia="宋体" w:cs="宋体"/>
          <w:szCs w:val="21"/>
        </w:rPr>
      </w:pPr>
      <w:r>
        <w:rPr>
          <w:rFonts w:hint="eastAsia" w:ascii="宋体" w:hAnsi="宋体" w:eastAsia="宋体" w:cs="宋体"/>
        </w:rPr>
        <w:t xml:space="preserve">17.5.3  </w:t>
      </w:r>
      <w:r>
        <w:rPr>
          <w:rFonts w:hint="eastAsia" w:ascii="宋体" w:hAnsi="宋体" w:eastAsia="宋体" w:cs="宋体"/>
          <w:szCs w:val="21"/>
        </w:rPr>
        <w:t>除第17.5.4项约定的情况外，发包人和承包人应当在监理人颁发（出具）工程接收证书后56天内办清竣工结算和竣工付款。</w:t>
      </w:r>
    </w:p>
    <w:p w14:paraId="083BA3A7">
      <w:pPr>
        <w:spacing w:line="360" w:lineRule="auto"/>
        <w:ind w:firstLine="420" w:firstLineChars="200"/>
        <w:rPr>
          <w:rFonts w:hint="eastAsia" w:ascii="宋体" w:hAnsi="宋体" w:eastAsia="宋体" w:cs="宋体"/>
          <w:szCs w:val="21"/>
        </w:rPr>
      </w:pPr>
      <w:r>
        <w:rPr>
          <w:rFonts w:hint="eastAsia" w:ascii="宋体" w:hAnsi="宋体" w:eastAsia="宋体" w:cs="宋体"/>
        </w:rPr>
        <w:t xml:space="preserve">17.5.4  </w:t>
      </w:r>
      <w:r>
        <w:rPr>
          <w:rFonts w:hint="eastAsia" w:ascii="宋体" w:hAnsi="宋体" w:eastAsia="宋体" w:cs="宋体"/>
          <w:szCs w:val="21"/>
        </w:rPr>
        <w:t>政府投资或者以政府投资为主的建设项目纳入审计项目计划的，发包人和承包人均负有配合、接受审计机关审计的义务，竣工结算应当依据审计结论，办清竣工结算和竣工付款的时间按照相关规定执行。</w:t>
      </w:r>
    </w:p>
    <w:p w14:paraId="7301FE1A">
      <w:pPr>
        <w:keepNext/>
        <w:keepLines/>
        <w:spacing w:before="156" w:beforeLines="50" w:after="156" w:afterLines="50" w:line="360" w:lineRule="auto"/>
        <w:outlineLvl w:val="2"/>
        <w:rPr>
          <w:rFonts w:hint="eastAsia" w:ascii="宋体" w:hAnsi="宋体" w:eastAsia="宋体" w:cs="宋体"/>
          <w:sz w:val="24"/>
          <w:szCs w:val="20"/>
        </w:rPr>
      </w:pPr>
      <w:bookmarkStart w:id="1321" w:name="_Toc10235434"/>
      <w:bookmarkStart w:id="1322" w:name="_Toc61020354"/>
      <w:bookmarkStart w:id="1323" w:name="_Toc490222607"/>
      <w:bookmarkStart w:id="1324" w:name="_Toc486580162"/>
      <w:bookmarkStart w:id="1325" w:name="_Toc489279973"/>
      <w:bookmarkStart w:id="1326" w:name="_Toc497213838"/>
      <w:r>
        <w:rPr>
          <w:rFonts w:hint="eastAsia" w:ascii="宋体" w:hAnsi="宋体" w:eastAsia="宋体" w:cs="宋体"/>
          <w:sz w:val="24"/>
          <w:szCs w:val="20"/>
        </w:rPr>
        <w:t>17.6  最终结清</w:t>
      </w:r>
      <w:bookmarkEnd w:id="1321"/>
      <w:bookmarkEnd w:id="1322"/>
      <w:bookmarkEnd w:id="1323"/>
      <w:bookmarkEnd w:id="1324"/>
      <w:bookmarkEnd w:id="1325"/>
      <w:bookmarkEnd w:id="1326"/>
    </w:p>
    <w:p w14:paraId="2E7E33BE">
      <w:pPr>
        <w:spacing w:line="360" w:lineRule="auto"/>
        <w:ind w:firstLine="420" w:firstLineChars="200"/>
        <w:rPr>
          <w:rFonts w:hint="eastAsia" w:ascii="宋体" w:hAnsi="宋体" w:eastAsia="宋体" w:cs="宋体"/>
        </w:rPr>
      </w:pPr>
      <w:r>
        <w:rPr>
          <w:rFonts w:hint="eastAsia" w:ascii="宋体" w:hAnsi="宋体" w:eastAsia="宋体" w:cs="宋体"/>
        </w:rPr>
        <w:t>17.6.1  最终结清申请单</w:t>
      </w:r>
    </w:p>
    <w:p w14:paraId="3A93C31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（1）缺陷责任期终止证书签发后，承包人可按合同约定的份数和期限向监理人提交最终结清申请单，并提供相关证明材料。承包人提交最终结清申请单的份数和期限见合同条款专用部分。</w:t>
      </w:r>
    </w:p>
    <w:p w14:paraId="51AFEC4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发包人向承包人支付质量保证金利息的，承包人应按照约定的利息计算方法计算利息，并列入最终结清申请单中。是否支付质量保证金利息及利息计算方法见合同条款专用部分。</w:t>
      </w:r>
    </w:p>
    <w:p w14:paraId="650805A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（2）发包人对最终结清申请单内容有异议的，有权要求承包人进行修正和提供补充资料，由承包人向监理人提交修正后的最终结清申请单。</w:t>
      </w:r>
    </w:p>
    <w:p w14:paraId="7FCCE746">
      <w:pPr>
        <w:spacing w:line="360" w:lineRule="auto"/>
        <w:ind w:firstLine="420" w:firstLineChars="200"/>
        <w:rPr>
          <w:rFonts w:hint="eastAsia" w:ascii="宋体" w:hAnsi="宋体" w:eastAsia="宋体" w:cs="宋体"/>
        </w:rPr>
      </w:pPr>
      <w:r>
        <w:rPr>
          <w:rFonts w:hint="eastAsia" w:ascii="宋体" w:hAnsi="宋体" w:eastAsia="宋体" w:cs="宋体"/>
        </w:rPr>
        <w:t>17.6.2  最终结清证书和支付时间</w:t>
      </w:r>
    </w:p>
    <w:p w14:paraId="72D156F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监理人收到承包人提交的最终结清申请单后的14天内，提出发包人应支付给承包人的价款等审核意见，并报送发包人审核。发包人应在收到后14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64017F1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（2）发包人应在监理人出具最终结清证书后的14天内，将应支付款支付给承包人。发包人不按期支付的，按第17.3.3（2）目的约定，将逾期付款违约金支付给承包人。</w:t>
      </w:r>
    </w:p>
    <w:p w14:paraId="28768FD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（3）承包人对发包人签认的最终结清证书有异议的，按第24条“争议的解决”的约定办理。</w:t>
      </w:r>
    </w:p>
    <w:p w14:paraId="677830A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（4）最终结清付款涉及政府投资资金的，按第17.3.3（4）目的约定办理。</w:t>
      </w:r>
    </w:p>
    <w:p w14:paraId="08F017F8">
      <w:pPr>
        <w:keepNext/>
        <w:keepLines/>
        <w:spacing w:before="156" w:beforeLines="50" w:after="156" w:afterLines="50" w:line="360" w:lineRule="auto"/>
        <w:outlineLvl w:val="1"/>
        <w:rPr>
          <w:rFonts w:hint="eastAsia" w:ascii="宋体" w:hAnsi="宋体" w:eastAsia="宋体" w:cs="宋体"/>
          <w:sz w:val="28"/>
          <w:szCs w:val="20"/>
        </w:rPr>
      </w:pPr>
      <w:bookmarkStart w:id="1327" w:name="_Toc10235435"/>
      <w:bookmarkStart w:id="1328" w:name="_Toc489279974"/>
      <w:bookmarkStart w:id="1329" w:name="_Toc490222608"/>
      <w:bookmarkStart w:id="1330" w:name="_Toc497213839"/>
      <w:bookmarkStart w:id="1331" w:name="_Toc486580163"/>
      <w:bookmarkStart w:id="1332" w:name="_Toc61020355"/>
      <w:r>
        <w:rPr>
          <w:rFonts w:hint="eastAsia" w:ascii="宋体" w:hAnsi="宋体" w:eastAsia="宋体" w:cs="宋体"/>
          <w:sz w:val="28"/>
          <w:szCs w:val="20"/>
        </w:rPr>
        <w:t>18.竣工验收</w:t>
      </w:r>
      <w:bookmarkEnd w:id="1327"/>
      <w:bookmarkEnd w:id="1328"/>
      <w:bookmarkEnd w:id="1329"/>
      <w:bookmarkEnd w:id="1330"/>
      <w:bookmarkEnd w:id="1331"/>
      <w:bookmarkEnd w:id="1332"/>
    </w:p>
    <w:p w14:paraId="7DD444A1">
      <w:pPr>
        <w:keepNext/>
        <w:keepLines/>
        <w:spacing w:before="156" w:beforeLines="50" w:after="156" w:afterLines="50" w:line="360" w:lineRule="auto"/>
        <w:outlineLvl w:val="2"/>
        <w:rPr>
          <w:rFonts w:hint="eastAsia" w:ascii="宋体" w:hAnsi="宋体" w:eastAsia="宋体" w:cs="宋体"/>
          <w:sz w:val="24"/>
          <w:szCs w:val="20"/>
        </w:rPr>
      </w:pPr>
      <w:bookmarkStart w:id="1333" w:name="_Toc490222609"/>
      <w:bookmarkStart w:id="1334" w:name="_Toc497213840"/>
      <w:bookmarkStart w:id="1335" w:name="_Toc61020356"/>
      <w:bookmarkStart w:id="1336" w:name="_Toc486580164"/>
      <w:bookmarkStart w:id="1337" w:name="_Toc489279975"/>
      <w:bookmarkStart w:id="1338" w:name="_Toc10235436"/>
      <w:r>
        <w:rPr>
          <w:rFonts w:hint="eastAsia" w:ascii="宋体" w:hAnsi="宋体" w:eastAsia="宋体" w:cs="宋体"/>
          <w:sz w:val="24"/>
          <w:szCs w:val="20"/>
        </w:rPr>
        <w:t>18.1  竣工验收的含义</w:t>
      </w:r>
      <w:bookmarkEnd w:id="1333"/>
      <w:bookmarkEnd w:id="1334"/>
      <w:bookmarkEnd w:id="1335"/>
      <w:bookmarkEnd w:id="1336"/>
      <w:bookmarkEnd w:id="1337"/>
      <w:bookmarkEnd w:id="1338"/>
    </w:p>
    <w:p w14:paraId="5359D5E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18.1.1  竣工验收指承包人完成了全部合同工作后，发包人按合同要求进行的验收。</w:t>
      </w:r>
    </w:p>
    <w:p w14:paraId="386F59F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18.1.2  国家验收是政府有关部门根据法律、规范、规程和政策要求，针对发包人全面组织实施的整个工程正式交付投运前的验收。</w:t>
      </w:r>
    </w:p>
    <w:p w14:paraId="22DBB6F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62071831">
      <w:pPr>
        <w:keepNext/>
        <w:keepLines/>
        <w:spacing w:before="156" w:beforeLines="50" w:after="156" w:afterLines="50" w:line="360" w:lineRule="auto"/>
        <w:outlineLvl w:val="2"/>
        <w:rPr>
          <w:rFonts w:hint="eastAsia" w:ascii="宋体" w:hAnsi="宋体" w:eastAsia="宋体" w:cs="宋体"/>
          <w:sz w:val="24"/>
          <w:szCs w:val="20"/>
        </w:rPr>
      </w:pPr>
      <w:bookmarkStart w:id="1339" w:name="_Toc497213841"/>
      <w:bookmarkStart w:id="1340" w:name="_Toc61020357"/>
      <w:bookmarkStart w:id="1341" w:name="_Toc490222610"/>
      <w:bookmarkStart w:id="1342" w:name="_Toc10235437"/>
      <w:bookmarkStart w:id="1343" w:name="_Toc489279976"/>
      <w:bookmarkStart w:id="1344" w:name="_Toc486580165"/>
      <w:r>
        <w:rPr>
          <w:rFonts w:hint="eastAsia" w:ascii="宋体" w:hAnsi="宋体" w:eastAsia="宋体" w:cs="宋体"/>
          <w:sz w:val="24"/>
          <w:szCs w:val="20"/>
        </w:rPr>
        <w:t>18.2  竣工验收申请报告</w:t>
      </w:r>
      <w:bookmarkEnd w:id="1339"/>
      <w:bookmarkEnd w:id="1340"/>
      <w:bookmarkEnd w:id="1341"/>
      <w:bookmarkEnd w:id="1342"/>
      <w:bookmarkEnd w:id="1343"/>
      <w:bookmarkEnd w:id="1344"/>
    </w:p>
    <w:p w14:paraId="4537F04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当工程具备以下条件时，承包人即可向监理人报送竣工验收申请报告：</w:t>
      </w:r>
    </w:p>
    <w:p w14:paraId="0E0ADEB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（1）除监理人同意列入缺陷责任期内完成的尾工（甩项）工程和缺陷修补工作外，合同范围内的全部单位工程以及有关工作，包括合同要求的试验、试运行以及检验和验收均已完成，并符合合同要求；</w:t>
      </w:r>
    </w:p>
    <w:p w14:paraId="520FE2E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4680CDD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（3）已按监理人的要求编制了在缺陷责任期内需完成的尾工（甩项）工程，和缺陷修补工作清单等相应施工计划；</w:t>
      </w:r>
    </w:p>
    <w:p w14:paraId="5665E96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（4）监理人要求在竣工验收前应完成的其他工作；</w:t>
      </w:r>
    </w:p>
    <w:p w14:paraId="1EB8F48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（5）监理人要求提交的竣工验收资料清单。</w:t>
      </w:r>
    </w:p>
    <w:p w14:paraId="3888E702">
      <w:pPr>
        <w:keepNext/>
        <w:keepLines/>
        <w:spacing w:before="156" w:beforeLines="50" w:after="156" w:afterLines="50" w:line="360" w:lineRule="auto"/>
        <w:outlineLvl w:val="2"/>
        <w:rPr>
          <w:rFonts w:hint="eastAsia" w:ascii="宋体" w:hAnsi="宋体" w:eastAsia="宋体" w:cs="宋体"/>
          <w:sz w:val="24"/>
          <w:szCs w:val="20"/>
        </w:rPr>
      </w:pPr>
      <w:bookmarkStart w:id="1345" w:name="_Toc61020358"/>
      <w:bookmarkStart w:id="1346" w:name="_Toc490222611"/>
      <w:bookmarkStart w:id="1347" w:name="_Toc489279977"/>
      <w:bookmarkStart w:id="1348" w:name="_Toc10235438"/>
      <w:bookmarkStart w:id="1349" w:name="_Toc486580166"/>
      <w:bookmarkStart w:id="1350" w:name="_Toc497213842"/>
      <w:r>
        <w:rPr>
          <w:rFonts w:hint="eastAsia" w:ascii="宋体" w:hAnsi="宋体" w:eastAsia="宋体" w:cs="宋体"/>
          <w:sz w:val="24"/>
          <w:szCs w:val="20"/>
        </w:rPr>
        <w:t>18.3  验收</w:t>
      </w:r>
      <w:bookmarkEnd w:id="1345"/>
      <w:bookmarkEnd w:id="1346"/>
      <w:bookmarkEnd w:id="1347"/>
      <w:bookmarkEnd w:id="1348"/>
      <w:bookmarkEnd w:id="1349"/>
      <w:bookmarkEnd w:id="1350"/>
    </w:p>
    <w:p w14:paraId="7713120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监理人收到承包人按第18.2款约定提交的竣工验收申请报告后，应审查申请报告的各项内容，并按以下不同情况进行处理。</w:t>
      </w:r>
    </w:p>
    <w:p w14:paraId="31A6F89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18.3.1  监理人审查后认为尚不具备竣工验收条件的，应在收到竣工验收申请报告后的28天内通知承包人，并指出在颁发接收证书前承包人需进行的工作内容。承包人完成监理人通知的全部工作内容后，应再次提交竣工验收申请报告，直至监理人同意为止。</w:t>
      </w:r>
    </w:p>
    <w:p w14:paraId="6D9AE01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18.3.2  监理人审查后认为已具备竣工验收条件的，应在收到竣工验收申请报告后的28天内提请发包人进行工程验收。</w:t>
      </w:r>
    </w:p>
    <w:p w14:paraId="6992BCA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18.3.3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3D5C097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0EE3056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18.3.5  经验收合格的工程, 实际竣工日期为承包人按照第18.2款提交竣工验收申请报告或按照本款重新提交竣工验收申请报告的日期（以两者中时间在后者为准）。</w:t>
      </w:r>
    </w:p>
    <w:p w14:paraId="3653E41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18.3.6  发包人在收到承包人竣工验收申请报告56天后未进行验收的，视为验收合格，实际竣工日期以提交竣工验收申请报告的日期为准，但发包人由于不可抗力不能进行验收的除外。</w:t>
      </w:r>
    </w:p>
    <w:p w14:paraId="4B630B3F">
      <w:pPr>
        <w:keepNext/>
        <w:keepLines/>
        <w:spacing w:before="156" w:beforeLines="50" w:after="156" w:afterLines="50" w:line="360" w:lineRule="auto"/>
        <w:outlineLvl w:val="2"/>
        <w:rPr>
          <w:rFonts w:hint="eastAsia" w:ascii="宋体" w:hAnsi="宋体" w:eastAsia="宋体" w:cs="宋体"/>
          <w:sz w:val="24"/>
          <w:szCs w:val="20"/>
        </w:rPr>
      </w:pPr>
      <w:bookmarkStart w:id="1351" w:name="_Toc10235439"/>
      <w:bookmarkStart w:id="1352" w:name="_Toc490222612"/>
      <w:bookmarkStart w:id="1353" w:name="_Toc489279978"/>
      <w:bookmarkStart w:id="1354" w:name="_Toc61020359"/>
      <w:bookmarkStart w:id="1355" w:name="_Toc486580167"/>
      <w:bookmarkStart w:id="1356" w:name="_Toc497213843"/>
      <w:r>
        <w:rPr>
          <w:rFonts w:hint="eastAsia" w:ascii="宋体" w:hAnsi="宋体" w:eastAsia="宋体" w:cs="宋体"/>
          <w:sz w:val="24"/>
          <w:szCs w:val="20"/>
        </w:rPr>
        <w:t>18.4  单位工程验收</w:t>
      </w:r>
      <w:bookmarkEnd w:id="1351"/>
      <w:bookmarkEnd w:id="1352"/>
      <w:bookmarkEnd w:id="1353"/>
      <w:bookmarkEnd w:id="1354"/>
      <w:bookmarkEnd w:id="1355"/>
      <w:bookmarkEnd w:id="1356"/>
    </w:p>
    <w:p w14:paraId="31B33A2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43CA512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18.4.2  发包人在全部工程竣工前，使用已接收的单位工程导致承包人费用增加的，发包人应承担由此增加的费用和（或）工期延误，并支付承包人合理利润。</w:t>
      </w:r>
    </w:p>
    <w:p w14:paraId="4397B8A8">
      <w:pPr>
        <w:keepNext/>
        <w:keepLines/>
        <w:spacing w:before="156" w:beforeLines="50" w:after="156" w:afterLines="50" w:line="360" w:lineRule="auto"/>
        <w:outlineLvl w:val="2"/>
        <w:rPr>
          <w:rFonts w:hint="eastAsia" w:ascii="宋体" w:hAnsi="宋体" w:eastAsia="宋体" w:cs="宋体"/>
          <w:sz w:val="24"/>
          <w:szCs w:val="20"/>
        </w:rPr>
      </w:pPr>
      <w:bookmarkStart w:id="1357" w:name="_Toc497213844"/>
      <w:bookmarkStart w:id="1358" w:name="_Toc489279979"/>
      <w:bookmarkStart w:id="1359" w:name="_Toc10235440"/>
      <w:bookmarkStart w:id="1360" w:name="_Toc490222613"/>
      <w:bookmarkStart w:id="1361" w:name="_Toc61020360"/>
      <w:bookmarkStart w:id="1362" w:name="_Toc486580168"/>
      <w:r>
        <w:rPr>
          <w:rFonts w:hint="eastAsia" w:ascii="宋体" w:hAnsi="宋体" w:eastAsia="宋体" w:cs="宋体"/>
          <w:sz w:val="24"/>
          <w:szCs w:val="20"/>
        </w:rPr>
        <w:t>18.5  施工期运行</w:t>
      </w:r>
      <w:bookmarkEnd w:id="1357"/>
      <w:bookmarkEnd w:id="1358"/>
      <w:bookmarkEnd w:id="1359"/>
      <w:bookmarkEnd w:id="1360"/>
      <w:bookmarkEnd w:id="1361"/>
      <w:bookmarkEnd w:id="1362"/>
    </w:p>
    <w:p w14:paraId="2E93D20F">
      <w:pPr>
        <w:spacing w:line="360" w:lineRule="auto"/>
        <w:ind w:firstLine="420" w:firstLineChars="200"/>
        <w:rPr>
          <w:rFonts w:hint="eastAsia" w:ascii="宋体" w:hAnsi="宋体" w:eastAsia="宋体" w:cs="宋体"/>
        </w:rPr>
      </w:pPr>
      <w:r>
        <w:rPr>
          <w:rFonts w:hint="eastAsia" w:ascii="宋体" w:hAnsi="宋体" w:eastAsia="宋体" w:cs="宋体"/>
        </w:rPr>
        <w:t>18.5.1  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77EE58CC">
      <w:pPr>
        <w:spacing w:line="360" w:lineRule="auto"/>
        <w:ind w:firstLine="420" w:firstLineChars="200"/>
        <w:rPr>
          <w:rFonts w:hint="eastAsia" w:ascii="宋体" w:hAnsi="宋体" w:eastAsia="宋体" w:cs="宋体"/>
        </w:rPr>
      </w:pPr>
      <w:r>
        <w:rPr>
          <w:rFonts w:hint="eastAsia" w:ascii="宋体" w:hAnsi="宋体" w:eastAsia="宋体" w:cs="宋体"/>
        </w:rPr>
        <w:t>18.5.2  在施工期运行中发现工程或工程设备损坏或存在缺陷的，由承包人按第19.2款约定进行修复。</w:t>
      </w:r>
    </w:p>
    <w:p w14:paraId="0DD171AA">
      <w:pPr>
        <w:keepNext/>
        <w:keepLines/>
        <w:spacing w:before="156" w:beforeLines="50" w:after="156" w:afterLines="50" w:line="360" w:lineRule="auto"/>
        <w:outlineLvl w:val="2"/>
        <w:rPr>
          <w:rFonts w:hint="eastAsia" w:ascii="宋体" w:hAnsi="宋体" w:eastAsia="宋体" w:cs="宋体"/>
          <w:sz w:val="24"/>
          <w:szCs w:val="20"/>
        </w:rPr>
      </w:pPr>
      <w:bookmarkStart w:id="1363" w:name="_Toc486580169"/>
      <w:bookmarkStart w:id="1364" w:name="_Toc497213845"/>
      <w:bookmarkStart w:id="1365" w:name="_Toc490222614"/>
      <w:bookmarkStart w:id="1366" w:name="_Toc10235441"/>
      <w:bookmarkStart w:id="1367" w:name="_Toc61020361"/>
      <w:bookmarkStart w:id="1368" w:name="_Toc489279980"/>
      <w:r>
        <w:rPr>
          <w:rFonts w:hint="eastAsia" w:ascii="宋体" w:hAnsi="宋体" w:eastAsia="宋体" w:cs="宋体"/>
          <w:sz w:val="24"/>
          <w:szCs w:val="20"/>
        </w:rPr>
        <w:t>18.6  试运行</w:t>
      </w:r>
      <w:bookmarkEnd w:id="1363"/>
      <w:bookmarkEnd w:id="1364"/>
      <w:bookmarkEnd w:id="1365"/>
      <w:bookmarkEnd w:id="1366"/>
      <w:bookmarkEnd w:id="1367"/>
      <w:bookmarkEnd w:id="1368"/>
    </w:p>
    <w:p w14:paraId="37023B6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18.6.1  工程及工程设备试运行的组织与费用承担</w:t>
      </w:r>
    </w:p>
    <w:p w14:paraId="6BAEDF6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（1）工程设备安装具备单机无负荷试运行条件，由承包人组织试运行，费用由承包人承担。</w:t>
      </w:r>
    </w:p>
    <w:p w14:paraId="2EBD303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（2）工程设备安装具备无负荷联动试运行条件，由发包人组织试运行，费用由发包人承担。</w:t>
      </w:r>
    </w:p>
    <w:p w14:paraId="2AF0421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（3）投料试运行应在工程竣工验收后由发包人负责，如发包人要求在工程竣工验收前进行或需要承包人配合时，应征得承包人同意，另行签订补充协议。</w:t>
      </w:r>
    </w:p>
    <w:p w14:paraId="5E24537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32A286F2">
      <w:pPr>
        <w:keepNext/>
        <w:keepLines/>
        <w:spacing w:before="156" w:beforeLines="50" w:after="156" w:afterLines="50" w:line="360" w:lineRule="auto"/>
        <w:outlineLvl w:val="2"/>
        <w:rPr>
          <w:rFonts w:hint="eastAsia" w:ascii="宋体" w:hAnsi="宋体" w:eastAsia="宋体" w:cs="宋体"/>
          <w:sz w:val="24"/>
          <w:szCs w:val="20"/>
        </w:rPr>
      </w:pPr>
      <w:bookmarkStart w:id="1369" w:name="_Toc10235442"/>
      <w:bookmarkStart w:id="1370" w:name="_Toc497213846"/>
      <w:bookmarkStart w:id="1371" w:name="_Toc489279981"/>
      <w:bookmarkStart w:id="1372" w:name="_Toc61020362"/>
      <w:bookmarkStart w:id="1373" w:name="_Toc486580170"/>
      <w:bookmarkStart w:id="1374" w:name="_Toc490222615"/>
      <w:r>
        <w:rPr>
          <w:rFonts w:hint="eastAsia" w:ascii="宋体" w:hAnsi="宋体" w:eastAsia="宋体" w:cs="宋体"/>
          <w:sz w:val="24"/>
          <w:szCs w:val="20"/>
        </w:rPr>
        <w:t>18.7  竣工清场</w:t>
      </w:r>
      <w:bookmarkEnd w:id="1369"/>
      <w:bookmarkEnd w:id="1370"/>
      <w:bookmarkEnd w:id="1371"/>
      <w:bookmarkEnd w:id="1372"/>
      <w:bookmarkEnd w:id="1373"/>
      <w:bookmarkEnd w:id="1374"/>
    </w:p>
    <w:p w14:paraId="201FCAC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18.7.1  监理人颁发（出具）工程接收证书后，承包人负责按照以下要求对施工场地进行清理，直至监理人检验合格为止。竣工清场费用由承包人承担。</w:t>
      </w:r>
    </w:p>
    <w:p w14:paraId="7EB31E7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（1）施工场地内残留的垃圾已全部清除出场；</w:t>
      </w:r>
    </w:p>
    <w:p w14:paraId="38A4A3D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（2）临时工程已拆除，场地已按合同要求进行清理、平整或复原；</w:t>
      </w:r>
    </w:p>
    <w:p w14:paraId="1F2DEBB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（3）按合同约定应撤离的承包人设备和剩余的材料，包括废弃的施工设备和材料，已按计划撤离施工场地；</w:t>
      </w:r>
    </w:p>
    <w:p w14:paraId="3FB95E7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（4）工程建筑物周边及其附近道路、河道的施工堆积物，已按监理人指示全部清理；</w:t>
      </w:r>
    </w:p>
    <w:p w14:paraId="4569ECE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（5）监理人指示的其他场地清理工作已全部完成。</w:t>
      </w:r>
    </w:p>
    <w:p w14:paraId="0BB1FC1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18.7.2  承包人未按监理人的要求恢复临时占地，或者场地清理未达到合同约定的，发包人有权委托其他人恢复或清理，所发生的金额从拟支付给承包人的款项中扣除。</w:t>
      </w:r>
    </w:p>
    <w:p w14:paraId="4620AB3D">
      <w:pPr>
        <w:keepNext/>
        <w:keepLines/>
        <w:spacing w:before="156" w:beforeLines="50" w:after="156" w:afterLines="50" w:line="360" w:lineRule="auto"/>
        <w:outlineLvl w:val="2"/>
        <w:rPr>
          <w:rFonts w:hint="eastAsia" w:ascii="宋体" w:hAnsi="宋体" w:eastAsia="宋体" w:cs="宋体"/>
          <w:sz w:val="24"/>
          <w:szCs w:val="20"/>
        </w:rPr>
      </w:pPr>
      <w:bookmarkStart w:id="1375" w:name="_Toc497213847"/>
      <w:bookmarkStart w:id="1376" w:name="_Toc490222616"/>
      <w:bookmarkStart w:id="1377" w:name="_Toc10235443"/>
      <w:bookmarkStart w:id="1378" w:name="_Toc489279982"/>
      <w:bookmarkStart w:id="1379" w:name="_Toc61020363"/>
      <w:bookmarkStart w:id="1380" w:name="_Toc486580171"/>
      <w:r>
        <w:rPr>
          <w:rFonts w:hint="eastAsia" w:ascii="宋体" w:hAnsi="宋体" w:eastAsia="宋体" w:cs="宋体"/>
          <w:sz w:val="24"/>
          <w:szCs w:val="20"/>
        </w:rPr>
        <w:t>18.8  施工队伍的撤离</w:t>
      </w:r>
      <w:bookmarkEnd w:id="1375"/>
      <w:bookmarkEnd w:id="1376"/>
      <w:bookmarkEnd w:id="1377"/>
      <w:bookmarkEnd w:id="1378"/>
      <w:bookmarkEnd w:id="1379"/>
      <w:bookmarkEnd w:id="1380"/>
    </w:p>
    <w:p w14:paraId="6E56156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18.8.1  工程接收证书颁发后的56天内，除了经监理人同意需在缺陷责任期内继续工作和使用的人员、施工设备和临时工程外，其余的人员、施工设备和临时工程均应撤离施工场地或拆除。</w:t>
      </w:r>
    </w:p>
    <w:p w14:paraId="778107B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18.8.2  承包人撤离施工场地（现场）时，监理人和承包人应当办理永久工程和施工场地移交手续，移交手续以书面方式出具，并分别经过发包人、监理人和承包人的签认。但是，监理人和发包人未按第17.5.1项约定的期限办清竣工结算和竣工付款的，本工程不得交付使用，发包人和监理人也无权要求承包人按合同约定的期限撤离施工场地（现场）和办理工程移交手续。</w:t>
      </w:r>
    </w:p>
    <w:p w14:paraId="2C128AF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18.8.3  缺陷责任期满时，承包人的人员和施工设备应在合同约定期限内全部撤离施工场地。撤离施工场地的期限要求见合同条款专用部分。</w:t>
      </w:r>
    </w:p>
    <w:p w14:paraId="5E6B0811">
      <w:pPr>
        <w:keepNext/>
        <w:keepLines/>
        <w:spacing w:before="156" w:beforeLines="50" w:after="156" w:afterLines="50" w:line="360" w:lineRule="auto"/>
        <w:outlineLvl w:val="2"/>
        <w:rPr>
          <w:rFonts w:hint="eastAsia" w:ascii="宋体" w:hAnsi="宋体" w:eastAsia="宋体" w:cs="宋体"/>
          <w:sz w:val="24"/>
          <w:szCs w:val="20"/>
        </w:rPr>
      </w:pPr>
      <w:bookmarkStart w:id="1381" w:name="_Toc489279983"/>
      <w:bookmarkStart w:id="1382" w:name="_Toc486580172"/>
      <w:bookmarkStart w:id="1383" w:name="_Toc490222617"/>
      <w:bookmarkStart w:id="1384" w:name="_Toc497213848"/>
      <w:bookmarkStart w:id="1385" w:name="_Toc61020364"/>
      <w:bookmarkStart w:id="1386" w:name="_Toc10235444"/>
      <w:r>
        <w:rPr>
          <w:rFonts w:hint="eastAsia" w:ascii="宋体" w:hAnsi="宋体" w:eastAsia="宋体" w:cs="宋体"/>
          <w:sz w:val="24"/>
          <w:szCs w:val="20"/>
        </w:rPr>
        <w:t>18.9  中间验收</w:t>
      </w:r>
      <w:bookmarkEnd w:id="1381"/>
      <w:bookmarkEnd w:id="1382"/>
      <w:bookmarkEnd w:id="1383"/>
      <w:bookmarkEnd w:id="1384"/>
      <w:bookmarkEnd w:id="1385"/>
      <w:bookmarkEnd w:id="1386"/>
    </w:p>
    <w:p w14:paraId="4B214D3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18.9.1  本工程需要按照合同约定进行中间验收。进行中间验收的部位见合同条款专用部分。</w:t>
      </w:r>
    </w:p>
    <w:p w14:paraId="579B228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18.9.2  当工程进度达到第18.9.1项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7589353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18.9.3  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w:t>
      </w:r>
    </w:p>
    <w:p w14:paraId="2BCB6F7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经监理人验收后工程质量符合约定的验收标准，但验收24小时后监理人仍不在验收记录上签字的，视为监理人已经认可验收记录，承包人可继续施工。</w:t>
      </w:r>
    </w:p>
    <w:p w14:paraId="367F5AFB">
      <w:pPr>
        <w:keepNext/>
        <w:keepLines/>
        <w:spacing w:before="156" w:beforeLines="50" w:after="156" w:afterLines="50" w:line="360" w:lineRule="auto"/>
        <w:outlineLvl w:val="1"/>
        <w:rPr>
          <w:rFonts w:hint="eastAsia" w:ascii="宋体" w:hAnsi="宋体" w:eastAsia="宋体" w:cs="宋体"/>
          <w:sz w:val="28"/>
          <w:szCs w:val="20"/>
        </w:rPr>
      </w:pPr>
      <w:bookmarkStart w:id="1387" w:name="_Toc489279984"/>
      <w:bookmarkStart w:id="1388" w:name="_Toc497213849"/>
      <w:bookmarkStart w:id="1389" w:name="_Toc486580173"/>
      <w:bookmarkStart w:id="1390" w:name="_Toc490222618"/>
      <w:bookmarkStart w:id="1391" w:name="_Toc61020365"/>
      <w:bookmarkStart w:id="1392" w:name="_Toc10235445"/>
      <w:r>
        <w:rPr>
          <w:rFonts w:hint="eastAsia" w:ascii="宋体" w:hAnsi="宋体" w:eastAsia="宋体" w:cs="宋体"/>
          <w:sz w:val="28"/>
          <w:szCs w:val="20"/>
        </w:rPr>
        <w:t>19.缺陷责任与保修责任</w:t>
      </w:r>
      <w:bookmarkEnd w:id="1387"/>
      <w:bookmarkEnd w:id="1388"/>
      <w:bookmarkEnd w:id="1389"/>
      <w:bookmarkEnd w:id="1390"/>
      <w:bookmarkEnd w:id="1391"/>
      <w:bookmarkEnd w:id="1392"/>
    </w:p>
    <w:p w14:paraId="4ED21E9B">
      <w:pPr>
        <w:keepNext/>
        <w:keepLines/>
        <w:spacing w:before="156" w:beforeLines="50" w:after="156" w:afterLines="50" w:line="360" w:lineRule="auto"/>
        <w:outlineLvl w:val="2"/>
        <w:rPr>
          <w:rFonts w:hint="eastAsia" w:ascii="宋体" w:hAnsi="宋体" w:eastAsia="宋体" w:cs="宋体"/>
          <w:sz w:val="24"/>
          <w:szCs w:val="20"/>
        </w:rPr>
      </w:pPr>
      <w:bookmarkStart w:id="1393" w:name="_Toc489279985"/>
      <w:bookmarkStart w:id="1394" w:name="_Toc490222619"/>
      <w:bookmarkStart w:id="1395" w:name="_Toc61020366"/>
      <w:bookmarkStart w:id="1396" w:name="_Toc486580174"/>
      <w:bookmarkStart w:id="1397" w:name="_Toc497213850"/>
      <w:bookmarkStart w:id="1398" w:name="_Toc10235446"/>
      <w:r>
        <w:rPr>
          <w:rFonts w:hint="eastAsia" w:ascii="宋体" w:hAnsi="宋体" w:eastAsia="宋体" w:cs="宋体"/>
          <w:sz w:val="24"/>
          <w:szCs w:val="20"/>
        </w:rPr>
        <w:t>19.1  缺陷责任期的起算时间</w:t>
      </w:r>
      <w:bookmarkEnd w:id="1393"/>
      <w:bookmarkEnd w:id="1394"/>
      <w:bookmarkEnd w:id="1395"/>
      <w:bookmarkEnd w:id="1396"/>
      <w:bookmarkEnd w:id="1397"/>
      <w:bookmarkEnd w:id="1398"/>
    </w:p>
    <w:p w14:paraId="6DED0ED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缺陷责任期自实际竣工日期起计算。在全部工程竣工验收前，已经发包人提前验收的单位工程，其缺陷责任期的起算日期相应提前。</w:t>
      </w:r>
    </w:p>
    <w:p w14:paraId="3A5EB1C9">
      <w:pPr>
        <w:keepNext/>
        <w:keepLines/>
        <w:spacing w:before="156" w:beforeLines="50" w:after="156" w:afterLines="50" w:line="360" w:lineRule="auto"/>
        <w:outlineLvl w:val="2"/>
        <w:rPr>
          <w:rFonts w:hint="eastAsia" w:ascii="宋体" w:hAnsi="宋体" w:eastAsia="宋体" w:cs="宋体"/>
          <w:sz w:val="24"/>
          <w:szCs w:val="20"/>
        </w:rPr>
      </w:pPr>
      <w:bookmarkStart w:id="1399" w:name="_Toc61020367"/>
      <w:bookmarkStart w:id="1400" w:name="_Toc489279986"/>
      <w:bookmarkStart w:id="1401" w:name="_Toc10235447"/>
      <w:bookmarkStart w:id="1402" w:name="_Toc490222620"/>
      <w:bookmarkStart w:id="1403" w:name="_Toc486580175"/>
      <w:bookmarkStart w:id="1404" w:name="_Toc497213851"/>
      <w:r>
        <w:rPr>
          <w:rFonts w:hint="eastAsia" w:ascii="宋体" w:hAnsi="宋体" w:eastAsia="宋体" w:cs="宋体"/>
          <w:sz w:val="24"/>
          <w:szCs w:val="20"/>
        </w:rPr>
        <w:t>19.2  缺陷责任</w:t>
      </w:r>
      <w:bookmarkEnd w:id="1399"/>
      <w:bookmarkEnd w:id="1400"/>
      <w:bookmarkEnd w:id="1401"/>
      <w:bookmarkEnd w:id="1402"/>
      <w:bookmarkEnd w:id="1403"/>
      <w:bookmarkEnd w:id="1404"/>
    </w:p>
    <w:p w14:paraId="5DD72CA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19.2.1  承包人应在缺陷责任期内对已交付使用的工程承担缺陷责任。</w:t>
      </w:r>
    </w:p>
    <w:p w14:paraId="22DA060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2126D75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6A2034C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19.2.4  承包人不能在合理时间内修复缺陷的，发包人可自行修复或委托其他人修复，所需费用和利润的承担，按第19.2.3项约定办理。</w:t>
      </w:r>
    </w:p>
    <w:p w14:paraId="70952F52">
      <w:pPr>
        <w:keepNext/>
        <w:keepLines/>
        <w:spacing w:before="156" w:beforeLines="50" w:after="156" w:afterLines="50" w:line="360" w:lineRule="auto"/>
        <w:outlineLvl w:val="2"/>
        <w:rPr>
          <w:rFonts w:hint="eastAsia" w:ascii="宋体" w:hAnsi="宋体" w:eastAsia="宋体" w:cs="宋体"/>
          <w:sz w:val="24"/>
          <w:szCs w:val="20"/>
        </w:rPr>
      </w:pPr>
      <w:bookmarkStart w:id="1405" w:name="_Toc10235448"/>
      <w:bookmarkStart w:id="1406" w:name="_Toc497213852"/>
      <w:bookmarkStart w:id="1407" w:name="_Toc489279987"/>
      <w:bookmarkStart w:id="1408" w:name="_Toc490222621"/>
      <w:bookmarkStart w:id="1409" w:name="_Toc486580176"/>
      <w:bookmarkStart w:id="1410" w:name="_Toc61020368"/>
      <w:r>
        <w:rPr>
          <w:rFonts w:hint="eastAsia" w:ascii="宋体" w:hAnsi="宋体" w:eastAsia="宋体" w:cs="宋体"/>
          <w:sz w:val="24"/>
          <w:szCs w:val="20"/>
        </w:rPr>
        <w:t>19.3  缺陷责任期的延长</w:t>
      </w:r>
      <w:bookmarkEnd w:id="1405"/>
      <w:bookmarkEnd w:id="1406"/>
      <w:bookmarkEnd w:id="1407"/>
      <w:bookmarkEnd w:id="1408"/>
      <w:bookmarkEnd w:id="1409"/>
      <w:bookmarkEnd w:id="1410"/>
    </w:p>
    <w:p w14:paraId="2645611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由于承包人原因造成某项缺陷或损坏，使某项工程或工程设备不能按原定目标使用，需要再次检查、检验和修复的，发包人有权要求承包人相应延长缺陷责任期，但缺陷责任期最长不超过2年。</w:t>
      </w:r>
    </w:p>
    <w:p w14:paraId="4EAB66FB">
      <w:pPr>
        <w:keepNext/>
        <w:keepLines/>
        <w:spacing w:before="156" w:beforeLines="50" w:after="156" w:afterLines="50" w:line="360" w:lineRule="auto"/>
        <w:outlineLvl w:val="2"/>
        <w:rPr>
          <w:rFonts w:hint="eastAsia" w:ascii="宋体" w:hAnsi="宋体" w:eastAsia="宋体" w:cs="宋体"/>
          <w:sz w:val="24"/>
          <w:szCs w:val="20"/>
        </w:rPr>
      </w:pPr>
      <w:bookmarkStart w:id="1411" w:name="_Toc489279988"/>
      <w:bookmarkStart w:id="1412" w:name="_Toc10235449"/>
      <w:bookmarkStart w:id="1413" w:name="_Toc497213853"/>
      <w:bookmarkStart w:id="1414" w:name="_Toc61020369"/>
      <w:bookmarkStart w:id="1415" w:name="_Toc486580177"/>
      <w:bookmarkStart w:id="1416" w:name="_Toc490222622"/>
      <w:r>
        <w:rPr>
          <w:rFonts w:hint="eastAsia" w:ascii="宋体" w:hAnsi="宋体" w:eastAsia="宋体" w:cs="宋体"/>
          <w:sz w:val="24"/>
          <w:szCs w:val="20"/>
        </w:rPr>
        <w:t>19.4  进一步试验和试运行</w:t>
      </w:r>
      <w:bookmarkEnd w:id="1411"/>
      <w:bookmarkEnd w:id="1412"/>
      <w:bookmarkEnd w:id="1413"/>
      <w:bookmarkEnd w:id="1414"/>
      <w:bookmarkEnd w:id="1415"/>
      <w:bookmarkEnd w:id="1416"/>
    </w:p>
    <w:p w14:paraId="209A960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任何一项缺陷或损坏修复后，经检查证明其影响了工程或工程设备的使用性能，承包人应重新进行合同约定的试验和试运行，试验和试运行的全部费用应由责任方承担。</w:t>
      </w:r>
    </w:p>
    <w:p w14:paraId="657A8B7E">
      <w:pPr>
        <w:keepNext/>
        <w:keepLines/>
        <w:spacing w:before="156" w:beforeLines="50" w:after="156" w:afterLines="50" w:line="360" w:lineRule="auto"/>
        <w:outlineLvl w:val="2"/>
        <w:rPr>
          <w:rFonts w:hint="eastAsia" w:ascii="宋体" w:hAnsi="宋体" w:eastAsia="宋体" w:cs="宋体"/>
          <w:sz w:val="24"/>
          <w:szCs w:val="20"/>
        </w:rPr>
      </w:pPr>
      <w:bookmarkStart w:id="1417" w:name="_Toc486580178"/>
      <w:bookmarkStart w:id="1418" w:name="_Toc61020370"/>
      <w:bookmarkStart w:id="1419" w:name="_Toc490222623"/>
      <w:bookmarkStart w:id="1420" w:name="_Toc10235450"/>
      <w:bookmarkStart w:id="1421" w:name="_Toc489279989"/>
      <w:bookmarkStart w:id="1422" w:name="_Toc497213854"/>
      <w:r>
        <w:rPr>
          <w:rFonts w:hint="eastAsia" w:ascii="宋体" w:hAnsi="宋体" w:eastAsia="宋体" w:cs="宋体"/>
          <w:sz w:val="24"/>
          <w:szCs w:val="20"/>
        </w:rPr>
        <w:t>19.5  承包人的进入权</w:t>
      </w:r>
      <w:bookmarkEnd w:id="1417"/>
      <w:bookmarkEnd w:id="1418"/>
      <w:bookmarkEnd w:id="1419"/>
      <w:bookmarkEnd w:id="1420"/>
      <w:bookmarkEnd w:id="1421"/>
      <w:bookmarkEnd w:id="1422"/>
    </w:p>
    <w:p w14:paraId="294651C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缺陷责任期内承包人为缺陷修复工作需要，有权进入工程现场，但应遵守发包人的保安和保密规定。</w:t>
      </w:r>
    </w:p>
    <w:p w14:paraId="09BBA2C0">
      <w:pPr>
        <w:keepNext/>
        <w:keepLines/>
        <w:spacing w:before="156" w:beforeLines="50" w:after="156" w:afterLines="50" w:line="360" w:lineRule="auto"/>
        <w:outlineLvl w:val="2"/>
        <w:rPr>
          <w:rFonts w:hint="eastAsia" w:ascii="宋体" w:hAnsi="宋体" w:eastAsia="宋体" w:cs="宋体"/>
          <w:sz w:val="24"/>
          <w:szCs w:val="20"/>
        </w:rPr>
      </w:pPr>
      <w:bookmarkStart w:id="1423" w:name="_Toc486580179"/>
      <w:bookmarkStart w:id="1424" w:name="_Toc10235451"/>
      <w:bookmarkStart w:id="1425" w:name="_Toc61020371"/>
      <w:bookmarkStart w:id="1426" w:name="_Toc490222624"/>
      <w:bookmarkStart w:id="1427" w:name="_Toc497213855"/>
      <w:bookmarkStart w:id="1428" w:name="_Toc489279990"/>
      <w:r>
        <w:rPr>
          <w:rFonts w:hint="eastAsia" w:ascii="宋体" w:hAnsi="宋体" w:eastAsia="宋体" w:cs="宋体"/>
          <w:sz w:val="24"/>
          <w:szCs w:val="20"/>
        </w:rPr>
        <w:t>19.6  缺陷责任期终止证书</w:t>
      </w:r>
      <w:bookmarkEnd w:id="1423"/>
      <w:bookmarkEnd w:id="1424"/>
      <w:bookmarkEnd w:id="1425"/>
      <w:bookmarkEnd w:id="1426"/>
      <w:bookmarkEnd w:id="1427"/>
      <w:bookmarkEnd w:id="1428"/>
    </w:p>
    <w:p w14:paraId="7E5F4B5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在第1.1.4.5目约定的缺陷责任期，包括根据第19.3款延长的期限终止后14天内，由监理人向承包人出具经发包人签认的缺陷责任期终止证书，并退还剩余的质量保证金或退还保函。</w:t>
      </w:r>
    </w:p>
    <w:p w14:paraId="28DAD753">
      <w:pPr>
        <w:keepNext/>
        <w:keepLines/>
        <w:spacing w:before="156" w:beforeLines="50" w:after="156" w:afterLines="50" w:line="360" w:lineRule="auto"/>
        <w:outlineLvl w:val="2"/>
        <w:rPr>
          <w:rFonts w:hint="eastAsia" w:ascii="宋体" w:hAnsi="宋体" w:eastAsia="宋体" w:cs="宋体"/>
          <w:sz w:val="24"/>
          <w:szCs w:val="20"/>
        </w:rPr>
      </w:pPr>
      <w:bookmarkStart w:id="1429" w:name="_Toc490222625"/>
      <w:bookmarkStart w:id="1430" w:name="_Toc486580180"/>
      <w:bookmarkStart w:id="1431" w:name="_Toc10235452"/>
      <w:bookmarkStart w:id="1432" w:name="_Toc497213856"/>
      <w:bookmarkStart w:id="1433" w:name="_Toc61020372"/>
      <w:bookmarkStart w:id="1434" w:name="_Toc489279991"/>
      <w:r>
        <w:rPr>
          <w:rFonts w:hint="eastAsia" w:ascii="宋体" w:hAnsi="宋体" w:eastAsia="宋体" w:cs="宋体"/>
          <w:sz w:val="24"/>
          <w:szCs w:val="20"/>
        </w:rPr>
        <w:t>19.7  保修责任</w:t>
      </w:r>
      <w:bookmarkEnd w:id="1429"/>
      <w:bookmarkEnd w:id="1430"/>
      <w:bookmarkEnd w:id="1431"/>
      <w:bookmarkEnd w:id="1432"/>
      <w:bookmarkEnd w:id="1433"/>
      <w:bookmarkEnd w:id="1434"/>
    </w:p>
    <w:p w14:paraId="6E8348F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14:paraId="3D93265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19.7.2  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5131AB32">
      <w:pPr>
        <w:keepNext/>
        <w:keepLines/>
        <w:spacing w:before="156" w:beforeLines="50" w:after="156" w:afterLines="50" w:line="360" w:lineRule="auto"/>
        <w:outlineLvl w:val="1"/>
        <w:rPr>
          <w:rFonts w:hint="eastAsia" w:ascii="宋体" w:hAnsi="宋体" w:eastAsia="宋体" w:cs="宋体"/>
          <w:sz w:val="28"/>
          <w:szCs w:val="20"/>
        </w:rPr>
      </w:pPr>
      <w:bookmarkStart w:id="1435" w:name="_Toc486580181"/>
      <w:bookmarkStart w:id="1436" w:name="_Toc10235453"/>
      <w:bookmarkStart w:id="1437" w:name="_Toc61020373"/>
      <w:bookmarkStart w:id="1438" w:name="_Toc489279992"/>
      <w:bookmarkStart w:id="1439" w:name="_Toc497213857"/>
      <w:bookmarkStart w:id="1440" w:name="_Toc490222626"/>
      <w:r>
        <w:rPr>
          <w:rFonts w:hint="eastAsia" w:ascii="宋体" w:hAnsi="宋体" w:eastAsia="宋体" w:cs="宋体"/>
          <w:sz w:val="28"/>
          <w:szCs w:val="20"/>
        </w:rPr>
        <w:t>20.保险</w:t>
      </w:r>
      <w:bookmarkEnd w:id="1435"/>
      <w:bookmarkEnd w:id="1436"/>
      <w:bookmarkEnd w:id="1437"/>
      <w:bookmarkEnd w:id="1438"/>
      <w:bookmarkEnd w:id="1439"/>
      <w:bookmarkEnd w:id="1440"/>
    </w:p>
    <w:p w14:paraId="798178B9">
      <w:pPr>
        <w:keepNext/>
        <w:keepLines/>
        <w:spacing w:before="156" w:beforeLines="50" w:after="156" w:afterLines="50" w:line="360" w:lineRule="auto"/>
        <w:outlineLvl w:val="2"/>
        <w:rPr>
          <w:rFonts w:hint="eastAsia" w:ascii="宋体" w:hAnsi="宋体" w:eastAsia="宋体" w:cs="宋体"/>
          <w:sz w:val="24"/>
          <w:szCs w:val="20"/>
        </w:rPr>
      </w:pPr>
      <w:bookmarkStart w:id="1441" w:name="_Toc497213858"/>
      <w:bookmarkStart w:id="1442" w:name="_Toc61020374"/>
      <w:bookmarkStart w:id="1443" w:name="_Toc486580182"/>
      <w:bookmarkStart w:id="1444" w:name="_Toc489279993"/>
      <w:bookmarkStart w:id="1445" w:name="_Toc10235454"/>
      <w:bookmarkStart w:id="1446" w:name="_Toc490222627"/>
      <w:r>
        <w:rPr>
          <w:rFonts w:hint="eastAsia" w:ascii="宋体" w:hAnsi="宋体" w:eastAsia="宋体" w:cs="宋体"/>
          <w:sz w:val="24"/>
          <w:szCs w:val="20"/>
        </w:rPr>
        <w:t>20.1  工程保险</w:t>
      </w:r>
      <w:bookmarkEnd w:id="1441"/>
      <w:bookmarkEnd w:id="1442"/>
      <w:bookmarkEnd w:id="1443"/>
      <w:bookmarkEnd w:id="1444"/>
      <w:bookmarkEnd w:id="1445"/>
      <w:bookmarkEnd w:id="1446"/>
    </w:p>
    <w:p w14:paraId="7701500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承包人应以发包人和承包人的共同名义向双方同意的保险人投保建筑工程一切险、安装工程一切险。其具体的投保内容、保险金额、保险费率、保险期限等有关内容见合同条款专用部分。</w:t>
      </w:r>
    </w:p>
    <w:p w14:paraId="08693D39">
      <w:pPr>
        <w:keepNext/>
        <w:keepLines/>
        <w:spacing w:before="156" w:beforeLines="50" w:after="156" w:afterLines="50" w:line="360" w:lineRule="auto"/>
        <w:outlineLvl w:val="2"/>
        <w:rPr>
          <w:rFonts w:hint="eastAsia" w:ascii="宋体" w:hAnsi="宋体" w:eastAsia="宋体" w:cs="宋体"/>
          <w:sz w:val="24"/>
          <w:szCs w:val="20"/>
        </w:rPr>
      </w:pPr>
      <w:bookmarkStart w:id="1447" w:name="_Toc61020375"/>
      <w:bookmarkStart w:id="1448" w:name="_Toc490222628"/>
      <w:bookmarkStart w:id="1449" w:name="_Toc497213859"/>
      <w:bookmarkStart w:id="1450" w:name="_Toc486580183"/>
      <w:bookmarkStart w:id="1451" w:name="_Toc489279994"/>
      <w:bookmarkStart w:id="1452" w:name="_Toc10235455"/>
      <w:r>
        <w:rPr>
          <w:rFonts w:hint="eastAsia" w:ascii="宋体" w:hAnsi="宋体" w:eastAsia="宋体" w:cs="宋体"/>
          <w:sz w:val="24"/>
          <w:szCs w:val="20"/>
        </w:rPr>
        <w:t>20.2  人员工伤事故的保险</w:t>
      </w:r>
      <w:bookmarkEnd w:id="1447"/>
      <w:bookmarkEnd w:id="1448"/>
      <w:bookmarkEnd w:id="1449"/>
      <w:bookmarkEnd w:id="1450"/>
      <w:bookmarkEnd w:id="1451"/>
      <w:bookmarkEnd w:id="1452"/>
    </w:p>
    <w:p w14:paraId="485E6B3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20.2.1  承包人员工伤事故的保险</w:t>
      </w:r>
    </w:p>
    <w:p w14:paraId="694480C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040C99E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（2）承包人工伤事故保险期限自合同工程开工之日起至合同终止之日止。</w:t>
      </w:r>
    </w:p>
    <w:p w14:paraId="7277E27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20.2.2  发包人员工伤事故的保险</w:t>
      </w:r>
    </w:p>
    <w:p w14:paraId="7C37E2F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发包人应依照有关法律法规规定参加工伤保险，为其现场机构雇佣的全部人员，缴纳工伤保险费，并要求其监理人也进行此项保险。</w:t>
      </w:r>
    </w:p>
    <w:p w14:paraId="070C1C8B">
      <w:pPr>
        <w:keepNext/>
        <w:keepLines/>
        <w:spacing w:before="156" w:beforeLines="50" w:after="156" w:afterLines="50" w:line="360" w:lineRule="auto"/>
        <w:outlineLvl w:val="2"/>
        <w:rPr>
          <w:rFonts w:hint="eastAsia" w:ascii="宋体" w:hAnsi="宋体" w:eastAsia="宋体" w:cs="宋体"/>
          <w:sz w:val="24"/>
          <w:szCs w:val="20"/>
        </w:rPr>
      </w:pPr>
      <w:bookmarkStart w:id="1453" w:name="_Toc61020376"/>
      <w:bookmarkStart w:id="1454" w:name="_Toc486580184"/>
      <w:bookmarkStart w:id="1455" w:name="_Toc489279995"/>
      <w:bookmarkStart w:id="1456" w:name="_Toc10235456"/>
      <w:bookmarkStart w:id="1457" w:name="_Toc490222629"/>
      <w:bookmarkStart w:id="1458" w:name="_Toc497213860"/>
      <w:r>
        <w:rPr>
          <w:rFonts w:hint="eastAsia" w:ascii="宋体" w:hAnsi="宋体" w:eastAsia="宋体" w:cs="宋体"/>
          <w:sz w:val="24"/>
          <w:szCs w:val="20"/>
        </w:rPr>
        <w:t>20.3  人身意外伤害险</w:t>
      </w:r>
      <w:bookmarkEnd w:id="1453"/>
      <w:bookmarkEnd w:id="1454"/>
      <w:bookmarkEnd w:id="1455"/>
      <w:bookmarkEnd w:id="1456"/>
      <w:bookmarkEnd w:id="1457"/>
      <w:bookmarkEnd w:id="1458"/>
    </w:p>
    <w:p w14:paraId="76AFB41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20.3.1  发包人应在整个施工期间为其现场机构雇用的全部人员，投保人身意外伤害险，缴纳保险费，并要求其监理人也进行此项保险。</w:t>
      </w:r>
    </w:p>
    <w:p w14:paraId="4D9DE8D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20.3.2  承包人应在整个施工期间为其现场机构雇用的全部人员，投保人身意外伤害险，缴纳保险费，并要求其分包人也进行此项保险。</w:t>
      </w:r>
    </w:p>
    <w:p w14:paraId="3DFB8429">
      <w:pPr>
        <w:keepNext/>
        <w:keepLines/>
        <w:spacing w:before="156" w:beforeLines="50" w:after="156" w:afterLines="50" w:line="360" w:lineRule="auto"/>
        <w:outlineLvl w:val="2"/>
        <w:rPr>
          <w:rFonts w:hint="eastAsia" w:ascii="宋体" w:hAnsi="宋体" w:eastAsia="宋体" w:cs="宋体"/>
          <w:sz w:val="24"/>
          <w:szCs w:val="20"/>
        </w:rPr>
      </w:pPr>
      <w:bookmarkStart w:id="1459" w:name="_Toc490222630"/>
      <w:bookmarkStart w:id="1460" w:name="_Toc497213861"/>
      <w:bookmarkStart w:id="1461" w:name="_Toc486580185"/>
      <w:bookmarkStart w:id="1462" w:name="_Toc61020377"/>
      <w:bookmarkStart w:id="1463" w:name="_Toc489279996"/>
      <w:bookmarkStart w:id="1464" w:name="_Toc10235457"/>
      <w:r>
        <w:rPr>
          <w:rFonts w:hint="eastAsia" w:ascii="宋体" w:hAnsi="宋体" w:eastAsia="宋体" w:cs="宋体"/>
          <w:sz w:val="24"/>
          <w:szCs w:val="20"/>
        </w:rPr>
        <w:t>20.4  第三者责任险</w:t>
      </w:r>
      <w:bookmarkEnd w:id="1459"/>
      <w:bookmarkEnd w:id="1460"/>
      <w:bookmarkEnd w:id="1461"/>
      <w:bookmarkEnd w:id="1462"/>
      <w:bookmarkEnd w:id="1463"/>
      <w:bookmarkEnd w:id="1464"/>
    </w:p>
    <w:p w14:paraId="7509E7D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18111AB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20.4.2  在缺陷责任期终止证书颁发前，承包人应以承包人和发包人的共同名义，投保第20.4.1项约定的第三者责任险，其保险费率、保险金额、保险费承担人等有关内容见合同条款专用部分。</w:t>
      </w:r>
    </w:p>
    <w:p w14:paraId="633AF469">
      <w:pPr>
        <w:keepNext/>
        <w:keepLines/>
        <w:spacing w:before="156" w:beforeLines="50" w:after="156" w:afterLines="50" w:line="360" w:lineRule="auto"/>
        <w:outlineLvl w:val="2"/>
        <w:rPr>
          <w:rFonts w:hint="eastAsia" w:ascii="宋体" w:hAnsi="宋体" w:eastAsia="宋体" w:cs="宋体"/>
          <w:sz w:val="24"/>
          <w:szCs w:val="20"/>
        </w:rPr>
      </w:pPr>
      <w:bookmarkStart w:id="1465" w:name="_Toc61020378"/>
      <w:bookmarkStart w:id="1466" w:name="_Toc10235458"/>
      <w:bookmarkStart w:id="1467" w:name="_Toc486580186"/>
      <w:bookmarkStart w:id="1468" w:name="_Toc490222631"/>
      <w:bookmarkStart w:id="1469" w:name="_Toc489279997"/>
      <w:bookmarkStart w:id="1470" w:name="_Toc497213862"/>
      <w:r>
        <w:rPr>
          <w:rFonts w:hint="eastAsia" w:ascii="宋体" w:hAnsi="宋体" w:eastAsia="宋体" w:cs="宋体"/>
          <w:sz w:val="24"/>
          <w:szCs w:val="20"/>
        </w:rPr>
        <w:t>20.5  其他保险</w:t>
      </w:r>
      <w:bookmarkEnd w:id="1465"/>
      <w:bookmarkEnd w:id="1466"/>
      <w:bookmarkEnd w:id="1467"/>
      <w:bookmarkEnd w:id="1468"/>
      <w:bookmarkEnd w:id="1469"/>
      <w:bookmarkEnd w:id="1470"/>
    </w:p>
    <w:p w14:paraId="67BF4BB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承包人应为其施工设备、进场的材料和工程设备等办理保险。办理保险的险种见合同条款专用部分。</w:t>
      </w:r>
    </w:p>
    <w:p w14:paraId="30C98B92">
      <w:pPr>
        <w:keepNext/>
        <w:keepLines/>
        <w:spacing w:before="156" w:beforeLines="50" w:after="156" w:afterLines="50" w:line="360" w:lineRule="auto"/>
        <w:outlineLvl w:val="2"/>
        <w:rPr>
          <w:rFonts w:hint="eastAsia" w:ascii="宋体" w:hAnsi="宋体" w:eastAsia="宋体" w:cs="宋体"/>
          <w:sz w:val="24"/>
          <w:szCs w:val="20"/>
        </w:rPr>
      </w:pPr>
      <w:bookmarkStart w:id="1471" w:name="_Toc489279998"/>
      <w:bookmarkStart w:id="1472" w:name="_Toc486580187"/>
      <w:bookmarkStart w:id="1473" w:name="_Toc490222632"/>
      <w:bookmarkStart w:id="1474" w:name="_Toc10235459"/>
      <w:bookmarkStart w:id="1475" w:name="_Toc497213863"/>
      <w:bookmarkStart w:id="1476" w:name="_Toc61020379"/>
      <w:r>
        <w:rPr>
          <w:rFonts w:hint="eastAsia" w:ascii="宋体" w:hAnsi="宋体" w:eastAsia="宋体" w:cs="宋体"/>
          <w:sz w:val="24"/>
          <w:szCs w:val="20"/>
        </w:rPr>
        <w:t>20.6  对各项保险的一般要求</w:t>
      </w:r>
      <w:bookmarkEnd w:id="1471"/>
      <w:bookmarkEnd w:id="1472"/>
      <w:bookmarkEnd w:id="1473"/>
      <w:bookmarkEnd w:id="1474"/>
      <w:bookmarkEnd w:id="1475"/>
      <w:bookmarkEnd w:id="1476"/>
    </w:p>
    <w:p w14:paraId="3EFC27D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20.6.1  保险凭证</w:t>
      </w:r>
    </w:p>
    <w:p w14:paraId="6A907D9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承包人应在合同约定的期限内向发包人提交各项保险生效的证据和保险单副本，保险单必须与合同约定的条件保持一致。各项保险生效的证据和保险单副本的期限见合同条款专用部分。</w:t>
      </w:r>
    </w:p>
    <w:p w14:paraId="442E6BE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20.6.2  保险合同条款的变动</w:t>
      </w:r>
    </w:p>
    <w:p w14:paraId="43EDA42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承包人需要变动保险合同条款时，应事先征得发包人同意，并通知监理人。保险人作出变动的，承包人应在收到保险人通知后立即通知发包人和监理人。</w:t>
      </w:r>
    </w:p>
    <w:p w14:paraId="0EBE567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20.6.3  持续保险</w:t>
      </w:r>
    </w:p>
    <w:p w14:paraId="3707C9D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承包人应与保险人保持联系，使保险人能够随时了解工程实施中的变动，并确保按保险合同条款要求持续保险。</w:t>
      </w:r>
    </w:p>
    <w:p w14:paraId="40D799F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20.6.4  保险金不足的补偿</w:t>
      </w:r>
    </w:p>
    <w:p w14:paraId="2A3B916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保险金不足以补偿损失的，应由承包人和（或）发包人按合同约定负责补偿。保险金不足的补偿原则见合同条款专用部分。</w:t>
      </w:r>
    </w:p>
    <w:p w14:paraId="4A45ADA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20.6.5  未按约定投保的补救</w:t>
      </w:r>
    </w:p>
    <w:p w14:paraId="6E23B0F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（1）由于负有投保义务的一方当事人未按合同约定办理保险，或未能使保险持续有效的，另一方当事人可代为办理，所需费用由对方当事人承担。</w:t>
      </w:r>
    </w:p>
    <w:p w14:paraId="6A48D0A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（2）由于负有投保义务的一方当事人未按合同约定办理某项保险，导致受益人未能得到保险人的赔偿，原应从该项保险得到的保险金应由负有投保义务的一方当事人支付。</w:t>
      </w:r>
    </w:p>
    <w:p w14:paraId="0679066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20.6.6  报告义务</w:t>
      </w:r>
    </w:p>
    <w:p w14:paraId="6BF7B40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当保险事故发生时，投保人应按照保险单规定的条件和期限及时向保险人报告。</w:t>
      </w:r>
    </w:p>
    <w:p w14:paraId="18C227C5">
      <w:pPr>
        <w:keepNext/>
        <w:keepLines/>
        <w:spacing w:before="156" w:beforeLines="50" w:after="156" w:afterLines="50" w:line="360" w:lineRule="auto"/>
        <w:outlineLvl w:val="1"/>
        <w:rPr>
          <w:rFonts w:hint="eastAsia" w:ascii="宋体" w:hAnsi="宋体" w:eastAsia="宋体" w:cs="宋体"/>
          <w:sz w:val="28"/>
          <w:szCs w:val="20"/>
        </w:rPr>
      </w:pPr>
      <w:bookmarkStart w:id="1477" w:name="_Toc10235460"/>
      <w:bookmarkStart w:id="1478" w:name="_Toc486580188"/>
      <w:bookmarkStart w:id="1479" w:name="_Toc497213864"/>
      <w:bookmarkStart w:id="1480" w:name="_Toc490222633"/>
      <w:bookmarkStart w:id="1481" w:name="_Toc489279999"/>
      <w:bookmarkStart w:id="1482" w:name="_Toc61020380"/>
      <w:r>
        <w:rPr>
          <w:rFonts w:hint="eastAsia" w:ascii="宋体" w:hAnsi="宋体" w:eastAsia="宋体" w:cs="宋体"/>
          <w:sz w:val="28"/>
          <w:szCs w:val="20"/>
        </w:rPr>
        <w:t>21.不可抗力</w:t>
      </w:r>
      <w:bookmarkEnd w:id="1477"/>
      <w:bookmarkEnd w:id="1478"/>
      <w:bookmarkEnd w:id="1479"/>
      <w:bookmarkEnd w:id="1480"/>
      <w:bookmarkEnd w:id="1481"/>
      <w:bookmarkEnd w:id="1482"/>
    </w:p>
    <w:p w14:paraId="6B7C5F18">
      <w:pPr>
        <w:keepNext/>
        <w:keepLines/>
        <w:spacing w:before="156" w:beforeLines="50" w:after="156" w:afterLines="50" w:line="360" w:lineRule="auto"/>
        <w:outlineLvl w:val="2"/>
        <w:rPr>
          <w:rFonts w:hint="eastAsia" w:ascii="宋体" w:hAnsi="宋体" w:eastAsia="宋体" w:cs="宋体"/>
          <w:sz w:val="24"/>
          <w:szCs w:val="20"/>
        </w:rPr>
      </w:pPr>
      <w:bookmarkStart w:id="1483" w:name="_Toc489280000"/>
      <w:bookmarkStart w:id="1484" w:name="_Toc61020381"/>
      <w:bookmarkStart w:id="1485" w:name="_Toc490222634"/>
      <w:bookmarkStart w:id="1486" w:name="_Toc486580189"/>
      <w:bookmarkStart w:id="1487" w:name="_Toc497213865"/>
      <w:bookmarkStart w:id="1488" w:name="_Toc10235461"/>
      <w:r>
        <w:rPr>
          <w:rFonts w:hint="eastAsia" w:ascii="宋体" w:hAnsi="宋体" w:eastAsia="宋体" w:cs="宋体"/>
          <w:sz w:val="24"/>
          <w:szCs w:val="20"/>
        </w:rPr>
        <w:t>21.1  不可抗力的确认</w:t>
      </w:r>
      <w:bookmarkEnd w:id="1483"/>
      <w:bookmarkEnd w:id="1484"/>
      <w:bookmarkEnd w:id="1485"/>
      <w:bookmarkEnd w:id="1486"/>
      <w:bookmarkEnd w:id="1487"/>
      <w:bookmarkEnd w:id="1488"/>
    </w:p>
    <w:p w14:paraId="1D59143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7D68EBB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3D281A6F">
      <w:pPr>
        <w:keepNext/>
        <w:keepLines/>
        <w:spacing w:before="156" w:beforeLines="50" w:after="156" w:afterLines="50" w:line="360" w:lineRule="auto"/>
        <w:outlineLvl w:val="2"/>
        <w:rPr>
          <w:rFonts w:hint="eastAsia" w:ascii="宋体" w:hAnsi="宋体" w:eastAsia="宋体" w:cs="宋体"/>
          <w:sz w:val="24"/>
          <w:szCs w:val="20"/>
        </w:rPr>
      </w:pPr>
      <w:bookmarkStart w:id="1489" w:name="_Toc486580190"/>
      <w:bookmarkStart w:id="1490" w:name="_Toc497213866"/>
      <w:bookmarkStart w:id="1491" w:name="_Toc490222635"/>
      <w:bookmarkStart w:id="1492" w:name="_Toc61020382"/>
      <w:bookmarkStart w:id="1493" w:name="_Toc489280001"/>
      <w:bookmarkStart w:id="1494" w:name="_Toc10235462"/>
      <w:r>
        <w:rPr>
          <w:rFonts w:hint="eastAsia" w:ascii="宋体" w:hAnsi="宋体" w:eastAsia="宋体" w:cs="宋体"/>
          <w:sz w:val="24"/>
          <w:szCs w:val="20"/>
        </w:rPr>
        <w:t>21.2  不可抗力的通知</w:t>
      </w:r>
      <w:bookmarkEnd w:id="1489"/>
      <w:bookmarkEnd w:id="1490"/>
      <w:bookmarkEnd w:id="1491"/>
      <w:bookmarkEnd w:id="1492"/>
      <w:bookmarkEnd w:id="1493"/>
      <w:bookmarkEnd w:id="1494"/>
    </w:p>
    <w:p w14:paraId="468AE27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21.2.1  合同一方当事人遇到不可抗力事件，使其履行合同义务受到阻碍时，应立即通知合同另一方当事人和监理人，书面说明不可抗力和受阻碍的详细情况，并提供必要的证明。</w:t>
      </w:r>
    </w:p>
    <w:p w14:paraId="591F271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21.2.2  如不可抗力持续发生，合同一方当事人应及时向合同另一方当事人和监理人提交中间报告，说明不可抗力和履行合同受阻的情况，并于不可抗力事件结束后28天内提交最终报告及有关资料。</w:t>
      </w:r>
    </w:p>
    <w:p w14:paraId="1B2C06E9">
      <w:pPr>
        <w:keepNext/>
        <w:keepLines/>
        <w:spacing w:before="156" w:beforeLines="50" w:after="156" w:afterLines="50" w:line="360" w:lineRule="auto"/>
        <w:outlineLvl w:val="2"/>
        <w:rPr>
          <w:rFonts w:hint="eastAsia" w:ascii="宋体" w:hAnsi="宋体" w:eastAsia="宋体" w:cs="宋体"/>
          <w:sz w:val="24"/>
          <w:szCs w:val="20"/>
        </w:rPr>
      </w:pPr>
      <w:bookmarkStart w:id="1495" w:name="_Toc486580191"/>
      <w:bookmarkStart w:id="1496" w:name="_Toc497213867"/>
      <w:bookmarkStart w:id="1497" w:name="_Toc489280002"/>
      <w:bookmarkStart w:id="1498" w:name="_Toc10235463"/>
      <w:bookmarkStart w:id="1499" w:name="_Toc61020383"/>
      <w:bookmarkStart w:id="1500" w:name="_Toc490222636"/>
      <w:r>
        <w:rPr>
          <w:rFonts w:hint="eastAsia" w:ascii="宋体" w:hAnsi="宋体" w:eastAsia="宋体" w:cs="宋体"/>
          <w:sz w:val="24"/>
          <w:szCs w:val="20"/>
        </w:rPr>
        <w:t>21.3  不可抗力后果及其处理</w:t>
      </w:r>
      <w:bookmarkEnd w:id="1495"/>
      <w:bookmarkEnd w:id="1496"/>
      <w:bookmarkEnd w:id="1497"/>
      <w:bookmarkEnd w:id="1498"/>
      <w:bookmarkEnd w:id="1499"/>
      <w:bookmarkEnd w:id="1500"/>
    </w:p>
    <w:p w14:paraId="0311D2C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21.3.1  不可抗力造成损害的责任</w:t>
      </w:r>
    </w:p>
    <w:p w14:paraId="5DD0676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不可抗力导致的人员伤亡、财产损失、费用增加和（或）工期延误等后果，由合同双方按以下原则承担： </w:t>
      </w:r>
    </w:p>
    <w:p w14:paraId="1F1C847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（1）永久工程，包括已运至施工场地的材料和工程设备的损害，以及因工程损害造成的第三者人员伤亡和财产损失由发包人承担；</w:t>
      </w:r>
    </w:p>
    <w:p w14:paraId="2413694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（2）承包人设备的损坏由承包人承担；</w:t>
      </w:r>
    </w:p>
    <w:p w14:paraId="17B9C52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（3）发包人和承包人各自承担其人员伤亡和其他财产损失及其相关费用；</w:t>
      </w:r>
    </w:p>
    <w:p w14:paraId="4CCCF0C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（4）承包人的停工损失由承包人承担，但停工期间应监理人要求照管工程和清理、修复工程的金额由发包人承担；</w:t>
      </w:r>
    </w:p>
    <w:p w14:paraId="6D3F234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（5）不能按期竣工的，应合理延长工期，承包人不需支付逾期竣工违约金。发包人要求赶工的，承包人应采取赶工措施，赶工费用由发包人承担。</w:t>
      </w:r>
    </w:p>
    <w:p w14:paraId="2A38E16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21.3.2  延迟履行期间发生的不可抗力</w:t>
      </w:r>
    </w:p>
    <w:p w14:paraId="632B6C3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合同一方当事人延迟履行，在延迟履行期间发生不可抗力的，不免除其责任。</w:t>
      </w:r>
    </w:p>
    <w:p w14:paraId="13E2ED8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21.3.3  避免和减少不可抗力损失</w:t>
      </w:r>
    </w:p>
    <w:p w14:paraId="03BFC17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不可抗力发生后，发包人和承包人均应采取措施尽量避免和减少损失的扩大，任何一方没有采取有效措施导致损失扩大的，应对扩大的损失承担责任。</w:t>
      </w:r>
    </w:p>
    <w:p w14:paraId="6E6ECA0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21.3.4  因不可抗力解除合同</w:t>
      </w:r>
    </w:p>
    <w:p w14:paraId="2B4849E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0F48E08B">
      <w:pPr>
        <w:keepNext/>
        <w:keepLines/>
        <w:spacing w:before="156" w:beforeLines="50" w:after="156" w:afterLines="50" w:line="360" w:lineRule="auto"/>
        <w:outlineLvl w:val="1"/>
        <w:rPr>
          <w:rFonts w:hint="eastAsia" w:ascii="宋体" w:hAnsi="宋体" w:eastAsia="宋体" w:cs="宋体"/>
          <w:sz w:val="28"/>
          <w:szCs w:val="20"/>
        </w:rPr>
      </w:pPr>
      <w:bookmarkStart w:id="1501" w:name="_Toc61020384"/>
      <w:bookmarkStart w:id="1502" w:name="_Toc490222637"/>
      <w:bookmarkStart w:id="1503" w:name="_Toc10235464"/>
      <w:bookmarkStart w:id="1504" w:name="_Toc489280003"/>
      <w:bookmarkStart w:id="1505" w:name="_Toc486580192"/>
      <w:bookmarkStart w:id="1506" w:name="_Toc497213868"/>
      <w:r>
        <w:rPr>
          <w:rFonts w:hint="eastAsia" w:ascii="宋体" w:hAnsi="宋体" w:eastAsia="宋体" w:cs="宋体"/>
          <w:sz w:val="28"/>
          <w:szCs w:val="20"/>
        </w:rPr>
        <w:t>22.违约</w:t>
      </w:r>
      <w:bookmarkEnd w:id="1501"/>
      <w:bookmarkEnd w:id="1502"/>
      <w:bookmarkEnd w:id="1503"/>
      <w:bookmarkEnd w:id="1504"/>
      <w:bookmarkEnd w:id="1505"/>
      <w:bookmarkEnd w:id="1506"/>
    </w:p>
    <w:p w14:paraId="79DAE6FF">
      <w:pPr>
        <w:keepNext/>
        <w:keepLines/>
        <w:spacing w:before="156" w:beforeLines="50" w:after="156" w:afterLines="50" w:line="360" w:lineRule="auto"/>
        <w:outlineLvl w:val="2"/>
        <w:rPr>
          <w:rFonts w:hint="eastAsia" w:ascii="宋体" w:hAnsi="宋体" w:eastAsia="宋体" w:cs="宋体"/>
          <w:sz w:val="24"/>
          <w:szCs w:val="20"/>
        </w:rPr>
      </w:pPr>
      <w:bookmarkStart w:id="1507" w:name="_Toc61020385"/>
      <w:bookmarkStart w:id="1508" w:name="_Toc490222638"/>
      <w:bookmarkStart w:id="1509" w:name="_Toc486580193"/>
      <w:bookmarkStart w:id="1510" w:name="_Toc10235465"/>
      <w:bookmarkStart w:id="1511" w:name="_Toc489280004"/>
      <w:bookmarkStart w:id="1512" w:name="_Toc497213869"/>
      <w:r>
        <w:rPr>
          <w:rFonts w:hint="eastAsia" w:ascii="宋体" w:hAnsi="宋体" w:eastAsia="宋体" w:cs="宋体"/>
          <w:sz w:val="24"/>
          <w:szCs w:val="20"/>
        </w:rPr>
        <w:t>22.1  承包人违约</w:t>
      </w:r>
      <w:bookmarkEnd w:id="1507"/>
      <w:bookmarkEnd w:id="1508"/>
      <w:bookmarkEnd w:id="1509"/>
      <w:bookmarkEnd w:id="1510"/>
      <w:bookmarkEnd w:id="1511"/>
      <w:bookmarkEnd w:id="1512"/>
    </w:p>
    <w:p w14:paraId="5DDCAEC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22.1.1  承包人违约的情形</w:t>
      </w:r>
    </w:p>
    <w:p w14:paraId="762B23D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在履行合同过程中发生的下列情况属承包人违约：</w:t>
      </w:r>
    </w:p>
    <w:p w14:paraId="700C18B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（1）承包人违反第1.8款或第4.3款的约定，私自将合同的全部或部分权利转让给其他人，或私自将合同的全部或部分义务转移给其他人；</w:t>
      </w:r>
    </w:p>
    <w:p w14:paraId="1B1C5A1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（2）承包人违反第5.3款或第6.4款的约定，未经监理人批准，私自将已按合同约定进入施工场地的施工设备、临时设施或材料撤离施工场地；</w:t>
      </w:r>
    </w:p>
    <w:p w14:paraId="29B87D0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（3）承包人违反第5.4款的约定使用了不合格材料或工程设备，工程质量达不到标准要求，又拒绝清除不合格工程；</w:t>
      </w:r>
    </w:p>
    <w:p w14:paraId="25A0F4C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（4）承包人未能按合同进度计划及时完成合同约定的工作，已造成或预期造成工期延误；</w:t>
      </w:r>
    </w:p>
    <w:p w14:paraId="2ADBF0A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（5）承包人在缺陷责任期内，未能对工程接收证书所列的缺陷清单的内容或缺陷责任期内发生的缺陷进行修复，而又拒绝按监理人指示再进行修补；</w:t>
      </w:r>
    </w:p>
    <w:p w14:paraId="52AB250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（6）承包人无法继续履行或明确表示不履行或实质上已停止履行合同；</w:t>
      </w:r>
    </w:p>
    <w:p w14:paraId="0AB7936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（7）承包人不按合同约定履行义务的其他情况。</w:t>
      </w:r>
    </w:p>
    <w:p w14:paraId="3F9D6E9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22.1.2  对承包人违约的处理</w:t>
      </w:r>
    </w:p>
    <w:p w14:paraId="15A870D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（1）承包人发生第22.1.1（6）目约定的违约情况时，发包人可通知承包人立即解除合同，并按有关法律处理。</w:t>
      </w:r>
    </w:p>
    <w:p w14:paraId="79FDEE1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（2）承包人发生除第22.1.1（6）目约定以外的其他违约情况时，监理人可向承包人发出整改通知，要求其在指定的期限内改正。承包人应承担其违约所引起的费用增加和（或）工期延误。</w:t>
      </w:r>
    </w:p>
    <w:p w14:paraId="1DA3466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（3）经检查证明承包人已采取了有效措施纠正违约行为，具备复工条件的，可由监理人签发复工通知复工。</w:t>
      </w:r>
    </w:p>
    <w:p w14:paraId="1BD11F8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22.1.3  承包人违约解除合同</w:t>
      </w:r>
    </w:p>
    <w:p w14:paraId="40B47CA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671DF17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22.1.4  合同解除后的估价、付款和结清</w:t>
      </w:r>
    </w:p>
    <w:p w14:paraId="02C67A2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（1）合同解除后，监理人按第3.5款商定或确定承包人实际完成工作的价值，以及承包人已提供的材料、施工设备、工程设备和临时工程等的价值。 </w:t>
      </w:r>
    </w:p>
    <w:p w14:paraId="13488B3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（2）合同解除后，发包人应暂停对承包人的一切付款，查清各项付款和已扣款金额，包括承包人应支付的违约金。 </w:t>
      </w:r>
    </w:p>
    <w:p w14:paraId="6111E2D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（3）合同解除后，发包人应按第23.4款的约定向承包人索赔由于解除合同给发包人造成的损失。</w:t>
      </w:r>
    </w:p>
    <w:p w14:paraId="06397BB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（4）合同双方确认上述往来款项后，出具最终结清付款证书，结清全部合同款项。</w:t>
      </w:r>
    </w:p>
    <w:p w14:paraId="664B511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（5）发包人和承包人未能就解除合同后的结清达成一致而形成争议的，按第24条的约定办理。</w:t>
      </w:r>
    </w:p>
    <w:p w14:paraId="727237F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22.1.5  协议利益的转让</w:t>
      </w:r>
    </w:p>
    <w:p w14:paraId="22D903E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因承包人违约解除合同的，发包人有权要求承包人将其为实施合同而签订的材料和设备的订货协议或任何服务协议利益转让给发包人，并在解除合同后的14天内，依法办理转让手续。 </w:t>
      </w:r>
    </w:p>
    <w:p w14:paraId="7A7859C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22.1.6  紧急情况下无能力或不愿进行抢救</w:t>
      </w:r>
    </w:p>
    <w:p w14:paraId="761A5BA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6C3BD0E4">
      <w:pPr>
        <w:keepNext/>
        <w:keepLines/>
        <w:spacing w:before="156" w:beforeLines="50" w:after="156" w:afterLines="50" w:line="360" w:lineRule="auto"/>
        <w:outlineLvl w:val="2"/>
        <w:rPr>
          <w:rFonts w:hint="eastAsia" w:ascii="宋体" w:hAnsi="宋体" w:eastAsia="宋体" w:cs="宋体"/>
          <w:sz w:val="24"/>
          <w:szCs w:val="20"/>
        </w:rPr>
      </w:pPr>
      <w:bookmarkStart w:id="1513" w:name="_Toc61020386"/>
      <w:bookmarkStart w:id="1514" w:name="_Toc10235466"/>
      <w:bookmarkStart w:id="1515" w:name="_Toc497213870"/>
      <w:bookmarkStart w:id="1516" w:name="_Toc489280005"/>
      <w:bookmarkStart w:id="1517" w:name="_Toc490222639"/>
      <w:bookmarkStart w:id="1518" w:name="_Toc486580194"/>
      <w:r>
        <w:rPr>
          <w:rFonts w:hint="eastAsia" w:ascii="宋体" w:hAnsi="宋体" w:eastAsia="宋体" w:cs="宋体"/>
          <w:sz w:val="24"/>
          <w:szCs w:val="20"/>
        </w:rPr>
        <w:t>22.2  发包人违约</w:t>
      </w:r>
      <w:bookmarkEnd w:id="1513"/>
      <w:bookmarkEnd w:id="1514"/>
      <w:bookmarkEnd w:id="1515"/>
      <w:bookmarkEnd w:id="1516"/>
      <w:bookmarkEnd w:id="1517"/>
      <w:bookmarkEnd w:id="1518"/>
    </w:p>
    <w:p w14:paraId="4DC99AF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22.2.1  发包人违约的情形</w:t>
      </w:r>
    </w:p>
    <w:p w14:paraId="4A4AAB0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在履行合同过程中发生的下列情形，属发包人违约：</w:t>
      </w:r>
    </w:p>
    <w:p w14:paraId="2D8F24D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（1）发包人未能按合同约定支付预付款或合同价款，或拖延、拒绝批准付款申请和支付凭证，导致付款延误的；</w:t>
      </w:r>
    </w:p>
    <w:p w14:paraId="678475D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（2）发包人原因造成停工的；</w:t>
      </w:r>
    </w:p>
    <w:p w14:paraId="5FAA768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（3）监理人无正当理由没有在约定期限内发出复工指示，导致承包人无法复工的；</w:t>
      </w:r>
    </w:p>
    <w:p w14:paraId="2990F6D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（4）发包人无法继续履行或明确表示不履行或实质上已停止履行合同的；</w:t>
      </w:r>
    </w:p>
    <w:p w14:paraId="3959CCD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（5）发包人不履行合同约定其他义务的。</w:t>
      </w:r>
    </w:p>
    <w:p w14:paraId="4513A22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22.2.2  承包人有权暂停施工</w:t>
      </w:r>
    </w:p>
    <w:p w14:paraId="1D3F9FE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2CE671E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22.2.3  发包人违约解除合同 </w:t>
      </w:r>
    </w:p>
    <w:p w14:paraId="1FAC96F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（1）发生第22.2.1（4）目的违约情况时，承包人可书面通知发包人解除合同。   </w:t>
      </w:r>
    </w:p>
    <w:p w14:paraId="3B2858B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（2）承包人按第22.2.2项暂停施工28天后，发包人仍不纠正违约行为的，承包人可向发包人发出解除合同通知。但承包人的这一行动不免除发包人承担的违约责任，也不影响承包人根据合同约定享有的索赔权利。</w:t>
      </w:r>
    </w:p>
    <w:p w14:paraId="15E086A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22.2.4  解除合同后的付款</w:t>
      </w:r>
    </w:p>
    <w:p w14:paraId="619984A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因发包人违约解除合同的，发包人应在解除合同后28天内向承包人支付下列金额，承包人应在此期限内及时向发包人提交要求支付下列金额的有关资料和凭证：</w:t>
      </w:r>
    </w:p>
    <w:p w14:paraId="59832DB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（1）合同解除日以前所完成工作的价款；</w:t>
      </w:r>
    </w:p>
    <w:p w14:paraId="187ED6E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（2）承包人为该工程施工订购并已付款的材料、工程设备和其他物品的金额。发包人付还后，该材料、工程设备和其他物品归发包人所有；</w:t>
      </w:r>
    </w:p>
    <w:p w14:paraId="550604B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（3）承包人为完成工程所发生的，而发包人未支付的金额；</w:t>
      </w:r>
    </w:p>
    <w:p w14:paraId="62F013A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（4）承包人撤离施工场地以及遣散承包人人员的金额；</w:t>
      </w:r>
    </w:p>
    <w:p w14:paraId="2F2E134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（5）由于解除合同应赔偿的承包人损失；</w:t>
      </w:r>
    </w:p>
    <w:p w14:paraId="15A76EE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（6）按合同约定在合同解除日前应支付给承包人的其他金额。</w:t>
      </w:r>
    </w:p>
    <w:p w14:paraId="535760E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发包人应按本项约定支付上述金额并退还质量保证金或退还质量保证金保函和履约担保，但有权要求承包人支付应偿还给发包人的各项金额。</w:t>
      </w:r>
    </w:p>
    <w:p w14:paraId="5A2D397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22.2.5  解除合同后的承包人撤离</w:t>
      </w:r>
    </w:p>
    <w:p w14:paraId="1403336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59D7925D">
      <w:pPr>
        <w:keepNext/>
        <w:keepLines/>
        <w:spacing w:before="156" w:beforeLines="50" w:after="156" w:afterLines="50" w:line="360" w:lineRule="auto"/>
        <w:outlineLvl w:val="2"/>
        <w:rPr>
          <w:rFonts w:hint="eastAsia" w:ascii="宋体" w:hAnsi="宋体" w:eastAsia="宋体" w:cs="宋体"/>
          <w:sz w:val="24"/>
          <w:szCs w:val="20"/>
        </w:rPr>
      </w:pPr>
      <w:bookmarkStart w:id="1519" w:name="_Toc490222640"/>
      <w:bookmarkStart w:id="1520" w:name="_Toc10235467"/>
      <w:bookmarkStart w:id="1521" w:name="_Toc61020387"/>
      <w:bookmarkStart w:id="1522" w:name="_Toc489280006"/>
      <w:bookmarkStart w:id="1523" w:name="_Toc486580195"/>
      <w:bookmarkStart w:id="1524" w:name="_Toc497213871"/>
      <w:r>
        <w:rPr>
          <w:rFonts w:hint="eastAsia" w:ascii="宋体" w:hAnsi="宋体" w:eastAsia="宋体" w:cs="宋体"/>
          <w:sz w:val="24"/>
          <w:szCs w:val="20"/>
        </w:rPr>
        <w:t>22.3  第三人造成的违约</w:t>
      </w:r>
      <w:bookmarkEnd w:id="1519"/>
      <w:bookmarkEnd w:id="1520"/>
      <w:bookmarkEnd w:id="1521"/>
      <w:bookmarkEnd w:id="1522"/>
      <w:bookmarkEnd w:id="1523"/>
      <w:bookmarkEnd w:id="1524"/>
    </w:p>
    <w:p w14:paraId="3E16F07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在履行合同过程中，一方当事人因第三人的原因造成违约的，应当向对方当事人承担违约责任。一方当事人和第三人之间的纠纷，依照法律规定或者按照约定解决。</w:t>
      </w:r>
    </w:p>
    <w:p w14:paraId="11142102">
      <w:pPr>
        <w:keepNext/>
        <w:keepLines/>
        <w:spacing w:before="156" w:beforeLines="50" w:after="156" w:afterLines="50" w:line="360" w:lineRule="auto"/>
        <w:outlineLvl w:val="1"/>
        <w:rPr>
          <w:rFonts w:hint="eastAsia" w:ascii="宋体" w:hAnsi="宋体" w:eastAsia="宋体" w:cs="宋体"/>
          <w:sz w:val="28"/>
          <w:szCs w:val="20"/>
        </w:rPr>
      </w:pPr>
      <w:bookmarkStart w:id="1525" w:name="_Toc61020388"/>
      <w:bookmarkStart w:id="1526" w:name="_Toc486580196"/>
      <w:bookmarkStart w:id="1527" w:name="_Toc497213872"/>
      <w:bookmarkStart w:id="1528" w:name="_Toc10235468"/>
      <w:bookmarkStart w:id="1529" w:name="_Toc489280007"/>
      <w:bookmarkStart w:id="1530" w:name="_Toc490222641"/>
      <w:r>
        <w:rPr>
          <w:rFonts w:hint="eastAsia" w:ascii="宋体" w:hAnsi="宋体" w:eastAsia="宋体" w:cs="宋体"/>
          <w:sz w:val="28"/>
          <w:szCs w:val="20"/>
        </w:rPr>
        <w:t>23.索赔</w:t>
      </w:r>
      <w:bookmarkEnd w:id="1525"/>
      <w:bookmarkEnd w:id="1526"/>
      <w:bookmarkEnd w:id="1527"/>
      <w:bookmarkEnd w:id="1528"/>
      <w:bookmarkEnd w:id="1529"/>
      <w:bookmarkEnd w:id="1530"/>
    </w:p>
    <w:p w14:paraId="4C431567">
      <w:pPr>
        <w:keepNext/>
        <w:keepLines/>
        <w:spacing w:before="156" w:beforeLines="50" w:after="156" w:afterLines="50" w:line="360" w:lineRule="auto"/>
        <w:outlineLvl w:val="2"/>
        <w:rPr>
          <w:rFonts w:hint="eastAsia" w:ascii="宋体" w:hAnsi="宋体" w:eastAsia="宋体" w:cs="宋体"/>
          <w:sz w:val="24"/>
          <w:szCs w:val="20"/>
        </w:rPr>
      </w:pPr>
      <w:bookmarkStart w:id="1531" w:name="_Toc10235469"/>
      <w:bookmarkStart w:id="1532" w:name="_Toc61020389"/>
      <w:bookmarkStart w:id="1533" w:name="_Toc497213873"/>
      <w:bookmarkStart w:id="1534" w:name="_Toc489280008"/>
      <w:bookmarkStart w:id="1535" w:name="_Toc486580197"/>
      <w:bookmarkStart w:id="1536" w:name="_Toc490222642"/>
      <w:r>
        <w:rPr>
          <w:rFonts w:hint="eastAsia" w:ascii="宋体" w:hAnsi="宋体" w:eastAsia="宋体" w:cs="宋体"/>
          <w:sz w:val="24"/>
          <w:szCs w:val="20"/>
        </w:rPr>
        <w:t>23.1  承包人索赔的提出</w:t>
      </w:r>
      <w:bookmarkEnd w:id="1531"/>
      <w:bookmarkEnd w:id="1532"/>
      <w:bookmarkEnd w:id="1533"/>
      <w:bookmarkEnd w:id="1534"/>
      <w:bookmarkEnd w:id="1535"/>
      <w:bookmarkEnd w:id="1536"/>
    </w:p>
    <w:p w14:paraId="4498FBC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根据合同约定，承包人认为有权得到追加付款和（或）延长工期的，应按以下程序向发包人提出索赔：</w:t>
      </w:r>
    </w:p>
    <w:p w14:paraId="3C00596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7471FF1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（2）承包人应在发出索赔意向通知书后28天内，向监理人正式递交索赔通知书。索赔通知书应详细说明索赔理由以及要求追加的付款金额和（或）延长的工期，并附必要的记录和证明材料；</w:t>
      </w:r>
    </w:p>
    <w:p w14:paraId="5454AE5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（3）索赔事件具有连续影响的，承包人应按合理时间间隔继续递交延续索赔通知，说明连续影响的实际情况和记录，列出累计的追加付款金额和（或）工期延长天数；</w:t>
      </w:r>
    </w:p>
    <w:p w14:paraId="4FB0F91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（4）在索赔事件影响结束后的28天内，承包人应向监理人递交最终索赔通知书，说明最终要求索赔的追加付款金额和延长的工期，并附必要的记录和证明材料。</w:t>
      </w:r>
    </w:p>
    <w:p w14:paraId="535033F4">
      <w:pPr>
        <w:keepNext/>
        <w:keepLines/>
        <w:spacing w:before="156" w:beforeLines="50" w:after="156" w:afterLines="50" w:line="360" w:lineRule="auto"/>
        <w:outlineLvl w:val="2"/>
        <w:rPr>
          <w:rFonts w:hint="eastAsia" w:ascii="宋体" w:hAnsi="宋体" w:eastAsia="宋体" w:cs="宋体"/>
          <w:sz w:val="24"/>
          <w:szCs w:val="20"/>
        </w:rPr>
      </w:pPr>
      <w:bookmarkStart w:id="1537" w:name="_Toc497213874"/>
      <w:bookmarkStart w:id="1538" w:name="_Toc489280009"/>
      <w:bookmarkStart w:id="1539" w:name="_Toc490222643"/>
      <w:bookmarkStart w:id="1540" w:name="_Toc486580198"/>
      <w:bookmarkStart w:id="1541" w:name="_Toc10235470"/>
      <w:bookmarkStart w:id="1542" w:name="_Toc61020390"/>
      <w:r>
        <w:rPr>
          <w:rFonts w:hint="eastAsia" w:ascii="宋体" w:hAnsi="宋体" w:eastAsia="宋体" w:cs="宋体"/>
          <w:sz w:val="24"/>
          <w:szCs w:val="20"/>
        </w:rPr>
        <w:t>23.2  承包人索赔处理程序</w:t>
      </w:r>
      <w:bookmarkEnd w:id="1537"/>
      <w:bookmarkEnd w:id="1538"/>
      <w:bookmarkEnd w:id="1539"/>
      <w:bookmarkEnd w:id="1540"/>
      <w:bookmarkEnd w:id="1541"/>
      <w:bookmarkEnd w:id="1542"/>
    </w:p>
    <w:p w14:paraId="46E6009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（1）监理人收到承包人提交的索赔通知书后，应及时审查索赔通知书的内容、查验承包人的记录和证明材料，必要时监理人可要求承包人提交全部原始记录副本。</w:t>
      </w:r>
    </w:p>
    <w:p w14:paraId="00B2733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（2）监理人应按第3.5款商定或确定追加的付款和（或）延长的工期，并在收到上述索赔通知书或有关索赔的进一步证明材料后的42天内，将索赔处理结果答复承包人。</w:t>
      </w:r>
    </w:p>
    <w:p w14:paraId="58FB835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（3）承包人接受索赔处理结果的，发包人应在作出索赔处理结果答复后28天内完成赔付。承包人不接受索赔处理结果的，按第24条的约定办理。</w:t>
      </w:r>
    </w:p>
    <w:p w14:paraId="43EB53F6">
      <w:pPr>
        <w:keepNext/>
        <w:keepLines/>
        <w:spacing w:before="156" w:beforeLines="50" w:after="156" w:afterLines="50" w:line="360" w:lineRule="auto"/>
        <w:outlineLvl w:val="2"/>
        <w:rPr>
          <w:rFonts w:hint="eastAsia" w:ascii="宋体" w:hAnsi="宋体" w:eastAsia="宋体" w:cs="宋体"/>
          <w:sz w:val="24"/>
          <w:szCs w:val="20"/>
        </w:rPr>
      </w:pPr>
      <w:bookmarkStart w:id="1543" w:name="_Toc486580199"/>
      <w:bookmarkStart w:id="1544" w:name="_Toc489280010"/>
      <w:bookmarkStart w:id="1545" w:name="_Toc61020391"/>
      <w:bookmarkStart w:id="1546" w:name="_Toc10235471"/>
      <w:bookmarkStart w:id="1547" w:name="_Toc490222644"/>
      <w:bookmarkStart w:id="1548" w:name="_Toc497213875"/>
      <w:r>
        <w:rPr>
          <w:rFonts w:hint="eastAsia" w:ascii="宋体" w:hAnsi="宋体" w:eastAsia="宋体" w:cs="宋体"/>
          <w:sz w:val="24"/>
          <w:szCs w:val="20"/>
        </w:rPr>
        <w:t>23.3  承包人提出索赔的期限</w:t>
      </w:r>
      <w:bookmarkEnd w:id="1543"/>
      <w:bookmarkEnd w:id="1544"/>
      <w:bookmarkEnd w:id="1545"/>
      <w:bookmarkEnd w:id="1546"/>
      <w:bookmarkEnd w:id="1547"/>
      <w:bookmarkEnd w:id="1548"/>
    </w:p>
    <w:p w14:paraId="3600ED1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23.3.1  承包人按第17.5款的约定接受了竣工付款证书后，应被认为已无权再提出在合同工程接收证书颁发前所发生的任何索赔。</w:t>
      </w:r>
    </w:p>
    <w:p w14:paraId="5C956F3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23.3.2  承包人按第17.6款的约定提交的最终结清申请单中，只限于提出工程接收证书颁发后发生的索赔。提出索赔的期限自接受最终结清证书时终止。 </w:t>
      </w:r>
    </w:p>
    <w:p w14:paraId="6BD775BA">
      <w:pPr>
        <w:keepNext/>
        <w:keepLines/>
        <w:spacing w:before="156" w:beforeLines="50" w:after="156" w:afterLines="50" w:line="360" w:lineRule="auto"/>
        <w:outlineLvl w:val="2"/>
        <w:rPr>
          <w:rFonts w:hint="eastAsia" w:ascii="宋体" w:hAnsi="宋体" w:eastAsia="宋体" w:cs="宋体"/>
          <w:sz w:val="24"/>
          <w:szCs w:val="20"/>
        </w:rPr>
      </w:pPr>
      <w:bookmarkStart w:id="1549" w:name="_Toc486580200"/>
      <w:bookmarkStart w:id="1550" w:name="_Toc10235472"/>
      <w:bookmarkStart w:id="1551" w:name="_Toc489280011"/>
      <w:bookmarkStart w:id="1552" w:name="_Toc490222645"/>
      <w:bookmarkStart w:id="1553" w:name="_Toc497213876"/>
      <w:bookmarkStart w:id="1554" w:name="_Toc61020392"/>
      <w:r>
        <w:rPr>
          <w:rFonts w:hint="eastAsia" w:ascii="宋体" w:hAnsi="宋体" w:eastAsia="宋体" w:cs="宋体"/>
          <w:sz w:val="24"/>
          <w:szCs w:val="20"/>
        </w:rPr>
        <w:t>23.4  发包人的索赔</w:t>
      </w:r>
      <w:bookmarkEnd w:id="1549"/>
      <w:bookmarkEnd w:id="1550"/>
      <w:bookmarkEnd w:id="1551"/>
      <w:bookmarkEnd w:id="1552"/>
      <w:bookmarkEnd w:id="1553"/>
      <w:bookmarkEnd w:id="1554"/>
    </w:p>
    <w:p w14:paraId="43CC52F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1098757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43DF7A53">
      <w:pPr>
        <w:keepNext/>
        <w:keepLines/>
        <w:spacing w:before="156" w:beforeLines="50" w:after="156" w:afterLines="50" w:line="360" w:lineRule="auto"/>
        <w:outlineLvl w:val="1"/>
        <w:rPr>
          <w:rFonts w:hint="eastAsia" w:ascii="宋体" w:hAnsi="宋体" w:eastAsia="宋体" w:cs="宋体"/>
          <w:sz w:val="28"/>
          <w:szCs w:val="20"/>
        </w:rPr>
      </w:pPr>
      <w:bookmarkStart w:id="1555" w:name="_Toc489280012"/>
      <w:bookmarkStart w:id="1556" w:name="_Toc490222646"/>
      <w:bookmarkStart w:id="1557" w:name="_Toc497213877"/>
      <w:bookmarkStart w:id="1558" w:name="_Toc61020393"/>
      <w:bookmarkStart w:id="1559" w:name="_Toc10235473"/>
      <w:bookmarkStart w:id="1560" w:name="_Toc486580201"/>
      <w:r>
        <w:rPr>
          <w:rFonts w:hint="eastAsia" w:ascii="宋体" w:hAnsi="宋体" w:eastAsia="宋体" w:cs="宋体"/>
          <w:sz w:val="28"/>
          <w:szCs w:val="20"/>
        </w:rPr>
        <w:t>24.争议的解决</w:t>
      </w:r>
      <w:bookmarkEnd w:id="1555"/>
      <w:bookmarkEnd w:id="1556"/>
      <w:bookmarkEnd w:id="1557"/>
      <w:bookmarkEnd w:id="1558"/>
      <w:bookmarkEnd w:id="1559"/>
      <w:bookmarkEnd w:id="1560"/>
    </w:p>
    <w:p w14:paraId="6F64940C">
      <w:pPr>
        <w:keepNext/>
        <w:keepLines/>
        <w:spacing w:before="156" w:beforeLines="50" w:after="156" w:afterLines="50" w:line="360" w:lineRule="auto"/>
        <w:outlineLvl w:val="2"/>
        <w:rPr>
          <w:rFonts w:hint="eastAsia" w:ascii="宋体" w:hAnsi="宋体" w:eastAsia="宋体" w:cs="宋体"/>
          <w:sz w:val="24"/>
          <w:szCs w:val="20"/>
        </w:rPr>
      </w:pPr>
      <w:bookmarkStart w:id="1561" w:name="_Toc486580202"/>
      <w:bookmarkStart w:id="1562" w:name="_Toc10235474"/>
      <w:bookmarkStart w:id="1563" w:name="_Toc490222647"/>
      <w:bookmarkStart w:id="1564" w:name="_Toc497213878"/>
      <w:bookmarkStart w:id="1565" w:name="_Toc61020394"/>
      <w:bookmarkStart w:id="1566" w:name="_Toc489280013"/>
      <w:r>
        <w:rPr>
          <w:rFonts w:hint="eastAsia" w:ascii="宋体" w:hAnsi="宋体" w:eastAsia="宋体" w:cs="宋体"/>
          <w:sz w:val="24"/>
          <w:szCs w:val="20"/>
        </w:rPr>
        <w:t>24.1  争议的解决方式</w:t>
      </w:r>
      <w:bookmarkEnd w:id="1561"/>
      <w:bookmarkEnd w:id="1562"/>
      <w:bookmarkEnd w:id="1563"/>
      <w:bookmarkEnd w:id="1564"/>
      <w:bookmarkEnd w:id="1565"/>
      <w:bookmarkEnd w:id="1566"/>
    </w:p>
    <w:p w14:paraId="00907EA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4257B4E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（1）向约定的仲裁委员会申请仲裁；</w:t>
      </w:r>
    </w:p>
    <w:p w14:paraId="39C3821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（2）向有管辖权的人民法院提起诉讼。</w:t>
      </w:r>
    </w:p>
    <w:p w14:paraId="1C61B96B">
      <w:pPr>
        <w:keepNext/>
        <w:keepLines/>
        <w:spacing w:before="156" w:beforeLines="50" w:after="156" w:afterLines="50" w:line="360" w:lineRule="auto"/>
        <w:outlineLvl w:val="2"/>
        <w:rPr>
          <w:rFonts w:hint="eastAsia" w:ascii="宋体" w:hAnsi="宋体" w:eastAsia="宋体" w:cs="宋体"/>
          <w:sz w:val="24"/>
          <w:szCs w:val="20"/>
        </w:rPr>
      </w:pPr>
      <w:bookmarkStart w:id="1567" w:name="_Toc489280014"/>
      <w:bookmarkStart w:id="1568" w:name="_Toc61020395"/>
      <w:bookmarkStart w:id="1569" w:name="_Toc10235475"/>
      <w:bookmarkStart w:id="1570" w:name="_Toc486580203"/>
      <w:bookmarkStart w:id="1571" w:name="_Toc497213879"/>
      <w:bookmarkStart w:id="1572" w:name="_Toc490222648"/>
      <w:r>
        <w:rPr>
          <w:rFonts w:hint="eastAsia" w:ascii="宋体" w:hAnsi="宋体" w:eastAsia="宋体" w:cs="宋体"/>
          <w:sz w:val="24"/>
          <w:szCs w:val="20"/>
        </w:rPr>
        <w:t>24.2  友好解决</w:t>
      </w:r>
      <w:bookmarkEnd w:id="1567"/>
      <w:bookmarkEnd w:id="1568"/>
      <w:bookmarkEnd w:id="1569"/>
      <w:bookmarkEnd w:id="1570"/>
      <w:bookmarkEnd w:id="1571"/>
      <w:bookmarkEnd w:id="1572"/>
    </w:p>
    <w:p w14:paraId="6C12FF4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在提请争议评审、仲裁或者诉讼前，以及在争议评审、仲裁或诉讼过程中，发包人和承包人均可共同努力友好协商解决争议。</w:t>
      </w:r>
    </w:p>
    <w:p w14:paraId="2FD85CF3">
      <w:pPr>
        <w:keepNext/>
        <w:keepLines/>
        <w:spacing w:before="156" w:beforeLines="50" w:after="156" w:afterLines="50" w:line="360" w:lineRule="auto"/>
        <w:outlineLvl w:val="2"/>
        <w:rPr>
          <w:rFonts w:hint="eastAsia" w:ascii="宋体" w:hAnsi="宋体" w:eastAsia="宋体" w:cs="宋体"/>
          <w:sz w:val="24"/>
          <w:szCs w:val="20"/>
        </w:rPr>
      </w:pPr>
      <w:bookmarkStart w:id="1573" w:name="_Toc10235476"/>
      <w:bookmarkStart w:id="1574" w:name="_Toc61020396"/>
      <w:bookmarkStart w:id="1575" w:name="_Toc489280015"/>
      <w:bookmarkStart w:id="1576" w:name="_Toc490222649"/>
      <w:bookmarkStart w:id="1577" w:name="_Toc486580204"/>
      <w:bookmarkStart w:id="1578" w:name="_Toc497213880"/>
      <w:r>
        <w:rPr>
          <w:rFonts w:hint="eastAsia" w:ascii="宋体" w:hAnsi="宋体" w:eastAsia="宋体" w:cs="宋体"/>
          <w:sz w:val="24"/>
          <w:szCs w:val="20"/>
        </w:rPr>
        <w:t>24.3  争议评审</w:t>
      </w:r>
      <w:bookmarkEnd w:id="1573"/>
      <w:bookmarkEnd w:id="1574"/>
      <w:bookmarkEnd w:id="1575"/>
      <w:bookmarkEnd w:id="1576"/>
      <w:bookmarkEnd w:id="1577"/>
      <w:bookmarkEnd w:id="1578"/>
    </w:p>
    <w:p w14:paraId="1A72B06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24.3.1  采用争议评审的，发包人和承包人应在开工日后的28天内或在争议发生后，协商成立争议评审组。争议评审组由有合同管理和工程实践经验的专家组成。</w:t>
      </w:r>
    </w:p>
    <w:p w14:paraId="3CE6C00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24.3.2  合同双方的争议，应首先由申请人向争议评审组提交一份详细的评审申请报告，并附必要的文件、图纸和证明材料，申请人还应将上述报告的副本同时提交给被申请人和监理人。</w:t>
      </w:r>
    </w:p>
    <w:p w14:paraId="7B62A1F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24.3.3  被申请人在收到申请人评审申请报告副本后的28天内，向争议评审组提交一份答辩报告，并附证明材料。被申请人应将答辩报告的副本同时提交给申请人和监理人。</w:t>
      </w:r>
    </w:p>
    <w:p w14:paraId="11ED5D0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24.3.4  争议评审组在收到合同双方报告后的14天内，邀请双方代表和有关人员在合同约定的期限内举行调查会，向双方调查争议细节；必要时争议评审组可要求双方进一步提供补充材料。举行调查会的期限见合同条款专用部分。</w:t>
      </w:r>
    </w:p>
    <w:p w14:paraId="5A1586A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24.3.5  在调查会结束后的14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14:paraId="06DC146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24.3.6  发包人和承包人接受评审意见的，由监理人根据评审意见拟定执行协议，经争议双方签字后作为合同的补充文件，并遵照执行。</w:t>
      </w:r>
    </w:p>
    <w:p w14:paraId="44079BCB">
      <w:pPr>
        <w:spacing w:line="360" w:lineRule="auto"/>
        <w:ind w:firstLine="420" w:firstLineChars="200"/>
        <w:rPr>
          <w:rFonts w:hint="eastAsia" w:ascii="宋体" w:hAnsi="宋体" w:eastAsia="宋体" w:cs="宋体"/>
        </w:rPr>
      </w:pPr>
      <w:r>
        <w:rPr>
          <w:rFonts w:hint="eastAsia" w:ascii="宋体" w:hAnsi="宋体" w:eastAsia="宋体" w:cs="宋体"/>
          <w:szCs w:val="21"/>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72F0958E">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12A66E7C">
      <w:pPr>
        <w:jc w:val="center"/>
        <w:rPr>
          <w:rFonts w:hint="eastAsia" w:ascii="宋体" w:hAnsi="宋体" w:eastAsia="宋体" w:cs="宋体"/>
          <w:b/>
          <w:sz w:val="28"/>
          <w:szCs w:val="28"/>
        </w:rPr>
      </w:pPr>
      <w:r>
        <w:rPr>
          <w:rFonts w:hint="eastAsia" w:ascii="宋体" w:hAnsi="宋体" w:eastAsia="宋体" w:cs="宋体"/>
          <w:b/>
          <w:sz w:val="28"/>
          <w:szCs w:val="28"/>
        </w:rPr>
        <w:t>第三部分 合同条款专用部分</w:t>
      </w:r>
      <w:bookmarkEnd w:id="601"/>
      <w:bookmarkEnd w:id="602"/>
    </w:p>
    <w:p w14:paraId="15E9554E">
      <w:pPr>
        <w:spacing w:line="360" w:lineRule="auto"/>
        <w:jc w:val="center"/>
        <w:rPr>
          <w:rFonts w:hint="eastAsia" w:ascii="宋体" w:hAnsi="宋体" w:eastAsia="宋体" w:cs="宋体"/>
          <w:sz w:val="28"/>
          <w:szCs w:val="28"/>
        </w:rPr>
      </w:pPr>
    </w:p>
    <w:p w14:paraId="337A450A">
      <w:pPr>
        <w:pStyle w:val="92"/>
        <w:spacing w:before="156" w:after="156"/>
        <w:outlineLvl w:val="0"/>
        <w:rPr>
          <w:rFonts w:hint="eastAsia" w:ascii="宋体" w:hAnsi="宋体" w:eastAsia="宋体" w:cs="宋体"/>
        </w:rPr>
      </w:pPr>
      <w:bookmarkStart w:id="1579" w:name="_Toc486580374"/>
      <w:bookmarkStart w:id="1580" w:name="_Toc497214043"/>
      <w:bookmarkStart w:id="1581" w:name="_Toc489280180"/>
      <w:bookmarkStart w:id="1582" w:name="_Toc490331665"/>
      <w:bookmarkStart w:id="1583" w:name="_Toc135239894"/>
      <w:bookmarkStart w:id="1584" w:name="_Toc485323148"/>
      <w:bookmarkStart w:id="1585" w:name="_Toc22031668"/>
      <w:r>
        <w:rPr>
          <w:rFonts w:hint="eastAsia" w:ascii="宋体" w:hAnsi="宋体" w:eastAsia="宋体" w:cs="宋体"/>
        </w:rPr>
        <w:t>1.一般约定</w:t>
      </w:r>
      <w:bookmarkEnd w:id="1579"/>
      <w:bookmarkEnd w:id="1580"/>
      <w:bookmarkEnd w:id="1581"/>
      <w:bookmarkEnd w:id="1582"/>
      <w:bookmarkEnd w:id="1583"/>
      <w:bookmarkEnd w:id="1584"/>
      <w:bookmarkEnd w:id="1585"/>
    </w:p>
    <w:p w14:paraId="74B750D8">
      <w:pPr>
        <w:pStyle w:val="94"/>
        <w:spacing w:before="156" w:after="156"/>
        <w:outlineLvl w:val="1"/>
        <w:rPr>
          <w:rFonts w:hint="eastAsia" w:ascii="宋体" w:hAnsi="宋体" w:eastAsia="宋体" w:cs="宋体"/>
        </w:rPr>
      </w:pPr>
      <w:bookmarkStart w:id="1586" w:name="_Toc497214044"/>
      <w:bookmarkStart w:id="1587" w:name="_Toc490331666"/>
      <w:bookmarkStart w:id="1588" w:name="_Toc485323149"/>
      <w:bookmarkStart w:id="1589" w:name="_Toc486580375"/>
      <w:bookmarkStart w:id="1590" w:name="_Toc135239895"/>
      <w:bookmarkStart w:id="1591" w:name="_Toc22031669"/>
      <w:bookmarkStart w:id="1592" w:name="_Toc489280181"/>
      <w:r>
        <w:rPr>
          <w:rFonts w:hint="eastAsia" w:ascii="宋体" w:hAnsi="宋体" w:eastAsia="宋体" w:cs="宋体"/>
        </w:rPr>
        <w:t>1.1  词语定义</w:t>
      </w:r>
      <w:bookmarkEnd w:id="1586"/>
      <w:bookmarkEnd w:id="1587"/>
      <w:bookmarkEnd w:id="1588"/>
      <w:bookmarkEnd w:id="1589"/>
      <w:bookmarkEnd w:id="1590"/>
      <w:bookmarkEnd w:id="1591"/>
      <w:bookmarkEnd w:id="1592"/>
    </w:p>
    <w:p w14:paraId="37A561D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1.1.1  合同当事人和人员</w:t>
      </w:r>
    </w:p>
    <w:p w14:paraId="5EA80445">
      <w:pPr>
        <w:spacing w:line="360" w:lineRule="auto"/>
        <w:ind w:firstLine="630" w:firstLineChars="300"/>
        <w:jc w:val="left"/>
        <w:rPr>
          <w:rFonts w:hint="eastAsia" w:ascii="宋体" w:hAnsi="宋体" w:eastAsia="宋体" w:cs="宋体"/>
          <w:szCs w:val="21"/>
        </w:rPr>
      </w:pPr>
      <w:r>
        <w:rPr>
          <w:rFonts w:hint="eastAsia" w:ascii="宋体" w:hAnsi="宋体" w:eastAsia="宋体" w:cs="宋体"/>
          <w:szCs w:val="21"/>
        </w:rPr>
        <w:t>1.1.1.1  发包人：</w:t>
      </w:r>
      <w:r>
        <w:rPr>
          <w:rFonts w:hint="eastAsia" w:ascii="宋体" w:hAnsi="宋体" w:eastAsia="宋体" w:cs="宋体"/>
          <w:szCs w:val="21"/>
          <w:u w:val="single"/>
        </w:rPr>
        <w:t xml:space="preserve"> 北京市海淀区人民政府永定路街道办事处 </w:t>
      </w:r>
    </w:p>
    <w:p w14:paraId="6EB8B29D">
      <w:pPr>
        <w:spacing w:line="360" w:lineRule="auto"/>
        <w:ind w:firstLine="630" w:firstLineChars="300"/>
        <w:jc w:val="left"/>
        <w:rPr>
          <w:rFonts w:hint="eastAsia" w:ascii="宋体" w:hAnsi="宋体" w:eastAsia="宋体" w:cs="宋体"/>
          <w:szCs w:val="21"/>
          <w:u w:val="single"/>
        </w:rPr>
      </w:pPr>
      <w:r>
        <w:rPr>
          <w:rFonts w:hint="eastAsia" w:ascii="宋体" w:hAnsi="宋体" w:eastAsia="宋体" w:cs="宋体"/>
          <w:szCs w:val="21"/>
        </w:rPr>
        <w:t>1.1.1.2  承包人：</w:t>
      </w:r>
      <w:r>
        <w:rPr>
          <w:rFonts w:hint="eastAsia" w:ascii="宋体" w:hAnsi="宋体" w:eastAsia="宋体" w:cs="宋体"/>
          <w:szCs w:val="21"/>
          <w:u w:val="single"/>
        </w:rPr>
        <w:t xml:space="preserve">                       </w:t>
      </w:r>
    </w:p>
    <w:p w14:paraId="3EA93249">
      <w:pPr>
        <w:spacing w:line="360" w:lineRule="auto"/>
        <w:ind w:firstLine="630" w:firstLineChars="300"/>
        <w:jc w:val="left"/>
        <w:rPr>
          <w:rFonts w:hint="eastAsia" w:ascii="宋体" w:hAnsi="宋体" w:eastAsia="宋体" w:cs="宋体"/>
          <w:szCs w:val="21"/>
          <w:u w:val="single"/>
        </w:rPr>
      </w:pPr>
      <w:r>
        <w:rPr>
          <w:rFonts w:hint="eastAsia" w:ascii="宋体" w:hAnsi="宋体" w:eastAsia="宋体" w:cs="宋体"/>
          <w:szCs w:val="21"/>
        </w:rPr>
        <w:t>1.1.1.3  监理人：</w:t>
      </w:r>
      <w:r>
        <w:rPr>
          <w:rFonts w:hint="eastAsia" w:ascii="宋体" w:hAnsi="宋体" w:eastAsia="宋体" w:cs="宋体"/>
          <w:szCs w:val="21"/>
          <w:u w:val="single"/>
        </w:rPr>
        <w:t xml:space="preserve">                                   </w:t>
      </w:r>
    </w:p>
    <w:p w14:paraId="7BFB0118">
      <w:pPr>
        <w:spacing w:line="360" w:lineRule="auto"/>
        <w:ind w:firstLine="630" w:firstLineChars="300"/>
        <w:jc w:val="left"/>
        <w:rPr>
          <w:rFonts w:hint="eastAsia" w:ascii="宋体" w:hAnsi="宋体" w:eastAsia="宋体" w:cs="宋体"/>
          <w:szCs w:val="21"/>
        </w:rPr>
      </w:pPr>
      <w:r>
        <w:rPr>
          <w:rFonts w:hint="eastAsia" w:ascii="宋体" w:hAnsi="宋体" w:eastAsia="宋体" w:cs="宋体"/>
          <w:szCs w:val="21"/>
        </w:rPr>
        <w:t>1.1.1.4  发包人代表：</w:t>
      </w:r>
    </w:p>
    <w:p w14:paraId="6765E91B">
      <w:pPr>
        <w:spacing w:line="360" w:lineRule="auto"/>
        <w:ind w:firstLine="1575" w:firstLineChars="750"/>
        <w:jc w:val="left"/>
        <w:rPr>
          <w:rFonts w:hint="eastAsia" w:ascii="宋体" w:hAnsi="宋体" w:eastAsia="宋体" w:cs="宋体"/>
          <w:szCs w:val="21"/>
        </w:rPr>
      </w:pPr>
      <w:r>
        <w:rPr>
          <w:rFonts w:hint="eastAsia" w:ascii="宋体" w:hAnsi="宋体" w:eastAsia="宋体" w:cs="宋体"/>
          <w:szCs w:val="21"/>
        </w:rPr>
        <w:t>姓名：</w:t>
      </w:r>
      <w:r>
        <w:rPr>
          <w:rFonts w:hint="eastAsia" w:ascii="宋体" w:hAnsi="宋体" w:eastAsia="宋体" w:cs="宋体"/>
          <w:szCs w:val="21"/>
          <w:u w:val="single"/>
        </w:rPr>
        <w:t xml:space="preserve">                   </w:t>
      </w:r>
    </w:p>
    <w:p w14:paraId="4BACA685">
      <w:pPr>
        <w:spacing w:line="360" w:lineRule="auto"/>
        <w:ind w:firstLine="1575" w:firstLineChars="750"/>
        <w:jc w:val="left"/>
        <w:rPr>
          <w:rFonts w:hint="eastAsia" w:ascii="宋体" w:hAnsi="宋体" w:eastAsia="宋体" w:cs="宋体"/>
          <w:szCs w:val="21"/>
        </w:rPr>
      </w:pPr>
      <w:r>
        <w:rPr>
          <w:rFonts w:hint="eastAsia" w:ascii="宋体" w:hAnsi="宋体" w:eastAsia="宋体" w:cs="宋体"/>
          <w:szCs w:val="21"/>
        </w:rPr>
        <w:t>联系电话：</w:t>
      </w:r>
      <w:r>
        <w:rPr>
          <w:rFonts w:hint="eastAsia" w:ascii="宋体" w:hAnsi="宋体" w:eastAsia="宋体" w:cs="宋体"/>
          <w:szCs w:val="21"/>
          <w:u w:val="single"/>
        </w:rPr>
        <w:t xml:space="preserve">                    </w:t>
      </w:r>
    </w:p>
    <w:p w14:paraId="397D23DE">
      <w:pPr>
        <w:spacing w:line="360" w:lineRule="auto"/>
        <w:ind w:firstLine="1575" w:firstLineChars="750"/>
        <w:jc w:val="left"/>
        <w:rPr>
          <w:rFonts w:hint="eastAsia" w:ascii="宋体" w:hAnsi="宋体" w:eastAsia="宋体" w:cs="宋体"/>
          <w:szCs w:val="21"/>
        </w:rPr>
      </w:pPr>
      <w:r>
        <w:rPr>
          <w:rFonts w:hint="eastAsia" w:ascii="宋体" w:hAnsi="宋体" w:eastAsia="宋体" w:cs="宋体"/>
          <w:szCs w:val="21"/>
        </w:rPr>
        <w:t>通信地址：</w:t>
      </w:r>
      <w:r>
        <w:rPr>
          <w:rFonts w:hint="eastAsia" w:ascii="宋体" w:hAnsi="宋体" w:eastAsia="宋体" w:cs="宋体"/>
          <w:szCs w:val="21"/>
          <w:u w:val="single"/>
        </w:rPr>
        <w:t xml:space="preserve">                       </w:t>
      </w:r>
    </w:p>
    <w:p w14:paraId="10D5D68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1.1.2  工程和设备</w:t>
      </w:r>
    </w:p>
    <w:p w14:paraId="76942C45">
      <w:pPr>
        <w:spacing w:line="360" w:lineRule="auto"/>
        <w:ind w:firstLine="630" w:firstLineChars="300"/>
        <w:jc w:val="left"/>
        <w:rPr>
          <w:rFonts w:hint="eastAsia" w:ascii="宋体" w:hAnsi="宋体" w:eastAsia="宋体" w:cs="宋体"/>
          <w:szCs w:val="21"/>
          <w:u w:val="single"/>
        </w:rPr>
      </w:pPr>
      <w:r>
        <w:rPr>
          <w:rFonts w:hint="eastAsia" w:ascii="宋体" w:hAnsi="宋体" w:eastAsia="宋体" w:cs="宋体"/>
          <w:szCs w:val="21"/>
        </w:rPr>
        <w:t>1.1.2.1  永久工程：</w:t>
      </w:r>
      <w:r>
        <w:rPr>
          <w:rFonts w:hint="eastAsia" w:ascii="宋体" w:hAnsi="宋体" w:eastAsia="宋体" w:cs="宋体"/>
          <w:szCs w:val="21"/>
          <w:u w:val="single"/>
        </w:rPr>
        <w:t xml:space="preserve">   道路工程等    </w:t>
      </w:r>
    </w:p>
    <w:p w14:paraId="2D733F7D">
      <w:pPr>
        <w:spacing w:line="360" w:lineRule="auto"/>
        <w:ind w:firstLine="630" w:firstLineChars="300"/>
        <w:jc w:val="left"/>
        <w:rPr>
          <w:rFonts w:hint="eastAsia" w:ascii="宋体" w:hAnsi="宋体" w:eastAsia="宋体" w:cs="宋体"/>
          <w:szCs w:val="21"/>
        </w:rPr>
      </w:pPr>
      <w:r>
        <w:rPr>
          <w:rFonts w:hint="eastAsia" w:ascii="宋体" w:hAnsi="宋体" w:eastAsia="宋体" w:cs="宋体"/>
          <w:szCs w:val="21"/>
        </w:rPr>
        <w:t>1.1.2.2  临时工程：</w:t>
      </w:r>
      <w:r>
        <w:rPr>
          <w:rFonts w:hint="eastAsia" w:ascii="宋体" w:hAnsi="宋体" w:eastAsia="宋体" w:cs="宋体"/>
          <w:szCs w:val="21"/>
          <w:u w:val="single"/>
        </w:rPr>
        <w:t xml:space="preserve">  临时性道路、施工供水供电工程、施工照明工程等</w:t>
      </w:r>
    </w:p>
    <w:p w14:paraId="395771F5">
      <w:pPr>
        <w:spacing w:line="360" w:lineRule="auto"/>
        <w:ind w:firstLine="630" w:firstLineChars="300"/>
        <w:jc w:val="left"/>
        <w:rPr>
          <w:rFonts w:hint="eastAsia" w:ascii="宋体" w:hAnsi="宋体" w:eastAsia="宋体" w:cs="宋体"/>
          <w:szCs w:val="21"/>
        </w:rPr>
      </w:pPr>
      <w:r>
        <w:rPr>
          <w:rFonts w:hint="eastAsia" w:ascii="宋体" w:hAnsi="宋体" w:eastAsia="宋体" w:cs="宋体"/>
          <w:szCs w:val="21"/>
        </w:rPr>
        <w:t>1.1.2.3  永久占地：</w:t>
      </w:r>
      <w:r>
        <w:rPr>
          <w:rFonts w:hint="eastAsia" w:ascii="宋体" w:hAnsi="宋体" w:eastAsia="宋体" w:cs="宋体"/>
          <w:szCs w:val="21"/>
          <w:u w:val="single"/>
        </w:rPr>
        <w:t xml:space="preserve">  为实施合同工程需永久占用的土地  </w:t>
      </w:r>
    </w:p>
    <w:p w14:paraId="6ABB8BC8">
      <w:pPr>
        <w:spacing w:line="360" w:lineRule="auto"/>
        <w:ind w:firstLine="630" w:firstLineChars="300"/>
        <w:jc w:val="left"/>
        <w:rPr>
          <w:rFonts w:hint="eastAsia" w:ascii="宋体" w:hAnsi="宋体" w:eastAsia="宋体" w:cs="宋体"/>
          <w:szCs w:val="21"/>
        </w:rPr>
      </w:pPr>
      <w:r>
        <w:rPr>
          <w:rFonts w:hint="eastAsia" w:ascii="宋体" w:hAnsi="宋体" w:eastAsia="宋体" w:cs="宋体"/>
          <w:szCs w:val="21"/>
        </w:rPr>
        <w:t>1.1.2.4  临时占地：</w:t>
      </w:r>
      <w:r>
        <w:rPr>
          <w:rFonts w:hint="eastAsia" w:ascii="宋体" w:hAnsi="宋体" w:eastAsia="宋体" w:cs="宋体"/>
          <w:szCs w:val="21"/>
          <w:u w:val="single"/>
        </w:rPr>
        <w:t xml:space="preserve">  为实施合同工程需临时占用的土地  </w:t>
      </w:r>
    </w:p>
    <w:p w14:paraId="37EE784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1.1.3  日期</w:t>
      </w:r>
    </w:p>
    <w:p w14:paraId="528A43D1">
      <w:pPr>
        <w:spacing w:line="360" w:lineRule="auto"/>
        <w:ind w:firstLine="630" w:firstLineChars="300"/>
        <w:jc w:val="left"/>
        <w:rPr>
          <w:rFonts w:hint="eastAsia" w:ascii="宋体" w:hAnsi="宋体" w:eastAsia="宋体" w:cs="宋体"/>
          <w:szCs w:val="21"/>
        </w:rPr>
      </w:pPr>
      <w:r>
        <w:rPr>
          <w:rFonts w:hint="eastAsia" w:ascii="宋体" w:hAnsi="宋体" w:eastAsia="宋体" w:cs="宋体"/>
          <w:szCs w:val="21"/>
        </w:rPr>
        <w:t>1.1.3.1  缺陷责任期期限：</w:t>
      </w:r>
      <w:r>
        <w:rPr>
          <w:rFonts w:hint="eastAsia" w:ascii="宋体" w:hAnsi="宋体" w:eastAsia="宋体" w:cs="宋体"/>
          <w:szCs w:val="21"/>
          <w:u w:val="single"/>
        </w:rPr>
        <w:t xml:space="preserve">  道路工程竣工验收后12个月</w:t>
      </w:r>
      <w:r>
        <w:rPr>
          <w:rFonts w:hint="eastAsia" w:ascii="宋体" w:hAnsi="宋体" w:eastAsia="宋体" w:cs="宋体"/>
          <w:szCs w:val="21"/>
        </w:rPr>
        <w:t>。</w:t>
      </w:r>
    </w:p>
    <w:p w14:paraId="1D588FF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1.1.4  其他需要补充的内容</w:t>
      </w:r>
    </w:p>
    <w:p w14:paraId="6997541D">
      <w:pPr>
        <w:spacing w:line="360" w:lineRule="auto"/>
        <w:ind w:left="315" w:leftChars="150" w:firstLine="109" w:firstLineChars="52"/>
        <w:rPr>
          <w:rFonts w:hint="eastAsia" w:ascii="宋体" w:hAnsi="宋体" w:eastAsia="宋体" w:cs="宋体"/>
          <w:szCs w:val="21"/>
        </w:rPr>
      </w:pPr>
      <w:r>
        <w:rPr>
          <w:rFonts w:hint="eastAsia" w:ascii="宋体" w:hAnsi="宋体" w:eastAsia="宋体" w:cs="宋体"/>
          <w:szCs w:val="21"/>
          <w:u w:val="single"/>
        </w:rPr>
        <w:t>保修期：是根据现行有关法律规定，在合同条款第19.7款中约定的由承包人负责对合同约定的保修范围内发生的质量问题履行保修义务并对造成的损失承担赔偿责任的期限。</w:t>
      </w:r>
    </w:p>
    <w:p w14:paraId="6D82B985">
      <w:pPr>
        <w:pStyle w:val="94"/>
        <w:spacing w:before="156" w:after="156"/>
        <w:outlineLvl w:val="1"/>
        <w:rPr>
          <w:rFonts w:hint="eastAsia" w:ascii="宋体" w:hAnsi="宋体" w:eastAsia="宋体" w:cs="宋体"/>
        </w:rPr>
      </w:pPr>
      <w:bookmarkStart w:id="1593" w:name="_Toc485323150"/>
      <w:bookmarkStart w:id="1594" w:name="_Toc486580376"/>
      <w:bookmarkStart w:id="1595" w:name="_Toc497214045"/>
      <w:bookmarkStart w:id="1596" w:name="_Toc135239896"/>
      <w:bookmarkStart w:id="1597" w:name="_Toc22031670"/>
      <w:bookmarkStart w:id="1598" w:name="_Toc490331667"/>
      <w:bookmarkStart w:id="1599" w:name="_Toc489280182"/>
      <w:r>
        <w:rPr>
          <w:rFonts w:hint="eastAsia" w:ascii="宋体" w:hAnsi="宋体" w:eastAsia="宋体" w:cs="宋体"/>
        </w:rPr>
        <w:t>1.2  合同文件的优先顺序</w:t>
      </w:r>
      <w:bookmarkEnd w:id="1593"/>
      <w:bookmarkEnd w:id="1594"/>
      <w:bookmarkEnd w:id="1595"/>
      <w:bookmarkEnd w:id="1596"/>
      <w:bookmarkEnd w:id="1597"/>
      <w:bookmarkEnd w:id="1598"/>
      <w:bookmarkEnd w:id="1599"/>
    </w:p>
    <w:p w14:paraId="4B140D1D">
      <w:pPr>
        <w:spacing w:line="360" w:lineRule="auto"/>
        <w:ind w:firstLine="482"/>
        <w:rPr>
          <w:rFonts w:hint="eastAsia" w:ascii="宋体" w:hAnsi="宋体" w:eastAsia="宋体" w:cs="宋体"/>
          <w:szCs w:val="21"/>
        </w:rPr>
      </w:pPr>
      <w:r>
        <w:rPr>
          <w:rFonts w:hint="eastAsia" w:ascii="宋体" w:hAnsi="宋体" w:eastAsia="宋体" w:cs="宋体"/>
          <w:szCs w:val="21"/>
        </w:rPr>
        <w:t>合同文件的优先解释顺序如下：</w:t>
      </w:r>
    </w:p>
    <w:p w14:paraId="5B47FDA8">
      <w:pPr>
        <w:spacing w:line="360" w:lineRule="auto"/>
        <w:ind w:firstLine="482"/>
        <w:rPr>
          <w:rFonts w:hint="eastAsia" w:ascii="宋体" w:hAnsi="宋体" w:eastAsia="宋体" w:cs="宋体"/>
          <w:szCs w:val="21"/>
        </w:rPr>
      </w:pPr>
      <w:r>
        <w:rPr>
          <w:rFonts w:hint="eastAsia" w:ascii="宋体" w:hAnsi="宋体" w:eastAsia="宋体" w:cs="宋体"/>
          <w:szCs w:val="21"/>
        </w:rPr>
        <w:t>（1）合同协议书；</w:t>
      </w:r>
    </w:p>
    <w:p w14:paraId="73DAF3FD">
      <w:pPr>
        <w:spacing w:line="360" w:lineRule="auto"/>
        <w:ind w:firstLine="482"/>
        <w:rPr>
          <w:rFonts w:hint="eastAsia" w:ascii="宋体" w:hAnsi="宋体" w:eastAsia="宋体" w:cs="宋体"/>
          <w:szCs w:val="21"/>
        </w:rPr>
      </w:pPr>
      <w:r>
        <w:rPr>
          <w:rFonts w:hint="eastAsia" w:ascii="宋体" w:hAnsi="宋体" w:eastAsia="宋体" w:cs="宋体"/>
          <w:szCs w:val="21"/>
        </w:rPr>
        <w:t>（2）中标通知书；</w:t>
      </w:r>
    </w:p>
    <w:p w14:paraId="31CF2892">
      <w:pPr>
        <w:spacing w:line="360" w:lineRule="auto"/>
        <w:ind w:firstLine="482"/>
        <w:rPr>
          <w:rFonts w:hint="eastAsia" w:ascii="宋体" w:hAnsi="宋体" w:eastAsia="宋体" w:cs="宋体"/>
          <w:szCs w:val="21"/>
        </w:rPr>
      </w:pPr>
      <w:r>
        <w:rPr>
          <w:rFonts w:hint="eastAsia" w:ascii="宋体" w:hAnsi="宋体" w:eastAsia="宋体" w:cs="宋体"/>
          <w:szCs w:val="21"/>
        </w:rPr>
        <w:t>（3）投标函及投标函附录；</w:t>
      </w:r>
    </w:p>
    <w:p w14:paraId="73544606">
      <w:pPr>
        <w:spacing w:line="360" w:lineRule="auto"/>
        <w:ind w:firstLine="482"/>
        <w:rPr>
          <w:rFonts w:hint="eastAsia" w:ascii="宋体" w:hAnsi="宋体" w:eastAsia="宋体" w:cs="宋体"/>
          <w:szCs w:val="21"/>
        </w:rPr>
      </w:pPr>
      <w:r>
        <w:rPr>
          <w:rFonts w:hint="eastAsia" w:ascii="宋体" w:hAnsi="宋体" w:eastAsia="宋体" w:cs="宋体"/>
          <w:szCs w:val="21"/>
        </w:rPr>
        <w:t>（4）合同条款专用部分；</w:t>
      </w:r>
    </w:p>
    <w:p w14:paraId="030F3DFC">
      <w:pPr>
        <w:spacing w:line="360" w:lineRule="auto"/>
        <w:ind w:firstLine="482"/>
        <w:rPr>
          <w:rFonts w:hint="eastAsia" w:ascii="宋体" w:hAnsi="宋体" w:eastAsia="宋体" w:cs="宋体"/>
          <w:szCs w:val="21"/>
        </w:rPr>
      </w:pPr>
      <w:r>
        <w:rPr>
          <w:rFonts w:hint="eastAsia" w:ascii="宋体" w:hAnsi="宋体" w:eastAsia="宋体" w:cs="宋体"/>
          <w:szCs w:val="21"/>
        </w:rPr>
        <w:t>（5）合同条款通用部分；</w:t>
      </w:r>
    </w:p>
    <w:p w14:paraId="7AC98BF0">
      <w:pPr>
        <w:spacing w:line="360" w:lineRule="auto"/>
        <w:ind w:firstLine="482"/>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u w:val="single"/>
        </w:rPr>
        <w:t>已标价工程量清单；</w:t>
      </w:r>
    </w:p>
    <w:p w14:paraId="210A7A84">
      <w:pPr>
        <w:spacing w:line="360" w:lineRule="auto"/>
        <w:ind w:firstLine="482"/>
        <w:rPr>
          <w:rFonts w:hint="eastAsia" w:ascii="宋体" w:hAnsi="宋体" w:eastAsia="宋体" w:cs="宋体"/>
          <w:szCs w:val="21"/>
        </w:rPr>
      </w:pPr>
      <w:r>
        <w:rPr>
          <w:rFonts w:hint="eastAsia" w:ascii="宋体" w:hAnsi="宋体" w:eastAsia="宋体" w:cs="宋体"/>
          <w:szCs w:val="21"/>
        </w:rPr>
        <w:t>（7）</w:t>
      </w:r>
      <w:r>
        <w:rPr>
          <w:rFonts w:hint="eastAsia" w:ascii="宋体" w:hAnsi="宋体" w:eastAsia="宋体" w:cs="宋体"/>
          <w:szCs w:val="21"/>
          <w:u w:val="single"/>
        </w:rPr>
        <w:t>技术标准和要求</w:t>
      </w:r>
      <w:r>
        <w:rPr>
          <w:rFonts w:hint="eastAsia" w:ascii="宋体" w:hAnsi="宋体" w:eastAsia="宋体" w:cs="宋体"/>
        </w:rPr>
        <w:t>；</w:t>
      </w:r>
    </w:p>
    <w:p w14:paraId="2A0ADBF7">
      <w:pPr>
        <w:spacing w:line="360" w:lineRule="auto"/>
        <w:ind w:firstLine="482"/>
        <w:rPr>
          <w:rFonts w:hint="eastAsia" w:ascii="宋体" w:hAnsi="宋体" w:eastAsia="宋体" w:cs="宋体"/>
        </w:rPr>
      </w:pPr>
      <w:r>
        <w:rPr>
          <w:rFonts w:hint="eastAsia" w:ascii="宋体" w:hAnsi="宋体" w:eastAsia="宋体" w:cs="宋体"/>
          <w:szCs w:val="21"/>
        </w:rPr>
        <w:t>（8）</w:t>
      </w:r>
      <w:r>
        <w:rPr>
          <w:rFonts w:hint="eastAsia" w:ascii="宋体" w:hAnsi="宋体" w:eastAsia="宋体" w:cs="宋体"/>
          <w:u w:val="single"/>
        </w:rPr>
        <w:t>图纸</w:t>
      </w:r>
      <w:r>
        <w:rPr>
          <w:rFonts w:hint="eastAsia" w:ascii="宋体" w:hAnsi="宋体" w:eastAsia="宋体" w:cs="宋体"/>
        </w:rPr>
        <w:t xml:space="preserve"> ；</w:t>
      </w:r>
    </w:p>
    <w:p w14:paraId="7DA56D8A">
      <w:pPr>
        <w:spacing w:line="360" w:lineRule="auto"/>
        <w:ind w:firstLine="482"/>
        <w:rPr>
          <w:rFonts w:hint="eastAsia" w:ascii="宋体" w:hAnsi="宋体" w:eastAsia="宋体" w:cs="宋体"/>
        </w:rPr>
      </w:pPr>
      <w:r>
        <w:rPr>
          <w:rFonts w:hint="eastAsia" w:ascii="宋体" w:hAnsi="宋体" w:eastAsia="宋体" w:cs="宋体"/>
        </w:rPr>
        <w:t>（9）</w:t>
      </w:r>
      <w:r>
        <w:rPr>
          <w:rFonts w:hint="eastAsia" w:ascii="宋体" w:hAnsi="宋体" w:eastAsia="宋体" w:cs="宋体"/>
          <w:u w:val="single"/>
        </w:rPr>
        <w:t>施工组织设计；</w:t>
      </w:r>
    </w:p>
    <w:p w14:paraId="4E684D07">
      <w:pPr>
        <w:spacing w:line="360" w:lineRule="auto"/>
        <w:ind w:firstLine="480"/>
        <w:rPr>
          <w:rFonts w:hint="eastAsia" w:ascii="宋体" w:hAnsi="宋体" w:eastAsia="宋体" w:cs="宋体"/>
          <w:szCs w:val="21"/>
        </w:rPr>
      </w:pPr>
      <w:r>
        <w:rPr>
          <w:rFonts w:hint="eastAsia" w:ascii="宋体" w:hAnsi="宋体" w:eastAsia="宋体" w:cs="宋体"/>
          <w:szCs w:val="21"/>
        </w:rPr>
        <w:t>（说明：（6）、（7）、（8）填空内容分别限于技术标准和要求、图纸、已标价工程量清单三者之一。）</w:t>
      </w:r>
    </w:p>
    <w:p w14:paraId="125FF62A">
      <w:pPr>
        <w:pStyle w:val="94"/>
        <w:spacing w:before="156" w:after="156"/>
        <w:outlineLvl w:val="1"/>
        <w:rPr>
          <w:rFonts w:hint="eastAsia" w:ascii="宋体" w:hAnsi="宋体" w:eastAsia="宋体" w:cs="宋体"/>
        </w:rPr>
      </w:pPr>
      <w:bookmarkStart w:id="1600" w:name="_Toc135239897"/>
      <w:bookmarkStart w:id="1601" w:name="_Toc497214046"/>
      <w:bookmarkStart w:id="1602" w:name="_Toc489280183"/>
      <w:bookmarkStart w:id="1603" w:name="_Toc22031671"/>
      <w:bookmarkStart w:id="1604" w:name="_Toc490331668"/>
      <w:bookmarkStart w:id="1605" w:name="_Toc486580377"/>
      <w:bookmarkStart w:id="1606" w:name="_Toc485323151"/>
      <w:r>
        <w:rPr>
          <w:rFonts w:hint="eastAsia" w:ascii="宋体" w:hAnsi="宋体" w:eastAsia="宋体" w:cs="宋体"/>
        </w:rPr>
        <w:t>1.3  合同协议书</w:t>
      </w:r>
      <w:bookmarkEnd w:id="1600"/>
      <w:bookmarkEnd w:id="1601"/>
      <w:bookmarkEnd w:id="1602"/>
      <w:bookmarkEnd w:id="1603"/>
      <w:bookmarkEnd w:id="1604"/>
      <w:bookmarkEnd w:id="1605"/>
      <w:bookmarkEnd w:id="1606"/>
    </w:p>
    <w:p w14:paraId="06735CF6">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合同生效的条件：</w:t>
      </w:r>
      <w:r>
        <w:rPr>
          <w:rFonts w:hint="eastAsia" w:ascii="宋体" w:hAnsi="宋体" w:eastAsia="宋体" w:cs="宋体"/>
          <w:szCs w:val="21"/>
          <w:u w:val="single"/>
        </w:rPr>
        <w:t>双方签字盖章后生效</w:t>
      </w:r>
      <w:r>
        <w:rPr>
          <w:rFonts w:hint="eastAsia" w:ascii="宋体" w:hAnsi="宋体" w:eastAsia="宋体" w:cs="宋体"/>
          <w:szCs w:val="21"/>
        </w:rPr>
        <w:t>。</w:t>
      </w:r>
    </w:p>
    <w:p w14:paraId="12C20995">
      <w:pPr>
        <w:pStyle w:val="94"/>
        <w:spacing w:before="156" w:after="156"/>
        <w:outlineLvl w:val="1"/>
        <w:rPr>
          <w:rFonts w:hint="eastAsia" w:ascii="宋体" w:hAnsi="宋体" w:eastAsia="宋体" w:cs="宋体"/>
        </w:rPr>
      </w:pPr>
      <w:bookmarkStart w:id="1607" w:name="_Toc497214047"/>
      <w:bookmarkStart w:id="1608" w:name="_Toc489280184"/>
      <w:bookmarkStart w:id="1609" w:name="_Toc22031672"/>
      <w:bookmarkStart w:id="1610" w:name="_Toc490331669"/>
      <w:bookmarkStart w:id="1611" w:name="_Toc486580378"/>
      <w:bookmarkStart w:id="1612" w:name="_Toc485323152"/>
      <w:bookmarkStart w:id="1613" w:name="_Toc135239898"/>
      <w:r>
        <w:rPr>
          <w:rFonts w:hint="eastAsia" w:ascii="宋体" w:hAnsi="宋体" w:eastAsia="宋体" w:cs="宋体"/>
        </w:rPr>
        <w:t>1.4  图纸和承包人文件</w:t>
      </w:r>
      <w:bookmarkEnd w:id="1607"/>
      <w:bookmarkEnd w:id="1608"/>
      <w:bookmarkEnd w:id="1609"/>
      <w:bookmarkEnd w:id="1610"/>
      <w:bookmarkEnd w:id="1611"/>
      <w:bookmarkEnd w:id="1612"/>
      <w:bookmarkEnd w:id="1613"/>
    </w:p>
    <w:p w14:paraId="38F66628">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1.4.1  图纸的提供</w:t>
      </w:r>
    </w:p>
    <w:p w14:paraId="5FB9DBE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（1）发包人提供图纸的期限：</w:t>
      </w:r>
      <w:r>
        <w:rPr>
          <w:rFonts w:hint="eastAsia" w:ascii="宋体" w:hAnsi="宋体" w:eastAsia="宋体" w:cs="宋体"/>
          <w:szCs w:val="21"/>
          <w:u w:val="single"/>
        </w:rPr>
        <w:t>开工前7日内</w:t>
      </w:r>
    </w:p>
    <w:p w14:paraId="78352E49">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发包人提供图纸的数量：</w:t>
      </w:r>
      <w:r>
        <w:rPr>
          <w:rFonts w:hint="eastAsia" w:ascii="宋体" w:hAnsi="宋体" w:eastAsia="宋体" w:cs="宋体"/>
          <w:szCs w:val="21"/>
          <w:u w:val="single"/>
        </w:rPr>
        <w:t>施工图四套</w:t>
      </w:r>
    </w:p>
    <w:p w14:paraId="2B3DA7C6">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其他约定：</w:t>
      </w:r>
      <w:r>
        <w:rPr>
          <w:rFonts w:hint="eastAsia" w:ascii="宋体" w:hAnsi="宋体" w:eastAsia="宋体" w:cs="宋体"/>
          <w:szCs w:val="21"/>
          <w:u w:val="single"/>
        </w:rPr>
        <w:t>/</w:t>
      </w:r>
    </w:p>
    <w:p w14:paraId="775A172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1.4.2  承包人提供的文件</w:t>
      </w:r>
    </w:p>
    <w:p w14:paraId="5636B377">
      <w:pPr>
        <w:spacing w:line="360" w:lineRule="auto"/>
        <w:ind w:firstLine="315" w:firstLineChars="150"/>
        <w:rPr>
          <w:rFonts w:hint="eastAsia" w:ascii="宋体" w:hAnsi="宋体" w:eastAsia="宋体" w:cs="宋体"/>
          <w:szCs w:val="21"/>
          <w:u w:val="single"/>
        </w:rPr>
      </w:pPr>
      <w:r>
        <w:rPr>
          <w:rFonts w:hint="eastAsia" w:ascii="宋体" w:hAnsi="宋体" w:eastAsia="宋体" w:cs="宋体"/>
          <w:szCs w:val="21"/>
        </w:rPr>
        <w:t>（1）由承包人提供的文件范围：</w:t>
      </w:r>
      <w:r>
        <w:rPr>
          <w:rFonts w:hint="eastAsia" w:ascii="宋体" w:hAnsi="宋体" w:eastAsia="宋体" w:cs="宋体"/>
          <w:szCs w:val="21"/>
          <w:u w:val="single"/>
        </w:rPr>
        <w:t>施工组织设计、需要专家论证的施工方案等</w:t>
      </w:r>
    </w:p>
    <w:p w14:paraId="0B8FD1F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承包人提供文件的期限：</w:t>
      </w:r>
      <w:r>
        <w:rPr>
          <w:rFonts w:hint="eastAsia" w:ascii="宋体" w:hAnsi="宋体" w:eastAsia="宋体" w:cs="宋体"/>
          <w:szCs w:val="21"/>
          <w:u w:val="single"/>
        </w:rPr>
        <w:t>发包人提出指令后7日内</w:t>
      </w:r>
    </w:p>
    <w:p w14:paraId="2775F21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承包人提供文件的数量：</w:t>
      </w:r>
      <w:r>
        <w:rPr>
          <w:rFonts w:hint="eastAsia" w:ascii="宋体" w:hAnsi="宋体" w:eastAsia="宋体" w:cs="宋体"/>
          <w:szCs w:val="21"/>
          <w:u w:val="single"/>
        </w:rPr>
        <w:t>一式三份</w:t>
      </w:r>
    </w:p>
    <w:p w14:paraId="72D5AA5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监理人批复承包人提供文件的期限：</w:t>
      </w:r>
      <w:r>
        <w:rPr>
          <w:rFonts w:hint="eastAsia" w:ascii="宋体" w:hAnsi="宋体" w:eastAsia="宋体" w:cs="宋体"/>
          <w:szCs w:val="21"/>
          <w:u w:val="single"/>
        </w:rPr>
        <w:t>收到后7日内</w:t>
      </w:r>
    </w:p>
    <w:p w14:paraId="09F4656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其他约定：</w:t>
      </w:r>
      <w:r>
        <w:rPr>
          <w:rFonts w:hint="eastAsia" w:ascii="宋体" w:hAnsi="宋体" w:eastAsia="宋体" w:cs="宋体"/>
          <w:szCs w:val="21"/>
          <w:u w:val="single"/>
        </w:rPr>
        <w:t xml:space="preserve"> /</w:t>
      </w:r>
    </w:p>
    <w:p w14:paraId="7FE226A8">
      <w:pPr>
        <w:pStyle w:val="94"/>
        <w:spacing w:before="156" w:after="156"/>
        <w:outlineLvl w:val="1"/>
        <w:rPr>
          <w:rFonts w:hint="eastAsia" w:ascii="宋体" w:hAnsi="宋体" w:eastAsia="宋体" w:cs="宋体"/>
        </w:rPr>
      </w:pPr>
      <w:bookmarkStart w:id="1614" w:name="_Toc486580379"/>
      <w:bookmarkStart w:id="1615" w:name="_Toc485323153"/>
      <w:bookmarkStart w:id="1616" w:name="_Toc22031673"/>
      <w:bookmarkStart w:id="1617" w:name="_Toc490331670"/>
      <w:bookmarkStart w:id="1618" w:name="_Toc489280185"/>
      <w:bookmarkStart w:id="1619" w:name="_Toc497214048"/>
      <w:bookmarkStart w:id="1620" w:name="_Toc135239899"/>
      <w:r>
        <w:rPr>
          <w:rFonts w:hint="eastAsia" w:ascii="宋体" w:hAnsi="宋体" w:eastAsia="宋体" w:cs="宋体"/>
        </w:rPr>
        <w:t>1.5  联络</w:t>
      </w:r>
      <w:bookmarkEnd w:id="1614"/>
      <w:bookmarkEnd w:id="1615"/>
      <w:bookmarkEnd w:id="1616"/>
      <w:bookmarkEnd w:id="1617"/>
      <w:bookmarkEnd w:id="1618"/>
      <w:bookmarkEnd w:id="1619"/>
      <w:bookmarkEnd w:id="1620"/>
    </w:p>
    <w:p w14:paraId="21F1F4DE">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  联络来往函件的送达和接收</w:t>
      </w:r>
    </w:p>
    <w:p w14:paraId="5A4BA99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（1）发包人指定的接收地点：</w:t>
      </w:r>
      <w:r>
        <w:rPr>
          <w:rFonts w:hint="eastAsia" w:ascii="宋体" w:hAnsi="宋体" w:eastAsia="宋体" w:cs="宋体"/>
          <w:szCs w:val="21"/>
          <w:u w:val="single"/>
        </w:rPr>
        <w:t>工程部</w:t>
      </w:r>
    </w:p>
    <w:p w14:paraId="23B6B205">
      <w:pPr>
        <w:spacing w:line="360" w:lineRule="auto"/>
        <w:ind w:firstLine="567" w:firstLineChars="270"/>
        <w:jc w:val="left"/>
        <w:rPr>
          <w:rFonts w:hint="eastAsia" w:ascii="宋体" w:hAnsi="宋体" w:eastAsia="宋体" w:cs="宋体"/>
          <w:szCs w:val="21"/>
        </w:rPr>
      </w:pPr>
      <w:r>
        <w:rPr>
          <w:rFonts w:hint="eastAsia" w:ascii="宋体" w:hAnsi="宋体" w:eastAsia="宋体" w:cs="宋体"/>
          <w:szCs w:val="21"/>
        </w:rPr>
        <w:t>发包人指定的接收人为：</w:t>
      </w:r>
      <w:r>
        <w:rPr>
          <w:rFonts w:hint="eastAsia" w:ascii="宋体" w:hAnsi="宋体" w:eastAsia="宋体" w:cs="宋体"/>
          <w:szCs w:val="21"/>
          <w:u w:val="single"/>
        </w:rPr>
        <w:t>发包人代表</w:t>
      </w:r>
    </w:p>
    <w:p w14:paraId="32D83652">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（2）监理人指定的接收地点：</w:t>
      </w:r>
      <w:r>
        <w:rPr>
          <w:rFonts w:hint="eastAsia" w:ascii="宋体" w:hAnsi="宋体" w:eastAsia="宋体" w:cs="宋体"/>
          <w:szCs w:val="21"/>
          <w:u w:val="single"/>
        </w:rPr>
        <w:t>现场监理办公室</w:t>
      </w:r>
    </w:p>
    <w:p w14:paraId="2BA8ACBA">
      <w:pPr>
        <w:spacing w:line="360" w:lineRule="auto"/>
        <w:ind w:firstLine="567" w:firstLineChars="270"/>
        <w:rPr>
          <w:rFonts w:hint="eastAsia" w:ascii="宋体" w:hAnsi="宋体" w:eastAsia="宋体" w:cs="宋体"/>
          <w:szCs w:val="21"/>
          <w:u w:val="single"/>
        </w:rPr>
      </w:pPr>
      <w:r>
        <w:rPr>
          <w:rFonts w:hint="eastAsia" w:ascii="宋体" w:hAnsi="宋体" w:eastAsia="宋体" w:cs="宋体"/>
          <w:szCs w:val="21"/>
        </w:rPr>
        <w:t>监理人指定的接收人为：</w:t>
      </w:r>
      <w:r>
        <w:rPr>
          <w:rFonts w:hint="eastAsia" w:ascii="宋体" w:hAnsi="宋体" w:eastAsia="宋体" w:cs="宋体"/>
          <w:szCs w:val="21"/>
          <w:u w:val="single"/>
        </w:rPr>
        <w:t>总监或总监代表</w:t>
      </w:r>
    </w:p>
    <w:p w14:paraId="00F7133F">
      <w:pPr>
        <w:spacing w:line="360" w:lineRule="auto"/>
        <w:ind w:firstLine="420" w:firstLineChars="200"/>
        <w:jc w:val="left"/>
        <w:rPr>
          <w:rFonts w:hint="eastAsia" w:ascii="宋体" w:hAnsi="宋体" w:eastAsia="宋体" w:cs="宋体"/>
        </w:rPr>
      </w:pPr>
      <w:r>
        <w:rPr>
          <w:rFonts w:hint="eastAsia" w:ascii="宋体" w:hAnsi="宋体" w:eastAsia="宋体" w:cs="宋体"/>
          <w:szCs w:val="21"/>
        </w:rPr>
        <w:t>（3）承包人指定的接收地点：</w:t>
      </w:r>
      <w:r>
        <w:rPr>
          <w:rFonts w:hint="eastAsia" w:ascii="宋体" w:hAnsi="宋体" w:eastAsia="宋体" w:cs="宋体"/>
          <w:szCs w:val="21"/>
          <w:u w:val="single"/>
        </w:rPr>
        <w:t>施工场地管理机构的办公地点</w:t>
      </w:r>
    </w:p>
    <w:p w14:paraId="21AA09CB">
      <w:pPr>
        <w:pStyle w:val="92"/>
        <w:spacing w:before="156" w:after="156"/>
        <w:outlineLvl w:val="0"/>
        <w:rPr>
          <w:rFonts w:hint="eastAsia" w:ascii="宋体" w:hAnsi="宋体" w:eastAsia="宋体" w:cs="宋体"/>
        </w:rPr>
      </w:pPr>
      <w:bookmarkStart w:id="1621" w:name="_Toc485323154"/>
      <w:bookmarkStart w:id="1622" w:name="_Toc486580380"/>
      <w:bookmarkStart w:id="1623" w:name="_Toc490331671"/>
      <w:bookmarkStart w:id="1624" w:name="_Toc497214049"/>
      <w:bookmarkStart w:id="1625" w:name="_Toc22031674"/>
      <w:bookmarkStart w:id="1626" w:name="_Toc489280186"/>
      <w:bookmarkStart w:id="1627" w:name="_Toc135239900"/>
      <w:r>
        <w:rPr>
          <w:rFonts w:hint="eastAsia" w:ascii="宋体" w:hAnsi="宋体" w:eastAsia="宋体" w:cs="宋体"/>
        </w:rPr>
        <w:t>2.发包人义务</w:t>
      </w:r>
      <w:bookmarkEnd w:id="1621"/>
      <w:bookmarkEnd w:id="1622"/>
      <w:bookmarkEnd w:id="1623"/>
      <w:bookmarkEnd w:id="1624"/>
      <w:bookmarkEnd w:id="1625"/>
      <w:bookmarkEnd w:id="1626"/>
      <w:bookmarkEnd w:id="1627"/>
    </w:p>
    <w:p w14:paraId="1346632D">
      <w:pPr>
        <w:pStyle w:val="94"/>
        <w:spacing w:before="156" w:after="156"/>
        <w:outlineLvl w:val="1"/>
        <w:rPr>
          <w:rFonts w:hint="eastAsia" w:ascii="宋体" w:hAnsi="宋体" w:eastAsia="宋体" w:cs="宋体"/>
        </w:rPr>
      </w:pPr>
      <w:bookmarkStart w:id="1628" w:name="_Toc489280187"/>
      <w:bookmarkStart w:id="1629" w:name="_Toc486580381"/>
      <w:bookmarkStart w:id="1630" w:name="_Toc497214050"/>
      <w:bookmarkStart w:id="1631" w:name="_Toc22031675"/>
      <w:bookmarkStart w:id="1632" w:name="_Toc485323155"/>
      <w:bookmarkStart w:id="1633" w:name="_Toc490331672"/>
      <w:bookmarkStart w:id="1634" w:name="_Toc135239901"/>
      <w:r>
        <w:rPr>
          <w:rFonts w:hint="eastAsia" w:ascii="宋体" w:hAnsi="宋体" w:eastAsia="宋体" w:cs="宋体"/>
        </w:rPr>
        <w:t>2.1  提供施工场地</w:t>
      </w:r>
      <w:bookmarkEnd w:id="1628"/>
      <w:bookmarkEnd w:id="1629"/>
      <w:bookmarkEnd w:id="1630"/>
      <w:bookmarkEnd w:id="1631"/>
      <w:bookmarkEnd w:id="1632"/>
      <w:bookmarkEnd w:id="1633"/>
      <w:bookmarkEnd w:id="1634"/>
    </w:p>
    <w:p w14:paraId="0E577DB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发包人移交施工场地的期限：发包人应当将具备施工条件的施工场地，在监理人发出开工通知中载明的开工日期</w:t>
      </w:r>
      <w:r>
        <w:rPr>
          <w:rFonts w:hint="eastAsia" w:ascii="宋体" w:hAnsi="宋体" w:eastAsia="宋体" w:cs="宋体"/>
          <w:szCs w:val="21"/>
          <w:u w:val="single"/>
        </w:rPr>
        <w:t>7</w:t>
      </w:r>
      <w:r>
        <w:rPr>
          <w:rFonts w:hint="eastAsia" w:ascii="宋体" w:hAnsi="宋体" w:eastAsia="宋体" w:cs="宋体"/>
          <w:szCs w:val="21"/>
        </w:rPr>
        <w:t>天前移交给承包人。</w:t>
      </w:r>
    </w:p>
    <w:p w14:paraId="4D7DC44E">
      <w:pPr>
        <w:pStyle w:val="94"/>
        <w:spacing w:before="156" w:after="156"/>
        <w:outlineLvl w:val="1"/>
        <w:rPr>
          <w:rFonts w:hint="eastAsia" w:ascii="宋体" w:hAnsi="宋体" w:eastAsia="宋体" w:cs="宋体"/>
        </w:rPr>
      </w:pPr>
      <w:bookmarkStart w:id="1635" w:name="_Toc486580382"/>
      <w:bookmarkStart w:id="1636" w:name="_Toc489280188"/>
      <w:bookmarkStart w:id="1637" w:name="_Toc22031676"/>
      <w:bookmarkStart w:id="1638" w:name="_Toc497214051"/>
      <w:bookmarkStart w:id="1639" w:name="_Toc490331673"/>
      <w:bookmarkStart w:id="1640" w:name="_Toc135239902"/>
      <w:bookmarkStart w:id="1641" w:name="_Toc485323156"/>
      <w:r>
        <w:rPr>
          <w:rFonts w:hint="eastAsia" w:ascii="宋体" w:hAnsi="宋体" w:eastAsia="宋体" w:cs="宋体"/>
        </w:rPr>
        <w:t>2.2  向承包人提交支付担保</w:t>
      </w:r>
      <w:bookmarkEnd w:id="1635"/>
      <w:bookmarkEnd w:id="1636"/>
      <w:bookmarkEnd w:id="1637"/>
      <w:bookmarkEnd w:id="1638"/>
      <w:bookmarkEnd w:id="1639"/>
      <w:bookmarkEnd w:id="1640"/>
      <w:bookmarkEnd w:id="1641"/>
    </w:p>
    <w:p w14:paraId="6CE0D41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（1）发包人向承包人提交支付担保的金额：</w:t>
      </w:r>
      <w:r>
        <w:rPr>
          <w:rFonts w:hint="eastAsia" w:ascii="宋体" w:hAnsi="宋体" w:eastAsia="宋体" w:cs="宋体"/>
          <w:szCs w:val="21"/>
          <w:u w:val="single"/>
        </w:rPr>
        <w:t xml:space="preserve">/ </w:t>
      </w:r>
    </w:p>
    <w:p w14:paraId="08356028">
      <w:pPr>
        <w:pStyle w:val="94"/>
        <w:spacing w:before="156" w:after="156"/>
        <w:outlineLvl w:val="1"/>
        <w:rPr>
          <w:rFonts w:hint="eastAsia" w:ascii="宋体" w:hAnsi="宋体" w:eastAsia="宋体" w:cs="宋体"/>
        </w:rPr>
      </w:pPr>
      <w:bookmarkStart w:id="1642" w:name="_Toc489280189"/>
      <w:bookmarkStart w:id="1643" w:name="_Toc485323157"/>
      <w:bookmarkStart w:id="1644" w:name="_Toc486580383"/>
      <w:bookmarkStart w:id="1645" w:name="_Toc22031677"/>
      <w:bookmarkStart w:id="1646" w:name="_Toc497214052"/>
      <w:bookmarkStart w:id="1647" w:name="_Toc490331674"/>
      <w:bookmarkStart w:id="1648" w:name="_Toc135239903"/>
      <w:r>
        <w:rPr>
          <w:rFonts w:hint="eastAsia" w:ascii="宋体" w:hAnsi="宋体" w:eastAsia="宋体" w:cs="宋体"/>
        </w:rPr>
        <w:t>2.3  其他义务</w:t>
      </w:r>
      <w:bookmarkEnd w:id="1642"/>
      <w:bookmarkEnd w:id="1643"/>
      <w:bookmarkEnd w:id="1644"/>
      <w:bookmarkEnd w:id="1645"/>
      <w:bookmarkEnd w:id="1646"/>
      <w:bookmarkEnd w:id="1647"/>
      <w:bookmarkEnd w:id="1648"/>
    </w:p>
    <w:p w14:paraId="02B6A44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发包人应当履行的其他义务</w:t>
      </w:r>
      <w:r>
        <w:rPr>
          <w:rFonts w:hint="eastAsia" w:ascii="宋体" w:hAnsi="宋体" w:eastAsia="宋体" w:cs="宋体"/>
        </w:rPr>
        <w:t>：</w:t>
      </w:r>
      <w:r>
        <w:rPr>
          <w:rFonts w:hint="eastAsia" w:ascii="宋体" w:hAnsi="宋体" w:eastAsia="宋体" w:cs="宋体"/>
          <w:szCs w:val="21"/>
          <w:u w:val="single"/>
        </w:rPr>
        <w:t xml:space="preserve"> 落实《北京市施工现场人员实名制管理办法》京建法[2020]2号文的相关规定。实施实名制管理所产生的费用已列入本项目安全文明施工费和管理费中。  </w:t>
      </w:r>
    </w:p>
    <w:p w14:paraId="33C988D8">
      <w:pPr>
        <w:pStyle w:val="92"/>
        <w:spacing w:before="156" w:after="156"/>
        <w:outlineLvl w:val="0"/>
        <w:rPr>
          <w:rFonts w:hint="eastAsia" w:ascii="宋体" w:hAnsi="宋体" w:eastAsia="宋体" w:cs="宋体"/>
        </w:rPr>
      </w:pPr>
      <w:bookmarkStart w:id="1649" w:name="_Toc489280190"/>
      <w:bookmarkStart w:id="1650" w:name="_Toc486580384"/>
      <w:bookmarkStart w:id="1651" w:name="_Toc485323158"/>
      <w:bookmarkStart w:id="1652" w:name="_Toc135239904"/>
      <w:bookmarkStart w:id="1653" w:name="_Toc497214053"/>
      <w:bookmarkStart w:id="1654" w:name="_Toc490331675"/>
      <w:bookmarkStart w:id="1655" w:name="_Toc22031678"/>
      <w:r>
        <w:rPr>
          <w:rFonts w:hint="eastAsia" w:ascii="宋体" w:hAnsi="宋体" w:eastAsia="宋体" w:cs="宋体"/>
        </w:rPr>
        <w:t>3.监理人</w:t>
      </w:r>
      <w:bookmarkEnd w:id="1649"/>
      <w:bookmarkEnd w:id="1650"/>
      <w:bookmarkEnd w:id="1651"/>
      <w:bookmarkEnd w:id="1652"/>
      <w:bookmarkEnd w:id="1653"/>
      <w:bookmarkEnd w:id="1654"/>
      <w:bookmarkEnd w:id="1655"/>
    </w:p>
    <w:p w14:paraId="559397C4">
      <w:pPr>
        <w:pStyle w:val="94"/>
        <w:spacing w:before="156" w:after="156"/>
        <w:outlineLvl w:val="1"/>
        <w:rPr>
          <w:rFonts w:hint="eastAsia" w:ascii="宋体" w:hAnsi="宋体" w:eastAsia="宋体" w:cs="宋体"/>
        </w:rPr>
      </w:pPr>
      <w:bookmarkStart w:id="1656" w:name="_Toc485323159"/>
      <w:bookmarkStart w:id="1657" w:name="_Toc22031679"/>
      <w:bookmarkStart w:id="1658" w:name="_Toc135239905"/>
      <w:bookmarkStart w:id="1659" w:name="_Toc490331676"/>
      <w:bookmarkStart w:id="1660" w:name="_Toc486580385"/>
      <w:bookmarkStart w:id="1661" w:name="_Toc489280191"/>
      <w:bookmarkStart w:id="1662" w:name="_Toc497214054"/>
      <w:r>
        <w:rPr>
          <w:rFonts w:hint="eastAsia" w:ascii="宋体" w:hAnsi="宋体" w:eastAsia="宋体" w:cs="宋体"/>
        </w:rPr>
        <w:t>3.1  监理人的职责和权力</w:t>
      </w:r>
      <w:bookmarkEnd w:id="1656"/>
      <w:bookmarkEnd w:id="1657"/>
      <w:bookmarkEnd w:id="1658"/>
      <w:bookmarkEnd w:id="1659"/>
      <w:bookmarkEnd w:id="1660"/>
      <w:bookmarkEnd w:id="1661"/>
      <w:bookmarkEnd w:id="1662"/>
    </w:p>
    <w:p w14:paraId="1A322E1F">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3.1.1  发包人需批准明确行使的权力：</w:t>
      </w:r>
    </w:p>
    <w:p w14:paraId="12200EAA">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（1）按第4.3款约定，批准工程的分包；</w:t>
      </w:r>
    </w:p>
    <w:p w14:paraId="72DF5A75">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（2）按第11.3款约定，确定延长完工期限；</w:t>
      </w:r>
    </w:p>
    <w:p w14:paraId="7D9E3E60">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（3）按第15.6款约定，批准暂列金额的使用；</w:t>
      </w:r>
    </w:p>
    <w:p w14:paraId="3ACBDD17">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（4）批准重大施工方案；</w:t>
      </w:r>
    </w:p>
    <w:p w14:paraId="39ED8AB5">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（5）主要材料审核使用。</w:t>
      </w:r>
    </w:p>
    <w:p w14:paraId="68EF02F0">
      <w:pPr>
        <w:pStyle w:val="92"/>
        <w:spacing w:before="156" w:after="156"/>
        <w:outlineLvl w:val="0"/>
        <w:rPr>
          <w:rFonts w:hint="eastAsia" w:ascii="宋体" w:hAnsi="宋体" w:eastAsia="宋体" w:cs="宋体"/>
        </w:rPr>
      </w:pPr>
      <w:bookmarkStart w:id="1663" w:name="_Toc486580386"/>
      <w:bookmarkStart w:id="1664" w:name="_Toc489280192"/>
      <w:bookmarkStart w:id="1665" w:name="_Toc490331677"/>
      <w:bookmarkStart w:id="1666" w:name="_Toc497214055"/>
      <w:bookmarkStart w:id="1667" w:name="_Toc485323160"/>
      <w:bookmarkStart w:id="1668" w:name="_Toc135239906"/>
      <w:bookmarkStart w:id="1669" w:name="_Toc22031680"/>
      <w:r>
        <w:rPr>
          <w:rFonts w:hint="eastAsia" w:ascii="宋体" w:hAnsi="宋体" w:eastAsia="宋体" w:cs="宋体"/>
        </w:rPr>
        <w:t>4.承包人</w:t>
      </w:r>
      <w:bookmarkEnd w:id="1663"/>
      <w:bookmarkEnd w:id="1664"/>
      <w:bookmarkEnd w:id="1665"/>
      <w:bookmarkEnd w:id="1666"/>
      <w:bookmarkEnd w:id="1667"/>
      <w:bookmarkEnd w:id="1668"/>
      <w:bookmarkEnd w:id="1669"/>
    </w:p>
    <w:p w14:paraId="3450B271">
      <w:pPr>
        <w:pStyle w:val="94"/>
        <w:spacing w:before="156" w:after="156"/>
        <w:outlineLvl w:val="1"/>
        <w:rPr>
          <w:rFonts w:hint="eastAsia" w:ascii="宋体" w:hAnsi="宋体" w:eastAsia="宋体" w:cs="宋体"/>
        </w:rPr>
      </w:pPr>
      <w:bookmarkStart w:id="1670" w:name="_Toc22031681"/>
      <w:bookmarkStart w:id="1671" w:name="_Toc135239907"/>
      <w:bookmarkStart w:id="1672" w:name="_Toc489280193"/>
      <w:bookmarkStart w:id="1673" w:name="_Toc490331678"/>
      <w:bookmarkStart w:id="1674" w:name="_Toc486580387"/>
      <w:bookmarkStart w:id="1675" w:name="_Toc485323161"/>
      <w:bookmarkStart w:id="1676" w:name="_Toc497214056"/>
      <w:r>
        <w:rPr>
          <w:rFonts w:hint="eastAsia" w:ascii="宋体" w:hAnsi="宋体" w:eastAsia="宋体" w:cs="宋体"/>
        </w:rPr>
        <w:t>4.1  承包人的一般义务</w:t>
      </w:r>
      <w:bookmarkEnd w:id="1670"/>
      <w:bookmarkEnd w:id="1671"/>
      <w:bookmarkEnd w:id="1672"/>
      <w:bookmarkEnd w:id="1673"/>
      <w:bookmarkEnd w:id="1674"/>
      <w:bookmarkEnd w:id="1675"/>
      <w:bookmarkEnd w:id="1676"/>
    </w:p>
    <w:p w14:paraId="16DA593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4.1.1  为他人提供方便</w:t>
      </w:r>
    </w:p>
    <w:p w14:paraId="519C72DC">
      <w:pPr>
        <w:spacing w:line="360" w:lineRule="auto"/>
        <w:ind w:firstLine="315" w:firstLineChars="150"/>
        <w:rPr>
          <w:rFonts w:hint="eastAsia" w:ascii="宋体" w:hAnsi="宋体" w:eastAsia="宋体" w:cs="宋体"/>
          <w:szCs w:val="21"/>
          <w:u w:val="single"/>
        </w:rPr>
      </w:pPr>
      <w:r>
        <w:rPr>
          <w:rFonts w:hint="eastAsia" w:ascii="宋体" w:hAnsi="宋体" w:eastAsia="宋体" w:cs="宋体"/>
          <w:szCs w:val="21"/>
        </w:rPr>
        <w:t>（1）承包人应当对在施工场地或者附近实施与合同工程有关的其他工作的独立承包人履行管理、协调、配合、照管和服务义务的具体工作内容和要求：</w:t>
      </w:r>
    </w:p>
    <w:p w14:paraId="79EF3564">
      <w:pPr>
        <w:spacing w:line="360" w:lineRule="auto"/>
        <w:rPr>
          <w:rFonts w:hint="eastAsia" w:ascii="宋体" w:hAnsi="宋体" w:eastAsia="宋体" w:cs="宋体"/>
          <w:szCs w:val="21"/>
        </w:rPr>
      </w:pPr>
      <w:r>
        <w:rPr>
          <w:rFonts w:hint="eastAsia" w:ascii="宋体" w:hAnsi="宋体" w:eastAsia="宋体" w:cs="宋体"/>
          <w:szCs w:val="21"/>
          <w:u w:val="single"/>
        </w:rPr>
        <w:t>为其他独立承包人在使用施工用地道路和其他公用设施等方面提供方便。</w:t>
      </w:r>
    </w:p>
    <w:p w14:paraId="68E0248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4.1.2  承包人的设计工作</w:t>
      </w:r>
    </w:p>
    <w:p w14:paraId="79E5475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承包人承担的施工图设计或与工程配套的设计工作内容：</w:t>
      </w:r>
      <w:r>
        <w:rPr>
          <w:rFonts w:hint="eastAsia" w:ascii="宋体" w:hAnsi="宋体" w:eastAsia="宋体" w:cs="宋体"/>
          <w:szCs w:val="21"/>
          <w:u w:val="single"/>
        </w:rPr>
        <w:t xml:space="preserve"> 根据发包人委托，在其设计资质等级和业务允许的范围内，完成施工图设计或与工程配套的设计，经监理人确认后使用，发包人承担由此发生的费用和合理利润。</w:t>
      </w:r>
    </w:p>
    <w:p w14:paraId="6BEEFD0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4.1.3  其他义务</w:t>
      </w:r>
    </w:p>
    <w:p w14:paraId="4A6E756C">
      <w:pPr>
        <w:spacing w:line="360" w:lineRule="auto"/>
        <w:ind w:firstLine="420" w:firstLineChars="200"/>
        <w:rPr>
          <w:rFonts w:hint="eastAsia" w:ascii="宋体" w:hAnsi="宋体" w:eastAsia="宋体" w:cs="宋体"/>
          <w:szCs w:val="21"/>
        </w:rPr>
      </w:pPr>
      <w:bookmarkStart w:id="1677" w:name="_Hlk8723501"/>
      <w:r>
        <w:rPr>
          <w:rFonts w:hint="eastAsia" w:ascii="宋体" w:hAnsi="宋体" w:eastAsia="宋体" w:cs="宋体"/>
          <w:szCs w:val="21"/>
        </w:rPr>
        <w:t>（1）安全文明施工费由承包人统一管理，承包人对工程安全文明施工负总责。承包人不按分包合同约定支付安全文明施工费，造成分包人不能及时落实安全防护措施导致发生事故的，由承包人负主要责任。</w:t>
      </w:r>
    </w:p>
    <w:p w14:paraId="0A9B95C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（2）对于超过一定规模的危大工程（如有），承包人应当组织召开专家论证会对专项施工方案进行论证，并根据专家论证意见对专项方案进行调整，发包人原因造成的专项方案调整，其费用变化由发包人承担。</w:t>
      </w:r>
    </w:p>
    <w:p w14:paraId="0DCD3867">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（3）承包人应履行的其他义务</w:t>
      </w:r>
      <w:r>
        <w:rPr>
          <w:rFonts w:hint="eastAsia" w:ascii="宋体" w:hAnsi="宋体" w:eastAsia="宋体" w:cs="宋体"/>
        </w:rPr>
        <w:t>：</w:t>
      </w:r>
    </w:p>
    <w:bookmarkEnd w:id="1677"/>
    <w:p w14:paraId="14F983BD">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fldChar w:fldCharType="begin"/>
      </w:r>
      <w:r>
        <w:rPr>
          <w:rFonts w:hint="eastAsia" w:ascii="宋体" w:hAnsi="宋体" w:eastAsia="宋体" w:cs="宋体"/>
          <w:szCs w:val="21"/>
          <w:u w:val="single"/>
        </w:rPr>
        <w:instrText xml:space="preserve">= 1 \* GB3</w:instrText>
      </w:r>
      <w:r>
        <w:rPr>
          <w:rFonts w:hint="eastAsia" w:ascii="宋体" w:hAnsi="宋体" w:eastAsia="宋体" w:cs="宋体"/>
          <w:szCs w:val="21"/>
          <w:u w:val="single"/>
        </w:rPr>
        <w:fldChar w:fldCharType="separate"/>
      </w:r>
      <w:r>
        <w:rPr>
          <w:rFonts w:hint="eastAsia" w:ascii="宋体" w:hAnsi="宋体" w:eastAsia="宋体" w:cs="宋体"/>
          <w:szCs w:val="21"/>
          <w:u w:val="single"/>
        </w:rPr>
        <w:t>①</w:t>
      </w:r>
      <w:r>
        <w:rPr>
          <w:rFonts w:hint="eastAsia" w:ascii="宋体" w:hAnsi="宋体" w:eastAsia="宋体" w:cs="宋体"/>
          <w:szCs w:val="21"/>
          <w:u w:val="single"/>
        </w:rPr>
        <w:fldChar w:fldCharType="end"/>
      </w:r>
      <w:r>
        <w:rPr>
          <w:rFonts w:hint="eastAsia" w:ascii="宋体" w:hAnsi="宋体" w:eastAsia="宋体" w:cs="宋体"/>
          <w:szCs w:val="21"/>
          <w:u w:val="single"/>
        </w:rPr>
        <w:t>施工过程中，承包人应配合设计单位完成图纸修改，由此发生的费用已经包括在承包人的签约合同价（投标总报价）中。</w:t>
      </w:r>
    </w:p>
    <w:p w14:paraId="433FA59A">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fldChar w:fldCharType="begin"/>
      </w:r>
      <w:r>
        <w:rPr>
          <w:rFonts w:hint="eastAsia" w:ascii="宋体" w:hAnsi="宋体" w:eastAsia="宋体" w:cs="宋体"/>
          <w:szCs w:val="21"/>
          <w:u w:val="single"/>
        </w:rPr>
        <w:instrText xml:space="preserve">= 2 \* GB3</w:instrText>
      </w:r>
      <w:r>
        <w:rPr>
          <w:rFonts w:hint="eastAsia" w:ascii="宋体" w:hAnsi="宋体" w:eastAsia="宋体" w:cs="宋体"/>
          <w:szCs w:val="21"/>
          <w:u w:val="single"/>
        </w:rPr>
        <w:fldChar w:fldCharType="separate"/>
      </w:r>
      <w:r>
        <w:rPr>
          <w:rFonts w:hint="eastAsia" w:ascii="宋体" w:hAnsi="宋体" w:eastAsia="宋体" w:cs="宋体"/>
          <w:szCs w:val="21"/>
          <w:u w:val="single"/>
        </w:rPr>
        <w:t>②</w:t>
      </w:r>
      <w:r>
        <w:rPr>
          <w:rFonts w:hint="eastAsia" w:ascii="宋体" w:hAnsi="宋体" w:eastAsia="宋体" w:cs="宋体"/>
          <w:szCs w:val="21"/>
          <w:u w:val="single"/>
        </w:rPr>
        <w:fldChar w:fldCharType="end"/>
      </w:r>
      <w:r>
        <w:rPr>
          <w:rFonts w:hint="eastAsia" w:ascii="宋体" w:hAnsi="宋体" w:eastAsia="宋体" w:cs="宋体"/>
          <w:szCs w:val="21"/>
          <w:u w:val="single"/>
        </w:rPr>
        <w:t>承包人应履行合同约定的其他义务以及下述义务：</w:t>
      </w:r>
    </w:p>
    <w:p w14:paraId="7BC0EAC5">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A．承包人必须按合同的规定，精心组织施工，按时完成全部工程和对工程的维护、修工作。</w:t>
      </w:r>
    </w:p>
    <w:p w14:paraId="32FB8200">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为此承包人应该提供全部管理、劳务、材料、工程设备、施工装备和其他物品，保质、保量、保安全的做好工作，并按发包人和监理工程师提出的要求，建立全面和完善的履约自保体系。承包人对所有现场作业和施工方法的适应、稳定和安全承担全部责任，不得擅自降低设计和工程质量标准。如果承包人在核查合同文件或在本工程实施过程中，发现有关工程设计、规范、图纸或其它资料存在任何差错、遗漏或缺陷，应立即以书面形式报监理工程师。承包人在工程实施的各有关环节中必须遵守监理程序，按规定步骤提请监理工程师验收签认，并对监理工程师按合同规定进行的工作提供协助和创造所需条件。承包人对现场（包括施工人员及第三方人员）及未交工前的工程（包括材料，设施，设备）的安全及管理负全部责任。</w:t>
      </w:r>
    </w:p>
    <w:p w14:paraId="75B70C58">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B.准备工作：在接到中标通知书后，中标的承包人应立即组织实施工程开工的各项准备工作。准备工作的主要内容包括：驻地建设、临时水源、临时电源、临时用地、交通便道、交通导行、人员组织及进场计划，机械设备组织及进场计划、用于永久性工程材料准备及进场计划、图纸会审及设计交底、用于交桩及基准点复核、原地貌测量（包括地上、地下物探测、土源调查、垃圾及房渣土调查等）、工地实验室建设等，上述工作应作为总体工程开工申请报告的一部分提交监理工程师审批。如不申报或工作未达到标准，监理工程师将不批准开工。承包人在准备工作中如发现与合同文件规定不相符的情况要及时依据合同文件的规定请有关部门澄清或解决。否则，不得据此提出任何相关索赔。</w:t>
      </w:r>
    </w:p>
    <w:p w14:paraId="0A617DB7">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C.履约自保体系：在合同工程开工到保修期终止的期限内，为保证全面、妥善履行合同义务，承包人必须建立行之有效的履约自保体系。其对人员的具体要求是：授权一名常驻现场代表（项目经理）对本工程进行全面监督和管理；派遣一名项目工程师全面负责与监理工程师的对口工作；项目工程师以下要配备专职技术负责人，质控负责人，试验检测负责人和计量支付负责人，上述人员应被认为是保证承包人全面履约的必备管理人员。如果监理工程师认为其不称职或不执行监理指令，监理工程师有权向承包人发出书面通知要求撤换，承包人应在监理工程师规定的期限内，安排由监理工程师批准的人员接替。</w:t>
      </w:r>
    </w:p>
    <w:p w14:paraId="59207EC4">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D.材料：一切用于本工程的材料必须符合合同规定的品种和规格，并竟经有资质的试验机构按政府有关部门及合同要求的试验项目和频率进行试验后，按监理工程师规定的程序和内容，报送监理工程师签认批准。未经监理工程师批准的材料，不得用于本工程，承包人应始终保持所使用的材料与报送并获批准的试验品一致。如发现有不一致时，监理工程师有权撤销对该材料的批准，承包人应按照监理工程师的要求把这批材料撤离现场或采取补救措施。当监理工程师对材料进行检查或试验时，承包人应提供各种方便和协助（包括提供样品）。当承包人的试验项目和频率不能满足规范要求，且不接受监理工程师要求其增加试验的指令时，监理工程师有权自行或指示第三方完成这些试验，相应试验费从承包人的款项中扣除。</w:t>
      </w:r>
    </w:p>
    <w:p w14:paraId="4EAC0243">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E.机械设备：承包人在本工程中所使用的机械设备，其性能指标和数量应满足合同规定的各项要求，不能保证工程施工质量和存在不安全因素的机械设备，不允许在本工程中使用。所有机械设备在进、退场时间和数量上均应满足监理工程师的要求，机械设备进入现场后。承包人应自行负责维修、保护并避免造成对他人的干扰和损害。</w:t>
      </w:r>
    </w:p>
    <w:p w14:paraId="37DFB51C">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F．计划、进度：承包人在签订合同协议书14天内，应向监理工程师提交二份其形式和内容均符合监理工程师要求的总体进度计划和施工方案，由监理工程师审核后转报发包人批准。总体进度计划应按照网络计划和横条图计划两种形式编绘，并分别标注关键线路和每月预计完成的工作量。施工方案应着重说明保证工程质量达标的措施，主要工作拟采用的施工方法、工艺和程序。如果监理工程师认为承包人所报计划或方案不合要求，承包人应在接到退件后7天内，将经过完善、补充的计划或方案重新上报。经监理工程师同意，承包人可按监理工程师指定的其它时间和方法，提交上述资料。如果工程的实际进展不符合上述被批准的计划时，承包人应按监理工程师的要求对计划进行调整，并相应修改施工方案，使工程仍按期完成。承包人对计划的修改以及监理工程师对修改计划的批准，不解除承包人在合同中承担的任何责任和义务。承包人在工程施工中，不允许以任何理由拖延工期。当监理工程师在任何时候认为全部或部分工程的进度过慢，无法确保工程按规定的时间完成时，监理工程师有权向承包人发出要求加快进度的通知，承包人应立即采取必要步骤，加快工程进度，确保工程按期完成，承包人无权因采取此种步骤而获得任何追加款项。</w:t>
      </w:r>
    </w:p>
    <w:p w14:paraId="1C33B4D0">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G.复测、定位：承包人应根据设计单位的现场交桩和书面资料，对主要原始基准点（包括导线点，水准点）进行认真复测。在交桩后7天内，将复测结果报监理工程师认定后，作为永久桩点妥为保护。复测中如果发现有超出容许范围内的误差，承包人应再次按上述程序复测上报，直至准确无误，监理工程师认定为止。承包人如在规定时间内未上报复测资料，或应妥为保护的桩点发生丢失、移动或在引测过程中出现差错而使施工受到损害，承包人均应按监理工程师同意的方法负责纠正此中误差，由此而引起的其他损失，亦由承包人自行负责。监理工程师对任何定位和基准点的复测，均不免除承包人的责任。</w:t>
      </w:r>
    </w:p>
    <w:p w14:paraId="06AC478A">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H．分项工程划分：承包人在签订合同协议28天内，应按合同规定适用的质量检验评定标准和监理工程师的要求，向监理工程师提交本合同段的分项工程工程划分，供监理工程师审批。否则，监理工程师有权不予批准总体工程开工和不受理承包人提交的支付申请。经监理工程师批准的分项工程量清单，是分项完工验收、计量支付及签发分项完工证书的依据。</w:t>
      </w:r>
    </w:p>
    <w:p w14:paraId="1A41208C">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I．拆迁工程：承包人对本合同段内影响工程开展的地上、地下施工障碍（树木、绿地、杆线、管线（不限于此）在调查、探测、挖探、制定方案、配合、拆除、改移等方面负有不可推卸的责任。其中拆除、改移的费用在投标时可不考虑，由投标人负责实施的拆除、改移等工作，合同执行期间按实际工作量由承包人报发包人审核后支付。</w:t>
      </w:r>
    </w:p>
    <w:p w14:paraId="4F8A632A">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J．运输：由承包人对所有为实施本工程的运输（不仅指现场）负有责任。a、负责运输使用的道路的修建、加固、使用、维护；b、清除运输障碍；c、运输车辆及运输过程应满足道路交通和环保部门的管理规定；d、上述有关的一切费用均由承包人承担。</w:t>
      </w:r>
    </w:p>
    <w:p w14:paraId="0B0B26F7">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K.在施工期间，承包人应采取措施维持原有道路系统（包括车行和人行）的交通，如支搭便桥、修建临时导行道路等（不选与此），并设置必要的防护和照明设施，需要时还应派人看守，以维护社会交通的便利，保障社会交通的安全。承包人不按上述要求采取措施而导致任何人员伤亡的财产损失，其一切法律责任及损失损害赔偿责任均由承包人承担。对执行上述措施不力的监理工程师有权发出指令，限期整改。</w:t>
      </w:r>
    </w:p>
    <w:p w14:paraId="45E28A00">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L.工程的照管与维护：自开工之日起至签发工程交工证书之日止，承包人应全面负责对本合同范围内已完成和未完成工程和将用于本工程的资料、设备的照管与维护，对任何工程及其任何部分的损坏、损失均应承担责任，并随时修护，保护完好。在保修期内，经批准进行的工作项目均应继续负责维护和修复工作，直至这些工作项目被监理工程师认可为止。</w:t>
      </w:r>
    </w:p>
    <w:p w14:paraId="1ED50BA7">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M．现有设施保护：承包人应遵守政府法令和有关专业部门的规定，对本合同段内的各类现有设施，在合同期内采取一切可能的措施加以妥善保护，确保其安全不受损害。承包人要采取保护现场内外的坏境、现有设施及公共利益，防止产生不必要或可避免的干扰和损害。承包人应采取各种适当的措施，防止其为实施本工程的任何运输损伤或毁坏所通行的任何公共道路，承包人还应负责养护有他修建和使用的用于出入现场的临时道路。在实施和完成本合同工程及缺陷修复工作中的一切施工作业，均不得影响临近建筑物，构造物的安全与正常使用，也不得干扰沿线群众的通行方便。</w:t>
      </w:r>
    </w:p>
    <w:p w14:paraId="6E2CBD7D">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N．配合工作：根据工程需要，发包人在本合同范围内批准其他承包人进行工作时，承包人应提供方便，创造条件，积极配合，共同完成本工程的建设。发包人将协调承包人同其他承包人的关系，使承包人的工作不受损害。</w:t>
      </w:r>
    </w:p>
    <w:p w14:paraId="456E4A9D">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O.采购合同结算：承包人按正常途径获得发包人的合同价款支付后，应按同等比例对其为完成本工程而自行签订的采购合同（不限于此）及时结算付款。对于承包人无正当理由，不按所签合同及时结算并付款而影响工程正常进展，发包人将视情况在支付时予以扣支，此种情况的发生将对承包人的履约评价产生不利影响。</w:t>
      </w:r>
    </w:p>
    <w:p w14:paraId="33313996">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P．文物：在工程现场发现的所有有价值的物品和具有考古价值的遗迹或物品，均属于国家财产。承包人一旦发现这类物品应采取一切必要措施保护现场，防止其工人或其它任何人员移动或损坏该类物品，并立即将此发现报告监理工程师和发包人，以确保上述发现按国家有关规定得到及时处理。</w:t>
      </w:r>
    </w:p>
    <w:p w14:paraId="027AED16">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Q.日常统计：承包人应按监理工程师和发包人要求的形式和间隔时间，及时报送有关统计资料（包括工程进度、劳力、机械设备、材料、自保体系、试验检测、索赔。变更、天气情况的记录等）。当上述承包人的统计资料不全时，监理工程师有权视其情况在当月支付时，缓支一定比例申报费用直至不予支付。</w:t>
      </w:r>
    </w:p>
    <w:p w14:paraId="40E6244F">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R.竣工资料：提交符合要求的竣工资料是承包人全面完成合同的一项重要工作，承包人应按管理部门和发包人关于竣工资料的编制规定，完成竣工资料整编和存档工作。承包人应在签发交工证书之日后二个月内按发包人要求的形式和份数将一式四份竣工资料报监理工程师及发包人审核。</w:t>
      </w:r>
    </w:p>
    <w:p w14:paraId="580BB0D5">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S．达到预定的质量目标：承包人应按IS0体系认证标准建立质量保证体系，且必须保证工作质量达到国家规定的工程质量检验评定标准的合格级标准或经发包人批准由监理工程师确认的工程质量检验评定标准。按发包人和监理工程师的要求，完成各级优质工程评定所需的各项工作。</w:t>
      </w:r>
    </w:p>
    <w:p w14:paraId="538BCCD2">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T.工程质量终身责任制：承包人对其在合同协议书规定的范围内所实施的工程负有质量终身责任制。即使工程已交付使用，如发生重大质量事故，造成人员伤亡或重大经济损失，而事故原因经查明确系施工质量所致，将依照有关规定追究承包人员的经济乃至刑事责任。</w:t>
      </w:r>
    </w:p>
    <w:p w14:paraId="353D6E47">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U.劳动安全：承包人在整个合同期内对其为本合同工作的人员的人身安全负有全部责任。承包人应采取各种必要的措施（如安全规章、安全教育、安全措施）以保障、保护所有人员（包括分包及雇用劳动人员）的安全，费用由承包人承担（承包人应自行投保，以分散风险）。一旦发生重大安全事故，必须采取果断措施实施抢救，同时迅速逐级上报。</w:t>
      </w:r>
    </w:p>
    <w:p w14:paraId="10BC7968">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V.工地检查标准：为进一步加大对工地和施工人员防控传染疾病的工作力度，提高工程项目管理水平，承包人须认真贯彻执行《中华人民共和国传染病防治法》、国家和北京市防止传染性疾病有关的政策法规，切实加强对施工工地的管理，改善施工人员的生活和居住条件，确保预防疾病和保证正常生产。发生的费用有承包人承担，投标报价中充分考虑。</w:t>
      </w:r>
    </w:p>
    <w:p w14:paraId="298A3591">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W.承担施工安全保卫工作及非夜间施工照明的责任和要求：承包人应按建设行政管理部门和相关部门的要求，自费承担施工安全保卫工作及现场安全设施的设置维护，保护公共安全。</w:t>
      </w:r>
    </w:p>
    <w:p w14:paraId="3635CAA7">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X．需承包人办理的有关施工场地交通、环卫和施工噪音管理等手续:①需要办理特别通行证时，由承包人负责办证，发包人协助；②施工现场需要排放有害污水时，由承包人办理有关手续；③施工噪音超过当地主管部门的规定时，由承包人提出措施，上述工作所涉及的费用投标时在相关项目中列入，合同执行期间不再调整。</w:t>
      </w:r>
    </w:p>
    <w:p w14:paraId="48AC2D61">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Y.施工所需的水、电、电讯线路接至施工场地由承包人自行解决，所需费用投标时在相关项目中列入，合同执行期间不再调整。施工水电费由承包人承担。承包人需配合发包人在施工现场的一切工作，包括与交通、园林、绿化等管理单位联系的工作。</w:t>
      </w:r>
    </w:p>
    <w:p w14:paraId="1055AB5F">
      <w:pPr>
        <w:spacing w:line="360" w:lineRule="auto"/>
        <w:rPr>
          <w:rFonts w:hint="eastAsia" w:ascii="宋体" w:hAnsi="宋体" w:eastAsia="宋体" w:cs="宋体"/>
          <w:szCs w:val="21"/>
          <w:u w:val="single"/>
        </w:rPr>
      </w:pPr>
      <w:r>
        <w:rPr>
          <w:rFonts w:hint="eastAsia" w:ascii="宋体" w:hAnsi="宋体" w:eastAsia="宋体" w:cs="宋体"/>
          <w:szCs w:val="21"/>
          <w:u w:val="single"/>
        </w:rPr>
        <w:fldChar w:fldCharType="begin"/>
      </w:r>
      <w:r>
        <w:rPr>
          <w:rFonts w:hint="eastAsia" w:ascii="宋体" w:hAnsi="宋体" w:eastAsia="宋体" w:cs="宋体"/>
          <w:szCs w:val="21"/>
          <w:u w:val="single"/>
        </w:rPr>
        <w:instrText xml:space="preserve">= 3 \* GB3</w:instrText>
      </w:r>
      <w:r>
        <w:rPr>
          <w:rFonts w:hint="eastAsia" w:ascii="宋体" w:hAnsi="宋体" w:eastAsia="宋体" w:cs="宋体"/>
          <w:szCs w:val="21"/>
          <w:u w:val="single"/>
        </w:rPr>
        <w:fldChar w:fldCharType="separate"/>
      </w:r>
      <w:r>
        <w:rPr>
          <w:rFonts w:hint="eastAsia" w:ascii="宋体" w:hAnsi="宋体" w:eastAsia="宋体" w:cs="宋体"/>
          <w:szCs w:val="21"/>
          <w:u w:val="single"/>
        </w:rPr>
        <w:t>③</w:t>
      </w:r>
      <w:r>
        <w:rPr>
          <w:rFonts w:hint="eastAsia" w:ascii="宋体" w:hAnsi="宋体" w:eastAsia="宋体" w:cs="宋体"/>
          <w:szCs w:val="21"/>
          <w:u w:val="single"/>
        </w:rPr>
        <w:fldChar w:fldCharType="end"/>
      </w:r>
      <w:r>
        <w:rPr>
          <w:rFonts w:hint="eastAsia" w:ascii="宋体" w:hAnsi="宋体" w:eastAsia="宋体" w:cs="宋体"/>
          <w:szCs w:val="21"/>
          <w:u w:val="single"/>
        </w:rPr>
        <w:t>施工现场安全生产标准化管理目标等级：达标（绿色/样板/达标），承包人应充分理解并严格按照北京市安全文明施工最新要求执行，包含但不限于：《北京市建设工程施工安全生产标准化管理图集（2019版）》、北京市住房和城乡建设委员会关于实施《北京市建设工程安全文明施工费费用标准》的通知（京建发〔2020〕316号）、北京市配套2021年《预算消耗量标准》计价的安全文明施工费用标准（京建发[2021]404号）及其他相关附件组织并实施。</w:t>
      </w:r>
    </w:p>
    <w:p w14:paraId="419C19C7">
      <w:pPr>
        <w:spacing w:line="360" w:lineRule="auto"/>
        <w:rPr>
          <w:rFonts w:hint="eastAsia" w:ascii="宋体" w:hAnsi="宋体" w:eastAsia="宋体" w:cs="宋体"/>
          <w:szCs w:val="21"/>
          <w:u w:val="single"/>
        </w:rPr>
      </w:pPr>
      <w:r>
        <w:rPr>
          <w:rFonts w:hint="eastAsia" w:ascii="宋体" w:hAnsi="宋体" w:eastAsia="宋体" w:cs="宋体"/>
          <w:szCs w:val="21"/>
          <w:u w:val="single"/>
        </w:rPr>
        <w:fldChar w:fldCharType="begin"/>
      </w:r>
      <w:r>
        <w:rPr>
          <w:rFonts w:hint="eastAsia" w:ascii="宋体" w:hAnsi="宋体" w:eastAsia="宋体" w:cs="宋体"/>
          <w:szCs w:val="21"/>
          <w:u w:val="single"/>
        </w:rPr>
        <w:instrText xml:space="preserve">= 4 \* GB3</w:instrText>
      </w:r>
      <w:r>
        <w:rPr>
          <w:rFonts w:hint="eastAsia" w:ascii="宋体" w:hAnsi="宋体" w:eastAsia="宋体" w:cs="宋体"/>
          <w:szCs w:val="21"/>
          <w:u w:val="single"/>
        </w:rPr>
        <w:fldChar w:fldCharType="separate"/>
      </w:r>
      <w:r>
        <w:rPr>
          <w:rFonts w:hint="eastAsia" w:ascii="宋体" w:hAnsi="宋体" w:eastAsia="宋体" w:cs="宋体"/>
          <w:szCs w:val="21"/>
          <w:u w:val="single"/>
        </w:rPr>
        <w:t>④</w:t>
      </w:r>
      <w:r>
        <w:rPr>
          <w:rFonts w:hint="eastAsia" w:ascii="宋体" w:hAnsi="宋体" w:eastAsia="宋体" w:cs="宋体"/>
          <w:szCs w:val="21"/>
          <w:u w:val="single"/>
        </w:rPr>
        <w:fldChar w:fldCharType="end"/>
      </w:r>
      <w:r>
        <w:rPr>
          <w:rFonts w:hint="eastAsia" w:ascii="宋体" w:hAnsi="宋体" w:eastAsia="宋体" w:cs="宋体"/>
          <w:szCs w:val="21"/>
          <w:u w:val="single"/>
        </w:rPr>
        <w:t>承包人应按照京建法【2019】9号文件的有关规定执行，将安全文明施工费专款专用，保证安全文明施工措施的投入，并在财务管理中单独列支安全文明施工费账目备查。安全文明施工费应与竣工结算同步结算，多退少补。</w:t>
      </w:r>
    </w:p>
    <w:p w14:paraId="1C95BEF6">
      <w:pPr>
        <w:spacing w:line="360" w:lineRule="auto"/>
        <w:rPr>
          <w:rFonts w:hint="eastAsia" w:ascii="宋体" w:hAnsi="宋体" w:eastAsia="宋体" w:cs="宋体"/>
        </w:rPr>
      </w:pPr>
      <w:r>
        <w:rPr>
          <w:rFonts w:hint="eastAsia" w:ascii="宋体" w:hAnsi="宋体" w:eastAsia="宋体" w:cs="宋体"/>
          <w:szCs w:val="21"/>
          <w:u w:val="single"/>
        </w:rPr>
        <w:fldChar w:fldCharType="begin"/>
      </w:r>
      <w:r>
        <w:rPr>
          <w:rFonts w:hint="eastAsia" w:ascii="宋体" w:hAnsi="宋体" w:eastAsia="宋体" w:cs="宋体"/>
          <w:szCs w:val="21"/>
          <w:u w:val="single"/>
        </w:rPr>
        <w:instrText xml:space="preserve">= 5 \* GB3</w:instrText>
      </w:r>
      <w:r>
        <w:rPr>
          <w:rFonts w:hint="eastAsia" w:ascii="宋体" w:hAnsi="宋体" w:eastAsia="宋体" w:cs="宋体"/>
          <w:szCs w:val="21"/>
          <w:u w:val="single"/>
        </w:rPr>
        <w:fldChar w:fldCharType="separate"/>
      </w:r>
      <w:r>
        <w:rPr>
          <w:rFonts w:hint="eastAsia" w:ascii="宋体" w:hAnsi="宋体" w:eastAsia="宋体" w:cs="宋体"/>
          <w:szCs w:val="21"/>
          <w:u w:val="single"/>
        </w:rPr>
        <w:t>⑤</w:t>
      </w:r>
      <w:r>
        <w:rPr>
          <w:rFonts w:hint="eastAsia" w:ascii="宋体" w:hAnsi="宋体" w:eastAsia="宋体" w:cs="宋体"/>
          <w:szCs w:val="21"/>
          <w:u w:val="single"/>
        </w:rPr>
        <w:fldChar w:fldCharType="end"/>
      </w:r>
      <w:r>
        <w:rPr>
          <w:rFonts w:hint="eastAsia" w:ascii="宋体" w:hAnsi="宋体" w:eastAsia="宋体" w:cs="宋体"/>
          <w:szCs w:val="21"/>
          <w:u w:val="single"/>
        </w:rPr>
        <w:t>承包人应按照《北京市工程建设领域农民工工资保证金管理办法》的规定支付农民工工资。</w:t>
      </w:r>
    </w:p>
    <w:p w14:paraId="37CBAAC6">
      <w:pPr>
        <w:spacing w:line="360" w:lineRule="auto"/>
        <w:rPr>
          <w:rFonts w:hint="eastAsia" w:ascii="宋体" w:hAnsi="宋体" w:eastAsia="宋体" w:cs="宋体"/>
          <w:u w:val="single"/>
        </w:rPr>
      </w:pPr>
      <w:r>
        <w:rPr>
          <w:rFonts w:hint="eastAsia" w:ascii="宋体" w:hAnsi="宋体" w:eastAsia="宋体" w:cs="宋体"/>
          <w:u w:val="single"/>
        </w:rPr>
        <w:fldChar w:fldCharType="begin"/>
      </w:r>
      <w:r>
        <w:rPr>
          <w:rFonts w:hint="eastAsia" w:ascii="宋体" w:hAnsi="宋体" w:eastAsia="宋体" w:cs="宋体"/>
          <w:u w:val="single"/>
        </w:rPr>
        <w:instrText xml:space="preserve"> = 6 \* GB3 </w:instrText>
      </w:r>
      <w:r>
        <w:rPr>
          <w:rFonts w:hint="eastAsia" w:ascii="宋体" w:hAnsi="宋体" w:eastAsia="宋体" w:cs="宋体"/>
          <w:u w:val="single"/>
        </w:rPr>
        <w:fldChar w:fldCharType="separate"/>
      </w:r>
      <w:r>
        <w:rPr>
          <w:rFonts w:hint="eastAsia" w:ascii="宋体" w:hAnsi="宋体" w:eastAsia="宋体" w:cs="宋体"/>
          <w:u w:val="single"/>
        </w:rPr>
        <w:t>⑥</w:t>
      </w:r>
      <w:r>
        <w:rPr>
          <w:rFonts w:hint="eastAsia" w:ascii="宋体" w:hAnsi="宋体" w:eastAsia="宋体" w:cs="宋体"/>
          <w:u w:val="single"/>
        </w:rPr>
        <w:fldChar w:fldCharType="end"/>
      </w:r>
      <w:r>
        <w:rPr>
          <w:rFonts w:hint="eastAsia" w:ascii="宋体" w:hAnsi="宋体" w:eastAsia="宋体" w:cs="宋体"/>
          <w:szCs w:val="21"/>
          <w:u w:val="single"/>
        </w:rPr>
        <w:t>承包人须按照《北京市工程建设领域保障农民工工资支付工作管理办法》（京人社监发【2021】12号）的规定，人工费用应当满足农民工工资按时足额支付的要求。人工费用拨付周期和拨付日期同计量周期，人工费用占工程款的比例为___%。</w:t>
      </w:r>
    </w:p>
    <w:p w14:paraId="1B634BBE">
      <w:pPr>
        <w:spacing w:line="360" w:lineRule="auto"/>
        <w:rPr>
          <w:rFonts w:hint="eastAsia" w:ascii="宋体" w:hAnsi="宋体" w:eastAsia="宋体" w:cs="宋体"/>
          <w:u w:val="single"/>
        </w:rPr>
      </w:pPr>
      <w:r>
        <w:rPr>
          <w:rFonts w:hint="eastAsia" w:ascii="宋体" w:hAnsi="宋体" w:eastAsia="宋体" w:cs="宋体"/>
          <w:u w:val="single"/>
        </w:rPr>
        <w:fldChar w:fldCharType="begin"/>
      </w:r>
      <w:r>
        <w:rPr>
          <w:rFonts w:hint="eastAsia" w:ascii="宋体" w:hAnsi="宋体" w:eastAsia="宋体" w:cs="宋体"/>
          <w:u w:val="single"/>
        </w:rPr>
        <w:instrText xml:space="preserve"> = 7 \* GB3 </w:instrText>
      </w:r>
      <w:r>
        <w:rPr>
          <w:rFonts w:hint="eastAsia" w:ascii="宋体" w:hAnsi="宋体" w:eastAsia="宋体" w:cs="宋体"/>
          <w:u w:val="single"/>
        </w:rPr>
        <w:fldChar w:fldCharType="separate"/>
      </w:r>
      <w:r>
        <w:rPr>
          <w:rFonts w:hint="eastAsia" w:ascii="宋体" w:hAnsi="宋体" w:eastAsia="宋体" w:cs="宋体"/>
          <w:u w:val="single"/>
        </w:rPr>
        <w:t>⑦</w:t>
      </w:r>
      <w:r>
        <w:rPr>
          <w:rFonts w:hint="eastAsia" w:ascii="宋体" w:hAnsi="宋体" w:eastAsia="宋体" w:cs="宋体"/>
          <w:u w:val="single"/>
        </w:rPr>
        <w:fldChar w:fldCharType="end"/>
      </w:r>
      <w:r>
        <w:rPr>
          <w:rFonts w:hint="eastAsia" w:ascii="宋体" w:hAnsi="宋体" w:eastAsia="宋体" w:cs="宋体"/>
          <w:u w:val="single"/>
        </w:rPr>
        <w:t>落实《北京市施工现场人员实名制管理办法》京建法[2020]2号文的相关规定。实施实名制管理所产生的费用已列入本项目安全文明施工费和管理费中。</w:t>
      </w:r>
    </w:p>
    <w:p w14:paraId="4B5D7B62">
      <w:pPr>
        <w:spacing w:line="360" w:lineRule="auto"/>
        <w:rPr>
          <w:rFonts w:hint="eastAsia" w:ascii="宋体" w:hAnsi="宋体" w:eastAsia="宋体" w:cs="宋体"/>
          <w:u w:val="single"/>
        </w:rPr>
      </w:pPr>
      <w:r>
        <w:rPr>
          <w:rFonts w:hint="eastAsia" w:ascii="宋体" w:hAnsi="宋体" w:eastAsia="宋体" w:cs="宋体"/>
          <w:u w:val="single"/>
        </w:rPr>
        <w:fldChar w:fldCharType="begin"/>
      </w:r>
      <w:r>
        <w:rPr>
          <w:rFonts w:hint="eastAsia" w:ascii="宋体" w:hAnsi="宋体" w:eastAsia="宋体" w:cs="宋体"/>
          <w:u w:val="single"/>
        </w:rPr>
        <w:instrText xml:space="preserve"> = 8 \* GB3 </w:instrText>
      </w:r>
      <w:r>
        <w:rPr>
          <w:rFonts w:hint="eastAsia" w:ascii="宋体" w:hAnsi="宋体" w:eastAsia="宋体" w:cs="宋体"/>
          <w:u w:val="single"/>
        </w:rPr>
        <w:fldChar w:fldCharType="separate"/>
      </w:r>
      <w:r>
        <w:rPr>
          <w:rFonts w:hint="eastAsia" w:ascii="宋体" w:hAnsi="宋体" w:eastAsia="宋体" w:cs="宋体"/>
          <w:u w:val="single"/>
        </w:rPr>
        <w:t>⑧</w:t>
      </w:r>
      <w:r>
        <w:rPr>
          <w:rFonts w:hint="eastAsia" w:ascii="宋体" w:hAnsi="宋体" w:eastAsia="宋体" w:cs="宋体"/>
          <w:u w:val="single"/>
        </w:rPr>
        <w:fldChar w:fldCharType="end"/>
      </w:r>
      <w:r>
        <w:rPr>
          <w:rFonts w:hint="eastAsia" w:ascii="宋体" w:hAnsi="宋体" w:eastAsia="宋体" w:cs="宋体"/>
          <w:u w:val="single"/>
        </w:rPr>
        <w:t>结算负责人：          ，身份证号码：                      。</w:t>
      </w:r>
    </w:p>
    <w:p w14:paraId="5C5343C1">
      <w:pPr>
        <w:pStyle w:val="94"/>
        <w:spacing w:before="156" w:after="156"/>
        <w:outlineLvl w:val="1"/>
        <w:rPr>
          <w:rFonts w:hint="eastAsia" w:ascii="宋体" w:hAnsi="宋体" w:eastAsia="宋体" w:cs="宋体"/>
        </w:rPr>
      </w:pPr>
      <w:bookmarkStart w:id="1678" w:name="_Toc22031682"/>
      <w:bookmarkStart w:id="1679" w:name="_Toc486580388"/>
      <w:bookmarkStart w:id="1680" w:name="_Toc489280194"/>
      <w:bookmarkStart w:id="1681" w:name="_Toc490331679"/>
      <w:bookmarkStart w:id="1682" w:name="_Toc485323162"/>
      <w:bookmarkStart w:id="1683" w:name="_Toc497214057"/>
      <w:bookmarkStart w:id="1684" w:name="_Toc135239908"/>
      <w:r>
        <w:rPr>
          <w:rFonts w:hint="eastAsia" w:ascii="宋体" w:hAnsi="宋体" w:eastAsia="宋体" w:cs="宋体"/>
        </w:rPr>
        <w:t>4.2  履约担保</w:t>
      </w:r>
      <w:bookmarkEnd w:id="1678"/>
      <w:bookmarkEnd w:id="1679"/>
      <w:bookmarkEnd w:id="1680"/>
      <w:bookmarkEnd w:id="1681"/>
      <w:bookmarkEnd w:id="1682"/>
      <w:bookmarkEnd w:id="1683"/>
      <w:bookmarkEnd w:id="1684"/>
    </w:p>
    <w:p w14:paraId="015B253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4.2.1  承包人履约担保的格式和金额</w:t>
      </w:r>
    </w:p>
    <w:p w14:paraId="20AEC01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发包人</w:t>
      </w:r>
      <w:r>
        <w:rPr>
          <w:rFonts w:hint="eastAsia" w:ascii="宋体" w:hAnsi="宋体" w:eastAsia="宋体" w:cs="宋体"/>
          <w:szCs w:val="21"/>
          <w:u w:val="single"/>
        </w:rPr>
        <w:t xml:space="preserve">  不要求  </w:t>
      </w:r>
      <w:r>
        <w:rPr>
          <w:rFonts w:hint="eastAsia" w:ascii="宋体" w:hAnsi="宋体" w:eastAsia="宋体" w:cs="宋体"/>
          <w:szCs w:val="21"/>
        </w:rPr>
        <w:t>（要求/不要求）承包人提供承包人履约担保。</w:t>
      </w:r>
    </w:p>
    <w:p w14:paraId="6B0BEC6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承包人履约担保的金额为 </w:t>
      </w:r>
      <w:r>
        <w:rPr>
          <w:rFonts w:hint="eastAsia" w:ascii="宋体" w:hAnsi="宋体" w:eastAsia="宋体" w:cs="宋体"/>
          <w:szCs w:val="21"/>
          <w:u w:val="single"/>
        </w:rPr>
        <w:t xml:space="preserve">  /  </w:t>
      </w:r>
    </w:p>
    <w:p w14:paraId="4379EE2C">
      <w:pPr>
        <w:pStyle w:val="94"/>
        <w:spacing w:before="156" w:after="156"/>
        <w:outlineLvl w:val="1"/>
        <w:rPr>
          <w:rFonts w:hint="eastAsia" w:ascii="宋体" w:hAnsi="宋体" w:eastAsia="宋体" w:cs="宋体"/>
        </w:rPr>
      </w:pPr>
      <w:bookmarkStart w:id="1685" w:name="_Toc486580389"/>
      <w:bookmarkStart w:id="1686" w:name="_Toc489280195"/>
      <w:bookmarkStart w:id="1687" w:name="_Toc22031683"/>
      <w:bookmarkStart w:id="1688" w:name="_Toc497214058"/>
      <w:bookmarkStart w:id="1689" w:name="_Toc485323163"/>
      <w:bookmarkStart w:id="1690" w:name="_Toc490331680"/>
      <w:bookmarkStart w:id="1691" w:name="_Toc135239909"/>
      <w:r>
        <w:rPr>
          <w:rFonts w:hint="eastAsia" w:ascii="宋体" w:hAnsi="宋体" w:eastAsia="宋体" w:cs="宋体"/>
        </w:rPr>
        <w:t>4.3  不利物质条件</w:t>
      </w:r>
      <w:bookmarkEnd w:id="1685"/>
      <w:bookmarkEnd w:id="1686"/>
      <w:bookmarkEnd w:id="1687"/>
      <w:bookmarkEnd w:id="1688"/>
      <w:bookmarkEnd w:id="1689"/>
      <w:bookmarkEnd w:id="1690"/>
      <w:bookmarkEnd w:id="1691"/>
    </w:p>
    <w:p w14:paraId="37B2E4AD">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4.3.1  不利物质条件的范围：</w:t>
      </w:r>
    </w:p>
    <w:p w14:paraId="64FBA0C1">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（1）在施工现场遇到的不可预见的自然物质条件，包括地下各种管网障碍、地下文物障碍、地下建筑障碍物、不良地质条件、流砂、暗河等；</w:t>
      </w:r>
    </w:p>
    <w:p w14:paraId="2452F923">
      <w:pPr>
        <w:spacing w:line="360" w:lineRule="auto"/>
        <w:rPr>
          <w:rFonts w:hint="eastAsia"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u w:val="single"/>
        </w:rPr>
        <w:t>（2）地下已存在的但未探明的非自然物质障碍和污染物。</w:t>
      </w:r>
    </w:p>
    <w:p w14:paraId="1E2C7235">
      <w:pPr>
        <w:pStyle w:val="92"/>
        <w:spacing w:before="156" w:after="156"/>
        <w:outlineLvl w:val="0"/>
        <w:rPr>
          <w:rFonts w:hint="eastAsia" w:ascii="宋体" w:hAnsi="宋体" w:eastAsia="宋体" w:cs="宋体"/>
        </w:rPr>
      </w:pPr>
      <w:bookmarkStart w:id="1692" w:name="_Toc489280196"/>
      <w:bookmarkStart w:id="1693" w:name="_Toc486580390"/>
      <w:bookmarkStart w:id="1694" w:name="_Toc485323164"/>
      <w:bookmarkStart w:id="1695" w:name="_Toc22031684"/>
      <w:bookmarkStart w:id="1696" w:name="_Toc490331681"/>
      <w:bookmarkStart w:id="1697" w:name="_Toc135239910"/>
      <w:bookmarkStart w:id="1698" w:name="_Toc497214059"/>
      <w:r>
        <w:rPr>
          <w:rFonts w:hint="eastAsia" w:ascii="宋体" w:hAnsi="宋体" w:eastAsia="宋体" w:cs="宋体"/>
        </w:rPr>
        <w:t>5.材料和工程设备</w:t>
      </w:r>
      <w:bookmarkEnd w:id="1692"/>
      <w:bookmarkEnd w:id="1693"/>
      <w:bookmarkEnd w:id="1694"/>
      <w:bookmarkEnd w:id="1695"/>
      <w:bookmarkEnd w:id="1696"/>
      <w:bookmarkEnd w:id="1697"/>
      <w:bookmarkEnd w:id="1698"/>
    </w:p>
    <w:p w14:paraId="2A262177">
      <w:pPr>
        <w:pStyle w:val="94"/>
        <w:spacing w:before="156" w:after="156"/>
        <w:outlineLvl w:val="1"/>
        <w:rPr>
          <w:rFonts w:hint="eastAsia" w:ascii="宋体" w:hAnsi="宋体" w:eastAsia="宋体" w:cs="宋体"/>
        </w:rPr>
      </w:pPr>
      <w:bookmarkStart w:id="1699" w:name="_Toc489280197"/>
      <w:bookmarkStart w:id="1700" w:name="_Toc22031685"/>
      <w:bookmarkStart w:id="1701" w:name="_Toc135239911"/>
      <w:bookmarkStart w:id="1702" w:name="_Toc486580391"/>
      <w:bookmarkStart w:id="1703" w:name="_Toc497214060"/>
      <w:bookmarkStart w:id="1704" w:name="_Toc485323165"/>
      <w:bookmarkStart w:id="1705" w:name="_Toc490331682"/>
      <w:r>
        <w:rPr>
          <w:rFonts w:hint="eastAsia" w:ascii="宋体" w:hAnsi="宋体" w:eastAsia="宋体" w:cs="宋体"/>
        </w:rPr>
        <w:t>5.1  承包人提供的材料和工程设备</w:t>
      </w:r>
      <w:bookmarkEnd w:id="1699"/>
      <w:bookmarkEnd w:id="1700"/>
      <w:bookmarkEnd w:id="1701"/>
      <w:bookmarkEnd w:id="1702"/>
      <w:bookmarkEnd w:id="1703"/>
      <w:bookmarkEnd w:id="1704"/>
      <w:bookmarkEnd w:id="1705"/>
    </w:p>
    <w:p w14:paraId="13DE8D47">
      <w:pPr>
        <w:spacing w:line="360" w:lineRule="auto"/>
        <w:ind w:firstLine="420" w:firstLineChars="200"/>
        <w:rPr>
          <w:rFonts w:hint="eastAsia" w:ascii="宋体" w:hAnsi="宋体" w:eastAsia="宋体" w:cs="宋体"/>
        </w:rPr>
      </w:pPr>
      <w:r>
        <w:rPr>
          <w:rFonts w:hint="eastAsia" w:ascii="宋体" w:hAnsi="宋体" w:eastAsia="宋体" w:cs="宋体"/>
          <w:szCs w:val="21"/>
        </w:rPr>
        <w:t>5.1.1 承包人将由其提供的材料和工程设备的供货人和品种、规格、数量及供货时间等报送监理人审批的期限：</w:t>
      </w:r>
      <w:r>
        <w:rPr>
          <w:rFonts w:hint="eastAsia" w:ascii="宋体" w:hAnsi="宋体" w:eastAsia="宋体" w:cs="宋体"/>
          <w:szCs w:val="21"/>
          <w:u w:val="single"/>
        </w:rPr>
        <w:t>报送后5日内。</w:t>
      </w:r>
    </w:p>
    <w:p w14:paraId="5BDE955D">
      <w:pPr>
        <w:pStyle w:val="92"/>
        <w:spacing w:before="156" w:after="156"/>
        <w:outlineLvl w:val="0"/>
        <w:rPr>
          <w:rFonts w:hint="eastAsia" w:ascii="宋体" w:hAnsi="宋体" w:eastAsia="宋体" w:cs="宋体"/>
        </w:rPr>
      </w:pPr>
      <w:bookmarkStart w:id="1706" w:name="_Toc497214061"/>
      <w:bookmarkStart w:id="1707" w:name="_Toc486580392"/>
      <w:bookmarkStart w:id="1708" w:name="_Toc485323166"/>
      <w:bookmarkStart w:id="1709" w:name="_Toc22031686"/>
      <w:bookmarkStart w:id="1710" w:name="_Toc135239912"/>
      <w:bookmarkStart w:id="1711" w:name="_Toc490331683"/>
      <w:bookmarkStart w:id="1712" w:name="_Toc489280198"/>
      <w:r>
        <w:rPr>
          <w:rFonts w:hint="eastAsia" w:ascii="宋体" w:hAnsi="宋体" w:eastAsia="宋体" w:cs="宋体"/>
        </w:rPr>
        <w:t>6.施工设备和临时设施</w:t>
      </w:r>
      <w:bookmarkEnd w:id="1706"/>
      <w:bookmarkEnd w:id="1707"/>
      <w:bookmarkEnd w:id="1708"/>
      <w:bookmarkEnd w:id="1709"/>
      <w:bookmarkEnd w:id="1710"/>
      <w:bookmarkEnd w:id="1711"/>
      <w:bookmarkEnd w:id="1712"/>
    </w:p>
    <w:p w14:paraId="0514EFF3">
      <w:pPr>
        <w:pStyle w:val="94"/>
        <w:spacing w:before="156" w:after="156"/>
        <w:outlineLvl w:val="1"/>
        <w:rPr>
          <w:rFonts w:hint="eastAsia" w:ascii="宋体" w:hAnsi="宋体" w:eastAsia="宋体" w:cs="宋体"/>
        </w:rPr>
      </w:pPr>
      <w:bookmarkStart w:id="1713" w:name="_Toc490331684"/>
      <w:bookmarkStart w:id="1714" w:name="_Toc486580393"/>
      <w:bookmarkStart w:id="1715" w:name="_Toc497214062"/>
      <w:bookmarkStart w:id="1716" w:name="_Toc485323167"/>
      <w:bookmarkStart w:id="1717" w:name="_Toc489280199"/>
      <w:bookmarkStart w:id="1718" w:name="_Toc135239913"/>
      <w:bookmarkStart w:id="1719" w:name="_Toc22031687"/>
      <w:r>
        <w:rPr>
          <w:rFonts w:hint="eastAsia" w:ascii="宋体" w:hAnsi="宋体" w:eastAsia="宋体" w:cs="宋体"/>
        </w:rPr>
        <w:t>6.1  承包人提供的施工设备和临时设施</w:t>
      </w:r>
      <w:bookmarkEnd w:id="1713"/>
      <w:bookmarkEnd w:id="1714"/>
      <w:bookmarkEnd w:id="1715"/>
      <w:bookmarkEnd w:id="1716"/>
      <w:bookmarkEnd w:id="1717"/>
      <w:bookmarkEnd w:id="1718"/>
      <w:bookmarkEnd w:id="1719"/>
    </w:p>
    <w:p w14:paraId="0F45E49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6.1.1  承包人承担自行修建临时设施费用的范围：</w:t>
      </w:r>
      <w:r>
        <w:rPr>
          <w:rFonts w:hint="eastAsia" w:ascii="宋体" w:hAnsi="宋体" w:eastAsia="宋体" w:cs="宋体"/>
          <w:szCs w:val="21"/>
          <w:u w:val="single"/>
        </w:rPr>
        <w:t xml:space="preserve">    /   </w:t>
      </w:r>
    </w:p>
    <w:p w14:paraId="076042BD">
      <w:pPr>
        <w:spacing w:line="360" w:lineRule="auto"/>
        <w:ind w:firstLine="420" w:firstLineChars="200"/>
        <w:rPr>
          <w:rFonts w:hint="eastAsia" w:ascii="宋体" w:hAnsi="宋体" w:eastAsia="宋体" w:cs="宋体"/>
          <w:u w:val="single"/>
        </w:rPr>
      </w:pPr>
      <w:r>
        <w:rPr>
          <w:rFonts w:hint="eastAsia" w:ascii="宋体" w:hAnsi="宋体" w:eastAsia="宋体" w:cs="宋体"/>
        </w:rPr>
        <w:t>发包人办理申请手续并承担相关费用的临时占地：</w:t>
      </w:r>
      <w:r>
        <w:rPr>
          <w:rFonts w:hint="eastAsia" w:ascii="宋体" w:hAnsi="宋体" w:eastAsia="宋体" w:cs="宋体"/>
          <w:szCs w:val="21"/>
          <w:u w:val="single"/>
        </w:rPr>
        <w:t xml:space="preserve">    /   </w:t>
      </w:r>
    </w:p>
    <w:p w14:paraId="12ED0F20">
      <w:pPr>
        <w:pStyle w:val="94"/>
        <w:spacing w:before="156" w:after="156"/>
        <w:outlineLvl w:val="1"/>
        <w:rPr>
          <w:rFonts w:hint="eastAsia" w:ascii="宋体" w:hAnsi="宋体" w:eastAsia="宋体" w:cs="宋体"/>
        </w:rPr>
      </w:pPr>
      <w:bookmarkStart w:id="1720" w:name="_Toc490331685"/>
      <w:bookmarkStart w:id="1721" w:name="_Toc22031688"/>
      <w:bookmarkStart w:id="1722" w:name="_Toc485323168"/>
      <w:bookmarkStart w:id="1723" w:name="_Toc497214063"/>
      <w:bookmarkStart w:id="1724" w:name="_Toc135239914"/>
      <w:bookmarkStart w:id="1725" w:name="_Toc489280200"/>
      <w:bookmarkStart w:id="1726" w:name="_Toc486580394"/>
      <w:r>
        <w:rPr>
          <w:rFonts w:hint="eastAsia" w:ascii="宋体" w:hAnsi="宋体" w:eastAsia="宋体" w:cs="宋体"/>
        </w:rPr>
        <w:t>6.2  发包人提供的施工设备和临时设施</w:t>
      </w:r>
      <w:bookmarkEnd w:id="1720"/>
      <w:bookmarkEnd w:id="1721"/>
      <w:bookmarkEnd w:id="1722"/>
      <w:bookmarkEnd w:id="1723"/>
      <w:bookmarkEnd w:id="1724"/>
      <w:bookmarkEnd w:id="1725"/>
      <w:bookmarkEnd w:id="1726"/>
    </w:p>
    <w:p w14:paraId="2B69F68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发包人提供的施工设备和临时设施：</w:t>
      </w:r>
      <w:r>
        <w:rPr>
          <w:rFonts w:hint="eastAsia" w:ascii="宋体" w:hAnsi="宋体" w:eastAsia="宋体" w:cs="宋体"/>
          <w:szCs w:val="21"/>
          <w:u w:val="single"/>
        </w:rPr>
        <w:t>无。</w:t>
      </w:r>
    </w:p>
    <w:p w14:paraId="1B23397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发包人提供的施工设备和临时设施的运行、维护、拆除、清运费用的承担人：</w:t>
      </w:r>
      <w:r>
        <w:rPr>
          <w:rFonts w:hint="eastAsia" w:ascii="宋体" w:hAnsi="宋体" w:eastAsia="宋体" w:cs="宋体"/>
          <w:szCs w:val="21"/>
          <w:u w:val="single"/>
        </w:rPr>
        <w:t>无。</w:t>
      </w:r>
    </w:p>
    <w:p w14:paraId="31613CD7">
      <w:pPr>
        <w:pStyle w:val="92"/>
        <w:spacing w:before="156" w:after="156"/>
        <w:outlineLvl w:val="0"/>
        <w:rPr>
          <w:rFonts w:hint="eastAsia" w:ascii="宋体" w:hAnsi="宋体" w:eastAsia="宋体" w:cs="宋体"/>
        </w:rPr>
      </w:pPr>
      <w:bookmarkStart w:id="1727" w:name="_Toc485323169"/>
      <w:bookmarkStart w:id="1728" w:name="_Toc497214064"/>
      <w:bookmarkStart w:id="1729" w:name="_Toc489280201"/>
      <w:bookmarkStart w:id="1730" w:name="_Toc22031689"/>
      <w:bookmarkStart w:id="1731" w:name="_Toc490331686"/>
      <w:bookmarkStart w:id="1732" w:name="_Toc486580395"/>
      <w:bookmarkStart w:id="1733" w:name="_Toc135239915"/>
      <w:r>
        <w:rPr>
          <w:rFonts w:hint="eastAsia" w:ascii="宋体" w:hAnsi="宋体" w:eastAsia="宋体" w:cs="宋体"/>
        </w:rPr>
        <w:t>7.交通运输</w:t>
      </w:r>
      <w:bookmarkEnd w:id="1727"/>
      <w:bookmarkEnd w:id="1728"/>
      <w:bookmarkEnd w:id="1729"/>
      <w:bookmarkEnd w:id="1730"/>
      <w:bookmarkEnd w:id="1731"/>
      <w:bookmarkEnd w:id="1732"/>
      <w:bookmarkEnd w:id="1733"/>
    </w:p>
    <w:p w14:paraId="7A67C211">
      <w:pPr>
        <w:pStyle w:val="94"/>
        <w:spacing w:before="156" w:after="156"/>
        <w:outlineLvl w:val="1"/>
        <w:rPr>
          <w:rFonts w:hint="eastAsia" w:ascii="宋体" w:hAnsi="宋体" w:eastAsia="宋体" w:cs="宋体"/>
        </w:rPr>
      </w:pPr>
      <w:bookmarkStart w:id="1734" w:name="_Toc22031690"/>
      <w:bookmarkStart w:id="1735" w:name="_Toc486580396"/>
      <w:bookmarkStart w:id="1736" w:name="_Toc489280202"/>
      <w:bookmarkStart w:id="1737" w:name="_Toc485323170"/>
      <w:bookmarkStart w:id="1738" w:name="_Toc135239916"/>
      <w:bookmarkStart w:id="1739" w:name="_Toc490331687"/>
      <w:bookmarkStart w:id="1740" w:name="_Toc497214065"/>
      <w:r>
        <w:rPr>
          <w:rFonts w:hint="eastAsia" w:ascii="宋体" w:hAnsi="宋体" w:eastAsia="宋体" w:cs="宋体"/>
        </w:rPr>
        <w:t>7.1  道路通行权和场外设施</w:t>
      </w:r>
      <w:bookmarkEnd w:id="1734"/>
      <w:bookmarkEnd w:id="1735"/>
      <w:bookmarkEnd w:id="1736"/>
      <w:bookmarkEnd w:id="1737"/>
      <w:bookmarkEnd w:id="1738"/>
      <w:bookmarkEnd w:id="1739"/>
      <w:bookmarkEnd w:id="1740"/>
    </w:p>
    <w:p w14:paraId="798D0EB1">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负责取得道路通行权、场外设施修建权的办理人:</w:t>
      </w:r>
      <w:r>
        <w:rPr>
          <w:rFonts w:hint="eastAsia" w:ascii="宋体" w:hAnsi="宋体" w:eastAsia="宋体" w:cs="宋体"/>
          <w:szCs w:val="21"/>
          <w:u w:val="single"/>
        </w:rPr>
        <w:t>承包人</w:t>
      </w:r>
      <w:r>
        <w:rPr>
          <w:rFonts w:hint="eastAsia" w:ascii="宋体" w:hAnsi="宋体" w:eastAsia="宋体" w:cs="宋体"/>
          <w:szCs w:val="21"/>
        </w:rPr>
        <w:t>，其相关费用由发包人承担。</w:t>
      </w:r>
    </w:p>
    <w:p w14:paraId="33799AB5">
      <w:pPr>
        <w:pStyle w:val="94"/>
        <w:spacing w:before="156" w:after="156"/>
        <w:outlineLvl w:val="1"/>
        <w:rPr>
          <w:rFonts w:hint="eastAsia" w:ascii="宋体" w:hAnsi="宋体" w:eastAsia="宋体" w:cs="宋体"/>
        </w:rPr>
      </w:pPr>
      <w:bookmarkStart w:id="1741" w:name="_Toc22031691"/>
      <w:bookmarkStart w:id="1742" w:name="_Toc490331688"/>
      <w:bookmarkStart w:id="1743" w:name="_Toc497214066"/>
      <w:bookmarkStart w:id="1744" w:name="_Toc135239917"/>
      <w:bookmarkStart w:id="1745" w:name="_Toc486580397"/>
      <w:bookmarkStart w:id="1746" w:name="_Toc489280203"/>
      <w:bookmarkStart w:id="1747" w:name="_Toc485323171"/>
      <w:r>
        <w:rPr>
          <w:rFonts w:hint="eastAsia" w:ascii="宋体" w:hAnsi="宋体" w:eastAsia="宋体" w:cs="宋体"/>
        </w:rPr>
        <w:t>7.2  场内施工道路</w:t>
      </w:r>
      <w:bookmarkEnd w:id="1741"/>
      <w:bookmarkEnd w:id="1742"/>
      <w:bookmarkEnd w:id="1743"/>
      <w:bookmarkEnd w:id="1744"/>
      <w:bookmarkEnd w:id="1745"/>
      <w:bookmarkEnd w:id="1746"/>
      <w:bookmarkEnd w:id="1747"/>
    </w:p>
    <w:p w14:paraId="5B30D5B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7.2.1  施工所需的场内临时道路和交通设施的修建、维护、养护和管理人：</w:t>
      </w:r>
      <w:r>
        <w:rPr>
          <w:rFonts w:hint="eastAsia" w:ascii="宋体" w:hAnsi="宋体" w:eastAsia="宋体" w:cs="宋体"/>
          <w:szCs w:val="21"/>
          <w:u w:val="single"/>
        </w:rPr>
        <w:t>承包人</w:t>
      </w:r>
      <w:r>
        <w:rPr>
          <w:rFonts w:hint="eastAsia" w:ascii="宋体" w:hAnsi="宋体" w:eastAsia="宋体" w:cs="宋体"/>
          <w:szCs w:val="21"/>
        </w:rPr>
        <w:t>，相关费用由</w:t>
      </w:r>
      <w:r>
        <w:rPr>
          <w:rFonts w:hint="eastAsia" w:ascii="宋体" w:hAnsi="宋体" w:eastAsia="宋体" w:cs="宋体"/>
          <w:szCs w:val="21"/>
          <w:u w:val="single"/>
        </w:rPr>
        <w:t>承包人</w:t>
      </w:r>
      <w:r>
        <w:rPr>
          <w:rFonts w:hint="eastAsia" w:ascii="宋体" w:hAnsi="宋体" w:eastAsia="宋体" w:cs="宋体"/>
          <w:szCs w:val="21"/>
        </w:rPr>
        <w:t>承担。</w:t>
      </w:r>
    </w:p>
    <w:p w14:paraId="7B839DA7">
      <w:pPr>
        <w:pStyle w:val="94"/>
        <w:spacing w:before="156" w:after="156"/>
        <w:outlineLvl w:val="1"/>
        <w:rPr>
          <w:rFonts w:hint="eastAsia" w:ascii="宋体" w:hAnsi="宋体" w:eastAsia="宋体" w:cs="宋体"/>
        </w:rPr>
      </w:pPr>
      <w:bookmarkStart w:id="1748" w:name="_Toc489280204"/>
      <w:bookmarkStart w:id="1749" w:name="_Toc22031692"/>
      <w:bookmarkStart w:id="1750" w:name="_Toc486580398"/>
      <w:bookmarkStart w:id="1751" w:name="_Toc497214067"/>
      <w:bookmarkStart w:id="1752" w:name="_Toc485323172"/>
      <w:bookmarkStart w:id="1753" w:name="_Toc490331689"/>
      <w:bookmarkStart w:id="1754" w:name="_Toc135239918"/>
      <w:r>
        <w:rPr>
          <w:rFonts w:hint="eastAsia" w:ascii="宋体" w:hAnsi="宋体" w:eastAsia="宋体" w:cs="宋体"/>
        </w:rPr>
        <w:t>7.3  超大件和超重件的运输</w:t>
      </w:r>
      <w:bookmarkEnd w:id="1748"/>
      <w:bookmarkEnd w:id="1749"/>
      <w:bookmarkEnd w:id="1750"/>
      <w:bookmarkEnd w:id="1751"/>
      <w:bookmarkEnd w:id="1752"/>
      <w:bookmarkEnd w:id="1753"/>
      <w:bookmarkEnd w:id="1754"/>
    </w:p>
    <w:p w14:paraId="0343F72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运输超大件或超重件所需的道路和桥梁临时加固改造等费用的承担人：</w:t>
      </w:r>
      <w:r>
        <w:rPr>
          <w:rFonts w:hint="eastAsia" w:ascii="宋体" w:hAnsi="宋体" w:eastAsia="宋体" w:cs="宋体"/>
          <w:szCs w:val="21"/>
          <w:u w:val="single"/>
        </w:rPr>
        <w:t>由承包人承担，费用计入投标报价。</w:t>
      </w:r>
    </w:p>
    <w:p w14:paraId="616D1A6F">
      <w:pPr>
        <w:pStyle w:val="92"/>
        <w:spacing w:before="156" w:after="156"/>
        <w:outlineLvl w:val="0"/>
        <w:rPr>
          <w:rFonts w:hint="eastAsia" w:ascii="宋体" w:hAnsi="宋体" w:eastAsia="宋体" w:cs="宋体"/>
        </w:rPr>
      </w:pPr>
      <w:bookmarkStart w:id="1755" w:name="_Toc490331690"/>
      <w:bookmarkStart w:id="1756" w:name="_Toc135239919"/>
      <w:bookmarkStart w:id="1757" w:name="_Toc22031693"/>
      <w:bookmarkStart w:id="1758" w:name="_Toc486580399"/>
      <w:bookmarkStart w:id="1759" w:name="_Toc497214068"/>
      <w:bookmarkStart w:id="1760" w:name="_Toc489280205"/>
      <w:bookmarkStart w:id="1761" w:name="_Toc485323173"/>
      <w:r>
        <w:rPr>
          <w:rFonts w:hint="eastAsia" w:ascii="宋体" w:hAnsi="宋体" w:eastAsia="宋体" w:cs="宋体"/>
        </w:rPr>
        <w:t>8.测量放线</w:t>
      </w:r>
      <w:bookmarkEnd w:id="1755"/>
      <w:bookmarkEnd w:id="1756"/>
      <w:bookmarkEnd w:id="1757"/>
      <w:bookmarkEnd w:id="1758"/>
      <w:bookmarkEnd w:id="1759"/>
      <w:bookmarkEnd w:id="1760"/>
      <w:bookmarkEnd w:id="1761"/>
    </w:p>
    <w:p w14:paraId="319C05EB">
      <w:pPr>
        <w:pStyle w:val="94"/>
        <w:spacing w:before="156" w:after="156"/>
        <w:outlineLvl w:val="1"/>
        <w:rPr>
          <w:rFonts w:hint="eastAsia" w:ascii="宋体" w:hAnsi="宋体" w:eastAsia="宋体" w:cs="宋体"/>
        </w:rPr>
      </w:pPr>
      <w:bookmarkStart w:id="1762" w:name="_Toc22031694"/>
      <w:bookmarkStart w:id="1763" w:name="_Toc485323174"/>
      <w:bookmarkStart w:id="1764" w:name="_Toc135239920"/>
      <w:bookmarkStart w:id="1765" w:name="_Toc490331691"/>
      <w:bookmarkStart w:id="1766" w:name="_Toc497214069"/>
      <w:bookmarkStart w:id="1767" w:name="_Toc489280206"/>
      <w:bookmarkStart w:id="1768" w:name="_Toc486580400"/>
      <w:r>
        <w:rPr>
          <w:rFonts w:hint="eastAsia" w:ascii="宋体" w:hAnsi="宋体" w:eastAsia="宋体" w:cs="宋体"/>
        </w:rPr>
        <w:t>8.1  施工控制网</w:t>
      </w:r>
      <w:bookmarkEnd w:id="1762"/>
      <w:bookmarkEnd w:id="1763"/>
      <w:bookmarkEnd w:id="1764"/>
      <w:bookmarkEnd w:id="1765"/>
      <w:bookmarkEnd w:id="1766"/>
      <w:bookmarkEnd w:id="1767"/>
      <w:bookmarkEnd w:id="1768"/>
    </w:p>
    <w:p w14:paraId="499BE0F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8.1.1  发包人通过监理人提供测量基准点、基准线和水准点及其书面资料的期限：</w:t>
      </w:r>
      <w:r>
        <w:rPr>
          <w:rFonts w:hint="eastAsia" w:ascii="宋体" w:hAnsi="宋体" w:eastAsia="宋体" w:cs="宋体"/>
          <w:szCs w:val="21"/>
          <w:u w:val="single"/>
        </w:rPr>
        <w:t>合同签订后15日内</w:t>
      </w:r>
    </w:p>
    <w:p w14:paraId="7C11257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8.1.2  承包人测设施工控制网的其他要求：</w:t>
      </w:r>
      <w:r>
        <w:rPr>
          <w:rFonts w:hint="eastAsia" w:ascii="宋体" w:hAnsi="宋体" w:eastAsia="宋体" w:cs="宋体"/>
          <w:szCs w:val="21"/>
          <w:u w:val="single"/>
        </w:rPr>
        <w:t>根据技术规范和合同要求的工程精度，测设施工控制网。</w:t>
      </w:r>
    </w:p>
    <w:p w14:paraId="38D7FF22">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承包人将施工控制网资料报送监理人审批的期限：</w:t>
      </w:r>
      <w:r>
        <w:rPr>
          <w:rFonts w:hint="eastAsia" w:ascii="宋体" w:hAnsi="宋体" w:eastAsia="宋体" w:cs="宋体"/>
          <w:szCs w:val="21"/>
          <w:u w:val="single"/>
        </w:rPr>
        <w:t>根据技术规范和合同要求的工程精度，测设施工控制网。</w:t>
      </w:r>
    </w:p>
    <w:p w14:paraId="51638335">
      <w:pPr>
        <w:pStyle w:val="92"/>
        <w:spacing w:before="156" w:after="156"/>
        <w:outlineLvl w:val="0"/>
        <w:rPr>
          <w:rFonts w:hint="eastAsia" w:ascii="宋体" w:hAnsi="宋体" w:eastAsia="宋体" w:cs="宋体"/>
        </w:rPr>
      </w:pPr>
      <w:bookmarkStart w:id="1769" w:name="_Toc485323175"/>
      <w:bookmarkStart w:id="1770" w:name="_Toc497214070"/>
      <w:bookmarkStart w:id="1771" w:name="_Toc486580401"/>
      <w:bookmarkStart w:id="1772" w:name="_Toc489280207"/>
      <w:bookmarkStart w:id="1773" w:name="_Toc490331692"/>
      <w:bookmarkStart w:id="1774" w:name="_Toc22031695"/>
      <w:bookmarkStart w:id="1775" w:name="_Toc135239921"/>
      <w:r>
        <w:rPr>
          <w:rFonts w:hint="eastAsia" w:ascii="宋体" w:hAnsi="宋体" w:eastAsia="宋体" w:cs="宋体"/>
        </w:rPr>
        <w:t>9.施工安全、治安保卫和环境保护</w:t>
      </w:r>
      <w:bookmarkEnd w:id="1769"/>
      <w:bookmarkEnd w:id="1770"/>
      <w:bookmarkEnd w:id="1771"/>
      <w:bookmarkEnd w:id="1772"/>
      <w:bookmarkEnd w:id="1773"/>
      <w:bookmarkEnd w:id="1774"/>
      <w:bookmarkEnd w:id="1775"/>
    </w:p>
    <w:p w14:paraId="71AD6982">
      <w:pPr>
        <w:pStyle w:val="94"/>
        <w:spacing w:before="156" w:after="156"/>
        <w:outlineLvl w:val="1"/>
        <w:rPr>
          <w:rFonts w:hint="eastAsia" w:ascii="宋体" w:hAnsi="宋体" w:eastAsia="宋体" w:cs="宋体"/>
        </w:rPr>
      </w:pPr>
      <w:bookmarkStart w:id="1776" w:name="_Toc485323176"/>
      <w:bookmarkStart w:id="1777" w:name="_Toc486580402"/>
      <w:bookmarkStart w:id="1778" w:name="_Toc135239922"/>
      <w:bookmarkStart w:id="1779" w:name="_Toc497214071"/>
      <w:bookmarkStart w:id="1780" w:name="_Toc22031696"/>
      <w:bookmarkStart w:id="1781" w:name="_Toc489280208"/>
      <w:bookmarkStart w:id="1782" w:name="_Toc490331693"/>
      <w:r>
        <w:rPr>
          <w:rFonts w:hint="eastAsia" w:ascii="宋体" w:hAnsi="宋体" w:eastAsia="宋体" w:cs="宋体"/>
        </w:rPr>
        <w:t>9.1  承包人的施工安全责任</w:t>
      </w:r>
      <w:bookmarkEnd w:id="1776"/>
      <w:bookmarkEnd w:id="1777"/>
      <w:bookmarkEnd w:id="1778"/>
      <w:bookmarkEnd w:id="1779"/>
      <w:bookmarkEnd w:id="1780"/>
      <w:bookmarkEnd w:id="1781"/>
      <w:bookmarkEnd w:id="1782"/>
    </w:p>
    <w:p w14:paraId="24B59797">
      <w:pPr>
        <w:pStyle w:val="26"/>
        <w:spacing w:after="0" w:line="360" w:lineRule="auto"/>
        <w:rPr>
          <w:rFonts w:hint="eastAsia" w:ascii="宋体" w:hAnsi="宋体" w:eastAsia="宋体" w:cs="宋体"/>
          <w:sz w:val="21"/>
          <w:szCs w:val="21"/>
        </w:rPr>
      </w:pPr>
      <w:bookmarkStart w:id="1783" w:name="_Toc485323177"/>
      <w:bookmarkStart w:id="1784" w:name="_Toc489280209"/>
      <w:bookmarkStart w:id="1785" w:name="_Toc486580403"/>
      <w:r>
        <w:rPr>
          <w:rFonts w:hint="eastAsia" w:ascii="宋体" w:hAnsi="宋体" w:eastAsia="宋体" w:cs="宋体"/>
          <w:sz w:val="21"/>
          <w:szCs w:val="21"/>
        </w:rPr>
        <w:t>9.1.1  承包人向监理人报送施工安全措施计划的期限：</w:t>
      </w:r>
      <w:r>
        <w:rPr>
          <w:rFonts w:hint="eastAsia" w:ascii="宋体" w:hAnsi="宋体" w:eastAsia="宋体" w:cs="宋体"/>
          <w:szCs w:val="21"/>
          <w:u w:val="single"/>
        </w:rPr>
        <w:t>合同生效后7天内</w:t>
      </w:r>
    </w:p>
    <w:p w14:paraId="65853CF7">
      <w:pPr>
        <w:pStyle w:val="26"/>
        <w:spacing w:after="0" w:line="360" w:lineRule="auto"/>
        <w:rPr>
          <w:rFonts w:hint="eastAsia" w:ascii="宋体" w:hAnsi="宋体" w:eastAsia="宋体" w:cs="宋体"/>
          <w:sz w:val="21"/>
          <w:szCs w:val="21"/>
        </w:rPr>
      </w:pPr>
      <w:r>
        <w:rPr>
          <w:rFonts w:hint="eastAsia" w:ascii="宋体" w:hAnsi="宋体" w:eastAsia="宋体" w:cs="宋体"/>
          <w:sz w:val="21"/>
          <w:szCs w:val="21"/>
        </w:rPr>
        <w:t>监理人收到承包人报送的施工安全措施计划后应当在</w:t>
      </w:r>
      <w:r>
        <w:rPr>
          <w:rFonts w:hint="eastAsia" w:ascii="宋体" w:hAnsi="宋体" w:eastAsia="宋体" w:cs="宋体"/>
          <w:szCs w:val="21"/>
          <w:u w:val="single"/>
        </w:rPr>
        <w:t xml:space="preserve">5 </w:t>
      </w:r>
      <w:r>
        <w:rPr>
          <w:rFonts w:hint="eastAsia" w:ascii="宋体" w:hAnsi="宋体" w:eastAsia="宋体" w:cs="宋体"/>
          <w:sz w:val="21"/>
          <w:szCs w:val="21"/>
        </w:rPr>
        <w:t>天内给予批复。</w:t>
      </w:r>
    </w:p>
    <w:p w14:paraId="4380CA03">
      <w:pPr>
        <w:pStyle w:val="94"/>
        <w:spacing w:before="156" w:after="156"/>
        <w:outlineLvl w:val="1"/>
        <w:rPr>
          <w:rFonts w:hint="eastAsia" w:ascii="宋体" w:hAnsi="宋体" w:eastAsia="宋体" w:cs="宋体"/>
        </w:rPr>
      </w:pPr>
      <w:bookmarkStart w:id="1786" w:name="_Toc22031697"/>
      <w:bookmarkStart w:id="1787" w:name="_Toc497214072"/>
      <w:bookmarkStart w:id="1788" w:name="_Toc135239923"/>
      <w:bookmarkStart w:id="1789" w:name="_Toc490331694"/>
      <w:r>
        <w:rPr>
          <w:rFonts w:hint="eastAsia" w:ascii="宋体" w:hAnsi="宋体" w:eastAsia="宋体" w:cs="宋体"/>
        </w:rPr>
        <w:t>9.2  治安保卫</w:t>
      </w:r>
      <w:bookmarkEnd w:id="1783"/>
      <w:bookmarkEnd w:id="1784"/>
      <w:bookmarkEnd w:id="1785"/>
      <w:bookmarkEnd w:id="1786"/>
      <w:bookmarkEnd w:id="1787"/>
      <w:bookmarkEnd w:id="1788"/>
      <w:bookmarkEnd w:id="1789"/>
    </w:p>
    <w:p w14:paraId="3ED2BFB7">
      <w:pPr>
        <w:pStyle w:val="26"/>
        <w:spacing w:after="0" w:line="360" w:lineRule="auto"/>
        <w:rPr>
          <w:rFonts w:hint="eastAsia" w:ascii="宋体" w:hAnsi="宋体" w:eastAsia="宋体" w:cs="宋体"/>
          <w:sz w:val="21"/>
          <w:szCs w:val="21"/>
        </w:rPr>
      </w:pPr>
      <w:bookmarkStart w:id="1790" w:name="_Toc485323178"/>
      <w:bookmarkStart w:id="1791" w:name="_Toc489280210"/>
      <w:bookmarkStart w:id="1792" w:name="_Toc486580404"/>
      <w:r>
        <w:rPr>
          <w:rFonts w:hint="eastAsia" w:ascii="宋体" w:hAnsi="宋体" w:eastAsia="宋体" w:cs="宋体"/>
          <w:sz w:val="21"/>
          <w:szCs w:val="21"/>
        </w:rPr>
        <w:t>9.2.1 制定施工场地治安管理计划和突发治安事件紧急预案的责任人</w:t>
      </w:r>
      <w:r>
        <w:rPr>
          <w:rFonts w:hint="eastAsia" w:ascii="宋体" w:hAnsi="宋体" w:eastAsia="宋体" w:cs="宋体"/>
          <w:szCs w:val="21"/>
        </w:rPr>
        <w:t>：</w:t>
      </w:r>
      <w:r>
        <w:rPr>
          <w:rFonts w:hint="eastAsia" w:ascii="宋体" w:hAnsi="宋体" w:eastAsia="宋体" w:cs="宋体"/>
          <w:szCs w:val="21"/>
          <w:u w:val="single"/>
        </w:rPr>
        <w:t>承包人</w:t>
      </w:r>
    </w:p>
    <w:p w14:paraId="3611952A">
      <w:pPr>
        <w:pStyle w:val="94"/>
        <w:spacing w:before="156" w:after="156"/>
        <w:outlineLvl w:val="1"/>
        <w:rPr>
          <w:rFonts w:hint="eastAsia" w:ascii="宋体" w:hAnsi="宋体" w:eastAsia="宋体" w:cs="宋体"/>
        </w:rPr>
      </w:pPr>
      <w:bookmarkStart w:id="1793" w:name="_Toc22031698"/>
      <w:bookmarkStart w:id="1794" w:name="_Toc497214073"/>
      <w:bookmarkStart w:id="1795" w:name="_Toc490331695"/>
      <w:bookmarkStart w:id="1796" w:name="_Toc135239924"/>
      <w:r>
        <w:rPr>
          <w:rFonts w:hint="eastAsia" w:ascii="宋体" w:hAnsi="宋体" w:eastAsia="宋体" w:cs="宋体"/>
        </w:rPr>
        <w:t>9.3  环境保护</w:t>
      </w:r>
      <w:bookmarkEnd w:id="1790"/>
      <w:bookmarkEnd w:id="1791"/>
      <w:bookmarkEnd w:id="1792"/>
      <w:bookmarkEnd w:id="1793"/>
      <w:bookmarkEnd w:id="1794"/>
      <w:bookmarkEnd w:id="1795"/>
      <w:bookmarkEnd w:id="1796"/>
    </w:p>
    <w:p w14:paraId="5B944340">
      <w:pPr>
        <w:pStyle w:val="26"/>
        <w:spacing w:after="0" w:line="360" w:lineRule="auto"/>
        <w:rPr>
          <w:rFonts w:hint="eastAsia" w:ascii="宋体" w:hAnsi="宋体" w:eastAsia="宋体" w:cs="宋体"/>
          <w:sz w:val="21"/>
          <w:szCs w:val="21"/>
        </w:rPr>
      </w:pPr>
      <w:bookmarkStart w:id="1797" w:name="_Toc486580405"/>
      <w:bookmarkStart w:id="1798" w:name="_Toc485323179"/>
      <w:bookmarkStart w:id="1799" w:name="_Toc489280211"/>
      <w:r>
        <w:rPr>
          <w:rFonts w:hint="eastAsia" w:ascii="宋体" w:hAnsi="宋体" w:eastAsia="宋体" w:cs="宋体"/>
          <w:sz w:val="21"/>
          <w:szCs w:val="21"/>
        </w:rPr>
        <w:t>9.3.1  施工环保措施计划报送监理人审批的时间</w:t>
      </w:r>
      <w:r>
        <w:rPr>
          <w:rFonts w:hint="eastAsia" w:ascii="宋体" w:hAnsi="宋体" w:eastAsia="宋体" w:cs="宋体"/>
          <w:szCs w:val="21"/>
        </w:rPr>
        <w:t>：</w:t>
      </w:r>
      <w:r>
        <w:rPr>
          <w:rFonts w:hint="eastAsia" w:ascii="宋体" w:hAnsi="宋体" w:eastAsia="宋体" w:cs="宋体"/>
          <w:szCs w:val="21"/>
          <w:u w:val="single"/>
        </w:rPr>
        <w:t>签订合同后7天内。</w:t>
      </w:r>
    </w:p>
    <w:p w14:paraId="61E4C3AB">
      <w:pPr>
        <w:pStyle w:val="26"/>
        <w:spacing w:after="0" w:line="360" w:lineRule="auto"/>
        <w:rPr>
          <w:rFonts w:hint="eastAsia" w:ascii="宋体" w:hAnsi="宋体" w:eastAsia="宋体" w:cs="宋体"/>
          <w:sz w:val="21"/>
          <w:szCs w:val="21"/>
        </w:rPr>
      </w:pPr>
      <w:r>
        <w:rPr>
          <w:rFonts w:hint="eastAsia" w:ascii="宋体" w:hAnsi="宋体" w:eastAsia="宋体" w:cs="宋体"/>
          <w:sz w:val="21"/>
          <w:szCs w:val="21"/>
        </w:rPr>
        <w:t>监理人收到承包人报送的施工环保措施计划后应当在</w:t>
      </w:r>
      <w:r>
        <w:rPr>
          <w:rFonts w:hint="eastAsia" w:ascii="宋体" w:hAnsi="宋体" w:eastAsia="宋体" w:cs="宋体"/>
          <w:szCs w:val="21"/>
          <w:u w:val="single"/>
        </w:rPr>
        <w:t xml:space="preserve">5 </w:t>
      </w:r>
      <w:r>
        <w:rPr>
          <w:rFonts w:hint="eastAsia" w:ascii="宋体" w:hAnsi="宋体" w:eastAsia="宋体" w:cs="宋体"/>
          <w:sz w:val="21"/>
          <w:szCs w:val="21"/>
        </w:rPr>
        <w:t>天内给予批复。</w:t>
      </w:r>
    </w:p>
    <w:p w14:paraId="203353A9">
      <w:pPr>
        <w:pStyle w:val="94"/>
        <w:spacing w:before="156" w:after="156"/>
        <w:rPr>
          <w:rFonts w:hint="eastAsia" w:ascii="宋体" w:hAnsi="宋体" w:eastAsia="宋体" w:cs="宋体"/>
        </w:rPr>
      </w:pPr>
      <w:bookmarkStart w:id="1800" w:name="_Toc135239925"/>
      <w:bookmarkStart w:id="1801" w:name="_Toc22031699"/>
      <w:bookmarkStart w:id="1802" w:name="_Hlk8723534"/>
      <w:r>
        <w:rPr>
          <w:rFonts w:hint="eastAsia" w:ascii="宋体" w:hAnsi="宋体" w:eastAsia="宋体" w:cs="宋体"/>
        </w:rPr>
        <w:t>9.4  施工现场安全生产标准化管理目标</w:t>
      </w:r>
      <w:bookmarkEnd w:id="1800"/>
      <w:bookmarkEnd w:id="1801"/>
    </w:p>
    <w:p w14:paraId="6C1D3A62">
      <w:pPr>
        <w:pStyle w:val="26"/>
        <w:tabs>
          <w:tab w:val="left" w:pos="1134"/>
        </w:tabs>
        <w:spacing w:line="360" w:lineRule="auto"/>
        <w:rPr>
          <w:rFonts w:hint="eastAsia" w:ascii="宋体" w:hAnsi="宋体" w:eastAsia="宋体" w:cs="宋体"/>
          <w:sz w:val="21"/>
          <w:szCs w:val="21"/>
        </w:rPr>
      </w:pPr>
      <w:r>
        <w:rPr>
          <w:rFonts w:hint="eastAsia" w:ascii="宋体" w:hAnsi="宋体" w:eastAsia="宋体" w:cs="宋体"/>
          <w:sz w:val="21"/>
          <w:szCs w:val="21"/>
        </w:rPr>
        <w:t>9.4.1 未达到合同协议书中约定的安全生产标准化管理目标等级的违约金或损失赔偿金的金额或者计算方法：</w:t>
      </w:r>
      <w:r>
        <w:rPr>
          <w:rFonts w:hint="eastAsia" w:ascii="宋体" w:hAnsi="宋体" w:eastAsia="宋体" w:cs="宋体"/>
          <w:sz w:val="21"/>
          <w:szCs w:val="21"/>
          <w:u w:val="single"/>
        </w:rPr>
        <w:t xml:space="preserve">       /     </w:t>
      </w:r>
    </w:p>
    <w:p w14:paraId="3855A016">
      <w:pPr>
        <w:pStyle w:val="26"/>
        <w:spacing w:line="360" w:lineRule="auto"/>
        <w:rPr>
          <w:rFonts w:hint="eastAsia" w:ascii="宋体" w:hAnsi="宋体" w:eastAsia="宋体" w:cs="宋体"/>
          <w:sz w:val="21"/>
          <w:szCs w:val="21"/>
        </w:rPr>
      </w:pPr>
      <w:r>
        <w:rPr>
          <w:rFonts w:hint="eastAsia" w:ascii="宋体" w:hAnsi="宋体" w:eastAsia="宋体" w:cs="宋体"/>
          <w:sz w:val="21"/>
          <w:szCs w:val="21"/>
        </w:rPr>
        <w:t xml:space="preserve">9.4.2  发包人 </w:t>
      </w:r>
      <w:r>
        <w:rPr>
          <w:rFonts w:hint="eastAsia" w:ascii="宋体" w:hAnsi="宋体" w:eastAsia="宋体" w:cs="宋体"/>
          <w:sz w:val="21"/>
          <w:szCs w:val="21"/>
          <w:u w:val="single"/>
        </w:rPr>
        <w:t xml:space="preserve"> 不给予  </w:t>
      </w:r>
      <w:r>
        <w:rPr>
          <w:rFonts w:hint="eastAsia" w:ascii="宋体" w:hAnsi="宋体" w:eastAsia="宋体" w:cs="宋体"/>
          <w:sz w:val="21"/>
          <w:szCs w:val="21"/>
        </w:rPr>
        <w:t>（给予/不给予）承包人创优奖励。发包人给予承包人创优奖励的，创优奖励金额或者计算方法：</w:t>
      </w:r>
      <w:r>
        <w:rPr>
          <w:rFonts w:hint="eastAsia" w:ascii="宋体" w:hAnsi="宋体" w:eastAsia="宋体" w:cs="宋体"/>
          <w:sz w:val="21"/>
          <w:szCs w:val="21"/>
          <w:u w:val="single"/>
        </w:rPr>
        <w:t xml:space="preserve">       /     </w:t>
      </w:r>
    </w:p>
    <w:p w14:paraId="47EB47C7">
      <w:pPr>
        <w:pStyle w:val="94"/>
        <w:spacing w:before="156" w:after="156"/>
        <w:rPr>
          <w:rFonts w:hint="eastAsia" w:ascii="宋体" w:hAnsi="宋体" w:eastAsia="宋体" w:cs="宋体"/>
        </w:rPr>
      </w:pPr>
      <w:bookmarkStart w:id="1803" w:name="_Toc135239926"/>
      <w:bookmarkStart w:id="1804" w:name="_Toc22031700"/>
      <w:r>
        <w:rPr>
          <w:rFonts w:hint="eastAsia" w:ascii="宋体" w:hAnsi="宋体" w:eastAsia="宋体" w:cs="宋体"/>
        </w:rPr>
        <w:t>9.5  特殊安全文明施工</w:t>
      </w:r>
      <w:bookmarkEnd w:id="1803"/>
      <w:bookmarkEnd w:id="1804"/>
    </w:p>
    <w:p w14:paraId="282D8AB1">
      <w:pPr>
        <w:pStyle w:val="26"/>
        <w:tabs>
          <w:tab w:val="left" w:pos="1134"/>
        </w:tabs>
        <w:spacing w:line="360" w:lineRule="auto"/>
        <w:rPr>
          <w:rFonts w:hint="eastAsia" w:ascii="宋体" w:hAnsi="宋体" w:eastAsia="宋体" w:cs="宋体"/>
          <w:sz w:val="21"/>
          <w:szCs w:val="21"/>
        </w:rPr>
      </w:pPr>
      <w:r>
        <w:rPr>
          <w:rFonts w:hint="eastAsia" w:ascii="宋体" w:hAnsi="宋体" w:eastAsia="宋体" w:cs="宋体"/>
          <w:sz w:val="21"/>
          <w:szCs w:val="21"/>
        </w:rPr>
        <w:t>9.5.1 未达到合同约定的特殊安全文明施工要求的违约金或损失赔偿金的金额或者计算方法：</w:t>
      </w:r>
      <w:r>
        <w:rPr>
          <w:rFonts w:hint="eastAsia" w:ascii="宋体" w:hAnsi="宋体" w:eastAsia="宋体" w:cs="宋体"/>
          <w:sz w:val="21"/>
          <w:szCs w:val="21"/>
          <w:u w:val="single"/>
        </w:rPr>
        <w:t xml:space="preserve">       /     </w:t>
      </w:r>
    </w:p>
    <w:p w14:paraId="762E6344">
      <w:pPr>
        <w:pStyle w:val="26"/>
        <w:spacing w:line="360" w:lineRule="auto"/>
        <w:rPr>
          <w:rFonts w:hint="eastAsia" w:ascii="宋体" w:hAnsi="宋体" w:eastAsia="宋体" w:cs="宋体"/>
          <w:sz w:val="21"/>
          <w:szCs w:val="21"/>
        </w:rPr>
      </w:pPr>
      <w:r>
        <w:rPr>
          <w:rFonts w:hint="eastAsia" w:ascii="宋体" w:hAnsi="宋体" w:eastAsia="宋体" w:cs="宋体"/>
          <w:sz w:val="21"/>
          <w:szCs w:val="21"/>
        </w:rPr>
        <w:t xml:space="preserve">9.5.2  发包人 </w:t>
      </w:r>
      <w:r>
        <w:rPr>
          <w:rFonts w:hint="eastAsia" w:ascii="宋体" w:hAnsi="宋体" w:eastAsia="宋体" w:cs="宋体"/>
          <w:sz w:val="21"/>
          <w:szCs w:val="21"/>
          <w:u w:val="single"/>
        </w:rPr>
        <w:t xml:space="preserve"> 不给予  </w:t>
      </w:r>
      <w:r>
        <w:rPr>
          <w:rFonts w:hint="eastAsia" w:ascii="宋体" w:hAnsi="宋体" w:eastAsia="宋体" w:cs="宋体"/>
          <w:sz w:val="21"/>
          <w:szCs w:val="21"/>
        </w:rPr>
        <w:t>（给予/不给予）承包人创优奖励。发包人给予承包人创优奖励的，创优奖励金额或者计算方法：</w:t>
      </w:r>
      <w:r>
        <w:rPr>
          <w:rFonts w:hint="eastAsia" w:ascii="宋体" w:hAnsi="宋体" w:eastAsia="宋体" w:cs="宋体"/>
          <w:sz w:val="21"/>
          <w:szCs w:val="21"/>
          <w:u w:val="single"/>
        </w:rPr>
        <w:t xml:space="preserve">       /     </w:t>
      </w:r>
      <w:bookmarkEnd w:id="1802"/>
    </w:p>
    <w:p w14:paraId="6CA32608">
      <w:pPr>
        <w:pStyle w:val="92"/>
        <w:spacing w:before="156" w:after="156"/>
        <w:outlineLvl w:val="0"/>
        <w:rPr>
          <w:rFonts w:hint="eastAsia" w:ascii="宋体" w:hAnsi="宋体" w:eastAsia="宋体" w:cs="宋体"/>
        </w:rPr>
      </w:pPr>
      <w:bookmarkStart w:id="1805" w:name="_Toc22031701"/>
      <w:bookmarkStart w:id="1806" w:name="_Toc490331696"/>
      <w:bookmarkStart w:id="1807" w:name="_Toc135239927"/>
      <w:bookmarkStart w:id="1808" w:name="_Toc497214074"/>
      <w:r>
        <w:rPr>
          <w:rFonts w:hint="eastAsia" w:ascii="宋体" w:hAnsi="宋体" w:eastAsia="宋体" w:cs="宋体"/>
        </w:rPr>
        <w:t>10.进度计划</w:t>
      </w:r>
      <w:bookmarkEnd w:id="1797"/>
      <w:bookmarkEnd w:id="1798"/>
      <w:bookmarkEnd w:id="1799"/>
      <w:bookmarkEnd w:id="1805"/>
      <w:bookmarkEnd w:id="1806"/>
      <w:bookmarkEnd w:id="1807"/>
      <w:bookmarkEnd w:id="1808"/>
    </w:p>
    <w:p w14:paraId="49F6E456">
      <w:pPr>
        <w:pStyle w:val="94"/>
        <w:spacing w:before="156" w:after="156"/>
        <w:outlineLvl w:val="1"/>
        <w:rPr>
          <w:rFonts w:hint="eastAsia" w:ascii="宋体" w:hAnsi="宋体" w:eastAsia="宋体" w:cs="宋体"/>
        </w:rPr>
      </w:pPr>
      <w:bookmarkStart w:id="1809" w:name="_Toc486580406"/>
      <w:bookmarkStart w:id="1810" w:name="_Toc489280212"/>
      <w:bookmarkStart w:id="1811" w:name="_Toc135239928"/>
      <w:bookmarkStart w:id="1812" w:name="_Toc497214075"/>
      <w:bookmarkStart w:id="1813" w:name="_Toc490331697"/>
      <w:bookmarkStart w:id="1814" w:name="_Toc22031702"/>
      <w:bookmarkStart w:id="1815" w:name="_Toc485323180"/>
      <w:r>
        <w:rPr>
          <w:rFonts w:hint="eastAsia" w:ascii="宋体" w:hAnsi="宋体" w:eastAsia="宋体" w:cs="宋体"/>
        </w:rPr>
        <w:t>10.1  合同进度计划</w:t>
      </w:r>
      <w:bookmarkEnd w:id="1809"/>
      <w:bookmarkEnd w:id="1810"/>
      <w:bookmarkEnd w:id="1811"/>
      <w:bookmarkEnd w:id="1812"/>
      <w:bookmarkEnd w:id="1813"/>
      <w:bookmarkEnd w:id="1814"/>
      <w:bookmarkEnd w:id="1815"/>
    </w:p>
    <w:p w14:paraId="1FA29295">
      <w:pPr>
        <w:pStyle w:val="26"/>
        <w:wordWrap w:val="0"/>
        <w:spacing w:after="0" w:line="360" w:lineRule="auto"/>
        <w:rPr>
          <w:rFonts w:hint="eastAsia" w:ascii="宋体" w:hAnsi="宋体" w:eastAsia="宋体" w:cs="宋体"/>
          <w:sz w:val="21"/>
          <w:szCs w:val="21"/>
        </w:rPr>
      </w:pPr>
      <w:bookmarkStart w:id="1816" w:name="_Toc486580407"/>
      <w:bookmarkStart w:id="1817" w:name="_Toc489280213"/>
      <w:bookmarkStart w:id="1818" w:name="_Toc485323181"/>
      <w:r>
        <w:rPr>
          <w:rFonts w:hint="eastAsia" w:ascii="宋体" w:hAnsi="宋体" w:eastAsia="宋体" w:cs="宋体"/>
          <w:sz w:val="21"/>
          <w:szCs w:val="21"/>
        </w:rPr>
        <w:t>10.1.1  承包人编制施工进度计划和施工方案说明的内容</w:t>
      </w:r>
      <w:r>
        <w:rPr>
          <w:rFonts w:hint="eastAsia" w:ascii="宋体" w:hAnsi="宋体" w:eastAsia="宋体" w:cs="宋体"/>
          <w:szCs w:val="21"/>
        </w:rPr>
        <w:t>：</w:t>
      </w:r>
      <w:r>
        <w:rPr>
          <w:rFonts w:hint="eastAsia" w:ascii="宋体" w:hAnsi="宋体" w:eastAsia="宋体" w:cs="宋体"/>
          <w:szCs w:val="21"/>
          <w:u w:val="single"/>
        </w:rPr>
        <w:t>施工内容，具体的施工方法和要点，施工部署及安排，项目机构人员分工，投入的材料、设备劳动力的安排，质量保证措施，安全保证措施，计划进度及关键线路目标，环保措施等，施工进度计划中还应载明要求发包人组织设计人进行阶段性工程设计交底的时间。</w:t>
      </w:r>
    </w:p>
    <w:p w14:paraId="3ADE21B7">
      <w:pPr>
        <w:pStyle w:val="26"/>
        <w:wordWrap w:val="0"/>
        <w:spacing w:after="0" w:line="360" w:lineRule="auto"/>
        <w:rPr>
          <w:rFonts w:hint="eastAsia" w:ascii="宋体" w:hAnsi="宋体" w:eastAsia="宋体" w:cs="宋体"/>
          <w:sz w:val="21"/>
          <w:szCs w:val="21"/>
        </w:rPr>
      </w:pPr>
      <w:r>
        <w:rPr>
          <w:rFonts w:hint="eastAsia" w:ascii="宋体" w:hAnsi="宋体" w:eastAsia="宋体" w:cs="宋体"/>
          <w:sz w:val="21"/>
          <w:szCs w:val="21"/>
        </w:rPr>
        <w:t>10.1.2  承包人编制分阶段或分项施工进度计划和施工方案说明的内容及时限要求</w:t>
      </w:r>
      <w:r>
        <w:rPr>
          <w:rFonts w:hint="eastAsia" w:ascii="宋体" w:hAnsi="宋体" w:eastAsia="宋体" w:cs="宋体"/>
          <w:szCs w:val="21"/>
        </w:rPr>
        <w:t>：</w:t>
      </w:r>
      <w:r>
        <w:rPr>
          <w:rFonts w:hint="eastAsia" w:ascii="宋体" w:hAnsi="宋体" w:eastAsia="宋体" w:cs="宋体"/>
          <w:szCs w:val="21"/>
          <w:u w:val="single"/>
        </w:rPr>
        <w:t>施工内容，具体的施工方法和要点，施工部署及安排，项目机构人员分工，投入的材料、设备劳动力的安排，质量保证措施，安全保证措施，计划进度及关键线路目标，环保措施等。</w:t>
      </w:r>
    </w:p>
    <w:p w14:paraId="76C03D2C">
      <w:pPr>
        <w:pStyle w:val="26"/>
        <w:spacing w:after="0" w:line="360" w:lineRule="auto"/>
        <w:rPr>
          <w:rFonts w:hint="eastAsia" w:ascii="宋体" w:hAnsi="宋体" w:eastAsia="宋体" w:cs="宋体"/>
          <w:sz w:val="21"/>
          <w:szCs w:val="21"/>
        </w:rPr>
      </w:pPr>
      <w:r>
        <w:rPr>
          <w:rFonts w:hint="eastAsia" w:ascii="宋体" w:hAnsi="宋体" w:eastAsia="宋体" w:cs="宋体"/>
          <w:sz w:val="21"/>
          <w:szCs w:val="21"/>
        </w:rPr>
        <w:t>10.1.3  群体工程中有关编制进度计划和施工方案说明的要求</w:t>
      </w:r>
      <w:r>
        <w:rPr>
          <w:rFonts w:hint="eastAsia" w:ascii="宋体" w:hAnsi="宋体" w:eastAsia="宋体" w:cs="宋体"/>
          <w:szCs w:val="21"/>
        </w:rPr>
        <w:t>：</w:t>
      </w:r>
      <w:r>
        <w:rPr>
          <w:rFonts w:hint="eastAsia" w:ascii="宋体" w:hAnsi="宋体" w:eastAsia="宋体" w:cs="宋体"/>
          <w:sz w:val="21"/>
          <w:szCs w:val="21"/>
          <w:u w:val="single"/>
        </w:rPr>
        <w:t xml:space="preserve">     /    </w:t>
      </w:r>
    </w:p>
    <w:p w14:paraId="47F7BD11">
      <w:pPr>
        <w:pStyle w:val="94"/>
        <w:spacing w:before="156" w:after="156"/>
        <w:outlineLvl w:val="1"/>
        <w:rPr>
          <w:rFonts w:hint="eastAsia" w:ascii="宋体" w:hAnsi="宋体" w:eastAsia="宋体" w:cs="宋体"/>
        </w:rPr>
      </w:pPr>
      <w:bookmarkStart w:id="1819" w:name="_Toc22031703"/>
      <w:bookmarkStart w:id="1820" w:name="_Toc135239929"/>
      <w:bookmarkStart w:id="1821" w:name="_Toc497214076"/>
      <w:bookmarkStart w:id="1822" w:name="_Toc490331698"/>
      <w:r>
        <w:rPr>
          <w:rFonts w:hint="eastAsia" w:ascii="宋体" w:hAnsi="宋体" w:eastAsia="宋体" w:cs="宋体"/>
        </w:rPr>
        <w:t>10.2  合同进度计划的修订</w:t>
      </w:r>
      <w:bookmarkEnd w:id="1816"/>
      <w:bookmarkEnd w:id="1817"/>
      <w:bookmarkEnd w:id="1818"/>
      <w:bookmarkEnd w:id="1819"/>
      <w:bookmarkEnd w:id="1820"/>
      <w:bookmarkEnd w:id="1821"/>
      <w:bookmarkEnd w:id="1822"/>
    </w:p>
    <w:p w14:paraId="061D073A">
      <w:pPr>
        <w:pStyle w:val="26"/>
        <w:spacing w:after="0" w:line="360" w:lineRule="auto"/>
        <w:rPr>
          <w:rFonts w:hint="eastAsia" w:ascii="宋体" w:hAnsi="宋体" w:eastAsia="宋体" w:cs="宋体"/>
          <w:sz w:val="21"/>
          <w:szCs w:val="21"/>
        </w:rPr>
      </w:pPr>
      <w:bookmarkStart w:id="1823" w:name="_Toc485323182"/>
      <w:bookmarkStart w:id="1824" w:name="_Toc486580408"/>
      <w:bookmarkStart w:id="1825" w:name="_Toc489280214"/>
      <w:r>
        <w:rPr>
          <w:rFonts w:hint="eastAsia" w:ascii="宋体" w:hAnsi="宋体" w:eastAsia="宋体" w:cs="宋体"/>
          <w:sz w:val="21"/>
          <w:szCs w:val="21"/>
        </w:rPr>
        <w:t>10.2.1  承包人报送修订合同进度计划申请报告和相关资料的期限</w:t>
      </w:r>
      <w:r>
        <w:rPr>
          <w:rFonts w:hint="eastAsia" w:ascii="宋体" w:hAnsi="宋体" w:eastAsia="宋体" w:cs="宋体"/>
          <w:szCs w:val="21"/>
        </w:rPr>
        <w:t>：</w:t>
      </w:r>
      <w:r>
        <w:rPr>
          <w:rFonts w:hint="eastAsia" w:ascii="宋体" w:hAnsi="宋体" w:eastAsia="宋体" w:cs="宋体"/>
          <w:szCs w:val="21"/>
          <w:u w:val="single"/>
        </w:rPr>
        <w:t>签订合同后7天内。</w:t>
      </w:r>
    </w:p>
    <w:p w14:paraId="22AAEB94">
      <w:pPr>
        <w:pStyle w:val="26"/>
        <w:spacing w:after="0" w:line="360" w:lineRule="auto"/>
        <w:rPr>
          <w:rFonts w:hint="eastAsia" w:ascii="宋体" w:hAnsi="宋体" w:eastAsia="宋体" w:cs="宋体"/>
          <w:sz w:val="21"/>
          <w:szCs w:val="21"/>
        </w:rPr>
      </w:pPr>
      <w:r>
        <w:rPr>
          <w:rFonts w:hint="eastAsia" w:ascii="宋体" w:hAnsi="宋体" w:eastAsia="宋体" w:cs="宋体"/>
          <w:sz w:val="21"/>
          <w:szCs w:val="21"/>
        </w:rPr>
        <w:t>监理人批复修订合同进度计划申请报告的期限</w:t>
      </w:r>
      <w:r>
        <w:rPr>
          <w:rFonts w:hint="eastAsia" w:ascii="宋体" w:hAnsi="宋体" w:eastAsia="宋体" w:cs="宋体"/>
          <w:szCs w:val="21"/>
        </w:rPr>
        <w:t>：</w:t>
      </w:r>
      <w:r>
        <w:rPr>
          <w:rFonts w:hint="eastAsia" w:ascii="宋体" w:hAnsi="宋体" w:eastAsia="宋体" w:cs="宋体"/>
          <w:szCs w:val="21"/>
          <w:u w:val="single"/>
        </w:rPr>
        <w:t>收到后5日内。</w:t>
      </w:r>
    </w:p>
    <w:p w14:paraId="121C4663">
      <w:pPr>
        <w:pStyle w:val="26"/>
        <w:spacing w:after="0" w:line="360" w:lineRule="auto"/>
        <w:rPr>
          <w:rFonts w:hint="eastAsia" w:ascii="宋体" w:hAnsi="宋体" w:eastAsia="宋体" w:cs="宋体"/>
          <w:sz w:val="21"/>
          <w:szCs w:val="21"/>
        </w:rPr>
      </w:pPr>
      <w:r>
        <w:rPr>
          <w:rFonts w:hint="eastAsia" w:ascii="宋体" w:hAnsi="宋体" w:eastAsia="宋体" w:cs="宋体"/>
          <w:sz w:val="21"/>
          <w:szCs w:val="21"/>
        </w:rPr>
        <w:t>10.2.2  监理人批复修订合同进度计划的期限</w:t>
      </w:r>
      <w:r>
        <w:rPr>
          <w:rFonts w:hint="eastAsia" w:ascii="宋体" w:hAnsi="宋体" w:eastAsia="宋体" w:cs="宋体"/>
          <w:szCs w:val="21"/>
        </w:rPr>
        <w:t>：</w:t>
      </w:r>
      <w:r>
        <w:rPr>
          <w:rFonts w:hint="eastAsia" w:ascii="宋体" w:hAnsi="宋体" w:eastAsia="宋体" w:cs="宋体"/>
          <w:szCs w:val="21"/>
          <w:u w:val="single"/>
        </w:rPr>
        <w:t>收到后5日内。</w:t>
      </w:r>
    </w:p>
    <w:p w14:paraId="61C51197">
      <w:pPr>
        <w:pStyle w:val="92"/>
        <w:spacing w:before="156" w:after="156"/>
        <w:outlineLvl w:val="0"/>
        <w:rPr>
          <w:rFonts w:hint="eastAsia" w:ascii="宋体" w:hAnsi="宋体" w:eastAsia="宋体" w:cs="宋体"/>
        </w:rPr>
      </w:pPr>
      <w:bookmarkStart w:id="1826" w:name="_Toc490331699"/>
      <w:bookmarkStart w:id="1827" w:name="_Toc497214077"/>
      <w:bookmarkStart w:id="1828" w:name="_Toc22031704"/>
      <w:bookmarkStart w:id="1829" w:name="_Toc135239930"/>
      <w:r>
        <w:rPr>
          <w:rFonts w:hint="eastAsia" w:ascii="宋体" w:hAnsi="宋体" w:eastAsia="宋体" w:cs="宋体"/>
        </w:rPr>
        <w:t>11.开工和竣工</w:t>
      </w:r>
      <w:bookmarkEnd w:id="1823"/>
      <w:bookmarkEnd w:id="1824"/>
      <w:bookmarkEnd w:id="1825"/>
      <w:bookmarkEnd w:id="1826"/>
      <w:bookmarkEnd w:id="1827"/>
      <w:bookmarkEnd w:id="1828"/>
      <w:bookmarkEnd w:id="1829"/>
    </w:p>
    <w:p w14:paraId="6040AE96">
      <w:pPr>
        <w:pStyle w:val="94"/>
        <w:spacing w:before="156" w:after="156"/>
        <w:outlineLvl w:val="1"/>
        <w:rPr>
          <w:rFonts w:hint="eastAsia" w:ascii="宋体" w:hAnsi="宋体" w:eastAsia="宋体" w:cs="宋体"/>
        </w:rPr>
      </w:pPr>
      <w:bookmarkStart w:id="1830" w:name="_Toc489280215"/>
      <w:bookmarkStart w:id="1831" w:name="_Toc486580409"/>
      <w:bookmarkStart w:id="1832" w:name="_Toc497214078"/>
      <w:bookmarkStart w:id="1833" w:name="_Toc135239931"/>
      <w:bookmarkStart w:id="1834" w:name="_Toc485323183"/>
      <w:bookmarkStart w:id="1835" w:name="_Toc22031705"/>
      <w:bookmarkStart w:id="1836" w:name="_Toc490331700"/>
      <w:r>
        <w:rPr>
          <w:rFonts w:hint="eastAsia" w:ascii="宋体" w:hAnsi="宋体" w:eastAsia="宋体" w:cs="宋体"/>
        </w:rPr>
        <w:t>11.1  发包人的工期延误</w:t>
      </w:r>
      <w:bookmarkEnd w:id="1830"/>
      <w:bookmarkEnd w:id="1831"/>
      <w:bookmarkEnd w:id="1832"/>
      <w:bookmarkEnd w:id="1833"/>
      <w:bookmarkEnd w:id="1834"/>
      <w:bookmarkEnd w:id="1835"/>
      <w:bookmarkEnd w:id="1836"/>
    </w:p>
    <w:p w14:paraId="2C769D70">
      <w:pPr>
        <w:pStyle w:val="26"/>
        <w:wordWrap w:val="0"/>
        <w:spacing w:after="0" w:line="360" w:lineRule="auto"/>
        <w:rPr>
          <w:rFonts w:hint="eastAsia" w:ascii="宋体" w:hAnsi="宋体" w:eastAsia="宋体" w:cs="宋体"/>
          <w:sz w:val="21"/>
          <w:szCs w:val="21"/>
        </w:rPr>
      </w:pPr>
      <w:bookmarkStart w:id="1837" w:name="_Toc485323184"/>
      <w:bookmarkStart w:id="1838" w:name="_Toc486580410"/>
      <w:bookmarkStart w:id="1839" w:name="_Toc489280216"/>
      <w:r>
        <w:rPr>
          <w:rFonts w:hint="eastAsia" w:ascii="宋体" w:hAnsi="宋体" w:eastAsia="宋体" w:cs="宋体"/>
          <w:sz w:val="21"/>
          <w:szCs w:val="21"/>
        </w:rPr>
        <w:t>（1）发包人造成工期延误的其他原因</w:t>
      </w:r>
      <w:r>
        <w:rPr>
          <w:rFonts w:hint="eastAsia" w:ascii="宋体" w:hAnsi="宋体" w:eastAsia="宋体" w:cs="宋体"/>
          <w:szCs w:val="21"/>
        </w:rPr>
        <w:t>：</w:t>
      </w:r>
      <w:r>
        <w:rPr>
          <w:rFonts w:hint="eastAsia" w:ascii="宋体" w:hAnsi="宋体" w:eastAsia="宋体" w:cs="宋体"/>
          <w:szCs w:val="21"/>
          <w:u w:val="single"/>
        </w:rPr>
        <w:t>除发包人原因延期开工外，发包人造成工期延误的其他原因还包括：增加合同内容等延误承包人关键线路工作的情况。因发包人原因造成工程延期承包人不得提出费用索赔。</w:t>
      </w:r>
    </w:p>
    <w:p w14:paraId="5D82AF92">
      <w:pPr>
        <w:pStyle w:val="94"/>
        <w:spacing w:before="156" w:after="156"/>
        <w:outlineLvl w:val="1"/>
        <w:rPr>
          <w:rFonts w:hint="eastAsia" w:ascii="宋体" w:hAnsi="宋体" w:eastAsia="宋体" w:cs="宋体"/>
        </w:rPr>
      </w:pPr>
      <w:bookmarkStart w:id="1840" w:name="_Toc22031706"/>
      <w:bookmarkStart w:id="1841" w:name="_Toc490331701"/>
      <w:bookmarkStart w:id="1842" w:name="_Toc135239932"/>
      <w:bookmarkStart w:id="1843" w:name="_Toc497214079"/>
      <w:r>
        <w:rPr>
          <w:rFonts w:hint="eastAsia" w:ascii="宋体" w:hAnsi="宋体" w:eastAsia="宋体" w:cs="宋体"/>
        </w:rPr>
        <w:t>11.2  异常恶劣的气候条件</w:t>
      </w:r>
      <w:bookmarkEnd w:id="1837"/>
      <w:bookmarkEnd w:id="1838"/>
      <w:bookmarkEnd w:id="1839"/>
      <w:bookmarkEnd w:id="1840"/>
      <w:bookmarkEnd w:id="1841"/>
      <w:bookmarkEnd w:id="1842"/>
      <w:bookmarkEnd w:id="1843"/>
    </w:p>
    <w:p w14:paraId="799664BA">
      <w:pPr>
        <w:pStyle w:val="26"/>
        <w:wordWrap w:val="0"/>
        <w:spacing w:after="0" w:line="360" w:lineRule="auto"/>
        <w:rPr>
          <w:rFonts w:hint="eastAsia" w:ascii="宋体" w:hAnsi="宋体" w:eastAsia="宋体" w:cs="宋体"/>
          <w:sz w:val="21"/>
          <w:szCs w:val="21"/>
        </w:rPr>
      </w:pPr>
      <w:bookmarkStart w:id="1844" w:name="_Toc486580411"/>
      <w:bookmarkStart w:id="1845" w:name="_Toc485323185"/>
      <w:bookmarkStart w:id="1846" w:name="_Toc489280217"/>
      <w:r>
        <w:rPr>
          <w:rFonts w:hint="eastAsia" w:ascii="宋体" w:hAnsi="宋体" w:eastAsia="宋体" w:cs="宋体"/>
          <w:sz w:val="21"/>
          <w:szCs w:val="21"/>
        </w:rPr>
        <w:t>异常恶劣的气候条件的范围和标准</w:t>
      </w:r>
      <w:r>
        <w:rPr>
          <w:rFonts w:hint="eastAsia" w:ascii="宋体" w:hAnsi="宋体" w:eastAsia="宋体" w:cs="宋体"/>
          <w:szCs w:val="21"/>
        </w:rPr>
        <w:t>：</w:t>
      </w:r>
      <w:r>
        <w:rPr>
          <w:rFonts w:hint="eastAsia" w:ascii="宋体" w:hAnsi="宋体" w:eastAsia="宋体" w:cs="宋体"/>
          <w:szCs w:val="21"/>
          <w:u w:val="single"/>
        </w:rPr>
        <w:t>20年一遇的最大降水（雪）量，日气温超过40度的高温大于7天，日气温低于-5度的严寒大于7天。</w:t>
      </w:r>
    </w:p>
    <w:p w14:paraId="19A33AF8">
      <w:pPr>
        <w:pStyle w:val="94"/>
        <w:spacing w:before="156" w:after="156"/>
        <w:outlineLvl w:val="1"/>
        <w:rPr>
          <w:rFonts w:hint="eastAsia" w:ascii="宋体" w:hAnsi="宋体" w:eastAsia="宋体" w:cs="宋体"/>
        </w:rPr>
      </w:pPr>
      <w:bookmarkStart w:id="1847" w:name="_Toc22031707"/>
      <w:bookmarkStart w:id="1848" w:name="_Toc497214080"/>
      <w:bookmarkStart w:id="1849" w:name="_Toc135239933"/>
      <w:bookmarkStart w:id="1850" w:name="_Toc490331702"/>
      <w:r>
        <w:rPr>
          <w:rFonts w:hint="eastAsia" w:ascii="宋体" w:hAnsi="宋体" w:eastAsia="宋体" w:cs="宋体"/>
        </w:rPr>
        <w:t>11.3  承包人的工期延误</w:t>
      </w:r>
      <w:bookmarkEnd w:id="1844"/>
      <w:bookmarkEnd w:id="1845"/>
      <w:bookmarkEnd w:id="1846"/>
      <w:bookmarkEnd w:id="1847"/>
      <w:bookmarkEnd w:id="1848"/>
      <w:bookmarkEnd w:id="1849"/>
      <w:bookmarkEnd w:id="1850"/>
    </w:p>
    <w:p w14:paraId="2619F843">
      <w:pPr>
        <w:pStyle w:val="26"/>
        <w:wordWrap w:val="0"/>
        <w:spacing w:after="0" w:line="360" w:lineRule="auto"/>
        <w:rPr>
          <w:rFonts w:hint="eastAsia" w:ascii="宋体" w:hAnsi="宋体" w:eastAsia="宋体" w:cs="宋体"/>
          <w:sz w:val="21"/>
          <w:szCs w:val="21"/>
        </w:rPr>
      </w:pPr>
      <w:bookmarkStart w:id="1851" w:name="_Toc489280218"/>
      <w:bookmarkStart w:id="1852" w:name="_Toc486580412"/>
      <w:bookmarkStart w:id="1853" w:name="_Toc485323186"/>
      <w:r>
        <w:rPr>
          <w:rFonts w:hint="eastAsia" w:ascii="宋体" w:hAnsi="宋体" w:eastAsia="宋体" w:cs="宋体"/>
          <w:sz w:val="21"/>
          <w:szCs w:val="21"/>
        </w:rPr>
        <w:t>11.3.1  逾期竣工违约金的计算标准和计算方法</w:t>
      </w:r>
      <w:r>
        <w:rPr>
          <w:rFonts w:hint="eastAsia" w:ascii="宋体" w:hAnsi="宋体" w:eastAsia="宋体" w:cs="宋体"/>
          <w:szCs w:val="21"/>
        </w:rPr>
        <w:t>：</w:t>
      </w:r>
      <w:r>
        <w:rPr>
          <w:rFonts w:hint="eastAsia" w:ascii="宋体" w:hAnsi="宋体" w:eastAsia="宋体" w:cs="宋体"/>
          <w:szCs w:val="21"/>
          <w:u w:val="single"/>
        </w:rPr>
        <w:t>不超过未履行合同部分的总金额，计算方法：签约合同价的0.1‰/天。</w:t>
      </w:r>
    </w:p>
    <w:p w14:paraId="4D55F6B5">
      <w:pPr>
        <w:pStyle w:val="26"/>
        <w:wordWrap w:val="0"/>
        <w:spacing w:after="0" w:line="360" w:lineRule="auto"/>
        <w:rPr>
          <w:rFonts w:hint="eastAsia" w:ascii="宋体" w:hAnsi="宋体" w:eastAsia="宋体" w:cs="宋体"/>
          <w:sz w:val="21"/>
          <w:szCs w:val="21"/>
        </w:rPr>
      </w:pPr>
      <w:r>
        <w:rPr>
          <w:rFonts w:hint="eastAsia" w:ascii="宋体" w:hAnsi="宋体" w:eastAsia="宋体" w:cs="宋体"/>
          <w:sz w:val="21"/>
          <w:szCs w:val="21"/>
        </w:rPr>
        <w:t>逾期竣工违约金最高限额</w:t>
      </w:r>
      <w:r>
        <w:rPr>
          <w:rFonts w:hint="eastAsia" w:ascii="宋体" w:hAnsi="宋体" w:eastAsia="宋体" w:cs="宋体"/>
          <w:szCs w:val="21"/>
        </w:rPr>
        <w:t>：</w:t>
      </w:r>
      <w:r>
        <w:rPr>
          <w:rFonts w:hint="eastAsia" w:ascii="宋体" w:hAnsi="宋体" w:eastAsia="宋体" w:cs="宋体"/>
          <w:szCs w:val="21"/>
          <w:u w:val="single"/>
        </w:rPr>
        <w:t>签约合同价的3%。</w:t>
      </w:r>
    </w:p>
    <w:p w14:paraId="75E66BD2">
      <w:pPr>
        <w:pStyle w:val="94"/>
        <w:spacing w:before="156" w:after="156"/>
        <w:outlineLvl w:val="1"/>
        <w:rPr>
          <w:rFonts w:hint="eastAsia" w:ascii="宋体" w:hAnsi="宋体" w:eastAsia="宋体" w:cs="宋体"/>
        </w:rPr>
      </w:pPr>
      <w:bookmarkStart w:id="1854" w:name="_Toc490331703"/>
      <w:bookmarkStart w:id="1855" w:name="_Toc497214081"/>
      <w:bookmarkStart w:id="1856" w:name="_Toc22031708"/>
      <w:bookmarkStart w:id="1857" w:name="_Toc135239934"/>
      <w:r>
        <w:rPr>
          <w:rFonts w:hint="eastAsia" w:ascii="宋体" w:hAnsi="宋体" w:eastAsia="宋体" w:cs="宋体"/>
        </w:rPr>
        <w:t>11.4  工期提前</w:t>
      </w:r>
      <w:bookmarkEnd w:id="1851"/>
      <w:bookmarkEnd w:id="1852"/>
      <w:bookmarkEnd w:id="1853"/>
      <w:bookmarkEnd w:id="1854"/>
      <w:bookmarkEnd w:id="1855"/>
      <w:bookmarkEnd w:id="1856"/>
      <w:bookmarkEnd w:id="1857"/>
    </w:p>
    <w:p w14:paraId="23C350FA">
      <w:pPr>
        <w:pStyle w:val="26"/>
        <w:wordWrap w:val="0"/>
        <w:spacing w:after="0" w:line="360" w:lineRule="auto"/>
        <w:rPr>
          <w:rFonts w:hint="eastAsia" w:ascii="宋体" w:hAnsi="宋体" w:eastAsia="宋体" w:cs="宋体"/>
          <w:sz w:val="21"/>
          <w:szCs w:val="21"/>
        </w:rPr>
      </w:pPr>
      <w:bookmarkStart w:id="1858" w:name="_Toc485323187"/>
      <w:bookmarkStart w:id="1859" w:name="_Toc486580413"/>
      <w:bookmarkStart w:id="1860" w:name="_Toc489280219"/>
      <w:r>
        <w:rPr>
          <w:rFonts w:hint="eastAsia" w:ascii="宋体" w:hAnsi="宋体" w:eastAsia="宋体" w:cs="宋体"/>
          <w:sz w:val="21"/>
          <w:szCs w:val="21"/>
        </w:rPr>
        <w:t>提前竣工的奖励办法</w:t>
      </w:r>
      <w:r>
        <w:rPr>
          <w:rFonts w:hint="eastAsia" w:ascii="宋体" w:hAnsi="宋体" w:eastAsia="宋体" w:cs="宋体"/>
          <w:szCs w:val="21"/>
        </w:rPr>
        <w:t>：</w:t>
      </w:r>
      <w:r>
        <w:rPr>
          <w:rFonts w:hint="eastAsia" w:ascii="宋体" w:hAnsi="宋体" w:eastAsia="宋体" w:cs="宋体"/>
          <w:szCs w:val="21"/>
          <w:u w:val="single"/>
        </w:rPr>
        <w:t xml:space="preserve">   /   </w:t>
      </w:r>
    </w:p>
    <w:p w14:paraId="170639B3">
      <w:pPr>
        <w:pStyle w:val="92"/>
        <w:spacing w:before="156" w:after="156"/>
        <w:outlineLvl w:val="0"/>
        <w:rPr>
          <w:rFonts w:hint="eastAsia" w:ascii="宋体" w:hAnsi="宋体" w:eastAsia="宋体" w:cs="宋体"/>
        </w:rPr>
      </w:pPr>
      <w:bookmarkStart w:id="1861" w:name="_Toc497214082"/>
      <w:bookmarkStart w:id="1862" w:name="_Toc490331704"/>
      <w:bookmarkStart w:id="1863" w:name="_Toc22031709"/>
      <w:bookmarkStart w:id="1864" w:name="_Toc135239935"/>
      <w:r>
        <w:rPr>
          <w:rFonts w:hint="eastAsia" w:ascii="宋体" w:hAnsi="宋体" w:eastAsia="宋体" w:cs="宋体"/>
        </w:rPr>
        <w:t>12.暂停施工</w:t>
      </w:r>
      <w:bookmarkEnd w:id="1858"/>
      <w:bookmarkEnd w:id="1859"/>
      <w:bookmarkEnd w:id="1860"/>
      <w:bookmarkEnd w:id="1861"/>
      <w:bookmarkEnd w:id="1862"/>
      <w:bookmarkEnd w:id="1863"/>
      <w:bookmarkEnd w:id="1864"/>
    </w:p>
    <w:p w14:paraId="64E04850">
      <w:pPr>
        <w:pStyle w:val="94"/>
        <w:spacing w:before="156" w:after="156"/>
        <w:outlineLvl w:val="1"/>
        <w:rPr>
          <w:rFonts w:hint="eastAsia" w:ascii="宋体" w:hAnsi="宋体" w:eastAsia="宋体" w:cs="宋体"/>
        </w:rPr>
      </w:pPr>
      <w:bookmarkStart w:id="1865" w:name="_Toc22031710"/>
      <w:bookmarkStart w:id="1866" w:name="_Toc135239936"/>
      <w:bookmarkStart w:id="1867" w:name="_Toc497214083"/>
      <w:bookmarkStart w:id="1868" w:name="_Toc485323188"/>
      <w:bookmarkStart w:id="1869" w:name="_Toc489280220"/>
      <w:bookmarkStart w:id="1870" w:name="_Toc486580414"/>
      <w:bookmarkStart w:id="1871" w:name="_Toc490331705"/>
      <w:r>
        <w:rPr>
          <w:rFonts w:hint="eastAsia" w:ascii="宋体" w:hAnsi="宋体" w:eastAsia="宋体" w:cs="宋体"/>
        </w:rPr>
        <w:t>12.1  承包人暂停施工的责任</w:t>
      </w:r>
      <w:bookmarkEnd w:id="1865"/>
      <w:bookmarkEnd w:id="1866"/>
      <w:bookmarkEnd w:id="1867"/>
      <w:bookmarkEnd w:id="1868"/>
      <w:bookmarkEnd w:id="1869"/>
      <w:bookmarkEnd w:id="1870"/>
      <w:bookmarkEnd w:id="1871"/>
    </w:p>
    <w:p w14:paraId="0B431F6D">
      <w:pPr>
        <w:pStyle w:val="26"/>
        <w:wordWrap w:val="0"/>
        <w:spacing w:after="0" w:line="360" w:lineRule="auto"/>
        <w:rPr>
          <w:rFonts w:hint="eastAsia" w:ascii="宋体" w:hAnsi="宋体" w:eastAsia="宋体" w:cs="宋体"/>
          <w:sz w:val="21"/>
          <w:szCs w:val="21"/>
        </w:rPr>
      </w:pPr>
      <w:bookmarkStart w:id="1872" w:name="_Toc485323189"/>
      <w:bookmarkStart w:id="1873" w:name="_Toc486580415"/>
      <w:bookmarkStart w:id="1874" w:name="_Toc489280221"/>
      <w:r>
        <w:rPr>
          <w:rFonts w:hint="eastAsia" w:ascii="宋体" w:hAnsi="宋体" w:eastAsia="宋体" w:cs="宋体"/>
          <w:sz w:val="21"/>
          <w:szCs w:val="21"/>
        </w:rPr>
        <w:t>（1）承包人承担暂停施工责任的其他情形</w:t>
      </w:r>
      <w:r>
        <w:rPr>
          <w:rFonts w:hint="eastAsia" w:ascii="宋体" w:hAnsi="宋体" w:eastAsia="宋体" w:cs="宋体"/>
          <w:szCs w:val="21"/>
        </w:rPr>
        <w:t>：</w:t>
      </w:r>
      <w:r>
        <w:rPr>
          <w:rFonts w:hint="eastAsia" w:ascii="宋体" w:hAnsi="宋体" w:eastAsia="宋体" w:cs="宋体"/>
          <w:szCs w:val="21"/>
          <w:u w:val="single"/>
        </w:rPr>
        <w:t>无。</w:t>
      </w:r>
    </w:p>
    <w:p w14:paraId="29193D77">
      <w:pPr>
        <w:pStyle w:val="92"/>
        <w:spacing w:before="156" w:after="156"/>
        <w:outlineLvl w:val="0"/>
        <w:rPr>
          <w:rFonts w:hint="eastAsia" w:ascii="宋体" w:hAnsi="宋体" w:eastAsia="宋体" w:cs="宋体"/>
        </w:rPr>
      </w:pPr>
      <w:bookmarkStart w:id="1875" w:name="_Toc22031711"/>
      <w:bookmarkStart w:id="1876" w:name="_Toc497214084"/>
      <w:bookmarkStart w:id="1877" w:name="_Toc135239937"/>
      <w:bookmarkStart w:id="1878" w:name="_Toc490331706"/>
      <w:r>
        <w:rPr>
          <w:rFonts w:hint="eastAsia" w:ascii="宋体" w:hAnsi="宋体" w:eastAsia="宋体" w:cs="宋体"/>
        </w:rPr>
        <w:t>13.工程质量</w:t>
      </w:r>
      <w:bookmarkEnd w:id="1872"/>
      <w:bookmarkEnd w:id="1873"/>
      <w:bookmarkEnd w:id="1874"/>
      <w:bookmarkEnd w:id="1875"/>
      <w:bookmarkEnd w:id="1876"/>
      <w:bookmarkEnd w:id="1877"/>
      <w:bookmarkEnd w:id="1878"/>
    </w:p>
    <w:p w14:paraId="4857BFCB">
      <w:pPr>
        <w:pStyle w:val="94"/>
        <w:spacing w:before="156" w:after="156"/>
        <w:outlineLvl w:val="1"/>
        <w:rPr>
          <w:rFonts w:hint="eastAsia" w:ascii="宋体" w:hAnsi="宋体" w:eastAsia="宋体" w:cs="宋体"/>
        </w:rPr>
      </w:pPr>
      <w:bookmarkStart w:id="1879" w:name="_Toc489280222"/>
      <w:bookmarkStart w:id="1880" w:name="_Toc135239938"/>
      <w:bookmarkStart w:id="1881" w:name="_Toc485323190"/>
      <w:bookmarkStart w:id="1882" w:name="_Toc490331707"/>
      <w:bookmarkStart w:id="1883" w:name="_Toc497214085"/>
      <w:bookmarkStart w:id="1884" w:name="_Toc22031712"/>
      <w:bookmarkStart w:id="1885" w:name="_Toc486580416"/>
      <w:r>
        <w:rPr>
          <w:rFonts w:hint="eastAsia" w:ascii="宋体" w:hAnsi="宋体" w:eastAsia="宋体" w:cs="宋体"/>
        </w:rPr>
        <w:t>13.1  承包人的质量管理</w:t>
      </w:r>
      <w:bookmarkEnd w:id="1879"/>
      <w:bookmarkEnd w:id="1880"/>
      <w:bookmarkEnd w:id="1881"/>
      <w:bookmarkEnd w:id="1882"/>
      <w:bookmarkEnd w:id="1883"/>
      <w:bookmarkEnd w:id="1884"/>
      <w:bookmarkEnd w:id="1885"/>
    </w:p>
    <w:p w14:paraId="6965A61C">
      <w:pPr>
        <w:spacing w:line="360" w:lineRule="auto"/>
        <w:ind w:firstLine="420" w:firstLineChars="200"/>
        <w:rPr>
          <w:rFonts w:hint="eastAsia" w:ascii="宋体" w:hAnsi="宋体" w:eastAsia="宋体" w:cs="宋体"/>
        </w:rPr>
      </w:pPr>
      <w:r>
        <w:rPr>
          <w:rFonts w:hint="eastAsia" w:ascii="宋体" w:hAnsi="宋体" w:eastAsia="宋体" w:cs="宋体"/>
          <w:szCs w:val="21"/>
        </w:rPr>
        <w:t>13.1.1  承包人向监理人提交工程质量保证措施文件的期限：</w:t>
      </w:r>
      <w:r>
        <w:rPr>
          <w:rFonts w:hint="eastAsia" w:ascii="宋体" w:hAnsi="宋体" w:eastAsia="宋体" w:cs="宋体"/>
          <w:szCs w:val="21"/>
          <w:u w:val="single"/>
        </w:rPr>
        <w:t>合同生效后7天内。</w:t>
      </w:r>
    </w:p>
    <w:p w14:paraId="7BA2786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监理人审批工程质量保证措施文件的期限：</w:t>
      </w:r>
      <w:r>
        <w:rPr>
          <w:rFonts w:hint="eastAsia" w:ascii="宋体" w:hAnsi="宋体" w:eastAsia="宋体" w:cs="宋体"/>
          <w:szCs w:val="21"/>
          <w:u w:val="single"/>
        </w:rPr>
        <w:t>收到后5日内。</w:t>
      </w:r>
    </w:p>
    <w:p w14:paraId="22F30242">
      <w:pPr>
        <w:pStyle w:val="94"/>
        <w:spacing w:before="156" w:after="156"/>
        <w:outlineLvl w:val="1"/>
        <w:rPr>
          <w:rFonts w:hint="eastAsia" w:ascii="宋体" w:hAnsi="宋体" w:eastAsia="宋体" w:cs="宋体"/>
        </w:rPr>
      </w:pPr>
      <w:bookmarkStart w:id="1886" w:name="_Toc22031713"/>
      <w:bookmarkStart w:id="1887" w:name="_Toc497214086"/>
      <w:bookmarkStart w:id="1888" w:name="_Toc489280223"/>
      <w:bookmarkStart w:id="1889" w:name="_Toc486580417"/>
      <w:bookmarkStart w:id="1890" w:name="_Toc485323191"/>
      <w:bookmarkStart w:id="1891" w:name="_Toc490331708"/>
      <w:bookmarkStart w:id="1892" w:name="_Toc135239939"/>
      <w:r>
        <w:rPr>
          <w:rFonts w:hint="eastAsia" w:ascii="宋体" w:hAnsi="宋体" w:eastAsia="宋体" w:cs="宋体"/>
        </w:rPr>
        <w:t>13.2  承包人的质量检查</w:t>
      </w:r>
      <w:bookmarkEnd w:id="1886"/>
      <w:bookmarkEnd w:id="1887"/>
      <w:bookmarkEnd w:id="1888"/>
      <w:bookmarkEnd w:id="1889"/>
      <w:bookmarkEnd w:id="1890"/>
      <w:bookmarkEnd w:id="1891"/>
      <w:bookmarkEnd w:id="1892"/>
    </w:p>
    <w:p w14:paraId="5FAA5FD6">
      <w:pPr>
        <w:spacing w:line="360" w:lineRule="auto"/>
        <w:ind w:firstLine="420" w:firstLineChars="200"/>
        <w:rPr>
          <w:rFonts w:hint="eastAsia" w:ascii="宋体" w:hAnsi="宋体" w:eastAsia="宋体" w:cs="宋体"/>
        </w:rPr>
      </w:pPr>
      <w:r>
        <w:rPr>
          <w:rFonts w:hint="eastAsia" w:ascii="宋体" w:hAnsi="宋体" w:eastAsia="宋体" w:cs="宋体"/>
          <w:szCs w:val="21"/>
        </w:rPr>
        <w:t>承包人向监理人报送工程质量报表的期限：</w:t>
      </w:r>
      <w:r>
        <w:rPr>
          <w:rFonts w:hint="eastAsia" w:ascii="宋体" w:hAnsi="宋体" w:eastAsia="宋体" w:cs="宋体"/>
          <w:szCs w:val="21"/>
          <w:u w:val="single"/>
        </w:rPr>
        <w:t>7日内。</w:t>
      </w:r>
    </w:p>
    <w:p w14:paraId="262B87F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承包人向监理人报送工程质量报表的要求：</w:t>
      </w:r>
      <w:r>
        <w:rPr>
          <w:rFonts w:hint="eastAsia" w:ascii="宋体" w:hAnsi="宋体" w:eastAsia="宋体" w:cs="宋体"/>
          <w:szCs w:val="21"/>
          <w:u w:val="single"/>
        </w:rPr>
        <w:t>承包人按照合同约定对材料、工程设备以及工程所有部位及其施工工艺进行的全过程的质量检查和检验，并做好详细的记录和制作报表。</w:t>
      </w:r>
    </w:p>
    <w:p w14:paraId="6F0C8FF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监理人审查工程质量报表的期限：</w:t>
      </w:r>
      <w:r>
        <w:rPr>
          <w:rFonts w:hint="eastAsia" w:ascii="宋体" w:hAnsi="宋体" w:eastAsia="宋体" w:cs="宋体"/>
          <w:szCs w:val="21"/>
          <w:u w:val="single"/>
        </w:rPr>
        <w:t>收到后5日内。</w:t>
      </w:r>
    </w:p>
    <w:p w14:paraId="4FFB99CC">
      <w:pPr>
        <w:pStyle w:val="94"/>
        <w:spacing w:before="156" w:after="156"/>
        <w:outlineLvl w:val="1"/>
        <w:rPr>
          <w:rFonts w:hint="eastAsia" w:ascii="宋体" w:hAnsi="宋体" w:eastAsia="宋体" w:cs="宋体"/>
        </w:rPr>
      </w:pPr>
      <w:bookmarkStart w:id="1893" w:name="_Toc490331709"/>
      <w:bookmarkStart w:id="1894" w:name="_Toc497214087"/>
      <w:bookmarkStart w:id="1895" w:name="_Toc486580418"/>
      <w:bookmarkStart w:id="1896" w:name="_Toc489280224"/>
      <w:bookmarkStart w:id="1897" w:name="_Toc22031714"/>
      <w:bookmarkStart w:id="1898" w:name="_Toc485323192"/>
      <w:bookmarkStart w:id="1899" w:name="_Toc135239940"/>
      <w:r>
        <w:rPr>
          <w:rFonts w:hint="eastAsia" w:ascii="宋体" w:hAnsi="宋体" w:eastAsia="宋体" w:cs="宋体"/>
        </w:rPr>
        <w:t>13.3  监理人的质量检查</w:t>
      </w:r>
      <w:bookmarkEnd w:id="1893"/>
      <w:bookmarkEnd w:id="1894"/>
      <w:bookmarkEnd w:id="1895"/>
      <w:bookmarkEnd w:id="1896"/>
      <w:bookmarkEnd w:id="1897"/>
      <w:bookmarkEnd w:id="1898"/>
      <w:bookmarkEnd w:id="1899"/>
    </w:p>
    <w:p w14:paraId="0248014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承包人应当为监理人的检查和检验提供方便，监理人可以进行察看和查阅施工原始记录的其他地方包括：</w:t>
      </w:r>
      <w:r>
        <w:rPr>
          <w:rFonts w:hint="eastAsia" w:ascii="宋体" w:hAnsi="宋体" w:eastAsia="宋体" w:cs="宋体"/>
          <w:szCs w:val="21"/>
          <w:u w:val="single"/>
        </w:rPr>
        <w:t xml:space="preserve">   /   </w:t>
      </w:r>
    </w:p>
    <w:p w14:paraId="1F64BB6F">
      <w:pPr>
        <w:pStyle w:val="94"/>
        <w:spacing w:before="156" w:after="156"/>
        <w:outlineLvl w:val="1"/>
        <w:rPr>
          <w:rFonts w:hint="eastAsia" w:ascii="宋体" w:hAnsi="宋体" w:eastAsia="宋体" w:cs="宋体"/>
        </w:rPr>
      </w:pPr>
      <w:bookmarkStart w:id="1900" w:name="_Toc497214088"/>
      <w:bookmarkStart w:id="1901" w:name="_Toc22031715"/>
      <w:bookmarkStart w:id="1902" w:name="_Toc135239941"/>
      <w:bookmarkStart w:id="1903" w:name="_Toc486580419"/>
      <w:bookmarkStart w:id="1904" w:name="_Toc489280225"/>
      <w:bookmarkStart w:id="1905" w:name="_Toc485323193"/>
      <w:bookmarkStart w:id="1906" w:name="_Toc490331710"/>
      <w:r>
        <w:rPr>
          <w:rFonts w:hint="eastAsia" w:ascii="宋体" w:hAnsi="宋体" w:eastAsia="宋体" w:cs="宋体"/>
        </w:rPr>
        <w:t>13.4  工程隐蔽部位覆盖前的检查</w:t>
      </w:r>
      <w:bookmarkEnd w:id="1900"/>
      <w:bookmarkEnd w:id="1901"/>
      <w:bookmarkEnd w:id="1902"/>
      <w:bookmarkEnd w:id="1903"/>
      <w:bookmarkEnd w:id="1904"/>
      <w:bookmarkEnd w:id="1905"/>
      <w:bookmarkEnd w:id="1906"/>
    </w:p>
    <w:p w14:paraId="76775A3B">
      <w:pPr>
        <w:spacing w:line="360" w:lineRule="auto"/>
        <w:ind w:firstLine="420" w:firstLineChars="200"/>
        <w:rPr>
          <w:rFonts w:hint="eastAsia" w:ascii="宋体" w:hAnsi="宋体" w:eastAsia="宋体" w:cs="宋体"/>
        </w:rPr>
      </w:pPr>
      <w:r>
        <w:rPr>
          <w:rFonts w:hint="eastAsia" w:ascii="宋体" w:hAnsi="宋体" w:eastAsia="宋体" w:cs="宋体"/>
          <w:szCs w:val="21"/>
        </w:rPr>
        <w:t>13.4.1  监理人对工程隐蔽部位进行检查的期限：</w:t>
      </w:r>
      <w:r>
        <w:rPr>
          <w:rFonts w:hint="eastAsia" w:ascii="宋体" w:hAnsi="宋体" w:eastAsia="宋体" w:cs="宋体"/>
          <w:szCs w:val="21"/>
          <w:u w:val="single"/>
        </w:rPr>
        <w:t>收到承包人的检查通知后12小时内。</w:t>
      </w:r>
    </w:p>
    <w:p w14:paraId="5BCD7029">
      <w:pPr>
        <w:pStyle w:val="92"/>
        <w:spacing w:before="156" w:after="156"/>
        <w:outlineLvl w:val="0"/>
        <w:rPr>
          <w:rFonts w:hint="eastAsia" w:ascii="宋体" w:hAnsi="宋体" w:eastAsia="宋体" w:cs="宋体"/>
        </w:rPr>
      </w:pPr>
      <w:bookmarkStart w:id="1907" w:name="_Toc490331711"/>
      <w:bookmarkStart w:id="1908" w:name="_Toc22031716"/>
      <w:bookmarkStart w:id="1909" w:name="_Toc489280226"/>
      <w:bookmarkStart w:id="1910" w:name="_Toc497214089"/>
      <w:bookmarkStart w:id="1911" w:name="_Toc485323194"/>
      <w:bookmarkStart w:id="1912" w:name="_Toc486580420"/>
      <w:bookmarkStart w:id="1913" w:name="_Toc135239942"/>
      <w:r>
        <w:rPr>
          <w:rFonts w:hint="eastAsia" w:ascii="宋体" w:hAnsi="宋体" w:eastAsia="宋体" w:cs="宋体"/>
        </w:rPr>
        <w:t>14.变更</w:t>
      </w:r>
      <w:bookmarkEnd w:id="1907"/>
      <w:bookmarkEnd w:id="1908"/>
      <w:bookmarkEnd w:id="1909"/>
      <w:bookmarkEnd w:id="1910"/>
      <w:bookmarkEnd w:id="1911"/>
      <w:bookmarkEnd w:id="1912"/>
      <w:bookmarkEnd w:id="1913"/>
    </w:p>
    <w:p w14:paraId="7354AFEE">
      <w:pPr>
        <w:pStyle w:val="94"/>
        <w:spacing w:before="156" w:after="156"/>
        <w:outlineLvl w:val="1"/>
        <w:rPr>
          <w:rFonts w:hint="eastAsia" w:ascii="宋体" w:hAnsi="宋体" w:eastAsia="宋体" w:cs="宋体"/>
        </w:rPr>
      </w:pPr>
      <w:bookmarkStart w:id="1914" w:name="_Toc489280227"/>
      <w:bookmarkStart w:id="1915" w:name="_Toc22031717"/>
      <w:bookmarkStart w:id="1916" w:name="_Toc497214090"/>
      <w:bookmarkStart w:id="1917" w:name="_Toc497584531"/>
      <w:bookmarkStart w:id="1918" w:name="_Toc486580421"/>
      <w:bookmarkStart w:id="1919" w:name="_Toc485323195"/>
      <w:bookmarkStart w:id="1920" w:name="_Toc135239943"/>
      <w:bookmarkStart w:id="1921" w:name="_Toc490331712"/>
      <w:r>
        <w:rPr>
          <w:rFonts w:hint="eastAsia" w:ascii="宋体" w:hAnsi="宋体" w:eastAsia="宋体" w:cs="宋体"/>
        </w:rPr>
        <w:t>14.1  变更的范围和内容</w:t>
      </w:r>
      <w:bookmarkEnd w:id="1914"/>
      <w:bookmarkEnd w:id="1915"/>
      <w:bookmarkEnd w:id="1916"/>
      <w:bookmarkEnd w:id="1917"/>
      <w:bookmarkEnd w:id="1918"/>
      <w:bookmarkEnd w:id="1919"/>
      <w:bookmarkEnd w:id="1920"/>
      <w:bookmarkEnd w:id="1921"/>
    </w:p>
    <w:p w14:paraId="12EE31E7">
      <w:pPr>
        <w:spacing w:line="360" w:lineRule="auto"/>
        <w:ind w:firstLine="420" w:firstLineChars="200"/>
        <w:rPr>
          <w:rFonts w:hint="eastAsia" w:ascii="宋体" w:hAnsi="宋体" w:eastAsia="宋体" w:cs="宋体"/>
        </w:rPr>
      </w:pPr>
      <w:r>
        <w:rPr>
          <w:rFonts w:hint="eastAsia" w:ascii="宋体" w:hAnsi="宋体" w:eastAsia="宋体" w:cs="宋体"/>
          <w:szCs w:val="21"/>
        </w:rPr>
        <w:t>14.1.1</w:t>
      </w:r>
      <w:r>
        <w:rPr>
          <w:rFonts w:hint="eastAsia" w:ascii="宋体" w:hAnsi="宋体" w:eastAsia="宋体" w:cs="宋体"/>
        </w:rPr>
        <w:t>在履行合同中发生以下情形之一，应按照本条规定进行变更。</w:t>
      </w:r>
    </w:p>
    <w:p w14:paraId="56FD28E2">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（1）变更的其他情形：</w:t>
      </w:r>
      <w:r>
        <w:rPr>
          <w:rFonts w:hint="eastAsia" w:ascii="宋体" w:hAnsi="宋体" w:eastAsia="宋体" w:cs="宋体"/>
          <w:szCs w:val="21"/>
          <w:u w:val="single"/>
        </w:rPr>
        <w:t xml:space="preserve">  /  </w:t>
      </w:r>
    </w:p>
    <w:p w14:paraId="49164842">
      <w:pPr>
        <w:pStyle w:val="94"/>
        <w:spacing w:before="156" w:after="156"/>
        <w:outlineLvl w:val="1"/>
        <w:rPr>
          <w:rFonts w:hint="eastAsia" w:ascii="宋体" w:hAnsi="宋体" w:eastAsia="宋体" w:cs="宋体"/>
        </w:rPr>
      </w:pPr>
      <w:bookmarkStart w:id="1922" w:name="_Toc486580422"/>
      <w:bookmarkStart w:id="1923" w:name="_Toc135239944"/>
      <w:bookmarkStart w:id="1924" w:name="_Toc497584532"/>
      <w:bookmarkStart w:id="1925" w:name="_Toc497214091"/>
      <w:bookmarkStart w:id="1926" w:name="_Toc490331713"/>
      <w:bookmarkStart w:id="1927" w:name="_Toc22031718"/>
      <w:bookmarkStart w:id="1928" w:name="_Toc485323196"/>
      <w:bookmarkStart w:id="1929" w:name="_Toc489280228"/>
      <w:r>
        <w:rPr>
          <w:rFonts w:hint="eastAsia" w:ascii="宋体" w:hAnsi="宋体" w:eastAsia="宋体" w:cs="宋体"/>
        </w:rPr>
        <w:t>14.2  变更程序</w:t>
      </w:r>
      <w:bookmarkEnd w:id="1922"/>
      <w:bookmarkEnd w:id="1923"/>
      <w:bookmarkEnd w:id="1924"/>
      <w:bookmarkEnd w:id="1925"/>
      <w:bookmarkEnd w:id="1926"/>
      <w:bookmarkEnd w:id="1927"/>
      <w:bookmarkEnd w:id="1928"/>
      <w:bookmarkEnd w:id="1929"/>
    </w:p>
    <w:p w14:paraId="76DEE3DD">
      <w:pPr>
        <w:spacing w:line="360" w:lineRule="auto"/>
        <w:ind w:firstLine="420" w:firstLineChars="200"/>
        <w:rPr>
          <w:rFonts w:hint="eastAsia" w:ascii="宋体" w:hAnsi="宋体" w:eastAsia="宋体" w:cs="宋体"/>
        </w:rPr>
      </w:pPr>
      <w:r>
        <w:rPr>
          <w:rFonts w:hint="eastAsia" w:ascii="宋体" w:hAnsi="宋体" w:eastAsia="宋体" w:cs="宋体"/>
        </w:rPr>
        <w:t>14.2.1  变更估价</w:t>
      </w:r>
    </w:p>
    <w:p w14:paraId="5FD897F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（1）承包人提交变更报价书的期限：</w:t>
      </w:r>
      <w:r>
        <w:rPr>
          <w:rFonts w:hint="eastAsia" w:ascii="宋体" w:hAnsi="宋体" w:eastAsia="宋体" w:cs="宋体"/>
          <w:szCs w:val="21"/>
          <w:u w:val="single"/>
        </w:rPr>
        <w:t>承包人收到变更指示或变更意向书后的14天内。</w:t>
      </w:r>
    </w:p>
    <w:p w14:paraId="134A89D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（2）监理人商定或确定变更价格的期限：</w:t>
      </w:r>
      <w:r>
        <w:rPr>
          <w:rFonts w:hint="eastAsia" w:ascii="宋体" w:hAnsi="宋体" w:eastAsia="宋体" w:cs="宋体"/>
          <w:szCs w:val="21"/>
          <w:u w:val="single"/>
        </w:rPr>
        <w:t>监理人收到承包人变更报价书后的14天内。</w:t>
      </w:r>
    </w:p>
    <w:p w14:paraId="2D95DB69">
      <w:pPr>
        <w:pStyle w:val="94"/>
        <w:spacing w:before="156" w:after="156"/>
        <w:outlineLvl w:val="1"/>
        <w:rPr>
          <w:rFonts w:hint="eastAsia" w:ascii="宋体" w:hAnsi="宋体" w:eastAsia="宋体" w:cs="宋体"/>
        </w:rPr>
      </w:pPr>
      <w:bookmarkStart w:id="1930" w:name="_Toc486580423"/>
      <w:bookmarkStart w:id="1931" w:name="_Toc490331714"/>
      <w:bookmarkStart w:id="1932" w:name="_Toc497584533"/>
      <w:bookmarkStart w:id="1933" w:name="_Toc135239945"/>
      <w:bookmarkStart w:id="1934" w:name="_Toc497214092"/>
      <w:bookmarkStart w:id="1935" w:name="_Toc489280229"/>
      <w:bookmarkStart w:id="1936" w:name="_Toc22031719"/>
      <w:bookmarkStart w:id="1937" w:name="_Toc485323197"/>
      <w:r>
        <w:rPr>
          <w:rFonts w:hint="eastAsia" w:ascii="宋体" w:hAnsi="宋体" w:eastAsia="宋体" w:cs="宋体"/>
        </w:rPr>
        <w:t>14.3  变更的估价原则</w:t>
      </w:r>
      <w:bookmarkEnd w:id="1930"/>
      <w:bookmarkEnd w:id="1931"/>
      <w:bookmarkEnd w:id="1932"/>
      <w:bookmarkEnd w:id="1933"/>
      <w:bookmarkEnd w:id="1934"/>
      <w:bookmarkEnd w:id="1935"/>
      <w:bookmarkEnd w:id="1936"/>
      <w:bookmarkEnd w:id="1937"/>
    </w:p>
    <w:p w14:paraId="690F25B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14.3.1  合同协议书约定采用单价合同形式时，因非承包人原因引起已标价工程量清单中列明的工程量发生增减，且单个子目工程量变化幅度在</w:t>
      </w:r>
      <w:r>
        <w:rPr>
          <w:rFonts w:hint="eastAsia" w:ascii="宋体" w:hAnsi="宋体" w:eastAsia="宋体" w:cs="宋体"/>
          <w:szCs w:val="21"/>
          <w:u w:val="single"/>
        </w:rPr>
        <w:t xml:space="preserve">  15  </w:t>
      </w:r>
      <w:r>
        <w:rPr>
          <w:rFonts w:hint="eastAsia" w:ascii="宋体" w:hAnsi="宋体" w:eastAsia="宋体" w:cs="宋体"/>
          <w:szCs w:val="21"/>
        </w:rPr>
        <w:t>%以内（含）时，应执行已标价工程量清单中列明的该子目的单价；单个子目工程量变化幅度在</w:t>
      </w:r>
      <w:r>
        <w:rPr>
          <w:rFonts w:hint="eastAsia" w:ascii="宋体" w:hAnsi="宋体" w:eastAsia="宋体" w:cs="宋体"/>
          <w:szCs w:val="21"/>
          <w:u w:val="single"/>
        </w:rPr>
        <w:t xml:space="preserve">  15  </w:t>
      </w:r>
      <w:r>
        <w:rPr>
          <w:rFonts w:hint="eastAsia" w:ascii="宋体" w:hAnsi="宋体" w:eastAsia="宋体" w:cs="宋体"/>
          <w:szCs w:val="21"/>
        </w:rPr>
        <w:t>%以外（不含），且导致分部分项工程费总额变化幅度超过</w:t>
      </w:r>
      <w:r>
        <w:rPr>
          <w:rFonts w:hint="eastAsia" w:ascii="宋体" w:hAnsi="宋体" w:eastAsia="宋体" w:cs="宋体"/>
          <w:szCs w:val="21"/>
          <w:u w:val="single"/>
        </w:rPr>
        <w:t>/</w:t>
      </w:r>
      <w:r>
        <w:rPr>
          <w:rFonts w:hint="eastAsia" w:ascii="宋体" w:hAnsi="宋体" w:eastAsia="宋体" w:cs="宋体"/>
          <w:szCs w:val="21"/>
        </w:rPr>
        <w:t>%时，由承包人提出并由监理人按第3.5款商定或确定新的单价，该子目按修正后的新的单价计价。</w:t>
      </w:r>
    </w:p>
    <w:p w14:paraId="052767EE">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14.3.2  因变更引起价格调整的其他处理方式：</w:t>
      </w:r>
      <w:r>
        <w:rPr>
          <w:rFonts w:hint="eastAsia" w:ascii="宋体" w:hAnsi="宋体" w:eastAsia="宋体" w:cs="宋体"/>
          <w:szCs w:val="21"/>
          <w:u w:val="single"/>
        </w:rPr>
        <w:t>/</w:t>
      </w:r>
    </w:p>
    <w:p w14:paraId="53CAC5A4">
      <w:pPr>
        <w:pStyle w:val="94"/>
        <w:spacing w:before="156" w:after="156"/>
        <w:outlineLvl w:val="1"/>
        <w:rPr>
          <w:rFonts w:hint="eastAsia" w:ascii="宋体" w:hAnsi="宋体" w:eastAsia="宋体" w:cs="宋体"/>
        </w:rPr>
      </w:pPr>
      <w:bookmarkStart w:id="1938" w:name="_Toc22031720"/>
      <w:bookmarkStart w:id="1939" w:name="_Toc135239946"/>
      <w:bookmarkStart w:id="1940" w:name="_Toc489280230"/>
      <w:bookmarkStart w:id="1941" w:name="_Toc486580424"/>
      <w:bookmarkStart w:id="1942" w:name="_Toc497214093"/>
      <w:bookmarkStart w:id="1943" w:name="_Toc485323198"/>
      <w:bookmarkStart w:id="1944" w:name="_Toc497584534"/>
      <w:bookmarkStart w:id="1945" w:name="_Toc490331715"/>
      <w:r>
        <w:rPr>
          <w:rFonts w:hint="eastAsia" w:ascii="宋体" w:hAnsi="宋体" w:eastAsia="宋体" w:cs="宋体"/>
        </w:rPr>
        <w:t>14.4  承包人的合理化建议</w:t>
      </w:r>
      <w:bookmarkEnd w:id="1938"/>
      <w:bookmarkEnd w:id="1939"/>
      <w:bookmarkEnd w:id="1940"/>
      <w:bookmarkEnd w:id="1941"/>
      <w:bookmarkEnd w:id="1942"/>
      <w:bookmarkEnd w:id="1943"/>
      <w:bookmarkEnd w:id="1944"/>
      <w:bookmarkEnd w:id="1945"/>
    </w:p>
    <w:p w14:paraId="250CF68D">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14.4.1  对承包人提出合理化建议的奖励方法：</w:t>
      </w:r>
      <w:r>
        <w:rPr>
          <w:rFonts w:hint="eastAsia" w:ascii="宋体" w:hAnsi="宋体" w:eastAsia="宋体" w:cs="宋体"/>
          <w:szCs w:val="21"/>
          <w:u w:val="single"/>
        </w:rPr>
        <w:t>/</w:t>
      </w:r>
    </w:p>
    <w:p w14:paraId="7D5B4E1E">
      <w:pPr>
        <w:pStyle w:val="94"/>
        <w:spacing w:before="156" w:after="156"/>
        <w:outlineLvl w:val="1"/>
        <w:rPr>
          <w:rFonts w:hint="eastAsia" w:ascii="宋体" w:hAnsi="宋体" w:eastAsia="宋体" w:cs="宋体"/>
        </w:rPr>
      </w:pPr>
      <w:bookmarkStart w:id="1946" w:name="_Toc22031721"/>
      <w:bookmarkStart w:id="1947" w:name="_Toc486580425"/>
      <w:bookmarkStart w:id="1948" w:name="_Toc489280231"/>
      <w:bookmarkStart w:id="1949" w:name="_Toc485323199"/>
      <w:bookmarkStart w:id="1950" w:name="_Toc135239947"/>
      <w:bookmarkStart w:id="1951" w:name="_Toc497214094"/>
      <w:bookmarkStart w:id="1952" w:name="_Toc497584535"/>
      <w:bookmarkStart w:id="1953" w:name="_Toc490331716"/>
      <w:r>
        <w:rPr>
          <w:rFonts w:hint="eastAsia" w:ascii="宋体" w:hAnsi="宋体" w:eastAsia="宋体" w:cs="宋体"/>
        </w:rPr>
        <w:t>14.5  暂估价</w:t>
      </w:r>
      <w:bookmarkEnd w:id="1946"/>
      <w:bookmarkEnd w:id="1947"/>
      <w:bookmarkEnd w:id="1948"/>
      <w:bookmarkEnd w:id="1949"/>
      <w:bookmarkEnd w:id="1950"/>
      <w:bookmarkEnd w:id="1951"/>
      <w:bookmarkEnd w:id="1952"/>
      <w:bookmarkEnd w:id="1953"/>
    </w:p>
    <w:p w14:paraId="32D0DF5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14.5.1  按合同约定应当由发包人和承包人采用招标方式选择专项供应商或专业分包人的：</w:t>
      </w:r>
    </w:p>
    <w:p w14:paraId="1215E66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（1）承包人报送招标计划期限：</w:t>
      </w:r>
      <w:r>
        <w:rPr>
          <w:rFonts w:hint="eastAsia" w:ascii="宋体" w:hAnsi="宋体" w:eastAsia="宋体" w:cs="宋体"/>
          <w:szCs w:val="21"/>
          <w:u w:val="single"/>
        </w:rPr>
        <w:t>/</w:t>
      </w:r>
    </w:p>
    <w:p w14:paraId="6D34BB4E">
      <w:pPr>
        <w:spacing w:line="360" w:lineRule="auto"/>
        <w:ind w:firstLine="424" w:firstLineChars="202"/>
        <w:rPr>
          <w:rFonts w:hint="eastAsia" w:ascii="宋体" w:hAnsi="宋体" w:eastAsia="宋体" w:cs="宋体"/>
          <w:szCs w:val="21"/>
        </w:rPr>
      </w:pPr>
      <w:r>
        <w:rPr>
          <w:rFonts w:hint="eastAsia" w:ascii="宋体" w:hAnsi="宋体" w:eastAsia="宋体" w:cs="宋体"/>
          <w:szCs w:val="21"/>
        </w:rPr>
        <w:t>发包人审批招标工作计划时限：</w:t>
      </w:r>
      <w:r>
        <w:rPr>
          <w:rFonts w:hint="eastAsia" w:ascii="宋体" w:hAnsi="宋体" w:eastAsia="宋体" w:cs="宋体"/>
          <w:szCs w:val="21"/>
          <w:u w:val="single"/>
        </w:rPr>
        <w:t>/</w:t>
      </w:r>
    </w:p>
    <w:p w14:paraId="1B02A0E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（2）承包人报送相关文件时限：</w:t>
      </w:r>
      <w:r>
        <w:rPr>
          <w:rFonts w:hint="eastAsia" w:ascii="宋体" w:hAnsi="宋体" w:eastAsia="宋体" w:cs="宋体"/>
          <w:szCs w:val="21"/>
          <w:u w:val="single"/>
        </w:rPr>
        <w:t>/</w:t>
      </w:r>
    </w:p>
    <w:p w14:paraId="4EE3008D">
      <w:pPr>
        <w:spacing w:line="360" w:lineRule="auto"/>
        <w:ind w:firstLine="424" w:firstLineChars="202"/>
        <w:rPr>
          <w:rFonts w:hint="eastAsia" w:ascii="宋体" w:hAnsi="宋体" w:eastAsia="宋体" w:cs="宋体"/>
          <w:szCs w:val="21"/>
        </w:rPr>
      </w:pPr>
      <w:r>
        <w:rPr>
          <w:rFonts w:hint="eastAsia" w:ascii="宋体" w:hAnsi="宋体" w:eastAsia="宋体" w:cs="宋体"/>
          <w:szCs w:val="21"/>
        </w:rPr>
        <w:t>发包人审批相关文件时限：</w:t>
      </w:r>
      <w:r>
        <w:rPr>
          <w:rFonts w:hint="eastAsia" w:ascii="宋体" w:hAnsi="宋体" w:eastAsia="宋体" w:cs="宋体"/>
          <w:szCs w:val="21"/>
          <w:u w:val="single"/>
        </w:rPr>
        <w:t>/</w:t>
      </w:r>
    </w:p>
    <w:p w14:paraId="75990420">
      <w:pPr>
        <w:pStyle w:val="26"/>
        <w:spacing w:after="0" w:line="360" w:lineRule="auto"/>
        <w:rPr>
          <w:rFonts w:hint="eastAsia" w:ascii="宋体" w:hAnsi="宋体" w:eastAsia="宋体" w:cs="宋体"/>
          <w:sz w:val="21"/>
          <w:szCs w:val="21"/>
        </w:rPr>
      </w:pPr>
      <w:r>
        <w:rPr>
          <w:rFonts w:hint="eastAsia" w:ascii="宋体" w:hAnsi="宋体" w:eastAsia="宋体" w:cs="宋体"/>
          <w:sz w:val="21"/>
          <w:szCs w:val="21"/>
        </w:rPr>
        <w:t>（3）承包人申报合同文件时限：</w:t>
      </w:r>
      <w:r>
        <w:rPr>
          <w:rFonts w:hint="eastAsia" w:ascii="宋体" w:hAnsi="宋体" w:eastAsia="宋体" w:cs="宋体"/>
          <w:szCs w:val="21"/>
          <w:u w:val="single"/>
        </w:rPr>
        <w:t>/</w:t>
      </w:r>
    </w:p>
    <w:p w14:paraId="0A4036D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发包人审批合同文件时限：</w:t>
      </w:r>
      <w:r>
        <w:rPr>
          <w:rFonts w:hint="eastAsia" w:ascii="宋体" w:hAnsi="宋体" w:eastAsia="宋体" w:cs="宋体"/>
          <w:szCs w:val="21"/>
          <w:u w:val="single"/>
        </w:rPr>
        <w:t>/</w:t>
      </w:r>
    </w:p>
    <w:p w14:paraId="5C84894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承包人报送正式签订合同副本时限：</w:t>
      </w:r>
      <w:r>
        <w:rPr>
          <w:rFonts w:hint="eastAsia" w:ascii="宋体" w:hAnsi="宋体" w:eastAsia="宋体" w:cs="宋体"/>
          <w:szCs w:val="21"/>
          <w:u w:val="single"/>
        </w:rPr>
        <w:t>/</w:t>
      </w:r>
    </w:p>
    <w:p w14:paraId="63936B5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14.5.2  发包人在工程量清单中给定暂估价的专业工程不属于依法必须招标的范围或者未达到依法必须招标的规模标准的，其最终价格的估价人为：</w:t>
      </w:r>
      <w:r>
        <w:rPr>
          <w:rFonts w:hint="eastAsia" w:ascii="宋体" w:hAnsi="宋体" w:eastAsia="宋体" w:cs="宋体"/>
          <w:szCs w:val="21"/>
          <w:u w:val="single"/>
        </w:rPr>
        <w:t xml:space="preserve">  发包人  </w:t>
      </w:r>
      <w:r>
        <w:rPr>
          <w:rFonts w:hint="eastAsia" w:ascii="宋体" w:hAnsi="宋体" w:eastAsia="宋体" w:cs="宋体"/>
          <w:szCs w:val="21"/>
        </w:rPr>
        <w:t>或者按照下列约定：</w:t>
      </w:r>
      <w:r>
        <w:rPr>
          <w:rFonts w:hint="eastAsia" w:ascii="宋体" w:hAnsi="宋体" w:eastAsia="宋体" w:cs="宋体"/>
          <w:szCs w:val="21"/>
          <w:u w:val="single"/>
        </w:rPr>
        <w:t>/</w:t>
      </w:r>
    </w:p>
    <w:p w14:paraId="2988EC4D">
      <w:pPr>
        <w:pStyle w:val="92"/>
        <w:spacing w:before="156" w:after="156"/>
        <w:outlineLvl w:val="0"/>
        <w:rPr>
          <w:rFonts w:hint="eastAsia" w:ascii="宋体" w:hAnsi="宋体" w:eastAsia="宋体" w:cs="宋体"/>
        </w:rPr>
      </w:pPr>
      <w:bookmarkStart w:id="1954" w:name="_Toc22031722"/>
      <w:bookmarkStart w:id="1955" w:name="_Toc485323200"/>
      <w:bookmarkStart w:id="1956" w:name="_Toc486580426"/>
      <w:bookmarkStart w:id="1957" w:name="_Toc489280232"/>
      <w:bookmarkStart w:id="1958" w:name="_Toc135239948"/>
      <w:bookmarkStart w:id="1959" w:name="_Toc497584536"/>
      <w:bookmarkStart w:id="1960" w:name="_Toc490331717"/>
      <w:bookmarkStart w:id="1961" w:name="_Toc497214095"/>
      <w:r>
        <w:rPr>
          <w:rFonts w:hint="eastAsia" w:ascii="宋体" w:hAnsi="宋体" w:eastAsia="宋体" w:cs="宋体"/>
        </w:rPr>
        <w:t>15.价格调整</w:t>
      </w:r>
      <w:bookmarkEnd w:id="1954"/>
      <w:bookmarkEnd w:id="1955"/>
      <w:bookmarkEnd w:id="1956"/>
      <w:bookmarkEnd w:id="1957"/>
      <w:bookmarkEnd w:id="1958"/>
      <w:bookmarkEnd w:id="1959"/>
      <w:bookmarkEnd w:id="1960"/>
      <w:bookmarkEnd w:id="1961"/>
    </w:p>
    <w:p w14:paraId="04DE12B4">
      <w:pPr>
        <w:pStyle w:val="94"/>
        <w:spacing w:before="156" w:after="156"/>
        <w:outlineLvl w:val="1"/>
        <w:rPr>
          <w:rFonts w:hint="eastAsia" w:ascii="宋体" w:hAnsi="宋体" w:eastAsia="宋体" w:cs="宋体"/>
        </w:rPr>
      </w:pPr>
      <w:bookmarkStart w:id="1962" w:name="_Toc486580427"/>
      <w:bookmarkStart w:id="1963" w:name="_Toc490331718"/>
      <w:bookmarkStart w:id="1964" w:name="_Toc497214096"/>
      <w:bookmarkStart w:id="1965" w:name="_Toc135239949"/>
      <w:bookmarkStart w:id="1966" w:name="_Toc485323201"/>
      <w:bookmarkStart w:id="1967" w:name="_Toc489280233"/>
      <w:bookmarkStart w:id="1968" w:name="_Toc497584537"/>
      <w:bookmarkStart w:id="1969" w:name="_Toc22031723"/>
      <w:r>
        <w:rPr>
          <w:rFonts w:hint="eastAsia" w:ascii="宋体" w:hAnsi="宋体" w:eastAsia="宋体" w:cs="宋体"/>
        </w:rPr>
        <w:t>15.1  物价波动引起的价格调整</w:t>
      </w:r>
      <w:bookmarkEnd w:id="1962"/>
      <w:bookmarkEnd w:id="1963"/>
      <w:bookmarkEnd w:id="1964"/>
      <w:bookmarkEnd w:id="1965"/>
      <w:bookmarkEnd w:id="1966"/>
      <w:bookmarkEnd w:id="1967"/>
      <w:bookmarkEnd w:id="1968"/>
      <w:bookmarkEnd w:id="1969"/>
    </w:p>
    <w:p w14:paraId="568036D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物价波动引起价格调整方法：</w:t>
      </w:r>
      <w:r>
        <w:rPr>
          <w:rFonts w:hint="eastAsia" w:ascii="宋体" w:hAnsi="宋体" w:eastAsia="宋体" w:cs="宋体"/>
          <w:szCs w:val="21"/>
          <w:u w:val="single"/>
        </w:rPr>
        <w:t>造价信息调整价格差额法。</w:t>
      </w:r>
    </w:p>
    <w:p w14:paraId="0FC5B453">
      <w:pPr>
        <w:spacing w:line="360" w:lineRule="auto"/>
        <w:ind w:firstLine="420" w:firstLineChars="200"/>
        <w:rPr>
          <w:rFonts w:hint="eastAsia" w:ascii="宋体" w:hAnsi="宋体" w:eastAsia="宋体" w:cs="宋体"/>
        </w:rPr>
      </w:pPr>
      <w:r>
        <w:rPr>
          <w:rFonts w:hint="eastAsia" w:ascii="宋体" w:hAnsi="宋体" w:eastAsia="宋体" w:cs="宋体"/>
          <w:szCs w:val="21"/>
        </w:rPr>
        <w:t xml:space="preserve">15.1.1  </w:t>
      </w:r>
      <w:r>
        <w:rPr>
          <w:rFonts w:hint="eastAsia" w:ascii="宋体" w:hAnsi="宋体" w:eastAsia="宋体" w:cs="宋体"/>
        </w:rPr>
        <w:t>采用造价信息调整价格差额</w:t>
      </w:r>
    </w:p>
    <w:p w14:paraId="2EA3872E">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 xml:space="preserve">15.1.1.1  </w:t>
      </w:r>
      <w:r>
        <w:rPr>
          <w:rFonts w:hint="eastAsia" w:ascii="宋体" w:hAnsi="宋体" w:eastAsia="宋体" w:cs="宋体"/>
        </w:rPr>
        <w:t>引起价格调整的物价波动风险范围及幅度</w:t>
      </w:r>
    </w:p>
    <w:p w14:paraId="5285BDEF">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引起</w:t>
      </w:r>
      <w:r>
        <w:rPr>
          <w:rFonts w:hint="eastAsia" w:ascii="宋体" w:hAnsi="宋体" w:eastAsia="宋体" w:cs="宋体"/>
        </w:rPr>
        <w:t>价格调整的</w:t>
      </w:r>
      <w:r>
        <w:rPr>
          <w:rFonts w:hint="eastAsia" w:ascii="宋体" w:hAnsi="宋体" w:eastAsia="宋体" w:cs="宋体"/>
          <w:szCs w:val="21"/>
        </w:rPr>
        <w:t>物价波动</w:t>
      </w:r>
      <w:r>
        <w:rPr>
          <w:rFonts w:hint="eastAsia" w:ascii="宋体" w:hAnsi="宋体" w:eastAsia="宋体" w:cs="宋体"/>
        </w:rPr>
        <w:t>风险范围</w:t>
      </w:r>
      <w:r>
        <w:rPr>
          <w:rFonts w:hint="eastAsia" w:ascii="宋体" w:hAnsi="宋体" w:eastAsia="宋体" w:cs="宋体"/>
          <w:szCs w:val="21"/>
        </w:rPr>
        <w:t>：</w:t>
      </w:r>
      <w:r>
        <w:rPr>
          <w:rFonts w:hint="eastAsia" w:ascii="宋体" w:hAnsi="宋体" w:eastAsia="宋体" w:cs="宋体"/>
          <w:szCs w:val="21"/>
          <w:u w:val="single"/>
        </w:rPr>
        <w:t>执行通用条款。</w:t>
      </w:r>
    </w:p>
    <w:p w14:paraId="6FD46BF0">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引起</w:t>
      </w:r>
      <w:r>
        <w:rPr>
          <w:rFonts w:hint="eastAsia" w:ascii="宋体" w:hAnsi="宋体" w:eastAsia="宋体" w:cs="宋体"/>
        </w:rPr>
        <w:t>价格调整的</w:t>
      </w:r>
      <w:r>
        <w:rPr>
          <w:rFonts w:hint="eastAsia" w:ascii="宋体" w:hAnsi="宋体" w:eastAsia="宋体" w:cs="宋体"/>
          <w:szCs w:val="21"/>
        </w:rPr>
        <w:t>物价波动</w:t>
      </w:r>
      <w:r>
        <w:rPr>
          <w:rFonts w:hint="eastAsia" w:ascii="宋体" w:hAnsi="宋体" w:eastAsia="宋体" w:cs="宋体"/>
        </w:rPr>
        <w:t>风险幅度：</w:t>
      </w:r>
      <w:r>
        <w:rPr>
          <w:rFonts w:hint="eastAsia" w:ascii="宋体" w:hAnsi="宋体" w:eastAsia="宋体" w:cs="宋体"/>
          <w:szCs w:val="21"/>
          <w:u w:val="single"/>
        </w:rPr>
        <w:t>±5</w:t>
      </w:r>
      <w:r>
        <w:rPr>
          <w:rFonts w:hint="eastAsia" w:ascii="宋体" w:hAnsi="宋体" w:eastAsia="宋体" w:cs="宋体"/>
          <w:szCs w:val="21"/>
        </w:rPr>
        <w:t>%</w:t>
      </w:r>
    </w:p>
    <w:p w14:paraId="433DC887">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15.1.1.2   物价波动引起价格调整的风险幅度的计算方法</w:t>
      </w:r>
    </w:p>
    <w:p w14:paraId="3442C413">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（1）投标报价基准期：</w:t>
      </w:r>
      <w:r>
        <w:rPr>
          <w:rFonts w:hint="eastAsia" w:ascii="宋体" w:hAnsi="宋体" w:eastAsia="宋体" w:cs="宋体"/>
          <w:szCs w:val="21"/>
          <w:u w:val="single"/>
        </w:rPr>
        <w:t>2025</w:t>
      </w:r>
      <w:r>
        <w:rPr>
          <w:rFonts w:hint="eastAsia" w:ascii="宋体" w:hAnsi="宋体" w:eastAsia="宋体" w:cs="宋体"/>
          <w:szCs w:val="21"/>
        </w:rPr>
        <w:t>年</w:t>
      </w:r>
      <w:r>
        <w:rPr>
          <w:rFonts w:hint="eastAsia" w:ascii="宋体" w:hAnsi="宋体" w:eastAsia="宋体" w:cs="宋体"/>
          <w:szCs w:val="21"/>
          <w:u w:val="single"/>
        </w:rPr>
        <w:t>6</w:t>
      </w:r>
      <w:r>
        <w:rPr>
          <w:rFonts w:hint="eastAsia" w:ascii="宋体" w:hAnsi="宋体" w:eastAsia="宋体" w:cs="宋体"/>
          <w:szCs w:val="21"/>
        </w:rPr>
        <w:t>月。</w:t>
      </w:r>
    </w:p>
    <w:p w14:paraId="0068EF5D">
      <w:pPr>
        <w:spacing w:line="360" w:lineRule="auto"/>
        <w:ind w:firstLine="630" w:firstLineChars="300"/>
        <w:rPr>
          <w:rFonts w:hint="eastAsia" w:ascii="宋体" w:hAnsi="宋体" w:eastAsia="宋体" w:cs="宋体"/>
          <w:szCs w:val="21"/>
          <w:u w:val="single"/>
        </w:rPr>
      </w:pPr>
      <w:r>
        <w:rPr>
          <w:rFonts w:hint="eastAsia" w:ascii="宋体" w:hAnsi="宋体" w:eastAsia="宋体" w:cs="宋体"/>
          <w:szCs w:val="21"/>
        </w:rPr>
        <w:t>（2）</w:t>
      </w:r>
      <w:r>
        <w:rPr>
          <w:rFonts w:hint="eastAsia" w:ascii="宋体" w:hAnsi="宋体" w:eastAsia="宋体" w:cs="宋体"/>
        </w:rPr>
        <w:t>《北京工程造价信息》市场价格</w:t>
      </w:r>
      <w:r>
        <w:rPr>
          <w:rFonts w:hint="eastAsia" w:ascii="宋体" w:hAnsi="宋体" w:eastAsia="宋体" w:cs="宋体"/>
          <w:szCs w:val="21"/>
        </w:rPr>
        <w:t>信息中没有的，基准价的确定方法：</w:t>
      </w:r>
      <w:r>
        <w:rPr>
          <w:rFonts w:hint="eastAsia" w:ascii="宋体" w:hAnsi="宋体" w:eastAsia="宋体" w:cs="宋体"/>
          <w:szCs w:val="21"/>
          <w:u w:val="single"/>
        </w:rPr>
        <w:t xml:space="preserve">   /  </w:t>
      </w:r>
    </w:p>
    <w:p w14:paraId="54B369D2">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（3）合同施工期市场价格的确定方法：</w:t>
      </w:r>
      <w:r>
        <w:rPr>
          <w:rFonts w:hint="eastAsia" w:ascii="宋体" w:hAnsi="宋体" w:eastAsia="宋体" w:cs="宋体"/>
          <w:szCs w:val="21"/>
          <w:u w:val="single"/>
        </w:rPr>
        <w:t xml:space="preserve">   /  </w:t>
      </w:r>
    </w:p>
    <w:p w14:paraId="01EF8F7C">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15.1.1.3  物价波动引起价格调整的方法</w:t>
      </w:r>
    </w:p>
    <w:p w14:paraId="5E604304">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（1）本工程单价调整方法采用</w:t>
      </w:r>
      <w:r>
        <w:rPr>
          <w:rFonts w:hint="eastAsia" w:ascii="宋体" w:hAnsi="宋体" w:eastAsia="宋体" w:cs="宋体"/>
          <w:szCs w:val="21"/>
          <w:u w:val="single"/>
        </w:rPr>
        <w:t xml:space="preserve">其他计算方法 </w:t>
      </w:r>
      <w:r>
        <w:rPr>
          <w:rFonts w:hint="eastAsia" w:ascii="宋体" w:hAnsi="宋体" w:eastAsia="宋体" w:cs="宋体"/>
          <w:szCs w:val="21"/>
        </w:rPr>
        <w:t>（加权平均法/算数平均法/其他计算方法）。</w:t>
      </w:r>
    </w:p>
    <w:p w14:paraId="2DF7C86C">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采用加权平均法：</w:t>
      </w:r>
      <w:r>
        <w:rPr>
          <w:rFonts w:hint="eastAsia" w:ascii="宋体" w:hAnsi="宋体" w:eastAsia="宋体" w:cs="宋体"/>
          <w:szCs w:val="21"/>
          <w:u w:val="single"/>
        </w:rPr>
        <w:t xml:space="preserve">   /  </w:t>
      </w:r>
    </w:p>
    <w:p w14:paraId="15D0AB28">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采用算数平均法：</w:t>
      </w:r>
      <w:r>
        <w:rPr>
          <w:rFonts w:hint="eastAsia" w:ascii="宋体" w:hAnsi="宋体" w:eastAsia="宋体" w:cs="宋体"/>
          <w:szCs w:val="21"/>
          <w:u w:val="single"/>
        </w:rPr>
        <w:t xml:space="preserve">   /  </w:t>
      </w:r>
    </w:p>
    <w:p w14:paraId="0142E1CC">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采用其他计算方法：</w:t>
      </w:r>
      <w:r>
        <w:rPr>
          <w:rFonts w:hint="eastAsia" w:ascii="宋体" w:hAnsi="宋体" w:eastAsia="宋体" w:cs="宋体"/>
          <w:szCs w:val="21"/>
          <w:u w:val="single"/>
        </w:rPr>
        <w:t xml:space="preserve">   /  </w:t>
      </w:r>
    </w:p>
    <w:p w14:paraId="7DDCEE6D">
      <w:pPr>
        <w:spacing w:line="360" w:lineRule="auto"/>
        <w:ind w:firstLine="630" w:firstLineChars="300"/>
        <w:rPr>
          <w:rFonts w:hint="eastAsia" w:ascii="宋体" w:hAnsi="宋体" w:eastAsia="宋体" w:cs="宋体"/>
          <w:szCs w:val="21"/>
          <w:u w:val="single"/>
        </w:rPr>
      </w:pPr>
      <w:r>
        <w:rPr>
          <w:rFonts w:hint="eastAsia" w:ascii="宋体" w:hAnsi="宋体" w:eastAsia="宋体" w:cs="宋体"/>
          <w:szCs w:val="21"/>
        </w:rPr>
        <w:t>15.1.1.4  其他约定：</w:t>
      </w:r>
      <w:r>
        <w:rPr>
          <w:rFonts w:hint="eastAsia" w:ascii="宋体" w:hAnsi="宋体" w:eastAsia="宋体" w:cs="宋体"/>
          <w:szCs w:val="21"/>
          <w:u w:val="single"/>
        </w:rPr>
        <w:t xml:space="preserve">   /  </w:t>
      </w:r>
    </w:p>
    <w:p w14:paraId="1FB3C8F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15.1.2  其他价格调整方法</w:t>
      </w:r>
    </w:p>
    <w:p w14:paraId="4F3119AC">
      <w:pPr>
        <w:spacing w:line="400" w:lineRule="exact"/>
        <w:ind w:firstLine="420" w:firstLineChars="200"/>
        <w:rPr>
          <w:rFonts w:hint="eastAsia" w:ascii="宋体" w:hAnsi="宋体" w:eastAsia="宋体" w:cs="宋体"/>
          <w:szCs w:val="21"/>
          <w:u w:val="single"/>
        </w:rPr>
      </w:pPr>
      <w:r>
        <w:rPr>
          <w:rFonts w:hint="eastAsia" w:ascii="宋体" w:hAnsi="宋体" w:eastAsia="宋体" w:cs="宋体"/>
          <w:szCs w:val="21"/>
          <w:u w:val="single"/>
        </w:rPr>
        <w:t>(1)机械价格</w:t>
      </w:r>
      <w:r>
        <w:rPr>
          <w:rFonts w:hint="eastAsia" w:ascii="宋体" w:hAnsi="宋体" w:eastAsia="宋体" w:cs="宋体"/>
          <w:u w:val="single"/>
        </w:rPr>
        <w:t>不做调整； (2)人工、</w:t>
      </w:r>
      <w:r>
        <w:rPr>
          <w:rFonts w:hint="eastAsia" w:ascii="宋体" w:hAnsi="宋体" w:eastAsia="宋体" w:cs="宋体"/>
          <w:szCs w:val="21"/>
          <w:u w:val="single"/>
        </w:rPr>
        <w:t>钢材、水泥、预拌混凝土、钢筋混凝土预制构件、沥青混凝土等对工程造价影响较大的主要材料市场价格变化幅度超出±5%时，超出部分按照造价信息调整价格差额法进行调整。（本工程投标采用2022年10月《北京工程造价信息》（营改增版）），具体调整办法如下：</w:t>
      </w:r>
    </w:p>
    <w:p w14:paraId="29B2BDF1">
      <w:pPr>
        <w:numPr>
          <w:ilvl w:val="0"/>
          <w:numId w:val="5"/>
        </w:numPr>
        <w:tabs>
          <w:tab w:val="left" w:pos="735"/>
          <w:tab w:val="left" w:pos="1575"/>
          <w:tab w:val="left" w:pos="1725"/>
        </w:tabs>
        <w:spacing w:after="160" w:line="400" w:lineRule="exact"/>
        <w:ind w:hanging="720"/>
        <w:rPr>
          <w:rFonts w:hint="eastAsia" w:ascii="宋体" w:hAnsi="宋体" w:eastAsia="宋体" w:cs="宋体"/>
          <w:szCs w:val="21"/>
          <w:u w:val="single"/>
        </w:rPr>
      </w:pPr>
      <w:r>
        <w:rPr>
          <w:rFonts w:hint="eastAsia" w:ascii="宋体" w:hAnsi="宋体" w:eastAsia="宋体" w:cs="宋体"/>
          <w:szCs w:val="21"/>
          <w:u w:val="single"/>
        </w:rPr>
        <w:t>市场价格变化幅度按本市建设工程造价管理机构发布的</w:t>
      </w:r>
      <w:bookmarkStart w:id="1970" w:name="_Hlk102837415"/>
      <w:r>
        <w:rPr>
          <w:rFonts w:hint="eastAsia" w:ascii="宋体" w:hAnsi="宋体" w:eastAsia="宋体" w:cs="宋体"/>
          <w:szCs w:val="21"/>
          <w:u w:val="single"/>
        </w:rPr>
        <w:t>《北京工程造价信息》中的</w:t>
      </w:r>
    </w:p>
    <w:p w14:paraId="492D93F4">
      <w:pPr>
        <w:tabs>
          <w:tab w:val="left" w:pos="1725"/>
        </w:tabs>
        <w:spacing w:line="400" w:lineRule="exact"/>
        <w:rPr>
          <w:rFonts w:hint="eastAsia" w:ascii="宋体" w:hAnsi="宋体" w:eastAsia="宋体" w:cs="宋体"/>
          <w:szCs w:val="21"/>
          <w:u w:val="single"/>
        </w:rPr>
      </w:pPr>
      <w:r>
        <w:rPr>
          <w:rFonts w:hint="eastAsia" w:ascii="宋体" w:hAnsi="宋体" w:eastAsia="宋体" w:cs="宋体"/>
          <w:szCs w:val="21"/>
          <w:u w:val="single"/>
        </w:rPr>
        <w:t>市场信息价格（以下简称造价信息价格）为依据</w:t>
      </w:r>
      <w:bookmarkEnd w:id="1970"/>
      <w:r>
        <w:rPr>
          <w:rFonts w:hint="eastAsia" w:ascii="宋体" w:hAnsi="宋体" w:eastAsia="宋体" w:cs="宋体"/>
          <w:szCs w:val="21"/>
          <w:u w:val="single"/>
        </w:rPr>
        <w:t>，造价信息价格中有上、下限的，以下限为准，造价信息价格中没有的，发包人、承包人共同确认的市场价格。（当投标报价时的单价低于投标报价期对应的造价信息价格时，按施工期对应的造价信息价格与投标报价期对应的造价信息价格计算其变化幅度；当投标报价时的单价高于投标报价期对应的造价信息价格时，按施工期对应的造价信息价格与投标报价时的价格计算其变化幅度）。施工期对应的造价信息价格为施工期相对应的造价信息价格算术平均值。</w:t>
      </w:r>
    </w:p>
    <w:p w14:paraId="7491C377">
      <w:pPr>
        <w:numPr>
          <w:ilvl w:val="0"/>
          <w:numId w:val="5"/>
        </w:numPr>
        <w:tabs>
          <w:tab w:val="left" w:pos="735"/>
          <w:tab w:val="left" w:pos="1575"/>
          <w:tab w:val="left" w:pos="1725"/>
          <w:tab w:val="clear" w:pos="1140"/>
        </w:tabs>
        <w:spacing w:after="160" w:line="400" w:lineRule="exact"/>
        <w:ind w:left="0" w:firstLine="426"/>
        <w:rPr>
          <w:rFonts w:hint="eastAsia" w:ascii="宋体" w:hAnsi="宋体" w:eastAsia="宋体" w:cs="宋体"/>
          <w:szCs w:val="21"/>
          <w:u w:val="single"/>
        </w:rPr>
      </w:pPr>
      <w:r>
        <w:rPr>
          <w:rFonts w:hint="eastAsia" w:ascii="宋体" w:hAnsi="宋体" w:eastAsia="宋体" w:cs="宋体"/>
          <w:szCs w:val="21"/>
          <w:u w:val="single"/>
        </w:rPr>
        <w:t xml:space="preserve"> 超出合同工期以外的部分按施工当月《北京工程造价信息》中的市场信息价格（以下简称造价信息价格）为依据，每月核定一个数作为工程结算的依据。工程量按调整期内完成的相应工程量计算。</w:t>
      </w:r>
    </w:p>
    <w:p w14:paraId="1704A58B">
      <w:pPr>
        <w:tabs>
          <w:tab w:val="left" w:pos="1725"/>
        </w:tabs>
        <w:spacing w:line="400" w:lineRule="exact"/>
        <w:ind w:firstLine="420" w:firstLineChars="200"/>
        <w:rPr>
          <w:rFonts w:hint="eastAsia" w:ascii="宋体" w:hAnsi="宋体" w:eastAsia="宋体" w:cs="宋体"/>
          <w:szCs w:val="21"/>
          <w:u w:val="single"/>
        </w:rPr>
      </w:pPr>
      <w:r>
        <w:rPr>
          <w:rFonts w:hint="eastAsia" w:ascii="宋体" w:hAnsi="宋体" w:eastAsia="宋体" w:cs="宋体"/>
          <w:szCs w:val="21"/>
        </w:rPr>
        <w:fldChar w:fldCharType="begin"/>
      </w:r>
      <w:r>
        <w:rPr>
          <w:rFonts w:hint="eastAsia" w:ascii="宋体" w:hAnsi="宋体" w:eastAsia="宋体" w:cs="宋体"/>
          <w:szCs w:val="21"/>
        </w:rPr>
        <w:instrText xml:space="preserve">= 3 \* GB3</w:instrText>
      </w:r>
      <w:r>
        <w:rPr>
          <w:rFonts w:hint="eastAsia" w:ascii="宋体" w:hAnsi="宋体" w:eastAsia="宋体" w:cs="宋体"/>
          <w:szCs w:val="21"/>
        </w:rPr>
        <w:fldChar w:fldCharType="separate"/>
      </w:r>
      <w:r>
        <w:rPr>
          <w:rFonts w:hint="eastAsia" w:ascii="宋体" w:hAnsi="宋体" w:eastAsia="宋体" w:cs="宋体"/>
          <w:szCs w:val="21"/>
        </w:rPr>
        <w:t>③</w:t>
      </w:r>
      <w:r>
        <w:rPr>
          <w:rFonts w:hint="eastAsia" w:ascii="宋体" w:hAnsi="宋体" w:eastAsia="宋体" w:cs="宋体"/>
          <w:szCs w:val="21"/>
        </w:rPr>
        <w:fldChar w:fldCharType="end"/>
      </w:r>
      <w:r>
        <w:rPr>
          <w:rFonts w:hint="eastAsia" w:ascii="宋体" w:hAnsi="宋体" w:eastAsia="宋体" w:cs="宋体"/>
          <w:szCs w:val="21"/>
        </w:rPr>
        <w:t xml:space="preserve"> </w:t>
      </w:r>
      <w:r>
        <w:rPr>
          <w:rFonts w:hint="eastAsia" w:ascii="宋体" w:hAnsi="宋体" w:eastAsia="宋体" w:cs="宋体"/>
          <w:szCs w:val="21"/>
          <w:u w:val="single"/>
        </w:rPr>
        <w:t>由承包人原因造成的工期延误，延误期间造成的价差由承包人承担，结算时不做调整。</w:t>
      </w:r>
    </w:p>
    <w:p w14:paraId="284F7BF9">
      <w:pPr>
        <w:tabs>
          <w:tab w:val="left" w:pos="1725"/>
        </w:tabs>
        <w:spacing w:line="400" w:lineRule="exact"/>
        <w:ind w:firstLine="420" w:firstLineChars="200"/>
        <w:rPr>
          <w:rFonts w:hint="eastAsia" w:ascii="宋体" w:hAnsi="宋体" w:eastAsia="宋体" w:cs="宋体"/>
          <w:szCs w:val="21"/>
          <w:u w:val="single"/>
        </w:rPr>
      </w:pPr>
      <w:r>
        <w:rPr>
          <w:rFonts w:hint="eastAsia" w:ascii="宋体" w:hAnsi="宋体" w:eastAsia="宋体" w:cs="宋体"/>
          <w:szCs w:val="21"/>
        </w:rPr>
        <w:fldChar w:fldCharType="begin"/>
      </w:r>
      <w:r>
        <w:rPr>
          <w:rFonts w:hint="eastAsia" w:ascii="宋体" w:hAnsi="宋体" w:eastAsia="宋体" w:cs="宋体"/>
          <w:szCs w:val="21"/>
        </w:rPr>
        <w:instrText xml:space="preserve">= 4 \* GB3</w:instrText>
      </w:r>
      <w:r>
        <w:rPr>
          <w:rFonts w:hint="eastAsia" w:ascii="宋体" w:hAnsi="宋体" w:eastAsia="宋体" w:cs="宋体"/>
          <w:szCs w:val="21"/>
        </w:rPr>
        <w:fldChar w:fldCharType="separate"/>
      </w:r>
      <w:r>
        <w:rPr>
          <w:rFonts w:hint="eastAsia" w:ascii="宋体" w:hAnsi="宋体" w:eastAsia="宋体" w:cs="宋体"/>
          <w:szCs w:val="21"/>
        </w:rPr>
        <w:t>④</w:t>
      </w:r>
      <w:r>
        <w:rPr>
          <w:rFonts w:hint="eastAsia" w:ascii="宋体" w:hAnsi="宋体" w:eastAsia="宋体" w:cs="宋体"/>
          <w:szCs w:val="21"/>
        </w:rPr>
        <w:fldChar w:fldCharType="end"/>
      </w:r>
      <w:r>
        <w:rPr>
          <w:rFonts w:hint="eastAsia" w:ascii="宋体" w:hAnsi="宋体" w:eastAsia="宋体" w:cs="宋体"/>
          <w:szCs w:val="21"/>
        </w:rPr>
        <w:t xml:space="preserve"> </w:t>
      </w:r>
      <w:r>
        <w:rPr>
          <w:rFonts w:hint="eastAsia" w:ascii="宋体" w:hAnsi="宋体" w:eastAsia="宋体" w:cs="宋体"/>
          <w:szCs w:val="21"/>
          <w:u w:val="single"/>
        </w:rPr>
        <w:t>若工程中采用新技术新材料，且此技术、材料无市场造价信息，造价咨询机构给出相应指导价格。若材料供应商所给出实际价格与指导价有差别时，则由设计、监理、施工、审计、发包人、造价咨询公司等共同对实际价格进行调查并予以确认。</w:t>
      </w:r>
    </w:p>
    <w:p w14:paraId="0C53B4F6">
      <w:pPr>
        <w:tabs>
          <w:tab w:val="left" w:pos="1725"/>
        </w:tabs>
        <w:spacing w:line="400" w:lineRule="exact"/>
        <w:ind w:firstLine="420" w:firstLineChars="200"/>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5 \* GB3</w:instrText>
      </w:r>
      <w:r>
        <w:rPr>
          <w:rFonts w:hint="eastAsia" w:ascii="宋体" w:hAnsi="宋体" w:eastAsia="宋体" w:cs="宋体"/>
          <w:szCs w:val="21"/>
        </w:rPr>
        <w:fldChar w:fldCharType="separate"/>
      </w:r>
      <w:r>
        <w:rPr>
          <w:rFonts w:hint="eastAsia" w:ascii="宋体" w:hAnsi="宋体" w:eastAsia="宋体" w:cs="宋体"/>
          <w:szCs w:val="21"/>
        </w:rPr>
        <w:t>⑤</w:t>
      </w:r>
      <w:r>
        <w:rPr>
          <w:rFonts w:hint="eastAsia" w:ascii="宋体" w:hAnsi="宋体" w:eastAsia="宋体" w:cs="宋体"/>
          <w:szCs w:val="21"/>
        </w:rPr>
        <w:fldChar w:fldCharType="end"/>
      </w:r>
      <w:r>
        <w:rPr>
          <w:rFonts w:hint="eastAsia" w:ascii="宋体" w:hAnsi="宋体" w:eastAsia="宋体" w:cs="宋体"/>
          <w:szCs w:val="21"/>
        </w:rPr>
        <w:t xml:space="preserve"> </w:t>
      </w:r>
      <w:r>
        <w:rPr>
          <w:rFonts w:hint="eastAsia" w:ascii="宋体" w:hAnsi="宋体" w:eastAsia="宋体" w:cs="宋体"/>
          <w:szCs w:val="21"/>
          <w:u w:val="single"/>
        </w:rPr>
        <w:t>计算后的差价仅计取税金。</w:t>
      </w:r>
    </w:p>
    <w:p w14:paraId="0251E902">
      <w:pPr>
        <w:pStyle w:val="92"/>
        <w:spacing w:before="156" w:after="156"/>
        <w:outlineLvl w:val="0"/>
        <w:rPr>
          <w:rFonts w:hint="eastAsia" w:ascii="宋体" w:hAnsi="宋体" w:eastAsia="宋体" w:cs="宋体"/>
        </w:rPr>
      </w:pPr>
      <w:bookmarkStart w:id="1971" w:name="_Toc497584538"/>
      <w:bookmarkStart w:id="1972" w:name="_Toc485323202"/>
      <w:bookmarkStart w:id="1973" w:name="_Toc497214097"/>
      <w:bookmarkStart w:id="1974" w:name="_Toc22031724"/>
      <w:bookmarkStart w:id="1975" w:name="_Toc135239950"/>
      <w:bookmarkStart w:id="1976" w:name="_Toc489280234"/>
      <w:bookmarkStart w:id="1977" w:name="_Toc486580428"/>
      <w:bookmarkStart w:id="1978" w:name="_Toc490331719"/>
      <w:r>
        <w:rPr>
          <w:rFonts w:hint="eastAsia" w:ascii="宋体" w:hAnsi="宋体" w:eastAsia="宋体" w:cs="宋体"/>
        </w:rPr>
        <w:t>16.计量与支付</w:t>
      </w:r>
      <w:bookmarkEnd w:id="1971"/>
      <w:bookmarkEnd w:id="1972"/>
      <w:bookmarkEnd w:id="1973"/>
      <w:bookmarkEnd w:id="1974"/>
      <w:bookmarkEnd w:id="1975"/>
      <w:bookmarkEnd w:id="1976"/>
      <w:bookmarkEnd w:id="1977"/>
      <w:bookmarkEnd w:id="1978"/>
    </w:p>
    <w:p w14:paraId="1B64A894">
      <w:pPr>
        <w:pStyle w:val="94"/>
        <w:spacing w:before="156" w:after="156"/>
        <w:outlineLvl w:val="1"/>
        <w:rPr>
          <w:rFonts w:hint="eastAsia" w:ascii="宋体" w:hAnsi="宋体" w:eastAsia="宋体" w:cs="宋体"/>
        </w:rPr>
      </w:pPr>
      <w:bookmarkStart w:id="1979" w:name="_Toc497214098"/>
      <w:bookmarkStart w:id="1980" w:name="_Toc485323203"/>
      <w:bookmarkStart w:id="1981" w:name="_Toc135239951"/>
      <w:bookmarkStart w:id="1982" w:name="_Toc489280235"/>
      <w:bookmarkStart w:id="1983" w:name="_Toc22031725"/>
      <w:bookmarkStart w:id="1984" w:name="_Toc490331720"/>
      <w:bookmarkStart w:id="1985" w:name="_Toc497584539"/>
      <w:bookmarkStart w:id="1986" w:name="_Toc486580429"/>
      <w:r>
        <w:rPr>
          <w:rFonts w:hint="eastAsia" w:ascii="宋体" w:hAnsi="宋体" w:eastAsia="宋体" w:cs="宋体"/>
        </w:rPr>
        <w:t>16.1  计量</w:t>
      </w:r>
      <w:bookmarkEnd w:id="1979"/>
      <w:bookmarkEnd w:id="1980"/>
      <w:bookmarkEnd w:id="1981"/>
      <w:bookmarkEnd w:id="1982"/>
      <w:bookmarkEnd w:id="1983"/>
      <w:bookmarkEnd w:id="1984"/>
      <w:bookmarkEnd w:id="1985"/>
      <w:bookmarkEnd w:id="1986"/>
    </w:p>
    <w:p w14:paraId="7FA3E7BE">
      <w:pPr>
        <w:spacing w:line="360" w:lineRule="auto"/>
        <w:ind w:firstLine="420" w:firstLineChars="200"/>
        <w:rPr>
          <w:rFonts w:hint="eastAsia" w:ascii="宋体" w:hAnsi="宋体" w:eastAsia="宋体" w:cs="宋体"/>
        </w:rPr>
      </w:pPr>
      <w:r>
        <w:rPr>
          <w:rFonts w:hint="eastAsia" w:ascii="宋体" w:hAnsi="宋体" w:eastAsia="宋体" w:cs="宋体"/>
        </w:rPr>
        <w:t>16.1.1  计量周期</w:t>
      </w:r>
    </w:p>
    <w:p w14:paraId="4DFE5AC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（1）每月</w:t>
      </w:r>
      <w:r>
        <w:rPr>
          <w:rFonts w:hint="eastAsia" w:ascii="宋体" w:hAnsi="宋体" w:eastAsia="宋体" w:cs="宋体"/>
          <w:szCs w:val="21"/>
          <w:u w:val="single"/>
        </w:rPr>
        <w:t>25</w:t>
      </w:r>
      <w:r>
        <w:rPr>
          <w:rFonts w:hint="eastAsia" w:ascii="宋体" w:hAnsi="宋体" w:eastAsia="宋体" w:cs="宋体"/>
          <w:szCs w:val="21"/>
        </w:rPr>
        <w:t>日为当月计量截止日期（不含当日）和下月计量起始日期（含当日）。</w:t>
      </w:r>
    </w:p>
    <w:p w14:paraId="31EDA71D">
      <w:pPr>
        <w:spacing w:line="360" w:lineRule="auto"/>
        <w:ind w:left="105" w:leftChars="50" w:firstLine="315" w:firstLineChars="150"/>
        <w:rPr>
          <w:rFonts w:hint="eastAsia" w:ascii="宋体" w:hAnsi="宋体" w:eastAsia="宋体" w:cs="宋体"/>
        </w:rPr>
      </w:pPr>
      <w:r>
        <w:rPr>
          <w:rFonts w:hint="eastAsia" w:ascii="宋体" w:hAnsi="宋体" w:eastAsia="宋体" w:cs="宋体"/>
        </w:rPr>
        <w:t xml:space="preserve">（2）本合同 </w:t>
      </w:r>
      <w:r>
        <w:rPr>
          <w:rFonts w:hint="eastAsia" w:ascii="宋体" w:hAnsi="宋体" w:eastAsia="宋体" w:cs="宋体"/>
          <w:u w:val="single"/>
        </w:rPr>
        <w:t>执行</w:t>
      </w:r>
      <w:r>
        <w:rPr>
          <w:rFonts w:hint="eastAsia" w:ascii="宋体" w:hAnsi="宋体" w:eastAsia="宋体" w:cs="宋体"/>
        </w:rPr>
        <w:t>（执行（采用单价合同形式时）/不执行（采用总价合同形式时））单价子目已完成工程量按月计量。</w:t>
      </w:r>
    </w:p>
    <w:p w14:paraId="0530D210">
      <w:pPr>
        <w:spacing w:line="360" w:lineRule="auto"/>
        <w:ind w:left="105" w:leftChars="50" w:firstLine="315" w:firstLineChars="150"/>
        <w:rPr>
          <w:rFonts w:hint="eastAsia" w:ascii="宋体" w:hAnsi="宋体" w:eastAsia="宋体" w:cs="宋体"/>
        </w:rPr>
      </w:pPr>
      <w:r>
        <w:rPr>
          <w:rFonts w:hint="eastAsia" w:ascii="宋体" w:hAnsi="宋体" w:eastAsia="宋体" w:cs="宋体"/>
        </w:rPr>
        <w:t>（3）</w:t>
      </w:r>
      <w:r>
        <w:rPr>
          <w:rFonts w:hint="eastAsia" w:ascii="宋体" w:hAnsi="宋体" w:eastAsia="宋体" w:cs="宋体"/>
          <w:szCs w:val="21"/>
        </w:rPr>
        <w:t>总价子目计量方式采用</w:t>
      </w:r>
      <w:r>
        <w:rPr>
          <w:rFonts w:hint="eastAsia" w:ascii="宋体" w:hAnsi="宋体" w:eastAsia="宋体" w:cs="宋体"/>
          <w:szCs w:val="21"/>
          <w:u w:val="single"/>
        </w:rPr>
        <w:t xml:space="preserve">按实际完成工程量计量 </w:t>
      </w:r>
      <w:r>
        <w:rPr>
          <w:rFonts w:hint="eastAsia" w:ascii="宋体" w:hAnsi="宋体" w:eastAsia="宋体" w:cs="宋体"/>
          <w:szCs w:val="21"/>
        </w:rPr>
        <w:t>（支付分解报告/按实际完成工程量计量）</w:t>
      </w:r>
      <w:r>
        <w:rPr>
          <w:rFonts w:hint="eastAsia" w:ascii="宋体" w:hAnsi="宋体" w:eastAsia="宋体" w:cs="宋体"/>
        </w:rPr>
        <w:t>。</w:t>
      </w:r>
    </w:p>
    <w:p w14:paraId="3CF77113">
      <w:pPr>
        <w:spacing w:line="360" w:lineRule="auto"/>
        <w:ind w:firstLine="420" w:firstLineChars="200"/>
        <w:rPr>
          <w:rFonts w:hint="eastAsia" w:ascii="宋体" w:hAnsi="宋体" w:eastAsia="宋体" w:cs="宋体"/>
        </w:rPr>
      </w:pPr>
      <w:r>
        <w:rPr>
          <w:rFonts w:hint="eastAsia" w:ascii="宋体" w:hAnsi="宋体" w:eastAsia="宋体" w:cs="宋体"/>
        </w:rPr>
        <w:t>16.1.2  总价子目的计量（适用于采用支付分解报告）</w:t>
      </w:r>
    </w:p>
    <w:p w14:paraId="7BB9C7C1">
      <w:pPr>
        <w:spacing w:line="360" w:lineRule="auto"/>
        <w:ind w:firstLine="420" w:firstLineChars="200"/>
        <w:rPr>
          <w:rFonts w:hint="eastAsia" w:ascii="宋体" w:hAnsi="宋体" w:eastAsia="宋体" w:cs="宋体"/>
          <w:u w:val="single"/>
        </w:rPr>
      </w:pPr>
      <w:r>
        <w:rPr>
          <w:rFonts w:hint="eastAsia" w:ascii="宋体" w:hAnsi="宋体" w:eastAsia="宋体" w:cs="宋体"/>
        </w:rPr>
        <w:t>（1）采用支付分解报告计量方式的，总价</w:t>
      </w:r>
      <w:r>
        <w:rPr>
          <w:rFonts w:hint="eastAsia" w:ascii="宋体" w:hAnsi="宋体" w:eastAsia="宋体" w:cs="宋体"/>
          <w:szCs w:val="21"/>
        </w:rPr>
        <w:t>子目</w:t>
      </w:r>
      <w:r>
        <w:rPr>
          <w:rFonts w:hint="eastAsia" w:ascii="宋体" w:hAnsi="宋体" w:eastAsia="宋体" w:cs="宋体"/>
        </w:rPr>
        <w:t>的价格调整方法：</w:t>
      </w:r>
      <w:r>
        <w:rPr>
          <w:rFonts w:hint="eastAsia" w:ascii="宋体" w:hAnsi="宋体" w:eastAsia="宋体" w:cs="宋体"/>
          <w:u w:val="single"/>
        </w:rPr>
        <w:t xml:space="preserve">  /    </w:t>
      </w:r>
    </w:p>
    <w:p w14:paraId="21313FDC">
      <w:pPr>
        <w:spacing w:line="360" w:lineRule="auto"/>
        <w:ind w:firstLine="420" w:firstLineChars="200"/>
        <w:rPr>
          <w:rFonts w:hint="eastAsia" w:ascii="宋体" w:hAnsi="宋体" w:eastAsia="宋体" w:cs="宋体"/>
        </w:rPr>
      </w:pPr>
      <w:r>
        <w:rPr>
          <w:rFonts w:hint="eastAsia" w:ascii="宋体" w:hAnsi="宋体" w:eastAsia="宋体" w:cs="宋体"/>
        </w:rPr>
        <w:t>16.1.3  总价</w:t>
      </w:r>
      <w:r>
        <w:rPr>
          <w:rFonts w:hint="eastAsia" w:ascii="宋体" w:hAnsi="宋体" w:eastAsia="宋体" w:cs="宋体"/>
          <w:szCs w:val="21"/>
        </w:rPr>
        <w:t>子目</w:t>
      </w:r>
      <w:r>
        <w:rPr>
          <w:rFonts w:hint="eastAsia" w:ascii="宋体" w:hAnsi="宋体" w:eastAsia="宋体" w:cs="宋体"/>
        </w:rPr>
        <w:t>的计量（适用于采用按实际完成工程量计量）</w:t>
      </w:r>
    </w:p>
    <w:p w14:paraId="796BA16D">
      <w:pPr>
        <w:spacing w:line="360" w:lineRule="auto"/>
        <w:ind w:firstLine="420" w:firstLineChars="200"/>
        <w:rPr>
          <w:rFonts w:hint="eastAsia" w:ascii="宋体" w:hAnsi="宋体" w:eastAsia="宋体" w:cs="宋体"/>
          <w:u w:val="single"/>
        </w:rPr>
      </w:pPr>
      <w:r>
        <w:rPr>
          <w:rFonts w:hint="eastAsia" w:ascii="宋体" w:hAnsi="宋体" w:eastAsia="宋体" w:cs="宋体"/>
        </w:rPr>
        <w:t>（1）采用按实际完成工程量计量方式的,总价</w:t>
      </w:r>
      <w:r>
        <w:rPr>
          <w:rFonts w:hint="eastAsia" w:ascii="宋体" w:hAnsi="宋体" w:eastAsia="宋体" w:cs="宋体"/>
          <w:szCs w:val="21"/>
        </w:rPr>
        <w:t>子目</w:t>
      </w:r>
      <w:r>
        <w:rPr>
          <w:rFonts w:hint="eastAsia" w:ascii="宋体" w:hAnsi="宋体" w:eastAsia="宋体" w:cs="宋体"/>
        </w:rPr>
        <w:t>的价格调整方法：</w:t>
      </w:r>
    </w:p>
    <w:p w14:paraId="311CCFE1">
      <w:pPr>
        <w:spacing w:line="360" w:lineRule="auto"/>
        <w:ind w:firstLine="420" w:firstLineChars="200"/>
        <w:rPr>
          <w:rFonts w:hint="eastAsia" w:ascii="宋体" w:hAnsi="宋体" w:eastAsia="宋体" w:cs="宋体"/>
          <w:u w:val="single"/>
        </w:rPr>
      </w:pPr>
      <w:r>
        <w:rPr>
          <w:rFonts w:hint="eastAsia" w:ascii="宋体" w:hAnsi="宋体" w:eastAsia="宋体" w:cs="宋体"/>
          <w:u w:val="single"/>
        </w:rPr>
        <w:fldChar w:fldCharType="begin"/>
      </w:r>
      <w:r>
        <w:rPr>
          <w:rFonts w:hint="eastAsia" w:ascii="宋体" w:hAnsi="宋体" w:eastAsia="宋体" w:cs="宋体"/>
          <w:u w:val="single"/>
        </w:rPr>
        <w:instrText xml:space="preserve">= 1 \* GB3</w:instrText>
      </w:r>
      <w:r>
        <w:rPr>
          <w:rFonts w:hint="eastAsia" w:ascii="宋体" w:hAnsi="宋体" w:eastAsia="宋体" w:cs="宋体"/>
          <w:u w:val="single"/>
        </w:rPr>
        <w:fldChar w:fldCharType="separate"/>
      </w:r>
      <w:r>
        <w:rPr>
          <w:rFonts w:hint="eastAsia" w:ascii="宋体" w:hAnsi="宋体" w:eastAsia="宋体" w:cs="宋体"/>
          <w:u w:val="single"/>
        </w:rPr>
        <w:t>①</w:t>
      </w:r>
      <w:r>
        <w:rPr>
          <w:rFonts w:hint="eastAsia" w:ascii="宋体" w:hAnsi="宋体" w:eastAsia="宋体" w:cs="宋体"/>
          <w:u w:val="single"/>
        </w:rPr>
        <w:fldChar w:fldCharType="end"/>
      </w:r>
      <w:r>
        <w:rPr>
          <w:rFonts w:hint="eastAsia" w:ascii="宋体" w:hAnsi="宋体" w:eastAsia="宋体" w:cs="宋体"/>
          <w:u w:val="single"/>
        </w:rPr>
        <w:t>采用按实际完成工程量计量方式的,总价</w:t>
      </w:r>
      <w:r>
        <w:rPr>
          <w:rFonts w:hint="eastAsia" w:ascii="宋体" w:hAnsi="宋体" w:eastAsia="宋体" w:cs="宋体"/>
          <w:szCs w:val="21"/>
          <w:u w:val="single"/>
        </w:rPr>
        <w:t>子目</w:t>
      </w:r>
      <w:r>
        <w:rPr>
          <w:rFonts w:hint="eastAsia" w:ascii="宋体" w:hAnsi="宋体" w:eastAsia="宋体" w:cs="宋体"/>
          <w:u w:val="single"/>
        </w:rPr>
        <w:t>的价格调整方法：安全文明施工费按照行业建筑主管部门的规定进行调整外，其他措施项目不做调整。总价子目的计量和支付应以总价为基础，对承包人实际完成的工程量进行计量，是进行工程目标管理和控制进度款支付的依据。</w:t>
      </w:r>
    </w:p>
    <w:p w14:paraId="395FB930">
      <w:pPr>
        <w:spacing w:line="360" w:lineRule="auto"/>
        <w:ind w:firstLine="420" w:firstLineChars="200"/>
        <w:rPr>
          <w:rFonts w:hint="eastAsia" w:ascii="宋体" w:hAnsi="宋体" w:eastAsia="宋体" w:cs="宋体"/>
          <w:u w:val="single"/>
        </w:rPr>
      </w:pPr>
      <w:r>
        <w:rPr>
          <w:rFonts w:hint="eastAsia" w:ascii="宋体" w:hAnsi="宋体" w:eastAsia="宋体" w:cs="宋体"/>
          <w:u w:val="single"/>
        </w:rPr>
        <w:fldChar w:fldCharType="begin"/>
      </w:r>
      <w:r>
        <w:rPr>
          <w:rFonts w:hint="eastAsia" w:ascii="宋体" w:hAnsi="宋体" w:eastAsia="宋体" w:cs="宋体"/>
          <w:u w:val="single"/>
        </w:rPr>
        <w:instrText xml:space="preserve">= 2 \* GB3</w:instrText>
      </w:r>
      <w:r>
        <w:rPr>
          <w:rFonts w:hint="eastAsia" w:ascii="宋体" w:hAnsi="宋体" w:eastAsia="宋体" w:cs="宋体"/>
          <w:u w:val="single"/>
        </w:rPr>
        <w:fldChar w:fldCharType="separate"/>
      </w:r>
      <w:r>
        <w:rPr>
          <w:rFonts w:hint="eastAsia" w:ascii="宋体" w:hAnsi="宋体" w:eastAsia="宋体" w:cs="宋体"/>
          <w:u w:val="single"/>
        </w:rPr>
        <w:t>②</w:t>
      </w:r>
      <w:r>
        <w:rPr>
          <w:rFonts w:hint="eastAsia" w:ascii="宋体" w:hAnsi="宋体" w:eastAsia="宋体" w:cs="宋体"/>
          <w:u w:val="single"/>
        </w:rPr>
        <w:fldChar w:fldCharType="end"/>
      </w:r>
      <w:r>
        <w:rPr>
          <w:rFonts w:hint="eastAsia" w:ascii="宋体" w:hAnsi="宋体" w:eastAsia="宋体" w:cs="宋体"/>
          <w:u w:val="single"/>
        </w:rPr>
        <w:t>承包人在专用条款合同条款第17.1.3.（1）目约定的每月计量截止日期后，对已完成的分部分项工程和单价措施项目的子目，按照专用条款第17.1.2项约定的计量方法进行计量，对已完成的总价措施项目的相关子目，按其总价构成、费用性质和实际发生比例进行计量，向监理人提交进度付款申请单、已完成工程量报表和有关计量资料。</w:t>
      </w:r>
    </w:p>
    <w:p w14:paraId="28504719">
      <w:pPr>
        <w:spacing w:line="360" w:lineRule="auto"/>
        <w:ind w:firstLine="420" w:firstLineChars="200"/>
        <w:rPr>
          <w:rFonts w:hint="eastAsia" w:ascii="宋体" w:hAnsi="宋体" w:eastAsia="宋体" w:cs="宋体"/>
          <w:u w:val="single"/>
        </w:rPr>
      </w:pPr>
      <w:r>
        <w:rPr>
          <w:rFonts w:hint="eastAsia" w:ascii="宋体" w:hAnsi="宋体" w:eastAsia="宋体" w:cs="宋体"/>
          <w:u w:val="single"/>
        </w:rPr>
        <w:fldChar w:fldCharType="begin"/>
      </w:r>
      <w:r>
        <w:rPr>
          <w:rFonts w:hint="eastAsia" w:ascii="宋体" w:hAnsi="宋体" w:eastAsia="宋体" w:cs="宋体"/>
          <w:u w:val="single"/>
        </w:rPr>
        <w:instrText xml:space="preserve">= 3 \* GB3</w:instrText>
      </w:r>
      <w:r>
        <w:rPr>
          <w:rFonts w:hint="eastAsia" w:ascii="宋体" w:hAnsi="宋体" w:eastAsia="宋体" w:cs="宋体"/>
          <w:u w:val="single"/>
        </w:rPr>
        <w:fldChar w:fldCharType="separate"/>
      </w:r>
      <w:r>
        <w:rPr>
          <w:rFonts w:hint="eastAsia" w:ascii="宋体" w:hAnsi="宋体" w:eastAsia="宋体" w:cs="宋体"/>
          <w:u w:val="single"/>
        </w:rPr>
        <w:t>③</w:t>
      </w:r>
      <w:r>
        <w:rPr>
          <w:rFonts w:hint="eastAsia" w:ascii="宋体" w:hAnsi="宋体" w:eastAsia="宋体" w:cs="宋体"/>
          <w:u w:val="single"/>
        </w:rPr>
        <w:fldChar w:fldCharType="end"/>
      </w:r>
      <w:r>
        <w:rPr>
          <w:rFonts w:hint="eastAsia" w:ascii="宋体" w:hAnsi="宋体" w:eastAsia="宋体" w:cs="宋体"/>
          <w:u w:val="single"/>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2AC449B3">
      <w:pPr>
        <w:spacing w:line="360" w:lineRule="auto"/>
        <w:ind w:firstLine="420" w:firstLineChars="200"/>
        <w:rPr>
          <w:rFonts w:hint="eastAsia" w:ascii="宋体" w:hAnsi="宋体" w:eastAsia="宋体" w:cs="宋体"/>
          <w:u w:val="single"/>
        </w:rPr>
      </w:pPr>
      <w:r>
        <w:rPr>
          <w:rFonts w:hint="eastAsia" w:ascii="宋体" w:hAnsi="宋体" w:eastAsia="宋体" w:cs="宋体"/>
          <w:u w:val="single"/>
        </w:rPr>
        <w:fldChar w:fldCharType="begin"/>
      </w:r>
      <w:r>
        <w:rPr>
          <w:rFonts w:hint="eastAsia" w:ascii="宋体" w:hAnsi="宋体" w:eastAsia="宋体" w:cs="宋体"/>
          <w:u w:val="single"/>
        </w:rPr>
        <w:instrText xml:space="preserve">= 4 \* GB3</w:instrText>
      </w:r>
      <w:r>
        <w:rPr>
          <w:rFonts w:hint="eastAsia" w:ascii="宋体" w:hAnsi="宋体" w:eastAsia="宋体" w:cs="宋体"/>
          <w:u w:val="single"/>
        </w:rPr>
        <w:fldChar w:fldCharType="separate"/>
      </w:r>
      <w:r>
        <w:rPr>
          <w:rFonts w:hint="eastAsia" w:ascii="宋体" w:hAnsi="宋体" w:eastAsia="宋体" w:cs="宋体"/>
          <w:u w:val="single"/>
        </w:rPr>
        <w:t>④</w:t>
      </w:r>
      <w:r>
        <w:rPr>
          <w:rFonts w:hint="eastAsia" w:ascii="宋体" w:hAnsi="宋体" w:eastAsia="宋体" w:cs="宋体"/>
          <w:u w:val="single"/>
        </w:rPr>
        <w:fldChar w:fldCharType="end"/>
      </w:r>
      <w:r>
        <w:rPr>
          <w:rFonts w:hint="eastAsia" w:ascii="宋体" w:hAnsi="宋体" w:eastAsia="宋体" w:cs="宋体"/>
          <w:u w:val="single"/>
        </w:rPr>
        <w:t>监理人应在收到承包人提交的工程量报表后7天内进行复核，监理人未在约定时间内复核的，承包人提交的工程量报表中的工程量视为承包人实际完成的工程量，据此计算工程价款。</w:t>
      </w:r>
    </w:p>
    <w:p w14:paraId="474C13AC">
      <w:pPr>
        <w:spacing w:line="360" w:lineRule="auto"/>
        <w:ind w:firstLine="420" w:firstLineChars="200"/>
        <w:rPr>
          <w:rFonts w:hint="eastAsia" w:ascii="宋体" w:hAnsi="宋体" w:eastAsia="宋体" w:cs="宋体"/>
        </w:rPr>
      </w:pPr>
      <w:r>
        <w:rPr>
          <w:rFonts w:hint="eastAsia" w:ascii="宋体" w:hAnsi="宋体" w:eastAsia="宋体" w:cs="宋体"/>
          <w:u w:val="single"/>
        </w:rPr>
        <w:fldChar w:fldCharType="begin"/>
      </w:r>
      <w:r>
        <w:rPr>
          <w:rFonts w:hint="eastAsia" w:ascii="宋体" w:hAnsi="宋体" w:eastAsia="宋体" w:cs="宋体"/>
          <w:u w:val="single"/>
        </w:rPr>
        <w:instrText xml:space="preserve">= 5 \* GB3</w:instrText>
      </w:r>
      <w:r>
        <w:rPr>
          <w:rFonts w:hint="eastAsia" w:ascii="宋体" w:hAnsi="宋体" w:eastAsia="宋体" w:cs="宋体"/>
          <w:u w:val="single"/>
        </w:rPr>
        <w:fldChar w:fldCharType="separate"/>
      </w:r>
      <w:r>
        <w:rPr>
          <w:rFonts w:hint="eastAsia" w:ascii="宋体" w:hAnsi="宋体" w:eastAsia="宋体" w:cs="宋体"/>
          <w:u w:val="single"/>
        </w:rPr>
        <w:t>⑤</w:t>
      </w:r>
      <w:r>
        <w:rPr>
          <w:rFonts w:hint="eastAsia" w:ascii="宋体" w:hAnsi="宋体" w:eastAsia="宋体" w:cs="宋体"/>
          <w:u w:val="single"/>
        </w:rPr>
        <w:fldChar w:fldCharType="end"/>
      </w:r>
      <w:r>
        <w:rPr>
          <w:rFonts w:hint="eastAsia" w:ascii="宋体" w:hAnsi="宋体" w:eastAsia="宋体" w:cs="宋体"/>
          <w:u w:val="single"/>
        </w:rPr>
        <w:t>除按照第15条约定的变更外，在竣工结算时总价子目的工程量不应重新计量，签约合同价所基于的工程量即是用于竣工结算的最终工程量。</w:t>
      </w:r>
    </w:p>
    <w:p w14:paraId="4C9B7770">
      <w:pPr>
        <w:pStyle w:val="94"/>
        <w:spacing w:before="156" w:after="156"/>
        <w:outlineLvl w:val="1"/>
        <w:rPr>
          <w:rFonts w:hint="eastAsia" w:ascii="宋体" w:hAnsi="宋体" w:eastAsia="宋体" w:cs="宋体"/>
        </w:rPr>
      </w:pPr>
      <w:bookmarkStart w:id="1987" w:name="_Toc489280236"/>
      <w:bookmarkStart w:id="1988" w:name="_Toc497584540"/>
      <w:bookmarkStart w:id="1989" w:name="_Toc135239952"/>
      <w:bookmarkStart w:id="1990" w:name="_Toc22031726"/>
      <w:bookmarkStart w:id="1991" w:name="_Toc497214099"/>
      <w:bookmarkStart w:id="1992" w:name="_Toc486580430"/>
      <w:bookmarkStart w:id="1993" w:name="_Toc485323204"/>
      <w:bookmarkStart w:id="1994" w:name="_Toc490331721"/>
      <w:bookmarkStart w:id="1995" w:name="_Toc485323206"/>
      <w:bookmarkStart w:id="1996" w:name="_Toc486580432"/>
      <w:bookmarkStart w:id="1997" w:name="_Toc497584542"/>
      <w:bookmarkStart w:id="1998" w:name="_Toc497214101"/>
      <w:bookmarkStart w:id="1999" w:name="_Toc490331723"/>
      <w:bookmarkStart w:id="2000" w:name="_Toc489280238"/>
      <w:bookmarkStart w:id="2001" w:name="_Toc22031728"/>
      <w:bookmarkStart w:id="2002" w:name="_Toc135239954"/>
      <w:r>
        <w:rPr>
          <w:rFonts w:hint="eastAsia" w:ascii="宋体" w:hAnsi="宋体" w:eastAsia="宋体" w:cs="宋体"/>
        </w:rPr>
        <w:t>16.2  预付款</w:t>
      </w:r>
      <w:bookmarkEnd w:id="1987"/>
      <w:bookmarkEnd w:id="1988"/>
      <w:bookmarkEnd w:id="1989"/>
      <w:bookmarkEnd w:id="1990"/>
      <w:bookmarkEnd w:id="1991"/>
      <w:bookmarkEnd w:id="1992"/>
      <w:bookmarkEnd w:id="1993"/>
      <w:bookmarkEnd w:id="1994"/>
    </w:p>
    <w:p w14:paraId="0341E83F">
      <w:pPr>
        <w:spacing w:line="360" w:lineRule="auto"/>
        <w:ind w:firstLine="420" w:firstLineChars="200"/>
        <w:rPr>
          <w:rFonts w:hint="eastAsia" w:ascii="宋体" w:hAnsi="宋体" w:eastAsia="宋体" w:cs="宋体"/>
        </w:rPr>
      </w:pPr>
      <w:r>
        <w:rPr>
          <w:rFonts w:hint="eastAsia" w:ascii="宋体" w:hAnsi="宋体" w:eastAsia="宋体" w:cs="宋体"/>
        </w:rPr>
        <w:t>16.2.1  预付款</w:t>
      </w:r>
    </w:p>
    <w:p w14:paraId="1277633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（1）预付款额度</w:t>
      </w:r>
    </w:p>
    <w:p w14:paraId="09264D3E">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预付款额度：</w:t>
      </w:r>
      <w:r>
        <w:rPr>
          <w:rFonts w:hint="eastAsia" w:ascii="宋体" w:hAnsi="宋体" w:eastAsia="宋体" w:cs="宋体"/>
          <w:szCs w:val="21"/>
          <w:u w:val="single"/>
        </w:rPr>
        <w:t>合同总额的30%</w:t>
      </w:r>
    </w:p>
    <w:p w14:paraId="1D6DEB3D">
      <w:pPr>
        <w:spacing w:line="360" w:lineRule="auto"/>
        <w:ind w:firstLine="630" w:firstLineChars="300"/>
        <w:rPr>
          <w:rFonts w:hint="eastAsia" w:ascii="宋体" w:hAnsi="宋体" w:eastAsia="宋体" w:cs="宋体"/>
          <w:szCs w:val="21"/>
          <w:u w:val="single"/>
        </w:rPr>
      </w:pPr>
      <w:bookmarkStart w:id="2003" w:name="_Hlk8723579"/>
      <w:r>
        <w:rPr>
          <w:rFonts w:hint="eastAsia" w:ascii="宋体" w:hAnsi="宋体" w:eastAsia="宋体" w:cs="宋体"/>
          <w:szCs w:val="21"/>
        </w:rPr>
        <w:t>其中：</w:t>
      </w:r>
      <w:r>
        <w:rPr>
          <w:rFonts w:hint="eastAsia" w:ascii="宋体" w:hAnsi="宋体" w:eastAsia="宋体" w:cs="宋体"/>
          <w:szCs w:val="21"/>
          <w:u w:val="single"/>
        </w:rPr>
        <w:t>不扣除安全文明施工费。</w:t>
      </w:r>
    </w:p>
    <w:bookmarkEnd w:id="2003"/>
    <w:p w14:paraId="1CE640FA">
      <w:pPr>
        <w:spacing w:line="360" w:lineRule="auto"/>
        <w:ind w:firstLine="420" w:firstLineChars="200"/>
        <w:rPr>
          <w:rFonts w:hint="eastAsia" w:ascii="宋体" w:hAnsi="宋体" w:eastAsia="宋体" w:cs="宋体"/>
          <w:szCs w:val="21"/>
        </w:rPr>
      </w:pPr>
      <w:bookmarkStart w:id="2004" w:name="_Hlk8723637"/>
      <w:r>
        <w:rPr>
          <w:rFonts w:hint="eastAsia" w:ascii="宋体" w:hAnsi="宋体" w:eastAsia="宋体" w:cs="宋体"/>
          <w:szCs w:val="21"/>
        </w:rPr>
        <w:t>（2）预付办法</w:t>
      </w:r>
    </w:p>
    <w:p w14:paraId="48578B0A">
      <w:pPr>
        <w:spacing w:line="360" w:lineRule="auto"/>
        <w:ind w:firstLine="630" w:firstLineChars="300"/>
        <w:rPr>
          <w:rFonts w:hint="eastAsia" w:ascii="宋体" w:hAnsi="宋体" w:eastAsia="宋体" w:cs="宋体"/>
          <w:szCs w:val="21"/>
        </w:rPr>
      </w:pPr>
      <w:r>
        <w:rPr>
          <w:rFonts w:hint="eastAsia" w:ascii="宋体" w:hAnsi="宋体" w:eastAsia="宋体" w:cs="宋体"/>
          <w:szCs w:val="21"/>
        </w:rPr>
        <w:t>预付款预付办法：</w:t>
      </w:r>
      <w:r>
        <w:rPr>
          <w:rFonts w:hint="eastAsia" w:ascii="宋体" w:hAnsi="宋体" w:eastAsia="宋体" w:cs="宋体"/>
          <w:szCs w:val="21"/>
          <w:u w:val="single"/>
        </w:rPr>
        <w:t xml:space="preserve">   /  </w:t>
      </w:r>
    </w:p>
    <w:p w14:paraId="617DDEC4">
      <w:pPr>
        <w:spacing w:line="360" w:lineRule="auto"/>
        <w:ind w:firstLine="630" w:firstLineChars="300"/>
        <w:rPr>
          <w:rFonts w:hint="eastAsia" w:ascii="宋体" w:hAnsi="宋体" w:eastAsia="宋体" w:cs="宋体"/>
          <w:szCs w:val="21"/>
          <w:u w:val="single"/>
        </w:rPr>
      </w:pPr>
      <w:r>
        <w:rPr>
          <w:rFonts w:hint="eastAsia" w:ascii="宋体" w:hAnsi="宋体" w:eastAsia="宋体" w:cs="宋体"/>
          <w:szCs w:val="21"/>
        </w:rPr>
        <w:t>预付款的支付时间：本合同生效</w:t>
      </w:r>
      <w:r>
        <w:rPr>
          <w:rFonts w:hint="eastAsia" w:ascii="宋体" w:hAnsi="宋体" w:eastAsia="宋体" w:cs="宋体"/>
          <w:szCs w:val="21"/>
          <w:u w:val="single"/>
        </w:rPr>
        <w:t>后且承办人项目管理机构人员到场履职后，向承包人提供工程预付款。</w:t>
      </w:r>
    </w:p>
    <w:bookmarkEnd w:id="2004"/>
    <w:p w14:paraId="34D7E0C4">
      <w:pPr>
        <w:spacing w:line="400" w:lineRule="exact"/>
        <w:ind w:firstLine="420" w:firstLineChars="200"/>
        <w:rPr>
          <w:rFonts w:hint="eastAsia" w:ascii="宋体" w:hAnsi="宋体" w:eastAsia="宋体" w:cs="宋体"/>
        </w:rPr>
      </w:pPr>
      <w:r>
        <w:rPr>
          <w:rFonts w:hint="eastAsia" w:ascii="宋体" w:hAnsi="宋体" w:eastAsia="宋体" w:cs="宋体"/>
          <w:szCs w:val="21"/>
        </w:rPr>
        <w:t>预付款的扣回办法：</w:t>
      </w:r>
      <w:r>
        <w:rPr>
          <w:rFonts w:hint="eastAsia" w:ascii="宋体" w:hAnsi="宋体" w:eastAsia="宋体" w:cs="宋体"/>
          <w:szCs w:val="21"/>
          <w:u w:val="single"/>
        </w:rPr>
        <w:t>不抵扣。</w:t>
      </w:r>
    </w:p>
    <w:p w14:paraId="58D697B1">
      <w:pPr>
        <w:pStyle w:val="94"/>
        <w:spacing w:before="156" w:after="156"/>
        <w:outlineLvl w:val="1"/>
        <w:rPr>
          <w:rFonts w:hint="eastAsia" w:ascii="宋体" w:hAnsi="宋体" w:eastAsia="宋体" w:cs="宋体"/>
        </w:rPr>
      </w:pPr>
      <w:bookmarkStart w:id="2005" w:name="_Toc497214100"/>
      <w:bookmarkStart w:id="2006" w:name="_Toc489280237"/>
      <w:bookmarkStart w:id="2007" w:name="_Toc485323205"/>
      <w:bookmarkStart w:id="2008" w:name="_Toc497584541"/>
      <w:bookmarkStart w:id="2009" w:name="_Toc135239953"/>
      <w:bookmarkStart w:id="2010" w:name="_Toc486580431"/>
      <w:bookmarkStart w:id="2011" w:name="_Toc22031727"/>
      <w:bookmarkStart w:id="2012" w:name="_Toc490331722"/>
      <w:r>
        <w:rPr>
          <w:rFonts w:hint="eastAsia" w:ascii="宋体" w:hAnsi="宋体" w:eastAsia="宋体" w:cs="宋体"/>
        </w:rPr>
        <w:t>16.3  工程进度付款</w:t>
      </w:r>
      <w:bookmarkEnd w:id="2005"/>
      <w:bookmarkEnd w:id="2006"/>
      <w:bookmarkEnd w:id="2007"/>
      <w:bookmarkEnd w:id="2008"/>
      <w:bookmarkEnd w:id="2009"/>
      <w:bookmarkEnd w:id="2010"/>
      <w:bookmarkEnd w:id="2011"/>
      <w:bookmarkEnd w:id="2012"/>
    </w:p>
    <w:p w14:paraId="3B864EF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16.3.1  进度付款申请单</w:t>
      </w:r>
    </w:p>
    <w:p w14:paraId="2A91637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进度付款申请单的份数：</w:t>
      </w:r>
      <w:r>
        <w:rPr>
          <w:rFonts w:hint="eastAsia" w:ascii="宋体" w:hAnsi="宋体" w:eastAsia="宋体" w:cs="宋体"/>
          <w:szCs w:val="21"/>
          <w:u w:val="single"/>
        </w:rPr>
        <w:t>一式6份。</w:t>
      </w:r>
    </w:p>
    <w:p w14:paraId="26A22D2B">
      <w:pPr>
        <w:spacing w:line="360" w:lineRule="auto"/>
        <w:ind w:firstLine="420" w:firstLineChars="200"/>
        <w:rPr>
          <w:rFonts w:hint="eastAsia" w:ascii="宋体" w:hAnsi="宋体" w:eastAsia="宋体" w:cs="宋体"/>
        </w:rPr>
      </w:pPr>
      <w:r>
        <w:rPr>
          <w:rFonts w:hint="eastAsia" w:ascii="宋体" w:hAnsi="宋体" w:eastAsia="宋体" w:cs="宋体"/>
        </w:rPr>
        <w:t>承包人报送监理人的进度付款申请单应包括下列内容：</w:t>
      </w:r>
    </w:p>
    <w:p w14:paraId="36AB890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rPr>
        <w:t>根据合同应增加和（或）扣减的其他内容金额</w:t>
      </w:r>
      <w:r>
        <w:rPr>
          <w:rFonts w:hint="eastAsia" w:ascii="宋体" w:hAnsi="宋体" w:eastAsia="宋体" w:cs="宋体"/>
          <w:szCs w:val="21"/>
        </w:rPr>
        <w:t>：</w:t>
      </w:r>
      <w:r>
        <w:rPr>
          <w:rFonts w:hint="eastAsia" w:ascii="宋体" w:hAnsi="宋体" w:eastAsia="宋体" w:cs="宋体"/>
          <w:szCs w:val="21"/>
          <w:u w:val="single"/>
        </w:rPr>
        <w:t xml:space="preserve">   /    </w:t>
      </w:r>
    </w:p>
    <w:p w14:paraId="6DB503D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16.3.2  进度付款证书和支付时间</w:t>
      </w:r>
    </w:p>
    <w:p w14:paraId="5462678A">
      <w:pPr>
        <w:numPr>
          <w:ilvl w:val="0"/>
          <w:numId w:val="6"/>
        </w:numPr>
        <w:spacing w:after="160" w:line="360" w:lineRule="auto"/>
        <w:rPr>
          <w:rFonts w:hint="eastAsia" w:ascii="宋体" w:hAnsi="宋体" w:eastAsia="宋体" w:cs="宋体"/>
          <w:szCs w:val="21"/>
        </w:rPr>
      </w:pPr>
      <w:r>
        <w:rPr>
          <w:rFonts w:hint="eastAsia" w:ascii="宋体" w:hAnsi="宋体" w:eastAsia="宋体" w:cs="宋体"/>
          <w:szCs w:val="21"/>
        </w:rPr>
        <w:t>进度付款的支付方法：</w:t>
      </w:r>
    </w:p>
    <w:p w14:paraId="5E2AF7C4">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待项目完成效果验收及竣工验收合格后，拨付至合同金额的70%；工程尾款按照审计审定结果，在承包人向发包人提供作为质量保证金（质量保证金为</w:t>
      </w:r>
      <w:bookmarkStart w:id="2013" w:name="OLE_LINK2"/>
      <w:r>
        <w:rPr>
          <w:rFonts w:hint="eastAsia" w:ascii="宋体" w:hAnsi="宋体" w:eastAsia="宋体" w:cs="宋体"/>
          <w:szCs w:val="21"/>
          <w:u w:val="single"/>
        </w:rPr>
        <w:t>结算价款的3%</w:t>
      </w:r>
      <w:bookmarkEnd w:id="2013"/>
      <w:r>
        <w:rPr>
          <w:rFonts w:hint="eastAsia" w:ascii="宋体" w:hAnsi="宋体" w:eastAsia="宋体" w:cs="宋体"/>
          <w:szCs w:val="21"/>
          <w:u w:val="single"/>
        </w:rPr>
        <w:t>）形式的银行保函及发票后，支付至最终结算金额的100%。</w:t>
      </w:r>
    </w:p>
    <w:p w14:paraId="317003D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项目的资金来源于政府投资，委托人在收到政府专项拨款后应及时按照合同的约定向受托人支付合同价款，但因政府资金拨付延迟而导致委托人不能按照合同的约定及时向受托人支付合同价款时，不构成委托人的违约行为，受托人不得因此追究委托人违约责任，且不得提出利息索赔。发包人付款前，承包人应当向发包人提供合法有效发票，否则，发包人有权延迟或拒绝付款并不承担任何违约责任。</w:t>
      </w:r>
    </w:p>
    <w:p w14:paraId="3150A06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（2）逾期付款违约金的计算标准：</w:t>
      </w:r>
      <w:r>
        <w:rPr>
          <w:rFonts w:hint="eastAsia" w:ascii="宋体" w:hAnsi="宋体" w:eastAsia="宋体" w:cs="宋体"/>
          <w:szCs w:val="21"/>
          <w:u w:val="single"/>
        </w:rPr>
        <w:t xml:space="preserve">   /    </w:t>
      </w:r>
    </w:p>
    <w:p w14:paraId="7D258F70">
      <w:pPr>
        <w:spacing w:line="360" w:lineRule="auto"/>
        <w:ind w:firstLine="567" w:firstLineChars="270"/>
        <w:rPr>
          <w:rFonts w:hint="eastAsia" w:ascii="宋体" w:hAnsi="宋体" w:eastAsia="宋体" w:cs="宋体"/>
        </w:rPr>
      </w:pPr>
      <w:r>
        <w:rPr>
          <w:rFonts w:hint="eastAsia" w:ascii="宋体" w:hAnsi="宋体" w:eastAsia="宋体" w:cs="宋体"/>
          <w:szCs w:val="21"/>
        </w:rPr>
        <w:t>逾期付款违约金的计算方法：</w:t>
      </w:r>
      <w:r>
        <w:rPr>
          <w:rFonts w:hint="eastAsia" w:ascii="宋体" w:hAnsi="宋体" w:eastAsia="宋体" w:cs="宋体"/>
          <w:szCs w:val="21"/>
          <w:u w:val="single"/>
        </w:rPr>
        <w:t xml:space="preserve">   /    </w:t>
      </w:r>
    </w:p>
    <w:p w14:paraId="24FCB29A">
      <w:pPr>
        <w:pStyle w:val="94"/>
        <w:spacing w:before="156" w:after="156"/>
        <w:outlineLvl w:val="1"/>
        <w:rPr>
          <w:rFonts w:hint="eastAsia" w:ascii="宋体" w:hAnsi="宋体" w:eastAsia="宋体" w:cs="宋体"/>
        </w:rPr>
      </w:pPr>
      <w:r>
        <w:rPr>
          <w:rFonts w:hint="eastAsia" w:ascii="宋体" w:hAnsi="宋体" w:eastAsia="宋体" w:cs="宋体"/>
        </w:rPr>
        <w:t>16.4  质量保证金</w:t>
      </w:r>
      <w:bookmarkEnd w:id="1995"/>
      <w:bookmarkEnd w:id="1996"/>
      <w:bookmarkEnd w:id="1997"/>
      <w:bookmarkEnd w:id="1998"/>
      <w:bookmarkEnd w:id="1999"/>
      <w:bookmarkEnd w:id="2000"/>
      <w:bookmarkEnd w:id="2001"/>
      <w:bookmarkEnd w:id="2002"/>
    </w:p>
    <w:p w14:paraId="0D5C7B9D">
      <w:pPr>
        <w:spacing w:line="360" w:lineRule="auto"/>
        <w:ind w:firstLine="420" w:firstLineChars="200"/>
        <w:rPr>
          <w:rFonts w:hint="eastAsia" w:ascii="宋体" w:hAnsi="宋体" w:eastAsia="宋体" w:cs="宋体"/>
          <w:szCs w:val="21"/>
        </w:rPr>
      </w:pPr>
      <w:bookmarkStart w:id="2014" w:name="_Toc486580433"/>
      <w:bookmarkStart w:id="2015" w:name="_Toc485323207"/>
      <w:bookmarkStart w:id="2016" w:name="_Toc490331724"/>
      <w:bookmarkStart w:id="2017" w:name="_Toc489280239"/>
      <w:r>
        <w:rPr>
          <w:rFonts w:hint="eastAsia" w:ascii="宋体" w:hAnsi="宋体" w:eastAsia="宋体" w:cs="宋体"/>
          <w:szCs w:val="21"/>
        </w:rPr>
        <w:t>16.4.1  质量保证金处理</w:t>
      </w:r>
    </w:p>
    <w:p w14:paraId="2FFEFC5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（1）质量保证金形式：采用银行保函担保或其他保函担保形式（采用银行保函担保或其他保函担保形式╱采用扣留质量保证金）。</w:t>
      </w:r>
    </w:p>
    <w:p w14:paraId="642297CD">
      <w:pPr>
        <w:pStyle w:val="94"/>
        <w:spacing w:before="156" w:after="156"/>
        <w:outlineLvl w:val="1"/>
        <w:rPr>
          <w:rFonts w:hint="eastAsia" w:ascii="宋体" w:hAnsi="宋体" w:eastAsia="宋体" w:cs="宋体"/>
        </w:rPr>
      </w:pPr>
      <w:bookmarkStart w:id="2018" w:name="_Toc22031729"/>
      <w:bookmarkStart w:id="2019" w:name="_Toc497214102"/>
      <w:bookmarkStart w:id="2020" w:name="_Toc497584543"/>
      <w:bookmarkStart w:id="2021" w:name="_Toc135239955"/>
      <w:r>
        <w:rPr>
          <w:rFonts w:hint="eastAsia" w:ascii="宋体" w:hAnsi="宋体" w:eastAsia="宋体" w:cs="宋体"/>
        </w:rPr>
        <w:t>16.5  竣工结算</w:t>
      </w:r>
      <w:bookmarkEnd w:id="2014"/>
      <w:bookmarkEnd w:id="2015"/>
      <w:bookmarkEnd w:id="2016"/>
      <w:bookmarkEnd w:id="2017"/>
      <w:bookmarkEnd w:id="2018"/>
      <w:bookmarkEnd w:id="2019"/>
      <w:bookmarkEnd w:id="2020"/>
      <w:bookmarkEnd w:id="2021"/>
    </w:p>
    <w:p w14:paraId="1E266E4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16.5.1  竣工付款申请单</w:t>
      </w:r>
    </w:p>
    <w:p w14:paraId="4361C60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（1）承包人提交竣工付款申请单的份数：</w:t>
      </w:r>
      <w:r>
        <w:rPr>
          <w:rFonts w:hint="eastAsia" w:ascii="宋体" w:hAnsi="宋体" w:eastAsia="宋体" w:cs="宋体"/>
          <w:szCs w:val="21"/>
          <w:u w:val="single"/>
        </w:rPr>
        <w:t>提交3份竣工付款申请单。</w:t>
      </w:r>
    </w:p>
    <w:p w14:paraId="18F7D145">
      <w:pPr>
        <w:spacing w:line="360" w:lineRule="auto"/>
        <w:ind w:firstLine="840" w:firstLineChars="400"/>
        <w:rPr>
          <w:rFonts w:hint="eastAsia" w:ascii="宋体" w:hAnsi="宋体" w:eastAsia="宋体" w:cs="宋体"/>
          <w:szCs w:val="21"/>
        </w:rPr>
      </w:pPr>
      <w:r>
        <w:rPr>
          <w:rFonts w:hint="eastAsia" w:ascii="宋体" w:hAnsi="宋体" w:eastAsia="宋体" w:cs="宋体"/>
          <w:szCs w:val="21"/>
        </w:rPr>
        <w:t>承包人提交竣工付款申请单的期限：</w:t>
      </w:r>
      <w:r>
        <w:rPr>
          <w:rFonts w:hint="eastAsia" w:ascii="宋体" w:hAnsi="宋体" w:eastAsia="宋体" w:cs="宋体"/>
          <w:szCs w:val="21"/>
          <w:u w:val="single"/>
        </w:rPr>
        <w:t>结算协议签订后15日。</w:t>
      </w:r>
    </w:p>
    <w:p w14:paraId="7623F0CC">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（2）竣工付款申请单的其他内容：</w:t>
      </w:r>
      <w:r>
        <w:rPr>
          <w:rFonts w:hint="eastAsia" w:ascii="宋体" w:hAnsi="宋体" w:eastAsia="宋体" w:cs="宋体"/>
          <w:szCs w:val="21"/>
          <w:u w:val="single"/>
        </w:rPr>
        <w:t>a.竣工结算合同总价、已支付的工程价款、应扣回的预付款、应扣留的质量保证金、应支付的竣工付款金额等。b.承包人在提交竣工图28天内，向发包人提交竣工结算报告及完整的结算资料，承包人如未在规定时间内提供完整的工程竣工结算资料，经发包人催促后14日内认为提供的，发包人有权扣罚承包人的工程款，最高额度不超过5万元。c.双方按照协议书约定的合同价款及合同价款调整内容，进行工程竣工结算，若申报的工程竣工结算金额超过政府部门审批的项目初步设计概算金额，发包人需按政府相关规定进行项目概算调整（确认）后，才能进行项目工程竣工结算，承包人有义务配合发包人完成相关工作，且承包人有责任配合发包人控制工程造价确保结算金额不超项目概算金额；最终结算价格以审计单位审定的金额为参考，以双方签订的结算协议为准。结算审计完成，金额不超概算且资金到位后，支付至结算价的100%。</w:t>
      </w:r>
    </w:p>
    <w:p w14:paraId="5BD9ACCE">
      <w:pPr>
        <w:pStyle w:val="94"/>
        <w:spacing w:before="156" w:after="156"/>
        <w:outlineLvl w:val="1"/>
        <w:rPr>
          <w:rFonts w:hint="eastAsia" w:ascii="宋体" w:hAnsi="宋体" w:eastAsia="宋体" w:cs="宋体"/>
        </w:rPr>
      </w:pPr>
      <w:bookmarkStart w:id="2022" w:name="_Toc490331725"/>
      <w:bookmarkStart w:id="2023" w:name="_Toc22031730"/>
      <w:bookmarkStart w:id="2024" w:name="_Toc497584544"/>
      <w:bookmarkStart w:id="2025" w:name="_Toc135239956"/>
      <w:bookmarkStart w:id="2026" w:name="_Toc485323208"/>
      <w:bookmarkStart w:id="2027" w:name="_Toc497214103"/>
      <w:bookmarkStart w:id="2028" w:name="_Toc486580434"/>
      <w:bookmarkStart w:id="2029" w:name="_Toc489280240"/>
      <w:r>
        <w:rPr>
          <w:rFonts w:hint="eastAsia" w:ascii="宋体" w:hAnsi="宋体" w:eastAsia="宋体" w:cs="宋体"/>
        </w:rPr>
        <w:t>16.6  最终结清</w:t>
      </w:r>
      <w:bookmarkEnd w:id="2022"/>
      <w:bookmarkEnd w:id="2023"/>
      <w:bookmarkEnd w:id="2024"/>
      <w:bookmarkEnd w:id="2025"/>
      <w:bookmarkEnd w:id="2026"/>
      <w:bookmarkEnd w:id="2027"/>
      <w:bookmarkEnd w:id="2028"/>
      <w:bookmarkEnd w:id="2029"/>
    </w:p>
    <w:p w14:paraId="48C74DD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16.6.1  最终结清申请单</w:t>
      </w:r>
    </w:p>
    <w:p w14:paraId="21027711">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（1）承包人提交最终结清申请单的份数：</w:t>
      </w:r>
      <w:r>
        <w:rPr>
          <w:rFonts w:hint="eastAsia" w:ascii="宋体" w:hAnsi="宋体" w:eastAsia="宋体" w:cs="宋体"/>
          <w:szCs w:val="21"/>
          <w:u w:val="single"/>
        </w:rPr>
        <w:t>提供3份最终结清申请单。</w:t>
      </w:r>
    </w:p>
    <w:p w14:paraId="769E9CF7">
      <w:pPr>
        <w:spacing w:line="360" w:lineRule="auto"/>
        <w:ind w:firstLine="945" w:firstLineChars="450"/>
        <w:rPr>
          <w:rFonts w:hint="eastAsia" w:ascii="宋体" w:hAnsi="宋体" w:eastAsia="宋体" w:cs="宋体"/>
          <w:szCs w:val="21"/>
        </w:rPr>
      </w:pPr>
      <w:r>
        <w:rPr>
          <w:rFonts w:hint="eastAsia" w:ascii="宋体" w:hAnsi="宋体" w:eastAsia="宋体" w:cs="宋体"/>
          <w:szCs w:val="21"/>
        </w:rPr>
        <w:t xml:space="preserve">承包人提交最终结清申请单的期限： </w:t>
      </w:r>
      <w:r>
        <w:rPr>
          <w:rFonts w:hint="eastAsia" w:ascii="宋体" w:hAnsi="宋体" w:eastAsia="宋体" w:cs="宋体"/>
          <w:szCs w:val="21"/>
          <w:u w:val="single"/>
        </w:rPr>
        <w:t>结算协议签订后15日内</w:t>
      </w:r>
    </w:p>
    <w:p w14:paraId="3DF8AF1C">
      <w:pPr>
        <w:spacing w:line="360" w:lineRule="auto"/>
        <w:ind w:firstLine="949" w:firstLineChars="452"/>
        <w:rPr>
          <w:rFonts w:hint="eastAsia" w:ascii="宋体" w:hAnsi="宋体" w:eastAsia="宋体" w:cs="宋体"/>
        </w:rPr>
      </w:pPr>
      <w:r>
        <w:rPr>
          <w:rFonts w:hint="eastAsia" w:ascii="宋体" w:hAnsi="宋体" w:eastAsia="宋体" w:cs="宋体"/>
        </w:rPr>
        <w:t>发包人向承包人</w:t>
      </w:r>
      <w:r>
        <w:rPr>
          <w:rFonts w:hint="eastAsia" w:ascii="宋体" w:hAnsi="宋体" w:eastAsia="宋体" w:cs="宋体"/>
          <w:u w:val="single"/>
        </w:rPr>
        <w:t xml:space="preserve">不支付 </w:t>
      </w:r>
      <w:r>
        <w:rPr>
          <w:rFonts w:hint="eastAsia" w:ascii="宋体" w:hAnsi="宋体" w:eastAsia="宋体" w:cs="宋体"/>
        </w:rPr>
        <w:t>（支付 / 不支付）质量保证金利息。</w:t>
      </w:r>
    </w:p>
    <w:p w14:paraId="086296EC">
      <w:pPr>
        <w:spacing w:line="360" w:lineRule="auto"/>
        <w:ind w:firstLine="949" w:firstLineChars="452"/>
        <w:rPr>
          <w:rFonts w:hint="eastAsia" w:ascii="宋体" w:hAnsi="宋体" w:eastAsia="宋体" w:cs="宋体"/>
          <w:szCs w:val="21"/>
        </w:rPr>
      </w:pPr>
      <w:r>
        <w:rPr>
          <w:rFonts w:hint="eastAsia" w:ascii="宋体" w:hAnsi="宋体" w:eastAsia="宋体" w:cs="宋体"/>
        </w:rPr>
        <w:t>发包人向承包人支付质量保证金利息的，利息计算方法：</w:t>
      </w:r>
      <w:r>
        <w:rPr>
          <w:rFonts w:hint="eastAsia" w:ascii="宋体" w:hAnsi="宋体" w:eastAsia="宋体" w:cs="宋体"/>
          <w:u w:val="single"/>
        </w:rPr>
        <w:t xml:space="preserve">     /      </w:t>
      </w:r>
    </w:p>
    <w:p w14:paraId="494495BB">
      <w:pPr>
        <w:pStyle w:val="92"/>
        <w:spacing w:before="156" w:after="156"/>
        <w:outlineLvl w:val="0"/>
        <w:rPr>
          <w:rFonts w:hint="eastAsia" w:ascii="宋体" w:hAnsi="宋体" w:eastAsia="宋体" w:cs="宋体"/>
        </w:rPr>
      </w:pPr>
      <w:bookmarkStart w:id="2030" w:name="_Toc490331726"/>
      <w:bookmarkStart w:id="2031" w:name="_Toc497214104"/>
      <w:bookmarkStart w:id="2032" w:name="_Toc135239957"/>
      <w:bookmarkStart w:id="2033" w:name="_Toc497584545"/>
      <w:bookmarkStart w:id="2034" w:name="_Toc22031731"/>
      <w:bookmarkStart w:id="2035" w:name="_Toc489280241"/>
      <w:bookmarkStart w:id="2036" w:name="_Toc486580435"/>
      <w:bookmarkStart w:id="2037" w:name="_Toc485323209"/>
      <w:r>
        <w:rPr>
          <w:rFonts w:hint="eastAsia" w:ascii="宋体" w:hAnsi="宋体" w:eastAsia="宋体" w:cs="宋体"/>
        </w:rPr>
        <w:t>17.竣工验收</w:t>
      </w:r>
      <w:bookmarkEnd w:id="2030"/>
      <w:bookmarkEnd w:id="2031"/>
      <w:bookmarkEnd w:id="2032"/>
      <w:bookmarkEnd w:id="2033"/>
      <w:bookmarkEnd w:id="2034"/>
      <w:bookmarkEnd w:id="2035"/>
      <w:bookmarkEnd w:id="2036"/>
      <w:bookmarkEnd w:id="2037"/>
    </w:p>
    <w:p w14:paraId="6730F109">
      <w:pPr>
        <w:pStyle w:val="94"/>
        <w:spacing w:before="156" w:after="156"/>
        <w:outlineLvl w:val="1"/>
        <w:rPr>
          <w:rFonts w:hint="eastAsia" w:ascii="宋体" w:hAnsi="宋体" w:eastAsia="宋体" w:cs="宋体"/>
        </w:rPr>
      </w:pPr>
      <w:bookmarkStart w:id="2038" w:name="_Toc490331727"/>
      <w:bookmarkStart w:id="2039" w:name="_Toc497214105"/>
      <w:bookmarkStart w:id="2040" w:name="_Toc497584546"/>
      <w:bookmarkStart w:id="2041" w:name="_Toc135239958"/>
      <w:bookmarkStart w:id="2042" w:name="_Toc22031732"/>
      <w:bookmarkStart w:id="2043" w:name="_Toc486580436"/>
      <w:bookmarkStart w:id="2044" w:name="_Toc489280242"/>
      <w:bookmarkStart w:id="2045" w:name="_Toc485323210"/>
      <w:r>
        <w:rPr>
          <w:rFonts w:hint="eastAsia" w:ascii="宋体" w:hAnsi="宋体" w:eastAsia="宋体" w:cs="宋体"/>
        </w:rPr>
        <w:t>17.1  竣工验收申请报告</w:t>
      </w:r>
      <w:bookmarkEnd w:id="2038"/>
      <w:bookmarkEnd w:id="2039"/>
      <w:bookmarkEnd w:id="2040"/>
      <w:bookmarkEnd w:id="2041"/>
      <w:bookmarkEnd w:id="2042"/>
      <w:bookmarkEnd w:id="2043"/>
      <w:bookmarkEnd w:id="2044"/>
      <w:bookmarkEnd w:id="2045"/>
    </w:p>
    <w:p w14:paraId="5B9BD8C2">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（1）承包人负责整理和提交的竣工验收资料具体内容：</w:t>
      </w:r>
      <w:r>
        <w:rPr>
          <w:rFonts w:hint="eastAsia" w:ascii="宋体" w:hAnsi="宋体" w:eastAsia="宋体" w:cs="宋体"/>
          <w:szCs w:val="21"/>
          <w:u w:val="single"/>
        </w:rPr>
        <w:t>按照《建筑工程资料管理规程》要求。</w:t>
      </w:r>
    </w:p>
    <w:p w14:paraId="04D7794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竣工验收资料的份数：</w:t>
      </w:r>
      <w:r>
        <w:rPr>
          <w:rFonts w:hint="eastAsia" w:ascii="宋体" w:hAnsi="宋体" w:eastAsia="宋体" w:cs="宋体"/>
          <w:szCs w:val="21"/>
          <w:u w:val="single"/>
        </w:rPr>
        <w:t>8套</w:t>
      </w:r>
    </w:p>
    <w:p w14:paraId="595524E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竣工验收资料的费用支付方式：</w:t>
      </w:r>
      <w:r>
        <w:rPr>
          <w:rFonts w:hint="eastAsia" w:ascii="宋体" w:hAnsi="宋体" w:eastAsia="宋体" w:cs="宋体"/>
          <w:szCs w:val="21"/>
          <w:u w:val="single"/>
        </w:rPr>
        <w:t xml:space="preserve">/ </w:t>
      </w:r>
    </w:p>
    <w:p w14:paraId="3274EEDC">
      <w:pPr>
        <w:pStyle w:val="94"/>
        <w:spacing w:before="156" w:after="156"/>
        <w:outlineLvl w:val="1"/>
        <w:rPr>
          <w:rFonts w:hint="eastAsia" w:ascii="宋体" w:hAnsi="宋体" w:eastAsia="宋体" w:cs="宋体"/>
        </w:rPr>
      </w:pPr>
      <w:bookmarkStart w:id="2046" w:name="_Toc489280243"/>
      <w:bookmarkStart w:id="2047" w:name="_Toc490331728"/>
      <w:bookmarkStart w:id="2048" w:name="_Toc486580437"/>
      <w:bookmarkStart w:id="2049" w:name="_Toc497214106"/>
      <w:bookmarkStart w:id="2050" w:name="_Toc135239959"/>
      <w:bookmarkStart w:id="2051" w:name="_Toc485323211"/>
      <w:bookmarkStart w:id="2052" w:name="_Toc497584547"/>
      <w:bookmarkStart w:id="2053" w:name="_Toc22031733"/>
      <w:r>
        <w:rPr>
          <w:rFonts w:hint="eastAsia" w:ascii="宋体" w:hAnsi="宋体" w:eastAsia="宋体" w:cs="宋体"/>
        </w:rPr>
        <w:t>17.2  施工期运行</w:t>
      </w:r>
      <w:bookmarkEnd w:id="2046"/>
      <w:bookmarkEnd w:id="2047"/>
      <w:bookmarkEnd w:id="2048"/>
      <w:bookmarkEnd w:id="2049"/>
      <w:bookmarkEnd w:id="2050"/>
      <w:bookmarkEnd w:id="2051"/>
      <w:bookmarkEnd w:id="2052"/>
      <w:bookmarkEnd w:id="2053"/>
    </w:p>
    <w:p w14:paraId="4AFC31F5">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17.2.1  需要施工期运行的单位工程或设备安装工程：</w:t>
      </w:r>
      <w:r>
        <w:rPr>
          <w:rFonts w:hint="eastAsia" w:ascii="宋体" w:hAnsi="宋体" w:eastAsia="宋体" w:cs="宋体"/>
          <w:szCs w:val="21"/>
          <w:u w:val="single"/>
        </w:rPr>
        <w:t>无。</w:t>
      </w:r>
    </w:p>
    <w:p w14:paraId="48155B25">
      <w:pPr>
        <w:pStyle w:val="94"/>
        <w:spacing w:before="156" w:after="156"/>
        <w:outlineLvl w:val="1"/>
        <w:rPr>
          <w:rFonts w:hint="eastAsia" w:ascii="宋体" w:hAnsi="宋体" w:eastAsia="宋体" w:cs="宋体"/>
        </w:rPr>
      </w:pPr>
      <w:bookmarkStart w:id="2054" w:name="_Toc486580438"/>
      <w:bookmarkStart w:id="2055" w:name="_Toc497214107"/>
      <w:bookmarkStart w:id="2056" w:name="_Toc490331729"/>
      <w:bookmarkStart w:id="2057" w:name="_Toc497584548"/>
      <w:bookmarkStart w:id="2058" w:name="_Toc489280244"/>
      <w:bookmarkStart w:id="2059" w:name="_Toc485323212"/>
      <w:bookmarkStart w:id="2060" w:name="_Toc22031734"/>
      <w:bookmarkStart w:id="2061" w:name="_Toc135239960"/>
      <w:r>
        <w:rPr>
          <w:rFonts w:hint="eastAsia" w:ascii="宋体" w:hAnsi="宋体" w:eastAsia="宋体" w:cs="宋体"/>
        </w:rPr>
        <w:t>17.3  施工队伍的撤离</w:t>
      </w:r>
      <w:bookmarkEnd w:id="2054"/>
      <w:bookmarkEnd w:id="2055"/>
      <w:bookmarkEnd w:id="2056"/>
      <w:bookmarkEnd w:id="2057"/>
      <w:bookmarkEnd w:id="2058"/>
      <w:bookmarkEnd w:id="2059"/>
      <w:bookmarkEnd w:id="2060"/>
      <w:bookmarkEnd w:id="2061"/>
    </w:p>
    <w:p w14:paraId="76567DCB">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17.3.1  缺陷责任期满时，承包人在施工场地保留的人员和施工设备最终撤离的期限：</w:t>
      </w:r>
      <w:r>
        <w:rPr>
          <w:rFonts w:hint="eastAsia" w:ascii="宋体" w:hAnsi="宋体" w:eastAsia="宋体" w:cs="宋体"/>
          <w:szCs w:val="21"/>
          <w:u w:val="single"/>
        </w:rPr>
        <w:t xml:space="preserve">/ </w:t>
      </w:r>
    </w:p>
    <w:p w14:paraId="6F24CF67">
      <w:pPr>
        <w:pStyle w:val="94"/>
        <w:spacing w:before="156" w:after="156"/>
        <w:outlineLvl w:val="1"/>
        <w:rPr>
          <w:rFonts w:hint="eastAsia" w:ascii="宋体" w:hAnsi="宋体" w:eastAsia="宋体" w:cs="宋体"/>
        </w:rPr>
      </w:pPr>
      <w:bookmarkStart w:id="2062" w:name="_Toc489280245"/>
      <w:bookmarkStart w:id="2063" w:name="_Toc22031735"/>
      <w:bookmarkStart w:id="2064" w:name="_Toc135239961"/>
      <w:bookmarkStart w:id="2065" w:name="_Toc490331730"/>
      <w:bookmarkStart w:id="2066" w:name="_Toc485323213"/>
      <w:bookmarkStart w:id="2067" w:name="_Toc486580439"/>
      <w:bookmarkStart w:id="2068" w:name="_Toc497214108"/>
      <w:bookmarkStart w:id="2069" w:name="_Toc497584549"/>
      <w:r>
        <w:rPr>
          <w:rFonts w:hint="eastAsia" w:ascii="宋体" w:hAnsi="宋体" w:eastAsia="宋体" w:cs="宋体"/>
        </w:rPr>
        <w:t>17.4  中间验收</w:t>
      </w:r>
      <w:bookmarkEnd w:id="2062"/>
      <w:bookmarkEnd w:id="2063"/>
      <w:bookmarkEnd w:id="2064"/>
      <w:bookmarkEnd w:id="2065"/>
      <w:bookmarkEnd w:id="2066"/>
      <w:bookmarkEnd w:id="2067"/>
      <w:bookmarkEnd w:id="2068"/>
      <w:bookmarkEnd w:id="2069"/>
    </w:p>
    <w:p w14:paraId="72358997">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17.4.1  本工程需要进行中间验收的部位：</w:t>
      </w:r>
      <w:r>
        <w:rPr>
          <w:rFonts w:hint="eastAsia" w:ascii="宋体" w:hAnsi="宋体" w:eastAsia="宋体" w:cs="宋体"/>
          <w:szCs w:val="21"/>
          <w:u w:val="single"/>
        </w:rPr>
        <w:t>无。</w:t>
      </w:r>
    </w:p>
    <w:p w14:paraId="0AEC6AB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17.4.2  验收不合格的，承包人在</w:t>
      </w:r>
      <w:r>
        <w:rPr>
          <w:rFonts w:hint="eastAsia" w:ascii="宋体" w:hAnsi="宋体" w:eastAsia="宋体" w:cs="宋体"/>
          <w:szCs w:val="21"/>
          <w:u w:val="single"/>
        </w:rPr>
        <w:t xml:space="preserve">    /     </w:t>
      </w:r>
      <w:r>
        <w:rPr>
          <w:rFonts w:hint="eastAsia" w:ascii="宋体" w:hAnsi="宋体" w:eastAsia="宋体" w:cs="宋体"/>
          <w:szCs w:val="21"/>
        </w:rPr>
        <w:t>期限内进行修改后重新验收。</w:t>
      </w:r>
    </w:p>
    <w:p w14:paraId="2AC6572E">
      <w:pPr>
        <w:pStyle w:val="92"/>
        <w:spacing w:before="156" w:after="156"/>
        <w:outlineLvl w:val="0"/>
        <w:rPr>
          <w:rFonts w:hint="eastAsia" w:ascii="宋体" w:hAnsi="宋体" w:eastAsia="宋体" w:cs="宋体"/>
        </w:rPr>
      </w:pPr>
      <w:bookmarkStart w:id="2070" w:name="_Toc497214109"/>
      <w:bookmarkStart w:id="2071" w:name="_Toc135239962"/>
      <w:bookmarkStart w:id="2072" w:name="_Toc489280246"/>
      <w:bookmarkStart w:id="2073" w:name="_Toc497584550"/>
      <w:bookmarkStart w:id="2074" w:name="_Toc490331731"/>
      <w:bookmarkStart w:id="2075" w:name="_Toc486580440"/>
      <w:bookmarkStart w:id="2076" w:name="_Toc485323214"/>
      <w:bookmarkStart w:id="2077" w:name="_Toc22031736"/>
      <w:r>
        <w:rPr>
          <w:rFonts w:hint="eastAsia" w:ascii="宋体" w:hAnsi="宋体" w:eastAsia="宋体" w:cs="宋体"/>
        </w:rPr>
        <w:t>18.缺陷责任与保修责任</w:t>
      </w:r>
      <w:bookmarkEnd w:id="2070"/>
      <w:bookmarkEnd w:id="2071"/>
      <w:bookmarkEnd w:id="2072"/>
      <w:bookmarkEnd w:id="2073"/>
      <w:bookmarkEnd w:id="2074"/>
      <w:bookmarkEnd w:id="2075"/>
      <w:bookmarkEnd w:id="2076"/>
      <w:bookmarkEnd w:id="2077"/>
    </w:p>
    <w:p w14:paraId="160B46BF">
      <w:pPr>
        <w:pStyle w:val="94"/>
        <w:spacing w:before="156" w:after="156"/>
        <w:outlineLvl w:val="1"/>
        <w:rPr>
          <w:rFonts w:hint="eastAsia" w:ascii="宋体" w:hAnsi="宋体" w:eastAsia="宋体" w:cs="宋体"/>
        </w:rPr>
      </w:pPr>
      <w:bookmarkStart w:id="2078" w:name="_Toc490331732"/>
      <w:bookmarkStart w:id="2079" w:name="_Toc135239963"/>
      <w:bookmarkStart w:id="2080" w:name="_Toc497214110"/>
      <w:bookmarkStart w:id="2081" w:name="_Toc489280247"/>
      <w:bookmarkStart w:id="2082" w:name="_Toc22031737"/>
      <w:bookmarkStart w:id="2083" w:name="_Toc486580441"/>
      <w:bookmarkStart w:id="2084" w:name="_Toc497584551"/>
      <w:bookmarkStart w:id="2085" w:name="_Toc485323215"/>
      <w:r>
        <w:rPr>
          <w:rFonts w:hint="eastAsia" w:ascii="宋体" w:hAnsi="宋体" w:eastAsia="宋体" w:cs="宋体"/>
        </w:rPr>
        <w:t>18.1  保修责任</w:t>
      </w:r>
      <w:bookmarkEnd w:id="2078"/>
      <w:bookmarkEnd w:id="2079"/>
      <w:bookmarkEnd w:id="2080"/>
      <w:bookmarkEnd w:id="2081"/>
      <w:bookmarkEnd w:id="2082"/>
      <w:bookmarkEnd w:id="2083"/>
      <w:bookmarkEnd w:id="2084"/>
      <w:bookmarkEnd w:id="2085"/>
    </w:p>
    <w:p w14:paraId="49A5C85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18.1.1  工程质量保修范围：</w:t>
      </w:r>
      <w:r>
        <w:rPr>
          <w:rFonts w:hint="eastAsia" w:ascii="宋体" w:hAnsi="宋体" w:eastAsia="宋体" w:cs="宋体"/>
          <w:szCs w:val="21"/>
          <w:u w:val="single"/>
        </w:rPr>
        <w:t>执行《建筑工程质量管理条例》相关规定。</w:t>
      </w:r>
    </w:p>
    <w:p w14:paraId="7804230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工程质量保修期限：</w:t>
      </w:r>
      <w:r>
        <w:rPr>
          <w:rFonts w:hint="eastAsia" w:ascii="宋体" w:hAnsi="宋体" w:eastAsia="宋体" w:cs="宋体"/>
          <w:szCs w:val="21"/>
          <w:u w:val="single"/>
        </w:rPr>
        <w:t>执行《建筑工程质量管理条例》相关规定。</w:t>
      </w:r>
    </w:p>
    <w:p w14:paraId="51C0807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工程质量保修责任：</w:t>
      </w:r>
      <w:r>
        <w:rPr>
          <w:rFonts w:hint="eastAsia" w:ascii="宋体" w:hAnsi="宋体" w:eastAsia="宋体" w:cs="宋体"/>
          <w:szCs w:val="21"/>
          <w:u w:val="single"/>
        </w:rPr>
        <w:t>a.属于保修范围、内容的项目，承包人应当在接到保修通知之日起24小时内派人保修。承包人不在约定期限内派人保修的，发包人可以委托其他人员修理，保修费用从质量保证金内扣除。b.发生紧急抢修事故，承包人在接到事故通知后，应当立即到达事故现场抢修。非承包人施工质量引起的事故，抢修费用由发包人承担。c.在国家规定的工程合理使用期限内，承包人确保主要设备的质量。因承包人原因致使工程在合理使用期限内造成人身和财产损害的，承包人承担损害赔偿责任。d.对于涉及安全的质量问题，应当按照行业主管的规定，立即向当地建设行政主管部门报告，采取安全防范措施；由原设计单位或者具有相应资质等级的设计单位提出保修方案，承包人实施保修。e.质量保修完成后，由发包人组织验收。</w:t>
      </w:r>
    </w:p>
    <w:p w14:paraId="610CFC44">
      <w:pPr>
        <w:pStyle w:val="92"/>
        <w:spacing w:before="156" w:after="156"/>
        <w:outlineLvl w:val="0"/>
        <w:rPr>
          <w:rFonts w:hint="eastAsia" w:ascii="宋体" w:hAnsi="宋体" w:eastAsia="宋体" w:cs="宋体"/>
        </w:rPr>
      </w:pPr>
      <w:bookmarkStart w:id="2086" w:name="_Toc486580442"/>
      <w:bookmarkStart w:id="2087" w:name="_Toc485323216"/>
      <w:bookmarkStart w:id="2088" w:name="_Toc497584552"/>
      <w:bookmarkStart w:id="2089" w:name="_Toc22031738"/>
      <w:bookmarkStart w:id="2090" w:name="_Toc489280248"/>
      <w:bookmarkStart w:id="2091" w:name="_Toc135239964"/>
      <w:bookmarkStart w:id="2092" w:name="_Toc497214111"/>
      <w:bookmarkStart w:id="2093" w:name="_Toc490331733"/>
      <w:r>
        <w:rPr>
          <w:rFonts w:hint="eastAsia" w:ascii="宋体" w:hAnsi="宋体" w:eastAsia="宋体" w:cs="宋体"/>
        </w:rPr>
        <w:t>19.保险</w:t>
      </w:r>
      <w:bookmarkEnd w:id="2086"/>
      <w:bookmarkEnd w:id="2087"/>
      <w:bookmarkEnd w:id="2088"/>
      <w:bookmarkEnd w:id="2089"/>
      <w:bookmarkEnd w:id="2090"/>
      <w:bookmarkEnd w:id="2091"/>
      <w:bookmarkEnd w:id="2092"/>
      <w:bookmarkEnd w:id="2093"/>
    </w:p>
    <w:p w14:paraId="4A36AEE5">
      <w:pPr>
        <w:pStyle w:val="94"/>
        <w:spacing w:before="156" w:after="156"/>
        <w:outlineLvl w:val="1"/>
        <w:rPr>
          <w:rFonts w:hint="eastAsia" w:ascii="宋体" w:hAnsi="宋体" w:eastAsia="宋体" w:cs="宋体"/>
        </w:rPr>
      </w:pPr>
      <w:bookmarkStart w:id="2094" w:name="_Toc497214112"/>
      <w:bookmarkStart w:id="2095" w:name="_Toc485323217"/>
      <w:bookmarkStart w:id="2096" w:name="_Toc22031739"/>
      <w:bookmarkStart w:id="2097" w:name="_Toc486580443"/>
      <w:bookmarkStart w:id="2098" w:name="_Toc490331734"/>
      <w:bookmarkStart w:id="2099" w:name="_Toc497584553"/>
      <w:bookmarkStart w:id="2100" w:name="_Toc489280249"/>
      <w:bookmarkStart w:id="2101" w:name="_Toc135239965"/>
      <w:r>
        <w:rPr>
          <w:rFonts w:hint="eastAsia" w:ascii="宋体" w:hAnsi="宋体" w:eastAsia="宋体" w:cs="宋体"/>
        </w:rPr>
        <w:t>19.1  工程保险</w:t>
      </w:r>
      <w:bookmarkEnd w:id="2094"/>
      <w:bookmarkEnd w:id="2095"/>
      <w:bookmarkEnd w:id="2096"/>
      <w:bookmarkEnd w:id="2097"/>
      <w:bookmarkEnd w:id="2098"/>
      <w:bookmarkEnd w:id="2099"/>
      <w:bookmarkEnd w:id="2100"/>
      <w:bookmarkEnd w:id="2101"/>
    </w:p>
    <w:p w14:paraId="2EE05A2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本工程(投保/不投保)工程保险。投保工程保险时，险种为：</w:t>
      </w:r>
      <w:r>
        <w:rPr>
          <w:rFonts w:hint="eastAsia" w:ascii="宋体" w:hAnsi="宋体" w:eastAsia="宋体" w:cs="宋体"/>
          <w:szCs w:val="21"/>
          <w:u w:val="single"/>
        </w:rPr>
        <w:t xml:space="preserve">  /    </w:t>
      </w:r>
      <w:r>
        <w:rPr>
          <w:rFonts w:hint="eastAsia" w:ascii="宋体" w:hAnsi="宋体" w:eastAsia="宋体" w:cs="宋体"/>
          <w:szCs w:val="21"/>
        </w:rPr>
        <w:t>，并符合以下约定：</w:t>
      </w:r>
    </w:p>
    <w:p w14:paraId="6FEECD7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（1）投保人：</w:t>
      </w:r>
      <w:r>
        <w:rPr>
          <w:rFonts w:hint="eastAsia" w:ascii="宋体" w:hAnsi="宋体" w:eastAsia="宋体" w:cs="宋体"/>
          <w:szCs w:val="21"/>
          <w:u w:val="single"/>
        </w:rPr>
        <w:t xml:space="preserve">    /       </w:t>
      </w:r>
    </w:p>
    <w:p w14:paraId="374D963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（2）投保内容：</w:t>
      </w:r>
      <w:r>
        <w:rPr>
          <w:rFonts w:hint="eastAsia" w:ascii="宋体" w:hAnsi="宋体" w:eastAsia="宋体" w:cs="宋体"/>
          <w:szCs w:val="21"/>
          <w:u w:val="single"/>
        </w:rPr>
        <w:t xml:space="preserve">    /       </w:t>
      </w:r>
    </w:p>
    <w:p w14:paraId="36888E2D">
      <w:pPr>
        <w:spacing w:line="360" w:lineRule="auto"/>
        <w:ind w:firstLine="420" w:firstLineChars="200"/>
        <w:rPr>
          <w:rFonts w:hint="eastAsia" w:ascii="宋体" w:hAnsi="宋体" w:eastAsia="宋体" w:cs="宋体"/>
        </w:rPr>
      </w:pPr>
      <w:r>
        <w:rPr>
          <w:rFonts w:hint="eastAsia" w:ascii="宋体" w:hAnsi="宋体" w:eastAsia="宋体" w:cs="宋体"/>
          <w:szCs w:val="21"/>
        </w:rPr>
        <w:t>（3）保险费率：由投保人与合同双方同意的保险人商定</w:t>
      </w:r>
      <w:r>
        <w:rPr>
          <w:rFonts w:hint="eastAsia" w:ascii="宋体" w:hAnsi="宋体" w:eastAsia="宋体" w:cs="宋体"/>
        </w:rPr>
        <w:t>。</w:t>
      </w:r>
    </w:p>
    <w:p w14:paraId="2FC3382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（4）保险金额：</w:t>
      </w:r>
      <w:r>
        <w:rPr>
          <w:rFonts w:hint="eastAsia" w:ascii="宋体" w:hAnsi="宋体" w:eastAsia="宋体" w:cs="宋体"/>
          <w:szCs w:val="21"/>
          <w:u w:val="single"/>
        </w:rPr>
        <w:t xml:space="preserve">    /       </w:t>
      </w:r>
    </w:p>
    <w:p w14:paraId="6F4E07E8">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（5）保险期限：</w:t>
      </w:r>
      <w:r>
        <w:rPr>
          <w:rFonts w:hint="eastAsia" w:ascii="宋体" w:hAnsi="宋体" w:eastAsia="宋体" w:cs="宋体"/>
          <w:szCs w:val="21"/>
          <w:u w:val="single"/>
        </w:rPr>
        <w:t xml:space="preserve">    /       </w:t>
      </w:r>
    </w:p>
    <w:p w14:paraId="1F924406">
      <w:pPr>
        <w:pStyle w:val="94"/>
        <w:spacing w:before="156" w:after="156"/>
        <w:outlineLvl w:val="1"/>
        <w:rPr>
          <w:rFonts w:hint="eastAsia" w:ascii="宋体" w:hAnsi="宋体" w:eastAsia="宋体" w:cs="宋体"/>
        </w:rPr>
      </w:pPr>
      <w:bookmarkStart w:id="2102" w:name="_Toc490331735"/>
      <w:bookmarkStart w:id="2103" w:name="_Toc135239966"/>
      <w:bookmarkStart w:id="2104" w:name="_Toc486580444"/>
      <w:bookmarkStart w:id="2105" w:name="_Toc485323218"/>
      <w:bookmarkStart w:id="2106" w:name="_Toc22031740"/>
      <w:bookmarkStart w:id="2107" w:name="_Toc497584554"/>
      <w:bookmarkStart w:id="2108" w:name="_Toc489280250"/>
      <w:bookmarkStart w:id="2109" w:name="_Toc497214113"/>
      <w:r>
        <w:rPr>
          <w:rFonts w:hint="eastAsia" w:ascii="宋体" w:hAnsi="宋体" w:eastAsia="宋体" w:cs="宋体"/>
        </w:rPr>
        <w:t>19.2  第三者责任险</w:t>
      </w:r>
      <w:bookmarkEnd w:id="2102"/>
      <w:bookmarkEnd w:id="2103"/>
      <w:bookmarkEnd w:id="2104"/>
      <w:bookmarkEnd w:id="2105"/>
      <w:bookmarkEnd w:id="2106"/>
      <w:bookmarkEnd w:id="2107"/>
      <w:bookmarkEnd w:id="2108"/>
      <w:bookmarkEnd w:id="2109"/>
    </w:p>
    <w:p w14:paraId="49484DA8">
      <w:pPr>
        <w:spacing w:line="360" w:lineRule="auto"/>
        <w:ind w:firstLine="420" w:firstLineChars="200"/>
        <w:rPr>
          <w:rFonts w:hint="eastAsia" w:ascii="宋体" w:hAnsi="宋体" w:eastAsia="宋体" w:cs="宋体"/>
        </w:rPr>
      </w:pPr>
      <w:r>
        <w:rPr>
          <w:rFonts w:hint="eastAsia" w:ascii="宋体" w:hAnsi="宋体" w:eastAsia="宋体" w:cs="宋体"/>
          <w:szCs w:val="21"/>
        </w:rPr>
        <w:t>19.2.1  保险金额：</w:t>
      </w:r>
      <w:r>
        <w:rPr>
          <w:rFonts w:hint="eastAsia" w:ascii="宋体" w:hAnsi="宋体" w:eastAsia="宋体" w:cs="宋体"/>
          <w:szCs w:val="21"/>
          <w:u w:val="single"/>
        </w:rPr>
        <w:t xml:space="preserve">    /       </w:t>
      </w:r>
      <w:r>
        <w:rPr>
          <w:rFonts w:hint="eastAsia" w:ascii="宋体" w:hAnsi="宋体" w:eastAsia="宋体" w:cs="宋体"/>
        </w:rPr>
        <w:t>，</w:t>
      </w:r>
      <w:r>
        <w:rPr>
          <w:rFonts w:hint="eastAsia" w:ascii="宋体" w:hAnsi="宋体" w:eastAsia="宋体" w:cs="宋体"/>
          <w:szCs w:val="21"/>
        </w:rPr>
        <w:t>保险费率由承包人与发包人同意的保险人商定，相关保险费由</w:t>
      </w:r>
      <w:r>
        <w:rPr>
          <w:rFonts w:hint="eastAsia" w:ascii="宋体" w:hAnsi="宋体" w:eastAsia="宋体" w:cs="宋体"/>
          <w:szCs w:val="21"/>
          <w:u w:val="single"/>
        </w:rPr>
        <w:t xml:space="preserve">    /       </w:t>
      </w:r>
      <w:r>
        <w:rPr>
          <w:rFonts w:hint="eastAsia" w:ascii="宋体" w:hAnsi="宋体" w:eastAsia="宋体" w:cs="宋体"/>
          <w:szCs w:val="21"/>
        </w:rPr>
        <w:t>承担</w:t>
      </w:r>
      <w:r>
        <w:rPr>
          <w:rFonts w:hint="eastAsia" w:ascii="宋体" w:hAnsi="宋体" w:eastAsia="宋体" w:cs="宋体"/>
        </w:rPr>
        <w:t>。</w:t>
      </w:r>
    </w:p>
    <w:p w14:paraId="75D7F7B3">
      <w:pPr>
        <w:pStyle w:val="94"/>
        <w:spacing w:before="156" w:after="156"/>
        <w:outlineLvl w:val="1"/>
        <w:rPr>
          <w:rFonts w:hint="eastAsia" w:ascii="宋体" w:hAnsi="宋体" w:eastAsia="宋体" w:cs="宋体"/>
        </w:rPr>
      </w:pPr>
      <w:bookmarkStart w:id="2110" w:name="_Toc22031741"/>
      <w:bookmarkStart w:id="2111" w:name="_Toc486580445"/>
      <w:bookmarkStart w:id="2112" w:name="_Toc489280251"/>
      <w:bookmarkStart w:id="2113" w:name="_Toc485323219"/>
      <w:bookmarkStart w:id="2114" w:name="_Toc490331736"/>
      <w:bookmarkStart w:id="2115" w:name="_Toc497214114"/>
      <w:bookmarkStart w:id="2116" w:name="_Toc135239967"/>
      <w:bookmarkStart w:id="2117" w:name="_Toc497584555"/>
      <w:r>
        <w:rPr>
          <w:rFonts w:hint="eastAsia" w:ascii="宋体" w:hAnsi="宋体" w:eastAsia="宋体" w:cs="宋体"/>
        </w:rPr>
        <w:t>19.3  其他保险</w:t>
      </w:r>
      <w:bookmarkEnd w:id="2110"/>
      <w:bookmarkEnd w:id="2111"/>
      <w:bookmarkEnd w:id="2112"/>
      <w:bookmarkEnd w:id="2113"/>
      <w:bookmarkEnd w:id="2114"/>
      <w:bookmarkEnd w:id="2115"/>
      <w:bookmarkEnd w:id="2116"/>
      <w:bookmarkEnd w:id="2117"/>
    </w:p>
    <w:p w14:paraId="79468DC7">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承包人应为其施工设备、进场材料和工程设备等办理的保险：</w:t>
      </w:r>
      <w:r>
        <w:rPr>
          <w:rFonts w:hint="eastAsia" w:ascii="宋体" w:hAnsi="宋体" w:eastAsia="宋体" w:cs="宋体"/>
          <w:szCs w:val="21"/>
          <w:u w:val="single"/>
        </w:rPr>
        <w:t xml:space="preserve">    /       </w:t>
      </w:r>
    </w:p>
    <w:p w14:paraId="22B9FFF5">
      <w:pPr>
        <w:pStyle w:val="94"/>
        <w:spacing w:before="156" w:after="156"/>
        <w:outlineLvl w:val="1"/>
        <w:rPr>
          <w:rFonts w:hint="eastAsia" w:ascii="宋体" w:hAnsi="宋体" w:eastAsia="宋体" w:cs="宋体"/>
        </w:rPr>
      </w:pPr>
      <w:bookmarkStart w:id="2118" w:name="_Toc486580446"/>
      <w:bookmarkStart w:id="2119" w:name="_Toc485323220"/>
      <w:bookmarkStart w:id="2120" w:name="_Toc497214115"/>
      <w:bookmarkStart w:id="2121" w:name="_Toc490331737"/>
      <w:bookmarkStart w:id="2122" w:name="_Toc497584556"/>
      <w:bookmarkStart w:id="2123" w:name="_Toc135239968"/>
      <w:bookmarkStart w:id="2124" w:name="_Toc489280252"/>
      <w:bookmarkStart w:id="2125" w:name="_Toc22031742"/>
      <w:r>
        <w:rPr>
          <w:rFonts w:hint="eastAsia" w:ascii="宋体" w:hAnsi="宋体" w:eastAsia="宋体" w:cs="宋体"/>
        </w:rPr>
        <w:t>19.4  对各项保险的一般要求</w:t>
      </w:r>
      <w:bookmarkEnd w:id="2118"/>
      <w:bookmarkEnd w:id="2119"/>
      <w:bookmarkEnd w:id="2120"/>
      <w:bookmarkEnd w:id="2121"/>
      <w:bookmarkEnd w:id="2122"/>
      <w:bookmarkEnd w:id="2123"/>
      <w:bookmarkEnd w:id="2124"/>
      <w:bookmarkEnd w:id="2125"/>
    </w:p>
    <w:p w14:paraId="549D2CC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19.4.1  保险凭证</w:t>
      </w:r>
    </w:p>
    <w:p w14:paraId="2CCC834C">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承包人向发包人提交各项保险生效的证据和保险单副本的期限：</w:t>
      </w:r>
      <w:r>
        <w:rPr>
          <w:rFonts w:hint="eastAsia" w:ascii="宋体" w:hAnsi="宋体" w:eastAsia="宋体" w:cs="宋体"/>
          <w:szCs w:val="21"/>
          <w:u w:val="single"/>
        </w:rPr>
        <w:t xml:space="preserve">    /       </w:t>
      </w:r>
    </w:p>
    <w:p w14:paraId="3CD5D7B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19.4.2  保险金不足的补偿</w:t>
      </w:r>
    </w:p>
    <w:p w14:paraId="72C28BC2">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保险金不足以补偿损失时，承包人和发包人负责补偿的责任分摊：</w:t>
      </w:r>
      <w:r>
        <w:rPr>
          <w:rFonts w:hint="eastAsia" w:ascii="宋体" w:hAnsi="宋体" w:eastAsia="宋体" w:cs="宋体"/>
          <w:szCs w:val="21"/>
          <w:u w:val="single"/>
        </w:rPr>
        <w:t xml:space="preserve">    /       </w:t>
      </w:r>
    </w:p>
    <w:p w14:paraId="2C78755C">
      <w:pPr>
        <w:spacing w:line="360" w:lineRule="auto"/>
        <w:rPr>
          <w:rFonts w:hint="eastAsia" w:ascii="宋体" w:hAnsi="宋体" w:eastAsia="宋体" w:cs="宋体"/>
        </w:rPr>
      </w:pPr>
    </w:p>
    <w:p w14:paraId="243B02D8">
      <w:pPr>
        <w:pStyle w:val="92"/>
        <w:spacing w:before="156" w:after="156"/>
        <w:outlineLvl w:val="0"/>
        <w:rPr>
          <w:rFonts w:hint="eastAsia" w:ascii="宋体" w:hAnsi="宋体" w:eastAsia="宋体" w:cs="宋体"/>
        </w:rPr>
      </w:pPr>
      <w:bookmarkStart w:id="2126" w:name="_Toc497584557"/>
      <w:bookmarkStart w:id="2127" w:name="_Toc486580447"/>
      <w:bookmarkStart w:id="2128" w:name="_Toc485323221"/>
      <w:bookmarkStart w:id="2129" w:name="_Toc135239969"/>
      <w:bookmarkStart w:id="2130" w:name="_Toc22031743"/>
      <w:bookmarkStart w:id="2131" w:name="_Toc490331738"/>
      <w:bookmarkStart w:id="2132" w:name="_Toc489280253"/>
      <w:bookmarkStart w:id="2133" w:name="_Toc497214116"/>
      <w:r>
        <w:rPr>
          <w:rFonts w:hint="eastAsia" w:ascii="宋体" w:hAnsi="宋体" w:eastAsia="宋体" w:cs="宋体"/>
        </w:rPr>
        <w:t>20.不可抗力</w:t>
      </w:r>
      <w:bookmarkEnd w:id="2126"/>
      <w:bookmarkEnd w:id="2127"/>
      <w:bookmarkEnd w:id="2128"/>
      <w:bookmarkEnd w:id="2129"/>
      <w:bookmarkEnd w:id="2130"/>
      <w:bookmarkEnd w:id="2131"/>
      <w:bookmarkEnd w:id="2132"/>
      <w:bookmarkEnd w:id="2133"/>
    </w:p>
    <w:p w14:paraId="06E8E9B2">
      <w:pPr>
        <w:pStyle w:val="94"/>
        <w:spacing w:before="156" w:after="156"/>
        <w:outlineLvl w:val="1"/>
        <w:rPr>
          <w:rFonts w:hint="eastAsia" w:ascii="宋体" w:hAnsi="宋体" w:eastAsia="宋体" w:cs="宋体"/>
        </w:rPr>
      </w:pPr>
      <w:bookmarkStart w:id="2134" w:name="_Toc485323222"/>
      <w:bookmarkStart w:id="2135" w:name="_Toc486580448"/>
      <w:bookmarkStart w:id="2136" w:name="_Toc490331739"/>
      <w:bookmarkStart w:id="2137" w:name="_Toc497584558"/>
      <w:bookmarkStart w:id="2138" w:name="_Toc135239970"/>
      <w:bookmarkStart w:id="2139" w:name="_Toc489280254"/>
      <w:bookmarkStart w:id="2140" w:name="_Toc22031744"/>
      <w:bookmarkStart w:id="2141" w:name="_Toc497214117"/>
      <w:r>
        <w:rPr>
          <w:rFonts w:hint="eastAsia" w:ascii="宋体" w:hAnsi="宋体" w:eastAsia="宋体" w:cs="宋体"/>
        </w:rPr>
        <w:t>20.1  不可抗力的确认</w:t>
      </w:r>
      <w:bookmarkEnd w:id="2134"/>
      <w:bookmarkEnd w:id="2135"/>
      <w:bookmarkEnd w:id="2136"/>
      <w:bookmarkEnd w:id="2137"/>
      <w:bookmarkEnd w:id="2138"/>
      <w:bookmarkEnd w:id="2139"/>
      <w:bookmarkEnd w:id="2140"/>
      <w:bookmarkEnd w:id="2141"/>
    </w:p>
    <w:p w14:paraId="305A013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20.1.1  合同条款通用部分第21.1.1项约定的不可抗力以外的其他情形：</w:t>
      </w:r>
      <w:r>
        <w:rPr>
          <w:rFonts w:hint="eastAsia" w:ascii="宋体" w:hAnsi="宋体" w:eastAsia="宋体" w:cs="宋体"/>
          <w:szCs w:val="21"/>
          <w:u w:val="single"/>
        </w:rPr>
        <w:t xml:space="preserve">    /       </w:t>
      </w:r>
    </w:p>
    <w:p w14:paraId="07EE8E7B">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不可抗力的等级范围约定：</w:t>
      </w:r>
      <w:r>
        <w:rPr>
          <w:rFonts w:hint="eastAsia" w:ascii="宋体" w:hAnsi="宋体" w:eastAsia="宋体" w:cs="宋体"/>
          <w:szCs w:val="21"/>
          <w:u w:val="single"/>
        </w:rPr>
        <w:t xml:space="preserve">    /       </w:t>
      </w:r>
    </w:p>
    <w:p w14:paraId="65DCA7D3">
      <w:pPr>
        <w:spacing w:line="360" w:lineRule="auto"/>
        <w:rPr>
          <w:rFonts w:hint="eastAsia" w:ascii="宋体" w:hAnsi="宋体" w:eastAsia="宋体" w:cs="宋体"/>
        </w:rPr>
      </w:pPr>
    </w:p>
    <w:p w14:paraId="5D1F2AC2">
      <w:pPr>
        <w:pStyle w:val="92"/>
        <w:spacing w:before="156" w:after="156"/>
        <w:outlineLvl w:val="0"/>
        <w:rPr>
          <w:rFonts w:hint="eastAsia" w:ascii="宋体" w:hAnsi="宋体" w:eastAsia="宋体" w:cs="宋体"/>
        </w:rPr>
      </w:pPr>
      <w:bookmarkStart w:id="2142" w:name="_Toc490331741"/>
      <w:bookmarkStart w:id="2143" w:name="_Toc485323224"/>
      <w:bookmarkStart w:id="2144" w:name="_Toc135239971"/>
      <w:bookmarkStart w:id="2145" w:name="_Toc497584559"/>
      <w:bookmarkStart w:id="2146" w:name="_Toc489280256"/>
      <w:bookmarkStart w:id="2147" w:name="_Toc22031745"/>
      <w:bookmarkStart w:id="2148" w:name="_Toc486580450"/>
      <w:bookmarkStart w:id="2149" w:name="_Toc497214118"/>
      <w:r>
        <w:rPr>
          <w:rFonts w:hint="eastAsia" w:ascii="宋体" w:hAnsi="宋体" w:eastAsia="宋体" w:cs="宋体"/>
        </w:rPr>
        <w:t>21.争议的解决</w:t>
      </w:r>
      <w:bookmarkEnd w:id="2142"/>
      <w:bookmarkEnd w:id="2143"/>
      <w:bookmarkEnd w:id="2144"/>
      <w:bookmarkEnd w:id="2145"/>
      <w:bookmarkEnd w:id="2146"/>
      <w:bookmarkEnd w:id="2147"/>
      <w:bookmarkEnd w:id="2148"/>
      <w:bookmarkEnd w:id="2149"/>
    </w:p>
    <w:p w14:paraId="0FB83DE7">
      <w:pPr>
        <w:pStyle w:val="94"/>
        <w:spacing w:before="156" w:after="156"/>
        <w:outlineLvl w:val="1"/>
        <w:rPr>
          <w:rFonts w:hint="eastAsia" w:ascii="宋体" w:hAnsi="宋体" w:eastAsia="宋体" w:cs="宋体"/>
        </w:rPr>
      </w:pPr>
      <w:bookmarkStart w:id="2150" w:name="_Toc486580451"/>
      <w:bookmarkStart w:id="2151" w:name="_Toc135239972"/>
      <w:bookmarkStart w:id="2152" w:name="_Toc497584560"/>
      <w:bookmarkStart w:id="2153" w:name="_Toc489280257"/>
      <w:bookmarkStart w:id="2154" w:name="_Toc497214119"/>
      <w:bookmarkStart w:id="2155" w:name="_Toc490331742"/>
      <w:bookmarkStart w:id="2156" w:name="_Toc22031746"/>
      <w:bookmarkStart w:id="2157" w:name="_Toc485323225"/>
      <w:r>
        <w:rPr>
          <w:rFonts w:hint="eastAsia" w:ascii="宋体" w:hAnsi="宋体" w:eastAsia="宋体" w:cs="宋体"/>
        </w:rPr>
        <w:t>21.1  争议的解决方式</w:t>
      </w:r>
      <w:bookmarkEnd w:id="2150"/>
      <w:bookmarkEnd w:id="2151"/>
      <w:bookmarkEnd w:id="2152"/>
      <w:bookmarkEnd w:id="2153"/>
      <w:bookmarkEnd w:id="2154"/>
      <w:bookmarkEnd w:id="2155"/>
      <w:bookmarkEnd w:id="2156"/>
      <w:bookmarkEnd w:id="2157"/>
    </w:p>
    <w:p w14:paraId="2A2B903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因本合同引起的或与本合同有关的任何争议，合同双方友好协商不成、由北京市海淀区人民法院诉讼解决。</w:t>
      </w:r>
    </w:p>
    <w:p w14:paraId="6447C0BA">
      <w:pPr>
        <w:pStyle w:val="94"/>
        <w:spacing w:before="156" w:after="156"/>
        <w:outlineLvl w:val="1"/>
        <w:rPr>
          <w:rFonts w:hint="eastAsia" w:ascii="宋体" w:hAnsi="宋体" w:eastAsia="宋体" w:cs="宋体"/>
        </w:rPr>
      </w:pPr>
      <w:bookmarkStart w:id="2158" w:name="_Toc485323226"/>
      <w:bookmarkStart w:id="2159" w:name="_Toc497584561"/>
      <w:bookmarkStart w:id="2160" w:name="_Toc497214120"/>
      <w:bookmarkStart w:id="2161" w:name="_Toc22031747"/>
      <w:bookmarkStart w:id="2162" w:name="_Toc490331743"/>
      <w:bookmarkStart w:id="2163" w:name="_Toc135239973"/>
      <w:bookmarkStart w:id="2164" w:name="_Toc489280258"/>
      <w:bookmarkStart w:id="2165" w:name="_Toc486580452"/>
      <w:r>
        <w:rPr>
          <w:rFonts w:hint="eastAsia" w:ascii="宋体" w:hAnsi="宋体" w:eastAsia="宋体" w:cs="宋体"/>
        </w:rPr>
        <w:t>21.2  争议评审</w:t>
      </w:r>
      <w:bookmarkEnd w:id="2158"/>
      <w:bookmarkEnd w:id="2159"/>
      <w:bookmarkEnd w:id="2160"/>
      <w:bookmarkEnd w:id="2161"/>
      <w:bookmarkEnd w:id="2162"/>
      <w:bookmarkEnd w:id="2163"/>
      <w:bookmarkEnd w:id="2164"/>
      <w:bookmarkEnd w:id="2165"/>
    </w:p>
    <w:p w14:paraId="2FB9955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21.2.1  争议评审组邀请合同双方代表人和有关人员举行调查会的期限：</w:t>
      </w:r>
      <w:r>
        <w:rPr>
          <w:rFonts w:hint="eastAsia" w:ascii="宋体" w:hAnsi="宋体" w:eastAsia="宋体" w:cs="宋体"/>
          <w:szCs w:val="21"/>
          <w:u w:val="single"/>
        </w:rPr>
        <w:t xml:space="preserve">/  </w:t>
      </w:r>
    </w:p>
    <w:p w14:paraId="7DA3B293">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21.2.2  争议评审组在调查会后作出争议评审意见的期限：</w:t>
      </w:r>
      <w:r>
        <w:rPr>
          <w:rFonts w:hint="eastAsia" w:ascii="宋体" w:hAnsi="宋体" w:eastAsia="宋体" w:cs="宋体"/>
          <w:szCs w:val="21"/>
          <w:u w:val="single"/>
        </w:rPr>
        <w:t xml:space="preserve">/  </w:t>
      </w:r>
    </w:p>
    <w:p w14:paraId="0C06AE89">
      <w:pPr>
        <w:spacing w:line="360" w:lineRule="auto"/>
        <w:ind w:firstLine="420" w:firstLineChars="200"/>
        <w:rPr>
          <w:rFonts w:hint="eastAsia" w:ascii="宋体" w:hAnsi="宋体" w:eastAsia="宋体" w:cs="宋体"/>
          <w:szCs w:val="21"/>
          <w:u w:val="single"/>
        </w:rPr>
      </w:pPr>
    </w:p>
    <w:p w14:paraId="77627E6E">
      <w:pPr>
        <w:spacing w:line="360" w:lineRule="auto"/>
        <w:ind w:firstLine="420" w:firstLineChars="200"/>
        <w:rPr>
          <w:rFonts w:hint="eastAsia" w:ascii="宋体" w:hAnsi="宋体" w:eastAsia="宋体" w:cs="宋体"/>
          <w:szCs w:val="21"/>
        </w:rPr>
      </w:pPr>
    </w:p>
    <w:p w14:paraId="189938CD">
      <w:pPr>
        <w:rPr>
          <w:rFonts w:hint="eastAsia" w:ascii="宋体" w:hAnsi="宋体" w:eastAsia="宋体" w:cs="宋体"/>
          <w:szCs w:val="21"/>
        </w:rPr>
      </w:pPr>
    </w:p>
    <w:p w14:paraId="6D704EF0">
      <w:pPr>
        <w:spacing w:line="540" w:lineRule="exact"/>
        <w:rPr>
          <w:rFonts w:hint="eastAsia" w:ascii="宋体" w:hAnsi="宋体" w:eastAsia="宋体" w:cs="宋体"/>
          <w:sz w:val="28"/>
          <w:szCs w:val="28"/>
        </w:rPr>
        <w:sectPr>
          <w:headerReference r:id="rId4" w:type="default"/>
          <w:pgSz w:w="11906" w:h="16838"/>
          <w:pgMar w:top="1440" w:right="1800" w:bottom="1440" w:left="1800" w:header="851" w:footer="992" w:gutter="0"/>
          <w:cols w:space="425" w:num="1"/>
          <w:docGrid w:type="lines" w:linePitch="312" w:charSpace="0"/>
        </w:sectPr>
      </w:pPr>
    </w:p>
    <w:p w14:paraId="4924C73F">
      <w:pPr>
        <w:spacing w:line="540" w:lineRule="exact"/>
        <w:rPr>
          <w:rFonts w:hint="eastAsia" w:ascii="宋体" w:hAnsi="宋体" w:eastAsia="宋体" w:cs="宋体"/>
          <w:sz w:val="28"/>
          <w:szCs w:val="28"/>
        </w:rPr>
      </w:pPr>
      <w:r>
        <w:rPr>
          <w:rFonts w:hint="eastAsia" w:ascii="宋体" w:hAnsi="宋体" w:eastAsia="宋体" w:cs="宋体"/>
          <w:sz w:val="28"/>
          <w:szCs w:val="28"/>
        </w:rPr>
        <w:t>附件：</w:t>
      </w:r>
    </w:p>
    <w:p w14:paraId="2FF86625">
      <w:pPr>
        <w:jc w:val="center"/>
        <w:rPr>
          <w:rFonts w:hint="eastAsia" w:ascii="宋体" w:hAnsi="宋体" w:eastAsia="宋体" w:cs="宋体"/>
          <w:b/>
          <w:bCs/>
          <w:sz w:val="32"/>
          <w:szCs w:val="32"/>
        </w:rPr>
      </w:pPr>
    </w:p>
    <w:p w14:paraId="22FC8D43">
      <w:pPr>
        <w:jc w:val="center"/>
        <w:rPr>
          <w:rFonts w:hint="eastAsia" w:ascii="宋体" w:hAnsi="宋体" w:eastAsia="宋体" w:cs="宋体"/>
          <w:b/>
          <w:bCs/>
          <w:sz w:val="32"/>
          <w:szCs w:val="32"/>
        </w:rPr>
      </w:pPr>
      <w:r>
        <w:rPr>
          <w:rFonts w:hint="eastAsia" w:ascii="宋体" w:hAnsi="宋体" w:eastAsia="宋体" w:cs="宋体"/>
          <w:b/>
          <w:bCs/>
          <w:sz w:val="32"/>
          <w:szCs w:val="32"/>
        </w:rPr>
        <w:t>施工安全协议书</w:t>
      </w:r>
    </w:p>
    <w:p w14:paraId="4DC400DB">
      <w:pPr>
        <w:rPr>
          <w:rFonts w:hint="eastAsia" w:ascii="宋体" w:hAnsi="宋体" w:eastAsia="宋体" w:cs="宋体"/>
          <w:sz w:val="28"/>
          <w:szCs w:val="28"/>
        </w:rPr>
      </w:pPr>
    </w:p>
    <w:p w14:paraId="7361B044">
      <w:pPr>
        <w:spacing w:line="520" w:lineRule="exact"/>
        <w:rPr>
          <w:rFonts w:hint="eastAsia" w:ascii="宋体" w:hAnsi="宋体" w:eastAsia="宋体" w:cs="宋体"/>
          <w:sz w:val="28"/>
          <w:szCs w:val="28"/>
        </w:rPr>
      </w:pPr>
      <w:r>
        <w:rPr>
          <w:rFonts w:hint="eastAsia" w:ascii="宋体" w:hAnsi="宋体" w:eastAsia="宋体" w:cs="宋体"/>
          <w:sz w:val="28"/>
          <w:szCs w:val="28"/>
        </w:rPr>
        <w:t>甲方：北京市海淀区人民政府永定路街道办事处</w:t>
      </w:r>
    </w:p>
    <w:p w14:paraId="05B41153">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乙方： </w:t>
      </w:r>
    </w:p>
    <w:p w14:paraId="680950E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为确保甲方</w:t>
      </w:r>
      <w:r>
        <w:rPr>
          <w:rFonts w:hint="eastAsia" w:ascii="宋体" w:hAnsi="宋体" w:eastAsia="宋体" w:cs="宋体"/>
          <w:sz w:val="28"/>
          <w:szCs w:val="28"/>
          <w:u w:val="single"/>
        </w:rPr>
        <w:t xml:space="preserve">                            </w:t>
      </w:r>
      <w:r>
        <w:rPr>
          <w:rFonts w:hint="eastAsia" w:ascii="宋体" w:hAnsi="宋体" w:eastAsia="宋体" w:cs="宋体"/>
          <w:sz w:val="28"/>
          <w:szCs w:val="28"/>
        </w:rPr>
        <w:t>工程施工的施工安全,依照国家、北京市的有关法规和政策，发包人及乙方双方经自愿协商，特签订本安全生产协议书。</w:t>
      </w:r>
    </w:p>
    <w:p w14:paraId="487281A5">
      <w:pPr>
        <w:tabs>
          <w:tab w:val="left" w:pos="851"/>
          <w:tab w:val="left" w:pos="1080"/>
        </w:tabs>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一、根据北京市相关规定，甲方有权审查乙方安全管理体制是否符合市、区政府及有关主管部门的规定、有权向乙方提出安全施工的要求以及日常施工现场的督促检查。</w:t>
      </w:r>
    </w:p>
    <w:p w14:paraId="6BE45FD8">
      <w:pPr>
        <w:tabs>
          <w:tab w:val="left" w:pos="851"/>
          <w:tab w:val="left" w:pos="1080"/>
        </w:tabs>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二、乙方及乙方的法定代表人应对本工程安全生产工作承担首要责任和全部责任，乙方项目经理、安全生产负责人、工地的现场安全员应对本工程安全生产工作各负其责。</w:t>
      </w:r>
    </w:p>
    <w:p w14:paraId="333DD78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三、乙方必须遵守国家和北京市制订的关于安全生产、现场文明施工、安全消防管理等的规章制度，对甲方提出的安全隐患及甲方或相关部门下发的整改通知单要及时进行整改、反馈，确保安全施工。</w:t>
      </w:r>
    </w:p>
    <w:p w14:paraId="6683469D">
      <w:pPr>
        <w:tabs>
          <w:tab w:val="left" w:pos="851"/>
          <w:tab w:val="left" w:pos="1080"/>
        </w:tabs>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四、乙方在承包工程施工中，必须根据设计图纸和施工规范，针对工程特点编制施工组织设计和落实相应的安全措施，健全安全管理体制，组织有关安全知识学习、安全教育等活动，建立各项安全操作规程、安全生产责任制度和安全检查制度。</w:t>
      </w:r>
    </w:p>
    <w:p w14:paraId="5538E1AE">
      <w:pPr>
        <w:tabs>
          <w:tab w:val="left" w:pos="851"/>
          <w:tab w:val="left" w:pos="1080"/>
        </w:tabs>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五、乙方施工人员必须按北京市有关管理规定办理合法用工手续，其中的电工、焊工、起重吊运指挥、挂勾工等特殊工种必须按国家《特种作业人员安全技术培训考核管理规定》持有劳动部门签发的有效操作证件上岗，严禁无证、违章操作；施工机具中的受压容器、电气设备必须具有符合安全要求的保护设施。</w:t>
      </w:r>
    </w:p>
    <w:p w14:paraId="0236B89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六、乙方进入施工现场的人员必须正确佩带个人安全防护用品，不得擅自拆除现场的安全防护措施。</w:t>
      </w:r>
    </w:p>
    <w:p w14:paraId="08542D4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七、乙方违反安全生产、施工的相关规定、规范或将承接工程非法再次转包、分包，或未按照批准的施工组织设计（施工方案）组织施工所发生事故的全部法律责任及损失、损害赔偿责任均由乙方承担。</w:t>
      </w:r>
    </w:p>
    <w:p w14:paraId="205AE8E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八、由乙方自己提供使用的不合格施工机械、机具或未按规定使用劳动保护用品，或者使用不合格的劳动保护用品所造成的事故的全部法律责任及损失、损害赔偿责任均由乙方承担。</w:t>
      </w:r>
    </w:p>
    <w:p w14:paraId="5AA4942F">
      <w:pPr>
        <w:snapToGrid w:val="0"/>
        <w:spacing w:line="520" w:lineRule="exact"/>
        <w:ind w:firstLine="700" w:firstLineChars="250"/>
        <w:rPr>
          <w:rFonts w:hint="eastAsia" w:ascii="宋体" w:hAnsi="宋体" w:eastAsia="宋体" w:cs="宋体"/>
          <w:sz w:val="28"/>
          <w:szCs w:val="28"/>
        </w:rPr>
      </w:pPr>
      <w:r>
        <w:rPr>
          <w:rFonts w:hint="eastAsia" w:ascii="宋体" w:hAnsi="宋体" w:eastAsia="宋体" w:cs="宋体"/>
          <w:sz w:val="28"/>
          <w:szCs w:val="28"/>
        </w:rPr>
        <w:t>九、由于乙方原因发生工伤事故或造成甲方、乙方以及第三者人身损害和财产损失，由乙方自行解决，由乙方承担全部法律责任和损失、损害赔偿责任。如因事故导致甲方承担法律责任和损失、损害赔偿责任的，甲方承担的法律责任和损失、损害赔偿责任最终均由乙方承担，且甲方有权从应付乙方费用中扣除，以抵偿甲方的全部损失（包括但不限于甲方直接经济损失、甲方支付的损失、损害赔偿费用、甲方处理纠纷的律师费等）。</w:t>
      </w:r>
    </w:p>
    <w:p w14:paraId="76D5B037">
      <w:pPr>
        <w:tabs>
          <w:tab w:val="left" w:pos="851"/>
          <w:tab w:val="left" w:pos="1080"/>
        </w:tabs>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十、本协议未尽事宜，依据国家及北京市有关法规、规章、文件处理。</w:t>
      </w:r>
    </w:p>
    <w:p w14:paraId="7ED62E1B">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十一、本协议自双方签字盖章后生效。本协议作为装修工程施工合同的附件，与该合同具有同等法律效力。</w:t>
      </w:r>
    </w:p>
    <w:p w14:paraId="79B3B306">
      <w:pPr>
        <w:adjustRightInd w:val="0"/>
        <w:snapToGrid w:val="0"/>
        <w:spacing w:before="156" w:beforeLines="50" w:line="520" w:lineRule="exact"/>
        <w:rPr>
          <w:rFonts w:hint="eastAsia" w:ascii="宋体" w:hAnsi="宋体" w:eastAsia="宋体" w:cs="宋体"/>
          <w:sz w:val="28"/>
          <w:szCs w:val="28"/>
        </w:rPr>
      </w:pPr>
    </w:p>
    <w:p w14:paraId="252042B3">
      <w:pPr>
        <w:adjustRightInd w:val="0"/>
        <w:snapToGrid w:val="0"/>
        <w:spacing w:before="156" w:beforeLines="50" w:line="520" w:lineRule="exact"/>
        <w:rPr>
          <w:rFonts w:hint="eastAsia" w:ascii="宋体" w:hAnsi="宋体" w:eastAsia="宋体" w:cs="宋体"/>
          <w:sz w:val="28"/>
          <w:szCs w:val="28"/>
        </w:rPr>
      </w:pPr>
    </w:p>
    <w:p w14:paraId="29545361">
      <w:pPr>
        <w:adjustRightInd w:val="0"/>
        <w:snapToGrid w:val="0"/>
        <w:spacing w:before="156" w:beforeLines="50" w:line="520" w:lineRule="exact"/>
        <w:rPr>
          <w:rFonts w:hint="eastAsia" w:ascii="宋体" w:hAnsi="宋体" w:eastAsia="宋体" w:cs="宋体"/>
          <w:sz w:val="28"/>
          <w:szCs w:val="28"/>
        </w:rPr>
      </w:pPr>
    </w:p>
    <w:p w14:paraId="430AE687">
      <w:pPr>
        <w:adjustRightInd w:val="0"/>
        <w:snapToGrid w:val="0"/>
        <w:spacing w:before="156" w:beforeLines="50" w:line="520" w:lineRule="exact"/>
        <w:rPr>
          <w:rFonts w:hint="eastAsia" w:ascii="宋体" w:hAnsi="宋体" w:eastAsia="宋体" w:cs="宋体"/>
          <w:sz w:val="28"/>
          <w:szCs w:val="28"/>
        </w:rPr>
      </w:pPr>
    </w:p>
    <w:p w14:paraId="6D679F87">
      <w:pPr>
        <w:adjustRightInd w:val="0"/>
        <w:snapToGrid w:val="0"/>
        <w:spacing w:before="156" w:beforeLines="50" w:line="520" w:lineRule="exact"/>
        <w:rPr>
          <w:rFonts w:hint="eastAsia" w:ascii="宋体" w:hAnsi="宋体" w:eastAsia="宋体" w:cs="宋体"/>
          <w:sz w:val="28"/>
          <w:szCs w:val="28"/>
        </w:rPr>
      </w:pPr>
    </w:p>
    <w:p w14:paraId="7A4E0B52">
      <w:pPr>
        <w:adjustRightInd w:val="0"/>
        <w:snapToGrid w:val="0"/>
        <w:spacing w:before="156" w:beforeLines="50" w:line="520" w:lineRule="exact"/>
        <w:rPr>
          <w:rFonts w:hint="eastAsia" w:ascii="宋体" w:hAnsi="宋体" w:eastAsia="宋体" w:cs="宋体"/>
          <w:sz w:val="28"/>
          <w:szCs w:val="28"/>
        </w:rPr>
      </w:pPr>
    </w:p>
    <w:p w14:paraId="7DE7D8B3">
      <w:pPr>
        <w:adjustRightInd w:val="0"/>
        <w:snapToGrid w:val="0"/>
        <w:spacing w:before="156" w:beforeLines="50" w:line="520" w:lineRule="exact"/>
        <w:rPr>
          <w:rFonts w:hint="eastAsia" w:ascii="宋体" w:hAnsi="宋体" w:eastAsia="宋体" w:cs="宋体"/>
          <w:sz w:val="28"/>
          <w:szCs w:val="28"/>
        </w:rPr>
      </w:pPr>
      <w:r>
        <w:rPr>
          <w:rFonts w:hint="eastAsia" w:ascii="宋体" w:hAnsi="宋体" w:eastAsia="宋体" w:cs="宋体"/>
          <w:sz w:val="28"/>
          <w:szCs w:val="28"/>
        </w:rPr>
        <w:t>甲方（甲方）：（公章）　　           乙方（乙方）：（公章）　</w:t>
      </w:r>
    </w:p>
    <w:p w14:paraId="42713E0B">
      <w:pPr>
        <w:adjustRightInd w:val="0"/>
        <w:snapToGrid w:val="0"/>
        <w:spacing w:before="156" w:beforeLines="50" w:line="520" w:lineRule="exact"/>
        <w:rPr>
          <w:rFonts w:hint="eastAsia" w:ascii="宋体" w:hAnsi="宋体" w:eastAsia="宋体" w:cs="宋体"/>
          <w:sz w:val="28"/>
          <w:szCs w:val="28"/>
        </w:rPr>
      </w:pPr>
      <w:r>
        <w:rPr>
          <w:rFonts w:hint="eastAsia" w:ascii="宋体" w:hAnsi="宋体" w:eastAsia="宋体" w:cs="宋体"/>
          <w:sz w:val="28"/>
          <w:szCs w:val="28"/>
        </w:rPr>
        <w:t>法定代表人                            法定代表人</w:t>
      </w:r>
    </w:p>
    <w:p w14:paraId="0D65FEF2">
      <w:pPr>
        <w:adjustRightInd w:val="0"/>
        <w:snapToGrid w:val="0"/>
        <w:spacing w:before="156" w:beforeLines="50" w:line="520" w:lineRule="exact"/>
        <w:ind w:firstLine="471"/>
        <w:rPr>
          <w:rFonts w:hint="eastAsia" w:ascii="宋体" w:hAnsi="宋体" w:eastAsia="宋体" w:cs="宋体"/>
          <w:sz w:val="28"/>
          <w:szCs w:val="28"/>
        </w:rPr>
      </w:pPr>
      <w:r>
        <w:rPr>
          <w:rFonts w:hint="eastAsia" w:ascii="宋体" w:hAnsi="宋体" w:eastAsia="宋体" w:cs="宋体"/>
          <w:sz w:val="28"/>
          <w:szCs w:val="28"/>
        </w:rPr>
        <w:t>（签字）：                          （签字）：</w:t>
      </w:r>
    </w:p>
    <w:p w14:paraId="1CF24051">
      <w:pPr>
        <w:adjustRightInd w:val="0"/>
        <w:snapToGrid w:val="0"/>
        <w:spacing w:before="156" w:beforeLines="50" w:line="520" w:lineRule="exact"/>
        <w:rPr>
          <w:rFonts w:hint="eastAsia" w:ascii="宋体" w:hAnsi="宋体" w:eastAsia="宋体" w:cs="宋体"/>
          <w:sz w:val="28"/>
          <w:szCs w:val="28"/>
        </w:rPr>
      </w:pPr>
      <w:r>
        <w:rPr>
          <w:rFonts w:hint="eastAsia" w:ascii="宋体" w:hAnsi="宋体" w:eastAsia="宋体" w:cs="宋体"/>
          <w:sz w:val="28"/>
          <w:szCs w:val="28"/>
        </w:rPr>
        <w:t>或授权代表                            或授权代表</w:t>
      </w:r>
    </w:p>
    <w:p w14:paraId="149A11F6">
      <w:pPr>
        <w:snapToGrid w:val="0"/>
        <w:spacing w:before="187" w:line="520" w:lineRule="exact"/>
        <w:ind w:firstLine="280" w:firstLineChars="100"/>
        <w:rPr>
          <w:rFonts w:hint="eastAsia" w:ascii="宋体" w:hAnsi="宋体" w:eastAsia="宋体" w:cs="宋体"/>
          <w:kern w:val="10"/>
          <w:sz w:val="28"/>
          <w:szCs w:val="28"/>
        </w:rPr>
      </w:pPr>
      <w:r>
        <w:rPr>
          <w:rFonts w:hint="eastAsia" w:ascii="宋体" w:hAnsi="宋体" w:eastAsia="宋体" w:cs="宋体"/>
          <w:sz w:val="28"/>
          <w:szCs w:val="28"/>
        </w:rPr>
        <w:t>年  月  日</w:t>
      </w:r>
      <w:r>
        <w:rPr>
          <w:rFonts w:hint="eastAsia" w:ascii="宋体" w:hAnsi="宋体" w:eastAsia="宋体" w:cs="宋体"/>
          <w:kern w:val="10"/>
          <w:sz w:val="28"/>
          <w:szCs w:val="28"/>
        </w:rPr>
        <w:t xml:space="preserve">                            </w:t>
      </w:r>
      <w:r>
        <w:rPr>
          <w:rFonts w:hint="eastAsia" w:ascii="宋体" w:hAnsi="宋体" w:eastAsia="宋体" w:cs="宋体"/>
          <w:sz w:val="28"/>
          <w:szCs w:val="28"/>
        </w:rPr>
        <w:t>年  月  日</w:t>
      </w:r>
    </w:p>
    <w:p w14:paraId="22DB908A">
      <w:pPr>
        <w:spacing w:line="540" w:lineRule="exact"/>
        <w:jc w:val="center"/>
        <w:rPr>
          <w:rFonts w:hint="eastAsia" w:ascii="宋体" w:hAnsi="宋体" w:eastAsia="宋体" w:cs="宋体"/>
          <w:b/>
          <w:bCs/>
          <w:sz w:val="28"/>
          <w:szCs w:val="28"/>
        </w:rPr>
      </w:pPr>
    </w:p>
    <w:p w14:paraId="49A0474A">
      <w:pPr>
        <w:adjustRightInd w:val="0"/>
        <w:snapToGrid w:val="0"/>
        <w:spacing w:line="360" w:lineRule="auto"/>
        <w:jc w:val="left"/>
        <w:rPr>
          <w:rFonts w:hint="eastAsia" w:ascii="宋体" w:hAnsi="宋体" w:eastAsia="宋体" w:cs="宋体"/>
          <w:sz w:val="22"/>
          <w:szCs w:val="22"/>
        </w:rPr>
      </w:pPr>
    </w:p>
    <w:p w14:paraId="5A9E3A7A">
      <w:pPr>
        <w:spacing w:line="360" w:lineRule="auto"/>
        <w:jc w:val="center"/>
        <w:rPr>
          <w:rFonts w:hint="eastAsia" w:ascii="宋体" w:hAnsi="宋体" w:eastAsia="宋体" w:cs="宋体"/>
          <w:b/>
          <w:sz w:val="36"/>
          <w:szCs w:val="36"/>
        </w:rPr>
      </w:pPr>
    </w:p>
    <w:p w14:paraId="5BDB93FD">
      <w:pPr>
        <w:widowControl/>
        <w:jc w:val="left"/>
        <w:rPr>
          <w:rFonts w:hint="eastAsia" w:ascii="宋体" w:hAnsi="宋体" w:eastAsia="宋体" w:cs="宋体"/>
          <w:sz w:val="24"/>
        </w:rPr>
      </w:pPr>
    </w:p>
    <w:p w14:paraId="20A42C09">
      <w:pPr>
        <w:spacing w:line="340" w:lineRule="exact"/>
        <w:ind w:left="420" w:leftChars="200"/>
        <w:rPr>
          <w:rFonts w:hint="eastAsia" w:ascii="_x000B__x000C_" w:hAnsi="_x000B__x000C_"/>
          <w:color w:val="000000"/>
          <w:sz w:val="21"/>
          <w:szCs w:val="21"/>
          <w:u w:val="single"/>
        </w:rPr>
      </w:pPr>
    </w:p>
    <w:p w14:paraId="418BD638">
      <w:pPr>
        <w:snapToGrid w:val="0"/>
        <w:spacing w:before="187" w:line="520" w:lineRule="exact"/>
        <w:ind w:firstLine="280" w:firstLineChars="100"/>
        <w:rPr>
          <w:rFonts w:hint="eastAsia" w:ascii="宋体" w:hAnsi="宋体"/>
          <w:kern w:val="10"/>
          <w:sz w:val="28"/>
          <w:szCs w:val="28"/>
        </w:rPr>
      </w:pPr>
    </w:p>
    <w:p w14:paraId="75AFB61F">
      <w:pPr>
        <w:spacing w:line="540" w:lineRule="exact"/>
        <w:jc w:val="center"/>
        <w:rPr>
          <w:rFonts w:hint="eastAsia" w:ascii="宋体" w:hAnsi="宋体"/>
          <w:b/>
          <w:bCs/>
          <w:sz w:val="28"/>
          <w:szCs w:val="28"/>
        </w:rPr>
      </w:pPr>
    </w:p>
    <w:p w14:paraId="4A07A03A">
      <w:pPr>
        <w:adjustRightInd w:val="0"/>
        <w:snapToGrid w:val="0"/>
        <w:spacing w:line="360" w:lineRule="auto"/>
        <w:jc w:val="left"/>
        <w:rPr>
          <w:rFonts w:hint="eastAsia" w:ascii="宋体" w:hAnsi="宋体"/>
          <w:sz w:val="22"/>
          <w:szCs w:val="22"/>
        </w:rPr>
      </w:pPr>
    </w:p>
    <w:p w14:paraId="5E540073">
      <w:pPr>
        <w:spacing w:line="360" w:lineRule="auto"/>
        <w:jc w:val="center"/>
        <w:rPr>
          <w:rFonts w:hint="eastAsia" w:ascii="宋体" w:hAnsi="宋体"/>
          <w:b/>
          <w:sz w:val="36"/>
          <w:szCs w:val="36"/>
        </w:rPr>
      </w:pPr>
    </w:p>
    <w:p w14:paraId="54A9F6AF">
      <w:pPr>
        <w:widowControl/>
        <w:jc w:val="left"/>
        <w:rPr>
          <w:rFonts w:hint="eastAsia" w:ascii="宋体" w:hAnsi="宋体"/>
        </w:rPr>
      </w:pPr>
      <w:r>
        <w:rPr>
          <w:rFonts w:ascii="宋体" w:hAnsi="宋体"/>
        </w:rPr>
        <w:br w:type="page"/>
      </w:r>
    </w:p>
    <w:p w14:paraId="06E0D4DE">
      <w:pPr>
        <w:spacing w:line="360" w:lineRule="auto"/>
        <w:jc w:val="center"/>
        <w:outlineLvl w:val="0"/>
        <w:rPr>
          <w:rFonts w:hint="eastAsia" w:ascii="宋体" w:hAnsi="宋体"/>
          <w:b/>
          <w:sz w:val="36"/>
          <w:szCs w:val="36"/>
        </w:rPr>
      </w:pPr>
      <w:bookmarkStart w:id="2166" w:name="_Toc103153309"/>
      <w:bookmarkStart w:id="2167" w:name="_Toc165576333"/>
      <w:r>
        <w:rPr>
          <w:rFonts w:ascii="宋体" w:hAnsi="宋体"/>
          <w:b/>
          <w:sz w:val="36"/>
          <w:szCs w:val="36"/>
        </w:rPr>
        <w:t>第</w:t>
      </w:r>
      <w:r>
        <w:rPr>
          <w:rFonts w:hint="eastAsia" w:ascii="宋体" w:hAnsi="宋体"/>
          <w:b/>
          <w:sz w:val="36"/>
          <w:szCs w:val="36"/>
        </w:rPr>
        <w:t>六</w:t>
      </w:r>
      <w:r>
        <w:rPr>
          <w:rFonts w:ascii="宋体" w:hAnsi="宋体"/>
          <w:b/>
          <w:sz w:val="36"/>
          <w:szCs w:val="36"/>
        </w:rPr>
        <w:t>章   响应文件格式</w:t>
      </w:r>
      <w:bookmarkEnd w:id="2166"/>
      <w:bookmarkEnd w:id="2167"/>
    </w:p>
    <w:p w14:paraId="7A5300B1">
      <w:pPr>
        <w:spacing w:before="78" w:line="360" w:lineRule="auto"/>
        <w:ind w:left="12"/>
        <w:rPr>
          <w:rFonts w:hint="eastAsia" w:ascii="宋体" w:hAnsi="宋体" w:cs="宋体"/>
          <w:sz w:val="24"/>
        </w:rPr>
      </w:pPr>
    </w:p>
    <w:p w14:paraId="5D4E8168">
      <w:pPr>
        <w:widowControl/>
        <w:jc w:val="left"/>
        <w:rPr>
          <w:rFonts w:hint="eastAsia" w:ascii="宋体" w:hAnsi="宋体" w:cs="宋体"/>
          <w:sz w:val="24"/>
        </w:rPr>
      </w:pPr>
      <w:r>
        <w:rPr>
          <w:rFonts w:ascii="宋体" w:hAnsi="宋体" w:cs="宋体"/>
          <w:sz w:val="24"/>
        </w:rPr>
        <w:br w:type="page"/>
      </w:r>
    </w:p>
    <w:p w14:paraId="27C75D68">
      <w:pPr>
        <w:widowControl/>
        <w:jc w:val="left"/>
        <w:rPr>
          <w:rFonts w:hint="eastAsia" w:ascii="宋体" w:hAnsi="宋体"/>
          <w:b/>
          <w:sz w:val="32"/>
          <w:szCs w:val="32"/>
        </w:rPr>
      </w:pPr>
      <w:r>
        <w:rPr>
          <w:rFonts w:ascii="宋体" w:hAnsi="宋体"/>
          <w:b/>
          <w:spacing w:val="20"/>
          <w:sz w:val="32"/>
          <w:szCs w:val="32"/>
        </w:rPr>
        <w:t>响应文件</w:t>
      </w:r>
      <w:r>
        <w:rPr>
          <w:rFonts w:ascii="宋体" w:hAnsi="宋体"/>
          <w:b/>
          <w:sz w:val="32"/>
          <w:szCs w:val="32"/>
        </w:rPr>
        <w:t>封面（非实质性格式）</w:t>
      </w:r>
    </w:p>
    <w:p w14:paraId="26572477">
      <w:pPr>
        <w:jc w:val="center"/>
        <w:rPr>
          <w:rFonts w:hint="eastAsia" w:ascii="宋体" w:hAnsi="宋体"/>
          <w:szCs w:val="21"/>
        </w:rPr>
      </w:pPr>
    </w:p>
    <w:p w14:paraId="781EC038">
      <w:pPr>
        <w:jc w:val="center"/>
        <w:rPr>
          <w:rFonts w:hint="eastAsia" w:ascii="宋体" w:hAnsi="宋体"/>
          <w:szCs w:val="21"/>
        </w:rPr>
      </w:pPr>
    </w:p>
    <w:p w14:paraId="4EC12020">
      <w:pPr>
        <w:jc w:val="center"/>
        <w:rPr>
          <w:rFonts w:hint="eastAsia" w:ascii="宋体" w:hAnsi="宋体"/>
          <w:szCs w:val="21"/>
        </w:rPr>
      </w:pPr>
    </w:p>
    <w:p w14:paraId="61FA4829">
      <w:pPr>
        <w:jc w:val="center"/>
        <w:rPr>
          <w:rFonts w:hint="eastAsia" w:ascii="宋体" w:hAnsi="宋体"/>
          <w:szCs w:val="21"/>
        </w:rPr>
      </w:pPr>
    </w:p>
    <w:p w14:paraId="59AF333F">
      <w:pPr>
        <w:jc w:val="center"/>
        <w:rPr>
          <w:rFonts w:hint="eastAsia" w:ascii="宋体" w:hAnsi="宋体"/>
          <w:szCs w:val="21"/>
        </w:rPr>
      </w:pPr>
    </w:p>
    <w:p w14:paraId="314DD65F">
      <w:pPr>
        <w:jc w:val="center"/>
        <w:rPr>
          <w:rFonts w:hint="eastAsia" w:ascii="宋体" w:hAnsi="宋体"/>
          <w:szCs w:val="21"/>
        </w:rPr>
      </w:pPr>
    </w:p>
    <w:p w14:paraId="1225D63A">
      <w:pPr>
        <w:jc w:val="center"/>
        <w:rPr>
          <w:rFonts w:hint="eastAsia" w:ascii="宋体" w:hAnsi="宋体"/>
          <w:szCs w:val="21"/>
        </w:rPr>
      </w:pPr>
    </w:p>
    <w:p w14:paraId="50982F22">
      <w:pPr>
        <w:jc w:val="center"/>
        <w:rPr>
          <w:rFonts w:hint="eastAsia" w:ascii="宋体" w:hAnsi="宋体"/>
          <w:szCs w:val="21"/>
        </w:rPr>
      </w:pPr>
    </w:p>
    <w:p w14:paraId="795510CD">
      <w:pPr>
        <w:jc w:val="center"/>
        <w:rPr>
          <w:rFonts w:hint="eastAsia" w:ascii="宋体" w:hAnsi="宋体"/>
          <w:szCs w:val="21"/>
        </w:rPr>
      </w:pPr>
    </w:p>
    <w:p w14:paraId="4F72866D">
      <w:pPr>
        <w:jc w:val="center"/>
        <w:rPr>
          <w:rFonts w:hint="eastAsia" w:ascii="宋体" w:hAnsi="宋体"/>
          <w:szCs w:val="21"/>
        </w:rPr>
      </w:pPr>
    </w:p>
    <w:p w14:paraId="779BEA79">
      <w:pPr>
        <w:jc w:val="center"/>
        <w:rPr>
          <w:rFonts w:hint="eastAsia" w:ascii="宋体" w:hAnsi="宋体"/>
          <w:szCs w:val="21"/>
        </w:rPr>
      </w:pPr>
    </w:p>
    <w:p w14:paraId="337F0CDC">
      <w:pPr>
        <w:jc w:val="center"/>
        <w:rPr>
          <w:rFonts w:hint="eastAsia" w:ascii="宋体" w:hAnsi="宋体"/>
          <w:szCs w:val="21"/>
        </w:rPr>
      </w:pPr>
    </w:p>
    <w:p w14:paraId="2C1D12CA">
      <w:pPr>
        <w:jc w:val="center"/>
        <w:rPr>
          <w:rFonts w:hint="eastAsia" w:ascii="宋体" w:hAnsi="宋体"/>
          <w:szCs w:val="21"/>
        </w:rPr>
      </w:pPr>
    </w:p>
    <w:p w14:paraId="72669211">
      <w:pPr>
        <w:jc w:val="center"/>
        <w:rPr>
          <w:rFonts w:hint="eastAsia" w:ascii="宋体" w:hAnsi="宋体"/>
          <w:szCs w:val="21"/>
        </w:rPr>
      </w:pPr>
    </w:p>
    <w:p w14:paraId="63FE8957">
      <w:pPr>
        <w:jc w:val="center"/>
        <w:rPr>
          <w:rFonts w:hint="eastAsia" w:ascii="宋体" w:hAnsi="宋体"/>
          <w:b/>
          <w:spacing w:val="60"/>
          <w:sz w:val="56"/>
          <w:szCs w:val="56"/>
        </w:rPr>
      </w:pPr>
      <w:r>
        <w:rPr>
          <w:rFonts w:ascii="宋体" w:hAnsi="宋体"/>
          <w:b/>
          <w:spacing w:val="60"/>
          <w:sz w:val="56"/>
          <w:szCs w:val="56"/>
        </w:rPr>
        <w:t>响 应 文 件</w:t>
      </w:r>
    </w:p>
    <w:p w14:paraId="36E7AF7D">
      <w:pPr>
        <w:jc w:val="center"/>
        <w:rPr>
          <w:rFonts w:hint="eastAsia" w:ascii="宋体" w:hAnsi="宋体"/>
          <w:b/>
          <w:spacing w:val="60"/>
          <w:sz w:val="52"/>
          <w:szCs w:val="52"/>
        </w:rPr>
      </w:pPr>
    </w:p>
    <w:p w14:paraId="714422ED">
      <w:pPr>
        <w:ind w:firstLine="542" w:firstLineChars="150"/>
        <w:rPr>
          <w:rFonts w:hint="eastAsia" w:ascii="宋体" w:hAnsi="宋体"/>
          <w:b/>
          <w:spacing w:val="20"/>
          <w:sz w:val="32"/>
          <w:szCs w:val="32"/>
        </w:rPr>
      </w:pPr>
    </w:p>
    <w:p w14:paraId="5DFCDA1A">
      <w:pPr>
        <w:ind w:firstLine="542" w:firstLineChars="150"/>
        <w:rPr>
          <w:rFonts w:hint="eastAsia" w:ascii="宋体" w:hAnsi="宋体"/>
          <w:b/>
          <w:spacing w:val="20"/>
          <w:sz w:val="32"/>
          <w:szCs w:val="32"/>
        </w:rPr>
      </w:pPr>
    </w:p>
    <w:p w14:paraId="484808F6">
      <w:pPr>
        <w:ind w:firstLine="542" w:firstLineChars="150"/>
        <w:rPr>
          <w:rFonts w:hint="eastAsia" w:ascii="宋体" w:hAnsi="宋体"/>
          <w:b/>
          <w:spacing w:val="20"/>
          <w:sz w:val="32"/>
          <w:szCs w:val="32"/>
        </w:rPr>
      </w:pPr>
    </w:p>
    <w:p w14:paraId="0E8CA654">
      <w:pPr>
        <w:ind w:firstLine="542" w:firstLineChars="150"/>
        <w:rPr>
          <w:rFonts w:hint="eastAsia" w:ascii="宋体" w:hAnsi="宋体"/>
          <w:b/>
          <w:spacing w:val="20"/>
          <w:sz w:val="32"/>
          <w:szCs w:val="32"/>
        </w:rPr>
      </w:pPr>
    </w:p>
    <w:p w14:paraId="44D599A4">
      <w:pPr>
        <w:ind w:firstLine="542" w:firstLineChars="150"/>
        <w:rPr>
          <w:rFonts w:hint="eastAsia" w:ascii="宋体" w:hAnsi="宋体"/>
          <w:b/>
          <w:spacing w:val="20"/>
          <w:sz w:val="32"/>
          <w:szCs w:val="32"/>
        </w:rPr>
      </w:pPr>
    </w:p>
    <w:p w14:paraId="5173FA19">
      <w:pPr>
        <w:spacing w:line="480" w:lineRule="auto"/>
        <w:ind w:firstLine="723" w:firstLineChars="200"/>
        <w:rPr>
          <w:rFonts w:hint="eastAsia" w:ascii="宋体" w:hAnsi="宋体"/>
          <w:b/>
          <w:spacing w:val="20"/>
          <w:sz w:val="32"/>
          <w:szCs w:val="32"/>
        </w:rPr>
      </w:pPr>
      <w:r>
        <w:rPr>
          <w:rFonts w:ascii="宋体" w:hAnsi="宋体"/>
          <w:b/>
          <w:spacing w:val="20"/>
          <w:sz w:val="32"/>
          <w:szCs w:val="32"/>
        </w:rPr>
        <w:t>项目名称</w:t>
      </w:r>
      <w:r>
        <w:rPr>
          <w:rFonts w:hint="eastAsia" w:ascii="宋体" w:hAnsi="宋体"/>
          <w:b/>
          <w:spacing w:val="20"/>
          <w:sz w:val="32"/>
          <w:szCs w:val="32"/>
        </w:rPr>
        <w:t xml:space="preserve">： </w:t>
      </w:r>
    </w:p>
    <w:p w14:paraId="694E82E5">
      <w:pPr>
        <w:spacing w:line="480" w:lineRule="auto"/>
        <w:ind w:firstLine="723" w:firstLineChars="200"/>
        <w:rPr>
          <w:rFonts w:hint="eastAsia" w:ascii="宋体" w:hAnsi="宋体"/>
          <w:b/>
          <w:spacing w:val="20"/>
          <w:sz w:val="32"/>
          <w:szCs w:val="32"/>
        </w:rPr>
      </w:pPr>
      <w:r>
        <w:rPr>
          <w:rFonts w:ascii="宋体" w:hAnsi="宋体"/>
          <w:b/>
          <w:spacing w:val="20"/>
          <w:sz w:val="32"/>
          <w:szCs w:val="32"/>
        </w:rPr>
        <w:t>项目编号</w:t>
      </w:r>
      <w:r>
        <w:rPr>
          <w:rFonts w:hint="eastAsia" w:ascii="宋体" w:hAnsi="宋体"/>
          <w:b/>
          <w:spacing w:val="20"/>
          <w:sz w:val="32"/>
          <w:szCs w:val="32"/>
        </w:rPr>
        <w:t>：</w:t>
      </w:r>
    </w:p>
    <w:p w14:paraId="04008807">
      <w:pPr>
        <w:spacing w:line="360" w:lineRule="auto"/>
        <w:ind w:firstLine="723" w:firstLineChars="200"/>
        <w:jc w:val="left"/>
        <w:rPr>
          <w:rFonts w:hint="eastAsia" w:ascii="宋体" w:hAnsi="宋体"/>
          <w:b/>
          <w:spacing w:val="20"/>
          <w:sz w:val="32"/>
          <w:szCs w:val="32"/>
        </w:rPr>
      </w:pPr>
      <w:r>
        <w:rPr>
          <w:rFonts w:ascii="宋体" w:hAnsi="宋体"/>
          <w:b/>
          <w:spacing w:val="20"/>
          <w:sz w:val="32"/>
          <w:szCs w:val="32"/>
        </w:rPr>
        <w:t>供应商名称：</w:t>
      </w:r>
    </w:p>
    <w:p w14:paraId="236F192F">
      <w:pPr>
        <w:spacing w:before="78" w:line="360" w:lineRule="auto"/>
        <w:ind w:left="12"/>
        <w:rPr>
          <w:rFonts w:hint="eastAsia" w:ascii="宋体" w:hAnsi="宋体" w:cs="宋体"/>
          <w:sz w:val="24"/>
        </w:rPr>
      </w:pPr>
    </w:p>
    <w:p w14:paraId="7825F317">
      <w:pPr>
        <w:widowControl/>
        <w:jc w:val="left"/>
        <w:rPr>
          <w:rFonts w:hint="eastAsia" w:ascii="宋体" w:hAnsi="宋体" w:cs="宋体"/>
          <w:sz w:val="24"/>
        </w:rPr>
      </w:pPr>
      <w:r>
        <w:rPr>
          <w:rFonts w:ascii="宋体" w:hAnsi="宋体" w:cs="宋体"/>
          <w:sz w:val="24"/>
        </w:rPr>
        <w:br w:type="page"/>
      </w:r>
    </w:p>
    <w:p w14:paraId="62EBC372">
      <w:pPr>
        <w:tabs>
          <w:tab w:val="left" w:pos="360"/>
        </w:tabs>
        <w:snapToGrid w:val="0"/>
        <w:spacing w:line="360" w:lineRule="auto"/>
        <w:outlineLvl w:val="1"/>
        <w:rPr>
          <w:rFonts w:hint="eastAsia" w:ascii="宋体" w:hAnsi="宋体"/>
          <w:sz w:val="24"/>
        </w:rPr>
      </w:pPr>
      <w:r>
        <w:rPr>
          <w:rFonts w:ascii="宋体" w:hAnsi="宋体"/>
          <w:sz w:val="24"/>
        </w:rPr>
        <w:t>1 满足《中华人民共和国政府采购法》第二十二条规定及法律法规的其他规定</w:t>
      </w:r>
    </w:p>
    <w:p w14:paraId="09B5E3A1">
      <w:pPr>
        <w:spacing w:line="360" w:lineRule="auto"/>
        <w:outlineLvl w:val="2"/>
        <w:rPr>
          <w:rFonts w:hint="eastAsia" w:ascii="宋体" w:hAnsi="宋体"/>
          <w:sz w:val="24"/>
        </w:rPr>
      </w:pPr>
      <w:r>
        <w:rPr>
          <w:rFonts w:ascii="宋体" w:hAnsi="宋体"/>
          <w:sz w:val="24"/>
        </w:rPr>
        <w:t>1-1营业执照等证明文件</w:t>
      </w:r>
    </w:p>
    <w:p w14:paraId="21EA4A97">
      <w:pPr>
        <w:spacing w:before="78" w:line="360" w:lineRule="auto"/>
        <w:ind w:left="12"/>
        <w:rPr>
          <w:rFonts w:hint="eastAsia" w:ascii="宋体" w:hAnsi="宋体" w:cs="宋体"/>
          <w:sz w:val="24"/>
        </w:rPr>
      </w:pPr>
    </w:p>
    <w:p w14:paraId="343C580D">
      <w:pPr>
        <w:widowControl/>
        <w:jc w:val="left"/>
        <w:rPr>
          <w:rFonts w:hint="eastAsia" w:ascii="宋体" w:hAnsi="宋体" w:cs="宋体"/>
          <w:sz w:val="24"/>
        </w:rPr>
      </w:pPr>
      <w:r>
        <w:rPr>
          <w:rFonts w:ascii="宋体" w:hAnsi="宋体" w:cs="宋体"/>
          <w:sz w:val="24"/>
        </w:rPr>
        <w:br w:type="page"/>
      </w:r>
    </w:p>
    <w:p w14:paraId="0A0AB25C">
      <w:pPr>
        <w:spacing w:line="360" w:lineRule="auto"/>
        <w:outlineLvl w:val="2"/>
        <w:rPr>
          <w:rFonts w:hint="eastAsia" w:ascii="宋体" w:hAnsi="宋体"/>
          <w:sz w:val="24"/>
        </w:rPr>
      </w:pPr>
      <w:r>
        <w:rPr>
          <w:rFonts w:ascii="宋体" w:hAnsi="宋体"/>
          <w:sz w:val="24"/>
        </w:rPr>
        <w:t>1-2 供应商资格声明书（实质性格式）</w:t>
      </w:r>
    </w:p>
    <w:p w14:paraId="57691969">
      <w:pPr>
        <w:jc w:val="center"/>
        <w:rPr>
          <w:rFonts w:hint="eastAsia" w:ascii="宋体" w:hAnsi="宋体"/>
          <w:b/>
          <w:sz w:val="28"/>
          <w:szCs w:val="28"/>
        </w:rPr>
      </w:pPr>
      <w:r>
        <w:rPr>
          <w:rFonts w:hint="eastAsia" w:ascii="宋体" w:hAnsi="宋体"/>
          <w:b/>
          <w:sz w:val="28"/>
          <w:szCs w:val="28"/>
        </w:rPr>
        <w:t>供应商资格声明书</w:t>
      </w:r>
    </w:p>
    <w:p w14:paraId="7600AE81">
      <w:pPr>
        <w:tabs>
          <w:tab w:val="left" w:pos="5580"/>
        </w:tabs>
        <w:spacing w:line="360" w:lineRule="auto"/>
        <w:rPr>
          <w:rFonts w:hint="eastAsia" w:ascii="宋体" w:hAnsi="宋体"/>
          <w:sz w:val="24"/>
        </w:rPr>
      </w:pPr>
      <w:r>
        <w:rPr>
          <w:rFonts w:ascii="宋体" w:hAnsi="宋体"/>
          <w:sz w:val="24"/>
        </w:rPr>
        <w:t>致：</w:t>
      </w:r>
      <w:r>
        <w:rPr>
          <w:rFonts w:ascii="宋体" w:hAnsi="宋体"/>
          <w:sz w:val="24"/>
          <w:u w:val="single"/>
        </w:rPr>
        <w:t>采购人</w:t>
      </w:r>
    </w:p>
    <w:p w14:paraId="13337125">
      <w:pPr>
        <w:spacing w:line="360" w:lineRule="auto"/>
        <w:ind w:firstLine="480" w:firstLineChars="200"/>
        <w:rPr>
          <w:rFonts w:hint="eastAsia" w:ascii="宋体" w:hAnsi="宋体"/>
          <w:sz w:val="24"/>
        </w:rPr>
      </w:pPr>
      <w:r>
        <w:rPr>
          <w:rFonts w:ascii="宋体" w:hAnsi="宋体"/>
          <w:sz w:val="24"/>
        </w:rPr>
        <w:t>在参与本次项目磋商中，我单位承诺：</w:t>
      </w:r>
    </w:p>
    <w:p w14:paraId="378849AC">
      <w:pPr>
        <w:numPr>
          <w:ilvl w:val="0"/>
          <w:numId w:val="7"/>
        </w:numPr>
        <w:spacing w:line="360" w:lineRule="auto"/>
        <w:ind w:left="1134"/>
        <w:rPr>
          <w:rFonts w:hint="eastAsia" w:ascii="宋体" w:hAnsi="宋体"/>
          <w:sz w:val="24"/>
          <w:szCs w:val="22"/>
        </w:rPr>
      </w:pPr>
      <w:r>
        <w:rPr>
          <w:rFonts w:ascii="宋体" w:hAnsi="宋体"/>
          <w:sz w:val="24"/>
          <w:szCs w:val="22"/>
        </w:rPr>
        <w:t>具有良好的商业信誉和健全的财务会计制度；</w:t>
      </w:r>
    </w:p>
    <w:p w14:paraId="027F0BED">
      <w:pPr>
        <w:numPr>
          <w:ilvl w:val="0"/>
          <w:numId w:val="7"/>
        </w:numPr>
        <w:spacing w:line="360" w:lineRule="auto"/>
        <w:ind w:left="1134"/>
        <w:rPr>
          <w:rFonts w:hint="eastAsia" w:ascii="宋体" w:hAnsi="宋体"/>
          <w:sz w:val="24"/>
          <w:szCs w:val="22"/>
        </w:rPr>
      </w:pPr>
      <w:r>
        <w:rPr>
          <w:rFonts w:ascii="宋体" w:hAnsi="宋体"/>
          <w:sz w:val="24"/>
          <w:szCs w:val="22"/>
        </w:rPr>
        <w:t>具有履行合同所必需的设备和专业技术能力；</w:t>
      </w:r>
    </w:p>
    <w:p w14:paraId="5EF93EAA">
      <w:pPr>
        <w:numPr>
          <w:ilvl w:val="0"/>
          <w:numId w:val="7"/>
        </w:numPr>
        <w:spacing w:line="360" w:lineRule="auto"/>
        <w:ind w:left="1134"/>
        <w:rPr>
          <w:rFonts w:hint="eastAsia" w:ascii="宋体" w:hAnsi="宋体"/>
          <w:sz w:val="24"/>
          <w:szCs w:val="22"/>
        </w:rPr>
      </w:pPr>
      <w:r>
        <w:rPr>
          <w:rFonts w:ascii="宋体" w:hAnsi="宋体"/>
          <w:sz w:val="24"/>
          <w:szCs w:val="22"/>
        </w:rPr>
        <w:t>有依法缴纳税收和社会保障资金的良好记录；</w:t>
      </w:r>
    </w:p>
    <w:p w14:paraId="1AE5E91D">
      <w:pPr>
        <w:numPr>
          <w:ilvl w:val="0"/>
          <w:numId w:val="7"/>
        </w:numPr>
        <w:spacing w:line="360" w:lineRule="auto"/>
        <w:ind w:left="1134"/>
        <w:rPr>
          <w:rFonts w:hint="eastAsia" w:ascii="宋体" w:hAnsi="宋体"/>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12CB07E">
      <w:pPr>
        <w:numPr>
          <w:ilvl w:val="0"/>
          <w:numId w:val="7"/>
        </w:numPr>
        <w:spacing w:line="360" w:lineRule="auto"/>
        <w:ind w:left="1134"/>
        <w:rPr>
          <w:rFonts w:hint="eastAsia" w:ascii="宋体" w:hAnsi="宋体"/>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14:paraId="2A7B72AB">
      <w:pPr>
        <w:numPr>
          <w:ilvl w:val="0"/>
          <w:numId w:val="7"/>
        </w:numPr>
        <w:spacing w:line="360" w:lineRule="auto"/>
        <w:ind w:left="1134"/>
        <w:rPr>
          <w:rFonts w:hint="eastAsia" w:ascii="宋体" w:hAnsi="宋体"/>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5CEAD9FF">
      <w:pPr>
        <w:numPr>
          <w:ilvl w:val="0"/>
          <w:numId w:val="7"/>
        </w:numPr>
        <w:spacing w:line="360" w:lineRule="auto"/>
        <w:ind w:left="1134"/>
        <w:rPr>
          <w:rFonts w:hint="eastAsia" w:ascii="宋体" w:hAnsi="宋体"/>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765C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8B9E2BE">
            <w:pPr>
              <w:jc w:val="center"/>
              <w:rPr>
                <w:rFonts w:hint="eastAsia" w:ascii="宋体" w:hAnsi="宋体"/>
                <w:sz w:val="24"/>
              </w:rPr>
            </w:pPr>
            <w:r>
              <w:rPr>
                <w:rFonts w:ascii="宋体" w:hAnsi="宋体"/>
                <w:sz w:val="24"/>
              </w:rPr>
              <w:t>序号</w:t>
            </w:r>
          </w:p>
        </w:tc>
        <w:tc>
          <w:tcPr>
            <w:tcW w:w="4574" w:type="dxa"/>
            <w:vAlign w:val="center"/>
          </w:tcPr>
          <w:p w14:paraId="4E3C5FC0">
            <w:pPr>
              <w:jc w:val="center"/>
              <w:rPr>
                <w:rFonts w:hint="eastAsia" w:ascii="宋体" w:hAnsi="宋体"/>
                <w:sz w:val="24"/>
              </w:rPr>
            </w:pPr>
            <w:r>
              <w:rPr>
                <w:rFonts w:ascii="宋体" w:hAnsi="宋体"/>
                <w:sz w:val="24"/>
              </w:rPr>
              <w:t>单位名称</w:t>
            </w:r>
          </w:p>
        </w:tc>
        <w:tc>
          <w:tcPr>
            <w:tcW w:w="2976" w:type="dxa"/>
            <w:vAlign w:val="center"/>
          </w:tcPr>
          <w:p w14:paraId="7D322296">
            <w:pPr>
              <w:jc w:val="center"/>
              <w:rPr>
                <w:rFonts w:hint="eastAsia" w:ascii="宋体" w:hAnsi="宋体"/>
                <w:sz w:val="24"/>
              </w:rPr>
            </w:pPr>
            <w:r>
              <w:rPr>
                <w:rFonts w:ascii="宋体" w:hAnsi="宋体"/>
                <w:sz w:val="24"/>
              </w:rPr>
              <w:t>相互关系</w:t>
            </w:r>
          </w:p>
        </w:tc>
      </w:tr>
      <w:tr w14:paraId="76677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7643095">
            <w:pPr>
              <w:jc w:val="center"/>
              <w:rPr>
                <w:rFonts w:hint="eastAsia" w:ascii="宋体" w:hAnsi="宋体"/>
                <w:sz w:val="24"/>
              </w:rPr>
            </w:pPr>
            <w:r>
              <w:rPr>
                <w:rFonts w:ascii="宋体" w:hAnsi="宋体"/>
                <w:sz w:val="24"/>
              </w:rPr>
              <w:t>1</w:t>
            </w:r>
          </w:p>
        </w:tc>
        <w:tc>
          <w:tcPr>
            <w:tcW w:w="4574" w:type="dxa"/>
            <w:vAlign w:val="center"/>
          </w:tcPr>
          <w:p w14:paraId="09A8A04B">
            <w:pPr>
              <w:jc w:val="center"/>
              <w:rPr>
                <w:rFonts w:hint="eastAsia" w:ascii="宋体" w:hAnsi="宋体"/>
                <w:sz w:val="24"/>
              </w:rPr>
            </w:pPr>
          </w:p>
        </w:tc>
        <w:tc>
          <w:tcPr>
            <w:tcW w:w="2976" w:type="dxa"/>
            <w:vAlign w:val="center"/>
          </w:tcPr>
          <w:p w14:paraId="251A20C2">
            <w:pPr>
              <w:jc w:val="center"/>
              <w:rPr>
                <w:rFonts w:hint="eastAsia" w:ascii="宋体" w:hAnsi="宋体"/>
                <w:sz w:val="24"/>
              </w:rPr>
            </w:pPr>
          </w:p>
        </w:tc>
      </w:tr>
      <w:tr w14:paraId="25488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B87C7BA">
            <w:pPr>
              <w:jc w:val="center"/>
              <w:rPr>
                <w:rFonts w:hint="eastAsia" w:ascii="宋体" w:hAnsi="宋体"/>
                <w:sz w:val="24"/>
              </w:rPr>
            </w:pPr>
            <w:r>
              <w:rPr>
                <w:rFonts w:ascii="宋体" w:hAnsi="宋体"/>
                <w:sz w:val="24"/>
              </w:rPr>
              <w:t>2</w:t>
            </w:r>
          </w:p>
        </w:tc>
        <w:tc>
          <w:tcPr>
            <w:tcW w:w="4574" w:type="dxa"/>
            <w:vAlign w:val="center"/>
          </w:tcPr>
          <w:p w14:paraId="230622AF">
            <w:pPr>
              <w:jc w:val="center"/>
              <w:rPr>
                <w:rFonts w:hint="eastAsia" w:ascii="宋体" w:hAnsi="宋体"/>
                <w:sz w:val="24"/>
              </w:rPr>
            </w:pPr>
          </w:p>
        </w:tc>
        <w:tc>
          <w:tcPr>
            <w:tcW w:w="2976" w:type="dxa"/>
            <w:vAlign w:val="center"/>
          </w:tcPr>
          <w:p w14:paraId="3D6D4DA5">
            <w:pPr>
              <w:jc w:val="center"/>
              <w:rPr>
                <w:rFonts w:hint="eastAsia" w:ascii="宋体" w:hAnsi="宋体"/>
                <w:sz w:val="24"/>
              </w:rPr>
            </w:pPr>
          </w:p>
        </w:tc>
      </w:tr>
      <w:tr w14:paraId="76B14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9FD5575">
            <w:pPr>
              <w:jc w:val="center"/>
              <w:rPr>
                <w:rFonts w:hint="eastAsia" w:ascii="宋体" w:hAnsi="宋体"/>
                <w:sz w:val="24"/>
              </w:rPr>
            </w:pPr>
            <w:r>
              <w:rPr>
                <w:rFonts w:ascii="宋体" w:hAnsi="宋体"/>
                <w:sz w:val="24"/>
              </w:rPr>
              <w:t>…</w:t>
            </w:r>
          </w:p>
        </w:tc>
        <w:tc>
          <w:tcPr>
            <w:tcW w:w="4574" w:type="dxa"/>
            <w:vAlign w:val="center"/>
          </w:tcPr>
          <w:p w14:paraId="36C458B3">
            <w:pPr>
              <w:jc w:val="center"/>
              <w:rPr>
                <w:rFonts w:hint="eastAsia" w:ascii="宋体" w:hAnsi="宋体"/>
                <w:sz w:val="24"/>
              </w:rPr>
            </w:pPr>
          </w:p>
        </w:tc>
        <w:tc>
          <w:tcPr>
            <w:tcW w:w="2976" w:type="dxa"/>
            <w:vAlign w:val="center"/>
          </w:tcPr>
          <w:p w14:paraId="258B93C9">
            <w:pPr>
              <w:jc w:val="center"/>
              <w:rPr>
                <w:rFonts w:hint="eastAsia" w:ascii="宋体" w:hAnsi="宋体"/>
                <w:sz w:val="24"/>
              </w:rPr>
            </w:pPr>
          </w:p>
        </w:tc>
      </w:tr>
    </w:tbl>
    <w:p w14:paraId="0A1C961C">
      <w:pPr>
        <w:rPr>
          <w:rFonts w:hint="eastAsia" w:ascii="宋体" w:hAnsi="宋体"/>
        </w:rPr>
      </w:pPr>
    </w:p>
    <w:p w14:paraId="05B775C9">
      <w:pPr>
        <w:ind w:firstLine="480" w:firstLineChars="200"/>
        <w:rPr>
          <w:rFonts w:hint="eastAsia" w:ascii="宋体" w:hAnsi="宋体"/>
          <w:sz w:val="24"/>
          <w:szCs w:val="22"/>
        </w:rPr>
      </w:pPr>
      <w:r>
        <w:rPr>
          <w:rFonts w:ascii="宋体" w:hAnsi="宋体"/>
          <w:sz w:val="24"/>
        </w:rPr>
        <w:t>上述声明真实有效，否则我方负全部责任。</w:t>
      </w:r>
    </w:p>
    <w:p w14:paraId="6A2E49AD">
      <w:pPr>
        <w:autoSpaceDE w:val="0"/>
        <w:autoSpaceDN w:val="0"/>
        <w:adjustRightInd w:val="0"/>
        <w:snapToGrid w:val="0"/>
        <w:spacing w:before="25" w:after="25" w:line="360" w:lineRule="auto"/>
        <w:ind w:right="360"/>
        <w:jc w:val="right"/>
        <w:rPr>
          <w:rFonts w:hint="eastAsia" w:ascii="宋体" w:hAnsi="宋体"/>
          <w:sz w:val="24"/>
          <w:lang w:val="zh-CN"/>
        </w:rPr>
      </w:pPr>
      <w:r>
        <w:rPr>
          <w:rFonts w:ascii="宋体" w:hAnsi="宋体"/>
          <w:sz w:val="24"/>
        </w:rPr>
        <w:t>供应商名称（加盖公章）</w:t>
      </w:r>
      <w:r>
        <w:rPr>
          <w:rFonts w:ascii="宋体" w:hAnsi="宋体"/>
          <w:sz w:val="24"/>
          <w:lang w:val="zh-CN"/>
        </w:rPr>
        <w:t>：</w:t>
      </w:r>
      <w:r>
        <w:rPr>
          <w:rFonts w:ascii="宋体" w:hAnsi="宋体"/>
          <w:sz w:val="24"/>
        </w:rPr>
        <w:t>______</w:t>
      </w:r>
    </w:p>
    <w:p w14:paraId="0CCD71C1">
      <w:pPr>
        <w:spacing w:line="360" w:lineRule="auto"/>
        <w:ind w:right="360" w:firstLine="480"/>
        <w:jc w:val="right"/>
        <w:rPr>
          <w:rFonts w:hint="eastAsia" w:ascii="宋体" w:hAnsi="宋体"/>
          <w:sz w:val="24"/>
        </w:rPr>
      </w:pPr>
      <w:r>
        <w:rPr>
          <w:rFonts w:ascii="宋体" w:hAnsi="宋体"/>
          <w:sz w:val="24"/>
          <w:szCs w:val="20"/>
        </w:rPr>
        <w:t xml:space="preserve">日期：____年____月____日   </w:t>
      </w:r>
    </w:p>
    <w:p w14:paraId="4091AEE9">
      <w:pPr>
        <w:spacing w:line="360" w:lineRule="auto"/>
        <w:rPr>
          <w:rFonts w:hint="eastAsia" w:ascii="宋体" w:hAnsi="宋体"/>
          <w:sz w:val="18"/>
          <w:szCs w:val="18"/>
        </w:rPr>
      </w:pPr>
      <w:r>
        <w:rPr>
          <w:rFonts w:hint="eastAsia" w:ascii="宋体" w:hAnsi="宋体"/>
          <w:sz w:val="18"/>
          <w:szCs w:val="18"/>
        </w:rPr>
        <w:t>说明：供应商承诺不实的，依据《政府采购法》第七十七条“提供虚假材料谋取中标、成交的”有关规定予以处理。</w:t>
      </w:r>
    </w:p>
    <w:p w14:paraId="228E48D6">
      <w:pPr>
        <w:tabs>
          <w:tab w:val="left" w:pos="360"/>
        </w:tabs>
        <w:snapToGrid w:val="0"/>
        <w:spacing w:line="360" w:lineRule="auto"/>
        <w:outlineLvl w:val="1"/>
        <w:rPr>
          <w:rFonts w:hint="eastAsia" w:ascii="宋体" w:hAnsi="宋体"/>
          <w:sz w:val="24"/>
        </w:rPr>
      </w:pPr>
      <w:r>
        <w:rPr>
          <w:rFonts w:ascii="宋体" w:hAnsi="宋体"/>
          <w:sz w:val="24"/>
        </w:rPr>
        <w:t>2 落实政府采购政策需满足的资格要求</w:t>
      </w:r>
    </w:p>
    <w:p w14:paraId="478D0B6A">
      <w:pPr>
        <w:spacing w:line="360" w:lineRule="auto"/>
        <w:outlineLvl w:val="2"/>
        <w:rPr>
          <w:rFonts w:hint="eastAsia" w:ascii="宋体" w:hAnsi="宋体"/>
          <w:sz w:val="24"/>
          <w:szCs w:val="20"/>
        </w:rPr>
      </w:pPr>
      <w:r>
        <w:rPr>
          <w:rFonts w:ascii="宋体" w:hAnsi="宋体"/>
          <w:sz w:val="24"/>
          <w:szCs w:val="20"/>
        </w:rPr>
        <w:t>2-1中小企业声明函</w:t>
      </w:r>
    </w:p>
    <w:p w14:paraId="08FBBAE7">
      <w:pPr>
        <w:tabs>
          <w:tab w:val="left" w:pos="5580"/>
        </w:tabs>
        <w:spacing w:line="360" w:lineRule="auto"/>
        <w:rPr>
          <w:rFonts w:hint="eastAsia" w:ascii="宋体" w:hAnsi="宋体"/>
          <w:sz w:val="24"/>
        </w:rPr>
      </w:pPr>
      <w:r>
        <w:rPr>
          <w:rFonts w:ascii="宋体" w:hAnsi="宋体"/>
          <w:sz w:val="24"/>
        </w:rPr>
        <w:t>说明：</w:t>
      </w:r>
    </w:p>
    <w:p w14:paraId="3C3DD7C8">
      <w:pPr>
        <w:tabs>
          <w:tab w:val="left" w:pos="5580"/>
        </w:tabs>
        <w:spacing w:line="360" w:lineRule="auto"/>
        <w:rPr>
          <w:rFonts w:hint="eastAsia" w:ascii="宋体" w:hAnsi="宋体"/>
          <w:sz w:val="24"/>
        </w:rPr>
      </w:pPr>
      <w:r>
        <w:rPr>
          <w:rFonts w:ascii="宋体" w:hAnsi="宋体"/>
          <w:sz w:val="24"/>
        </w:rPr>
        <w:t>（1）如本项目（包）不专门面向中小企业预留采购份额，</w:t>
      </w:r>
      <w:r>
        <w:rPr>
          <w:rFonts w:hint="eastAsia" w:ascii="宋体" w:hAnsi="宋体"/>
          <w:sz w:val="24"/>
        </w:rPr>
        <w:t>供应商非必须</w:t>
      </w:r>
      <w:r>
        <w:rPr>
          <w:rFonts w:ascii="宋体" w:hAnsi="宋体"/>
          <w:sz w:val="24"/>
        </w:rPr>
        <w:t>提供</w:t>
      </w:r>
      <w:r>
        <w:rPr>
          <w:rFonts w:hint="eastAsia" w:ascii="宋体" w:hAnsi="宋体"/>
          <w:sz w:val="24"/>
        </w:rPr>
        <w:t>；当小微企业拟享受中小企业扶持政策时，仍应提供</w:t>
      </w:r>
      <w:r>
        <w:rPr>
          <w:rFonts w:ascii="宋体" w:hAnsi="宋体"/>
          <w:sz w:val="24"/>
        </w:rPr>
        <w:t>《中小企业声明函》</w:t>
      </w:r>
      <w:r>
        <w:rPr>
          <w:rFonts w:hint="eastAsia" w:ascii="宋体" w:hAnsi="宋体"/>
          <w:sz w:val="24"/>
        </w:rPr>
        <w:t>，</w:t>
      </w:r>
      <w:r>
        <w:rPr>
          <w:rFonts w:ascii="宋体" w:hAnsi="宋体"/>
          <w:sz w:val="24"/>
        </w:rPr>
        <w:t>否则不得享受相关中小企业扶持政策。</w:t>
      </w:r>
    </w:p>
    <w:p w14:paraId="2B8BDF69">
      <w:pPr>
        <w:tabs>
          <w:tab w:val="left" w:pos="5580"/>
        </w:tabs>
        <w:spacing w:line="360" w:lineRule="auto"/>
        <w:rPr>
          <w:rFonts w:hint="eastAsia" w:ascii="宋体" w:hAnsi="宋体"/>
          <w:sz w:val="24"/>
        </w:rPr>
      </w:pPr>
      <w:r>
        <w:rPr>
          <w:rFonts w:ascii="宋体" w:hAnsi="宋体"/>
          <w:sz w:val="24"/>
        </w:rPr>
        <w:t>（2）如本项目（包）专门面向中小/小微企业采购，须提供《中小企业声明函》（实质性格式）。</w:t>
      </w:r>
    </w:p>
    <w:p w14:paraId="30068B20">
      <w:pPr>
        <w:tabs>
          <w:tab w:val="left" w:pos="5580"/>
        </w:tabs>
        <w:spacing w:line="360" w:lineRule="auto"/>
        <w:rPr>
          <w:rFonts w:hint="eastAsia" w:ascii="宋体" w:hAnsi="宋体"/>
          <w:sz w:val="24"/>
        </w:rPr>
      </w:pPr>
      <w:r>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06140526">
      <w:pPr>
        <w:tabs>
          <w:tab w:val="left" w:pos="5580"/>
        </w:tabs>
        <w:spacing w:line="360" w:lineRule="auto"/>
        <w:rPr>
          <w:rFonts w:hint="eastAsia" w:ascii="宋体" w:hAnsi="宋体"/>
          <w:sz w:val="24"/>
        </w:rPr>
      </w:pPr>
      <w:r>
        <w:rPr>
          <w:rFonts w:ascii="宋体" w:hAnsi="宋体"/>
          <w:sz w:val="24"/>
        </w:rPr>
        <w:t>（4）其他</w:t>
      </w:r>
    </w:p>
    <w:p w14:paraId="491630F6">
      <w:pPr>
        <w:tabs>
          <w:tab w:val="left" w:pos="5580"/>
        </w:tabs>
        <w:spacing w:line="360" w:lineRule="auto"/>
        <w:rPr>
          <w:rFonts w:hint="eastAsia" w:ascii="宋体" w:hAnsi="宋体"/>
          <w:sz w:val="24"/>
        </w:rPr>
      </w:pPr>
      <w:r>
        <w:rPr>
          <w:rFonts w:ascii="宋体" w:hAnsi="宋体"/>
          <w:sz w:val="24"/>
        </w:rPr>
        <w:t>1）中小企业参加政府采购活动，应当出具此格式文件。《中小企业声明函》由参加政府采购活动的供应商出具。联合体响应的，《中小企业声明函》由牵头人出具。</w:t>
      </w:r>
    </w:p>
    <w:p w14:paraId="73612302">
      <w:pPr>
        <w:tabs>
          <w:tab w:val="left" w:pos="5580"/>
        </w:tabs>
        <w:spacing w:line="360" w:lineRule="auto"/>
        <w:rPr>
          <w:rFonts w:hint="eastAsia" w:ascii="宋体" w:hAnsi="宋体"/>
          <w:sz w:val="24"/>
        </w:rPr>
      </w:pPr>
      <w:r>
        <w:rPr>
          <w:rFonts w:ascii="宋体" w:hAnsi="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088F52A">
      <w:pPr>
        <w:tabs>
          <w:tab w:val="left" w:pos="5580"/>
        </w:tabs>
        <w:spacing w:line="360" w:lineRule="auto"/>
        <w:rPr>
          <w:rFonts w:hint="eastAsia" w:ascii="宋体" w:hAnsi="宋体"/>
          <w:sz w:val="24"/>
        </w:rPr>
      </w:pPr>
      <w:r>
        <w:rPr>
          <w:rFonts w:ascii="宋体" w:hAnsi="宋体"/>
          <w:sz w:val="24"/>
        </w:rPr>
        <w:t>3）对于多标的的采购项目，供应商应充分、准确地了解所投产品制造企业信息。对相关情况了解不清楚的，不建议填报本声明函。</w:t>
      </w:r>
    </w:p>
    <w:p w14:paraId="51324CC2">
      <w:pPr>
        <w:tabs>
          <w:tab w:val="left" w:pos="5580"/>
        </w:tabs>
        <w:spacing w:line="360" w:lineRule="auto"/>
        <w:rPr>
          <w:rFonts w:hint="eastAsia" w:ascii="宋体" w:hAnsi="宋体"/>
          <w:sz w:val="24"/>
        </w:rPr>
      </w:pPr>
      <w:r>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11B79C1A">
      <w:pPr>
        <w:tabs>
          <w:tab w:val="left" w:pos="5580"/>
        </w:tabs>
        <w:spacing w:line="360" w:lineRule="auto"/>
        <w:rPr>
          <w:rFonts w:hint="eastAsia" w:ascii="宋体" w:hAnsi="宋体"/>
          <w:sz w:val="24"/>
        </w:rPr>
      </w:pPr>
    </w:p>
    <w:p w14:paraId="4BEC3AF5">
      <w:pPr>
        <w:widowControl/>
        <w:jc w:val="left"/>
        <w:rPr>
          <w:rFonts w:hint="eastAsia" w:ascii="宋体" w:hAnsi="宋体"/>
          <w:sz w:val="24"/>
        </w:rPr>
      </w:pPr>
      <w:r>
        <w:rPr>
          <w:rFonts w:ascii="宋体" w:hAnsi="宋体"/>
          <w:sz w:val="24"/>
        </w:rPr>
        <w:br w:type="page"/>
      </w:r>
    </w:p>
    <w:p w14:paraId="409E949B">
      <w:pPr>
        <w:spacing w:before="117" w:line="360" w:lineRule="auto"/>
        <w:jc w:val="center"/>
        <w:rPr>
          <w:rFonts w:hint="eastAsia" w:ascii="宋体" w:hAnsi="宋体" w:cs="宋体"/>
          <w:b/>
          <w:bCs/>
          <w:spacing w:val="20"/>
          <w:sz w:val="36"/>
          <w:szCs w:val="36"/>
        </w:rPr>
      </w:pPr>
      <w:r>
        <w:rPr>
          <w:rFonts w:ascii="宋体" w:hAnsi="宋体" w:cs="宋体"/>
          <w:b/>
          <w:bCs/>
          <w:spacing w:val="21"/>
          <w:sz w:val="36"/>
          <w:szCs w:val="36"/>
        </w:rPr>
        <w:t>中小企业声明函(工程、服务)格</w:t>
      </w:r>
      <w:r>
        <w:rPr>
          <w:rFonts w:ascii="宋体" w:hAnsi="宋体" w:cs="宋体"/>
          <w:b/>
          <w:bCs/>
          <w:spacing w:val="20"/>
          <w:sz w:val="36"/>
          <w:szCs w:val="36"/>
        </w:rPr>
        <w:t>式</w:t>
      </w:r>
    </w:p>
    <w:p w14:paraId="1EB7E2B7">
      <w:pPr>
        <w:spacing w:before="117" w:line="360" w:lineRule="auto"/>
        <w:jc w:val="center"/>
        <w:rPr>
          <w:rFonts w:hint="eastAsia" w:ascii="宋体" w:hAnsi="宋体" w:cs="宋体"/>
          <w:b/>
          <w:bCs/>
          <w:sz w:val="36"/>
          <w:szCs w:val="36"/>
        </w:rPr>
      </w:pPr>
    </w:p>
    <w:p w14:paraId="0F81493F">
      <w:pPr>
        <w:spacing w:before="78" w:line="360" w:lineRule="auto"/>
        <w:ind w:left="117" w:firstLine="505"/>
        <w:rPr>
          <w:rFonts w:hint="eastAsia" w:ascii="宋体" w:hAnsi="宋体" w:cs="宋体"/>
          <w:sz w:val="24"/>
        </w:rPr>
      </w:pPr>
      <w:r>
        <w:rPr>
          <w:rFonts w:ascii="宋体" w:hAnsi="宋体" w:cs="宋体"/>
          <w:spacing w:val="11"/>
          <w:sz w:val="24"/>
        </w:rPr>
        <w:t>本公司</w:t>
      </w:r>
      <w:r>
        <w:rPr>
          <w:rFonts w:hint="eastAsia" w:ascii="宋体" w:hAnsi="宋体" w:cs="宋体"/>
          <w:spacing w:val="11"/>
          <w:sz w:val="24"/>
          <w:u w:val="single"/>
        </w:rPr>
        <w:t xml:space="preserve">         </w:t>
      </w:r>
      <w:r>
        <w:rPr>
          <w:rFonts w:ascii="宋体" w:hAnsi="宋体" w:cs="宋体"/>
          <w:spacing w:val="11"/>
          <w:sz w:val="24"/>
        </w:rPr>
        <w:t>郑重声明，根据《政府采购促进中小企业发展管理办法》(</w:t>
      </w:r>
      <w:r>
        <w:rPr>
          <w:rFonts w:ascii="宋体" w:hAnsi="宋体" w:cs="宋体"/>
          <w:spacing w:val="9"/>
          <w:sz w:val="24"/>
        </w:rPr>
        <w:t>财</w:t>
      </w:r>
      <w:r>
        <w:rPr>
          <w:rFonts w:ascii="宋体" w:hAnsi="宋体" w:cs="宋体"/>
          <w:spacing w:val="18"/>
          <w:sz w:val="24"/>
        </w:rPr>
        <w:t>库</w:t>
      </w:r>
      <w:r>
        <w:rPr>
          <w:rFonts w:ascii="宋体" w:hAnsi="宋体" w:cs="宋体"/>
          <w:spacing w:val="12"/>
          <w:sz w:val="24"/>
        </w:rPr>
        <w:t>﹝</w:t>
      </w:r>
      <w:r>
        <w:rPr>
          <w:rFonts w:ascii="宋体" w:hAnsi="宋体" w:cs="Arial"/>
          <w:spacing w:val="12"/>
          <w:sz w:val="24"/>
        </w:rPr>
        <w:t>2020</w:t>
      </w:r>
      <w:r>
        <w:rPr>
          <w:rFonts w:ascii="宋体" w:hAnsi="宋体" w:cs="宋体"/>
          <w:spacing w:val="12"/>
          <w:sz w:val="24"/>
        </w:rPr>
        <w:t>﹞</w:t>
      </w:r>
      <w:r>
        <w:rPr>
          <w:rFonts w:ascii="宋体" w:hAnsi="宋体" w:cs="Arial"/>
          <w:spacing w:val="12"/>
          <w:sz w:val="24"/>
        </w:rPr>
        <w:t>46</w:t>
      </w:r>
      <w:r>
        <w:rPr>
          <w:rFonts w:ascii="宋体" w:hAnsi="宋体" w:cs="宋体"/>
          <w:spacing w:val="12"/>
          <w:sz w:val="24"/>
        </w:rPr>
        <w:t>号)的规定，本公司</w:t>
      </w:r>
      <w:r>
        <w:rPr>
          <w:rFonts w:hint="eastAsia" w:ascii="宋体" w:hAnsi="宋体" w:cs="宋体"/>
          <w:spacing w:val="12"/>
          <w:sz w:val="24"/>
          <w:u w:val="single"/>
        </w:rPr>
        <w:t xml:space="preserve">       </w:t>
      </w:r>
      <w:r>
        <w:rPr>
          <w:rFonts w:ascii="宋体" w:hAnsi="宋体" w:cs="宋体"/>
          <w:spacing w:val="12"/>
          <w:sz w:val="24"/>
          <w:u w:val="single"/>
        </w:rPr>
        <w:t xml:space="preserve"> </w:t>
      </w:r>
      <w:r>
        <w:rPr>
          <w:rFonts w:ascii="宋体" w:hAnsi="宋体" w:cs="宋体"/>
          <w:spacing w:val="12"/>
          <w:sz w:val="24"/>
        </w:rPr>
        <w:t>参加(单位名称)</w:t>
      </w:r>
      <w:r>
        <w:rPr>
          <w:rFonts w:hint="eastAsia" w:ascii="宋体" w:hAnsi="宋体" w:cs="宋体"/>
          <w:spacing w:val="12"/>
          <w:sz w:val="24"/>
          <w:u w:val="single"/>
        </w:rPr>
        <w:t xml:space="preserve">      </w:t>
      </w:r>
      <w:r>
        <w:rPr>
          <w:rFonts w:ascii="宋体" w:hAnsi="宋体" w:cs="宋体"/>
          <w:spacing w:val="12"/>
          <w:sz w:val="24"/>
        </w:rPr>
        <w:t>的(项目名称)</w:t>
      </w:r>
      <w:r>
        <w:rPr>
          <w:rFonts w:hint="eastAsia" w:ascii="宋体" w:hAnsi="宋体" w:cs="宋体"/>
          <w:sz w:val="24"/>
          <w:u w:val="single"/>
        </w:rPr>
        <w:t xml:space="preserve">        </w:t>
      </w:r>
      <w:r>
        <w:rPr>
          <w:rFonts w:ascii="宋体" w:hAnsi="宋体" w:cs="宋体"/>
          <w:spacing w:val="15"/>
          <w:sz w:val="24"/>
        </w:rPr>
        <w:t>采购活动，工程的施工单位全部为符合政策要求的中小企业(或者</w:t>
      </w:r>
      <w:r>
        <w:rPr>
          <w:rFonts w:hint="eastAsia" w:ascii="宋体" w:hAnsi="宋体" w:cs="宋体"/>
          <w:spacing w:val="15"/>
          <w:sz w:val="24"/>
        </w:rPr>
        <w:t>：</w:t>
      </w:r>
      <w:r>
        <w:rPr>
          <w:rFonts w:ascii="宋体" w:hAnsi="宋体" w:cs="宋体"/>
          <w:spacing w:val="15"/>
          <w:sz w:val="24"/>
        </w:rPr>
        <w:t>服务全部由</w:t>
      </w:r>
      <w:r>
        <w:rPr>
          <w:rFonts w:ascii="宋体" w:hAnsi="宋体" w:cs="宋体"/>
          <w:spacing w:val="13"/>
          <w:sz w:val="24"/>
        </w:rPr>
        <w:t>符</w:t>
      </w:r>
      <w:r>
        <w:rPr>
          <w:rFonts w:ascii="宋体" w:hAnsi="宋体" w:cs="宋体"/>
          <w:spacing w:val="22"/>
          <w:sz w:val="24"/>
        </w:rPr>
        <w:t>合</w:t>
      </w:r>
      <w:r>
        <w:rPr>
          <w:rFonts w:ascii="宋体" w:hAnsi="宋体" w:cs="宋体"/>
          <w:spacing w:val="11"/>
          <w:sz w:val="24"/>
        </w:rPr>
        <w:t>政策要求的中小企业承接)。相关企业(含联合体中的中小企业、签订分包意向协</w:t>
      </w:r>
      <w:r>
        <w:rPr>
          <w:rFonts w:ascii="宋体" w:hAnsi="宋体" w:cs="宋体"/>
          <w:spacing w:val="13"/>
          <w:sz w:val="24"/>
        </w:rPr>
        <w:t>议</w:t>
      </w:r>
      <w:r>
        <w:rPr>
          <w:rFonts w:ascii="宋体" w:hAnsi="宋体" w:cs="宋体"/>
          <w:spacing w:val="9"/>
          <w:sz w:val="24"/>
        </w:rPr>
        <w:t>的中小企业)的具体情况如下：</w:t>
      </w:r>
    </w:p>
    <w:p w14:paraId="6DE3A34A">
      <w:pPr>
        <w:spacing w:before="1" w:line="360" w:lineRule="auto"/>
        <w:ind w:left="121" w:right="56" w:firstLine="517"/>
        <w:rPr>
          <w:rFonts w:hint="eastAsia" w:ascii="宋体" w:hAnsi="宋体" w:cs="宋体"/>
          <w:sz w:val="24"/>
        </w:rPr>
      </w:pPr>
      <w:r>
        <w:rPr>
          <w:rFonts w:ascii="宋体" w:hAnsi="宋体" w:cs="Arial"/>
          <w:spacing w:val="8"/>
          <w:sz w:val="24"/>
        </w:rPr>
        <w:t xml:space="preserve">1. </w:t>
      </w:r>
      <w:r>
        <w:rPr>
          <w:rFonts w:ascii="宋体" w:hAnsi="宋体" w:cs="宋体"/>
          <w:spacing w:val="8"/>
          <w:sz w:val="24"/>
          <w:u w:val="single"/>
        </w:rPr>
        <w:t xml:space="preserve">  (标的名称)  </w:t>
      </w:r>
      <w:r>
        <w:rPr>
          <w:rFonts w:ascii="宋体" w:hAnsi="宋体" w:cs="宋体"/>
          <w:spacing w:val="8"/>
          <w:sz w:val="24"/>
        </w:rPr>
        <w:t xml:space="preserve"> ，属于</w:t>
      </w:r>
      <w:r>
        <w:rPr>
          <w:rFonts w:ascii="宋体" w:hAnsi="宋体" w:cs="宋体"/>
          <w:spacing w:val="8"/>
          <w:sz w:val="24"/>
          <w:u w:val="single"/>
        </w:rPr>
        <w:t xml:space="preserve"> (采购文件中明确的所属行业) </w:t>
      </w:r>
      <w:r>
        <w:rPr>
          <w:rFonts w:ascii="宋体" w:hAnsi="宋体" w:cs="宋体"/>
          <w:spacing w:val="8"/>
          <w:sz w:val="24"/>
        </w:rPr>
        <w:t>行业；承建(承</w:t>
      </w:r>
      <w:r>
        <w:rPr>
          <w:rFonts w:ascii="宋体" w:hAnsi="宋体" w:cs="宋体"/>
          <w:spacing w:val="7"/>
          <w:sz w:val="24"/>
        </w:rPr>
        <w:t>接</w:t>
      </w:r>
      <w:r>
        <w:rPr>
          <w:rFonts w:ascii="宋体" w:hAnsi="宋体" w:cs="宋体"/>
          <w:sz w:val="24"/>
        </w:rPr>
        <w:t xml:space="preserve">) </w:t>
      </w:r>
      <w:r>
        <w:rPr>
          <w:rFonts w:ascii="宋体" w:hAnsi="宋体" w:cs="宋体"/>
          <w:spacing w:val="-4"/>
          <w:sz w:val="24"/>
        </w:rPr>
        <w:t>企业为</w:t>
      </w:r>
      <w:r>
        <w:rPr>
          <w:rFonts w:ascii="宋体" w:hAnsi="宋体" w:cs="宋体"/>
          <w:spacing w:val="-4"/>
          <w:sz w:val="24"/>
          <w:u w:val="single"/>
        </w:rPr>
        <w:t xml:space="preserve"> (企业名称)</w:t>
      </w:r>
      <w:r>
        <w:rPr>
          <w:rFonts w:ascii="宋体" w:hAnsi="宋体" w:cs="宋体"/>
          <w:spacing w:val="-4"/>
          <w:sz w:val="24"/>
        </w:rPr>
        <w:t>，从业人员</w:t>
      </w:r>
      <w:r>
        <w:rPr>
          <w:rFonts w:ascii="宋体" w:hAnsi="宋体" w:cs="Arial"/>
          <w:spacing w:val="-4"/>
          <w:sz w:val="24"/>
          <w:u w:val="single"/>
        </w:rPr>
        <w:t>______</w:t>
      </w:r>
      <w:r>
        <w:rPr>
          <w:rFonts w:ascii="宋体" w:hAnsi="宋体" w:cs="宋体"/>
          <w:spacing w:val="-4"/>
          <w:sz w:val="24"/>
        </w:rPr>
        <w:t>人，营业收入为</w:t>
      </w:r>
      <w:r>
        <w:rPr>
          <w:rFonts w:ascii="宋体" w:hAnsi="宋体" w:cs="Arial"/>
          <w:spacing w:val="-4"/>
          <w:sz w:val="24"/>
          <w:u w:val="single"/>
        </w:rPr>
        <w:t>______</w:t>
      </w:r>
      <w:r>
        <w:rPr>
          <w:rFonts w:ascii="宋体" w:hAnsi="宋体" w:cs="宋体"/>
          <w:spacing w:val="-4"/>
          <w:sz w:val="24"/>
        </w:rPr>
        <w:t>万元，资产总额为</w:t>
      </w:r>
      <w:r>
        <w:rPr>
          <w:rFonts w:ascii="宋体" w:hAnsi="宋体" w:cs="Arial"/>
          <w:spacing w:val="-4"/>
          <w:sz w:val="24"/>
          <w:u w:val="single"/>
        </w:rPr>
        <w:t>____</w:t>
      </w:r>
      <w:r>
        <w:rPr>
          <w:rFonts w:ascii="宋体" w:hAnsi="宋体" w:cs="Arial"/>
          <w:sz w:val="24"/>
          <w:u w:val="single"/>
        </w:rPr>
        <w:t xml:space="preserve">__ </w:t>
      </w:r>
      <w:r>
        <w:rPr>
          <w:rFonts w:ascii="宋体" w:hAnsi="宋体" w:cs="宋体"/>
          <w:spacing w:val="15"/>
          <w:sz w:val="24"/>
        </w:rPr>
        <w:t>万</w:t>
      </w:r>
      <w:r>
        <w:rPr>
          <w:rFonts w:ascii="宋体" w:hAnsi="宋体" w:cs="宋体"/>
          <w:spacing w:val="10"/>
          <w:sz w:val="24"/>
        </w:rPr>
        <w:t xml:space="preserve">元 </w:t>
      </w:r>
      <w:r>
        <w:rPr>
          <w:rFonts w:ascii="宋体" w:hAnsi="宋体" w:cs="Arial"/>
          <w:spacing w:val="10"/>
          <w:position w:val="6"/>
          <w:sz w:val="16"/>
          <w:szCs w:val="16"/>
        </w:rPr>
        <w:t xml:space="preserve">1 </w:t>
      </w:r>
      <w:r>
        <w:rPr>
          <w:rFonts w:ascii="宋体" w:hAnsi="宋体" w:cs="宋体"/>
          <w:spacing w:val="10"/>
          <w:sz w:val="24"/>
        </w:rPr>
        <w:t>，属于(中型企业、小型企业、微型企业)；</w:t>
      </w:r>
    </w:p>
    <w:p w14:paraId="50FC50EF">
      <w:pPr>
        <w:spacing w:before="182" w:line="360" w:lineRule="auto"/>
        <w:ind w:left="116" w:right="61" w:firstLine="532"/>
        <w:rPr>
          <w:rFonts w:hint="eastAsia" w:ascii="宋体" w:hAnsi="宋体" w:cs="宋体"/>
          <w:sz w:val="24"/>
        </w:rPr>
      </w:pPr>
      <w:r>
        <w:rPr>
          <w:rFonts w:ascii="宋体" w:hAnsi="宋体" w:cs="宋体"/>
          <w:spacing w:val="20"/>
          <w:sz w:val="24"/>
        </w:rPr>
        <w:t>以上</w:t>
      </w:r>
      <w:r>
        <w:rPr>
          <w:rFonts w:ascii="宋体" w:hAnsi="宋体" w:cs="宋体"/>
          <w:spacing w:val="15"/>
          <w:sz w:val="24"/>
        </w:rPr>
        <w:t>企</w:t>
      </w:r>
      <w:r>
        <w:rPr>
          <w:rFonts w:ascii="宋体" w:hAnsi="宋体" w:cs="宋体"/>
          <w:spacing w:val="10"/>
          <w:sz w:val="24"/>
        </w:rPr>
        <w:t>业，不属于大企业的分支机构，不存在控股股东为大企业的情形，也不</w:t>
      </w:r>
      <w:r>
        <w:rPr>
          <w:rFonts w:ascii="宋体" w:hAnsi="宋体" w:cs="宋体"/>
          <w:sz w:val="24"/>
        </w:rPr>
        <w:t xml:space="preserve"> </w:t>
      </w:r>
      <w:r>
        <w:rPr>
          <w:rFonts w:ascii="宋体" w:hAnsi="宋体" w:cs="宋体"/>
          <w:spacing w:val="15"/>
          <w:sz w:val="24"/>
        </w:rPr>
        <w:t>存</w:t>
      </w:r>
      <w:r>
        <w:rPr>
          <w:rFonts w:ascii="宋体" w:hAnsi="宋体" w:cs="宋体"/>
          <w:spacing w:val="10"/>
          <w:sz w:val="24"/>
        </w:rPr>
        <w:t>在与大企业的负责人为同一人的情形。</w:t>
      </w:r>
    </w:p>
    <w:p w14:paraId="7AB9AED2">
      <w:pPr>
        <w:spacing w:line="360" w:lineRule="auto"/>
        <w:ind w:left="622"/>
        <w:rPr>
          <w:rFonts w:hint="eastAsia" w:ascii="宋体" w:hAnsi="宋体" w:cs="宋体"/>
          <w:spacing w:val="20"/>
          <w:sz w:val="24"/>
        </w:rPr>
      </w:pPr>
      <w:r>
        <w:rPr>
          <w:rFonts w:ascii="宋体" w:hAnsi="宋体" w:cs="宋体"/>
          <w:spacing w:val="20"/>
          <w:sz w:val="24"/>
        </w:rPr>
        <w:t>本企业对上述声明内容的真实性负责。如有虚假，将依法承担相应责任。</w:t>
      </w:r>
    </w:p>
    <w:p w14:paraId="4074B1DD">
      <w:pPr>
        <w:spacing w:line="360" w:lineRule="auto"/>
        <w:rPr>
          <w:rFonts w:hint="eastAsia" w:ascii="宋体" w:hAnsi="宋体"/>
        </w:rPr>
      </w:pPr>
    </w:p>
    <w:p w14:paraId="57D843A0">
      <w:pPr>
        <w:tabs>
          <w:tab w:val="left" w:pos="4860"/>
        </w:tabs>
        <w:spacing w:line="588" w:lineRule="exact"/>
        <w:ind w:right="1560" w:firstLine="504" w:firstLineChars="200"/>
        <w:jc w:val="right"/>
        <w:rPr>
          <w:rFonts w:hint="eastAsia" w:ascii="宋体" w:hAnsi="宋体"/>
          <w:spacing w:val="6"/>
          <w:sz w:val="24"/>
        </w:rPr>
      </w:pPr>
      <w:r>
        <w:rPr>
          <w:rFonts w:ascii="宋体" w:hAnsi="宋体"/>
          <w:spacing w:val="6"/>
          <w:sz w:val="24"/>
        </w:rPr>
        <w:t>单位名称（盖章）：</w:t>
      </w:r>
      <w:r>
        <w:rPr>
          <w:rFonts w:ascii="宋体" w:hAnsi="宋体"/>
          <w:sz w:val="24"/>
        </w:rPr>
        <w:t>______</w:t>
      </w:r>
    </w:p>
    <w:p w14:paraId="1EA730E3">
      <w:pPr>
        <w:tabs>
          <w:tab w:val="left" w:pos="4860"/>
        </w:tabs>
        <w:spacing w:line="588" w:lineRule="exact"/>
        <w:ind w:right="1560" w:firstLine="504" w:firstLineChars="200"/>
        <w:jc w:val="right"/>
        <w:rPr>
          <w:rFonts w:hint="eastAsia" w:ascii="宋体" w:hAnsi="宋体"/>
          <w:spacing w:val="6"/>
          <w:sz w:val="24"/>
        </w:rPr>
      </w:pPr>
      <w:r>
        <w:rPr>
          <w:rFonts w:ascii="宋体" w:hAnsi="宋体"/>
          <w:spacing w:val="6"/>
          <w:sz w:val="24"/>
        </w:rPr>
        <w:t xml:space="preserve">       日  期：</w:t>
      </w:r>
      <w:r>
        <w:rPr>
          <w:rFonts w:ascii="宋体" w:hAnsi="宋体"/>
          <w:sz w:val="24"/>
        </w:rPr>
        <w:t>______</w:t>
      </w:r>
    </w:p>
    <w:p w14:paraId="0F0B2D30">
      <w:pPr>
        <w:spacing w:before="65" w:line="360" w:lineRule="auto"/>
        <w:ind w:left="124"/>
        <w:rPr>
          <w:rFonts w:hint="eastAsia" w:ascii="宋体" w:hAnsi="宋体" w:cs="宋体"/>
          <w:szCs w:val="21"/>
        </w:rPr>
      </w:pPr>
      <w:r>
        <w:rPr>
          <w:rFonts w:ascii="宋体" w:hAnsi="宋体" w:cs="Arial"/>
          <w:spacing w:val="14"/>
          <w:position w:val="5"/>
          <w:szCs w:val="21"/>
        </w:rPr>
        <w:t>1</w:t>
      </w:r>
      <w:r>
        <w:rPr>
          <w:rFonts w:ascii="宋体" w:hAnsi="宋体" w:cs="Arial"/>
          <w:spacing w:val="9"/>
          <w:position w:val="5"/>
          <w:szCs w:val="21"/>
        </w:rPr>
        <w:t xml:space="preserve"> </w:t>
      </w:r>
      <w:r>
        <w:rPr>
          <w:rFonts w:ascii="宋体" w:hAnsi="宋体" w:cs="宋体"/>
          <w:spacing w:val="9"/>
          <w:szCs w:val="21"/>
        </w:rPr>
        <w:t>从业人员、营业收入、资产总额填报上一年度数据，无上一年度数据的新成立企业可不填报。</w:t>
      </w:r>
    </w:p>
    <w:p w14:paraId="3AD1512C">
      <w:pPr>
        <w:tabs>
          <w:tab w:val="left" w:pos="5580"/>
        </w:tabs>
        <w:spacing w:line="360" w:lineRule="auto"/>
        <w:rPr>
          <w:rFonts w:hint="eastAsia" w:ascii="宋体" w:hAnsi="宋体"/>
          <w:sz w:val="24"/>
        </w:rPr>
      </w:pPr>
    </w:p>
    <w:p w14:paraId="0B23CA72">
      <w:pPr>
        <w:widowControl/>
        <w:jc w:val="left"/>
        <w:rPr>
          <w:rFonts w:hint="eastAsia" w:ascii="宋体" w:hAnsi="宋体"/>
          <w:sz w:val="24"/>
        </w:rPr>
      </w:pPr>
      <w:r>
        <w:rPr>
          <w:rFonts w:ascii="宋体" w:hAnsi="宋体"/>
          <w:sz w:val="24"/>
        </w:rPr>
        <w:br w:type="page"/>
      </w:r>
    </w:p>
    <w:p w14:paraId="771A397F">
      <w:pPr>
        <w:spacing w:before="312" w:beforeLines="100" w:after="312" w:afterLines="100" w:line="360" w:lineRule="auto"/>
        <w:jc w:val="center"/>
        <w:rPr>
          <w:rFonts w:hint="eastAsia" w:ascii="宋体" w:hAnsi="宋体"/>
          <w:b/>
          <w:sz w:val="36"/>
          <w:szCs w:val="36"/>
        </w:rPr>
      </w:pPr>
      <w:r>
        <w:rPr>
          <w:rFonts w:ascii="宋体" w:hAnsi="宋体"/>
          <w:b/>
          <w:bCs/>
          <w:sz w:val="36"/>
          <w:szCs w:val="36"/>
        </w:rPr>
        <w:t>残疾人福利性单位声明函格式</w:t>
      </w:r>
      <w:r>
        <w:rPr>
          <w:rFonts w:ascii="宋体" w:hAnsi="宋体"/>
          <w:b/>
          <w:sz w:val="36"/>
          <w:szCs w:val="36"/>
        </w:rPr>
        <w:t xml:space="preserve">       </w:t>
      </w:r>
    </w:p>
    <w:p w14:paraId="441CC548">
      <w:pPr>
        <w:spacing w:line="588" w:lineRule="exact"/>
        <w:ind w:firstLine="504"/>
        <w:rPr>
          <w:rFonts w:hint="eastAsia" w:ascii="宋体" w:hAnsi="宋体"/>
          <w:spacing w:val="6"/>
          <w:sz w:val="24"/>
        </w:rPr>
      </w:pPr>
      <w:r>
        <w:rPr>
          <w:rFonts w:ascii="宋体" w:hAnsi="宋体"/>
          <w:spacing w:val="6"/>
          <w:sz w:val="24"/>
        </w:rPr>
        <w:t>本单位郑重声明，根据《财政部民政部中国残疾人联合会关于促进残疾人就业政府采购政策的通知》（财库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1EC936A5">
      <w:pPr>
        <w:spacing w:line="588" w:lineRule="exact"/>
        <w:ind w:firstLine="482"/>
        <w:rPr>
          <w:rFonts w:hint="eastAsia"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28422977">
      <w:pPr>
        <w:spacing w:line="588" w:lineRule="exact"/>
        <w:ind w:firstLine="482"/>
        <w:rPr>
          <w:rFonts w:hint="eastAsia"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w:t>
      </w:r>
      <w:r>
        <w:rPr>
          <w:rFonts w:ascii="宋体" w:hAnsi="宋体"/>
          <w:sz w:val="24"/>
        </w:rPr>
        <w:t>______</w:t>
      </w:r>
      <w:r>
        <w:rPr>
          <w:rFonts w:ascii="宋体" w:hAnsi="宋体"/>
          <w:spacing w:val="6"/>
          <w:sz w:val="24"/>
        </w:rPr>
        <w:t>单位的</w:t>
      </w:r>
      <w:r>
        <w:rPr>
          <w:rFonts w:ascii="宋体" w:hAnsi="宋体"/>
          <w:sz w:val="24"/>
        </w:rPr>
        <w:t>______</w:t>
      </w:r>
      <w:r>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14:paraId="0D3D85B0">
      <w:pPr>
        <w:spacing w:line="588" w:lineRule="exact"/>
        <w:ind w:firstLine="506" w:firstLineChars="200"/>
        <w:rPr>
          <w:rFonts w:hint="eastAsia" w:ascii="宋体" w:hAnsi="宋体"/>
          <w:spacing w:val="6"/>
          <w:sz w:val="24"/>
        </w:rPr>
      </w:pPr>
      <w:r>
        <w:rPr>
          <w:rFonts w:ascii="宋体" w:hAnsi="宋体"/>
          <w:b/>
          <w:spacing w:val="6"/>
          <w:sz w:val="24"/>
        </w:rPr>
        <w:t>本单位对上述声明的真实性负责。如有虚假，将依法承担相应责任。</w:t>
      </w:r>
    </w:p>
    <w:p w14:paraId="0C3E610C">
      <w:pPr>
        <w:spacing w:line="588" w:lineRule="exact"/>
        <w:ind w:firstLine="504" w:firstLineChars="200"/>
        <w:rPr>
          <w:rFonts w:hint="eastAsia" w:ascii="宋体" w:hAnsi="宋体"/>
          <w:spacing w:val="6"/>
          <w:sz w:val="24"/>
        </w:rPr>
      </w:pPr>
    </w:p>
    <w:p w14:paraId="501DAE00">
      <w:pPr>
        <w:spacing w:line="588" w:lineRule="exact"/>
        <w:ind w:firstLine="504" w:firstLineChars="200"/>
        <w:rPr>
          <w:rFonts w:hint="eastAsia" w:ascii="宋体" w:hAnsi="宋体"/>
          <w:spacing w:val="6"/>
          <w:sz w:val="24"/>
        </w:rPr>
      </w:pPr>
    </w:p>
    <w:p w14:paraId="1DA90906">
      <w:pPr>
        <w:tabs>
          <w:tab w:val="left" w:pos="4860"/>
        </w:tabs>
        <w:spacing w:line="588" w:lineRule="exact"/>
        <w:ind w:right="1560" w:firstLine="504" w:firstLineChars="200"/>
        <w:jc w:val="right"/>
        <w:rPr>
          <w:rFonts w:hint="eastAsia" w:ascii="宋体" w:hAnsi="宋体"/>
          <w:spacing w:val="6"/>
          <w:sz w:val="24"/>
        </w:rPr>
      </w:pPr>
      <w:r>
        <w:rPr>
          <w:rFonts w:ascii="宋体" w:hAnsi="宋体"/>
          <w:spacing w:val="6"/>
          <w:sz w:val="24"/>
        </w:rPr>
        <w:t xml:space="preserve">          单位名称（盖章）：</w:t>
      </w:r>
      <w:r>
        <w:rPr>
          <w:rFonts w:ascii="宋体" w:hAnsi="宋体"/>
          <w:sz w:val="24"/>
        </w:rPr>
        <w:t>______</w:t>
      </w:r>
    </w:p>
    <w:p w14:paraId="78CBE88B">
      <w:pPr>
        <w:tabs>
          <w:tab w:val="left" w:pos="4860"/>
        </w:tabs>
        <w:spacing w:line="588" w:lineRule="exact"/>
        <w:ind w:right="1560" w:firstLine="504" w:firstLineChars="200"/>
        <w:jc w:val="right"/>
        <w:rPr>
          <w:rFonts w:hint="eastAsia" w:ascii="宋体" w:hAnsi="宋体"/>
          <w:spacing w:val="6"/>
          <w:sz w:val="24"/>
        </w:rPr>
      </w:pPr>
      <w:r>
        <w:rPr>
          <w:rFonts w:ascii="宋体" w:hAnsi="宋体"/>
          <w:spacing w:val="6"/>
          <w:sz w:val="24"/>
        </w:rPr>
        <w:t xml:space="preserve">       日  期：</w:t>
      </w:r>
      <w:r>
        <w:rPr>
          <w:rFonts w:ascii="宋体" w:hAnsi="宋体"/>
          <w:sz w:val="24"/>
        </w:rPr>
        <w:t>______</w:t>
      </w:r>
    </w:p>
    <w:p w14:paraId="41A513A2">
      <w:pPr>
        <w:tabs>
          <w:tab w:val="left" w:pos="5580"/>
        </w:tabs>
        <w:spacing w:line="360" w:lineRule="auto"/>
        <w:rPr>
          <w:rFonts w:hint="eastAsia" w:ascii="宋体" w:hAnsi="宋体"/>
          <w:sz w:val="24"/>
        </w:rPr>
      </w:pPr>
    </w:p>
    <w:p w14:paraId="74EF007F">
      <w:pPr>
        <w:widowControl/>
        <w:jc w:val="left"/>
        <w:rPr>
          <w:rFonts w:hint="eastAsia" w:ascii="宋体" w:hAnsi="宋体"/>
          <w:sz w:val="24"/>
        </w:rPr>
      </w:pPr>
      <w:r>
        <w:rPr>
          <w:rFonts w:ascii="宋体" w:hAnsi="宋体"/>
          <w:sz w:val="24"/>
        </w:rPr>
        <w:br w:type="page"/>
      </w:r>
    </w:p>
    <w:p w14:paraId="0FF2EF64">
      <w:pPr>
        <w:spacing w:line="360" w:lineRule="auto"/>
        <w:outlineLvl w:val="2"/>
        <w:rPr>
          <w:rFonts w:hint="eastAsia" w:ascii="宋体" w:hAnsi="宋体"/>
          <w:sz w:val="24"/>
          <w:szCs w:val="20"/>
        </w:rPr>
      </w:pPr>
      <w:r>
        <w:rPr>
          <w:rFonts w:ascii="宋体" w:hAnsi="宋体"/>
          <w:sz w:val="24"/>
          <w:szCs w:val="20"/>
        </w:rPr>
        <w:t xml:space="preserve">2-2 </w:t>
      </w:r>
      <w:r>
        <w:rPr>
          <w:rFonts w:ascii="宋体" w:hAnsi="宋体"/>
          <w:sz w:val="24"/>
        </w:rPr>
        <w:t>其它落实政府采购政策的资格要求</w:t>
      </w:r>
      <w:r>
        <w:rPr>
          <w:rFonts w:ascii="宋体" w:hAnsi="宋体"/>
          <w:sz w:val="24"/>
          <w:szCs w:val="20"/>
        </w:rPr>
        <w:t>（如有）</w:t>
      </w:r>
    </w:p>
    <w:p w14:paraId="75D68E7D">
      <w:pPr>
        <w:tabs>
          <w:tab w:val="left" w:pos="5580"/>
        </w:tabs>
        <w:spacing w:line="360" w:lineRule="auto"/>
        <w:rPr>
          <w:rFonts w:hint="eastAsia" w:ascii="宋体" w:hAnsi="宋体"/>
          <w:sz w:val="24"/>
        </w:rPr>
      </w:pPr>
    </w:p>
    <w:p w14:paraId="43255655">
      <w:pPr>
        <w:widowControl/>
        <w:jc w:val="left"/>
        <w:rPr>
          <w:rFonts w:hint="eastAsia" w:ascii="宋体" w:hAnsi="宋体"/>
          <w:sz w:val="24"/>
        </w:rPr>
      </w:pPr>
      <w:r>
        <w:rPr>
          <w:rFonts w:ascii="宋体" w:hAnsi="宋体"/>
          <w:sz w:val="24"/>
        </w:rPr>
        <w:br w:type="page"/>
      </w:r>
    </w:p>
    <w:p w14:paraId="0A6DDDB7">
      <w:pPr>
        <w:tabs>
          <w:tab w:val="left" w:pos="360"/>
        </w:tabs>
        <w:snapToGrid w:val="0"/>
        <w:spacing w:line="360" w:lineRule="auto"/>
        <w:outlineLvl w:val="1"/>
        <w:rPr>
          <w:rFonts w:hint="eastAsia" w:ascii="宋体" w:hAnsi="宋体"/>
          <w:sz w:val="24"/>
        </w:rPr>
      </w:pPr>
      <w:r>
        <w:rPr>
          <w:rFonts w:ascii="宋体" w:hAnsi="宋体"/>
          <w:sz w:val="24"/>
        </w:rPr>
        <w:t>3 本项目的特定资格要求（如有）</w:t>
      </w:r>
    </w:p>
    <w:p w14:paraId="33DF58FF">
      <w:pPr>
        <w:spacing w:line="360" w:lineRule="auto"/>
        <w:outlineLvl w:val="2"/>
        <w:rPr>
          <w:rFonts w:hint="eastAsia" w:ascii="宋体" w:hAnsi="宋体"/>
          <w:sz w:val="24"/>
          <w:szCs w:val="20"/>
        </w:rPr>
      </w:pPr>
      <w:r>
        <w:rPr>
          <w:rFonts w:ascii="宋体" w:hAnsi="宋体"/>
          <w:sz w:val="24"/>
          <w:szCs w:val="20"/>
        </w:rPr>
        <w:t>3-</w:t>
      </w:r>
      <w:r>
        <w:rPr>
          <w:rFonts w:hint="eastAsia" w:ascii="宋体" w:hAnsi="宋体"/>
          <w:sz w:val="24"/>
          <w:szCs w:val="20"/>
        </w:rPr>
        <w:t>1</w:t>
      </w:r>
      <w:r>
        <w:rPr>
          <w:rFonts w:ascii="宋体" w:hAnsi="宋体"/>
          <w:sz w:val="24"/>
          <w:szCs w:val="20"/>
        </w:rPr>
        <w:t>其他特定资格要求</w:t>
      </w:r>
    </w:p>
    <w:p w14:paraId="32A902E6">
      <w:pPr>
        <w:tabs>
          <w:tab w:val="left" w:pos="5580"/>
        </w:tabs>
        <w:spacing w:line="360" w:lineRule="auto"/>
        <w:rPr>
          <w:rFonts w:hint="eastAsia" w:ascii="宋体" w:hAnsi="宋体"/>
          <w:b/>
          <w:bCs/>
          <w:sz w:val="24"/>
        </w:rPr>
      </w:pPr>
      <w:r>
        <w:rPr>
          <w:rFonts w:hint="eastAsia" w:ascii="宋体" w:hAnsi="宋体"/>
          <w:b/>
          <w:bCs/>
          <w:sz w:val="24"/>
        </w:rPr>
        <w:t>1.自2022 年1月1日起，一级建造师统一使用电子证书，纸质注册证书作废。电子证书打印后，应在个人签名处手写本人签名，未手写签名或与签名图像笔迹不一致的，该电子证书无效。</w:t>
      </w:r>
    </w:p>
    <w:p w14:paraId="1A660C3A">
      <w:pPr>
        <w:tabs>
          <w:tab w:val="left" w:pos="5580"/>
        </w:tabs>
        <w:spacing w:line="360" w:lineRule="auto"/>
        <w:rPr>
          <w:rFonts w:hint="eastAsia" w:ascii="宋体" w:hAnsi="宋体"/>
          <w:b/>
          <w:bCs/>
          <w:sz w:val="24"/>
        </w:rPr>
      </w:pPr>
      <w:r>
        <w:rPr>
          <w:rFonts w:hint="eastAsia" w:ascii="宋体" w:hAnsi="宋体"/>
          <w:b/>
          <w:bCs/>
          <w:sz w:val="24"/>
        </w:rPr>
        <w:t>2.自2023 年6月1日起，北京市建筑施工企业安全生产管理人员和建筑施工特种作业操作人员统一使用新版电子证照，旧版建筑施工企业安全生产管理人员考核合格证书和建筑施工特种作业操作资格证书电子证书作废，持证人和建筑施工企业办理相关业务时应提供新版电子证照。</w:t>
      </w:r>
    </w:p>
    <w:p w14:paraId="0DF1596E">
      <w:pPr>
        <w:widowControl/>
        <w:jc w:val="left"/>
        <w:rPr>
          <w:rFonts w:hint="eastAsia" w:ascii="宋体" w:hAnsi="宋体"/>
          <w:b/>
          <w:bCs/>
          <w:sz w:val="24"/>
        </w:rPr>
      </w:pPr>
      <w:r>
        <w:rPr>
          <w:rFonts w:hint="eastAsia" w:ascii="宋体" w:hAnsi="宋体"/>
          <w:b/>
          <w:bCs/>
          <w:sz w:val="24"/>
        </w:rPr>
        <w:br w:type="page"/>
      </w:r>
    </w:p>
    <w:p w14:paraId="41785DB5">
      <w:pPr>
        <w:tabs>
          <w:tab w:val="left" w:pos="5580"/>
        </w:tabs>
        <w:spacing w:line="360" w:lineRule="auto"/>
        <w:jc w:val="center"/>
        <w:rPr>
          <w:rFonts w:hint="eastAsia" w:ascii="宋体" w:hAnsi="宋体"/>
          <w:b/>
          <w:bCs/>
          <w:sz w:val="36"/>
          <w:szCs w:val="36"/>
        </w:rPr>
      </w:pPr>
      <w:r>
        <w:rPr>
          <w:rFonts w:hint="eastAsia" w:ascii="宋体" w:hAnsi="宋体"/>
          <w:b/>
          <w:bCs/>
          <w:sz w:val="36"/>
          <w:szCs w:val="36"/>
        </w:rPr>
        <w:t>承诺书（实质性格式）</w:t>
      </w:r>
    </w:p>
    <w:p w14:paraId="41AFC717">
      <w:pPr>
        <w:tabs>
          <w:tab w:val="left" w:pos="5580"/>
        </w:tabs>
        <w:spacing w:line="360" w:lineRule="auto"/>
        <w:rPr>
          <w:rFonts w:hint="eastAsia" w:ascii="宋体" w:hAnsi="宋体"/>
          <w:sz w:val="24"/>
        </w:rPr>
      </w:pPr>
      <w:r>
        <w:rPr>
          <w:rFonts w:hint="eastAsia" w:ascii="宋体" w:hAnsi="宋体"/>
          <w:sz w:val="24"/>
        </w:rPr>
        <w:t>致：</w:t>
      </w:r>
      <w:r>
        <w:rPr>
          <w:rFonts w:hint="eastAsia" w:ascii="宋体" w:hAnsi="宋体"/>
          <w:sz w:val="24"/>
          <w:u w:val="single"/>
        </w:rPr>
        <w:t xml:space="preserve">采购人 </w:t>
      </w:r>
    </w:p>
    <w:p w14:paraId="64CFCEEE">
      <w:pPr>
        <w:tabs>
          <w:tab w:val="left" w:pos="5580"/>
        </w:tabs>
        <w:spacing w:line="360" w:lineRule="auto"/>
        <w:rPr>
          <w:rFonts w:hint="eastAsia" w:ascii="宋体" w:hAnsi="宋体"/>
          <w:sz w:val="24"/>
        </w:rPr>
      </w:pPr>
      <w:r>
        <w:rPr>
          <w:rFonts w:hint="eastAsia" w:ascii="宋体" w:hAnsi="宋体"/>
          <w:sz w:val="24"/>
        </w:rPr>
        <w:t>我单位</w:t>
      </w:r>
      <w:r>
        <w:rPr>
          <w:rFonts w:hint="eastAsia" w:ascii="宋体" w:hAnsi="宋体"/>
          <w:sz w:val="24"/>
          <w:u w:val="single"/>
        </w:rPr>
        <w:t xml:space="preserve">              </w:t>
      </w:r>
      <w:r>
        <w:rPr>
          <w:rFonts w:hint="eastAsia" w:ascii="宋体" w:hAnsi="宋体"/>
          <w:sz w:val="24"/>
        </w:rPr>
        <w:t>（供应商名称）参加</w:t>
      </w:r>
      <w:r>
        <w:rPr>
          <w:rFonts w:hint="eastAsia" w:ascii="宋体" w:hAnsi="宋体"/>
          <w:sz w:val="24"/>
          <w:u w:val="single"/>
        </w:rPr>
        <w:t xml:space="preserve">               </w:t>
      </w:r>
      <w:r>
        <w:rPr>
          <w:rFonts w:hint="eastAsia" w:ascii="宋体" w:hAnsi="宋体"/>
          <w:sz w:val="24"/>
        </w:rPr>
        <w:t>（项目名称）磋商，承诺如下：</w:t>
      </w:r>
    </w:p>
    <w:p w14:paraId="75ED925B">
      <w:pPr>
        <w:tabs>
          <w:tab w:val="left" w:pos="5580"/>
        </w:tabs>
        <w:spacing w:line="360" w:lineRule="auto"/>
        <w:ind w:firstLine="480" w:firstLineChars="200"/>
        <w:rPr>
          <w:rFonts w:hint="eastAsia" w:ascii="宋体" w:hAnsi="宋体"/>
          <w:sz w:val="24"/>
        </w:rPr>
      </w:pPr>
      <w:r>
        <w:rPr>
          <w:rFonts w:hint="eastAsia" w:ascii="宋体" w:hAnsi="宋体"/>
          <w:sz w:val="24"/>
        </w:rPr>
        <w:t>1.我公司拟派项目经理无在施项目，且在确定成交人时不担任其他在施建设工程的项目经理。</w:t>
      </w:r>
    </w:p>
    <w:p w14:paraId="36149343">
      <w:pPr>
        <w:tabs>
          <w:tab w:val="left" w:pos="5580"/>
        </w:tabs>
        <w:spacing w:line="360" w:lineRule="auto"/>
        <w:ind w:firstLine="480" w:firstLineChars="200"/>
        <w:rPr>
          <w:rFonts w:hint="eastAsia" w:ascii="宋体" w:hAnsi="宋体"/>
          <w:sz w:val="24"/>
        </w:rPr>
      </w:pPr>
      <w:r>
        <w:rPr>
          <w:rFonts w:hint="eastAsia" w:ascii="宋体" w:hAnsi="宋体"/>
          <w:sz w:val="24"/>
        </w:rPr>
        <w:t>2.我公司参加本次磋商，在人员、设备、资金等方面具备相应的施工能力。</w:t>
      </w:r>
    </w:p>
    <w:p w14:paraId="4E6241E3">
      <w:pPr>
        <w:tabs>
          <w:tab w:val="left" w:pos="5580"/>
        </w:tabs>
        <w:spacing w:line="360" w:lineRule="auto"/>
        <w:ind w:firstLine="480" w:firstLineChars="200"/>
        <w:rPr>
          <w:rFonts w:hint="eastAsia" w:ascii="宋体" w:hAnsi="宋体"/>
          <w:sz w:val="24"/>
        </w:rPr>
      </w:pPr>
      <w:r>
        <w:rPr>
          <w:rFonts w:hint="eastAsia" w:ascii="宋体" w:hAnsi="宋体"/>
          <w:sz w:val="24"/>
        </w:rPr>
        <w:t>特此承诺！</w:t>
      </w:r>
    </w:p>
    <w:p w14:paraId="139E3909">
      <w:pPr>
        <w:tabs>
          <w:tab w:val="left" w:pos="5580"/>
        </w:tabs>
        <w:spacing w:line="360" w:lineRule="auto"/>
        <w:rPr>
          <w:rFonts w:hint="eastAsia" w:ascii="宋体" w:hAnsi="宋体"/>
          <w:sz w:val="24"/>
        </w:rPr>
      </w:pPr>
    </w:p>
    <w:p w14:paraId="42F6F296">
      <w:pPr>
        <w:tabs>
          <w:tab w:val="left" w:pos="5580"/>
        </w:tabs>
        <w:spacing w:line="360" w:lineRule="auto"/>
        <w:rPr>
          <w:rFonts w:hint="eastAsia" w:ascii="宋体" w:hAnsi="宋体"/>
          <w:sz w:val="24"/>
        </w:rPr>
      </w:pPr>
    </w:p>
    <w:p w14:paraId="2682453C">
      <w:pPr>
        <w:tabs>
          <w:tab w:val="left" w:pos="5580"/>
        </w:tabs>
        <w:spacing w:line="360" w:lineRule="auto"/>
        <w:rPr>
          <w:rFonts w:hint="eastAsia" w:ascii="宋体" w:hAnsi="宋体"/>
          <w:sz w:val="24"/>
        </w:rPr>
      </w:pPr>
    </w:p>
    <w:p w14:paraId="1354711B">
      <w:pPr>
        <w:tabs>
          <w:tab w:val="left" w:pos="5580"/>
        </w:tabs>
        <w:spacing w:line="360" w:lineRule="auto"/>
        <w:rPr>
          <w:rFonts w:hint="eastAsia" w:ascii="宋体" w:hAnsi="宋体"/>
          <w:sz w:val="24"/>
        </w:rPr>
      </w:pPr>
    </w:p>
    <w:p w14:paraId="42FE3EA3">
      <w:pPr>
        <w:tabs>
          <w:tab w:val="left" w:pos="5580"/>
        </w:tabs>
        <w:spacing w:line="360" w:lineRule="auto"/>
        <w:rPr>
          <w:rFonts w:hint="eastAsia" w:ascii="宋体" w:hAnsi="宋体"/>
          <w:sz w:val="24"/>
        </w:rPr>
      </w:pPr>
    </w:p>
    <w:p w14:paraId="0E40B281">
      <w:pPr>
        <w:tabs>
          <w:tab w:val="left" w:pos="5580"/>
        </w:tabs>
        <w:spacing w:line="360" w:lineRule="auto"/>
        <w:rPr>
          <w:rFonts w:hint="eastAsia" w:ascii="宋体" w:hAnsi="宋体"/>
          <w:sz w:val="24"/>
        </w:rPr>
      </w:pPr>
    </w:p>
    <w:p w14:paraId="7A7B75C1">
      <w:pPr>
        <w:tabs>
          <w:tab w:val="left" w:pos="5580"/>
        </w:tabs>
        <w:spacing w:line="360" w:lineRule="auto"/>
        <w:rPr>
          <w:rFonts w:hint="eastAsia" w:ascii="宋体" w:hAnsi="宋体"/>
          <w:sz w:val="24"/>
        </w:rPr>
      </w:pPr>
    </w:p>
    <w:p w14:paraId="2A86856C">
      <w:pPr>
        <w:tabs>
          <w:tab w:val="left" w:pos="5580"/>
        </w:tabs>
        <w:spacing w:line="360" w:lineRule="auto"/>
        <w:rPr>
          <w:rFonts w:hint="eastAsia" w:ascii="宋体" w:hAnsi="宋体"/>
          <w:sz w:val="24"/>
        </w:rPr>
      </w:pPr>
      <w:r>
        <w:rPr>
          <w:rFonts w:hint="eastAsia" w:ascii="宋体" w:hAnsi="宋体"/>
          <w:sz w:val="24"/>
        </w:rPr>
        <w:t xml:space="preserve">供应商名称（加盖公章）：             </w:t>
      </w:r>
    </w:p>
    <w:p w14:paraId="0171C9B8">
      <w:pPr>
        <w:tabs>
          <w:tab w:val="left" w:pos="5580"/>
        </w:tabs>
        <w:spacing w:line="360" w:lineRule="auto"/>
        <w:rPr>
          <w:rFonts w:hint="eastAsia" w:ascii="宋体" w:hAnsi="宋体"/>
          <w:sz w:val="24"/>
        </w:rPr>
      </w:pPr>
      <w:r>
        <w:rPr>
          <w:rFonts w:hint="eastAsia" w:ascii="宋体" w:hAnsi="宋体"/>
          <w:sz w:val="24"/>
        </w:rPr>
        <w:t>日期：       年     月     日</w:t>
      </w:r>
    </w:p>
    <w:p w14:paraId="57EFBB86">
      <w:pPr>
        <w:widowControl/>
        <w:jc w:val="left"/>
        <w:rPr>
          <w:rFonts w:hint="eastAsia" w:ascii="宋体" w:hAnsi="宋体"/>
          <w:sz w:val="24"/>
        </w:rPr>
      </w:pPr>
      <w:r>
        <w:rPr>
          <w:rFonts w:ascii="宋体" w:hAnsi="宋体"/>
          <w:sz w:val="24"/>
        </w:rPr>
        <w:br w:type="page"/>
      </w:r>
    </w:p>
    <w:p w14:paraId="22F9F533">
      <w:pPr>
        <w:tabs>
          <w:tab w:val="left" w:pos="360"/>
        </w:tabs>
        <w:snapToGrid w:val="0"/>
        <w:spacing w:line="360" w:lineRule="auto"/>
        <w:outlineLvl w:val="1"/>
        <w:rPr>
          <w:rFonts w:hint="eastAsia" w:ascii="宋体" w:hAnsi="宋体"/>
          <w:sz w:val="24"/>
        </w:rPr>
      </w:pPr>
      <w:r>
        <w:rPr>
          <w:rFonts w:ascii="宋体" w:hAnsi="宋体"/>
          <w:sz w:val="24"/>
        </w:rPr>
        <w:t>4 磋商保证金凭证/交款单据电子件</w:t>
      </w:r>
      <w:r>
        <w:rPr>
          <w:rFonts w:hint="eastAsia" w:ascii="宋体" w:hAnsi="宋体"/>
          <w:sz w:val="24"/>
        </w:rPr>
        <w:t>（如有）</w:t>
      </w:r>
    </w:p>
    <w:p w14:paraId="6A40601E">
      <w:pPr>
        <w:spacing w:line="360" w:lineRule="auto"/>
        <w:ind w:firstLine="480" w:firstLineChars="200"/>
        <w:rPr>
          <w:sz w:val="24"/>
          <w:szCs w:val="32"/>
        </w:rPr>
      </w:pPr>
      <w:r>
        <w:rPr>
          <w:rFonts w:hint="eastAsia"/>
          <w:sz w:val="24"/>
          <w:szCs w:val="32"/>
        </w:rPr>
        <w:t>本项目投标保证金响应要求政策，参与本项目的供应商递交保证金时需提交投标担保函（保险）替代现金方式，以此之外方式递交保证金的，需由供应商出具说明函。</w:t>
      </w:r>
    </w:p>
    <w:p w14:paraId="42B460C0">
      <w:pPr>
        <w:tabs>
          <w:tab w:val="left" w:pos="5580"/>
        </w:tabs>
        <w:spacing w:line="360" w:lineRule="auto"/>
        <w:rPr>
          <w:rFonts w:hint="eastAsia" w:ascii="宋体" w:hAnsi="宋体"/>
          <w:sz w:val="24"/>
        </w:rPr>
      </w:pPr>
    </w:p>
    <w:p w14:paraId="1CF07746">
      <w:pPr>
        <w:widowControl/>
        <w:jc w:val="left"/>
        <w:rPr>
          <w:rFonts w:hint="eastAsia" w:ascii="宋体" w:hAnsi="宋体"/>
          <w:sz w:val="24"/>
        </w:rPr>
      </w:pPr>
      <w:r>
        <w:rPr>
          <w:rFonts w:ascii="宋体" w:hAnsi="宋体"/>
          <w:sz w:val="24"/>
        </w:rPr>
        <w:br w:type="page"/>
      </w:r>
    </w:p>
    <w:p w14:paraId="34D3EBC1">
      <w:pPr>
        <w:tabs>
          <w:tab w:val="left" w:pos="360"/>
        </w:tabs>
        <w:snapToGrid w:val="0"/>
        <w:spacing w:line="360" w:lineRule="auto"/>
        <w:outlineLvl w:val="1"/>
        <w:rPr>
          <w:rFonts w:hint="eastAsia" w:ascii="宋体" w:hAnsi="宋体"/>
          <w:sz w:val="24"/>
        </w:rPr>
      </w:pPr>
      <w:bookmarkStart w:id="2168" w:name="_Toc480942349"/>
      <w:bookmarkStart w:id="2169" w:name="_Ref467988698"/>
      <w:bookmarkStart w:id="2170" w:name="_Toc226965746"/>
      <w:bookmarkStart w:id="2171" w:name="_Toc150774761"/>
      <w:bookmarkStart w:id="2172" w:name="_Toc142311058"/>
      <w:bookmarkStart w:id="2173" w:name="_Toc520356217"/>
      <w:bookmarkStart w:id="2174" w:name="_Toc226965829"/>
      <w:bookmarkStart w:id="2175" w:name="_Toc226337252"/>
      <w:bookmarkStart w:id="2176" w:name="_Toc195842921"/>
      <w:bookmarkStart w:id="2177" w:name="_Toc150480794"/>
      <w:bookmarkStart w:id="2178" w:name="_Toc226309800"/>
      <w:bookmarkStart w:id="2179" w:name="_Toc127151556"/>
      <w:r>
        <w:rPr>
          <w:rFonts w:hint="eastAsia" w:ascii="宋体" w:hAnsi="宋体"/>
          <w:sz w:val="24"/>
        </w:rPr>
        <w:t>5</w:t>
      </w:r>
      <w:r>
        <w:rPr>
          <w:rFonts w:ascii="宋体" w:hAnsi="宋体"/>
          <w:sz w:val="24"/>
        </w:rPr>
        <w:t xml:space="preserve"> 授权委托书</w:t>
      </w:r>
    </w:p>
    <w:p w14:paraId="41082B9F">
      <w:pPr>
        <w:autoSpaceDE w:val="0"/>
        <w:autoSpaceDN w:val="0"/>
        <w:adjustRightInd w:val="0"/>
        <w:spacing w:line="360" w:lineRule="auto"/>
        <w:jc w:val="center"/>
        <w:rPr>
          <w:rFonts w:hint="eastAsia" w:ascii="宋体" w:hAnsi="宋体"/>
          <w:b/>
          <w:sz w:val="36"/>
          <w:szCs w:val="36"/>
        </w:rPr>
      </w:pPr>
      <w:r>
        <w:rPr>
          <w:rFonts w:hint="eastAsia" w:ascii="宋体" w:hAnsi="宋体"/>
          <w:b/>
          <w:sz w:val="36"/>
          <w:szCs w:val="36"/>
        </w:rPr>
        <w:t>授权委托书</w:t>
      </w:r>
    </w:p>
    <w:p w14:paraId="717E4ACD">
      <w:pPr>
        <w:spacing w:line="360" w:lineRule="auto"/>
        <w:ind w:firstLine="420"/>
        <w:rPr>
          <w:rFonts w:hint="eastAsia" w:ascii="宋体" w:hAnsi="宋体"/>
          <w:sz w:val="24"/>
          <w:szCs w:val="20"/>
          <w:u w:val="none"/>
        </w:rPr>
      </w:pPr>
      <w:r>
        <w:rPr>
          <w:rFonts w:ascii="宋体" w:hAnsi="宋体"/>
          <w:sz w:val="24"/>
          <w:szCs w:val="20"/>
          <w:u w:val="none"/>
        </w:rPr>
        <w:t>本人____（姓名）系____（供应商名称）的法定代表人（单位负责人），现委托____（姓名）为我方代理人。代理人根据授权，以我方名义签署、澄清确认、递交、撤回、修改____（项目名称）响应文件和处理有关事宜，其法律后果由我方承担。</w:t>
      </w:r>
    </w:p>
    <w:p w14:paraId="150884B9">
      <w:pPr>
        <w:spacing w:line="360" w:lineRule="auto"/>
        <w:ind w:firstLine="420"/>
        <w:rPr>
          <w:rFonts w:hint="eastAsia" w:ascii="宋体" w:hAnsi="宋体"/>
          <w:sz w:val="24"/>
          <w:szCs w:val="20"/>
          <w:u w:val="none"/>
        </w:rPr>
      </w:pPr>
      <w:r>
        <w:rPr>
          <w:rFonts w:ascii="宋体" w:hAnsi="宋体"/>
          <w:sz w:val="24"/>
          <w:szCs w:val="20"/>
          <w:u w:val="none"/>
        </w:rPr>
        <w:t>委托期限：自本授权委托书签署之日起至响应有效期届满之日止。</w:t>
      </w:r>
    </w:p>
    <w:p w14:paraId="02D87691">
      <w:pPr>
        <w:spacing w:line="360" w:lineRule="auto"/>
        <w:ind w:firstLine="420"/>
        <w:rPr>
          <w:rFonts w:hint="eastAsia" w:ascii="宋体" w:hAnsi="宋体"/>
          <w:sz w:val="24"/>
          <w:u w:val="none"/>
          <w:lang w:val="zh-CN"/>
        </w:rPr>
      </w:pPr>
      <w:r>
        <w:rPr>
          <w:rFonts w:ascii="宋体" w:hAnsi="宋体"/>
          <w:sz w:val="24"/>
          <w:szCs w:val="20"/>
          <w:u w:val="none"/>
        </w:rPr>
        <w:t>代理人无转委托权。</w:t>
      </w:r>
      <w:r>
        <w:rPr>
          <w:rFonts w:ascii="宋体" w:hAnsi="宋体"/>
          <w:sz w:val="24"/>
          <w:szCs w:val="20"/>
          <w:u w:val="none"/>
        </w:rPr>
        <w:cr/>
      </w:r>
      <w:r>
        <w:rPr>
          <w:rFonts w:ascii="宋体" w:hAnsi="宋体"/>
          <w:sz w:val="24"/>
          <w:u w:val="none"/>
        </w:rPr>
        <w:t>供应商名称（加盖公章）</w:t>
      </w:r>
      <w:r>
        <w:rPr>
          <w:rFonts w:ascii="宋体" w:hAnsi="宋体"/>
          <w:sz w:val="24"/>
          <w:u w:val="none"/>
          <w:lang w:val="zh-CN"/>
        </w:rPr>
        <w:t>：</w:t>
      </w:r>
      <w:r>
        <w:rPr>
          <w:rFonts w:ascii="宋体" w:hAnsi="宋体"/>
          <w:sz w:val="24"/>
          <w:szCs w:val="20"/>
          <w:u w:val="none"/>
        </w:rPr>
        <w:t>______________</w:t>
      </w:r>
    </w:p>
    <w:p w14:paraId="4549457C">
      <w:pPr>
        <w:spacing w:line="360" w:lineRule="auto"/>
        <w:rPr>
          <w:rFonts w:hint="eastAsia" w:ascii="宋体" w:hAnsi="宋体"/>
          <w:sz w:val="24"/>
          <w:szCs w:val="20"/>
          <w:u w:val="none"/>
        </w:rPr>
      </w:pPr>
      <w:r>
        <w:rPr>
          <w:rFonts w:ascii="宋体" w:hAnsi="宋体"/>
          <w:sz w:val="24"/>
          <w:szCs w:val="20"/>
          <w:u w:val="none"/>
        </w:rPr>
        <w:t>法定代表人（单位负责人）（签字</w:t>
      </w:r>
      <w:r>
        <w:rPr>
          <w:rFonts w:hint="eastAsia" w:ascii="宋体" w:hAnsi="宋体"/>
          <w:sz w:val="24"/>
          <w:szCs w:val="20"/>
          <w:u w:val="none"/>
        </w:rPr>
        <w:t>或签章</w:t>
      </w:r>
      <w:r>
        <w:rPr>
          <w:rFonts w:ascii="宋体" w:hAnsi="宋体"/>
          <w:sz w:val="24"/>
          <w:szCs w:val="20"/>
          <w:u w:val="none"/>
        </w:rPr>
        <w:t>）：______________</w:t>
      </w:r>
    </w:p>
    <w:p w14:paraId="26FB715B">
      <w:pPr>
        <w:autoSpaceDE w:val="0"/>
        <w:autoSpaceDN w:val="0"/>
        <w:adjustRightInd w:val="0"/>
        <w:snapToGrid w:val="0"/>
        <w:spacing w:line="360" w:lineRule="auto"/>
        <w:rPr>
          <w:rFonts w:hint="eastAsia" w:ascii="宋体" w:hAnsi="宋体"/>
          <w:sz w:val="24"/>
          <w:u w:val="none"/>
          <w:lang w:val="zh-CN"/>
        </w:rPr>
      </w:pPr>
      <w:r>
        <w:rPr>
          <w:rFonts w:ascii="宋体" w:hAnsi="宋体"/>
          <w:sz w:val="24"/>
          <w:u w:val="none"/>
        </w:rPr>
        <w:t>委托代理人（签字</w:t>
      </w:r>
      <w:r>
        <w:rPr>
          <w:rFonts w:hint="eastAsia" w:ascii="宋体" w:hAnsi="宋体"/>
          <w:sz w:val="24"/>
          <w:szCs w:val="20"/>
          <w:u w:val="none"/>
        </w:rPr>
        <w:t>/签章</w:t>
      </w:r>
      <w:r>
        <w:rPr>
          <w:rFonts w:ascii="宋体" w:hAnsi="宋体"/>
          <w:sz w:val="24"/>
          <w:u w:val="none"/>
        </w:rPr>
        <w:t>）：</w:t>
      </w:r>
      <w:r>
        <w:rPr>
          <w:rFonts w:ascii="宋体" w:hAnsi="宋体"/>
          <w:sz w:val="24"/>
          <w:szCs w:val="20"/>
          <w:u w:val="none"/>
        </w:rPr>
        <w:t>______________</w:t>
      </w:r>
      <w:r>
        <w:rPr>
          <w:rFonts w:ascii="宋体" w:hAnsi="宋体"/>
          <w:sz w:val="24"/>
          <w:u w:val="none"/>
          <w:lang w:val="zh-CN"/>
        </w:rPr>
        <w:t xml:space="preserve">        </w:t>
      </w:r>
    </w:p>
    <w:p w14:paraId="1738693B">
      <w:pPr>
        <w:autoSpaceDE w:val="0"/>
        <w:autoSpaceDN w:val="0"/>
        <w:adjustRightInd w:val="0"/>
        <w:snapToGrid w:val="0"/>
        <w:spacing w:line="360" w:lineRule="auto"/>
        <w:rPr>
          <w:rFonts w:hint="eastAsia" w:ascii="宋体" w:hAnsi="宋体"/>
          <w:sz w:val="24"/>
          <w:u w:val="none"/>
          <w:lang w:val="zh-CN"/>
        </w:rPr>
      </w:pPr>
      <w:r>
        <w:rPr>
          <w:rFonts w:ascii="宋体" w:hAnsi="宋体"/>
          <w:sz w:val="24"/>
          <w:u w:val="none"/>
        </w:rPr>
        <w:t>日期：</w:t>
      </w:r>
      <w:r>
        <w:rPr>
          <w:rFonts w:ascii="宋体" w:hAnsi="宋体"/>
          <w:sz w:val="24"/>
          <w:szCs w:val="20"/>
          <w:u w:val="none"/>
        </w:rPr>
        <w:t>____</w:t>
      </w:r>
      <w:r>
        <w:rPr>
          <w:rFonts w:ascii="宋体" w:hAnsi="宋体"/>
          <w:sz w:val="24"/>
          <w:u w:val="none"/>
        </w:rPr>
        <w:t>年</w:t>
      </w:r>
      <w:r>
        <w:rPr>
          <w:rFonts w:ascii="宋体" w:hAnsi="宋体"/>
          <w:sz w:val="24"/>
          <w:szCs w:val="20"/>
          <w:u w:val="none"/>
        </w:rPr>
        <w:t>____</w:t>
      </w:r>
      <w:r>
        <w:rPr>
          <w:rFonts w:ascii="宋体" w:hAnsi="宋体"/>
          <w:sz w:val="24"/>
          <w:u w:val="none"/>
        </w:rPr>
        <w:t>月</w:t>
      </w:r>
      <w:r>
        <w:rPr>
          <w:rFonts w:ascii="宋体" w:hAnsi="宋体"/>
          <w:sz w:val="24"/>
          <w:szCs w:val="20"/>
          <w:u w:val="none"/>
        </w:rPr>
        <w:t>____</w:t>
      </w:r>
      <w:r>
        <w:rPr>
          <w:rFonts w:ascii="宋体" w:hAnsi="宋体"/>
          <w:sz w:val="24"/>
          <w:u w:val="none"/>
        </w:rPr>
        <w:t>日</w:t>
      </w:r>
    </w:p>
    <w:p w14:paraId="6A29C69C">
      <w:pPr>
        <w:tabs>
          <w:tab w:val="left" w:pos="5580"/>
        </w:tabs>
        <w:spacing w:line="360" w:lineRule="auto"/>
        <w:jc w:val="left"/>
        <w:rPr>
          <w:rFonts w:hint="eastAsia" w:ascii="宋体" w:hAnsi="宋体"/>
          <w:sz w:val="24"/>
          <w:szCs w:val="20"/>
        </w:rPr>
      </w:pPr>
      <w:r>
        <w:rPr>
          <w:rFonts w:ascii="宋体" w:hAnsi="宋体"/>
          <w:sz w:val="24"/>
          <w:szCs w:val="20"/>
        </w:rPr>
        <w:t>法定代表人（单位负责人）有效期内的身份证</w:t>
      </w:r>
      <w:r>
        <w:rPr>
          <w:rFonts w:ascii="宋体" w:hAnsi="宋体"/>
          <w:b/>
          <w:sz w:val="24"/>
          <w:szCs w:val="20"/>
        </w:rPr>
        <w:t>正反面</w:t>
      </w:r>
      <w:r>
        <w:rPr>
          <w:rFonts w:ascii="宋体" w:hAnsi="宋体"/>
          <w:sz w:val="24"/>
          <w:szCs w:val="20"/>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9B22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5FB54821">
            <w:pPr>
              <w:tabs>
                <w:tab w:val="left" w:pos="5580"/>
              </w:tabs>
              <w:spacing w:line="360" w:lineRule="auto"/>
              <w:jc w:val="left"/>
              <w:rPr>
                <w:rFonts w:hint="eastAsia" w:ascii="宋体" w:hAnsi="宋体"/>
                <w:sz w:val="24"/>
                <w:szCs w:val="20"/>
              </w:rPr>
            </w:pPr>
          </w:p>
          <w:p w14:paraId="489D04B0">
            <w:pPr>
              <w:tabs>
                <w:tab w:val="left" w:pos="5580"/>
              </w:tabs>
              <w:spacing w:line="360" w:lineRule="auto"/>
              <w:jc w:val="left"/>
              <w:rPr>
                <w:rFonts w:hint="eastAsia" w:ascii="宋体" w:hAnsi="宋体"/>
                <w:sz w:val="24"/>
                <w:szCs w:val="20"/>
              </w:rPr>
            </w:pPr>
          </w:p>
          <w:p w14:paraId="4AC9A097">
            <w:pPr>
              <w:tabs>
                <w:tab w:val="left" w:pos="5580"/>
              </w:tabs>
              <w:spacing w:line="360" w:lineRule="auto"/>
              <w:jc w:val="left"/>
              <w:rPr>
                <w:rFonts w:hint="eastAsia" w:ascii="宋体" w:hAnsi="宋体"/>
                <w:sz w:val="24"/>
                <w:szCs w:val="20"/>
              </w:rPr>
            </w:pPr>
          </w:p>
        </w:tc>
        <w:tc>
          <w:tcPr>
            <w:tcW w:w="4536" w:type="dxa"/>
          </w:tcPr>
          <w:p w14:paraId="342293BA">
            <w:pPr>
              <w:tabs>
                <w:tab w:val="left" w:pos="5580"/>
              </w:tabs>
              <w:spacing w:line="360" w:lineRule="auto"/>
              <w:jc w:val="left"/>
              <w:rPr>
                <w:rFonts w:hint="eastAsia" w:ascii="宋体" w:hAnsi="宋体"/>
                <w:sz w:val="24"/>
                <w:szCs w:val="20"/>
              </w:rPr>
            </w:pPr>
          </w:p>
          <w:p w14:paraId="2D8A1C5D">
            <w:pPr>
              <w:tabs>
                <w:tab w:val="left" w:pos="5580"/>
              </w:tabs>
              <w:spacing w:line="360" w:lineRule="auto"/>
              <w:jc w:val="left"/>
              <w:rPr>
                <w:rFonts w:hint="eastAsia" w:ascii="宋体" w:hAnsi="宋体"/>
                <w:sz w:val="24"/>
                <w:szCs w:val="20"/>
              </w:rPr>
            </w:pPr>
          </w:p>
          <w:p w14:paraId="266EF4CD">
            <w:pPr>
              <w:tabs>
                <w:tab w:val="left" w:pos="5580"/>
              </w:tabs>
              <w:spacing w:line="360" w:lineRule="auto"/>
              <w:jc w:val="left"/>
              <w:rPr>
                <w:rFonts w:hint="eastAsia" w:ascii="宋体" w:hAnsi="宋体"/>
                <w:sz w:val="24"/>
                <w:szCs w:val="20"/>
              </w:rPr>
            </w:pPr>
          </w:p>
        </w:tc>
      </w:tr>
    </w:tbl>
    <w:p w14:paraId="13A3FAB4">
      <w:pPr>
        <w:tabs>
          <w:tab w:val="left" w:pos="5580"/>
        </w:tabs>
        <w:spacing w:line="360" w:lineRule="auto"/>
        <w:jc w:val="left"/>
        <w:rPr>
          <w:rFonts w:hint="eastAsia" w:ascii="宋体" w:hAnsi="宋体"/>
          <w:sz w:val="24"/>
          <w:szCs w:val="20"/>
        </w:rPr>
      </w:pPr>
      <w:r>
        <w:rPr>
          <w:rFonts w:ascii="宋体" w:hAnsi="宋体"/>
          <w:sz w:val="24"/>
          <w:szCs w:val="20"/>
        </w:rPr>
        <w:t>委托代理人有效期内的身份证</w:t>
      </w:r>
      <w:r>
        <w:rPr>
          <w:rFonts w:ascii="宋体" w:hAnsi="宋体"/>
          <w:b/>
          <w:sz w:val="24"/>
          <w:szCs w:val="20"/>
        </w:rPr>
        <w:t>正反面</w:t>
      </w:r>
      <w:r>
        <w:rPr>
          <w:rFonts w:ascii="宋体" w:hAnsi="宋体"/>
          <w:sz w:val="24"/>
          <w:szCs w:val="20"/>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2F917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4D5957F">
            <w:pPr>
              <w:tabs>
                <w:tab w:val="left" w:pos="5580"/>
              </w:tabs>
              <w:spacing w:line="360" w:lineRule="auto"/>
              <w:jc w:val="left"/>
              <w:rPr>
                <w:rFonts w:hint="eastAsia" w:ascii="宋体" w:hAnsi="宋体"/>
                <w:sz w:val="24"/>
                <w:szCs w:val="20"/>
              </w:rPr>
            </w:pPr>
          </w:p>
          <w:p w14:paraId="60D4F543">
            <w:pPr>
              <w:tabs>
                <w:tab w:val="left" w:pos="5580"/>
              </w:tabs>
              <w:spacing w:line="360" w:lineRule="auto"/>
              <w:jc w:val="left"/>
              <w:rPr>
                <w:rFonts w:hint="eastAsia" w:ascii="宋体" w:hAnsi="宋体"/>
                <w:sz w:val="24"/>
                <w:szCs w:val="20"/>
              </w:rPr>
            </w:pPr>
          </w:p>
          <w:p w14:paraId="64D1FA28">
            <w:pPr>
              <w:tabs>
                <w:tab w:val="left" w:pos="5580"/>
              </w:tabs>
              <w:spacing w:line="360" w:lineRule="auto"/>
              <w:jc w:val="left"/>
              <w:rPr>
                <w:rFonts w:hint="eastAsia" w:ascii="宋体" w:hAnsi="宋体"/>
                <w:sz w:val="24"/>
                <w:szCs w:val="20"/>
              </w:rPr>
            </w:pPr>
          </w:p>
        </w:tc>
        <w:tc>
          <w:tcPr>
            <w:tcW w:w="4536" w:type="dxa"/>
          </w:tcPr>
          <w:p w14:paraId="6676C32B">
            <w:pPr>
              <w:tabs>
                <w:tab w:val="left" w:pos="5580"/>
              </w:tabs>
              <w:spacing w:line="360" w:lineRule="auto"/>
              <w:jc w:val="left"/>
              <w:rPr>
                <w:rFonts w:hint="eastAsia" w:ascii="宋体" w:hAnsi="宋体"/>
                <w:sz w:val="24"/>
                <w:szCs w:val="20"/>
              </w:rPr>
            </w:pPr>
          </w:p>
          <w:p w14:paraId="752A4560">
            <w:pPr>
              <w:tabs>
                <w:tab w:val="left" w:pos="5580"/>
              </w:tabs>
              <w:spacing w:line="360" w:lineRule="auto"/>
              <w:jc w:val="left"/>
              <w:rPr>
                <w:rFonts w:hint="eastAsia" w:ascii="宋体" w:hAnsi="宋体"/>
                <w:sz w:val="24"/>
                <w:szCs w:val="20"/>
              </w:rPr>
            </w:pPr>
          </w:p>
          <w:p w14:paraId="71B45E45">
            <w:pPr>
              <w:tabs>
                <w:tab w:val="left" w:pos="5580"/>
              </w:tabs>
              <w:spacing w:line="360" w:lineRule="auto"/>
              <w:jc w:val="left"/>
              <w:rPr>
                <w:rFonts w:hint="eastAsia" w:ascii="宋体" w:hAnsi="宋体"/>
                <w:sz w:val="24"/>
                <w:szCs w:val="20"/>
              </w:rPr>
            </w:pPr>
          </w:p>
        </w:tc>
      </w:tr>
    </w:tbl>
    <w:p w14:paraId="7B181677">
      <w:pPr>
        <w:tabs>
          <w:tab w:val="left" w:pos="5580"/>
        </w:tabs>
        <w:spacing w:line="360" w:lineRule="auto"/>
        <w:jc w:val="left"/>
        <w:rPr>
          <w:rFonts w:hint="eastAsia" w:ascii="宋体" w:hAnsi="宋体"/>
          <w:sz w:val="24"/>
          <w:szCs w:val="20"/>
        </w:rPr>
      </w:pPr>
      <w:r>
        <w:rPr>
          <w:rFonts w:ascii="宋体" w:hAnsi="宋体"/>
          <w:sz w:val="24"/>
          <w:szCs w:val="20"/>
        </w:rPr>
        <w:t>说明：</w:t>
      </w:r>
    </w:p>
    <w:p w14:paraId="6622D4DB">
      <w:pPr>
        <w:tabs>
          <w:tab w:val="left" w:pos="5580"/>
        </w:tabs>
        <w:spacing w:line="360" w:lineRule="auto"/>
        <w:jc w:val="left"/>
        <w:rPr>
          <w:rFonts w:hint="eastAsia" w:ascii="宋体" w:hAnsi="宋体"/>
          <w:sz w:val="24"/>
          <w:szCs w:val="20"/>
        </w:rPr>
      </w:pPr>
      <w:r>
        <w:rPr>
          <w:rFonts w:ascii="宋体" w:hAnsi="宋体"/>
          <w:sz w:val="24"/>
          <w:szCs w:val="20"/>
        </w:rPr>
        <w:t>1.若供应商为事业单位或其他组织或分支机构（仅当磋商文件注明允许分支机构响应的），则法定代表人（单位负责人）处的签署人可为单位负责人。</w:t>
      </w:r>
    </w:p>
    <w:p w14:paraId="614CB8B0">
      <w:pPr>
        <w:tabs>
          <w:tab w:val="left" w:pos="5580"/>
        </w:tabs>
        <w:spacing w:line="360" w:lineRule="auto"/>
        <w:jc w:val="left"/>
        <w:rPr>
          <w:rFonts w:hint="eastAsia" w:ascii="宋体" w:hAnsi="宋体"/>
          <w:sz w:val="24"/>
          <w:szCs w:val="20"/>
        </w:rPr>
      </w:pPr>
      <w:r>
        <w:rPr>
          <w:rFonts w:ascii="宋体" w:hAnsi="宋体"/>
          <w:sz w:val="24"/>
          <w:szCs w:val="20"/>
        </w:rPr>
        <w:t>2.若响应文件中签字之处均为法定代表人（单位负责人）本人签署，则可不提供本《授权委托书》，但须提供《法定代表人（单位负责人）身份证明》（实质性格式）。</w:t>
      </w:r>
    </w:p>
    <w:p w14:paraId="57561DB0">
      <w:pPr>
        <w:tabs>
          <w:tab w:val="left" w:pos="5580"/>
        </w:tabs>
        <w:spacing w:line="360" w:lineRule="auto"/>
        <w:rPr>
          <w:rFonts w:hint="eastAsia" w:ascii="宋体" w:hAnsi="宋体"/>
          <w:sz w:val="24"/>
          <w:szCs w:val="20"/>
        </w:rPr>
      </w:pPr>
      <w:r>
        <w:rPr>
          <w:rFonts w:ascii="宋体" w:hAnsi="宋体"/>
          <w:sz w:val="24"/>
          <w:szCs w:val="20"/>
        </w:rPr>
        <w:t>3.供应商为自然人的情形，可不提供本《授权委托书》。</w:t>
      </w:r>
    </w:p>
    <w:p w14:paraId="1DBDDC68">
      <w:pPr>
        <w:widowControl/>
        <w:jc w:val="left"/>
        <w:rPr>
          <w:rFonts w:hint="eastAsia" w:ascii="宋体" w:hAnsi="宋体"/>
          <w:sz w:val="24"/>
          <w:szCs w:val="20"/>
        </w:rPr>
      </w:pPr>
      <w:r>
        <w:rPr>
          <w:rFonts w:ascii="宋体" w:hAnsi="宋体"/>
          <w:sz w:val="24"/>
          <w:szCs w:val="20"/>
        </w:rPr>
        <w:br w:type="page"/>
      </w:r>
    </w:p>
    <w:p w14:paraId="17BD31BD">
      <w:pPr>
        <w:autoSpaceDE w:val="0"/>
        <w:autoSpaceDN w:val="0"/>
        <w:adjustRightInd w:val="0"/>
        <w:spacing w:line="360" w:lineRule="auto"/>
        <w:jc w:val="center"/>
        <w:rPr>
          <w:rFonts w:hint="eastAsia" w:ascii="宋体" w:hAnsi="宋体"/>
          <w:b/>
          <w:sz w:val="36"/>
          <w:szCs w:val="36"/>
        </w:rPr>
      </w:pPr>
      <w:r>
        <w:rPr>
          <w:rFonts w:hint="eastAsia" w:ascii="宋体" w:hAnsi="宋体"/>
          <w:b/>
          <w:sz w:val="36"/>
          <w:szCs w:val="36"/>
        </w:rPr>
        <w:t>附：法定代表人（单位负责人）身份证明</w:t>
      </w:r>
    </w:p>
    <w:p w14:paraId="5029DCBA">
      <w:pPr>
        <w:kinsoku w:val="0"/>
        <w:overflowPunct w:val="0"/>
        <w:spacing w:line="200" w:lineRule="exact"/>
        <w:rPr>
          <w:rFonts w:hint="eastAsia" w:ascii="宋体" w:hAnsi="宋体"/>
          <w:sz w:val="20"/>
          <w:szCs w:val="20"/>
        </w:rPr>
      </w:pPr>
    </w:p>
    <w:p w14:paraId="7105A6D5">
      <w:pPr>
        <w:tabs>
          <w:tab w:val="left" w:pos="5580"/>
        </w:tabs>
        <w:spacing w:line="360" w:lineRule="auto"/>
        <w:rPr>
          <w:rFonts w:hint="eastAsia" w:ascii="宋体" w:hAnsi="宋体"/>
          <w:sz w:val="24"/>
          <w:u w:val="none"/>
        </w:rPr>
      </w:pPr>
      <w:r>
        <w:rPr>
          <w:rFonts w:ascii="宋体" w:hAnsi="宋体"/>
          <w:sz w:val="24"/>
        </w:rPr>
        <w:t>致</w:t>
      </w:r>
      <w:r>
        <w:rPr>
          <w:rFonts w:ascii="宋体" w:hAnsi="宋体"/>
          <w:sz w:val="24"/>
          <w:u w:val="none"/>
        </w:rPr>
        <w:t>：</w:t>
      </w:r>
      <w:r>
        <w:rPr>
          <w:rFonts w:ascii="宋体" w:hAnsi="宋体"/>
          <w:sz w:val="24"/>
          <w:u w:val="single"/>
        </w:rPr>
        <w:t>采购人</w:t>
      </w:r>
    </w:p>
    <w:p w14:paraId="00DE1C5D">
      <w:pPr>
        <w:pStyle w:val="17"/>
        <w:tabs>
          <w:tab w:val="left" w:pos="2412"/>
          <w:tab w:val="left" w:pos="3883"/>
          <w:tab w:val="left" w:pos="5352"/>
          <w:tab w:val="left" w:pos="6821"/>
        </w:tabs>
        <w:kinsoku w:val="0"/>
        <w:overflowPunct w:val="0"/>
        <w:spacing w:line="335" w:lineRule="exact"/>
        <w:ind w:firstLine="480" w:firstLineChars="200"/>
        <w:rPr>
          <w:rFonts w:hint="eastAsia"/>
          <w:u w:val="none"/>
        </w:rPr>
      </w:pPr>
      <w:r>
        <w:rPr>
          <w:u w:val="none"/>
        </w:rPr>
        <w:t>兹证明，</w:t>
      </w:r>
    </w:p>
    <w:p w14:paraId="63F2CD50">
      <w:pPr>
        <w:pStyle w:val="17"/>
        <w:tabs>
          <w:tab w:val="left" w:pos="1690"/>
          <w:tab w:val="left" w:pos="3400"/>
          <w:tab w:val="left" w:pos="5110"/>
          <w:tab w:val="left" w:pos="6821"/>
        </w:tabs>
        <w:kinsoku w:val="0"/>
        <w:overflowPunct w:val="0"/>
        <w:spacing w:line="335" w:lineRule="exact"/>
        <w:rPr>
          <w:rFonts w:hint="eastAsia"/>
          <w:u w:val="none"/>
        </w:rPr>
      </w:pPr>
      <w:r>
        <w:rPr>
          <w:u w:val="none"/>
        </w:rPr>
        <w:t>姓名：</w:t>
      </w:r>
      <w:r>
        <w:rPr>
          <w:szCs w:val="20"/>
          <w:u w:val="none"/>
        </w:rPr>
        <w:t>____</w:t>
      </w:r>
      <w:r>
        <w:rPr>
          <w:u w:val="none"/>
        </w:rPr>
        <w:t>性别：</w:t>
      </w:r>
      <w:r>
        <w:rPr>
          <w:szCs w:val="20"/>
          <w:u w:val="none"/>
        </w:rPr>
        <w:t>____</w:t>
      </w:r>
      <w:r>
        <w:rPr>
          <w:u w:val="none"/>
        </w:rPr>
        <w:t>年龄：</w:t>
      </w:r>
      <w:r>
        <w:rPr>
          <w:szCs w:val="20"/>
          <w:u w:val="none"/>
        </w:rPr>
        <w:t>____</w:t>
      </w:r>
      <w:r>
        <w:rPr>
          <w:u w:val="none"/>
        </w:rPr>
        <w:t>职务：</w:t>
      </w:r>
      <w:r>
        <w:rPr>
          <w:szCs w:val="20"/>
          <w:u w:val="none"/>
        </w:rPr>
        <w:t>____</w:t>
      </w:r>
    </w:p>
    <w:p w14:paraId="74BB525F">
      <w:pPr>
        <w:pStyle w:val="17"/>
        <w:tabs>
          <w:tab w:val="left" w:pos="2412"/>
          <w:tab w:val="left" w:pos="3883"/>
          <w:tab w:val="left" w:pos="5352"/>
          <w:tab w:val="left" w:pos="6821"/>
        </w:tabs>
        <w:kinsoku w:val="0"/>
        <w:overflowPunct w:val="0"/>
        <w:spacing w:line="335" w:lineRule="exact"/>
        <w:rPr>
          <w:rFonts w:hint="eastAsia"/>
          <w:u w:val="none"/>
        </w:rPr>
      </w:pPr>
    </w:p>
    <w:p w14:paraId="515409C9">
      <w:pPr>
        <w:pStyle w:val="17"/>
        <w:tabs>
          <w:tab w:val="left" w:pos="2250"/>
          <w:tab w:val="left" w:pos="2412"/>
          <w:tab w:val="left" w:pos="3883"/>
          <w:tab w:val="left" w:pos="5352"/>
          <w:tab w:val="left" w:pos="6821"/>
          <w:tab w:val="clear" w:pos="567"/>
        </w:tabs>
        <w:kinsoku w:val="0"/>
        <w:overflowPunct w:val="0"/>
        <w:spacing w:line="335" w:lineRule="exact"/>
        <w:rPr>
          <w:rFonts w:hint="eastAsia"/>
          <w:u w:val="none"/>
        </w:rPr>
      </w:pPr>
      <w:r>
        <w:rPr>
          <w:u w:val="none"/>
        </w:rPr>
        <w:t>系</w:t>
      </w:r>
      <w:r>
        <w:rPr>
          <w:szCs w:val="20"/>
          <w:u w:val="none"/>
        </w:rPr>
        <w:t>__________</w:t>
      </w:r>
      <w:r>
        <w:rPr>
          <w:u w:val="none"/>
        </w:rPr>
        <w:t>（供应商名称）的法定代表人（单位负责人）。</w:t>
      </w:r>
    </w:p>
    <w:p w14:paraId="200846DA">
      <w:pPr>
        <w:pStyle w:val="17"/>
        <w:tabs>
          <w:tab w:val="left" w:pos="2412"/>
          <w:tab w:val="left" w:pos="3883"/>
          <w:tab w:val="left" w:pos="5352"/>
          <w:tab w:val="left" w:pos="6821"/>
        </w:tabs>
        <w:kinsoku w:val="0"/>
        <w:overflowPunct w:val="0"/>
        <w:spacing w:line="335" w:lineRule="exact"/>
        <w:rPr>
          <w:rFonts w:hint="eastAsia"/>
          <w:u w:val="none"/>
        </w:rPr>
      </w:pPr>
    </w:p>
    <w:p w14:paraId="7892E312">
      <w:pPr>
        <w:pStyle w:val="17"/>
        <w:kinsoku w:val="0"/>
        <w:overflowPunct w:val="0"/>
        <w:spacing w:line="583" w:lineRule="auto"/>
        <w:ind w:right="-46"/>
        <w:rPr>
          <w:rFonts w:hint="eastAsia"/>
          <w:spacing w:val="-3"/>
          <w:u w:val="none"/>
        </w:rPr>
      </w:pPr>
      <w:r>
        <w:rPr>
          <w:u w:val="none"/>
        </w:rPr>
        <w:t>附：</w:t>
      </w:r>
      <w:r>
        <w:rPr>
          <w:spacing w:val="-3"/>
          <w:u w:val="none"/>
        </w:rPr>
        <w:t>法</w:t>
      </w:r>
      <w:r>
        <w:rPr>
          <w:u w:val="none"/>
        </w:rPr>
        <w:t>定</w:t>
      </w:r>
      <w:r>
        <w:rPr>
          <w:spacing w:val="-3"/>
          <w:u w:val="none"/>
        </w:rPr>
        <w:t>代</w:t>
      </w:r>
      <w:r>
        <w:rPr>
          <w:u w:val="none"/>
        </w:rPr>
        <w:t>表</w:t>
      </w:r>
      <w:r>
        <w:rPr>
          <w:spacing w:val="-3"/>
          <w:u w:val="none"/>
        </w:rPr>
        <w:t>人</w:t>
      </w:r>
      <w:r>
        <w:rPr>
          <w:u w:val="none"/>
        </w:rPr>
        <w:t>（</w:t>
      </w:r>
      <w:r>
        <w:rPr>
          <w:spacing w:val="-3"/>
          <w:u w:val="none"/>
        </w:rPr>
        <w:t>单</w:t>
      </w:r>
      <w:r>
        <w:rPr>
          <w:u w:val="none"/>
        </w:rPr>
        <w:t>位</w:t>
      </w:r>
      <w:r>
        <w:rPr>
          <w:spacing w:val="-3"/>
          <w:u w:val="none"/>
        </w:rPr>
        <w:t>负</w:t>
      </w:r>
      <w:r>
        <w:rPr>
          <w:u w:val="none"/>
        </w:rPr>
        <w:t>责人</w:t>
      </w:r>
      <w:r>
        <w:rPr>
          <w:spacing w:val="-3"/>
          <w:u w:val="none"/>
        </w:rPr>
        <w:t>）有效期内的身份证正反面电子件。</w:t>
      </w:r>
    </w:p>
    <w:tbl>
      <w:tblPr>
        <w:tblStyle w:val="44"/>
        <w:tblW w:w="91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82"/>
        <w:gridCol w:w="4611"/>
      </w:tblGrid>
      <w:tr w14:paraId="4F1FB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3" w:hRule="atLeast"/>
        </w:trPr>
        <w:tc>
          <w:tcPr>
            <w:tcW w:w="4582" w:type="dxa"/>
          </w:tcPr>
          <w:p w14:paraId="361E2D7D">
            <w:pPr>
              <w:tabs>
                <w:tab w:val="left" w:pos="5580"/>
              </w:tabs>
              <w:spacing w:line="360" w:lineRule="auto"/>
              <w:jc w:val="left"/>
              <w:rPr>
                <w:rFonts w:hint="eastAsia" w:ascii="宋体" w:hAnsi="宋体"/>
                <w:sz w:val="24"/>
                <w:szCs w:val="20"/>
                <w:u w:val="none"/>
              </w:rPr>
            </w:pPr>
          </w:p>
          <w:p w14:paraId="3EC3E94E">
            <w:pPr>
              <w:tabs>
                <w:tab w:val="left" w:pos="5580"/>
              </w:tabs>
              <w:spacing w:line="360" w:lineRule="auto"/>
              <w:jc w:val="left"/>
              <w:rPr>
                <w:rFonts w:hint="eastAsia" w:ascii="宋体" w:hAnsi="宋体"/>
                <w:sz w:val="24"/>
                <w:szCs w:val="20"/>
                <w:u w:val="none"/>
              </w:rPr>
            </w:pPr>
          </w:p>
          <w:p w14:paraId="7CDA2774">
            <w:pPr>
              <w:tabs>
                <w:tab w:val="left" w:pos="5580"/>
              </w:tabs>
              <w:spacing w:line="360" w:lineRule="auto"/>
              <w:jc w:val="left"/>
              <w:rPr>
                <w:rFonts w:hint="eastAsia" w:ascii="宋体" w:hAnsi="宋体"/>
                <w:sz w:val="24"/>
                <w:szCs w:val="20"/>
                <w:u w:val="none"/>
              </w:rPr>
            </w:pPr>
          </w:p>
        </w:tc>
        <w:tc>
          <w:tcPr>
            <w:tcW w:w="4611" w:type="dxa"/>
          </w:tcPr>
          <w:p w14:paraId="58289057">
            <w:pPr>
              <w:tabs>
                <w:tab w:val="left" w:pos="5580"/>
              </w:tabs>
              <w:spacing w:line="360" w:lineRule="auto"/>
              <w:jc w:val="left"/>
              <w:rPr>
                <w:rFonts w:hint="eastAsia" w:ascii="宋体" w:hAnsi="宋体"/>
                <w:sz w:val="24"/>
                <w:szCs w:val="20"/>
                <w:u w:val="none"/>
              </w:rPr>
            </w:pPr>
          </w:p>
          <w:p w14:paraId="2736358B">
            <w:pPr>
              <w:tabs>
                <w:tab w:val="left" w:pos="5580"/>
              </w:tabs>
              <w:spacing w:line="360" w:lineRule="auto"/>
              <w:jc w:val="left"/>
              <w:rPr>
                <w:rFonts w:hint="eastAsia" w:ascii="宋体" w:hAnsi="宋体"/>
                <w:sz w:val="24"/>
                <w:szCs w:val="20"/>
                <w:u w:val="none"/>
              </w:rPr>
            </w:pPr>
          </w:p>
          <w:p w14:paraId="65B0EA76">
            <w:pPr>
              <w:tabs>
                <w:tab w:val="left" w:pos="5580"/>
              </w:tabs>
              <w:spacing w:line="360" w:lineRule="auto"/>
              <w:jc w:val="left"/>
              <w:rPr>
                <w:rFonts w:hint="eastAsia" w:ascii="宋体" w:hAnsi="宋体"/>
                <w:sz w:val="24"/>
                <w:szCs w:val="20"/>
                <w:u w:val="none"/>
              </w:rPr>
            </w:pPr>
          </w:p>
        </w:tc>
      </w:tr>
    </w:tbl>
    <w:p w14:paraId="0DBC1282">
      <w:pPr>
        <w:pStyle w:val="17"/>
        <w:kinsoku w:val="0"/>
        <w:overflowPunct w:val="0"/>
        <w:spacing w:line="583" w:lineRule="auto"/>
        <w:ind w:right="4305"/>
        <w:rPr>
          <w:rFonts w:hint="eastAsia"/>
          <w:spacing w:val="-3"/>
          <w:u w:val="none"/>
        </w:rPr>
      </w:pPr>
    </w:p>
    <w:p w14:paraId="031EBB1B">
      <w:pPr>
        <w:autoSpaceDE w:val="0"/>
        <w:autoSpaceDN w:val="0"/>
        <w:adjustRightInd w:val="0"/>
        <w:snapToGrid w:val="0"/>
        <w:spacing w:line="360" w:lineRule="auto"/>
        <w:rPr>
          <w:rFonts w:hint="eastAsia" w:ascii="宋体" w:hAnsi="宋体"/>
          <w:sz w:val="24"/>
          <w:u w:val="none"/>
          <w:lang w:val="zh-CN"/>
        </w:rPr>
      </w:pPr>
      <w:r>
        <w:rPr>
          <w:rFonts w:ascii="宋体" w:hAnsi="宋体"/>
          <w:sz w:val="24"/>
          <w:u w:val="none"/>
        </w:rPr>
        <w:t>供应商名称（加盖公章）</w:t>
      </w:r>
      <w:r>
        <w:rPr>
          <w:rFonts w:ascii="宋体" w:hAnsi="宋体"/>
          <w:sz w:val="24"/>
          <w:u w:val="none"/>
          <w:lang w:val="zh-CN"/>
        </w:rPr>
        <w:t>：</w:t>
      </w:r>
      <w:r>
        <w:rPr>
          <w:rFonts w:ascii="宋体" w:hAnsi="宋体"/>
          <w:sz w:val="24"/>
          <w:u w:val="none"/>
        </w:rPr>
        <w:t>______</w:t>
      </w:r>
    </w:p>
    <w:p w14:paraId="4CFC9EEC">
      <w:pPr>
        <w:autoSpaceDE w:val="0"/>
        <w:autoSpaceDN w:val="0"/>
        <w:adjustRightInd w:val="0"/>
        <w:snapToGrid w:val="0"/>
        <w:spacing w:line="360" w:lineRule="auto"/>
        <w:rPr>
          <w:rFonts w:hint="eastAsia" w:ascii="宋体" w:hAnsi="宋体"/>
          <w:sz w:val="24"/>
          <w:u w:val="none"/>
          <w:lang w:val="zh-CN"/>
        </w:rPr>
      </w:pPr>
      <w:r>
        <w:rPr>
          <w:rFonts w:ascii="宋体" w:hAnsi="宋体"/>
          <w:spacing w:val="-3"/>
          <w:sz w:val="24"/>
          <w:u w:val="none"/>
        </w:rPr>
        <w:t>法定代表人（</w:t>
      </w:r>
      <w:r>
        <w:rPr>
          <w:rFonts w:ascii="宋体" w:hAnsi="宋体"/>
          <w:sz w:val="24"/>
          <w:u w:val="none"/>
        </w:rPr>
        <w:t>单位负责人</w:t>
      </w:r>
      <w:r>
        <w:rPr>
          <w:rFonts w:ascii="宋体" w:hAnsi="宋体"/>
          <w:spacing w:val="-3"/>
          <w:sz w:val="24"/>
          <w:u w:val="none"/>
        </w:rPr>
        <w:t>）（</w:t>
      </w:r>
      <w:r>
        <w:rPr>
          <w:rFonts w:ascii="宋体" w:hAnsi="宋体"/>
          <w:sz w:val="24"/>
          <w:szCs w:val="20"/>
          <w:u w:val="none"/>
        </w:rPr>
        <w:t>签字</w:t>
      </w:r>
      <w:r>
        <w:rPr>
          <w:rFonts w:hint="eastAsia" w:ascii="宋体" w:hAnsi="宋体"/>
          <w:sz w:val="24"/>
          <w:szCs w:val="20"/>
          <w:u w:val="none"/>
        </w:rPr>
        <w:t>或签章</w:t>
      </w:r>
      <w:r>
        <w:rPr>
          <w:rFonts w:ascii="宋体" w:hAnsi="宋体"/>
          <w:spacing w:val="-3"/>
          <w:sz w:val="24"/>
          <w:u w:val="none"/>
        </w:rPr>
        <w:t>）：</w:t>
      </w:r>
      <w:r>
        <w:rPr>
          <w:rFonts w:ascii="宋体" w:hAnsi="宋体"/>
          <w:sz w:val="24"/>
          <w:u w:val="none"/>
        </w:rPr>
        <w:t>______</w:t>
      </w:r>
    </w:p>
    <w:p w14:paraId="1269B2B5">
      <w:pPr>
        <w:autoSpaceDE w:val="0"/>
        <w:autoSpaceDN w:val="0"/>
        <w:adjustRightInd w:val="0"/>
        <w:snapToGrid w:val="0"/>
        <w:spacing w:line="360" w:lineRule="auto"/>
        <w:rPr>
          <w:rFonts w:hint="eastAsia" w:ascii="宋体" w:hAnsi="宋体"/>
          <w:sz w:val="24"/>
          <w:u w:val="none"/>
          <w:lang w:val="zh-CN"/>
        </w:rPr>
      </w:pPr>
      <w:r>
        <w:rPr>
          <w:rFonts w:ascii="宋体" w:hAnsi="宋体"/>
          <w:sz w:val="24"/>
          <w:u w:val="none"/>
        </w:rPr>
        <w:t>日期：</w:t>
      </w:r>
      <w:r>
        <w:rPr>
          <w:rFonts w:ascii="宋体" w:hAnsi="宋体"/>
          <w:sz w:val="24"/>
          <w:szCs w:val="20"/>
          <w:u w:val="none"/>
        </w:rPr>
        <w:t>____年____月____日</w:t>
      </w:r>
    </w:p>
    <w:p w14:paraId="7BF9949B">
      <w:pPr>
        <w:tabs>
          <w:tab w:val="left" w:pos="5580"/>
        </w:tabs>
        <w:spacing w:line="360" w:lineRule="auto"/>
        <w:rPr>
          <w:rFonts w:hint="eastAsia" w:ascii="宋体" w:hAnsi="宋体"/>
          <w:sz w:val="24"/>
        </w:rPr>
      </w:pPr>
    </w:p>
    <w:p w14:paraId="30C6E9C2">
      <w:pPr>
        <w:widowControl/>
        <w:jc w:val="left"/>
        <w:rPr>
          <w:rFonts w:hint="eastAsia" w:ascii="宋体" w:hAnsi="宋体"/>
          <w:sz w:val="24"/>
        </w:rPr>
      </w:pPr>
      <w:r>
        <w:rPr>
          <w:rFonts w:ascii="宋体" w:hAnsi="宋体"/>
          <w:sz w:val="24"/>
        </w:rPr>
        <w:br w:type="page"/>
      </w:r>
    </w:p>
    <w:p w14:paraId="501C83E2">
      <w:pPr>
        <w:tabs>
          <w:tab w:val="left" w:pos="360"/>
        </w:tabs>
        <w:snapToGrid w:val="0"/>
        <w:spacing w:line="360" w:lineRule="auto"/>
        <w:outlineLvl w:val="1"/>
        <w:rPr>
          <w:rFonts w:hint="eastAsia" w:ascii="宋体" w:hAnsi="宋体"/>
          <w:sz w:val="24"/>
        </w:rPr>
      </w:pPr>
      <w:r>
        <w:rPr>
          <w:rFonts w:hint="eastAsia" w:ascii="宋体" w:hAnsi="宋体"/>
          <w:sz w:val="24"/>
        </w:rPr>
        <w:t>6</w:t>
      </w:r>
      <w:r>
        <w:rPr>
          <w:rFonts w:ascii="宋体" w:hAnsi="宋体"/>
          <w:sz w:val="24"/>
        </w:rPr>
        <w:t xml:space="preserve"> </w:t>
      </w:r>
      <w:bookmarkEnd w:id="2168"/>
      <w:bookmarkEnd w:id="2169"/>
      <w:r>
        <w:rPr>
          <w:rFonts w:ascii="宋体" w:hAnsi="宋体"/>
          <w:sz w:val="24"/>
        </w:rPr>
        <w:t>响应书</w:t>
      </w:r>
      <w:bookmarkEnd w:id="2170"/>
      <w:bookmarkEnd w:id="2171"/>
      <w:bookmarkEnd w:id="2172"/>
      <w:bookmarkEnd w:id="2173"/>
      <w:bookmarkEnd w:id="2174"/>
      <w:bookmarkEnd w:id="2175"/>
      <w:bookmarkEnd w:id="2176"/>
      <w:bookmarkEnd w:id="2177"/>
      <w:bookmarkEnd w:id="2178"/>
      <w:bookmarkEnd w:id="2179"/>
    </w:p>
    <w:p w14:paraId="70FC4B91">
      <w:pPr>
        <w:spacing w:line="360" w:lineRule="auto"/>
        <w:jc w:val="center"/>
        <w:rPr>
          <w:rFonts w:hint="eastAsia" w:ascii="宋体" w:hAnsi="宋体"/>
          <w:b/>
          <w:sz w:val="36"/>
          <w:szCs w:val="36"/>
        </w:rPr>
      </w:pPr>
      <w:r>
        <w:rPr>
          <w:rFonts w:hint="eastAsia" w:ascii="宋体" w:hAnsi="宋体"/>
          <w:b/>
          <w:sz w:val="36"/>
          <w:szCs w:val="36"/>
        </w:rPr>
        <w:t>响应书</w:t>
      </w:r>
    </w:p>
    <w:p w14:paraId="19EBEB0C">
      <w:pPr>
        <w:tabs>
          <w:tab w:val="left" w:pos="5580"/>
        </w:tabs>
        <w:spacing w:line="360" w:lineRule="auto"/>
        <w:rPr>
          <w:rFonts w:hint="eastAsia" w:ascii="宋体" w:hAnsi="宋体"/>
          <w:sz w:val="24"/>
        </w:rPr>
      </w:pPr>
      <w:r>
        <w:rPr>
          <w:rFonts w:ascii="宋体" w:hAnsi="宋体"/>
          <w:sz w:val="24"/>
        </w:rPr>
        <w:t>致：</w:t>
      </w:r>
      <w:r>
        <w:rPr>
          <w:rFonts w:ascii="宋体" w:hAnsi="宋体"/>
          <w:sz w:val="24"/>
          <w:u w:val="single"/>
        </w:rPr>
        <w:t>采购人</w:t>
      </w:r>
    </w:p>
    <w:p w14:paraId="0AA4D818">
      <w:pPr>
        <w:tabs>
          <w:tab w:val="left" w:pos="5580"/>
        </w:tabs>
        <w:spacing w:line="360" w:lineRule="auto"/>
        <w:rPr>
          <w:rFonts w:hint="eastAsia" w:ascii="宋体" w:hAnsi="宋体"/>
          <w:sz w:val="24"/>
          <w:szCs w:val="20"/>
        </w:rPr>
      </w:pPr>
    </w:p>
    <w:p w14:paraId="7E34EE7B">
      <w:pPr>
        <w:tabs>
          <w:tab w:val="left" w:pos="5580"/>
        </w:tabs>
        <w:spacing w:line="360" w:lineRule="auto"/>
        <w:ind w:firstLine="408"/>
        <w:rPr>
          <w:rFonts w:hint="eastAsia" w:ascii="宋体" w:hAnsi="宋体"/>
          <w:sz w:val="24"/>
          <w:szCs w:val="20"/>
        </w:rPr>
      </w:pPr>
      <w:r>
        <w:rPr>
          <w:rFonts w:ascii="宋体" w:hAnsi="宋体"/>
          <w:sz w:val="24"/>
          <w:szCs w:val="20"/>
        </w:rPr>
        <w:t>在考察现场并充分研究</w:t>
      </w:r>
      <w:r>
        <w:rPr>
          <w:rFonts w:hint="eastAsia" w:ascii="宋体" w:hAnsi="宋体"/>
          <w:sz w:val="24"/>
          <w:szCs w:val="20"/>
          <w:u w:val="single"/>
        </w:rPr>
        <w:t xml:space="preserve">               </w:t>
      </w:r>
      <w:r>
        <w:rPr>
          <w:rFonts w:ascii="宋体" w:hAnsi="宋体"/>
          <w:sz w:val="24"/>
          <w:szCs w:val="20"/>
        </w:rPr>
        <w:t>（项目名称）竞争性磋商文件的全部内容后。</w:t>
      </w:r>
    </w:p>
    <w:p w14:paraId="4E3B47B5">
      <w:pPr>
        <w:tabs>
          <w:tab w:val="left" w:pos="5580"/>
        </w:tabs>
        <w:spacing w:line="360" w:lineRule="auto"/>
        <w:ind w:firstLine="408"/>
        <w:rPr>
          <w:rFonts w:hint="eastAsia" w:ascii="宋体" w:hAnsi="宋体"/>
          <w:sz w:val="24"/>
          <w:szCs w:val="20"/>
        </w:rPr>
      </w:pPr>
      <w:r>
        <w:rPr>
          <w:rFonts w:ascii="宋体" w:hAnsi="宋体"/>
          <w:sz w:val="24"/>
          <w:szCs w:val="20"/>
        </w:rPr>
        <w:t>我方兹以：</w:t>
      </w:r>
    </w:p>
    <w:p w14:paraId="5CD6AE59">
      <w:pPr>
        <w:tabs>
          <w:tab w:val="left" w:pos="5580"/>
        </w:tabs>
        <w:spacing w:line="360" w:lineRule="auto"/>
        <w:ind w:firstLine="408"/>
        <w:rPr>
          <w:rFonts w:hint="eastAsia" w:ascii="宋体" w:hAnsi="宋体"/>
          <w:sz w:val="24"/>
          <w:szCs w:val="20"/>
          <w:u w:val="single"/>
        </w:rPr>
      </w:pPr>
      <w:r>
        <w:rPr>
          <w:rFonts w:ascii="宋体" w:hAnsi="宋体"/>
          <w:sz w:val="24"/>
          <w:szCs w:val="20"/>
        </w:rPr>
        <w:t>人民币（大写）：</w:t>
      </w:r>
      <w:r>
        <w:rPr>
          <w:rFonts w:hint="eastAsia" w:ascii="宋体" w:hAnsi="宋体"/>
          <w:sz w:val="24"/>
          <w:szCs w:val="20"/>
          <w:u w:val="single"/>
        </w:rPr>
        <w:t xml:space="preserve">                      </w:t>
      </w:r>
    </w:p>
    <w:p w14:paraId="3BED6FC0">
      <w:pPr>
        <w:tabs>
          <w:tab w:val="left" w:pos="5580"/>
        </w:tabs>
        <w:spacing w:line="360" w:lineRule="auto"/>
        <w:ind w:firstLine="408"/>
        <w:rPr>
          <w:rFonts w:hint="eastAsia" w:ascii="宋体" w:hAnsi="宋体"/>
          <w:sz w:val="24"/>
          <w:szCs w:val="20"/>
        </w:rPr>
      </w:pPr>
      <w:r>
        <w:rPr>
          <w:rFonts w:ascii="宋体" w:hAnsi="宋体"/>
          <w:sz w:val="24"/>
          <w:szCs w:val="20"/>
        </w:rPr>
        <w:t>RMB￥：</w:t>
      </w:r>
      <w:r>
        <w:rPr>
          <w:rFonts w:ascii="宋体" w:hAnsi="宋体"/>
          <w:sz w:val="24"/>
          <w:szCs w:val="20"/>
          <w:u w:val="single"/>
        </w:rPr>
        <w:t xml:space="preserve"> </w:t>
      </w:r>
      <w:r>
        <w:rPr>
          <w:rFonts w:hint="eastAsia" w:ascii="宋体" w:hAnsi="宋体"/>
          <w:sz w:val="24"/>
          <w:szCs w:val="20"/>
          <w:u w:val="single"/>
        </w:rPr>
        <w:t xml:space="preserve">                           </w:t>
      </w:r>
      <w:r>
        <w:rPr>
          <w:rFonts w:ascii="宋体" w:hAnsi="宋体"/>
          <w:sz w:val="24"/>
          <w:szCs w:val="20"/>
        </w:rPr>
        <w:t>元</w:t>
      </w:r>
    </w:p>
    <w:p w14:paraId="031EAA82">
      <w:pPr>
        <w:tabs>
          <w:tab w:val="left" w:pos="5580"/>
        </w:tabs>
        <w:spacing w:line="360" w:lineRule="auto"/>
        <w:ind w:firstLine="408"/>
        <w:rPr>
          <w:rFonts w:hint="eastAsia" w:ascii="宋体" w:hAnsi="宋体"/>
          <w:sz w:val="24"/>
          <w:szCs w:val="20"/>
        </w:rPr>
      </w:pPr>
      <w:r>
        <w:rPr>
          <w:rFonts w:ascii="宋体" w:hAnsi="宋体"/>
          <w:sz w:val="24"/>
          <w:szCs w:val="20"/>
        </w:rPr>
        <w:t>的报价和按合同约定有权得到的其他金额，并严格按照合同约定，施工、竣工和交付本工程并维修其中的任何缺陷。</w:t>
      </w:r>
    </w:p>
    <w:p w14:paraId="7A5DD369">
      <w:pPr>
        <w:spacing w:line="360" w:lineRule="auto"/>
        <w:ind w:firstLine="480" w:firstLineChars="200"/>
        <w:rPr>
          <w:rFonts w:hint="eastAsia" w:ascii="宋体" w:hAnsi="宋体"/>
          <w:sz w:val="24"/>
          <w:szCs w:val="20"/>
        </w:rPr>
      </w:pPr>
      <w:r>
        <w:rPr>
          <w:rFonts w:ascii="宋体" w:hAnsi="宋体"/>
          <w:sz w:val="24"/>
          <w:szCs w:val="20"/>
        </w:rPr>
        <w:t>如果我方成交，我方保证按照合同约定的开工日期开始本工程的施工，</w:t>
      </w:r>
      <w:r>
        <w:rPr>
          <w:rFonts w:hint="eastAsia" w:ascii="宋体" w:hAnsi="宋体"/>
          <w:sz w:val="24"/>
          <w:szCs w:val="20"/>
          <w:u w:val="single"/>
        </w:rPr>
        <w:t xml:space="preserve">   </w:t>
      </w:r>
      <w:r>
        <w:rPr>
          <w:rFonts w:ascii="宋体" w:hAnsi="宋体"/>
          <w:sz w:val="24"/>
          <w:szCs w:val="20"/>
        </w:rPr>
        <w:t>日历日内竣工，并确保工程质量达到</w:t>
      </w:r>
      <w:r>
        <w:rPr>
          <w:rFonts w:hint="eastAsia" w:ascii="宋体" w:hAnsi="宋体"/>
          <w:sz w:val="24"/>
          <w:szCs w:val="20"/>
          <w:u w:val="single"/>
        </w:rPr>
        <w:t xml:space="preserve">      </w:t>
      </w:r>
      <w:r>
        <w:rPr>
          <w:rFonts w:ascii="宋体" w:hAnsi="宋体"/>
          <w:sz w:val="24"/>
          <w:szCs w:val="20"/>
        </w:rPr>
        <w:t>标准，确保施工现场安全生产标准化管理目标达到_______等级。我方同意本响应函在竞争性磋商文件规定的提交响应文件截止时间后，在竞争性磋商文件规定的响应有效期期满前对我方具有约束力，且随时准备接受你方发出的成交通知书。</w:t>
      </w:r>
    </w:p>
    <w:p w14:paraId="2CFAAD32">
      <w:pPr>
        <w:spacing w:line="360" w:lineRule="auto"/>
        <w:ind w:firstLine="480" w:firstLineChars="200"/>
        <w:rPr>
          <w:rFonts w:hint="eastAsia" w:ascii="宋体" w:hAnsi="宋体"/>
          <w:sz w:val="24"/>
          <w:szCs w:val="20"/>
        </w:rPr>
      </w:pPr>
      <w:r>
        <w:rPr>
          <w:rFonts w:ascii="宋体" w:hAnsi="宋体"/>
          <w:sz w:val="24"/>
          <w:szCs w:val="20"/>
        </w:rPr>
        <w:t>随本响应函递交的响应函附录是本响应函的组成部分，对我方构成约束力。</w:t>
      </w:r>
    </w:p>
    <w:p w14:paraId="7E6F10AF">
      <w:pPr>
        <w:tabs>
          <w:tab w:val="left" w:pos="5580"/>
        </w:tabs>
        <w:spacing w:line="360" w:lineRule="auto"/>
        <w:ind w:firstLine="480" w:firstLineChars="200"/>
        <w:rPr>
          <w:rFonts w:hint="eastAsia" w:ascii="宋体" w:hAnsi="宋体"/>
          <w:sz w:val="24"/>
        </w:rPr>
      </w:pPr>
      <w:r>
        <w:rPr>
          <w:rFonts w:ascii="宋体" w:hAnsi="宋体"/>
          <w:sz w:val="24"/>
        </w:rPr>
        <w:t>在签署协议书之前，你方的成交通知书连同本响应函，对双方具有约束力。</w:t>
      </w:r>
    </w:p>
    <w:p w14:paraId="5C7606C5">
      <w:pPr>
        <w:tabs>
          <w:tab w:val="left" w:pos="5580"/>
        </w:tabs>
        <w:spacing w:line="360" w:lineRule="auto"/>
        <w:ind w:firstLine="480" w:firstLineChars="200"/>
        <w:rPr>
          <w:rFonts w:hint="eastAsia" w:ascii="宋体" w:hAnsi="宋体"/>
          <w:sz w:val="24"/>
          <w:szCs w:val="20"/>
        </w:rPr>
      </w:pPr>
      <w:r>
        <w:rPr>
          <w:rFonts w:ascii="宋体" w:hAnsi="宋体"/>
          <w:sz w:val="24"/>
          <w:szCs w:val="20"/>
        </w:rPr>
        <w:t>我方承诺：我方拟派的项目经理为</w:t>
      </w:r>
      <w:r>
        <w:rPr>
          <w:rFonts w:hint="eastAsia" w:ascii="宋体" w:hAnsi="宋体"/>
          <w:sz w:val="24"/>
          <w:szCs w:val="20"/>
          <w:u w:val="single"/>
        </w:rPr>
        <w:t xml:space="preserve">        </w:t>
      </w:r>
      <w:r>
        <w:rPr>
          <w:rFonts w:ascii="宋体" w:hAnsi="宋体"/>
          <w:sz w:val="24"/>
          <w:szCs w:val="20"/>
        </w:rPr>
        <w:t>（姓名）身份证号：</w:t>
      </w:r>
      <w:r>
        <w:rPr>
          <w:rFonts w:hint="eastAsia" w:ascii="宋体" w:hAnsi="宋体"/>
          <w:sz w:val="24"/>
          <w:szCs w:val="20"/>
          <w:u w:val="single"/>
        </w:rPr>
        <w:t xml:space="preserve">         </w:t>
      </w:r>
      <w:r>
        <w:rPr>
          <w:rFonts w:ascii="宋体" w:hAnsi="宋体"/>
          <w:sz w:val="24"/>
          <w:szCs w:val="20"/>
        </w:rPr>
        <w:t>。</w:t>
      </w:r>
    </w:p>
    <w:p w14:paraId="149D54B3">
      <w:pPr>
        <w:tabs>
          <w:tab w:val="left" w:pos="5580"/>
        </w:tabs>
        <w:spacing w:line="360" w:lineRule="auto"/>
        <w:ind w:left="420"/>
        <w:rPr>
          <w:rFonts w:hint="eastAsia" w:ascii="宋体" w:hAnsi="宋体"/>
          <w:sz w:val="24"/>
          <w:szCs w:val="20"/>
        </w:rPr>
      </w:pPr>
    </w:p>
    <w:p w14:paraId="72C717EA">
      <w:pPr>
        <w:tabs>
          <w:tab w:val="left" w:pos="5580"/>
        </w:tabs>
        <w:spacing w:line="360" w:lineRule="auto"/>
        <w:ind w:left="420"/>
        <w:rPr>
          <w:rFonts w:hint="eastAsia" w:ascii="宋体" w:hAnsi="宋体"/>
          <w:sz w:val="24"/>
          <w:szCs w:val="20"/>
        </w:rPr>
      </w:pPr>
    </w:p>
    <w:p w14:paraId="5AED5162">
      <w:pPr>
        <w:tabs>
          <w:tab w:val="left" w:pos="5580"/>
        </w:tabs>
        <w:spacing w:line="360" w:lineRule="auto"/>
        <w:ind w:left="420"/>
        <w:rPr>
          <w:rFonts w:hint="eastAsia" w:ascii="宋体" w:hAnsi="宋体"/>
          <w:sz w:val="24"/>
          <w:szCs w:val="20"/>
        </w:rPr>
      </w:pPr>
    </w:p>
    <w:p w14:paraId="5D5813A9">
      <w:pPr>
        <w:autoSpaceDE w:val="0"/>
        <w:autoSpaceDN w:val="0"/>
        <w:adjustRightInd w:val="0"/>
        <w:snapToGrid w:val="0"/>
        <w:spacing w:before="25" w:after="25" w:line="360" w:lineRule="auto"/>
        <w:ind w:right="360" w:firstLine="360" w:firstLineChars="150"/>
        <w:rPr>
          <w:rFonts w:hint="eastAsia" w:ascii="宋体" w:hAnsi="宋体"/>
          <w:sz w:val="24"/>
          <w:u w:val="none"/>
          <w:lang w:val="zh-CN"/>
        </w:rPr>
      </w:pPr>
      <w:r>
        <w:rPr>
          <w:rFonts w:ascii="宋体" w:hAnsi="宋体"/>
          <w:sz w:val="24"/>
          <w:u w:val="none"/>
        </w:rPr>
        <w:t>供应商名称（加盖公章）</w:t>
      </w:r>
      <w:r>
        <w:rPr>
          <w:rFonts w:ascii="宋体" w:hAnsi="宋体"/>
          <w:sz w:val="24"/>
          <w:u w:val="none"/>
          <w:lang w:val="zh-CN"/>
        </w:rPr>
        <w:t>：</w:t>
      </w:r>
      <w:r>
        <w:rPr>
          <w:rFonts w:ascii="宋体" w:hAnsi="宋体"/>
          <w:sz w:val="24"/>
          <w:u w:val="none"/>
        </w:rPr>
        <w:t>______</w:t>
      </w:r>
    </w:p>
    <w:p w14:paraId="16F72C4A">
      <w:pPr>
        <w:tabs>
          <w:tab w:val="left" w:pos="5580"/>
        </w:tabs>
        <w:spacing w:line="360" w:lineRule="auto"/>
        <w:ind w:firstLine="360" w:firstLineChars="150"/>
        <w:rPr>
          <w:rFonts w:hint="eastAsia" w:ascii="宋体" w:hAnsi="宋体"/>
          <w:sz w:val="24"/>
          <w:szCs w:val="20"/>
          <w:u w:val="none"/>
        </w:rPr>
      </w:pPr>
      <w:r>
        <w:rPr>
          <w:rFonts w:ascii="宋体" w:hAnsi="宋体"/>
          <w:sz w:val="24"/>
          <w:szCs w:val="20"/>
          <w:u w:val="none"/>
        </w:rPr>
        <w:t xml:space="preserve">日期：____年____月____日  </w:t>
      </w:r>
    </w:p>
    <w:p w14:paraId="236AC9F5">
      <w:pPr>
        <w:widowControl/>
        <w:jc w:val="left"/>
        <w:rPr>
          <w:rFonts w:hint="eastAsia" w:ascii="宋体" w:hAnsi="宋体"/>
          <w:sz w:val="24"/>
        </w:rPr>
      </w:pPr>
      <w:r>
        <w:rPr>
          <w:rFonts w:hint="eastAsia" w:ascii="宋体" w:hAnsi="宋体"/>
          <w:sz w:val="24"/>
        </w:rPr>
        <w:br w:type="page"/>
      </w:r>
    </w:p>
    <w:p w14:paraId="28DAD787">
      <w:pPr>
        <w:tabs>
          <w:tab w:val="left" w:pos="360"/>
        </w:tabs>
        <w:snapToGrid w:val="0"/>
        <w:spacing w:line="360" w:lineRule="auto"/>
        <w:outlineLvl w:val="1"/>
        <w:rPr>
          <w:rFonts w:hint="eastAsia" w:ascii="宋体" w:hAnsi="宋体"/>
          <w:sz w:val="24"/>
        </w:rPr>
      </w:pPr>
      <w:r>
        <w:rPr>
          <w:rFonts w:ascii="宋体" w:hAnsi="宋体"/>
          <w:sz w:val="24"/>
        </w:rPr>
        <w:t xml:space="preserve">7 </w:t>
      </w:r>
      <w:r>
        <w:rPr>
          <w:rFonts w:hint="eastAsia" w:ascii="宋体" w:hAnsi="宋体"/>
          <w:sz w:val="24"/>
        </w:rPr>
        <w:t>项目管理机构</w:t>
      </w:r>
    </w:p>
    <w:p w14:paraId="656DE41D">
      <w:pPr>
        <w:autoSpaceDE w:val="0"/>
        <w:autoSpaceDN w:val="0"/>
        <w:adjustRightInd w:val="0"/>
        <w:snapToGrid w:val="0"/>
        <w:spacing w:before="25" w:after="25" w:line="360" w:lineRule="auto"/>
        <w:jc w:val="center"/>
        <w:rPr>
          <w:rFonts w:hint="eastAsia" w:ascii="宋体" w:hAnsi="宋体"/>
          <w:b/>
          <w:bCs/>
          <w:sz w:val="36"/>
          <w:szCs w:val="36"/>
          <w:lang w:val="zh-CN"/>
        </w:rPr>
      </w:pPr>
      <w:r>
        <w:rPr>
          <w:rFonts w:ascii="宋体" w:hAnsi="宋体"/>
          <w:b/>
          <w:bCs/>
          <w:sz w:val="36"/>
          <w:szCs w:val="36"/>
        </w:rPr>
        <w:t>（一）项目管理机构组成表</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4"/>
        <w:gridCol w:w="794"/>
        <w:gridCol w:w="794"/>
        <w:gridCol w:w="1270"/>
        <w:gridCol w:w="851"/>
        <w:gridCol w:w="850"/>
        <w:gridCol w:w="817"/>
        <w:gridCol w:w="1309"/>
        <w:gridCol w:w="851"/>
      </w:tblGrid>
      <w:tr w14:paraId="6C896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794" w:type="dxa"/>
            <w:vMerge w:val="restart"/>
            <w:vAlign w:val="center"/>
          </w:tcPr>
          <w:p w14:paraId="1D070730">
            <w:pPr>
              <w:autoSpaceDE w:val="0"/>
              <w:autoSpaceDN w:val="0"/>
              <w:adjustRightInd w:val="0"/>
              <w:snapToGrid w:val="0"/>
              <w:spacing w:before="25" w:after="25" w:line="360" w:lineRule="auto"/>
              <w:jc w:val="center"/>
              <w:rPr>
                <w:rFonts w:hint="eastAsia" w:ascii="宋体" w:hAnsi="宋体"/>
                <w:kern w:val="0"/>
                <w:sz w:val="24"/>
              </w:rPr>
            </w:pPr>
            <w:r>
              <w:rPr>
                <w:rFonts w:hint="eastAsia" w:ascii="宋体" w:hAnsi="宋体"/>
                <w:kern w:val="0"/>
                <w:sz w:val="24"/>
              </w:rPr>
              <w:t>职务</w:t>
            </w:r>
          </w:p>
        </w:tc>
        <w:tc>
          <w:tcPr>
            <w:tcW w:w="794" w:type="dxa"/>
            <w:vMerge w:val="restart"/>
            <w:vAlign w:val="center"/>
          </w:tcPr>
          <w:p w14:paraId="31AB8319">
            <w:pPr>
              <w:autoSpaceDE w:val="0"/>
              <w:autoSpaceDN w:val="0"/>
              <w:adjustRightInd w:val="0"/>
              <w:snapToGrid w:val="0"/>
              <w:spacing w:before="25" w:after="25" w:line="360" w:lineRule="auto"/>
              <w:jc w:val="center"/>
              <w:rPr>
                <w:rFonts w:hint="eastAsia" w:ascii="宋体" w:hAnsi="宋体"/>
                <w:kern w:val="0"/>
                <w:sz w:val="24"/>
              </w:rPr>
            </w:pPr>
            <w:r>
              <w:rPr>
                <w:rFonts w:hint="eastAsia" w:ascii="宋体" w:hAnsi="宋体"/>
                <w:kern w:val="0"/>
                <w:sz w:val="24"/>
              </w:rPr>
              <w:t>姓名</w:t>
            </w:r>
          </w:p>
        </w:tc>
        <w:tc>
          <w:tcPr>
            <w:tcW w:w="794" w:type="dxa"/>
            <w:vMerge w:val="restart"/>
            <w:vAlign w:val="center"/>
          </w:tcPr>
          <w:p w14:paraId="1BD11493">
            <w:pPr>
              <w:autoSpaceDE w:val="0"/>
              <w:autoSpaceDN w:val="0"/>
              <w:adjustRightInd w:val="0"/>
              <w:snapToGrid w:val="0"/>
              <w:spacing w:before="25" w:after="25" w:line="360" w:lineRule="auto"/>
              <w:jc w:val="center"/>
              <w:rPr>
                <w:rFonts w:hint="eastAsia" w:ascii="宋体" w:hAnsi="宋体"/>
                <w:kern w:val="0"/>
                <w:sz w:val="24"/>
              </w:rPr>
            </w:pPr>
            <w:r>
              <w:rPr>
                <w:rFonts w:hint="eastAsia" w:ascii="宋体" w:hAnsi="宋体"/>
                <w:kern w:val="0"/>
                <w:sz w:val="24"/>
              </w:rPr>
              <w:t>职称</w:t>
            </w:r>
          </w:p>
        </w:tc>
        <w:tc>
          <w:tcPr>
            <w:tcW w:w="5097" w:type="dxa"/>
            <w:gridSpan w:val="5"/>
            <w:vAlign w:val="center"/>
          </w:tcPr>
          <w:p w14:paraId="01D13DA4">
            <w:pPr>
              <w:autoSpaceDE w:val="0"/>
              <w:autoSpaceDN w:val="0"/>
              <w:adjustRightInd w:val="0"/>
              <w:snapToGrid w:val="0"/>
              <w:spacing w:before="25" w:after="25" w:line="360" w:lineRule="auto"/>
              <w:jc w:val="center"/>
              <w:rPr>
                <w:rFonts w:hint="eastAsia" w:ascii="宋体" w:hAnsi="宋体"/>
                <w:kern w:val="0"/>
                <w:sz w:val="24"/>
              </w:rPr>
            </w:pPr>
            <w:r>
              <w:rPr>
                <w:rFonts w:hint="eastAsia" w:ascii="宋体" w:hAnsi="宋体"/>
                <w:kern w:val="0"/>
                <w:sz w:val="24"/>
              </w:rPr>
              <w:t>执业或职业资格证明</w:t>
            </w:r>
          </w:p>
        </w:tc>
        <w:tc>
          <w:tcPr>
            <w:tcW w:w="851" w:type="dxa"/>
            <w:vMerge w:val="restart"/>
            <w:vAlign w:val="center"/>
          </w:tcPr>
          <w:p w14:paraId="53367DEA">
            <w:pPr>
              <w:autoSpaceDE w:val="0"/>
              <w:autoSpaceDN w:val="0"/>
              <w:adjustRightInd w:val="0"/>
              <w:snapToGrid w:val="0"/>
              <w:spacing w:before="25" w:after="25" w:line="360" w:lineRule="auto"/>
              <w:jc w:val="center"/>
              <w:rPr>
                <w:rFonts w:hint="eastAsia" w:ascii="宋体" w:hAnsi="宋体"/>
                <w:kern w:val="0"/>
                <w:sz w:val="24"/>
              </w:rPr>
            </w:pPr>
            <w:r>
              <w:rPr>
                <w:rFonts w:hint="eastAsia" w:ascii="宋体" w:hAnsi="宋体"/>
                <w:kern w:val="0"/>
                <w:sz w:val="24"/>
              </w:rPr>
              <w:t>备注</w:t>
            </w:r>
          </w:p>
        </w:tc>
      </w:tr>
      <w:tr w14:paraId="2785F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4" w:type="dxa"/>
            <w:vMerge w:val="continue"/>
          </w:tcPr>
          <w:p w14:paraId="6DA17AA4">
            <w:pPr>
              <w:autoSpaceDE w:val="0"/>
              <w:autoSpaceDN w:val="0"/>
              <w:adjustRightInd w:val="0"/>
              <w:snapToGrid w:val="0"/>
              <w:spacing w:before="25" w:after="25" w:line="360" w:lineRule="auto"/>
              <w:rPr>
                <w:rFonts w:hint="eastAsia" w:ascii="宋体" w:hAnsi="宋体"/>
                <w:kern w:val="0"/>
                <w:sz w:val="24"/>
              </w:rPr>
            </w:pPr>
          </w:p>
        </w:tc>
        <w:tc>
          <w:tcPr>
            <w:tcW w:w="794" w:type="dxa"/>
            <w:vMerge w:val="continue"/>
          </w:tcPr>
          <w:p w14:paraId="66EAC9C1">
            <w:pPr>
              <w:autoSpaceDE w:val="0"/>
              <w:autoSpaceDN w:val="0"/>
              <w:adjustRightInd w:val="0"/>
              <w:snapToGrid w:val="0"/>
              <w:spacing w:before="25" w:after="25" w:line="360" w:lineRule="auto"/>
              <w:rPr>
                <w:rFonts w:hint="eastAsia" w:ascii="宋体" w:hAnsi="宋体"/>
                <w:kern w:val="0"/>
                <w:sz w:val="24"/>
              </w:rPr>
            </w:pPr>
          </w:p>
        </w:tc>
        <w:tc>
          <w:tcPr>
            <w:tcW w:w="794" w:type="dxa"/>
            <w:vMerge w:val="continue"/>
          </w:tcPr>
          <w:p w14:paraId="584AEBC5">
            <w:pPr>
              <w:autoSpaceDE w:val="0"/>
              <w:autoSpaceDN w:val="0"/>
              <w:adjustRightInd w:val="0"/>
              <w:snapToGrid w:val="0"/>
              <w:spacing w:before="25" w:after="25" w:line="360" w:lineRule="auto"/>
              <w:rPr>
                <w:rFonts w:hint="eastAsia" w:ascii="宋体" w:hAnsi="宋体"/>
                <w:kern w:val="0"/>
                <w:sz w:val="24"/>
              </w:rPr>
            </w:pPr>
          </w:p>
        </w:tc>
        <w:tc>
          <w:tcPr>
            <w:tcW w:w="1270" w:type="dxa"/>
            <w:vAlign w:val="center"/>
          </w:tcPr>
          <w:p w14:paraId="4D43CBAB">
            <w:pPr>
              <w:autoSpaceDE w:val="0"/>
              <w:autoSpaceDN w:val="0"/>
              <w:adjustRightInd w:val="0"/>
              <w:snapToGrid w:val="0"/>
              <w:spacing w:before="25" w:after="25" w:line="360" w:lineRule="auto"/>
              <w:jc w:val="center"/>
              <w:rPr>
                <w:rFonts w:hint="eastAsia" w:ascii="宋体" w:hAnsi="宋体"/>
                <w:kern w:val="0"/>
                <w:sz w:val="24"/>
              </w:rPr>
            </w:pPr>
            <w:r>
              <w:rPr>
                <w:rFonts w:hint="eastAsia" w:ascii="宋体" w:hAnsi="宋体"/>
                <w:kern w:val="0"/>
                <w:sz w:val="24"/>
              </w:rPr>
              <w:t>证书名称</w:t>
            </w:r>
          </w:p>
        </w:tc>
        <w:tc>
          <w:tcPr>
            <w:tcW w:w="851" w:type="dxa"/>
            <w:vAlign w:val="center"/>
          </w:tcPr>
          <w:p w14:paraId="3CE93690">
            <w:pPr>
              <w:autoSpaceDE w:val="0"/>
              <w:autoSpaceDN w:val="0"/>
              <w:adjustRightInd w:val="0"/>
              <w:snapToGrid w:val="0"/>
              <w:spacing w:before="25" w:after="25" w:line="360" w:lineRule="auto"/>
              <w:jc w:val="center"/>
              <w:rPr>
                <w:rFonts w:hint="eastAsia" w:ascii="宋体" w:hAnsi="宋体"/>
                <w:kern w:val="0"/>
                <w:sz w:val="24"/>
              </w:rPr>
            </w:pPr>
            <w:r>
              <w:rPr>
                <w:rFonts w:hint="eastAsia" w:ascii="宋体" w:hAnsi="宋体"/>
                <w:kern w:val="0"/>
                <w:sz w:val="24"/>
              </w:rPr>
              <w:t>级别</w:t>
            </w:r>
          </w:p>
        </w:tc>
        <w:tc>
          <w:tcPr>
            <w:tcW w:w="850" w:type="dxa"/>
            <w:vAlign w:val="center"/>
          </w:tcPr>
          <w:p w14:paraId="59DF0B2D">
            <w:pPr>
              <w:autoSpaceDE w:val="0"/>
              <w:autoSpaceDN w:val="0"/>
              <w:adjustRightInd w:val="0"/>
              <w:snapToGrid w:val="0"/>
              <w:spacing w:before="25" w:after="25" w:line="360" w:lineRule="auto"/>
              <w:jc w:val="center"/>
              <w:rPr>
                <w:rFonts w:hint="eastAsia" w:ascii="宋体" w:hAnsi="宋体"/>
                <w:kern w:val="0"/>
                <w:sz w:val="24"/>
              </w:rPr>
            </w:pPr>
            <w:r>
              <w:rPr>
                <w:rFonts w:hint="eastAsia" w:ascii="宋体" w:hAnsi="宋体"/>
                <w:kern w:val="0"/>
                <w:sz w:val="24"/>
              </w:rPr>
              <w:t>证号</w:t>
            </w:r>
          </w:p>
        </w:tc>
        <w:tc>
          <w:tcPr>
            <w:tcW w:w="817" w:type="dxa"/>
            <w:vAlign w:val="center"/>
          </w:tcPr>
          <w:p w14:paraId="5CBCA785">
            <w:pPr>
              <w:autoSpaceDE w:val="0"/>
              <w:autoSpaceDN w:val="0"/>
              <w:adjustRightInd w:val="0"/>
              <w:snapToGrid w:val="0"/>
              <w:spacing w:before="25" w:after="25" w:line="360" w:lineRule="auto"/>
              <w:jc w:val="center"/>
              <w:rPr>
                <w:rFonts w:hint="eastAsia" w:ascii="宋体" w:hAnsi="宋体"/>
                <w:kern w:val="0"/>
                <w:sz w:val="24"/>
              </w:rPr>
            </w:pPr>
            <w:r>
              <w:rPr>
                <w:rFonts w:hint="eastAsia" w:ascii="宋体" w:hAnsi="宋体"/>
                <w:kern w:val="0"/>
                <w:sz w:val="24"/>
              </w:rPr>
              <w:t>专业</w:t>
            </w:r>
          </w:p>
        </w:tc>
        <w:tc>
          <w:tcPr>
            <w:tcW w:w="1309" w:type="dxa"/>
            <w:vAlign w:val="center"/>
          </w:tcPr>
          <w:p w14:paraId="4C7381EA">
            <w:pPr>
              <w:autoSpaceDE w:val="0"/>
              <w:autoSpaceDN w:val="0"/>
              <w:adjustRightInd w:val="0"/>
              <w:snapToGrid w:val="0"/>
              <w:spacing w:before="25" w:after="25" w:line="360" w:lineRule="auto"/>
              <w:jc w:val="center"/>
              <w:rPr>
                <w:rFonts w:hint="eastAsia" w:ascii="宋体" w:hAnsi="宋体"/>
                <w:kern w:val="0"/>
                <w:sz w:val="24"/>
              </w:rPr>
            </w:pPr>
            <w:r>
              <w:rPr>
                <w:rFonts w:hint="eastAsia" w:ascii="宋体" w:hAnsi="宋体"/>
                <w:kern w:val="0"/>
                <w:sz w:val="24"/>
              </w:rPr>
              <w:t>注册单位</w:t>
            </w:r>
          </w:p>
        </w:tc>
        <w:tc>
          <w:tcPr>
            <w:tcW w:w="851" w:type="dxa"/>
            <w:vMerge w:val="continue"/>
          </w:tcPr>
          <w:p w14:paraId="064BDDBB">
            <w:pPr>
              <w:autoSpaceDE w:val="0"/>
              <w:autoSpaceDN w:val="0"/>
              <w:adjustRightInd w:val="0"/>
              <w:snapToGrid w:val="0"/>
              <w:spacing w:before="25" w:after="25" w:line="360" w:lineRule="auto"/>
              <w:rPr>
                <w:rFonts w:hint="eastAsia" w:ascii="宋体" w:hAnsi="宋体"/>
                <w:kern w:val="0"/>
                <w:sz w:val="24"/>
              </w:rPr>
            </w:pPr>
          </w:p>
        </w:tc>
      </w:tr>
      <w:tr w14:paraId="23620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4" w:type="dxa"/>
          </w:tcPr>
          <w:p w14:paraId="5A177353">
            <w:pPr>
              <w:autoSpaceDE w:val="0"/>
              <w:autoSpaceDN w:val="0"/>
              <w:adjustRightInd w:val="0"/>
              <w:snapToGrid w:val="0"/>
              <w:spacing w:before="25" w:after="25" w:line="360" w:lineRule="auto"/>
              <w:rPr>
                <w:rFonts w:hint="eastAsia" w:ascii="宋体" w:hAnsi="宋体"/>
                <w:kern w:val="0"/>
                <w:sz w:val="24"/>
              </w:rPr>
            </w:pPr>
          </w:p>
        </w:tc>
        <w:tc>
          <w:tcPr>
            <w:tcW w:w="794" w:type="dxa"/>
          </w:tcPr>
          <w:p w14:paraId="50B0260C">
            <w:pPr>
              <w:autoSpaceDE w:val="0"/>
              <w:autoSpaceDN w:val="0"/>
              <w:adjustRightInd w:val="0"/>
              <w:snapToGrid w:val="0"/>
              <w:spacing w:before="25" w:after="25" w:line="360" w:lineRule="auto"/>
              <w:rPr>
                <w:rFonts w:hint="eastAsia" w:ascii="宋体" w:hAnsi="宋体"/>
                <w:kern w:val="0"/>
                <w:sz w:val="24"/>
              </w:rPr>
            </w:pPr>
          </w:p>
        </w:tc>
        <w:tc>
          <w:tcPr>
            <w:tcW w:w="794" w:type="dxa"/>
          </w:tcPr>
          <w:p w14:paraId="10B06D9C">
            <w:pPr>
              <w:autoSpaceDE w:val="0"/>
              <w:autoSpaceDN w:val="0"/>
              <w:adjustRightInd w:val="0"/>
              <w:snapToGrid w:val="0"/>
              <w:spacing w:before="25" w:after="25" w:line="360" w:lineRule="auto"/>
              <w:rPr>
                <w:rFonts w:hint="eastAsia" w:ascii="宋体" w:hAnsi="宋体"/>
                <w:kern w:val="0"/>
                <w:sz w:val="24"/>
              </w:rPr>
            </w:pPr>
          </w:p>
        </w:tc>
        <w:tc>
          <w:tcPr>
            <w:tcW w:w="1270" w:type="dxa"/>
          </w:tcPr>
          <w:p w14:paraId="5B69A594">
            <w:pPr>
              <w:autoSpaceDE w:val="0"/>
              <w:autoSpaceDN w:val="0"/>
              <w:adjustRightInd w:val="0"/>
              <w:snapToGrid w:val="0"/>
              <w:spacing w:before="25" w:after="25" w:line="360" w:lineRule="auto"/>
              <w:rPr>
                <w:rFonts w:hint="eastAsia" w:ascii="宋体" w:hAnsi="宋体"/>
                <w:kern w:val="0"/>
                <w:sz w:val="24"/>
              </w:rPr>
            </w:pPr>
          </w:p>
        </w:tc>
        <w:tc>
          <w:tcPr>
            <w:tcW w:w="851" w:type="dxa"/>
          </w:tcPr>
          <w:p w14:paraId="7F020989">
            <w:pPr>
              <w:autoSpaceDE w:val="0"/>
              <w:autoSpaceDN w:val="0"/>
              <w:adjustRightInd w:val="0"/>
              <w:snapToGrid w:val="0"/>
              <w:spacing w:before="25" w:after="25" w:line="360" w:lineRule="auto"/>
              <w:rPr>
                <w:rFonts w:hint="eastAsia" w:ascii="宋体" w:hAnsi="宋体"/>
                <w:kern w:val="0"/>
                <w:sz w:val="24"/>
              </w:rPr>
            </w:pPr>
          </w:p>
        </w:tc>
        <w:tc>
          <w:tcPr>
            <w:tcW w:w="850" w:type="dxa"/>
          </w:tcPr>
          <w:p w14:paraId="0C34C6C2">
            <w:pPr>
              <w:autoSpaceDE w:val="0"/>
              <w:autoSpaceDN w:val="0"/>
              <w:adjustRightInd w:val="0"/>
              <w:snapToGrid w:val="0"/>
              <w:spacing w:before="25" w:after="25" w:line="360" w:lineRule="auto"/>
              <w:rPr>
                <w:rFonts w:hint="eastAsia" w:ascii="宋体" w:hAnsi="宋体"/>
                <w:kern w:val="0"/>
                <w:sz w:val="24"/>
              </w:rPr>
            </w:pPr>
          </w:p>
        </w:tc>
        <w:tc>
          <w:tcPr>
            <w:tcW w:w="817" w:type="dxa"/>
          </w:tcPr>
          <w:p w14:paraId="5FB9A8DC">
            <w:pPr>
              <w:autoSpaceDE w:val="0"/>
              <w:autoSpaceDN w:val="0"/>
              <w:adjustRightInd w:val="0"/>
              <w:snapToGrid w:val="0"/>
              <w:spacing w:before="25" w:after="25" w:line="360" w:lineRule="auto"/>
              <w:rPr>
                <w:rFonts w:hint="eastAsia" w:ascii="宋体" w:hAnsi="宋体"/>
                <w:kern w:val="0"/>
                <w:sz w:val="24"/>
              </w:rPr>
            </w:pPr>
          </w:p>
        </w:tc>
        <w:tc>
          <w:tcPr>
            <w:tcW w:w="1309" w:type="dxa"/>
          </w:tcPr>
          <w:p w14:paraId="708FFC73">
            <w:pPr>
              <w:autoSpaceDE w:val="0"/>
              <w:autoSpaceDN w:val="0"/>
              <w:adjustRightInd w:val="0"/>
              <w:snapToGrid w:val="0"/>
              <w:spacing w:before="25" w:after="25" w:line="360" w:lineRule="auto"/>
              <w:rPr>
                <w:rFonts w:hint="eastAsia" w:ascii="宋体" w:hAnsi="宋体"/>
                <w:kern w:val="0"/>
                <w:sz w:val="24"/>
              </w:rPr>
            </w:pPr>
          </w:p>
        </w:tc>
        <w:tc>
          <w:tcPr>
            <w:tcW w:w="851" w:type="dxa"/>
          </w:tcPr>
          <w:p w14:paraId="5ED4C3A2">
            <w:pPr>
              <w:autoSpaceDE w:val="0"/>
              <w:autoSpaceDN w:val="0"/>
              <w:adjustRightInd w:val="0"/>
              <w:snapToGrid w:val="0"/>
              <w:spacing w:before="25" w:after="25" w:line="360" w:lineRule="auto"/>
              <w:rPr>
                <w:rFonts w:hint="eastAsia" w:ascii="宋体" w:hAnsi="宋体"/>
                <w:kern w:val="0"/>
                <w:sz w:val="24"/>
              </w:rPr>
            </w:pPr>
          </w:p>
        </w:tc>
      </w:tr>
      <w:tr w14:paraId="77FC8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4" w:type="dxa"/>
          </w:tcPr>
          <w:p w14:paraId="01DDC22A">
            <w:pPr>
              <w:autoSpaceDE w:val="0"/>
              <w:autoSpaceDN w:val="0"/>
              <w:adjustRightInd w:val="0"/>
              <w:snapToGrid w:val="0"/>
              <w:spacing w:before="25" w:after="25" w:line="360" w:lineRule="auto"/>
              <w:rPr>
                <w:rFonts w:hint="eastAsia" w:ascii="宋体" w:hAnsi="宋体"/>
                <w:kern w:val="0"/>
                <w:sz w:val="24"/>
              </w:rPr>
            </w:pPr>
          </w:p>
        </w:tc>
        <w:tc>
          <w:tcPr>
            <w:tcW w:w="794" w:type="dxa"/>
          </w:tcPr>
          <w:p w14:paraId="336E79A2">
            <w:pPr>
              <w:autoSpaceDE w:val="0"/>
              <w:autoSpaceDN w:val="0"/>
              <w:adjustRightInd w:val="0"/>
              <w:snapToGrid w:val="0"/>
              <w:spacing w:before="25" w:after="25" w:line="360" w:lineRule="auto"/>
              <w:rPr>
                <w:rFonts w:hint="eastAsia" w:ascii="宋体" w:hAnsi="宋体"/>
                <w:kern w:val="0"/>
                <w:sz w:val="24"/>
              </w:rPr>
            </w:pPr>
          </w:p>
        </w:tc>
        <w:tc>
          <w:tcPr>
            <w:tcW w:w="794" w:type="dxa"/>
          </w:tcPr>
          <w:p w14:paraId="303D146C">
            <w:pPr>
              <w:autoSpaceDE w:val="0"/>
              <w:autoSpaceDN w:val="0"/>
              <w:adjustRightInd w:val="0"/>
              <w:snapToGrid w:val="0"/>
              <w:spacing w:before="25" w:after="25" w:line="360" w:lineRule="auto"/>
              <w:rPr>
                <w:rFonts w:hint="eastAsia" w:ascii="宋体" w:hAnsi="宋体"/>
                <w:kern w:val="0"/>
                <w:sz w:val="24"/>
              </w:rPr>
            </w:pPr>
          </w:p>
        </w:tc>
        <w:tc>
          <w:tcPr>
            <w:tcW w:w="1270" w:type="dxa"/>
          </w:tcPr>
          <w:p w14:paraId="3245322D">
            <w:pPr>
              <w:autoSpaceDE w:val="0"/>
              <w:autoSpaceDN w:val="0"/>
              <w:adjustRightInd w:val="0"/>
              <w:snapToGrid w:val="0"/>
              <w:spacing w:before="25" w:after="25" w:line="360" w:lineRule="auto"/>
              <w:rPr>
                <w:rFonts w:hint="eastAsia" w:ascii="宋体" w:hAnsi="宋体"/>
                <w:kern w:val="0"/>
                <w:sz w:val="24"/>
              </w:rPr>
            </w:pPr>
          </w:p>
        </w:tc>
        <w:tc>
          <w:tcPr>
            <w:tcW w:w="851" w:type="dxa"/>
          </w:tcPr>
          <w:p w14:paraId="23A2B201">
            <w:pPr>
              <w:autoSpaceDE w:val="0"/>
              <w:autoSpaceDN w:val="0"/>
              <w:adjustRightInd w:val="0"/>
              <w:snapToGrid w:val="0"/>
              <w:spacing w:before="25" w:after="25" w:line="360" w:lineRule="auto"/>
              <w:rPr>
                <w:rFonts w:hint="eastAsia" w:ascii="宋体" w:hAnsi="宋体"/>
                <w:kern w:val="0"/>
                <w:sz w:val="24"/>
              </w:rPr>
            </w:pPr>
          </w:p>
        </w:tc>
        <w:tc>
          <w:tcPr>
            <w:tcW w:w="850" w:type="dxa"/>
          </w:tcPr>
          <w:p w14:paraId="3393990B">
            <w:pPr>
              <w:autoSpaceDE w:val="0"/>
              <w:autoSpaceDN w:val="0"/>
              <w:adjustRightInd w:val="0"/>
              <w:snapToGrid w:val="0"/>
              <w:spacing w:before="25" w:after="25" w:line="360" w:lineRule="auto"/>
              <w:rPr>
                <w:rFonts w:hint="eastAsia" w:ascii="宋体" w:hAnsi="宋体"/>
                <w:kern w:val="0"/>
                <w:sz w:val="24"/>
              </w:rPr>
            </w:pPr>
          </w:p>
        </w:tc>
        <w:tc>
          <w:tcPr>
            <w:tcW w:w="817" w:type="dxa"/>
          </w:tcPr>
          <w:p w14:paraId="40631C2E">
            <w:pPr>
              <w:autoSpaceDE w:val="0"/>
              <w:autoSpaceDN w:val="0"/>
              <w:adjustRightInd w:val="0"/>
              <w:snapToGrid w:val="0"/>
              <w:spacing w:before="25" w:after="25" w:line="360" w:lineRule="auto"/>
              <w:rPr>
                <w:rFonts w:hint="eastAsia" w:ascii="宋体" w:hAnsi="宋体"/>
                <w:kern w:val="0"/>
                <w:sz w:val="24"/>
              </w:rPr>
            </w:pPr>
          </w:p>
        </w:tc>
        <w:tc>
          <w:tcPr>
            <w:tcW w:w="1309" w:type="dxa"/>
          </w:tcPr>
          <w:p w14:paraId="353CDABE">
            <w:pPr>
              <w:autoSpaceDE w:val="0"/>
              <w:autoSpaceDN w:val="0"/>
              <w:adjustRightInd w:val="0"/>
              <w:snapToGrid w:val="0"/>
              <w:spacing w:before="25" w:after="25" w:line="360" w:lineRule="auto"/>
              <w:rPr>
                <w:rFonts w:hint="eastAsia" w:ascii="宋体" w:hAnsi="宋体"/>
                <w:kern w:val="0"/>
                <w:sz w:val="24"/>
              </w:rPr>
            </w:pPr>
          </w:p>
        </w:tc>
        <w:tc>
          <w:tcPr>
            <w:tcW w:w="851" w:type="dxa"/>
          </w:tcPr>
          <w:p w14:paraId="7AA0702E">
            <w:pPr>
              <w:autoSpaceDE w:val="0"/>
              <w:autoSpaceDN w:val="0"/>
              <w:adjustRightInd w:val="0"/>
              <w:snapToGrid w:val="0"/>
              <w:spacing w:before="25" w:after="25" w:line="360" w:lineRule="auto"/>
              <w:rPr>
                <w:rFonts w:hint="eastAsia" w:ascii="宋体" w:hAnsi="宋体"/>
                <w:kern w:val="0"/>
                <w:sz w:val="24"/>
              </w:rPr>
            </w:pPr>
          </w:p>
        </w:tc>
      </w:tr>
      <w:tr w14:paraId="4146D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4" w:type="dxa"/>
          </w:tcPr>
          <w:p w14:paraId="2DECDDB9">
            <w:pPr>
              <w:autoSpaceDE w:val="0"/>
              <w:autoSpaceDN w:val="0"/>
              <w:adjustRightInd w:val="0"/>
              <w:snapToGrid w:val="0"/>
              <w:spacing w:before="25" w:after="25" w:line="360" w:lineRule="auto"/>
              <w:rPr>
                <w:rFonts w:hint="eastAsia" w:ascii="宋体" w:hAnsi="宋体"/>
                <w:kern w:val="0"/>
                <w:sz w:val="24"/>
              </w:rPr>
            </w:pPr>
          </w:p>
        </w:tc>
        <w:tc>
          <w:tcPr>
            <w:tcW w:w="794" w:type="dxa"/>
          </w:tcPr>
          <w:p w14:paraId="7302C3C4">
            <w:pPr>
              <w:autoSpaceDE w:val="0"/>
              <w:autoSpaceDN w:val="0"/>
              <w:adjustRightInd w:val="0"/>
              <w:snapToGrid w:val="0"/>
              <w:spacing w:before="25" w:after="25" w:line="360" w:lineRule="auto"/>
              <w:rPr>
                <w:rFonts w:hint="eastAsia" w:ascii="宋体" w:hAnsi="宋体"/>
                <w:kern w:val="0"/>
                <w:sz w:val="24"/>
              </w:rPr>
            </w:pPr>
          </w:p>
        </w:tc>
        <w:tc>
          <w:tcPr>
            <w:tcW w:w="794" w:type="dxa"/>
          </w:tcPr>
          <w:p w14:paraId="4C1D33EF">
            <w:pPr>
              <w:autoSpaceDE w:val="0"/>
              <w:autoSpaceDN w:val="0"/>
              <w:adjustRightInd w:val="0"/>
              <w:snapToGrid w:val="0"/>
              <w:spacing w:before="25" w:after="25" w:line="360" w:lineRule="auto"/>
              <w:rPr>
                <w:rFonts w:hint="eastAsia" w:ascii="宋体" w:hAnsi="宋体"/>
                <w:kern w:val="0"/>
                <w:sz w:val="24"/>
              </w:rPr>
            </w:pPr>
          </w:p>
        </w:tc>
        <w:tc>
          <w:tcPr>
            <w:tcW w:w="1270" w:type="dxa"/>
          </w:tcPr>
          <w:p w14:paraId="175E29E0">
            <w:pPr>
              <w:autoSpaceDE w:val="0"/>
              <w:autoSpaceDN w:val="0"/>
              <w:adjustRightInd w:val="0"/>
              <w:snapToGrid w:val="0"/>
              <w:spacing w:before="25" w:after="25" w:line="360" w:lineRule="auto"/>
              <w:rPr>
                <w:rFonts w:hint="eastAsia" w:ascii="宋体" w:hAnsi="宋体"/>
                <w:kern w:val="0"/>
                <w:sz w:val="24"/>
              </w:rPr>
            </w:pPr>
          </w:p>
        </w:tc>
        <w:tc>
          <w:tcPr>
            <w:tcW w:w="851" w:type="dxa"/>
          </w:tcPr>
          <w:p w14:paraId="127925E2">
            <w:pPr>
              <w:autoSpaceDE w:val="0"/>
              <w:autoSpaceDN w:val="0"/>
              <w:adjustRightInd w:val="0"/>
              <w:snapToGrid w:val="0"/>
              <w:spacing w:before="25" w:after="25" w:line="360" w:lineRule="auto"/>
              <w:rPr>
                <w:rFonts w:hint="eastAsia" w:ascii="宋体" w:hAnsi="宋体"/>
                <w:kern w:val="0"/>
                <w:sz w:val="24"/>
              </w:rPr>
            </w:pPr>
          </w:p>
        </w:tc>
        <w:tc>
          <w:tcPr>
            <w:tcW w:w="850" w:type="dxa"/>
          </w:tcPr>
          <w:p w14:paraId="4CAF08B9">
            <w:pPr>
              <w:autoSpaceDE w:val="0"/>
              <w:autoSpaceDN w:val="0"/>
              <w:adjustRightInd w:val="0"/>
              <w:snapToGrid w:val="0"/>
              <w:spacing w:before="25" w:after="25" w:line="360" w:lineRule="auto"/>
              <w:rPr>
                <w:rFonts w:hint="eastAsia" w:ascii="宋体" w:hAnsi="宋体"/>
                <w:kern w:val="0"/>
                <w:sz w:val="24"/>
              </w:rPr>
            </w:pPr>
          </w:p>
        </w:tc>
        <w:tc>
          <w:tcPr>
            <w:tcW w:w="817" w:type="dxa"/>
          </w:tcPr>
          <w:p w14:paraId="71EE6ED4">
            <w:pPr>
              <w:autoSpaceDE w:val="0"/>
              <w:autoSpaceDN w:val="0"/>
              <w:adjustRightInd w:val="0"/>
              <w:snapToGrid w:val="0"/>
              <w:spacing w:before="25" w:after="25" w:line="360" w:lineRule="auto"/>
              <w:rPr>
                <w:rFonts w:hint="eastAsia" w:ascii="宋体" w:hAnsi="宋体"/>
                <w:kern w:val="0"/>
                <w:sz w:val="24"/>
              </w:rPr>
            </w:pPr>
          </w:p>
        </w:tc>
        <w:tc>
          <w:tcPr>
            <w:tcW w:w="1309" w:type="dxa"/>
          </w:tcPr>
          <w:p w14:paraId="631EC21C">
            <w:pPr>
              <w:autoSpaceDE w:val="0"/>
              <w:autoSpaceDN w:val="0"/>
              <w:adjustRightInd w:val="0"/>
              <w:snapToGrid w:val="0"/>
              <w:spacing w:before="25" w:after="25" w:line="360" w:lineRule="auto"/>
              <w:rPr>
                <w:rFonts w:hint="eastAsia" w:ascii="宋体" w:hAnsi="宋体"/>
                <w:kern w:val="0"/>
                <w:sz w:val="24"/>
              </w:rPr>
            </w:pPr>
          </w:p>
        </w:tc>
        <w:tc>
          <w:tcPr>
            <w:tcW w:w="851" w:type="dxa"/>
          </w:tcPr>
          <w:p w14:paraId="2E099932">
            <w:pPr>
              <w:autoSpaceDE w:val="0"/>
              <w:autoSpaceDN w:val="0"/>
              <w:adjustRightInd w:val="0"/>
              <w:snapToGrid w:val="0"/>
              <w:spacing w:before="25" w:after="25" w:line="360" w:lineRule="auto"/>
              <w:rPr>
                <w:rFonts w:hint="eastAsia" w:ascii="宋体" w:hAnsi="宋体"/>
                <w:kern w:val="0"/>
                <w:sz w:val="24"/>
              </w:rPr>
            </w:pPr>
          </w:p>
        </w:tc>
      </w:tr>
      <w:tr w14:paraId="01148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4" w:type="dxa"/>
          </w:tcPr>
          <w:p w14:paraId="54E5E03D">
            <w:pPr>
              <w:autoSpaceDE w:val="0"/>
              <w:autoSpaceDN w:val="0"/>
              <w:adjustRightInd w:val="0"/>
              <w:snapToGrid w:val="0"/>
              <w:spacing w:before="25" w:after="25" w:line="360" w:lineRule="auto"/>
              <w:rPr>
                <w:rFonts w:hint="eastAsia" w:ascii="宋体" w:hAnsi="宋体"/>
                <w:kern w:val="0"/>
                <w:sz w:val="24"/>
              </w:rPr>
            </w:pPr>
          </w:p>
        </w:tc>
        <w:tc>
          <w:tcPr>
            <w:tcW w:w="794" w:type="dxa"/>
          </w:tcPr>
          <w:p w14:paraId="11D86592">
            <w:pPr>
              <w:autoSpaceDE w:val="0"/>
              <w:autoSpaceDN w:val="0"/>
              <w:adjustRightInd w:val="0"/>
              <w:snapToGrid w:val="0"/>
              <w:spacing w:before="25" w:after="25" w:line="360" w:lineRule="auto"/>
              <w:rPr>
                <w:rFonts w:hint="eastAsia" w:ascii="宋体" w:hAnsi="宋体"/>
                <w:kern w:val="0"/>
                <w:sz w:val="24"/>
              </w:rPr>
            </w:pPr>
          </w:p>
        </w:tc>
        <w:tc>
          <w:tcPr>
            <w:tcW w:w="794" w:type="dxa"/>
          </w:tcPr>
          <w:p w14:paraId="35BD4A9C">
            <w:pPr>
              <w:autoSpaceDE w:val="0"/>
              <w:autoSpaceDN w:val="0"/>
              <w:adjustRightInd w:val="0"/>
              <w:snapToGrid w:val="0"/>
              <w:spacing w:before="25" w:after="25" w:line="360" w:lineRule="auto"/>
              <w:rPr>
                <w:rFonts w:hint="eastAsia" w:ascii="宋体" w:hAnsi="宋体"/>
                <w:kern w:val="0"/>
                <w:sz w:val="24"/>
              </w:rPr>
            </w:pPr>
          </w:p>
        </w:tc>
        <w:tc>
          <w:tcPr>
            <w:tcW w:w="1270" w:type="dxa"/>
          </w:tcPr>
          <w:p w14:paraId="39E421D5">
            <w:pPr>
              <w:autoSpaceDE w:val="0"/>
              <w:autoSpaceDN w:val="0"/>
              <w:adjustRightInd w:val="0"/>
              <w:snapToGrid w:val="0"/>
              <w:spacing w:before="25" w:after="25" w:line="360" w:lineRule="auto"/>
              <w:rPr>
                <w:rFonts w:hint="eastAsia" w:ascii="宋体" w:hAnsi="宋体"/>
                <w:kern w:val="0"/>
                <w:sz w:val="24"/>
              </w:rPr>
            </w:pPr>
          </w:p>
        </w:tc>
        <w:tc>
          <w:tcPr>
            <w:tcW w:w="851" w:type="dxa"/>
          </w:tcPr>
          <w:p w14:paraId="7FF2B613">
            <w:pPr>
              <w:autoSpaceDE w:val="0"/>
              <w:autoSpaceDN w:val="0"/>
              <w:adjustRightInd w:val="0"/>
              <w:snapToGrid w:val="0"/>
              <w:spacing w:before="25" w:after="25" w:line="360" w:lineRule="auto"/>
              <w:rPr>
                <w:rFonts w:hint="eastAsia" w:ascii="宋体" w:hAnsi="宋体"/>
                <w:kern w:val="0"/>
                <w:sz w:val="24"/>
              </w:rPr>
            </w:pPr>
          </w:p>
        </w:tc>
        <w:tc>
          <w:tcPr>
            <w:tcW w:w="850" w:type="dxa"/>
          </w:tcPr>
          <w:p w14:paraId="1D4004F8">
            <w:pPr>
              <w:autoSpaceDE w:val="0"/>
              <w:autoSpaceDN w:val="0"/>
              <w:adjustRightInd w:val="0"/>
              <w:snapToGrid w:val="0"/>
              <w:spacing w:before="25" w:after="25" w:line="360" w:lineRule="auto"/>
              <w:rPr>
                <w:rFonts w:hint="eastAsia" w:ascii="宋体" w:hAnsi="宋体"/>
                <w:kern w:val="0"/>
                <w:sz w:val="24"/>
              </w:rPr>
            </w:pPr>
          </w:p>
        </w:tc>
        <w:tc>
          <w:tcPr>
            <w:tcW w:w="817" w:type="dxa"/>
          </w:tcPr>
          <w:p w14:paraId="3C0B608E">
            <w:pPr>
              <w:autoSpaceDE w:val="0"/>
              <w:autoSpaceDN w:val="0"/>
              <w:adjustRightInd w:val="0"/>
              <w:snapToGrid w:val="0"/>
              <w:spacing w:before="25" w:after="25" w:line="360" w:lineRule="auto"/>
              <w:rPr>
                <w:rFonts w:hint="eastAsia" w:ascii="宋体" w:hAnsi="宋体"/>
                <w:kern w:val="0"/>
                <w:sz w:val="24"/>
              </w:rPr>
            </w:pPr>
          </w:p>
        </w:tc>
        <w:tc>
          <w:tcPr>
            <w:tcW w:w="1309" w:type="dxa"/>
          </w:tcPr>
          <w:p w14:paraId="1B8405D9">
            <w:pPr>
              <w:autoSpaceDE w:val="0"/>
              <w:autoSpaceDN w:val="0"/>
              <w:adjustRightInd w:val="0"/>
              <w:snapToGrid w:val="0"/>
              <w:spacing w:before="25" w:after="25" w:line="360" w:lineRule="auto"/>
              <w:rPr>
                <w:rFonts w:hint="eastAsia" w:ascii="宋体" w:hAnsi="宋体"/>
                <w:kern w:val="0"/>
                <w:sz w:val="24"/>
              </w:rPr>
            </w:pPr>
          </w:p>
        </w:tc>
        <w:tc>
          <w:tcPr>
            <w:tcW w:w="851" w:type="dxa"/>
          </w:tcPr>
          <w:p w14:paraId="32E11CA4">
            <w:pPr>
              <w:autoSpaceDE w:val="0"/>
              <w:autoSpaceDN w:val="0"/>
              <w:adjustRightInd w:val="0"/>
              <w:snapToGrid w:val="0"/>
              <w:spacing w:before="25" w:after="25" w:line="360" w:lineRule="auto"/>
              <w:rPr>
                <w:rFonts w:hint="eastAsia" w:ascii="宋体" w:hAnsi="宋体"/>
                <w:kern w:val="0"/>
                <w:sz w:val="24"/>
              </w:rPr>
            </w:pPr>
          </w:p>
        </w:tc>
      </w:tr>
      <w:tr w14:paraId="0D60B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4" w:type="dxa"/>
          </w:tcPr>
          <w:p w14:paraId="0C4BE6B2">
            <w:pPr>
              <w:autoSpaceDE w:val="0"/>
              <w:autoSpaceDN w:val="0"/>
              <w:adjustRightInd w:val="0"/>
              <w:snapToGrid w:val="0"/>
              <w:spacing w:before="25" w:after="25" w:line="360" w:lineRule="auto"/>
              <w:rPr>
                <w:rFonts w:hint="eastAsia" w:ascii="宋体" w:hAnsi="宋体"/>
                <w:kern w:val="0"/>
                <w:sz w:val="24"/>
              </w:rPr>
            </w:pPr>
          </w:p>
        </w:tc>
        <w:tc>
          <w:tcPr>
            <w:tcW w:w="794" w:type="dxa"/>
          </w:tcPr>
          <w:p w14:paraId="56DDF675">
            <w:pPr>
              <w:autoSpaceDE w:val="0"/>
              <w:autoSpaceDN w:val="0"/>
              <w:adjustRightInd w:val="0"/>
              <w:snapToGrid w:val="0"/>
              <w:spacing w:before="25" w:after="25" w:line="360" w:lineRule="auto"/>
              <w:rPr>
                <w:rFonts w:hint="eastAsia" w:ascii="宋体" w:hAnsi="宋体"/>
                <w:kern w:val="0"/>
                <w:sz w:val="24"/>
              </w:rPr>
            </w:pPr>
          </w:p>
        </w:tc>
        <w:tc>
          <w:tcPr>
            <w:tcW w:w="794" w:type="dxa"/>
          </w:tcPr>
          <w:p w14:paraId="1C44C9E6">
            <w:pPr>
              <w:autoSpaceDE w:val="0"/>
              <w:autoSpaceDN w:val="0"/>
              <w:adjustRightInd w:val="0"/>
              <w:snapToGrid w:val="0"/>
              <w:spacing w:before="25" w:after="25" w:line="360" w:lineRule="auto"/>
              <w:rPr>
                <w:rFonts w:hint="eastAsia" w:ascii="宋体" w:hAnsi="宋体"/>
                <w:kern w:val="0"/>
                <w:sz w:val="24"/>
              </w:rPr>
            </w:pPr>
          </w:p>
        </w:tc>
        <w:tc>
          <w:tcPr>
            <w:tcW w:w="1270" w:type="dxa"/>
          </w:tcPr>
          <w:p w14:paraId="16024131">
            <w:pPr>
              <w:autoSpaceDE w:val="0"/>
              <w:autoSpaceDN w:val="0"/>
              <w:adjustRightInd w:val="0"/>
              <w:snapToGrid w:val="0"/>
              <w:spacing w:before="25" w:after="25" w:line="360" w:lineRule="auto"/>
              <w:rPr>
                <w:rFonts w:hint="eastAsia" w:ascii="宋体" w:hAnsi="宋体"/>
                <w:kern w:val="0"/>
                <w:sz w:val="24"/>
              </w:rPr>
            </w:pPr>
          </w:p>
        </w:tc>
        <w:tc>
          <w:tcPr>
            <w:tcW w:w="851" w:type="dxa"/>
          </w:tcPr>
          <w:p w14:paraId="6F8BB6F6">
            <w:pPr>
              <w:autoSpaceDE w:val="0"/>
              <w:autoSpaceDN w:val="0"/>
              <w:adjustRightInd w:val="0"/>
              <w:snapToGrid w:val="0"/>
              <w:spacing w:before="25" w:after="25" w:line="360" w:lineRule="auto"/>
              <w:rPr>
                <w:rFonts w:hint="eastAsia" w:ascii="宋体" w:hAnsi="宋体"/>
                <w:kern w:val="0"/>
                <w:sz w:val="24"/>
              </w:rPr>
            </w:pPr>
          </w:p>
        </w:tc>
        <w:tc>
          <w:tcPr>
            <w:tcW w:w="850" w:type="dxa"/>
          </w:tcPr>
          <w:p w14:paraId="5DF6E41E">
            <w:pPr>
              <w:autoSpaceDE w:val="0"/>
              <w:autoSpaceDN w:val="0"/>
              <w:adjustRightInd w:val="0"/>
              <w:snapToGrid w:val="0"/>
              <w:spacing w:before="25" w:after="25" w:line="360" w:lineRule="auto"/>
              <w:rPr>
                <w:rFonts w:hint="eastAsia" w:ascii="宋体" w:hAnsi="宋体"/>
                <w:kern w:val="0"/>
                <w:sz w:val="24"/>
              </w:rPr>
            </w:pPr>
          </w:p>
        </w:tc>
        <w:tc>
          <w:tcPr>
            <w:tcW w:w="817" w:type="dxa"/>
          </w:tcPr>
          <w:p w14:paraId="639A2A57">
            <w:pPr>
              <w:autoSpaceDE w:val="0"/>
              <w:autoSpaceDN w:val="0"/>
              <w:adjustRightInd w:val="0"/>
              <w:snapToGrid w:val="0"/>
              <w:spacing w:before="25" w:after="25" w:line="360" w:lineRule="auto"/>
              <w:rPr>
                <w:rFonts w:hint="eastAsia" w:ascii="宋体" w:hAnsi="宋体"/>
                <w:kern w:val="0"/>
                <w:sz w:val="24"/>
              </w:rPr>
            </w:pPr>
          </w:p>
        </w:tc>
        <w:tc>
          <w:tcPr>
            <w:tcW w:w="1309" w:type="dxa"/>
          </w:tcPr>
          <w:p w14:paraId="2C572479">
            <w:pPr>
              <w:autoSpaceDE w:val="0"/>
              <w:autoSpaceDN w:val="0"/>
              <w:adjustRightInd w:val="0"/>
              <w:snapToGrid w:val="0"/>
              <w:spacing w:before="25" w:after="25" w:line="360" w:lineRule="auto"/>
              <w:rPr>
                <w:rFonts w:hint="eastAsia" w:ascii="宋体" w:hAnsi="宋体"/>
                <w:kern w:val="0"/>
                <w:sz w:val="24"/>
              </w:rPr>
            </w:pPr>
          </w:p>
        </w:tc>
        <w:tc>
          <w:tcPr>
            <w:tcW w:w="851" w:type="dxa"/>
          </w:tcPr>
          <w:p w14:paraId="261EF9C5">
            <w:pPr>
              <w:autoSpaceDE w:val="0"/>
              <w:autoSpaceDN w:val="0"/>
              <w:adjustRightInd w:val="0"/>
              <w:snapToGrid w:val="0"/>
              <w:spacing w:before="25" w:after="25" w:line="360" w:lineRule="auto"/>
              <w:rPr>
                <w:rFonts w:hint="eastAsia" w:ascii="宋体" w:hAnsi="宋体"/>
                <w:kern w:val="0"/>
                <w:sz w:val="24"/>
              </w:rPr>
            </w:pPr>
          </w:p>
        </w:tc>
      </w:tr>
      <w:tr w14:paraId="6AD10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4" w:type="dxa"/>
          </w:tcPr>
          <w:p w14:paraId="5337F431">
            <w:pPr>
              <w:autoSpaceDE w:val="0"/>
              <w:autoSpaceDN w:val="0"/>
              <w:adjustRightInd w:val="0"/>
              <w:snapToGrid w:val="0"/>
              <w:spacing w:before="25" w:after="25" w:line="360" w:lineRule="auto"/>
              <w:rPr>
                <w:rFonts w:hint="eastAsia" w:ascii="宋体" w:hAnsi="宋体"/>
                <w:kern w:val="0"/>
                <w:sz w:val="24"/>
              </w:rPr>
            </w:pPr>
          </w:p>
        </w:tc>
        <w:tc>
          <w:tcPr>
            <w:tcW w:w="794" w:type="dxa"/>
          </w:tcPr>
          <w:p w14:paraId="249FCEF9">
            <w:pPr>
              <w:autoSpaceDE w:val="0"/>
              <w:autoSpaceDN w:val="0"/>
              <w:adjustRightInd w:val="0"/>
              <w:snapToGrid w:val="0"/>
              <w:spacing w:before="25" w:after="25" w:line="360" w:lineRule="auto"/>
              <w:rPr>
                <w:rFonts w:hint="eastAsia" w:ascii="宋体" w:hAnsi="宋体"/>
                <w:kern w:val="0"/>
                <w:sz w:val="24"/>
              </w:rPr>
            </w:pPr>
          </w:p>
        </w:tc>
        <w:tc>
          <w:tcPr>
            <w:tcW w:w="794" w:type="dxa"/>
          </w:tcPr>
          <w:p w14:paraId="21D3F1C3">
            <w:pPr>
              <w:autoSpaceDE w:val="0"/>
              <w:autoSpaceDN w:val="0"/>
              <w:adjustRightInd w:val="0"/>
              <w:snapToGrid w:val="0"/>
              <w:spacing w:before="25" w:after="25" w:line="360" w:lineRule="auto"/>
              <w:rPr>
                <w:rFonts w:hint="eastAsia" w:ascii="宋体" w:hAnsi="宋体"/>
                <w:kern w:val="0"/>
                <w:sz w:val="24"/>
              </w:rPr>
            </w:pPr>
          </w:p>
        </w:tc>
        <w:tc>
          <w:tcPr>
            <w:tcW w:w="1270" w:type="dxa"/>
          </w:tcPr>
          <w:p w14:paraId="5AEE8E5E">
            <w:pPr>
              <w:autoSpaceDE w:val="0"/>
              <w:autoSpaceDN w:val="0"/>
              <w:adjustRightInd w:val="0"/>
              <w:snapToGrid w:val="0"/>
              <w:spacing w:before="25" w:after="25" w:line="360" w:lineRule="auto"/>
              <w:rPr>
                <w:rFonts w:hint="eastAsia" w:ascii="宋体" w:hAnsi="宋体"/>
                <w:kern w:val="0"/>
                <w:sz w:val="24"/>
              </w:rPr>
            </w:pPr>
          </w:p>
        </w:tc>
        <w:tc>
          <w:tcPr>
            <w:tcW w:w="851" w:type="dxa"/>
          </w:tcPr>
          <w:p w14:paraId="0CD8A5C3">
            <w:pPr>
              <w:autoSpaceDE w:val="0"/>
              <w:autoSpaceDN w:val="0"/>
              <w:adjustRightInd w:val="0"/>
              <w:snapToGrid w:val="0"/>
              <w:spacing w:before="25" w:after="25" w:line="360" w:lineRule="auto"/>
              <w:rPr>
                <w:rFonts w:hint="eastAsia" w:ascii="宋体" w:hAnsi="宋体"/>
                <w:kern w:val="0"/>
                <w:sz w:val="24"/>
              </w:rPr>
            </w:pPr>
          </w:p>
        </w:tc>
        <w:tc>
          <w:tcPr>
            <w:tcW w:w="850" w:type="dxa"/>
          </w:tcPr>
          <w:p w14:paraId="6E5BD5BF">
            <w:pPr>
              <w:autoSpaceDE w:val="0"/>
              <w:autoSpaceDN w:val="0"/>
              <w:adjustRightInd w:val="0"/>
              <w:snapToGrid w:val="0"/>
              <w:spacing w:before="25" w:after="25" w:line="360" w:lineRule="auto"/>
              <w:rPr>
                <w:rFonts w:hint="eastAsia" w:ascii="宋体" w:hAnsi="宋体"/>
                <w:kern w:val="0"/>
                <w:sz w:val="24"/>
              </w:rPr>
            </w:pPr>
          </w:p>
        </w:tc>
        <w:tc>
          <w:tcPr>
            <w:tcW w:w="817" w:type="dxa"/>
          </w:tcPr>
          <w:p w14:paraId="5423EB29">
            <w:pPr>
              <w:autoSpaceDE w:val="0"/>
              <w:autoSpaceDN w:val="0"/>
              <w:adjustRightInd w:val="0"/>
              <w:snapToGrid w:val="0"/>
              <w:spacing w:before="25" w:after="25" w:line="360" w:lineRule="auto"/>
              <w:rPr>
                <w:rFonts w:hint="eastAsia" w:ascii="宋体" w:hAnsi="宋体"/>
                <w:kern w:val="0"/>
                <w:sz w:val="24"/>
              </w:rPr>
            </w:pPr>
          </w:p>
        </w:tc>
        <w:tc>
          <w:tcPr>
            <w:tcW w:w="1309" w:type="dxa"/>
          </w:tcPr>
          <w:p w14:paraId="01015798">
            <w:pPr>
              <w:autoSpaceDE w:val="0"/>
              <w:autoSpaceDN w:val="0"/>
              <w:adjustRightInd w:val="0"/>
              <w:snapToGrid w:val="0"/>
              <w:spacing w:before="25" w:after="25" w:line="360" w:lineRule="auto"/>
              <w:rPr>
                <w:rFonts w:hint="eastAsia" w:ascii="宋体" w:hAnsi="宋体"/>
                <w:kern w:val="0"/>
                <w:sz w:val="24"/>
              </w:rPr>
            </w:pPr>
          </w:p>
        </w:tc>
        <w:tc>
          <w:tcPr>
            <w:tcW w:w="851" w:type="dxa"/>
          </w:tcPr>
          <w:p w14:paraId="2B8A1193">
            <w:pPr>
              <w:autoSpaceDE w:val="0"/>
              <w:autoSpaceDN w:val="0"/>
              <w:adjustRightInd w:val="0"/>
              <w:snapToGrid w:val="0"/>
              <w:spacing w:before="25" w:after="25" w:line="360" w:lineRule="auto"/>
              <w:rPr>
                <w:rFonts w:hint="eastAsia" w:ascii="宋体" w:hAnsi="宋体"/>
                <w:kern w:val="0"/>
                <w:sz w:val="24"/>
              </w:rPr>
            </w:pPr>
          </w:p>
        </w:tc>
      </w:tr>
      <w:tr w14:paraId="14FCA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4" w:type="dxa"/>
          </w:tcPr>
          <w:p w14:paraId="6FF14B25">
            <w:pPr>
              <w:autoSpaceDE w:val="0"/>
              <w:autoSpaceDN w:val="0"/>
              <w:adjustRightInd w:val="0"/>
              <w:snapToGrid w:val="0"/>
              <w:spacing w:before="25" w:after="25" w:line="360" w:lineRule="auto"/>
              <w:rPr>
                <w:rFonts w:hint="eastAsia" w:ascii="宋体" w:hAnsi="宋体"/>
                <w:kern w:val="0"/>
                <w:sz w:val="24"/>
              </w:rPr>
            </w:pPr>
          </w:p>
        </w:tc>
        <w:tc>
          <w:tcPr>
            <w:tcW w:w="794" w:type="dxa"/>
          </w:tcPr>
          <w:p w14:paraId="16DCB91D">
            <w:pPr>
              <w:autoSpaceDE w:val="0"/>
              <w:autoSpaceDN w:val="0"/>
              <w:adjustRightInd w:val="0"/>
              <w:snapToGrid w:val="0"/>
              <w:spacing w:before="25" w:after="25" w:line="360" w:lineRule="auto"/>
              <w:rPr>
                <w:rFonts w:hint="eastAsia" w:ascii="宋体" w:hAnsi="宋体"/>
                <w:kern w:val="0"/>
                <w:sz w:val="24"/>
              </w:rPr>
            </w:pPr>
          </w:p>
        </w:tc>
        <w:tc>
          <w:tcPr>
            <w:tcW w:w="794" w:type="dxa"/>
          </w:tcPr>
          <w:p w14:paraId="2CB64BF4">
            <w:pPr>
              <w:autoSpaceDE w:val="0"/>
              <w:autoSpaceDN w:val="0"/>
              <w:adjustRightInd w:val="0"/>
              <w:snapToGrid w:val="0"/>
              <w:spacing w:before="25" w:after="25" w:line="360" w:lineRule="auto"/>
              <w:rPr>
                <w:rFonts w:hint="eastAsia" w:ascii="宋体" w:hAnsi="宋体"/>
                <w:kern w:val="0"/>
                <w:sz w:val="24"/>
              </w:rPr>
            </w:pPr>
          </w:p>
        </w:tc>
        <w:tc>
          <w:tcPr>
            <w:tcW w:w="1270" w:type="dxa"/>
          </w:tcPr>
          <w:p w14:paraId="688C8EE1">
            <w:pPr>
              <w:autoSpaceDE w:val="0"/>
              <w:autoSpaceDN w:val="0"/>
              <w:adjustRightInd w:val="0"/>
              <w:snapToGrid w:val="0"/>
              <w:spacing w:before="25" w:after="25" w:line="360" w:lineRule="auto"/>
              <w:rPr>
                <w:rFonts w:hint="eastAsia" w:ascii="宋体" w:hAnsi="宋体"/>
                <w:kern w:val="0"/>
                <w:sz w:val="24"/>
              </w:rPr>
            </w:pPr>
          </w:p>
        </w:tc>
        <w:tc>
          <w:tcPr>
            <w:tcW w:w="851" w:type="dxa"/>
          </w:tcPr>
          <w:p w14:paraId="73523343">
            <w:pPr>
              <w:autoSpaceDE w:val="0"/>
              <w:autoSpaceDN w:val="0"/>
              <w:adjustRightInd w:val="0"/>
              <w:snapToGrid w:val="0"/>
              <w:spacing w:before="25" w:after="25" w:line="360" w:lineRule="auto"/>
              <w:rPr>
                <w:rFonts w:hint="eastAsia" w:ascii="宋体" w:hAnsi="宋体"/>
                <w:kern w:val="0"/>
                <w:sz w:val="24"/>
              </w:rPr>
            </w:pPr>
          </w:p>
        </w:tc>
        <w:tc>
          <w:tcPr>
            <w:tcW w:w="850" w:type="dxa"/>
          </w:tcPr>
          <w:p w14:paraId="33859644">
            <w:pPr>
              <w:autoSpaceDE w:val="0"/>
              <w:autoSpaceDN w:val="0"/>
              <w:adjustRightInd w:val="0"/>
              <w:snapToGrid w:val="0"/>
              <w:spacing w:before="25" w:after="25" w:line="360" w:lineRule="auto"/>
              <w:rPr>
                <w:rFonts w:hint="eastAsia" w:ascii="宋体" w:hAnsi="宋体"/>
                <w:kern w:val="0"/>
                <w:sz w:val="24"/>
              </w:rPr>
            </w:pPr>
          </w:p>
        </w:tc>
        <w:tc>
          <w:tcPr>
            <w:tcW w:w="817" w:type="dxa"/>
          </w:tcPr>
          <w:p w14:paraId="26E26B2C">
            <w:pPr>
              <w:autoSpaceDE w:val="0"/>
              <w:autoSpaceDN w:val="0"/>
              <w:adjustRightInd w:val="0"/>
              <w:snapToGrid w:val="0"/>
              <w:spacing w:before="25" w:after="25" w:line="360" w:lineRule="auto"/>
              <w:rPr>
                <w:rFonts w:hint="eastAsia" w:ascii="宋体" w:hAnsi="宋体"/>
                <w:kern w:val="0"/>
                <w:sz w:val="24"/>
              </w:rPr>
            </w:pPr>
          </w:p>
        </w:tc>
        <w:tc>
          <w:tcPr>
            <w:tcW w:w="1309" w:type="dxa"/>
          </w:tcPr>
          <w:p w14:paraId="573640DD">
            <w:pPr>
              <w:autoSpaceDE w:val="0"/>
              <w:autoSpaceDN w:val="0"/>
              <w:adjustRightInd w:val="0"/>
              <w:snapToGrid w:val="0"/>
              <w:spacing w:before="25" w:after="25" w:line="360" w:lineRule="auto"/>
              <w:rPr>
                <w:rFonts w:hint="eastAsia" w:ascii="宋体" w:hAnsi="宋体"/>
                <w:kern w:val="0"/>
                <w:sz w:val="24"/>
              </w:rPr>
            </w:pPr>
          </w:p>
        </w:tc>
        <w:tc>
          <w:tcPr>
            <w:tcW w:w="851" w:type="dxa"/>
          </w:tcPr>
          <w:p w14:paraId="57633BDF">
            <w:pPr>
              <w:autoSpaceDE w:val="0"/>
              <w:autoSpaceDN w:val="0"/>
              <w:adjustRightInd w:val="0"/>
              <w:snapToGrid w:val="0"/>
              <w:spacing w:before="25" w:after="25" w:line="360" w:lineRule="auto"/>
              <w:rPr>
                <w:rFonts w:hint="eastAsia" w:ascii="宋体" w:hAnsi="宋体"/>
                <w:kern w:val="0"/>
                <w:sz w:val="24"/>
              </w:rPr>
            </w:pPr>
          </w:p>
        </w:tc>
      </w:tr>
      <w:tr w14:paraId="2F157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4" w:type="dxa"/>
          </w:tcPr>
          <w:p w14:paraId="3CCBEC88">
            <w:pPr>
              <w:autoSpaceDE w:val="0"/>
              <w:autoSpaceDN w:val="0"/>
              <w:adjustRightInd w:val="0"/>
              <w:snapToGrid w:val="0"/>
              <w:spacing w:before="25" w:after="25" w:line="360" w:lineRule="auto"/>
              <w:rPr>
                <w:rFonts w:hint="eastAsia" w:ascii="宋体" w:hAnsi="宋体"/>
                <w:kern w:val="0"/>
                <w:sz w:val="24"/>
              </w:rPr>
            </w:pPr>
          </w:p>
        </w:tc>
        <w:tc>
          <w:tcPr>
            <w:tcW w:w="794" w:type="dxa"/>
          </w:tcPr>
          <w:p w14:paraId="763DFE5C">
            <w:pPr>
              <w:autoSpaceDE w:val="0"/>
              <w:autoSpaceDN w:val="0"/>
              <w:adjustRightInd w:val="0"/>
              <w:snapToGrid w:val="0"/>
              <w:spacing w:before="25" w:after="25" w:line="360" w:lineRule="auto"/>
              <w:rPr>
                <w:rFonts w:hint="eastAsia" w:ascii="宋体" w:hAnsi="宋体"/>
                <w:kern w:val="0"/>
                <w:sz w:val="24"/>
              </w:rPr>
            </w:pPr>
          </w:p>
        </w:tc>
        <w:tc>
          <w:tcPr>
            <w:tcW w:w="794" w:type="dxa"/>
          </w:tcPr>
          <w:p w14:paraId="43541146">
            <w:pPr>
              <w:autoSpaceDE w:val="0"/>
              <w:autoSpaceDN w:val="0"/>
              <w:adjustRightInd w:val="0"/>
              <w:snapToGrid w:val="0"/>
              <w:spacing w:before="25" w:after="25" w:line="360" w:lineRule="auto"/>
              <w:rPr>
                <w:rFonts w:hint="eastAsia" w:ascii="宋体" w:hAnsi="宋体"/>
                <w:kern w:val="0"/>
                <w:sz w:val="24"/>
              </w:rPr>
            </w:pPr>
          </w:p>
        </w:tc>
        <w:tc>
          <w:tcPr>
            <w:tcW w:w="1270" w:type="dxa"/>
          </w:tcPr>
          <w:p w14:paraId="0B277C08">
            <w:pPr>
              <w:autoSpaceDE w:val="0"/>
              <w:autoSpaceDN w:val="0"/>
              <w:adjustRightInd w:val="0"/>
              <w:snapToGrid w:val="0"/>
              <w:spacing w:before="25" w:after="25" w:line="360" w:lineRule="auto"/>
              <w:rPr>
                <w:rFonts w:hint="eastAsia" w:ascii="宋体" w:hAnsi="宋体"/>
                <w:kern w:val="0"/>
                <w:sz w:val="24"/>
              </w:rPr>
            </w:pPr>
          </w:p>
        </w:tc>
        <w:tc>
          <w:tcPr>
            <w:tcW w:w="851" w:type="dxa"/>
          </w:tcPr>
          <w:p w14:paraId="04CDEAF8">
            <w:pPr>
              <w:autoSpaceDE w:val="0"/>
              <w:autoSpaceDN w:val="0"/>
              <w:adjustRightInd w:val="0"/>
              <w:snapToGrid w:val="0"/>
              <w:spacing w:before="25" w:after="25" w:line="360" w:lineRule="auto"/>
              <w:rPr>
                <w:rFonts w:hint="eastAsia" w:ascii="宋体" w:hAnsi="宋体"/>
                <w:kern w:val="0"/>
                <w:sz w:val="24"/>
              </w:rPr>
            </w:pPr>
          </w:p>
        </w:tc>
        <w:tc>
          <w:tcPr>
            <w:tcW w:w="850" w:type="dxa"/>
          </w:tcPr>
          <w:p w14:paraId="6ABBD813">
            <w:pPr>
              <w:autoSpaceDE w:val="0"/>
              <w:autoSpaceDN w:val="0"/>
              <w:adjustRightInd w:val="0"/>
              <w:snapToGrid w:val="0"/>
              <w:spacing w:before="25" w:after="25" w:line="360" w:lineRule="auto"/>
              <w:rPr>
                <w:rFonts w:hint="eastAsia" w:ascii="宋体" w:hAnsi="宋体"/>
                <w:kern w:val="0"/>
                <w:sz w:val="24"/>
              </w:rPr>
            </w:pPr>
          </w:p>
        </w:tc>
        <w:tc>
          <w:tcPr>
            <w:tcW w:w="817" w:type="dxa"/>
          </w:tcPr>
          <w:p w14:paraId="435D42A5">
            <w:pPr>
              <w:autoSpaceDE w:val="0"/>
              <w:autoSpaceDN w:val="0"/>
              <w:adjustRightInd w:val="0"/>
              <w:snapToGrid w:val="0"/>
              <w:spacing w:before="25" w:after="25" w:line="360" w:lineRule="auto"/>
              <w:rPr>
                <w:rFonts w:hint="eastAsia" w:ascii="宋体" w:hAnsi="宋体"/>
                <w:kern w:val="0"/>
                <w:sz w:val="24"/>
              </w:rPr>
            </w:pPr>
          </w:p>
        </w:tc>
        <w:tc>
          <w:tcPr>
            <w:tcW w:w="1309" w:type="dxa"/>
          </w:tcPr>
          <w:p w14:paraId="6BD28370">
            <w:pPr>
              <w:autoSpaceDE w:val="0"/>
              <w:autoSpaceDN w:val="0"/>
              <w:adjustRightInd w:val="0"/>
              <w:snapToGrid w:val="0"/>
              <w:spacing w:before="25" w:after="25" w:line="360" w:lineRule="auto"/>
              <w:rPr>
                <w:rFonts w:hint="eastAsia" w:ascii="宋体" w:hAnsi="宋体"/>
                <w:kern w:val="0"/>
                <w:sz w:val="24"/>
              </w:rPr>
            </w:pPr>
          </w:p>
        </w:tc>
        <w:tc>
          <w:tcPr>
            <w:tcW w:w="851" w:type="dxa"/>
          </w:tcPr>
          <w:p w14:paraId="0609552E">
            <w:pPr>
              <w:autoSpaceDE w:val="0"/>
              <w:autoSpaceDN w:val="0"/>
              <w:adjustRightInd w:val="0"/>
              <w:snapToGrid w:val="0"/>
              <w:spacing w:before="25" w:after="25" w:line="360" w:lineRule="auto"/>
              <w:rPr>
                <w:rFonts w:hint="eastAsia" w:ascii="宋体" w:hAnsi="宋体"/>
                <w:kern w:val="0"/>
                <w:sz w:val="24"/>
              </w:rPr>
            </w:pPr>
          </w:p>
        </w:tc>
      </w:tr>
    </w:tbl>
    <w:p w14:paraId="4C5F8362">
      <w:pPr>
        <w:autoSpaceDE w:val="0"/>
        <w:autoSpaceDN w:val="0"/>
        <w:adjustRightInd w:val="0"/>
        <w:snapToGrid w:val="0"/>
        <w:spacing w:before="25" w:after="25" w:line="360" w:lineRule="auto"/>
        <w:rPr>
          <w:rFonts w:hint="eastAsia" w:ascii="宋体" w:hAnsi="宋体"/>
          <w:sz w:val="24"/>
        </w:rPr>
      </w:pPr>
    </w:p>
    <w:p w14:paraId="448225B2">
      <w:pPr>
        <w:autoSpaceDE w:val="0"/>
        <w:autoSpaceDN w:val="0"/>
        <w:adjustRightInd w:val="0"/>
        <w:snapToGrid w:val="0"/>
        <w:spacing w:before="25" w:after="25" w:line="360" w:lineRule="auto"/>
        <w:rPr>
          <w:rFonts w:hint="eastAsia" w:ascii="宋体" w:hAnsi="宋体"/>
          <w:sz w:val="24"/>
        </w:rPr>
      </w:pPr>
    </w:p>
    <w:p w14:paraId="43D51762">
      <w:pPr>
        <w:autoSpaceDE w:val="0"/>
        <w:autoSpaceDN w:val="0"/>
        <w:adjustRightInd w:val="0"/>
        <w:snapToGrid w:val="0"/>
        <w:spacing w:before="25" w:after="25" w:line="360" w:lineRule="auto"/>
        <w:rPr>
          <w:rFonts w:hint="eastAsia" w:ascii="宋体" w:hAnsi="宋体"/>
          <w:sz w:val="24"/>
          <w:u w:val="none"/>
          <w:lang w:val="zh-CN"/>
        </w:rPr>
      </w:pPr>
      <w:r>
        <w:rPr>
          <w:rFonts w:ascii="宋体" w:hAnsi="宋体"/>
          <w:sz w:val="24"/>
          <w:u w:val="none"/>
        </w:rPr>
        <w:t>供应商名称（加盖公章）</w:t>
      </w:r>
      <w:r>
        <w:rPr>
          <w:rFonts w:ascii="宋体" w:hAnsi="宋体"/>
          <w:sz w:val="24"/>
          <w:u w:val="none"/>
          <w:lang w:val="zh-CN"/>
        </w:rPr>
        <w:t>：</w:t>
      </w:r>
      <w:r>
        <w:rPr>
          <w:rFonts w:ascii="宋体" w:hAnsi="宋体"/>
          <w:sz w:val="24"/>
          <w:u w:val="none"/>
        </w:rPr>
        <w:t>___________</w:t>
      </w:r>
    </w:p>
    <w:p w14:paraId="60EEE530">
      <w:pPr>
        <w:autoSpaceDE w:val="0"/>
        <w:autoSpaceDN w:val="0"/>
        <w:adjustRightInd w:val="0"/>
        <w:snapToGrid w:val="0"/>
        <w:spacing w:line="360" w:lineRule="auto"/>
        <w:rPr>
          <w:rFonts w:hint="eastAsia" w:ascii="宋体" w:hAnsi="宋体"/>
          <w:sz w:val="24"/>
          <w:szCs w:val="20"/>
          <w:u w:val="none"/>
        </w:rPr>
      </w:pPr>
      <w:r>
        <w:rPr>
          <w:rFonts w:ascii="宋体" w:hAnsi="宋体"/>
          <w:sz w:val="24"/>
          <w:u w:val="none"/>
        </w:rPr>
        <w:t>日期：</w:t>
      </w:r>
      <w:r>
        <w:rPr>
          <w:rFonts w:ascii="宋体" w:hAnsi="宋体"/>
          <w:sz w:val="24"/>
          <w:szCs w:val="20"/>
          <w:u w:val="none"/>
        </w:rPr>
        <w:t>____年____月____日</w:t>
      </w:r>
    </w:p>
    <w:p w14:paraId="3B1CED52">
      <w:pPr>
        <w:widowControl/>
        <w:jc w:val="left"/>
        <w:rPr>
          <w:rFonts w:hint="eastAsia" w:ascii="宋体" w:hAnsi="宋体"/>
          <w:sz w:val="24"/>
          <w:szCs w:val="20"/>
          <w:u w:val="none"/>
        </w:rPr>
      </w:pPr>
      <w:r>
        <w:rPr>
          <w:rFonts w:hint="eastAsia" w:ascii="宋体" w:hAnsi="宋体"/>
          <w:sz w:val="24"/>
          <w:szCs w:val="20"/>
          <w:u w:val="none"/>
        </w:rPr>
        <w:br w:type="page"/>
      </w:r>
    </w:p>
    <w:p w14:paraId="3994A278">
      <w:pPr>
        <w:autoSpaceDE w:val="0"/>
        <w:autoSpaceDN w:val="0"/>
        <w:adjustRightInd w:val="0"/>
        <w:snapToGrid w:val="0"/>
        <w:spacing w:before="25" w:after="25" w:line="360" w:lineRule="auto"/>
        <w:jc w:val="center"/>
        <w:rPr>
          <w:rFonts w:hint="eastAsia" w:ascii="宋体" w:hAnsi="宋体"/>
          <w:b/>
          <w:bCs/>
          <w:sz w:val="36"/>
          <w:szCs w:val="36"/>
          <w:lang w:val="zh-CN"/>
        </w:rPr>
      </w:pPr>
      <w:r>
        <w:rPr>
          <w:rFonts w:ascii="宋体" w:hAnsi="宋体"/>
          <w:b/>
          <w:bCs/>
          <w:sz w:val="36"/>
          <w:szCs w:val="36"/>
        </w:rPr>
        <w:t>（</w:t>
      </w:r>
      <w:r>
        <w:rPr>
          <w:rFonts w:hint="eastAsia" w:ascii="宋体" w:hAnsi="宋体"/>
          <w:b/>
          <w:bCs/>
          <w:sz w:val="36"/>
          <w:szCs w:val="36"/>
        </w:rPr>
        <w:t>二</w:t>
      </w:r>
      <w:r>
        <w:rPr>
          <w:rFonts w:ascii="宋体" w:hAnsi="宋体"/>
          <w:b/>
          <w:bCs/>
          <w:sz w:val="36"/>
          <w:szCs w:val="36"/>
        </w:rPr>
        <w:t>）主要人员简历表</w:t>
      </w:r>
    </w:p>
    <w:p w14:paraId="52C038A6">
      <w:pPr>
        <w:autoSpaceDE w:val="0"/>
        <w:autoSpaceDN w:val="0"/>
        <w:adjustRightInd w:val="0"/>
        <w:snapToGrid w:val="0"/>
        <w:spacing w:line="360" w:lineRule="auto"/>
        <w:rPr>
          <w:rFonts w:hint="eastAsia" w:ascii="宋体" w:hAnsi="宋体"/>
          <w:sz w:val="24"/>
          <w:szCs w:val="20"/>
        </w:rPr>
      </w:pPr>
      <w:r>
        <w:rPr>
          <w:rFonts w:hint="eastAsia" w:ascii="宋体" w:hAnsi="宋体"/>
          <w:sz w:val="24"/>
          <w:szCs w:val="20"/>
        </w:rPr>
        <w:t>附表一</w:t>
      </w:r>
    </w:p>
    <w:p w14:paraId="0097D0E5">
      <w:pPr>
        <w:autoSpaceDE w:val="0"/>
        <w:autoSpaceDN w:val="0"/>
        <w:adjustRightInd w:val="0"/>
        <w:snapToGrid w:val="0"/>
        <w:spacing w:line="360" w:lineRule="auto"/>
        <w:jc w:val="center"/>
        <w:rPr>
          <w:rFonts w:hint="eastAsia" w:ascii="宋体" w:hAnsi="宋体"/>
          <w:sz w:val="24"/>
          <w:szCs w:val="20"/>
        </w:rPr>
      </w:pPr>
      <w:r>
        <w:rPr>
          <w:rFonts w:ascii="宋体" w:hAnsi="宋体"/>
          <w:sz w:val="24"/>
          <w:szCs w:val="20"/>
        </w:rPr>
        <w:t>项目经理简历表</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0"/>
        <w:gridCol w:w="1098"/>
        <w:gridCol w:w="1276"/>
        <w:gridCol w:w="1134"/>
        <w:gridCol w:w="1984"/>
        <w:gridCol w:w="1610"/>
      </w:tblGrid>
      <w:tr w14:paraId="19EAC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0" w:type="dxa"/>
            <w:vAlign w:val="center"/>
          </w:tcPr>
          <w:p w14:paraId="0345B502">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姓名</w:t>
            </w:r>
          </w:p>
        </w:tc>
        <w:tc>
          <w:tcPr>
            <w:tcW w:w="1098" w:type="dxa"/>
            <w:vAlign w:val="center"/>
          </w:tcPr>
          <w:p w14:paraId="243DD00A">
            <w:pPr>
              <w:autoSpaceDE w:val="0"/>
              <w:autoSpaceDN w:val="0"/>
              <w:adjustRightInd w:val="0"/>
              <w:snapToGrid w:val="0"/>
              <w:jc w:val="center"/>
              <w:rPr>
                <w:rFonts w:hint="eastAsia" w:ascii="宋体" w:hAnsi="宋体"/>
                <w:kern w:val="0"/>
                <w:sz w:val="24"/>
                <w:szCs w:val="20"/>
              </w:rPr>
            </w:pPr>
          </w:p>
        </w:tc>
        <w:tc>
          <w:tcPr>
            <w:tcW w:w="1276" w:type="dxa"/>
            <w:vAlign w:val="center"/>
          </w:tcPr>
          <w:p w14:paraId="7262DFF5">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年龄</w:t>
            </w:r>
          </w:p>
        </w:tc>
        <w:tc>
          <w:tcPr>
            <w:tcW w:w="1134" w:type="dxa"/>
            <w:vAlign w:val="center"/>
          </w:tcPr>
          <w:p w14:paraId="5636A00E">
            <w:pPr>
              <w:autoSpaceDE w:val="0"/>
              <w:autoSpaceDN w:val="0"/>
              <w:adjustRightInd w:val="0"/>
              <w:snapToGrid w:val="0"/>
              <w:jc w:val="center"/>
              <w:rPr>
                <w:rFonts w:hint="eastAsia" w:ascii="宋体" w:hAnsi="宋体"/>
                <w:kern w:val="0"/>
                <w:sz w:val="24"/>
                <w:szCs w:val="20"/>
              </w:rPr>
            </w:pPr>
          </w:p>
        </w:tc>
        <w:tc>
          <w:tcPr>
            <w:tcW w:w="1984" w:type="dxa"/>
            <w:vAlign w:val="center"/>
          </w:tcPr>
          <w:p w14:paraId="08A72237">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学历</w:t>
            </w:r>
          </w:p>
        </w:tc>
        <w:tc>
          <w:tcPr>
            <w:tcW w:w="1610" w:type="dxa"/>
            <w:vAlign w:val="center"/>
          </w:tcPr>
          <w:p w14:paraId="0ED84564">
            <w:pPr>
              <w:autoSpaceDE w:val="0"/>
              <w:autoSpaceDN w:val="0"/>
              <w:adjustRightInd w:val="0"/>
              <w:snapToGrid w:val="0"/>
              <w:jc w:val="center"/>
              <w:rPr>
                <w:rFonts w:hint="eastAsia" w:ascii="宋体" w:hAnsi="宋体"/>
                <w:kern w:val="0"/>
                <w:sz w:val="24"/>
                <w:szCs w:val="20"/>
              </w:rPr>
            </w:pPr>
          </w:p>
        </w:tc>
      </w:tr>
      <w:tr w14:paraId="75053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0" w:type="dxa"/>
            <w:vAlign w:val="center"/>
          </w:tcPr>
          <w:p w14:paraId="5E60AB98">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职称</w:t>
            </w:r>
          </w:p>
        </w:tc>
        <w:tc>
          <w:tcPr>
            <w:tcW w:w="1098" w:type="dxa"/>
            <w:vAlign w:val="center"/>
          </w:tcPr>
          <w:p w14:paraId="3DA3BC76">
            <w:pPr>
              <w:autoSpaceDE w:val="0"/>
              <w:autoSpaceDN w:val="0"/>
              <w:adjustRightInd w:val="0"/>
              <w:snapToGrid w:val="0"/>
              <w:jc w:val="center"/>
              <w:rPr>
                <w:rFonts w:hint="eastAsia" w:ascii="宋体" w:hAnsi="宋体"/>
                <w:kern w:val="0"/>
                <w:sz w:val="24"/>
                <w:szCs w:val="20"/>
              </w:rPr>
            </w:pPr>
          </w:p>
        </w:tc>
        <w:tc>
          <w:tcPr>
            <w:tcW w:w="1276" w:type="dxa"/>
            <w:vAlign w:val="center"/>
          </w:tcPr>
          <w:p w14:paraId="4D81D754">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职务</w:t>
            </w:r>
          </w:p>
        </w:tc>
        <w:tc>
          <w:tcPr>
            <w:tcW w:w="1134" w:type="dxa"/>
            <w:vAlign w:val="center"/>
          </w:tcPr>
          <w:p w14:paraId="092E90E7">
            <w:pPr>
              <w:autoSpaceDE w:val="0"/>
              <w:autoSpaceDN w:val="0"/>
              <w:adjustRightInd w:val="0"/>
              <w:snapToGrid w:val="0"/>
              <w:jc w:val="center"/>
              <w:rPr>
                <w:rFonts w:hint="eastAsia" w:ascii="宋体" w:hAnsi="宋体"/>
                <w:kern w:val="0"/>
                <w:sz w:val="24"/>
                <w:szCs w:val="20"/>
              </w:rPr>
            </w:pPr>
          </w:p>
        </w:tc>
        <w:tc>
          <w:tcPr>
            <w:tcW w:w="1984" w:type="dxa"/>
            <w:vAlign w:val="center"/>
          </w:tcPr>
          <w:p w14:paraId="5A79AA29">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拟在本工程任职</w:t>
            </w:r>
          </w:p>
        </w:tc>
        <w:tc>
          <w:tcPr>
            <w:tcW w:w="1610" w:type="dxa"/>
            <w:vAlign w:val="center"/>
          </w:tcPr>
          <w:p w14:paraId="0881C23C">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项目经理</w:t>
            </w:r>
          </w:p>
        </w:tc>
      </w:tr>
      <w:tr w14:paraId="3747D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794" w:type="dxa"/>
            <w:gridSpan w:val="3"/>
            <w:vAlign w:val="center"/>
          </w:tcPr>
          <w:p w14:paraId="60E1FF6E">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注册建造师职业资格等级</w:t>
            </w:r>
          </w:p>
        </w:tc>
        <w:tc>
          <w:tcPr>
            <w:tcW w:w="1134" w:type="dxa"/>
            <w:vAlign w:val="center"/>
          </w:tcPr>
          <w:p w14:paraId="59111712">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级</w:t>
            </w:r>
          </w:p>
        </w:tc>
        <w:tc>
          <w:tcPr>
            <w:tcW w:w="1984" w:type="dxa"/>
            <w:vAlign w:val="center"/>
          </w:tcPr>
          <w:p w14:paraId="7FAEEDE5">
            <w:pPr>
              <w:autoSpaceDE w:val="0"/>
              <w:autoSpaceDN w:val="0"/>
              <w:adjustRightInd w:val="0"/>
              <w:snapToGrid w:val="0"/>
              <w:jc w:val="center"/>
              <w:rPr>
                <w:rFonts w:hint="eastAsia" w:ascii="宋体" w:hAnsi="宋体"/>
                <w:kern w:val="0"/>
                <w:sz w:val="24"/>
                <w:szCs w:val="20"/>
              </w:rPr>
            </w:pPr>
            <w:r>
              <w:rPr>
                <w:rFonts w:ascii="宋体" w:hAnsi="宋体"/>
                <w:kern w:val="0"/>
                <w:sz w:val="24"/>
                <w:szCs w:val="20"/>
              </w:rPr>
              <w:t>建造师专业</w:t>
            </w:r>
          </w:p>
        </w:tc>
        <w:tc>
          <w:tcPr>
            <w:tcW w:w="1610" w:type="dxa"/>
            <w:vAlign w:val="center"/>
          </w:tcPr>
          <w:p w14:paraId="74E95AA8">
            <w:pPr>
              <w:autoSpaceDE w:val="0"/>
              <w:autoSpaceDN w:val="0"/>
              <w:adjustRightInd w:val="0"/>
              <w:snapToGrid w:val="0"/>
              <w:jc w:val="center"/>
              <w:rPr>
                <w:rFonts w:hint="eastAsia" w:ascii="宋体" w:hAnsi="宋体"/>
                <w:kern w:val="0"/>
                <w:sz w:val="24"/>
                <w:szCs w:val="20"/>
              </w:rPr>
            </w:pPr>
          </w:p>
        </w:tc>
      </w:tr>
      <w:tr w14:paraId="4535A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794" w:type="dxa"/>
            <w:gridSpan w:val="3"/>
            <w:vAlign w:val="center"/>
          </w:tcPr>
          <w:p w14:paraId="7574DCC2">
            <w:pPr>
              <w:autoSpaceDE w:val="0"/>
              <w:autoSpaceDN w:val="0"/>
              <w:adjustRightInd w:val="0"/>
              <w:snapToGrid w:val="0"/>
              <w:jc w:val="center"/>
              <w:rPr>
                <w:rFonts w:hint="eastAsia" w:ascii="宋体" w:hAnsi="宋体"/>
                <w:kern w:val="0"/>
                <w:sz w:val="24"/>
                <w:szCs w:val="20"/>
              </w:rPr>
            </w:pPr>
            <w:r>
              <w:rPr>
                <w:rFonts w:ascii="宋体" w:hAnsi="宋体"/>
                <w:kern w:val="0"/>
                <w:sz w:val="24"/>
                <w:szCs w:val="20"/>
              </w:rPr>
              <w:t>安全生产考核合格证书</w:t>
            </w:r>
          </w:p>
        </w:tc>
        <w:tc>
          <w:tcPr>
            <w:tcW w:w="4728" w:type="dxa"/>
            <w:gridSpan w:val="3"/>
            <w:vAlign w:val="center"/>
          </w:tcPr>
          <w:p w14:paraId="090FFBA5">
            <w:pPr>
              <w:autoSpaceDE w:val="0"/>
              <w:autoSpaceDN w:val="0"/>
              <w:adjustRightInd w:val="0"/>
              <w:snapToGrid w:val="0"/>
              <w:jc w:val="center"/>
              <w:rPr>
                <w:rFonts w:hint="eastAsia" w:ascii="宋体" w:hAnsi="宋体"/>
                <w:kern w:val="0"/>
                <w:sz w:val="24"/>
                <w:szCs w:val="20"/>
              </w:rPr>
            </w:pPr>
          </w:p>
        </w:tc>
      </w:tr>
      <w:tr w14:paraId="0454B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1420" w:type="dxa"/>
            <w:vAlign w:val="center"/>
          </w:tcPr>
          <w:p w14:paraId="3611B749">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毕业学校</w:t>
            </w:r>
          </w:p>
        </w:tc>
        <w:tc>
          <w:tcPr>
            <w:tcW w:w="7102" w:type="dxa"/>
            <w:gridSpan w:val="5"/>
            <w:vAlign w:val="center"/>
          </w:tcPr>
          <w:p w14:paraId="404DD0EC">
            <w:pPr>
              <w:autoSpaceDE w:val="0"/>
              <w:autoSpaceDN w:val="0"/>
              <w:adjustRightInd w:val="0"/>
              <w:snapToGrid w:val="0"/>
              <w:jc w:val="center"/>
              <w:rPr>
                <w:rFonts w:hint="eastAsia" w:ascii="宋体" w:hAnsi="宋体"/>
                <w:kern w:val="0"/>
                <w:sz w:val="24"/>
                <w:szCs w:val="20"/>
              </w:rPr>
            </w:pPr>
            <w:r>
              <w:rPr>
                <w:rFonts w:ascii="宋体" w:hAnsi="宋体"/>
                <w:kern w:val="0"/>
                <w:sz w:val="24"/>
                <w:szCs w:val="20"/>
              </w:rPr>
              <w:t>年毕业于</w:t>
            </w:r>
            <w:r>
              <w:rPr>
                <w:rFonts w:hint="eastAsia" w:ascii="宋体" w:hAnsi="宋体"/>
                <w:kern w:val="0"/>
                <w:sz w:val="24"/>
                <w:szCs w:val="20"/>
              </w:rPr>
              <w:t xml:space="preserve">              </w:t>
            </w:r>
            <w:r>
              <w:rPr>
                <w:rFonts w:ascii="宋体" w:hAnsi="宋体"/>
                <w:kern w:val="0"/>
                <w:sz w:val="24"/>
                <w:szCs w:val="20"/>
              </w:rPr>
              <w:t xml:space="preserve"> 学校 </w:t>
            </w:r>
            <w:r>
              <w:rPr>
                <w:rFonts w:hint="eastAsia" w:ascii="宋体" w:hAnsi="宋体"/>
                <w:kern w:val="0"/>
                <w:sz w:val="24"/>
                <w:szCs w:val="20"/>
              </w:rPr>
              <w:t xml:space="preserve">              </w:t>
            </w:r>
            <w:r>
              <w:rPr>
                <w:rFonts w:ascii="宋体" w:hAnsi="宋体"/>
                <w:kern w:val="0"/>
                <w:sz w:val="24"/>
                <w:szCs w:val="20"/>
              </w:rPr>
              <w:t>专业</w:t>
            </w:r>
          </w:p>
        </w:tc>
      </w:tr>
      <w:tr w14:paraId="6A027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22" w:type="dxa"/>
            <w:gridSpan w:val="6"/>
            <w:vAlign w:val="center"/>
          </w:tcPr>
          <w:p w14:paraId="51CABEB1">
            <w:pPr>
              <w:autoSpaceDE w:val="0"/>
              <w:autoSpaceDN w:val="0"/>
              <w:adjustRightInd w:val="0"/>
              <w:snapToGrid w:val="0"/>
              <w:jc w:val="center"/>
              <w:rPr>
                <w:rFonts w:hint="eastAsia" w:ascii="宋体" w:hAnsi="宋体"/>
                <w:kern w:val="0"/>
                <w:sz w:val="24"/>
                <w:szCs w:val="20"/>
              </w:rPr>
            </w:pPr>
            <w:r>
              <w:rPr>
                <w:rFonts w:ascii="宋体" w:hAnsi="宋体"/>
                <w:kern w:val="0"/>
                <w:sz w:val="24"/>
                <w:szCs w:val="20"/>
              </w:rPr>
              <w:t>主要工作经历</w:t>
            </w:r>
          </w:p>
        </w:tc>
      </w:tr>
      <w:tr w14:paraId="569C9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41C157DC">
            <w:pPr>
              <w:autoSpaceDE w:val="0"/>
              <w:autoSpaceDN w:val="0"/>
              <w:adjustRightInd w:val="0"/>
              <w:snapToGrid w:val="0"/>
              <w:spacing w:line="360" w:lineRule="auto"/>
              <w:jc w:val="center"/>
              <w:rPr>
                <w:rFonts w:hint="eastAsia" w:ascii="宋体" w:hAnsi="宋体"/>
                <w:kern w:val="0"/>
                <w:sz w:val="24"/>
                <w:szCs w:val="20"/>
              </w:rPr>
            </w:pPr>
            <w:r>
              <w:rPr>
                <w:rFonts w:hint="eastAsia" w:ascii="宋体" w:hAnsi="宋体"/>
                <w:kern w:val="0"/>
                <w:sz w:val="24"/>
                <w:szCs w:val="20"/>
              </w:rPr>
              <w:t>时间</w:t>
            </w:r>
          </w:p>
        </w:tc>
        <w:tc>
          <w:tcPr>
            <w:tcW w:w="3508" w:type="dxa"/>
            <w:gridSpan w:val="3"/>
            <w:vAlign w:val="center"/>
          </w:tcPr>
          <w:p w14:paraId="5396AB41">
            <w:pPr>
              <w:autoSpaceDE w:val="0"/>
              <w:autoSpaceDN w:val="0"/>
              <w:adjustRightInd w:val="0"/>
              <w:snapToGrid w:val="0"/>
              <w:spacing w:line="360" w:lineRule="auto"/>
              <w:jc w:val="center"/>
              <w:rPr>
                <w:rFonts w:hint="eastAsia" w:ascii="宋体" w:hAnsi="宋体"/>
                <w:kern w:val="0"/>
                <w:sz w:val="24"/>
                <w:szCs w:val="20"/>
              </w:rPr>
            </w:pPr>
            <w:r>
              <w:rPr>
                <w:rFonts w:ascii="宋体" w:hAnsi="宋体"/>
                <w:kern w:val="0"/>
                <w:sz w:val="24"/>
                <w:szCs w:val="20"/>
              </w:rPr>
              <w:t>参加过的类似项目名称</w:t>
            </w:r>
          </w:p>
        </w:tc>
        <w:tc>
          <w:tcPr>
            <w:tcW w:w="1984" w:type="dxa"/>
            <w:vAlign w:val="center"/>
          </w:tcPr>
          <w:p w14:paraId="5634AF68">
            <w:pPr>
              <w:autoSpaceDE w:val="0"/>
              <w:autoSpaceDN w:val="0"/>
              <w:adjustRightInd w:val="0"/>
              <w:snapToGrid w:val="0"/>
              <w:spacing w:line="360" w:lineRule="auto"/>
              <w:jc w:val="center"/>
              <w:rPr>
                <w:rFonts w:hint="eastAsia" w:ascii="宋体" w:hAnsi="宋体"/>
                <w:kern w:val="0"/>
                <w:sz w:val="24"/>
                <w:szCs w:val="20"/>
              </w:rPr>
            </w:pPr>
            <w:r>
              <w:rPr>
                <w:rFonts w:ascii="宋体" w:hAnsi="宋体"/>
                <w:kern w:val="0"/>
                <w:sz w:val="24"/>
                <w:szCs w:val="20"/>
              </w:rPr>
              <w:t>工程概况说明</w:t>
            </w:r>
          </w:p>
        </w:tc>
        <w:tc>
          <w:tcPr>
            <w:tcW w:w="1610" w:type="dxa"/>
            <w:vAlign w:val="center"/>
          </w:tcPr>
          <w:p w14:paraId="3E3A1DF8">
            <w:pPr>
              <w:autoSpaceDE w:val="0"/>
              <w:autoSpaceDN w:val="0"/>
              <w:adjustRightInd w:val="0"/>
              <w:snapToGrid w:val="0"/>
              <w:spacing w:line="360" w:lineRule="auto"/>
              <w:jc w:val="center"/>
              <w:rPr>
                <w:rFonts w:hint="eastAsia" w:ascii="宋体" w:hAnsi="宋体"/>
                <w:kern w:val="0"/>
                <w:sz w:val="24"/>
                <w:szCs w:val="20"/>
              </w:rPr>
            </w:pPr>
            <w:r>
              <w:rPr>
                <w:rFonts w:ascii="宋体" w:hAnsi="宋体"/>
                <w:kern w:val="0"/>
                <w:sz w:val="24"/>
                <w:szCs w:val="20"/>
              </w:rPr>
              <w:t>发包人及联系电话</w:t>
            </w:r>
          </w:p>
        </w:tc>
      </w:tr>
      <w:tr w14:paraId="5B74C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1EBB2794">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0CEA1A55">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0C00DFE3">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1899B300">
            <w:pPr>
              <w:autoSpaceDE w:val="0"/>
              <w:autoSpaceDN w:val="0"/>
              <w:adjustRightInd w:val="0"/>
              <w:snapToGrid w:val="0"/>
              <w:spacing w:line="360" w:lineRule="auto"/>
              <w:jc w:val="center"/>
              <w:rPr>
                <w:rFonts w:hint="eastAsia" w:ascii="宋体" w:hAnsi="宋体"/>
                <w:kern w:val="0"/>
                <w:sz w:val="24"/>
                <w:szCs w:val="20"/>
              </w:rPr>
            </w:pPr>
          </w:p>
        </w:tc>
      </w:tr>
      <w:tr w14:paraId="2F5DD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420" w:type="dxa"/>
            <w:vAlign w:val="center"/>
          </w:tcPr>
          <w:p w14:paraId="1A963FCC">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111A2EF5">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3488292C">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66A0515A">
            <w:pPr>
              <w:autoSpaceDE w:val="0"/>
              <w:autoSpaceDN w:val="0"/>
              <w:adjustRightInd w:val="0"/>
              <w:snapToGrid w:val="0"/>
              <w:spacing w:line="360" w:lineRule="auto"/>
              <w:jc w:val="center"/>
              <w:rPr>
                <w:rFonts w:hint="eastAsia" w:ascii="宋体" w:hAnsi="宋体"/>
                <w:kern w:val="0"/>
                <w:sz w:val="24"/>
                <w:szCs w:val="20"/>
              </w:rPr>
            </w:pPr>
          </w:p>
        </w:tc>
      </w:tr>
      <w:tr w14:paraId="055B6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78192691">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77E98BF2">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55AACC1B">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14651821">
            <w:pPr>
              <w:autoSpaceDE w:val="0"/>
              <w:autoSpaceDN w:val="0"/>
              <w:adjustRightInd w:val="0"/>
              <w:snapToGrid w:val="0"/>
              <w:spacing w:line="360" w:lineRule="auto"/>
              <w:jc w:val="center"/>
              <w:rPr>
                <w:rFonts w:hint="eastAsia" w:ascii="宋体" w:hAnsi="宋体"/>
                <w:kern w:val="0"/>
                <w:sz w:val="24"/>
                <w:szCs w:val="20"/>
              </w:rPr>
            </w:pPr>
          </w:p>
        </w:tc>
      </w:tr>
      <w:tr w14:paraId="6CF32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1C4619C3">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485711BA">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4F4FD5C6">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44C8F887">
            <w:pPr>
              <w:autoSpaceDE w:val="0"/>
              <w:autoSpaceDN w:val="0"/>
              <w:adjustRightInd w:val="0"/>
              <w:snapToGrid w:val="0"/>
              <w:spacing w:line="360" w:lineRule="auto"/>
              <w:jc w:val="center"/>
              <w:rPr>
                <w:rFonts w:hint="eastAsia" w:ascii="宋体" w:hAnsi="宋体"/>
                <w:kern w:val="0"/>
                <w:sz w:val="24"/>
                <w:szCs w:val="20"/>
              </w:rPr>
            </w:pPr>
          </w:p>
        </w:tc>
      </w:tr>
      <w:tr w14:paraId="0AFEA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624D4951">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4A02A3AF">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624E42B2">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6F61837F">
            <w:pPr>
              <w:autoSpaceDE w:val="0"/>
              <w:autoSpaceDN w:val="0"/>
              <w:adjustRightInd w:val="0"/>
              <w:snapToGrid w:val="0"/>
              <w:spacing w:line="360" w:lineRule="auto"/>
              <w:jc w:val="center"/>
              <w:rPr>
                <w:rFonts w:hint="eastAsia" w:ascii="宋体" w:hAnsi="宋体"/>
                <w:kern w:val="0"/>
                <w:sz w:val="24"/>
                <w:szCs w:val="20"/>
              </w:rPr>
            </w:pPr>
          </w:p>
        </w:tc>
      </w:tr>
      <w:tr w14:paraId="4FE0B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420" w:type="dxa"/>
            <w:vAlign w:val="center"/>
          </w:tcPr>
          <w:p w14:paraId="3FC2019C">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10C49AA9">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616E08D4">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55559923">
            <w:pPr>
              <w:autoSpaceDE w:val="0"/>
              <w:autoSpaceDN w:val="0"/>
              <w:adjustRightInd w:val="0"/>
              <w:snapToGrid w:val="0"/>
              <w:spacing w:line="360" w:lineRule="auto"/>
              <w:jc w:val="center"/>
              <w:rPr>
                <w:rFonts w:hint="eastAsia" w:ascii="宋体" w:hAnsi="宋体"/>
                <w:kern w:val="0"/>
                <w:sz w:val="24"/>
                <w:szCs w:val="20"/>
              </w:rPr>
            </w:pPr>
          </w:p>
        </w:tc>
      </w:tr>
      <w:tr w14:paraId="3C257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6501462E">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7CEE413A">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5B494B33">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25D6CA8E">
            <w:pPr>
              <w:autoSpaceDE w:val="0"/>
              <w:autoSpaceDN w:val="0"/>
              <w:adjustRightInd w:val="0"/>
              <w:snapToGrid w:val="0"/>
              <w:spacing w:line="360" w:lineRule="auto"/>
              <w:jc w:val="center"/>
              <w:rPr>
                <w:rFonts w:hint="eastAsia" w:ascii="宋体" w:hAnsi="宋体"/>
                <w:kern w:val="0"/>
                <w:sz w:val="24"/>
                <w:szCs w:val="20"/>
              </w:rPr>
            </w:pPr>
          </w:p>
        </w:tc>
      </w:tr>
      <w:tr w14:paraId="2882A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0B1CD6A1">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6C6296AF">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1D3B9A42">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129991FF">
            <w:pPr>
              <w:autoSpaceDE w:val="0"/>
              <w:autoSpaceDN w:val="0"/>
              <w:adjustRightInd w:val="0"/>
              <w:snapToGrid w:val="0"/>
              <w:spacing w:line="360" w:lineRule="auto"/>
              <w:jc w:val="center"/>
              <w:rPr>
                <w:rFonts w:hint="eastAsia" w:ascii="宋体" w:hAnsi="宋体"/>
                <w:kern w:val="0"/>
                <w:sz w:val="24"/>
                <w:szCs w:val="20"/>
              </w:rPr>
            </w:pPr>
          </w:p>
        </w:tc>
      </w:tr>
      <w:tr w14:paraId="4A99A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160BB859">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5AABE81A">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0FF40903">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200A6A38">
            <w:pPr>
              <w:autoSpaceDE w:val="0"/>
              <w:autoSpaceDN w:val="0"/>
              <w:adjustRightInd w:val="0"/>
              <w:snapToGrid w:val="0"/>
              <w:spacing w:line="360" w:lineRule="auto"/>
              <w:jc w:val="center"/>
              <w:rPr>
                <w:rFonts w:hint="eastAsia" w:ascii="宋体" w:hAnsi="宋体"/>
                <w:kern w:val="0"/>
                <w:sz w:val="24"/>
                <w:szCs w:val="20"/>
              </w:rPr>
            </w:pPr>
          </w:p>
        </w:tc>
      </w:tr>
    </w:tbl>
    <w:p w14:paraId="07E5C0ED">
      <w:pPr>
        <w:autoSpaceDE w:val="0"/>
        <w:autoSpaceDN w:val="0"/>
        <w:adjustRightInd w:val="0"/>
        <w:snapToGrid w:val="0"/>
        <w:spacing w:line="360" w:lineRule="auto"/>
        <w:jc w:val="left"/>
        <w:rPr>
          <w:rFonts w:hint="eastAsia" w:ascii="宋体" w:hAnsi="宋体"/>
          <w:b/>
          <w:bCs/>
          <w:sz w:val="24"/>
          <w:szCs w:val="20"/>
        </w:rPr>
      </w:pPr>
    </w:p>
    <w:p w14:paraId="10FDFE56">
      <w:pPr>
        <w:autoSpaceDE w:val="0"/>
        <w:autoSpaceDN w:val="0"/>
        <w:adjustRightInd w:val="0"/>
        <w:snapToGrid w:val="0"/>
        <w:spacing w:line="360" w:lineRule="auto"/>
        <w:jc w:val="left"/>
        <w:rPr>
          <w:rFonts w:hint="eastAsia" w:ascii="宋体" w:hAnsi="宋体"/>
          <w:b/>
          <w:bCs/>
          <w:sz w:val="24"/>
          <w:szCs w:val="20"/>
        </w:rPr>
      </w:pPr>
      <w:r>
        <w:rPr>
          <w:rFonts w:hint="eastAsia" w:ascii="宋体" w:hAnsi="宋体"/>
          <w:b/>
          <w:bCs/>
          <w:sz w:val="24"/>
          <w:szCs w:val="20"/>
        </w:rPr>
        <w:t>注：应按文件要求在本表后附相关证书</w:t>
      </w:r>
    </w:p>
    <w:p w14:paraId="77BE6DF8">
      <w:pPr>
        <w:widowControl/>
        <w:jc w:val="left"/>
        <w:rPr>
          <w:rFonts w:hint="eastAsia" w:ascii="宋体" w:hAnsi="宋体"/>
          <w:sz w:val="24"/>
          <w:szCs w:val="20"/>
        </w:rPr>
      </w:pPr>
      <w:r>
        <w:rPr>
          <w:rFonts w:hint="eastAsia" w:ascii="宋体" w:hAnsi="宋体"/>
          <w:sz w:val="24"/>
          <w:szCs w:val="20"/>
        </w:rPr>
        <w:br w:type="page"/>
      </w:r>
    </w:p>
    <w:p w14:paraId="6DC81DD2">
      <w:pPr>
        <w:autoSpaceDE w:val="0"/>
        <w:autoSpaceDN w:val="0"/>
        <w:adjustRightInd w:val="0"/>
        <w:snapToGrid w:val="0"/>
        <w:spacing w:line="360" w:lineRule="auto"/>
        <w:rPr>
          <w:rFonts w:hint="eastAsia" w:ascii="宋体" w:hAnsi="宋体"/>
          <w:sz w:val="24"/>
          <w:szCs w:val="20"/>
        </w:rPr>
      </w:pPr>
      <w:r>
        <w:rPr>
          <w:rFonts w:hint="eastAsia" w:ascii="宋体" w:hAnsi="宋体"/>
          <w:sz w:val="24"/>
          <w:szCs w:val="20"/>
        </w:rPr>
        <w:t>附表二</w:t>
      </w:r>
    </w:p>
    <w:p w14:paraId="312D02B1">
      <w:pPr>
        <w:autoSpaceDE w:val="0"/>
        <w:autoSpaceDN w:val="0"/>
        <w:adjustRightInd w:val="0"/>
        <w:snapToGrid w:val="0"/>
        <w:spacing w:line="360" w:lineRule="auto"/>
        <w:jc w:val="center"/>
        <w:rPr>
          <w:rFonts w:hint="eastAsia" w:ascii="宋体" w:hAnsi="宋体"/>
          <w:sz w:val="24"/>
          <w:szCs w:val="20"/>
        </w:rPr>
      </w:pPr>
      <w:r>
        <w:rPr>
          <w:rFonts w:hint="eastAsia" w:ascii="宋体" w:hAnsi="宋体"/>
          <w:sz w:val="24"/>
          <w:szCs w:val="20"/>
        </w:rPr>
        <w:t>技术负责人</w:t>
      </w:r>
      <w:r>
        <w:rPr>
          <w:rFonts w:ascii="宋体" w:hAnsi="宋体"/>
          <w:sz w:val="24"/>
          <w:szCs w:val="20"/>
        </w:rPr>
        <w:t>简历表</w:t>
      </w:r>
      <w:r>
        <w:rPr>
          <w:rFonts w:hint="eastAsia" w:ascii="宋体" w:hAnsi="宋体"/>
          <w:sz w:val="24"/>
          <w:szCs w:val="20"/>
        </w:rPr>
        <w:t>（如配置）</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0"/>
        <w:gridCol w:w="1098"/>
        <w:gridCol w:w="1276"/>
        <w:gridCol w:w="1134"/>
        <w:gridCol w:w="1984"/>
        <w:gridCol w:w="1610"/>
      </w:tblGrid>
      <w:tr w14:paraId="5F26B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0" w:type="dxa"/>
            <w:vAlign w:val="center"/>
          </w:tcPr>
          <w:p w14:paraId="26CD0E74">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姓名</w:t>
            </w:r>
          </w:p>
        </w:tc>
        <w:tc>
          <w:tcPr>
            <w:tcW w:w="1098" w:type="dxa"/>
            <w:vAlign w:val="center"/>
          </w:tcPr>
          <w:p w14:paraId="23B03CED">
            <w:pPr>
              <w:autoSpaceDE w:val="0"/>
              <w:autoSpaceDN w:val="0"/>
              <w:adjustRightInd w:val="0"/>
              <w:snapToGrid w:val="0"/>
              <w:jc w:val="center"/>
              <w:rPr>
                <w:rFonts w:hint="eastAsia" w:ascii="宋体" w:hAnsi="宋体"/>
                <w:kern w:val="0"/>
                <w:sz w:val="24"/>
                <w:szCs w:val="20"/>
              </w:rPr>
            </w:pPr>
          </w:p>
        </w:tc>
        <w:tc>
          <w:tcPr>
            <w:tcW w:w="1276" w:type="dxa"/>
            <w:vAlign w:val="center"/>
          </w:tcPr>
          <w:p w14:paraId="3B1E2032">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年龄</w:t>
            </w:r>
          </w:p>
        </w:tc>
        <w:tc>
          <w:tcPr>
            <w:tcW w:w="1134" w:type="dxa"/>
            <w:vAlign w:val="center"/>
          </w:tcPr>
          <w:p w14:paraId="0DC5FEAD">
            <w:pPr>
              <w:autoSpaceDE w:val="0"/>
              <w:autoSpaceDN w:val="0"/>
              <w:adjustRightInd w:val="0"/>
              <w:snapToGrid w:val="0"/>
              <w:jc w:val="center"/>
              <w:rPr>
                <w:rFonts w:hint="eastAsia" w:ascii="宋体" w:hAnsi="宋体"/>
                <w:kern w:val="0"/>
                <w:sz w:val="24"/>
                <w:szCs w:val="20"/>
              </w:rPr>
            </w:pPr>
          </w:p>
        </w:tc>
        <w:tc>
          <w:tcPr>
            <w:tcW w:w="1984" w:type="dxa"/>
            <w:vAlign w:val="center"/>
          </w:tcPr>
          <w:p w14:paraId="7FC7E486">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学历</w:t>
            </w:r>
          </w:p>
        </w:tc>
        <w:tc>
          <w:tcPr>
            <w:tcW w:w="1610" w:type="dxa"/>
            <w:vAlign w:val="center"/>
          </w:tcPr>
          <w:p w14:paraId="3296D2EE">
            <w:pPr>
              <w:autoSpaceDE w:val="0"/>
              <w:autoSpaceDN w:val="0"/>
              <w:adjustRightInd w:val="0"/>
              <w:snapToGrid w:val="0"/>
              <w:jc w:val="center"/>
              <w:rPr>
                <w:rFonts w:hint="eastAsia" w:ascii="宋体" w:hAnsi="宋体"/>
                <w:kern w:val="0"/>
                <w:sz w:val="24"/>
                <w:szCs w:val="20"/>
              </w:rPr>
            </w:pPr>
          </w:p>
        </w:tc>
      </w:tr>
      <w:tr w14:paraId="22711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0" w:type="dxa"/>
            <w:vAlign w:val="center"/>
          </w:tcPr>
          <w:p w14:paraId="6C4CCE18">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职称</w:t>
            </w:r>
          </w:p>
        </w:tc>
        <w:tc>
          <w:tcPr>
            <w:tcW w:w="1098" w:type="dxa"/>
            <w:vAlign w:val="center"/>
          </w:tcPr>
          <w:p w14:paraId="598B6062">
            <w:pPr>
              <w:autoSpaceDE w:val="0"/>
              <w:autoSpaceDN w:val="0"/>
              <w:adjustRightInd w:val="0"/>
              <w:snapToGrid w:val="0"/>
              <w:jc w:val="center"/>
              <w:rPr>
                <w:rFonts w:hint="eastAsia" w:ascii="宋体" w:hAnsi="宋体"/>
                <w:kern w:val="0"/>
                <w:sz w:val="24"/>
                <w:szCs w:val="20"/>
              </w:rPr>
            </w:pPr>
          </w:p>
        </w:tc>
        <w:tc>
          <w:tcPr>
            <w:tcW w:w="1276" w:type="dxa"/>
            <w:vAlign w:val="center"/>
          </w:tcPr>
          <w:p w14:paraId="52FD7E92">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职务</w:t>
            </w:r>
          </w:p>
        </w:tc>
        <w:tc>
          <w:tcPr>
            <w:tcW w:w="1134" w:type="dxa"/>
            <w:vAlign w:val="center"/>
          </w:tcPr>
          <w:p w14:paraId="61ED8140">
            <w:pPr>
              <w:autoSpaceDE w:val="0"/>
              <w:autoSpaceDN w:val="0"/>
              <w:adjustRightInd w:val="0"/>
              <w:snapToGrid w:val="0"/>
              <w:jc w:val="center"/>
              <w:rPr>
                <w:rFonts w:hint="eastAsia" w:ascii="宋体" w:hAnsi="宋体"/>
                <w:kern w:val="0"/>
                <w:sz w:val="24"/>
                <w:szCs w:val="20"/>
              </w:rPr>
            </w:pPr>
          </w:p>
        </w:tc>
        <w:tc>
          <w:tcPr>
            <w:tcW w:w="1984" w:type="dxa"/>
            <w:vAlign w:val="center"/>
          </w:tcPr>
          <w:p w14:paraId="6F8468C3">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拟在本工程任职</w:t>
            </w:r>
          </w:p>
        </w:tc>
        <w:tc>
          <w:tcPr>
            <w:tcW w:w="1610" w:type="dxa"/>
            <w:vAlign w:val="center"/>
          </w:tcPr>
          <w:p w14:paraId="45B3EBFD">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技术负责人</w:t>
            </w:r>
          </w:p>
        </w:tc>
      </w:tr>
      <w:tr w14:paraId="00FCA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794" w:type="dxa"/>
            <w:gridSpan w:val="3"/>
            <w:vAlign w:val="center"/>
          </w:tcPr>
          <w:p w14:paraId="67DF01F9">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注册建造师职业资格等级</w:t>
            </w:r>
          </w:p>
        </w:tc>
        <w:tc>
          <w:tcPr>
            <w:tcW w:w="1134" w:type="dxa"/>
            <w:vAlign w:val="center"/>
          </w:tcPr>
          <w:p w14:paraId="715BA39E">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级</w:t>
            </w:r>
          </w:p>
        </w:tc>
        <w:tc>
          <w:tcPr>
            <w:tcW w:w="1984" w:type="dxa"/>
            <w:vAlign w:val="center"/>
          </w:tcPr>
          <w:p w14:paraId="63A0CF65">
            <w:pPr>
              <w:autoSpaceDE w:val="0"/>
              <w:autoSpaceDN w:val="0"/>
              <w:adjustRightInd w:val="0"/>
              <w:snapToGrid w:val="0"/>
              <w:jc w:val="center"/>
              <w:rPr>
                <w:rFonts w:hint="eastAsia" w:ascii="宋体" w:hAnsi="宋体"/>
                <w:kern w:val="0"/>
                <w:sz w:val="24"/>
                <w:szCs w:val="20"/>
              </w:rPr>
            </w:pPr>
            <w:r>
              <w:rPr>
                <w:rFonts w:ascii="宋体" w:hAnsi="宋体"/>
                <w:kern w:val="0"/>
                <w:sz w:val="24"/>
                <w:szCs w:val="20"/>
              </w:rPr>
              <w:t>建造师专业</w:t>
            </w:r>
          </w:p>
        </w:tc>
        <w:tc>
          <w:tcPr>
            <w:tcW w:w="1610" w:type="dxa"/>
            <w:vAlign w:val="center"/>
          </w:tcPr>
          <w:p w14:paraId="2B413E38">
            <w:pPr>
              <w:autoSpaceDE w:val="0"/>
              <w:autoSpaceDN w:val="0"/>
              <w:adjustRightInd w:val="0"/>
              <w:snapToGrid w:val="0"/>
              <w:jc w:val="center"/>
              <w:rPr>
                <w:rFonts w:hint="eastAsia" w:ascii="宋体" w:hAnsi="宋体"/>
                <w:kern w:val="0"/>
                <w:sz w:val="24"/>
                <w:szCs w:val="20"/>
              </w:rPr>
            </w:pPr>
          </w:p>
        </w:tc>
      </w:tr>
      <w:tr w14:paraId="32D0C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794" w:type="dxa"/>
            <w:gridSpan w:val="3"/>
            <w:vAlign w:val="center"/>
          </w:tcPr>
          <w:p w14:paraId="787B5939">
            <w:pPr>
              <w:autoSpaceDE w:val="0"/>
              <w:autoSpaceDN w:val="0"/>
              <w:adjustRightInd w:val="0"/>
              <w:snapToGrid w:val="0"/>
              <w:jc w:val="center"/>
              <w:rPr>
                <w:rFonts w:hint="eastAsia" w:ascii="宋体" w:hAnsi="宋体"/>
                <w:kern w:val="0"/>
                <w:sz w:val="24"/>
                <w:szCs w:val="20"/>
              </w:rPr>
            </w:pPr>
            <w:r>
              <w:rPr>
                <w:rFonts w:ascii="宋体" w:hAnsi="宋体"/>
                <w:kern w:val="0"/>
                <w:sz w:val="24"/>
                <w:szCs w:val="20"/>
              </w:rPr>
              <w:t>安全生产考核合格证书</w:t>
            </w:r>
          </w:p>
        </w:tc>
        <w:tc>
          <w:tcPr>
            <w:tcW w:w="4728" w:type="dxa"/>
            <w:gridSpan w:val="3"/>
            <w:vAlign w:val="center"/>
          </w:tcPr>
          <w:p w14:paraId="2F1AD100">
            <w:pPr>
              <w:autoSpaceDE w:val="0"/>
              <w:autoSpaceDN w:val="0"/>
              <w:adjustRightInd w:val="0"/>
              <w:snapToGrid w:val="0"/>
              <w:jc w:val="center"/>
              <w:rPr>
                <w:rFonts w:hint="eastAsia" w:ascii="宋体" w:hAnsi="宋体"/>
                <w:kern w:val="0"/>
                <w:sz w:val="24"/>
                <w:szCs w:val="20"/>
              </w:rPr>
            </w:pPr>
          </w:p>
        </w:tc>
      </w:tr>
      <w:tr w14:paraId="03DCA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0" w:type="dxa"/>
            <w:vAlign w:val="center"/>
          </w:tcPr>
          <w:p w14:paraId="0E12BBA9">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毕业学校</w:t>
            </w:r>
          </w:p>
        </w:tc>
        <w:tc>
          <w:tcPr>
            <w:tcW w:w="7102" w:type="dxa"/>
            <w:gridSpan w:val="5"/>
            <w:vAlign w:val="center"/>
          </w:tcPr>
          <w:p w14:paraId="7FB5FDF5">
            <w:pPr>
              <w:autoSpaceDE w:val="0"/>
              <w:autoSpaceDN w:val="0"/>
              <w:adjustRightInd w:val="0"/>
              <w:snapToGrid w:val="0"/>
              <w:jc w:val="center"/>
              <w:rPr>
                <w:rFonts w:hint="eastAsia" w:ascii="宋体" w:hAnsi="宋体"/>
                <w:kern w:val="0"/>
                <w:sz w:val="24"/>
                <w:szCs w:val="20"/>
              </w:rPr>
            </w:pPr>
            <w:r>
              <w:rPr>
                <w:rFonts w:ascii="宋体" w:hAnsi="宋体"/>
                <w:kern w:val="0"/>
                <w:sz w:val="24"/>
                <w:szCs w:val="20"/>
              </w:rPr>
              <w:t>年毕业于</w:t>
            </w:r>
            <w:r>
              <w:rPr>
                <w:rFonts w:hint="eastAsia" w:ascii="宋体" w:hAnsi="宋体"/>
                <w:kern w:val="0"/>
                <w:sz w:val="24"/>
                <w:szCs w:val="20"/>
              </w:rPr>
              <w:t xml:space="preserve">              </w:t>
            </w:r>
            <w:r>
              <w:rPr>
                <w:rFonts w:ascii="宋体" w:hAnsi="宋体"/>
                <w:kern w:val="0"/>
                <w:sz w:val="24"/>
                <w:szCs w:val="20"/>
              </w:rPr>
              <w:t xml:space="preserve"> 学校 </w:t>
            </w:r>
            <w:r>
              <w:rPr>
                <w:rFonts w:hint="eastAsia" w:ascii="宋体" w:hAnsi="宋体"/>
                <w:kern w:val="0"/>
                <w:sz w:val="24"/>
                <w:szCs w:val="20"/>
              </w:rPr>
              <w:t xml:space="preserve">              </w:t>
            </w:r>
            <w:r>
              <w:rPr>
                <w:rFonts w:ascii="宋体" w:hAnsi="宋体"/>
                <w:kern w:val="0"/>
                <w:sz w:val="24"/>
                <w:szCs w:val="20"/>
              </w:rPr>
              <w:t>专业</w:t>
            </w:r>
          </w:p>
        </w:tc>
      </w:tr>
      <w:tr w14:paraId="7BD5D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22" w:type="dxa"/>
            <w:gridSpan w:val="6"/>
            <w:vAlign w:val="center"/>
          </w:tcPr>
          <w:p w14:paraId="444DE84E">
            <w:pPr>
              <w:autoSpaceDE w:val="0"/>
              <w:autoSpaceDN w:val="0"/>
              <w:adjustRightInd w:val="0"/>
              <w:snapToGrid w:val="0"/>
              <w:jc w:val="center"/>
              <w:rPr>
                <w:rFonts w:hint="eastAsia" w:ascii="宋体" w:hAnsi="宋体"/>
                <w:kern w:val="0"/>
                <w:sz w:val="24"/>
                <w:szCs w:val="20"/>
              </w:rPr>
            </w:pPr>
            <w:r>
              <w:rPr>
                <w:rFonts w:ascii="宋体" w:hAnsi="宋体"/>
                <w:kern w:val="0"/>
                <w:sz w:val="24"/>
                <w:szCs w:val="20"/>
              </w:rPr>
              <w:t>主要工作经历</w:t>
            </w:r>
          </w:p>
        </w:tc>
      </w:tr>
      <w:tr w14:paraId="031C5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55967263">
            <w:pPr>
              <w:autoSpaceDE w:val="0"/>
              <w:autoSpaceDN w:val="0"/>
              <w:adjustRightInd w:val="0"/>
              <w:snapToGrid w:val="0"/>
              <w:spacing w:line="360" w:lineRule="auto"/>
              <w:jc w:val="center"/>
              <w:rPr>
                <w:rFonts w:hint="eastAsia" w:ascii="宋体" w:hAnsi="宋体"/>
                <w:kern w:val="0"/>
                <w:sz w:val="24"/>
                <w:szCs w:val="20"/>
              </w:rPr>
            </w:pPr>
            <w:r>
              <w:rPr>
                <w:rFonts w:hint="eastAsia" w:ascii="宋体" w:hAnsi="宋体"/>
                <w:kern w:val="0"/>
                <w:sz w:val="24"/>
                <w:szCs w:val="20"/>
              </w:rPr>
              <w:t>时间</w:t>
            </w:r>
          </w:p>
        </w:tc>
        <w:tc>
          <w:tcPr>
            <w:tcW w:w="3508" w:type="dxa"/>
            <w:gridSpan w:val="3"/>
            <w:vAlign w:val="center"/>
          </w:tcPr>
          <w:p w14:paraId="07AF32D5">
            <w:pPr>
              <w:autoSpaceDE w:val="0"/>
              <w:autoSpaceDN w:val="0"/>
              <w:adjustRightInd w:val="0"/>
              <w:snapToGrid w:val="0"/>
              <w:spacing w:line="360" w:lineRule="auto"/>
              <w:jc w:val="center"/>
              <w:rPr>
                <w:rFonts w:hint="eastAsia" w:ascii="宋体" w:hAnsi="宋体"/>
                <w:kern w:val="0"/>
                <w:sz w:val="24"/>
                <w:szCs w:val="20"/>
              </w:rPr>
            </w:pPr>
            <w:r>
              <w:rPr>
                <w:rFonts w:ascii="宋体" w:hAnsi="宋体"/>
                <w:kern w:val="0"/>
                <w:sz w:val="24"/>
                <w:szCs w:val="20"/>
              </w:rPr>
              <w:t>参加过的类似项目名称</w:t>
            </w:r>
          </w:p>
        </w:tc>
        <w:tc>
          <w:tcPr>
            <w:tcW w:w="1984" w:type="dxa"/>
            <w:vAlign w:val="center"/>
          </w:tcPr>
          <w:p w14:paraId="673DDA50">
            <w:pPr>
              <w:autoSpaceDE w:val="0"/>
              <w:autoSpaceDN w:val="0"/>
              <w:adjustRightInd w:val="0"/>
              <w:snapToGrid w:val="0"/>
              <w:spacing w:line="360" w:lineRule="auto"/>
              <w:jc w:val="center"/>
              <w:rPr>
                <w:rFonts w:hint="eastAsia" w:ascii="宋体" w:hAnsi="宋体"/>
                <w:kern w:val="0"/>
                <w:sz w:val="24"/>
                <w:szCs w:val="20"/>
              </w:rPr>
            </w:pPr>
            <w:r>
              <w:rPr>
                <w:rFonts w:ascii="宋体" w:hAnsi="宋体"/>
                <w:kern w:val="0"/>
                <w:sz w:val="24"/>
                <w:szCs w:val="20"/>
              </w:rPr>
              <w:t>工程概况说明</w:t>
            </w:r>
          </w:p>
        </w:tc>
        <w:tc>
          <w:tcPr>
            <w:tcW w:w="1610" w:type="dxa"/>
            <w:vAlign w:val="center"/>
          </w:tcPr>
          <w:p w14:paraId="4AED0D19">
            <w:pPr>
              <w:autoSpaceDE w:val="0"/>
              <w:autoSpaceDN w:val="0"/>
              <w:adjustRightInd w:val="0"/>
              <w:snapToGrid w:val="0"/>
              <w:spacing w:line="360" w:lineRule="auto"/>
              <w:jc w:val="center"/>
              <w:rPr>
                <w:rFonts w:hint="eastAsia" w:ascii="宋体" w:hAnsi="宋体"/>
                <w:kern w:val="0"/>
                <w:sz w:val="24"/>
                <w:szCs w:val="20"/>
              </w:rPr>
            </w:pPr>
            <w:r>
              <w:rPr>
                <w:rFonts w:ascii="宋体" w:hAnsi="宋体"/>
                <w:kern w:val="0"/>
                <w:sz w:val="24"/>
                <w:szCs w:val="20"/>
              </w:rPr>
              <w:t>发包人及联系电话</w:t>
            </w:r>
          </w:p>
        </w:tc>
      </w:tr>
      <w:tr w14:paraId="61790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70433F1F">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5ED96B78">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55FCB807">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5B2CD1C9">
            <w:pPr>
              <w:autoSpaceDE w:val="0"/>
              <w:autoSpaceDN w:val="0"/>
              <w:adjustRightInd w:val="0"/>
              <w:snapToGrid w:val="0"/>
              <w:spacing w:line="360" w:lineRule="auto"/>
              <w:jc w:val="center"/>
              <w:rPr>
                <w:rFonts w:hint="eastAsia" w:ascii="宋体" w:hAnsi="宋体"/>
                <w:kern w:val="0"/>
                <w:sz w:val="24"/>
                <w:szCs w:val="20"/>
              </w:rPr>
            </w:pPr>
          </w:p>
        </w:tc>
      </w:tr>
      <w:tr w14:paraId="6312F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7ADF837F">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6BC4A807">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726F0F59">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29ACBE72">
            <w:pPr>
              <w:autoSpaceDE w:val="0"/>
              <w:autoSpaceDN w:val="0"/>
              <w:adjustRightInd w:val="0"/>
              <w:snapToGrid w:val="0"/>
              <w:spacing w:line="360" w:lineRule="auto"/>
              <w:jc w:val="center"/>
              <w:rPr>
                <w:rFonts w:hint="eastAsia" w:ascii="宋体" w:hAnsi="宋体"/>
                <w:kern w:val="0"/>
                <w:sz w:val="24"/>
                <w:szCs w:val="20"/>
              </w:rPr>
            </w:pPr>
          </w:p>
        </w:tc>
      </w:tr>
      <w:tr w14:paraId="22063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68CD967E">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32133F29">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276AC424">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45F34E0D">
            <w:pPr>
              <w:autoSpaceDE w:val="0"/>
              <w:autoSpaceDN w:val="0"/>
              <w:adjustRightInd w:val="0"/>
              <w:snapToGrid w:val="0"/>
              <w:spacing w:line="360" w:lineRule="auto"/>
              <w:jc w:val="center"/>
              <w:rPr>
                <w:rFonts w:hint="eastAsia" w:ascii="宋体" w:hAnsi="宋体"/>
                <w:kern w:val="0"/>
                <w:sz w:val="24"/>
                <w:szCs w:val="20"/>
              </w:rPr>
            </w:pPr>
          </w:p>
        </w:tc>
      </w:tr>
      <w:tr w14:paraId="3A2DE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62D2C42D">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4ABCEE6E">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4D13C402">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0A535699">
            <w:pPr>
              <w:autoSpaceDE w:val="0"/>
              <w:autoSpaceDN w:val="0"/>
              <w:adjustRightInd w:val="0"/>
              <w:snapToGrid w:val="0"/>
              <w:spacing w:line="360" w:lineRule="auto"/>
              <w:jc w:val="center"/>
              <w:rPr>
                <w:rFonts w:hint="eastAsia" w:ascii="宋体" w:hAnsi="宋体"/>
                <w:kern w:val="0"/>
                <w:sz w:val="24"/>
                <w:szCs w:val="20"/>
              </w:rPr>
            </w:pPr>
          </w:p>
        </w:tc>
      </w:tr>
      <w:tr w14:paraId="059BA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0DBEC985">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6B45ADAF">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6B24FF85">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056B6F5B">
            <w:pPr>
              <w:autoSpaceDE w:val="0"/>
              <w:autoSpaceDN w:val="0"/>
              <w:adjustRightInd w:val="0"/>
              <w:snapToGrid w:val="0"/>
              <w:spacing w:line="360" w:lineRule="auto"/>
              <w:jc w:val="center"/>
              <w:rPr>
                <w:rFonts w:hint="eastAsia" w:ascii="宋体" w:hAnsi="宋体"/>
                <w:kern w:val="0"/>
                <w:sz w:val="24"/>
                <w:szCs w:val="20"/>
              </w:rPr>
            </w:pPr>
          </w:p>
        </w:tc>
      </w:tr>
      <w:tr w14:paraId="3B194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3F8A4107">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35ED88A1">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749F4F38">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1EAF032B">
            <w:pPr>
              <w:autoSpaceDE w:val="0"/>
              <w:autoSpaceDN w:val="0"/>
              <w:adjustRightInd w:val="0"/>
              <w:snapToGrid w:val="0"/>
              <w:spacing w:line="360" w:lineRule="auto"/>
              <w:jc w:val="center"/>
              <w:rPr>
                <w:rFonts w:hint="eastAsia" w:ascii="宋体" w:hAnsi="宋体"/>
                <w:kern w:val="0"/>
                <w:sz w:val="24"/>
                <w:szCs w:val="20"/>
              </w:rPr>
            </w:pPr>
          </w:p>
        </w:tc>
      </w:tr>
      <w:tr w14:paraId="3C242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5456C368">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1F934413">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6FA757D4">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01E1526F">
            <w:pPr>
              <w:autoSpaceDE w:val="0"/>
              <w:autoSpaceDN w:val="0"/>
              <w:adjustRightInd w:val="0"/>
              <w:snapToGrid w:val="0"/>
              <w:spacing w:line="360" w:lineRule="auto"/>
              <w:jc w:val="center"/>
              <w:rPr>
                <w:rFonts w:hint="eastAsia" w:ascii="宋体" w:hAnsi="宋体"/>
                <w:kern w:val="0"/>
                <w:sz w:val="24"/>
                <w:szCs w:val="20"/>
              </w:rPr>
            </w:pPr>
          </w:p>
        </w:tc>
      </w:tr>
      <w:tr w14:paraId="5C1E2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530134D5">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7054B847">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7D2E6105">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774CE5F0">
            <w:pPr>
              <w:autoSpaceDE w:val="0"/>
              <w:autoSpaceDN w:val="0"/>
              <w:adjustRightInd w:val="0"/>
              <w:snapToGrid w:val="0"/>
              <w:spacing w:line="360" w:lineRule="auto"/>
              <w:jc w:val="center"/>
              <w:rPr>
                <w:rFonts w:hint="eastAsia" w:ascii="宋体" w:hAnsi="宋体"/>
                <w:kern w:val="0"/>
                <w:sz w:val="24"/>
                <w:szCs w:val="20"/>
              </w:rPr>
            </w:pPr>
          </w:p>
        </w:tc>
      </w:tr>
      <w:tr w14:paraId="0994B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center"/>
          </w:tcPr>
          <w:p w14:paraId="0B1A606D">
            <w:pPr>
              <w:autoSpaceDE w:val="0"/>
              <w:autoSpaceDN w:val="0"/>
              <w:adjustRightInd w:val="0"/>
              <w:snapToGrid w:val="0"/>
              <w:spacing w:line="360" w:lineRule="auto"/>
              <w:jc w:val="center"/>
              <w:rPr>
                <w:rFonts w:hint="eastAsia" w:ascii="宋体" w:hAnsi="宋体"/>
                <w:kern w:val="0"/>
                <w:sz w:val="24"/>
                <w:szCs w:val="20"/>
              </w:rPr>
            </w:pPr>
          </w:p>
        </w:tc>
        <w:tc>
          <w:tcPr>
            <w:tcW w:w="3508" w:type="dxa"/>
            <w:gridSpan w:val="3"/>
            <w:vAlign w:val="center"/>
          </w:tcPr>
          <w:p w14:paraId="0DF1E003">
            <w:pPr>
              <w:autoSpaceDE w:val="0"/>
              <w:autoSpaceDN w:val="0"/>
              <w:adjustRightInd w:val="0"/>
              <w:snapToGrid w:val="0"/>
              <w:spacing w:line="360" w:lineRule="auto"/>
              <w:jc w:val="center"/>
              <w:rPr>
                <w:rFonts w:hint="eastAsia" w:ascii="宋体" w:hAnsi="宋体"/>
                <w:kern w:val="0"/>
                <w:sz w:val="24"/>
                <w:szCs w:val="20"/>
              </w:rPr>
            </w:pPr>
          </w:p>
        </w:tc>
        <w:tc>
          <w:tcPr>
            <w:tcW w:w="1984" w:type="dxa"/>
            <w:vAlign w:val="center"/>
          </w:tcPr>
          <w:p w14:paraId="132B7F3A">
            <w:pPr>
              <w:autoSpaceDE w:val="0"/>
              <w:autoSpaceDN w:val="0"/>
              <w:adjustRightInd w:val="0"/>
              <w:snapToGrid w:val="0"/>
              <w:spacing w:line="360" w:lineRule="auto"/>
              <w:jc w:val="center"/>
              <w:rPr>
                <w:rFonts w:hint="eastAsia" w:ascii="宋体" w:hAnsi="宋体"/>
                <w:kern w:val="0"/>
                <w:sz w:val="24"/>
                <w:szCs w:val="20"/>
              </w:rPr>
            </w:pPr>
          </w:p>
        </w:tc>
        <w:tc>
          <w:tcPr>
            <w:tcW w:w="1610" w:type="dxa"/>
            <w:vAlign w:val="center"/>
          </w:tcPr>
          <w:p w14:paraId="06BC8706">
            <w:pPr>
              <w:autoSpaceDE w:val="0"/>
              <w:autoSpaceDN w:val="0"/>
              <w:adjustRightInd w:val="0"/>
              <w:snapToGrid w:val="0"/>
              <w:spacing w:line="360" w:lineRule="auto"/>
              <w:jc w:val="center"/>
              <w:rPr>
                <w:rFonts w:hint="eastAsia" w:ascii="宋体" w:hAnsi="宋体"/>
                <w:kern w:val="0"/>
                <w:sz w:val="24"/>
                <w:szCs w:val="20"/>
              </w:rPr>
            </w:pPr>
          </w:p>
        </w:tc>
      </w:tr>
    </w:tbl>
    <w:p w14:paraId="6E00B22E">
      <w:pPr>
        <w:autoSpaceDE w:val="0"/>
        <w:autoSpaceDN w:val="0"/>
        <w:adjustRightInd w:val="0"/>
        <w:snapToGrid w:val="0"/>
        <w:spacing w:line="360" w:lineRule="auto"/>
        <w:jc w:val="center"/>
        <w:rPr>
          <w:rFonts w:hint="eastAsia" w:ascii="宋体" w:hAnsi="宋体"/>
          <w:sz w:val="24"/>
          <w:szCs w:val="20"/>
        </w:rPr>
      </w:pPr>
    </w:p>
    <w:p w14:paraId="158AD4EF">
      <w:pPr>
        <w:autoSpaceDE w:val="0"/>
        <w:autoSpaceDN w:val="0"/>
        <w:adjustRightInd w:val="0"/>
        <w:snapToGrid w:val="0"/>
        <w:spacing w:line="360" w:lineRule="auto"/>
        <w:jc w:val="left"/>
        <w:rPr>
          <w:rFonts w:hint="eastAsia" w:ascii="宋体" w:hAnsi="宋体"/>
          <w:b/>
          <w:bCs/>
          <w:sz w:val="24"/>
          <w:szCs w:val="20"/>
        </w:rPr>
      </w:pPr>
      <w:r>
        <w:rPr>
          <w:rFonts w:hint="eastAsia" w:ascii="宋体" w:hAnsi="宋体"/>
          <w:b/>
          <w:bCs/>
          <w:sz w:val="24"/>
          <w:szCs w:val="20"/>
        </w:rPr>
        <w:t>注：应按文件要求在本表后附相关证书（如有）</w:t>
      </w:r>
    </w:p>
    <w:p w14:paraId="3459100D">
      <w:pPr>
        <w:widowControl/>
        <w:jc w:val="left"/>
        <w:rPr>
          <w:rFonts w:hint="eastAsia" w:ascii="宋体" w:hAnsi="宋体"/>
          <w:sz w:val="24"/>
          <w:szCs w:val="20"/>
        </w:rPr>
      </w:pPr>
      <w:r>
        <w:rPr>
          <w:rFonts w:hint="eastAsia" w:ascii="宋体" w:hAnsi="宋体"/>
          <w:sz w:val="24"/>
          <w:szCs w:val="20"/>
        </w:rPr>
        <w:br w:type="page"/>
      </w:r>
    </w:p>
    <w:p w14:paraId="6C79ED41">
      <w:pPr>
        <w:autoSpaceDE w:val="0"/>
        <w:autoSpaceDN w:val="0"/>
        <w:adjustRightInd w:val="0"/>
        <w:snapToGrid w:val="0"/>
        <w:spacing w:line="360" w:lineRule="auto"/>
        <w:rPr>
          <w:rFonts w:hint="eastAsia" w:ascii="宋体" w:hAnsi="宋体"/>
          <w:sz w:val="24"/>
          <w:szCs w:val="20"/>
        </w:rPr>
      </w:pPr>
      <w:r>
        <w:rPr>
          <w:rFonts w:hint="eastAsia" w:ascii="宋体" w:hAnsi="宋体"/>
          <w:sz w:val="24"/>
          <w:szCs w:val="20"/>
        </w:rPr>
        <w:t>附表二</w:t>
      </w:r>
    </w:p>
    <w:p w14:paraId="1C8FCCED">
      <w:pPr>
        <w:autoSpaceDE w:val="0"/>
        <w:autoSpaceDN w:val="0"/>
        <w:adjustRightInd w:val="0"/>
        <w:snapToGrid w:val="0"/>
        <w:spacing w:line="360" w:lineRule="auto"/>
        <w:jc w:val="center"/>
        <w:rPr>
          <w:rFonts w:hint="eastAsia" w:ascii="宋体" w:hAnsi="宋体"/>
          <w:sz w:val="24"/>
          <w:szCs w:val="20"/>
        </w:rPr>
      </w:pPr>
      <w:r>
        <w:rPr>
          <w:rFonts w:hint="eastAsia" w:ascii="宋体" w:hAnsi="宋体"/>
          <w:sz w:val="24"/>
          <w:szCs w:val="20"/>
        </w:rPr>
        <w:t>主要项目管理人员简历表</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0"/>
        <w:gridCol w:w="1098"/>
        <w:gridCol w:w="1276"/>
        <w:gridCol w:w="1134"/>
        <w:gridCol w:w="1984"/>
        <w:gridCol w:w="1610"/>
      </w:tblGrid>
      <w:tr w14:paraId="40D33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0" w:type="dxa"/>
            <w:vAlign w:val="center"/>
          </w:tcPr>
          <w:p w14:paraId="53B572BE">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姓名</w:t>
            </w:r>
          </w:p>
        </w:tc>
        <w:tc>
          <w:tcPr>
            <w:tcW w:w="1098" w:type="dxa"/>
            <w:vAlign w:val="center"/>
          </w:tcPr>
          <w:p w14:paraId="72FFCA46">
            <w:pPr>
              <w:autoSpaceDE w:val="0"/>
              <w:autoSpaceDN w:val="0"/>
              <w:adjustRightInd w:val="0"/>
              <w:snapToGrid w:val="0"/>
              <w:jc w:val="center"/>
              <w:rPr>
                <w:rFonts w:hint="eastAsia" w:ascii="宋体" w:hAnsi="宋体"/>
                <w:kern w:val="0"/>
                <w:sz w:val="24"/>
                <w:szCs w:val="20"/>
              </w:rPr>
            </w:pPr>
          </w:p>
        </w:tc>
        <w:tc>
          <w:tcPr>
            <w:tcW w:w="1276" w:type="dxa"/>
            <w:vAlign w:val="center"/>
          </w:tcPr>
          <w:p w14:paraId="59FFC4CE">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年龄</w:t>
            </w:r>
          </w:p>
        </w:tc>
        <w:tc>
          <w:tcPr>
            <w:tcW w:w="1134" w:type="dxa"/>
            <w:vAlign w:val="center"/>
          </w:tcPr>
          <w:p w14:paraId="442E09E6">
            <w:pPr>
              <w:autoSpaceDE w:val="0"/>
              <w:autoSpaceDN w:val="0"/>
              <w:adjustRightInd w:val="0"/>
              <w:snapToGrid w:val="0"/>
              <w:jc w:val="center"/>
              <w:rPr>
                <w:rFonts w:hint="eastAsia" w:ascii="宋体" w:hAnsi="宋体"/>
                <w:kern w:val="0"/>
                <w:sz w:val="24"/>
                <w:szCs w:val="20"/>
              </w:rPr>
            </w:pPr>
          </w:p>
        </w:tc>
        <w:tc>
          <w:tcPr>
            <w:tcW w:w="1984" w:type="dxa"/>
            <w:vAlign w:val="center"/>
          </w:tcPr>
          <w:p w14:paraId="353E8815">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学历</w:t>
            </w:r>
          </w:p>
        </w:tc>
        <w:tc>
          <w:tcPr>
            <w:tcW w:w="1610" w:type="dxa"/>
            <w:vAlign w:val="center"/>
          </w:tcPr>
          <w:p w14:paraId="3AF76B11">
            <w:pPr>
              <w:autoSpaceDE w:val="0"/>
              <w:autoSpaceDN w:val="0"/>
              <w:adjustRightInd w:val="0"/>
              <w:snapToGrid w:val="0"/>
              <w:jc w:val="center"/>
              <w:rPr>
                <w:rFonts w:hint="eastAsia" w:ascii="宋体" w:hAnsi="宋体"/>
                <w:kern w:val="0"/>
                <w:sz w:val="24"/>
                <w:szCs w:val="20"/>
              </w:rPr>
            </w:pPr>
          </w:p>
        </w:tc>
      </w:tr>
      <w:tr w14:paraId="3BF59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0" w:type="dxa"/>
            <w:vAlign w:val="center"/>
          </w:tcPr>
          <w:p w14:paraId="01343CD9">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职称（如有）</w:t>
            </w:r>
          </w:p>
        </w:tc>
        <w:tc>
          <w:tcPr>
            <w:tcW w:w="1098" w:type="dxa"/>
            <w:vAlign w:val="center"/>
          </w:tcPr>
          <w:p w14:paraId="4C0F0AAD">
            <w:pPr>
              <w:autoSpaceDE w:val="0"/>
              <w:autoSpaceDN w:val="0"/>
              <w:adjustRightInd w:val="0"/>
              <w:snapToGrid w:val="0"/>
              <w:jc w:val="center"/>
              <w:rPr>
                <w:rFonts w:hint="eastAsia" w:ascii="宋体" w:hAnsi="宋体"/>
                <w:kern w:val="0"/>
                <w:sz w:val="24"/>
                <w:szCs w:val="20"/>
              </w:rPr>
            </w:pPr>
          </w:p>
        </w:tc>
        <w:tc>
          <w:tcPr>
            <w:tcW w:w="1276" w:type="dxa"/>
            <w:vAlign w:val="center"/>
          </w:tcPr>
          <w:p w14:paraId="78197160">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性别</w:t>
            </w:r>
          </w:p>
        </w:tc>
        <w:tc>
          <w:tcPr>
            <w:tcW w:w="1134" w:type="dxa"/>
            <w:vAlign w:val="center"/>
          </w:tcPr>
          <w:p w14:paraId="031F7613">
            <w:pPr>
              <w:autoSpaceDE w:val="0"/>
              <w:autoSpaceDN w:val="0"/>
              <w:adjustRightInd w:val="0"/>
              <w:snapToGrid w:val="0"/>
              <w:jc w:val="center"/>
              <w:rPr>
                <w:rFonts w:hint="eastAsia" w:ascii="宋体" w:hAnsi="宋体"/>
                <w:kern w:val="0"/>
                <w:sz w:val="24"/>
                <w:szCs w:val="20"/>
              </w:rPr>
            </w:pPr>
          </w:p>
        </w:tc>
        <w:tc>
          <w:tcPr>
            <w:tcW w:w="1984" w:type="dxa"/>
            <w:vAlign w:val="center"/>
          </w:tcPr>
          <w:p w14:paraId="690176AA">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拟在本工程任职</w:t>
            </w:r>
          </w:p>
        </w:tc>
        <w:tc>
          <w:tcPr>
            <w:tcW w:w="1610" w:type="dxa"/>
            <w:vAlign w:val="center"/>
          </w:tcPr>
          <w:p w14:paraId="783247B3">
            <w:pPr>
              <w:autoSpaceDE w:val="0"/>
              <w:autoSpaceDN w:val="0"/>
              <w:adjustRightInd w:val="0"/>
              <w:snapToGrid w:val="0"/>
              <w:jc w:val="center"/>
              <w:rPr>
                <w:rFonts w:hint="eastAsia" w:ascii="宋体" w:hAnsi="宋体"/>
                <w:kern w:val="0"/>
                <w:sz w:val="24"/>
                <w:szCs w:val="20"/>
              </w:rPr>
            </w:pPr>
          </w:p>
        </w:tc>
      </w:tr>
      <w:tr w14:paraId="21B76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794" w:type="dxa"/>
            <w:gridSpan w:val="3"/>
            <w:vAlign w:val="center"/>
          </w:tcPr>
          <w:p w14:paraId="08159396">
            <w:pPr>
              <w:autoSpaceDE w:val="0"/>
              <w:autoSpaceDN w:val="0"/>
              <w:adjustRightInd w:val="0"/>
              <w:snapToGrid w:val="0"/>
              <w:jc w:val="center"/>
              <w:rPr>
                <w:rFonts w:hint="eastAsia" w:ascii="宋体" w:hAnsi="宋体"/>
                <w:kern w:val="0"/>
                <w:sz w:val="24"/>
                <w:szCs w:val="20"/>
              </w:rPr>
            </w:pPr>
            <w:r>
              <w:rPr>
                <w:rFonts w:ascii="宋体" w:hAnsi="宋体"/>
                <w:kern w:val="0"/>
                <w:sz w:val="24"/>
                <w:szCs w:val="20"/>
              </w:rPr>
              <w:t>安全生产考核合格证书</w:t>
            </w:r>
            <w:r>
              <w:rPr>
                <w:rFonts w:hint="eastAsia" w:ascii="宋体" w:hAnsi="宋体"/>
                <w:kern w:val="0"/>
                <w:sz w:val="24"/>
                <w:szCs w:val="20"/>
              </w:rPr>
              <w:t>（如有）</w:t>
            </w:r>
          </w:p>
        </w:tc>
        <w:tc>
          <w:tcPr>
            <w:tcW w:w="4728" w:type="dxa"/>
            <w:gridSpan w:val="3"/>
            <w:vAlign w:val="center"/>
          </w:tcPr>
          <w:p w14:paraId="3ECB8B9A">
            <w:pPr>
              <w:autoSpaceDE w:val="0"/>
              <w:autoSpaceDN w:val="0"/>
              <w:adjustRightInd w:val="0"/>
              <w:snapToGrid w:val="0"/>
              <w:jc w:val="center"/>
              <w:rPr>
                <w:rFonts w:hint="eastAsia" w:ascii="宋体" w:hAnsi="宋体"/>
                <w:kern w:val="0"/>
                <w:sz w:val="24"/>
                <w:szCs w:val="20"/>
              </w:rPr>
            </w:pPr>
          </w:p>
        </w:tc>
      </w:tr>
      <w:tr w14:paraId="6BEF8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420" w:type="dxa"/>
            <w:vAlign w:val="center"/>
          </w:tcPr>
          <w:p w14:paraId="154DE743">
            <w:pPr>
              <w:autoSpaceDE w:val="0"/>
              <w:autoSpaceDN w:val="0"/>
              <w:adjustRightInd w:val="0"/>
              <w:snapToGrid w:val="0"/>
              <w:jc w:val="center"/>
              <w:rPr>
                <w:rFonts w:hint="eastAsia" w:ascii="宋体" w:hAnsi="宋体"/>
                <w:kern w:val="0"/>
                <w:sz w:val="24"/>
                <w:szCs w:val="20"/>
              </w:rPr>
            </w:pPr>
            <w:r>
              <w:rPr>
                <w:rFonts w:hint="eastAsia" w:ascii="宋体" w:hAnsi="宋体"/>
                <w:kern w:val="0"/>
                <w:sz w:val="24"/>
                <w:szCs w:val="20"/>
              </w:rPr>
              <w:t>毕业学校</w:t>
            </w:r>
          </w:p>
        </w:tc>
        <w:tc>
          <w:tcPr>
            <w:tcW w:w="7102" w:type="dxa"/>
            <w:gridSpan w:val="5"/>
            <w:vAlign w:val="center"/>
          </w:tcPr>
          <w:p w14:paraId="68ADBB19">
            <w:pPr>
              <w:autoSpaceDE w:val="0"/>
              <w:autoSpaceDN w:val="0"/>
              <w:adjustRightInd w:val="0"/>
              <w:snapToGrid w:val="0"/>
              <w:jc w:val="center"/>
              <w:rPr>
                <w:rFonts w:hint="eastAsia" w:ascii="宋体" w:hAnsi="宋体"/>
                <w:kern w:val="0"/>
                <w:sz w:val="24"/>
                <w:szCs w:val="20"/>
              </w:rPr>
            </w:pPr>
            <w:r>
              <w:rPr>
                <w:rFonts w:ascii="宋体" w:hAnsi="宋体"/>
                <w:kern w:val="0"/>
                <w:sz w:val="24"/>
                <w:szCs w:val="20"/>
              </w:rPr>
              <w:t>年毕业于</w:t>
            </w:r>
            <w:r>
              <w:rPr>
                <w:rFonts w:hint="eastAsia" w:ascii="宋体" w:hAnsi="宋体"/>
                <w:kern w:val="0"/>
                <w:sz w:val="24"/>
                <w:szCs w:val="20"/>
              </w:rPr>
              <w:t xml:space="preserve">              </w:t>
            </w:r>
            <w:r>
              <w:rPr>
                <w:rFonts w:ascii="宋体" w:hAnsi="宋体"/>
                <w:kern w:val="0"/>
                <w:sz w:val="24"/>
                <w:szCs w:val="20"/>
              </w:rPr>
              <w:t xml:space="preserve"> 学校 </w:t>
            </w:r>
            <w:r>
              <w:rPr>
                <w:rFonts w:hint="eastAsia" w:ascii="宋体" w:hAnsi="宋体"/>
                <w:kern w:val="0"/>
                <w:sz w:val="24"/>
                <w:szCs w:val="20"/>
              </w:rPr>
              <w:t xml:space="preserve">              </w:t>
            </w:r>
            <w:r>
              <w:rPr>
                <w:rFonts w:ascii="宋体" w:hAnsi="宋体"/>
                <w:kern w:val="0"/>
                <w:sz w:val="24"/>
                <w:szCs w:val="20"/>
              </w:rPr>
              <w:t>专业</w:t>
            </w:r>
          </w:p>
        </w:tc>
      </w:tr>
      <w:tr w14:paraId="22744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22" w:type="dxa"/>
            <w:gridSpan w:val="6"/>
            <w:vAlign w:val="center"/>
          </w:tcPr>
          <w:p w14:paraId="5FDC534B">
            <w:pPr>
              <w:autoSpaceDE w:val="0"/>
              <w:autoSpaceDN w:val="0"/>
              <w:adjustRightInd w:val="0"/>
              <w:snapToGrid w:val="0"/>
              <w:jc w:val="center"/>
              <w:rPr>
                <w:rFonts w:hint="eastAsia" w:ascii="宋体" w:hAnsi="宋体"/>
                <w:kern w:val="0"/>
                <w:sz w:val="24"/>
                <w:szCs w:val="20"/>
              </w:rPr>
            </w:pPr>
            <w:r>
              <w:rPr>
                <w:rFonts w:ascii="宋体" w:hAnsi="宋体"/>
                <w:kern w:val="0"/>
                <w:sz w:val="24"/>
                <w:szCs w:val="20"/>
              </w:rPr>
              <w:t>工作经历</w:t>
            </w:r>
          </w:p>
        </w:tc>
      </w:tr>
      <w:tr w14:paraId="4A4C9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9" w:hRule="atLeast"/>
        </w:trPr>
        <w:tc>
          <w:tcPr>
            <w:tcW w:w="8522" w:type="dxa"/>
            <w:gridSpan w:val="6"/>
            <w:vAlign w:val="center"/>
          </w:tcPr>
          <w:p w14:paraId="7A592E27">
            <w:pPr>
              <w:autoSpaceDE w:val="0"/>
              <w:autoSpaceDN w:val="0"/>
              <w:adjustRightInd w:val="0"/>
              <w:snapToGrid w:val="0"/>
              <w:spacing w:line="360" w:lineRule="auto"/>
              <w:jc w:val="center"/>
              <w:rPr>
                <w:rFonts w:hint="eastAsia" w:ascii="宋体" w:hAnsi="宋体"/>
                <w:kern w:val="0"/>
                <w:sz w:val="24"/>
                <w:szCs w:val="20"/>
              </w:rPr>
            </w:pPr>
          </w:p>
        </w:tc>
      </w:tr>
    </w:tbl>
    <w:p w14:paraId="48A1234E">
      <w:pPr>
        <w:autoSpaceDE w:val="0"/>
        <w:autoSpaceDN w:val="0"/>
        <w:adjustRightInd w:val="0"/>
        <w:snapToGrid w:val="0"/>
        <w:spacing w:line="360" w:lineRule="auto"/>
        <w:jc w:val="center"/>
        <w:rPr>
          <w:rFonts w:hint="eastAsia" w:ascii="宋体" w:hAnsi="宋体"/>
          <w:sz w:val="24"/>
          <w:szCs w:val="20"/>
        </w:rPr>
      </w:pPr>
    </w:p>
    <w:p w14:paraId="3300F5F2">
      <w:pPr>
        <w:autoSpaceDE w:val="0"/>
        <w:autoSpaceDN w:val="0"/>
        <w:adjustRightInd w:val="0"/>
        <w:snapToGrid w:val="0"/>
        <w:spacing w:line="360" w:lineRule="auto"/>
        <w:jc w:val="left"/>
        <w:rPr>
          <w:rFonts w:hint="eastAsia" w:ascii="宋体" w:hAnsi="宋体"/>
          <w:b/>
          <w:bCs/>
          <w:sz w:val="24"/>
          <w:szCs w:val="20"/>
        </w:rPr>
      </w:pPr>
      <w:r>
        <w:rPr>
          <w:rFonts w:hint="eastAsia" w:ascii="宋体" w:hAnsi="宋体"/>
          <w:b/>
          <w:bCs/>
          <w:sz w:val="24"/>
          <w:szCs w:val="20"/>
        </w:rPr>
        <w:t>注：应按文件要求在本表后附相关证书（如有）</w:t>
      </w:r>
    </w:p>
    <w:p w14:paraId="28B94F85">
      <w:pPr>
        <w:widowControl/>
        <w:jc w:val="left"/>
        <w:rPr>
          <w:rFonts w:hint="eastAsia" w:ascii="宋体" w:hAnsi="宋体"/>
          <w:b/>
          <w:bCs/>
          <w:sz w:val="24"/>
          <w:szCs w:val="20"/>
        </w:rPr>
      </w:pPr>
      <w:r>
        <w:rPr>
          <w:rFonts w:hint="eastAsia" w:ascii="宋体" w:hAnsi="宋体"/>
          <w:b/>
          <w:bCs/>
          <w:sz w:val="24"/>
          <w:szCs w:val="20"/>
        </w:rPr>
        <w:br w:type="page"/>
      </w:r>
    </w:p>
    <w:p w14:paraId="09924C57">
      <w:pPr>
        <w:tabs>
          <w:tab w:val="left" w:pos="360"/>
        </w:tabs>
        <w:snapToGrid w:val="0"/>
        <w:spacing w:line="360" w:lineRule="auto"/>
        <w:outlineLvl w:val="1"/>
        <w:rPr>
          <w:rFonts w:hint="eastAsia" w:ascii="宋体" w:hAnsi="宋体"/>
          <w:sz w:val="24"/>
        </w:rPr>
      </w:pPr>
      <w:r>
        <w:rPr>
          <w:rFonts w:hint="eastAsia" w:ascii="宋体" w:hAnsi="宋体"/>
          <w:sz w:val="24"/>
        </w:rPr>
        <w:t>8</w:t>
      </w:r>
      <w:r>
        <w:rPr>
          <w:rFonts w:ascii="宋体" w:hAnsi="宋体"/>
          <w:sz w:val="24"/>
        </w:rPr>
        <w:t xml:space="preserve"> </w:t>
      </w:r>
      <w:r>
        <w:rPr>
          <w:rFonts w:hint="eastAsia" w:ascii="宋体" w:hAnsi="宋体"/>
          <w:sz w:val="24"/>
        </w:rPr>
        <w:t>类似项目业绩</w:t>
      </w:r>
    </w:p>
    <w:p w14:paraId="5A2354B9">
      <w:pPr>
        <w:autoSpaceDE w:val="0"/>
        <w:autoSpaceDN w:val="0"/>
        <w:adjustRightInd w:val="0"/>
        <w:snapToGrid w:val="0"/>
        <w:spacing w:before="25" w:after="25" w:line="360" w:lineRule="auto"/>
        <w:jc w:val="center"/>
        <w:rPr>
          <w:rFonts w:hint="eastAsia" w:ascii="宋体" w:hAnsi="宋体"/>
          <w:b/>
          <w:bCs/>
          <w:sz w:val="36"/>
          <w:szCs w:val="36"/>
          <w:lang w:val="zh-CN"/>
        </w:rPr>
      </w:pPr>
      <w:r>
        <w:rPr>
          <w:rFonts w:ascii="宋体" w:hAnsi="宋体"/>
          <w:b/>
          <w:bCs/>
          <w:sz w:val="36"/>
          <w:szCs w:val="36"/>
        </w:rPr>
        <w:t>（</w:t>
      </w:r>
      <w:r>
        <w:rPr>
          <w:rFonts w:hint="eastAsia" w:ascii="宋体" w:hAnsi="宋体"/>
          <w:b/>
          <w:bCs/>
          <w:sz w:val="36"/>
          <w:szCs w:val="36"/>
        </w:rPr>
        <w:t>一</w:t>
      </w:r>
      <w:r>
        <w:rPr>
          <w:rFonts w:ascii="宋体" w:hAnsi="宋体"/>
          <w:b/>
          <w:bCs/>
          <w:sz w:val="36"/>
          <w:szCs w:val="36"/>
        </w:rPr>
        <w:t>）</w:t>
      </w:r>
      <w:r>
        <w:rPr>
          <w:rFonts w:hint="eastAsia" w:ascii="宋体" w:hAnsi="宋体"/>
          <w:b/>
          <w:bCs/>
          <w:sz w:val="36"/>
          <w:szCs w:val="36"/>
        </w:rPr>
        <w:t>已完成的类似项目业绩情况</w:t>
      </w:r>
      <w:r>
        <w:rPr>
          <w:rFonts w:ascii="宋体" w:hAnsi="宋体"/>
          <w:b/>
          <w:bCs/>
          <w:sz w:val="36"/>
          <w:szCs w:val="36"/>
        </w:rPr>
        <w:t>表</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61"/>
        <w:gridCol w:w="4261"/>
      </w:tblGrid>
      <w:tr w14:paraId="73F42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0C02C256">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项目名称</w:t>
            </w:r>
          </w:p>
        </w:tc>
        <w:tc>
          <w:tcPr>
            <w:tcW w:w="4261" w:type="dxa"/>
            <w:vAlign w:val="center"/>
          </w:tcPr>
          <w:p w14:paraId="60E60900">
            <w:pPr>
              <w:autoSpaceDE w:val="0"/>
              <w:autoSpaceDN w:val="0"/>
              <w:adjustRightInd w:val="0"/>
              <w:snapToGrid w:val="0"/>
              <w:rPr>
                <w:rFonts w:hint="eastAsia" w:ascii="宋体" w:hAnsi="宋体"/>
                <w:b/>
                <w:bCs/>
                <w:kern w:val="0"/>
                <w:sz w:val="24"/>
                <w:szCs w:val="20"/>
              </w:rPr>
            </w:pPr>
          </w:p>
        </w:tc>
      </w:tr>
      <w:tr w14:paraId="55311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77C2EA9A">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项目所在地</w:t>
            </w:r>
          </w:p>
        </w:tc>
        <w:tc>
          <w:tcPr>
            <w:tcW w:w="4261" w:type="dxa"/>
            <w:vAlign w:val="center"/>
          </w:tcPr>
          <w:p w14:paraId="0BAF0A76">
            <w:pPr>
              <w:autoSpaceDE w:val="0"/>
              <w:autoSpaceDN w:val="0"/>
              <w:adjustRightInd w:val="0"/>
              <w:snapToGrid w:val="0"/>
              <w:rPr>
                <w:rFonts w:hint="eastAsia" w:ascii="宋体" w:hAnsi="宋体"/>
                <w:b/>
                <w:bCs/>
                <w:kern w:val="0"/>
                <w:sz w:val="24"/>
                <w:szCs w:val="20"/>
              </w:rPr>
            </w:pPr>
          </w:p>
        </w:tc>
      </w:tr>
      <w:tr w14:paraId="7D37C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571B57A3">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发包人名称</w:t>
            </w:r>
          </w:p>
        </w:tc>
        <w:tc>
          <w:tcPr>
            <w:tcW w:w="4261" w:type="dxa"/>
            <w:vAlign w:val="center"/>
          </w:tcPr>
          <w:p w14:paraId="4EFDE49A">
            <w:pPr>
              <w:autoSpaceDE w:val="0"/>
              <w:autoSpaceDN w:val="0"/>
              <w:adjustRightInd w:val="0"/>
              <w:snapToGrid w:val="0"/>
              <w:rPr>
                <w:rFonts w:hint="eastAsia" w:ascii="宋体" w:hAnsi="宋体"/>
                <w:b/>
                <w:bCs/>
                <w:kern w:val="0"/>
                <w:sz w:val="24"/>
                <w:szCs w:val="20"/>
              </w:rPr>
            </w:pPr>
          </w:p>
        </w:tc>
      </w:tr>
      <w:tr w14:paraId="3DACF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5EDB7026">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发包人地址</w:t>
            </w:r>
          </w:p>
        </w:tc>
        <w:tc>
          <w:tcPr>
            <w:tcW w:w="4261" w:type="dxa"/>
            <w:vAlign w:val="center"/>
          </w:tcPr>
          <w:p w14:paraId="236A3CD8">
            <w:pPr>
              <w:autoSpaceDE w:val="0"/>
              <w:autoSpaceDN w:val="0"/>
              <w:adjustRightInd w:val="0"/>
              <w:snapToGrid w:val="0"/>
              <w:rPr>
                <w:rFonts w:hint="eastAsia" w:ascii="宋体" w:hAnsi="宋体"/>
                <w:b/>
                <w:bCs/>
                <w:kern w:val="0"/>
                <w:sz w:val="24"/>
                <w:szCs w:val="20"/>
              </w:rPr>
            </w:pPr>
          </w:p>
        </w:tc>
      </w:tr>
      <w:tr w14:paraId="713BD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2FC7D0AD">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发包人电话</w:t>
            </w:r>
          </w:p>
        </w:tc>
        <w:tc>
          <w:tcPr>
            <w:tcW w:w="4261" w:type="dxa"/>
            <w:vAlign w:val="center"/>
          </w:tcPr>
          <w:p w14:paraId="1F9D5112">
            <w:pPr>
              <w:autoSpaceDE w:val="0"/>
              <w:autoSpaceDN w:val="0"/>
              <w:adjustRightInd w:val="0"/>
              <w:snapToGrid w:val="0"/>
              <w:rPr>
                <w:rFonts w:hint="eastAsia" w:ascii="宋体" w:hAnsi="宋体"/>
                <w:b/>
                <w:bCs/>
                <w:kern w:val="0"/>
                <w:sz w:val="24"/>
                <w:szCs w:val="20"/>
              </w:rPr>
            </w:pPr>
          </w:p>
        </w:tc>
      </w:tr>
      <w:tr w14:paraId="7A8F8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200C8744">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合同</w:t>
            </w:r>
            <w:r>
              <w:rPr>
                <w:rFonts w:hint="eastAsia" w:ascii="宋体" w:hAnsi="宋体"/>
                <w:b/>
                <w:bCs/>
                <w:kern w:val="0"/>
                <w:sz w:val="24"/>
                <w:szCs w:val="20"/>
              </w:rPr>
              <w:t>金额</w:t>
            </w:r>
          </w:p>
        </w:tc>
        <w:tc>
          <w:tcPr>
            <w:tcW w:w="4261" w:type="dxa"/>
            <w:vAlign w:val="center"/>
          </w:tcPr>
          <w:p w14:paraId="1BADEDFC">
            <w:pPr>
              <w:autoSpaceDE w:val="0"/>
              <w:autoSpaceDN w:val="0"/>
              <w:adjustRightInd w:val="0"/>
              <w:snapToGrid w:val="0"/>
              <w:rPr>
                <w:rFonts w:hint="eastAsia" w:ascii="宋体" w:hAnsi="宋体"/>
                <w:b/>
                <w:bCs/>
                <w:kern w:val="0"/>
                <w:sz w:val="24"/>
                <w:szCs w:val="20"/>
              </w:rPr>
            </w:pPr>
          </w:p>
        </w:tc>
      </w:tr>
      <w:tr w14:paraId="17457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6FE5AFBD">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开工日期</w:t>
            </w:r>
          </w:p>
        </w:tc>
        <w:tc>
          <w:tcPr>
            <w:tcW w:w="4261" w:type="dxa"/>
            <w:vAlign w:val="center"/>
          </w:tcPr>
          <w:p w14:paraId="5993D454">
            <w:pPr>
              <w:autoSpaceDE w:val="0"/>
              <w:autoSpaceDN w:val="0"/>
              <w:adjustRightInd w:val="0"/>
              <w:snapToGrid w:val="0"/>
              <w:rPr>
                <w:rFonts w:hint="eastAsia" w:ascii="宋体" w:hAnsi="宋体"/>
                <w:b/>
                <w:bCs/>
                <w:kern w:val="0"/>
                <w:sz w:val="24"/>
                <w:szCs w:val="20"/>
              </w:rPr>
            </w:pPr>
          </w:p>
        </w:tc>
      </w:tr>
      <w:tr w14:paraId="19F65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603145D9">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竣工日期</w:t>
            </w:r>
          </w:p>
        </w:tc>
        <w:tc>
          <w:tcPr>
            <w:tcW w:w="4261" w:type="dxa"/>
            <w:vAlign w:val="center"/>
          </w:tcPr>
          <w:p w14:paraId="5D517B5C">
            <w:pPr>
              <w:autoSpaceDE w:val="0"/>
              <w:autoSpaceDN w:val="0"/>
              <w:adjustRightInd w:val="0"/>
              <w:snapToGrid w:val="0"/>
              <w:rPr>
                <w:rFonts w:hint="eastAsia" w:ascii="宋体" w:hAnsi="宋体"/>
                <w:b/>
                <w:bCs/>
                <w:kern w:val="0"/>
                <w:sz w:val="24"/>
                <w:szCs w:val="20"/>
              </w:rPr>
            </w:pPr>
          </w:p>
        </w:tc>
      </w:tr>
      <w:tr w14:paraId="0941E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1A73BDDE">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承担的工作</w:t>
            </w:r>
          </w:p>
        </w:tc>
        <w:tc>
          <w:tcPr>
            <w:tcW w:w="4261" w:type="dxa"/>
            <w:vAlign w:val="center"/>
          </w:tcPr>
          <w:p w14:paraId="6547A997">
            <w:pPr>
              <w:autoSpaceDE w:val="0"/>
              <w:autoSpaceDN w:val="0"/>
              <w:adjustRightInd w:val="0"/>
              <w:snapToGrid w:val="0"/>
              <w:rPr>
                <w:rFonts w:hint="eastAsia" w:ascii="宋体" w:hAnsi="宋体"/>
                <w:b/>
                <w:bCs/>
                <w:kern w:val="0"/>
                <w:sz w:val="24"/>
                <w:szCs w:val="20"/>
              </w:rPr>
            </w:pPr>
          </w:p>
        </w:tc>
      </w:tr>
      <w:tr w14:paraId="42A1C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40FB6CA5">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项目经理</w:t>
            </w:r>
          </w:p>
        </w:tc>
        <w:tc>
          <w:tcPr>
            <w:tcW w:w="4261" w:type="dxa"/>
            <w:vAlign w:val="center"/>
          </w:tcPr>
          <w:p w14:paraId="0883C824">
            <w:pPr>
              <w:autoSpaceDE w:val="0"/>
              <w:autoSpaceDN w:val="0"/>
              <w:adjustRightInd w:val="0"/>
              <w:snapToGrid w:val="0"/>
              <w:rPr>
                <w:rFonts w:hint="eastAsia" w:ascii="宋体" w:hAnsi="宋体"/>
                <w:b/>
                <w:bCs/>
                <w:kern w:val="0"/>
                <w:sz w:val="24"/>
                <w:szCs w:val="20"/>
              </w:rPr>
            </w:pPr>
          </w:p>
        </w:tc>
      </w:tr>
      <w:tr w14:paraId="15749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53E3280E">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技术负责人</w:t>
            </w:r>
          </w:p>
        </w:tc>
        <w:tc>
          <w:tcPr>
            <w:tcW w:w="4261" w:type="dxa"/>
            <w:vAlign w:val="center"/>
          </w:tcPr>
          <w:p w14:paraId="4C8495D3">
            <w:pPr>
              <w:autoSpaceDE w:val="0"/>
              <w:autoSpaceDN w:val="0"/>
              <w:adjustRightInd w:val="0"/>
              <w:snapToGrid w:val="0"/>
              <w:rPr>
                <w:rFonts w:hint="eastAsia" w:ascii="宋体" w:hAnsi="宋体"/>
                <w:b/>
                <w:bCs/>
                <w:kern w:val="0"/>
                <w:sz w:val="24"/>
                <w:szCs w:val="20"/>
              </w:rPr>
            </w:pPr>
          </w:p>
        </w:tc>
      </w:tr>
      <w:tr w14:paraId="3DA00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352B88B4">
            <w:pPr>
              <w:autoSpaceDE w:val="0"/>
              <w:autoSpaceDN w:val="0"/>
              <w:adjustRightInd w:val="0"/>
              <w:snapToGrid w:val="0"/>
              <w:rPr>
                <w:rFonts w:hint="eastAsia" w:ascii="宋体" w:hAnsi="宋体"/>
                <w:b/>
                <w:bCs/>
                <w:kern w:val="0"/>
                <w:sz w:val="24"/>
                <w:szCs w:val="20"/>
              </w:rPr>
            </w:pPr>
            <w:r>
              <w:rPr>
                <w:rFonts w:ascii="宋体" w:hAnsi="宋体"/>
                <w:b/>
                <w:bCs/>
                <w:kern w:val="0"/>
                <w:sz w:val="24"/>
                <w:szCs w:val="20"/>
              </w:rPr>
              <w:t>项目描述</w:t>
            </w:r>
          </w:p>
        </w:tc>
        <w:tc>
          <w:tcPr>
            <w:tcW w:w="4261" w:type="dxa"/>
            <w:vAlign w:val="center"/>
          </w:tcPr>
          <w:p w14:paraId="62284305">
            <w:pPr>
              <w:autoSpaceDE w:val="0"/>
              <w:autoSpaceDN w:val="0"/>
              <w:adjustRightInd w:val="0"/>
              <w:snapToGrid w:val="0"/>
              <w:rPr>
                <w:rFonts w:hint="eastAsia" w:ascii="宋体" w:hAnsi="宋体"/>
                <w:b/>
                <w:bCs/>
                <w:kern w:val="0"/>
                <w:sz w:val="24"/>
                <w:szCs w:val="20"/>
              </w:rPr>
            </w:pPr>
          </w:p>
        </w:tc>
      </w:tr>
      <w:tr w14:paraId="3138E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261" w:type="dxa"/>
            <w:vAlign w:val="center"/>
          </w:tcPr>
          <w:p w14:paraId="3FC5A1D4">
            <w:pPr>
              <w:autoSpaceDE w:val="0"/>
              <w:autoSpaceDN w:val="0"/>
              <w:adjustRightInd w:val="0"/>
              <w:snapToGrid w:val="0"/>
              <w:rPr>
                <w:rFonts w:hint="eastAsia" w:ascii="宋体" w:hAnsi="宋体"/>
                <w:b/>
                <w:bCs/>
                <w:kern w:val="0"/>
                <w:sz w:val="24"/>
                <w:szCs w:val="20"/>
              </w:rPr>
            </w:pPr>
            <w:r>
              <w:rPr>
                <w:rFonts w:hint="eastAsia" w:ascii="宋体" w:hAnsi="宋体"/>
                <w:b/>
                <w:bCs/>
                <w:kern w:val="0"/>
                <w:sz w:val="24"/>
                <w:szCs w:val="20"/>
              </w:rPr>
              <w:t>备注</w:t>
            </w:r>
          </w:p>
        </w:tc>
        <w:tc>
          <w:tcPr>
            <w:tcW w:w="4261" w:type="dxa"/>
            <w:vAlign w:val="center"/>
          </w:tcPr>
          <w:p w14:paraId="1BDE10D8">
            <w:pPr>
              <w:autoSpaceDE w:val="0"/>
              <w:autoSpaceDN w:val="0"/>
              <w:adjustRightInd w:val="0"/>
              <w:snapToGrid w:val="0"/>
              <w:rPr>
                <w:rFonts w:hint="eastAsia" w:ascii="宋体" w:hAnsi="宋体"/>
                <w:b/>
                <w:bCs/>
                <w:kern w:val="0"/>
                <w:sz w:val="24"/>
                <w:szCs w:val="20"/>
              </w:rPr>
            </w:pPr>
          </w:p>
        </w:tc>
      </w:tr>
    </w:tbl>
    <w:p w14:paraId="1DE0E864">
      <w:pPr>
        <w:autoSpaceDE w:val="0"/>
        <w:autoSpaceDN w:val="0"/>
        <w:adjustRightInd w:val="0"/>
        <w:snapToGrid w:val="0"/>
        <w:spacing w:line="360" w:lineRule="auto"/>
        <w:jc w:val="left"/>
        <w:rPr>
          <w:rFonts w:hint="eastAsia" w:ascii="宋体" w:hAnsi="宋体"/>
          <w:b/>
          <w:bCs/>
          <w:sz w:val="24"/>
          <w:szCs w:val="20"/>
        </w:rPr>
      </w:pPr>
    </w:p>
    <w:p w14:paraId="32392A4B">
      <w:pPr>
        <w:autoSpaceDE w:val="0"/>
        <w:autoSpaceDN w:val="0"/>
        <w:adjustRightInd w:val="0"/>
        <w:snapToGrid w:val="0"/>
        <w:spacing w:line="360" w:lineRule="auto"/>
        <w:jc w:val="left"/>
        <w:rPr>
          <w:rFonts w:hint="eastAsia" w:ascii="宋体" w:hAnsi="宋体"/>
          <w:b/>
          <w:bCs/>
          <w:sz w:val="24"/>
          <w:szCs w:val="20"/>
        </w:rPr>
      </w:pPr>
      <w:r>
        <w:rPr>
          <w:rFonts w:hint="eastAsia" w:ascii="宋体" w:hAnsi="宋体"/>
          <w:b/>
          <w:bCs/>
          <w:sz w:val="24"/>
          <w:szCs w:val="20"/>
        </w:rPr>
        <w:t>注：</w:t>
      </w:r>
      <w:r>
        <w:rPr>
          <w:rFonts w:ascii="宋体" w:hAnsi="宋体"/>
          <w:b/>
          <w:bCs/>
          <w:sz w:val="24"/>
          <w:szCs w:val="20"/>
        </w:rPr>
        <w:t>类似项目业绩须附合同电子扫描件</w:t>
      </w:r>
      <w:r>
        <w:rPr>
          <w:rFonts w:hint="eastAsia" w:ascii="宋体" w:hAnsi="宋体"/>
          <w:b/>
          <w:bCs/>
          <w:sz w:val="24"/>
          <w:szCs w:val="20"/>
        </w:rPr>
        <w:t>并加盖公章。</w:t>
      </w:r>
    </w:p>
    <w:p w14:paraId="43EF587B">
      <w:pPr>
        <w:widowControl/>
        <w:jc w:val="left"/>
        <w:rPr>
          <w:rFonts w:hint="eastAsia" w:ascii="宋体" w:hAnsi="宋体"/>
          <w:b/>
          <w:bCs/>
          <w:sz w:val="24"/>
          <w:szCs w:val="20"/>
        </w:rPr>
      </w:pPr>
      <w:r>
        <w:rPr>
          <w:rFonts w:hint="eastAsia" w:ascii="宋体" w:hAnsi="宋体"/>
          <w:b/>
          <w:bCs/>
          <w:sz w:val="24"/>
          <w:szCs w:val="20"/>
        </w:rPr>
        <w:br w:type="page"/>
      </w:r>
    </w:p>
    <w:p w14:paraId="47DB536E">
      <w:pPr>
        <w:widowControl/>
        <w:jc w:val="left"/>
        <w:rPr>
          <w:rFonts w:hint="eastAsia" w:ascii="宋体" w:hAnsi="宋体"/>
          <w:sz w:val="24"/>
          <w:szCs w:val="20"/>
        </w:rPr>
      </w:pPr>
    </w:p>
    <w:p w14:paraId="441C7981">
      <w:pPr>
        <w:pStyle w:val="65"/>
        <w:numPr>
          <w:ilvl w:val="0"/>
          <w:numId w:val="8"/>
        </w:numPr>
        <w:tabs>
          <w:tab w:val="left" w:pos="360"/>
          <w:tab w:val="left" w:pos="900"/>
        </w:tabs>
        <w:snapToGrid w:val="0"/>
        <w:spacing w:line="360" w:lineRule="auto"/>
        <w:ind w:firstLineChars="0"/>
        <w:outlineLvl w:val="1"/>
        <w:rPr>
          <w:rFonts w:hint="eastAsia" w:ascii="宋体" w:hAnsi="宋体"/>
          <w:sz w:val="24"/>
        </w:rPr>
      </w:pPr>
      <w:r>
        <w:rPr>
          <w:rFonts w:hint="eastAsia" w:ascii="宋体" w:hAnsi="宋体"/>
          <w:sz w:val="24"/>
        </w:rPr>
        <w:t>已标价工程量清单</w:t>
      </w:r>
    </w:p>
    <w:p w14:paraId="136E1BD6">
      <w:pPr>
        <w:autoSpaceDE w:val="0"/>
        <w:autoSpaceDN w:val="0"/>
        <w:adjustRightInd w:val="0"/>
        <w:snapToGrid w:val="0"/>
        <w:spacing w:line="360" w:lineRule="auto"/>
        <w:rPr>
          <w:rFonts w:hint="eastAsia" w:ascii="宋体" w:hAnsi="宋体"/>
          <w:sz w:val="24"/>
          <w:szCs w:val="20"/>
        </w:rPr>
      </w:pPr>
      <w:r>
        <w:rPr>
          <w:rFonts w:hint="eastAsia" w:ascii="宋体" w:hAnsi="宋体"/>
          <w:sz w:val="24"/>
          <w:szCs w:val="20"/>
        </w:rPr>
        <w:t>（说明：此处需放已标价工程量清单，“工程量清单”中的相关清单表格式填写。）</w:t>
      </w:r>
    </w:p>
    <w:p w14:paraId="022EAFA5">
      <w:pPr>
        <w:tabs>
          <w:tab w:val="left" w:pos="5580"/>
        </w:tabs>
        <w:spacing w:line="360" w:lineRule="auto"/>
        <w:rPr>
          <w:rFonts w:hint="eastAsia" w:ascii="宋体" w:hAnsi="宋体"/>
          <w:sz w:val="24"/>
        </w:rPr>
      </w:pPr>
    </w:p>
    <w:p w14:paraId="54150AAE">
      <w:pPr>
        <w:widowControl/>
        <w:jc w:val="left"/>
        <w:rPr>
          <w:rFonts w:hint="eastAsia" w:ascii="宋体" w:hAnsi="宋体"/>
          <w:sz w:val="24"/>
        </w:rPr>
      </w:pPr>
      <w:r>
        <w:rPr>
          <w:rFonts w:ascii="宋体" w:hAnsi="宋体"/>
          <w:sz w:val="24"/>
        </w:rPr>
        <w:br w:type="page"/>
      </w:r>
    </w:p>
    <w:p w14:paraId="4647A8D4">
      <w:pPr>
        <w:tabs>
          <w:tab w:val="left" w:pos="360"/>
        </w:tabs>
        <w:snapToGrid w:val="0"/>
        <w:spacing w:line="360" w:lineRule="auto"/>
        <w:outlineLvl w:val="1"/>
        <w:rPr>
          <w:rFonts w:hint="eastAsia" w:ascii="宋体" w:hAnsi="宋体"/>
          <w:sz w:val="24"/>
        </w:rPr>
      </w:pPr>
      <w:r>
        <w:rPr>
          <w:rFonts w:hint="eastAsia" w:ascii="宋体" w:hAnsi="宋体"/>
          <w:sz w:val="24"/>
        </w:rPr>
        <w:t>10</w:t>
      </w:r>
      <w:r>
        <w:rPr>
          <w:rFonts w:ascii="宋体" w:hAnsi="宋体"/>
          <w:sz w:val="24"/>
        </w:rPr>
        <w:t xml:space="preserve"> </w:t>
      </w:r>
      <w:bookmarkStart w:id="2180" w:name="_Toc226337258"/>
      <w:bookmarkStart w:id="2181" w:name="_Toc305158830"/>
      <w:bookmarkStart w:id="2182" w:name="_Toc305158904"/>
      <w:bookmarkStart w:id="2183" w:name="_Toc150480798"/>
      <w:bookmarkStart w:id="2184" w:name="_Toc264969252"/>
      <w:bookmarkStart w:id="2185" w:name="_Toc127151562"/>
      <w:bookmarkStart w:id="2186" w:name="_Toc226965752"/>
      <w:bookmarkStart w:id="2187" w:name="_Toc150774765"/>
      <w:bookmarkStart w:id="2188" w:name="_Toc265228400"/>
      <w:bookmarkStart w:id="2189" w:name="_Toc142311062"/>
      <w:bookmarkStart w:id="2190" w:name="_Toc226965835"/>
      <w:bookmarkStart w:id="2191" w:name="_Toc195842927"/>
      <w:bookmarkStart w:id="2192" w:name="_Toc226309806"/>
      <w:r>
        <w:rPr>
          <w:rFonts w:ascii="宋体" w:hAnsi="宋体"/>
          <w:sz w:val="24"/>
        </w:rPr>
        <w:t>合同条款偏离表</w:t>
      </w:r>
      <w:bookmarkEnd w:id="2180"/>
      <w:bookmarkEnd w:id="2181"/>
      <w:bookmarkEnd w:id="2182"/>
      <w:bookmarkEnd w:id="2183"/>
      <w:bookmarkEnd w:id="2184"/>
      <w:bookmarkEnd w:id="2185"/>
      <w:bookmarkEnd w:id="2186"/>
      <w:bookmarkEnd w:id="2187"/>
      <w:bookmarkEnd w:id="2188"/>
      <w:bookmarkEnd w:id="2189"/>
      <w:bookmarkEnd w:id="2190"/>
      <w:bookmarkEnd w:id="2191"/>
      <w:bookmarkEnd w:id="2192"/>
    </w:p>
    <w:p w14:paraId="4624A1E9">
      <w:pPr>
        <w:spacing w:line="360" w:lineRule="auto"/>
        <w:rPr>
          <w:rFonts w:hint="eastAsia" w:ascii="宋体" w:hAnsi="宋体"/>
          <w:sz w:val="24"/>
          <w:szCs w:val="20"/>
        </w:rPr>
      </w:pPr>
    </w:p>
    <w:p w14:paraId="066439C5">
      <w:pPr>
        <w:tabs>
          <w:tab w:val="left" w:pos="2775"/>
          <w:tab w:val="center" w:pos="4153"/>
        </w:tabs>
        <w:autoSpaceDE w:val="0"/>
        <w:autoSpaceDN w:val="0"/>
        <w:adjustRightInd w:val="0"/>
        <w:spacing w:line="360" w:lineRule="auto"/>
        <w:jc w:val="left"/>
        <w:rPr>
          <w:rFonts w:hint="eastAsia" w:ascii="宋体" w:hAnsi="宋体"/>
          <w:b/>
          <w:sz w:val="36"/>
          <w:szCs w:val="36"/>
        </w:rPr>
      </w:pPr>
      <w:r>
        <w:rPr>
          <w:rFonts w:ascii="宋体" w:hAnsi="宋体"/>
          <w:sz w:val="36"/>
          <w:szCs w:val="36"/>
        </w:rPr>
        <w:tab/>
      </w:r>
      <w:r>
        <w:rPr>
          <w:rFonts w:ascii="宋体" w:hAnsi="宋体"/>
          <w:b/>
          <w:sz w:val="36"/>
          <w:szCs w:val="36"/>
        </w:rPr>
        <w:tab/>
      </w:r>
      <w:r>
        <w:rPr>
          <w:rFonts w:hint="eastAsia" w:ascii="宋体" w:hAnsi="宋体"/>
          <w:b/>
          <w:sz w:val="36"/>
          <w:szCs w:val="36"/>
        </w:rPr>
        <w:t>合同条款偏离表</w:t>
      </w:r>
    </w:p>
    <w:p w14:paraId="4E08F10A">
      <w:pPr>
        <w:tabs>
          <w:tab w:val="left" w:pos="1800"/>
          <w:tab w:val="left" w:pos="5580"/>
        </w:tabs>
        <w:spacing w:line="360" w:lineRule="auto"/>
        <w:ind w:firstLine="360" w:firstLineChars="150"/>
        <w:jc w:val="left"/>
        <w:rPr>
          <w:rFonts w:hint="eastAsia" w:ascii="宋体" w:hAnsi="宋体"/>
          <w:sz w:val="24"/>
        </w:rPr>
      </w:pPr>
      <w:r>
        <w:rPr>
          <w:rFonts w:ascii="宋体" w:hAnsi="宋体"/>
          <w:sz w:val="24"/>
        </w:rPr>
        <w:t>项目编号：</w:t>
      </w:r>
      <w:r>
        <w:rPr>
          <w:rFonts w:ascii="宋体" w:hAnsi="宋体"/>
          <w:sz w:val="24"/>
          <w:u w:val="single"/>
        </w:rPr>
        <w:t xml:space="preserve">_______________ </w:t>
      </w:r>
      <w:r>
        <w:rPr>
          <w:rFonts w:ascii="宋体" w:hAnsi="宋体"/>
          <w:sz w:val="24"/>
        </w:rPr>
        <w:t xml:space="preserve">    项目名称：</w:t>
      </w:r>
      <w:r>
        <w:rPr>
          <w:rFonts w:ascii="宋体" w:hAnsi="宋体"/>
          <w:sz w:val="24"/>
          <w:u w:val="single"/>
        </w:rPr>
        <w:t>_______________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1496"/>
        <w:gridCol w:w="1428"/>
        <w:gridCol w:w="1732"/>
        <w:gridCol w:w="2144"/>
        <w:gridCol w:w="729"/>
      </w:tblGrid>
      <w:tr w14:paraId="4566B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4813E87F">
            <w:pPr>
              <w:adjustRightInd w:val="0"/>
              <w:snapToGrid w:val="0"/>
              <w:spacing w:line="360" w:lineRule="auto"/>
              <w:jc w:val="left"/>
              <w:rPr>
                <w:rFonts w:hint="eastAsia" w:ascii="宋体" w:hAnsi="宋体"/>
                <w:b/>
                <w:sz w:val="24"/>
              </w:rPr>
            </w:pPr>
            <w:r>
              <w:rPr>
                <w:rFonts w:hint="eastAsia" w:ascii="宋体" w:hAnsi="宋体"/>
                <w:b/>
                <w:sz w:val="24"/>
              </w:rPr>
              <w:t>对本项目合同条款的偏离情况（请进行勾选）：</w:t>
            </w:r>
          </w:p>
          <w:p w14:paraId="3ECB1E23">
            <w:pPr>
              <w:adjustRightInd w:val="0"/>
              <w:snapToGrid w:val="0"/>
              <w:spacing w:line="360" w:lineRule="auto"/>
              <w:jc w:val="left"/>
              <w:rPr>
                <w:rFonts w:hint="eastAsia" w:ascii="宋体" w:hAnsi="宋体"/>
                <w:b/>
                <w:sz w:val="24"/>
              </w:rPr>
            </w:pPr>
            <w:r>
              <w:rPr>
                <w:rFonts w:ascii="宋体" w:hAnsi="宋体"/>
                <w:b/>
                <w:sz w:val="24"/>
              </w:rPr>
              <w:t>□无偏离</w:t>
            </w:r>
            <w:r>
              <w:rPr>
                <w:rFonts w:ascii="宋体" w:hAnsi="宋体"/>
                <w:sz w:val="24"/>
              </w:rPr>
              <w:t>（</w:t>
            </w:r>
            <w:r>
              <w:rPr>
                <w:rFonts w:ascii="宋体" w:hAnsi="宋体"/>
                <w:sz w:val="24"/>
                <w:szCs w:val="21"/>
              </w:rPr>
              <w:t>如无偏离，仅勾选无偏离即可</w:t>
            </w:r>
            <w:r>
              <w:rPr>
                <w:rFonts w:ascii="宋体" w:hAnsi="宋体"/>
                <w:sz w:val="24"/>
              </w:rPr>
              <w:t>）</w:t>
            </w:r>
          </w:p>
          <w:p w14:paraId="115001EE">
            <w:pPr>
              <w:adjustRightInd w:val="0"/>
              <w:snapToGrid w:val="0"/>
              <w:spacing w:line="360" w:lineRule="auto"/>
              <w:jc w:val="left"/>
              <w:rPr>
                <w:rFonts w:hint="eastAsia" w:ascii="宋体" w:hAnsi="宋体"/>
                <w:sz w:val="24"/>
              </w:rPr>
            </w:pPr>
            <w:r>
              <w:rPr>
                <w:rFonts w:ascii="宋体" w:hAnsi="宋体"/>
                <w:b/>
                <w:sz w:val="24"/>
              </w:rPr>
              <w:t>□有偏离</w:t>
            </w:r>
            <w:r>
              <w:rPr>
                <w:rFonts w:ascii="宋体" w:hAnsi="宋体"/>
                <w:sz w:val="24"/>
              </w:rPr>
              <w:t>（</w:t>
            </w:r>
            <w:r>
              <w:rPr>
                <w:rFonts w:ascii="宋体" w:hAnsi="宋体"/>
                <w:sz w:val="24"/>
                <w:szCs w:val="21"/>
              </w:rPr>
              <w:t>如有负偏离，</w:t>
            </w:r>
            <w:r>
              <w:rPr>
                <w:rFonts w:ascii="宋体" w:hAnsi="宋体"/>
                <w:sz w:val="24"/>
              </w:rPr>
              <w:t>则须在本表中对负偏离项逐一列明）</w:t>
            </w:r>
          </w:p>
        </w:tc>
      </w:tr>
      <w:tr w14:paraId="441B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10E4DD73">
            <w:pPr>
              <w:adjustRightInd w:val="0"/>
              <w:snapToGrid w:val="0"/>
              <w:spacing w:line="360" w:lineRule="auto"/>
              <w:jc w:val="center"/>
              <w:rPr>
                <w:rFonts w:hint="eastAsia" w:ascii="宋体" w:hAnsi="宋体"/>
                <w:sz w:val="24"/>
              </w:rPr>
            </w:pPr>
            <w:r>
              <w:rPr>
                <w:rFonts w:ascii="宋体" w:hAnsi="宋体"/>
                <w:sz w:val="24"/>
              </w:rPr>
              <w:t>序号</w:t>
            </w:r>
          </w:p>
        </w:tc>
        <w:tc>
          <w:tcPr>
            <w:tcW w:w="1496" w:type="dxa"/>
            <w:vAlign w:val="center"/>
          </w:tcPr>
          <w:p w14:paraId="37103D80">
            <w:pPr>
              <w:adjustRightInd w:val="0"/>
              <w:snapToGrid w:val="0"/>
              <w:spacing w:line="360" w:lineRule="auto"/>
              <w:jc w:val="center"/>
              <w:rPr>
                <w:rFonts w:hint="eastAsia" w:ascii="宋体" w:hAnsi="宋体"/>
                <w:sz w:val="24"/>
              </w:rPr>
            </w:pPr>
            <w:r>
              <w:rPr>
                <w:rFonts w:ascii="宋体" w:hAnsi="宋体"/>
                <w:sz w:val="24"/>
                <w:szCs w:val="21"/>
              </w:rPr>
              <w:t>竞争性磋商文件</w:t>
            </w:r>
            <w:r>
              <w:rPr>
                <w:rFonts w:ascii="宋体" w:hAnsi="宋体"/>
                <w:sz w:val="24"/>
              </w:rPr>
              <w:t>条目号（页码）</w:t>
            </w:r>
          </w:p>
        </w:tc>
        <w:tc>
          <w:tcPr>
            <w:tcW w:w="1428" w:type="dxa"/>
            <w:vAlign w:val="center"/>
          </w:tcPr>
          <w:p w14:paraId="05141E3C">
            <w:pPr>
              <w:adjustRightInd w:val="0"/>
              <w:snapToGrid w:val="0"/>
              <w:spacing w:line="360" w:lineRule="auto"/>
              <w:jc w:val="center"/>
              <w:rPr>
                <w:rFonts w:hint="eastAsia" w:ascii="宋体" w:hAnsi="宋体"/>
                <w:sz w:val="24"/>
              </w:rPr>
            </w:pPr>
            <w:r>
              <w:rPr>
                <w:rFonts w:ascii="宋体" w:hAnsi="宋体"/>
                <w:sz w:val="24"/>
                <w:szCs w:val="21"/>
              </w:rPr>
              <w:t>竞争性磋商文件</w:t>
            </w:r>
            <w:r>
              <w:rPr>
                <w:rFonts w:ascii="宋体" w:hAnsi="宋体"/>
                <w:sz w:val="24"/>
              </w:rPr>
              <w:t>要求</w:t>
            </w:r>
          </w:p>
        </w:tc>
        <w:tc>
          <w:tcPr>
            <w:tcW w:w="1732" w:type="dxa"/>
            <w:vAlign w:val="center"/>
          </w:tcPr>
          <w:p w14:paraId="6FD8A941">
            <w:pPr>
              <w:adjustRightInd w:val="0"/>
              <w:snapToGrid w:val="0"/>
              <w:spacing w:line="360" w:lineRule="auto"/>
              <w:jc w:val="center"/>
              <w:rPr>
                <w:rFonts w:hint="eastAsia" w:ascii="宋体" w:hAnsi="宋体"/>
                <w:sz w:val="24"/>
              </w:rPr>
            </w:pPr>
            <w:r>
              <w:rPr>
                <w:rFonts w:ascii="宋体" w:hAnsi="宋体"/>
                <w:sz w:val="24"/>
              </w:rPr>
              <w:t>响应文件内容</w:t>
            </w:r>
          </w:p>
        </w:tc>
        <w:tc>
          <w:tcPr>
            <w:tcW w:w="2144" w:type="dxa"/>
            <w:vAlign w:val="center"/>
          </w:tcPr>
          <w:p w14:paraId="65E20B10">
            <w:pPr>
              <w:adjustRightInd w:val="0"/>
              <w:snapToGrid w:val="0"/>
              <w:spacing w:line="360" w:lineRule="auto"/>
              <w:jc w:val="center"/>
              <w:rPr>
                <w:rFonts w:hint="eastAsia" w:ascii="宋体" w:hAnsi="宋体"/>
                <w:sz w:val="24"/>
              </w:rPr>
            </w:pPr>
            <w:r>
              <w:rPr>
                <w:rFonts w:ascii="宋体" w:hAnsi="宋体"/>
                <w:sz w:val="24"/>
              </w:rPr>
              <w:t>偏离情况</w:t>
            </w:r>
          </w:p>
          <w:p w14:paraId="2BCF46BF">
            <w:pPr>
              <w:adjustRightInd w:val="0"/>
              <w:snapToGrid w:val="0"/>
              <w:spacing w:line="360" w:lineRule="auto"/>
              <w:jc w:val="center"/>
              <w:rPr>
                <w:rFonts w:hint="eastAsia" w:ascii="宋体" w:hAnsi="宋体"/>
                <w:sz w:val="24"/>
              </w:rPr>
            </w:pPr>
            <w:r>
              <w:rPr>
                <w:rFonts w:ascii="宋体" w:hAnsi="宋体"/>
                <w:sz w:val="24"/>
              </w:rPr>
              <w:t>（据实填写）</w:t>
            </w:r>
          </w:p>
        </w:tc>
        <w:tc>
          <w:tcPr>
            <w:tcW w:w="729" w:type="dxa"/>
            <w:vAlign w:val="center"/>
          </w:tcPr>
          <w:p w14:paraId="49D9D05F">
            <w:pPr>
              <w:adjustRightInd w:val="0"/>
              <w:snapToGrid w:val="0"/>
              <w:spacing w:line="360" w:lineRule="auto"/>
              <w:jc w:val="center"/>
              <w:rPr>
                <w:rFonts w:hint="eastAsia" w:ascii="宋体" w:hAnsi="宋体"/>
                <w:sz w:val="24"/>
              </w:rPr>
            </w:pPr>
            <w:r>
              <w:rPr>
                <w:rFonts w:ascii="宋体" w:hAnsi="宋体"/>
                <w:sz w:val="24"/>
              </w:rPr>
              <w:t>说明</w:t>
            </w:r>
          </w:p>
        </w:tc>
      </w:tr>
      <w:tr w14:paraId="244B2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7602C2C2">
            <w:pPr>
              <w:adjustRightInd w:val="0"/>
              <w:snapToGrid w:val="0"/>
              <w:spacing w:line="360" w:lineRule="auto"/>
              <w:jc w:val="center"/>
              <w:rPr>
                <w:rFonts w:hint="eastAsia" w:ascii="宋体" w:hAnsi="宋体"/>
                <w:sz w:val="24"/>
              </w:rPr>
            </w:pPr>
          </w:p>
        </w:tc>
        <w:tc>
          <w:tcPr>
            <w:tcW w:w="1496" w:type="dxa"/>
            <w:vAlign w:val="center"/>
          </w:tcPr>
          <w:p w14:paraId="62F681E3">
            <w:pPr>
              <w:adjustRightInd w:val="0"/>
              <w:snapToGrid w:val="0"/>
              <w:spacing w:line="360" w:lineRule="auto"/>
              <w:jc w:val="center"/>
              <w:rPr>
                <w:rFonts w:hint="eastAsia" w:ascii="宋体" w:hAnsi="宋体"/>
                <w:sz w:val="24"/>
              </w:rPr>
            </w:pPr>
          </w:p>
        </w:tc>
        <w:tc>
          <w:tcPr>
            <w:tcW w:w="1428" w:type="dxa"/>
            <w:vAlign w:val="center"/>
          </w:tcPr>
          <w:p w14:paraId="25E1D395">
            <w:pPr>
              <w:adjustRightInd w:val="0"/>
              <w:snapToGrid w:val="0"/>
              <w:spacing w:line="360" w:lineRule="auto"/>
              <w:jc w:val="center"/>
              <w:rPr>
                <w:rFonts w:hint="eastAsia" w:ascii="宋体" w:hAnsi="宋体"/>
                <w:sz w:val="24"/>
              </w:rPr>
            </w:pPr>
          </w:p>
        </w:tc>
        <w:tc>
          <w:tcPr>
            <w:tcW w:w="1732" w:type="dxa"/>
            <w:vAlign w:val="center"/>
          </w:tcPr>
          <w:p w14:paraId="637EC71B">
            <w:pPr>
              <w:adjustRightInd w:val="0"/>
              <w:snapToGrid w:val="0"/>
              <w:spacing w:line="360" w:lineRule="auto"/>
              <w:jc w:val="center"/>
              <w:rPr>
                <w:rFonts w:hint="eastAsia" w:ascii="宋体" w:hAnsi="宋体"/>
                <w:sz w:val="24"/>
              </w:rPr>
            </w:pPr>
          </w:p>
        </w:tc>
        <w:tc>
          <w:tcPr>
            <w:tcW w:w="2144" w:type="dxa"/>
            <w:vAlign w:val="center"/>
          </w:tcPr>
          <w:p w14:paraId="11A937B2">
            <w:pPr>
              <w:adjustRightInd w:val="0"/>
              <w:snapToGrid w:val="0"/>
              <w:spacing w:line="360" w:lineRule="auto"/>
              <w:jc w:val="center"/>
              <w:rPr>
                <w:rFonts w:hint="eastAsia" w:ascii="宋体" w:hAnsi="宋体"/>
                <w:sz w:val="24"/>
              </w:rPr>
            </w:pPr>
          </w:p>
        </w:tc>
        <w:tc>
          <w:tcPr>
            <w:tcW w:w="729" w:type="dxa"/>
            <w:vAlign w:val="center"/>
          </w:tcPr>
          <w:p w14:paraId="23CA55D2">
            <w:pPr>
              <w:adjustRightInd w:val="0"/>
              <w:snapToGrid w:val="0"/>
              <w:spacing w:line="360" w:lineRule="auto"/>
              <w:jc w:val="center"/>
              <w:rPr>
                <w:rFonts w:hint="eastAsia" w:ascii="宋体" w:hAnsi="宋体"/>
                <w:sz w:val="24"/>
              </w:rPr>
            </w:pPr>
          </w:p>
        </w:tc>
      </w:tr>
      <w:tr w14:paraId="7D959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735451E6">
            <w:pPr>
              <w:adjustRightInd w:val="0"/>
              <w:snapToGrid w:val="0"/>
              <w:spacing w:line="360" w:lineRule="auto"/>
              <w:jc w:val="center"/>
              <w:rPr>
                <w:rFonts w:hint="eastAsia" w:ascii="宋体" w:hAnsi="宋体"/>
                <w:sz w:val="24"/>
              </w:rPr>
            </w:pPr>
          </w:p>
        </w:tc>
        <w:tc>
          <w:tcPr>
            <w:tcW w:w="1496" w:type="dxa"/>
            <w:vAlign w:val="center"/>
          </w:tcPr>
          <w:p w14:paraId="04D6E4E9">
            <w:pPr>
              <w:adjustRightInd w:val="0"/>
              <w:snapToGrid w:val="0"/>
              <w:spacing w:line="360" w:lineRule="auto"/>
              <w:jc w:val="center"/>
              <w:rPr>
                <w:rFonts w:hint="eastAsia" w:ascii="宋体" w:hAnsi="宋体"/>
                <w:sz w:val="24"/>
              </w:rPr>
            </w:pPr>
          </w:p>
        </w:tc>
        <w:tc>
          <w:tcPr>
            <w:tcW w:w="1428" w:type="dxa"/>
            <w:vAlign w:val="center"/>
          </w:tcPr>
          <w:p w14:paraId="431877F7">
            <w:pPr>
              <w:adjustRightInd w:val="0"/>
              <w:snapToGrid w:val="0"/>
              <w:spacing w:line="360" w:lineRule="auto"/>
              <w:jc w:val="center"/>
              <w:rPr>
                <w:rFonts w:hint="eastAsia" w:ascii="宋体" w:hAnsi="宋体"/>
                <w:sz w:val="24"/>
              </w:rPr>
            </w:pPr>
          </w:p>
        </w:tc>
        <w:tc>
          <w:tcPr>
            <w:tcW w:w="1732" w:type="dxa"/>
            <w:vAlign w:val="center"/>
          </w:tcPr>
          <w:p w14:paraId="1CBF16D9">
            <w:pPr>
              <w:adjustRightInd w:val="0"/>
              <w:snapToGrid w:val="0"/>
              <w:spacing w:line="360" w:lineRule="auto"/>
              <w:jc w:val="center"/>
              <w:rPr>
                <w:rFonts w:hint="eastAsia" w:ascii="宋体" w:hAnsi="宋体"/>
                <w:sz w:val="24"/>
              </w:rPr>
            </w:pPr>
          </w:p>
        </w:tc>
        <w:tc>
          <w:tcPr>
            <w:tcW w:w="2144" w:type="dxa"/>
            <w:vAlign w:val="center"/>
          </w:tcPr>
          <w:p w14:paraId="69DC4DAF">
            <w:pPr>
              <w:adjustRightInd w:val="0"/>
              <w:snapToGrid w:val="0"/>
              <w:spacing w:line="360" w:lineRule="auto"/>
              <w:jc w:val="center"/>
              <w:rPr>
                <w:rFonts w:hint="eastAsia" w:ascii="宋体" w:hAnsi="宋体"/>
                <w:sz w:val="24"/>
              </w:rPr>
            </w:pPr>
          </w:p>
        </w:tc>
        <w:tc>
          <w:tcPr>
            <w:tcW w:w="729" w:type="dxa"/>
            <w:vAlign w:val="center"/>
          </w:tcPr>
          <w:p w14:paraId="439D1E06">
            <w:pPr>
              <w:adjustRightInd w:val="0"/>
              <w:snapToGrid w:val="0"/>
              <w:spacing w:line="360" w:lineRule="auto"/>
              <w:jc w:val="center"/>
              <w:rPr>
                <w:rFonts w:hint="eastAsia" w:ascii="宋体" w:hAnsi="宋体"/>
                <w:sz w:val="24"/>
              </w:rPr>
            </w:pPr>
          </w:p>
        </w:tc>
      </w:tr>
      <w:tr w14:paraId="010AC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6E06C267">
            <w:pPr>
              <w:adjustRightInd w:val="0"/>
              <w:snapToGrid w:val="0"/>
              <w:spacing w:line="360" w:lineRule="auto"/>
              <w:jc w:val="center"/>
              <w:rPr>
                <w:rFonts w:hint="eastAsia" w:ascii="宋体" w:hAnsi="宋体"/>
                <w:sz w:val="24"/>
              </w:rPr>
            </w:pPr>
          </w:p>
        </w:tc>
        <w:tc>
          <w:tcPr>
            <w:tcW w:w="1496" w:type="dxa"/>
            <w:vAlign w:val="center"/>
          </w:tcPr>
          <w:p w14:paraId="145CE953">
            <w:pPr>
              <w:adjustRightInd w:val="0"/>
              <w:snapToGrid w:val="0"/>
              <w:spacing w:line="360" w:lineRule="auto"/>
              <w:jc w:val="center"/>
              <w:rPr>
                <w:rFonts w:hint="eastAsia" w:ascii="宋体" w:hAnsi="宋体"/>
                <w:sz w:val="24"/>
              </w:rPr>
            </w:pPr>
          </w:p>
        </w:tc>
        <w:tc>
          <w:tcPr>
            <w:tcW w:w="1428" w:type="dxa"/>
            <w:vAlign w:val="center"/>
          </w:tcPr>
          <w:p w14:paraId="4B6FCB07">
            <w:pPr>
              <w:adjustRightInd w:val="0"/>
              <w:snapToGrid w:val="0"/>
              <w:spacing w:line="360" w:lineRule="auto"/>
              <w:jc w:val="center"/>
              <w:rPr>
                <w:rFonts w:hint="eastAsia" w:ascii="宋体" w:hAnsi="宋体"/>
                <w:sz w:val="24"/>
              </w:rPr>
            </w:pPr>
          </w:p>
        </w:tc>
        <w:tc>
          <w:tcPr>
            <w:tcW w:w="1732" w:type="dxa"/>
            <w:vAlign w:val="center"/>
          </w:tcPr>
          <w:p w14:paraId="1ACC9606">
            <w:pPr>
              <w:adjustRightInd w:val="0"/>
              <w:snapToGrid w:val="0"/>
              <w:spacing w:line="360" w:lineRule="auto"/>
              <w:jc w:val="center"/>
              <w:rPr>
                <w:rFonts w:hint="eastAsia" w:ascii="宋体" w:hAnsi="宋体"/>
                <w:sz w:val="24"/>
              </w:rPr>
            </w:pPr>
          </w:p>
        </w:tc>
        <w:tc>
          <w:tcPr>
            <w:tcW w:w="2144" w:type="dxa"/>
            <w:vAlign w:val="center"/>
          </w:tcPr>
          <w:p w14:paraId="35A42CC9">
            <w:pPr>
              <w:adjustRightInd w:val="0"/>
              <w:snapToGrid w:val="0"/>
              <w:spacing w:line="360" w:lineRule="auto"/>
              <w:jc w:val="center"/>
              <w:rPr>
                <w:rFonts w:hint="eastAsia" w:ascii="宋体" w:hAnsi="宋体"/>
                <w:sz w:val="24"/>
              </w:rPr>
            </w:pPr>
          </w:p>
        </w:tc>
        <w:tc>
          <w:tcPr>
            <w:tcW w:w="729" w:type="dxa"/>
            <w:vAlign w:val="center"/>
          </w:tcPr>
          <w:p w14:paraId="7656F53B">
            <w:pPr>
              <w:adjustRightInd w:val="0"/>
              <w:snapToGrid w:val="0"/>
              <w:spacing w:line="360" w:lineRule="auto"/>
              <w:jc w:val="center"/>
              <w:rPr>
                <w:rFonts w:hint="eastAsia" w:ascii="宋体" w:hAnsi="宋体"/>
                <w:sz w:val="24"/>
              </w:rPr>
            </w:pPr>
          </w:p>
        </w:tc>
      </w:tr>
      <w:tr w14:paraId="2DCC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16654B24">
            <w:pPr>
              <w:adjustRightInd w:val="0"/>
              <w:snapToGrid w:val="0"/>
              <w:spacing w:line="360" w:lineRule="auto"/>
              <w:jc w:val="center"/>
              <w:rPr>
                <w:rFonts w:hint="eastAsia" w:ascii="宋体" w:hAnsi="宋体"/>
                <w:sz w:val="24"/>
              </w:rPr>
            </w:pPr>
          </w:p>
        </w:tc>
        <w:tc>
          <w:tcPr>
            <w:tcW w:w="1496" w:type="dxa"/>
            <w:vAlign w:val="center"/>
          </w:tcPr>
          <w:p w14:paraId="470054C8">
            <w:pPr>
              <w:adjustRightInd w:val="0"/>
              <w:snapToGrid w:val="0"/>
              <w:spacing w:line="360" w:lineRule="auto"/>
              <w:jc w:val="center"/>
              <w:rPr>
                <w:rFonts w:hint="eastAsia" w:ascii="宋体" w:hAnsi="宋体"/>
                <w:sz w:val="24"/>
              </w:rPr>
            </w:pPr>
          </w:p>
        </w:tc>
        <w:tc>
          <w:tcPr>
            <w:tcW w:w="1428" w:type="dxa"/>
            <w:vAlign w:val="center"/>
          </w:tcPr>
          <w:p w14:paraId="72C1648B">
            <w:pPr>
              <w:adjustRightInd w:val="0"/>
              <w:snapToGrid w:val="0"/>
              <w:spacing w:line="360" w:lineRule="auto"/>
              <w:jc w:val="center"/>
              <w:rPr>
                <w:rFonts w:hint="eastAsia" w:ascii="宋体" w:hAnsi="宋体"/>
                <w:sz w:val="24"/>
              </w:rPr>
            </w:pPr>
          </w:p>
        </w:tc>
        <w:tc>
          <w:tcPr>
            <w:tcW w:w="1732" w:type="dxa"/>
            <w:vAlign w:val="center"/>
          </w:tcPr>
          <w:p w14:paraId="003B0F9A">
            <w:pPr>
              <w:adjustRightInd w:val="0"/>
              <w:snapToGrid w:val="0"/>
              <w:spacing w:line="360" w:lineRule="auto"/>
              <w:jc w:val="center"/>
              <w:rPr>
                <w:rFonts w:hint="eastAsia" w:ascii="宋体" w:hAnsi="宋体"/>
                <w:sz w:val="24"/>
              </w:rPr>
            </w:pPr>
          </w:p>
        </w:tc>
        <w:tc>
          <w:tcPr>
            <w:tcW w:w="2144" w:type="dxa"/>
            <w:vAlign w:val="center"/>
          </w:tcPr>
          <w:p w14:paraId="74D23805">
            <w:pPr>
              <w:adjustRightInd w:val="0"/>
              <w:snapToGrid w:val="0"/>
              <w:spacing w:line="360" w:lineRule="auto"/>
              <w:jc w:val="center"/>
              <w:rPr>
                <w:rFonts w:hint="eastAsia" w:ascii="宋体" w:hAnsi="宋体"/>
                <w:sz w:val="24"/>
              </w:rPr>
            </w:pPr>
          </w:p>
        </w:tc>
        <w:tc>
          <w:tcPr>
            <w:tcW w:w="729" w:type="dxa"/>
            <w:vAlign w:val="center"/>
          </w:tcPr>
          <w:p w14:paraId="3FBC170C">
            <w:pPr>
              <w:adjustRightInd w:val="0"/>
              <w:snapToGrid w:val="0"/>
              <w:spacing w:line="360" w:lineRule="auto"/>
              <w:jc w:val="center"/>
              <w:rPr>
                <w:rFonts w:hint="eastAsia" w:ascii="宋体" w:hAnsi="宋体"/>
                <w:sz w:val="24"/>
              </w:rPr>
            </w:pPr>
          </w:p>
        </w:tc>
      </w:tr>
    </w:tbl>
    <w:p w14:paraId="2B8EA064">
      <w:pPr>
        <w:tabs>
          <w:tab w:val="left" w:pos="1800"/>
          <w:tab w:val="left" w:pos="5580"/>
        </w:tabs>
        <w:jc w:val="left"/>
        <w:rPr>
          <w:rFonts w:hint="eastAsia" w:ascii="宋体" w:hAnsi="宋体"/>
          <w:sz w:val="24"/>
        </w:rPr>
      </w:pPr>
    </w:p>
    <w:p w14:paraId="19ABF412">
      <w:pPr>
        <w:tabs>
          <w:tab w:val="left" w:pos="1800"/>
          <w:tab w:val="left" w:pos="5580"/>
        </w:tabs>
        <w:spacing w:line="360" w:lineRule="auto"/>
        <w:jc w:val="left"/>
        <w:rPr>
          <w:rFonts w:hint="eastAsia" w:ascii="宋体" w:hAnsi="宋体"/>
          <w:sz w:val="24"/>
        </w:rPr>
      </w:pPr>
      <w:r>
        <w:rPr>
          <w:rFonts w:hint="eastAsia" w:ascii="宋体" w:hAnsi="宋体"/>
          <w:sz w:val="24"/>
        </w:rPr>
        <w:t>注：</w:t>
      </w:r>
    </w:p>
    <w:p w14:paraId="74BF24E9">
      <w:pPr>
        <w:tabs>
          <w:tab w:val="left" w:pos="1800"/>
          <w:tab w:val="left" w:pos="5580"/>
        </w:tabs>
        <w:spacing w:line="360" w:lineRule="auto"/>
        <w:jc w:val="left"/>
        <w:rPr>
          <w:rFonts w:hint="eastAsia" w:ascii="宋体" w:hAnsi="宋体"/>
          <w:sz w:val="24"/>
        </w:rPr>
      </w:pPr>
      <w:r>
        <w:rPr>
          <w:rFonts w:ascii="宋体" w:hAnsi="宋体"/>
          <w:sz w:val="24"/>
        </w:rPr>
        <w:t xml:space="preserve">1. </w:t>
      </w:r>
      <w:r>
        <w:rPr>
          <w:rFonts w:hint="eastAsia" w:ascii="宋体" w:hAnsi="宋体"/>
          <w:sz w:val="24"/>
        </w:rPr>
        <w:t>对合同条款中的所有要求，除本表所列明的所有偏离外，均视作供应商已对之理解和响应。</w:t>
      </w:r>
    </w:p>
    <w:p w14:paraId="63F7FEB2">
      <w:pPr>
        <w:tabs>
          <w:tab w:val="left" w:pos="1800"/>
          <w:tab w:val="left" w:pos="5580"/>
        </w:tabs>
        <w:spacing w:line="360" w:lineRule="auto"/>
        <w:jc w:val="left"/>
        <w:rPr>
          <w:rFonts w:hint="eastAsia" w:ascii="宋体" w:hAnsi="宋体"/>
          <w:sz w:val="24"/>
        </w:rPr>
      </w:pPr>
      <w:r>
        <w:rPr>
          <w:rFonts w:ascii="宋体" w:hAnsi="宋体"/>
          <w:sz w:val="24"/>
        </w:rPr>
        <w:t xml:space="preserve">2. </w:t>
      </w:r>
      <w:r>
        <w:rPr>
          <w:rFonts w:hint="eastAsia" w:ascii="宋体" w:hAnsi="宋体"/>
          <w:sz w:val="24"/>
        </w:rPr>
        <w:t>“偏离情况”列应据实填写“正偏离”或“负偏离”。</w:t>
      </w:r>
    </w:p>
    <w:p w14:paraId="3BF2DCD7">
      <w:pPr>
        <w:spacing w:line="360" w:lineRule="auto"/>
        <w:rPr>
          <w:rFonts w:hint="eastAsia" w:ascii="宋体" w:hAnsi="宋体"/>
          <w:sz w:val="24"/>
          <w:szCs w:val="20"/>
        </w:rPr>
      </w:pPr>
    </w:p>
    <w:p w14:paraId="6F0EE657">
      <w:pPr>
        <w:autoSpaceDE w:val="0"/>
        <w:autoSpaceDN w:val="0"/>
        <w:adjustRightInd w:val="0"/>
        <w:snapToGrid w:val="0"/>
        <w:spacing w:before="25" w:after="25" w:line="360" w:lineRule="auto"/>
        <w:rPr>
          <w:rFonts w:hint="eastAsia" w:ascii="宋体" w:hAnsi="宋体"/>
          <w:sz w:val="24"/>
          <w:u w:val="none"/>
          <w:lang w:val="zh-CN"/>
        </w:rPr>
      </w:pPr>
      <w:r>
        <w:rPr>
          <w:rFonts w:ascii="宋体" w:hAnsi="宋体"/>
          <w:sz w:val="24"/>
          <w:u w:val="none"/>
        </w:rPr>
        <w:t>供应商名称（加盖公章）</w:t>
      </w:r>
      <w:r>
        <w:rPr>
          <w:rFonts w:ascii="宋体" w:hAnsi="宋体"/>
          <w:sz w:val="24"/>
          <w:u w:val="none"/>
          <w:lang w:val="zh-CN"/>
        </w:rPr>
        <w:t>：</w:t>
      </w:r>
      <w:r>
        <w:rPr>
          <w:rFonts w:ascii="宋体" w:hAnsi="宋体"/>
          <w:sz w:val="24"/>
          <w:u w:val="none"/>
        </w:rPr>
        <w:t>_______________</w:t>
      </w:r>
    </w:p>
    <w:p w14:paraId="29A78753">
      <w:pPr>
        <w:autoSpaceDE w:val="0"/>
        <w:autoSpaceDN w:val="0"/>
        <w:adjustRightInd w:val="0"/>
        <w:snapToGrid w:val="0"/>
        <w:spacing w:before="25" w:after="25" w:line="360" w:lineRule="auto"/>
        <w:rPr>
          <w:rFonts w:hint="eastAsia" w:ascii="宋体" w:hAnsi="宋体"/>
          <w:sz w:val="24"/>
          <w:szCs w:val="20"/>
          <w:u w:val="none"/>
        </w:rPr>
      </w:pPr>
      <w:r>
        <w:rPr>
          <w:rFonts w:ascii="宋体" w:hAnsi="宋体"/>
          <w:sz w:val="24"/>
          <w:szCs w:val="20"/>
          <w:u w:val="none"/>
        </w:rPr>
        <w:t xml:space="preserve">日期：____年____月____日    </w:t>
      </w:r>
    </w:p>
    <w:p w14:paraId="038CBE03">
      <w:pPr>
        <w:widowControl/>
        <w:jc w:val="left"/>
        <w:rPr>
          <w:rFonts w:hint="eastAsia" w:ascii="宋体" w:hAnsi="宋体"/>
          <w:sz w:val="24"/>
          <w:szCs w:val="20"/>
        </w:rPr>
      </w:pPr>
      <w:r>
        <w:rPr>
          <w:rFonts w:hint="eastAsia" w:ascii="宋体" w:hAnsi="宋体"/>
          <w:sz w:val="24"/>
          <w:szCs w:val="20"/>
        </w:rPr>
        <w:br w:type="page"/>
      </w:r>
    </w:p>
    <w:p w14:paraId="2264DC5C">
      <w:pPr>
        <w:tabs>
          <w:tab w:val="left" w:pos="360"/>
        </w:tabs>
        <w:snapToGrid w:val="0"/>
        <w:spacing w:line="360" w:lineRule="auto"/>
        <w:outlineLvl w:val="1"/>
        <w:rPr>
          <w:rFonts w:hint="eastAsia" w:ascii="宋体" w:hAnsi="宋体"/>
          <w:sz w:val="24"/>
        </w:rPr>
      </w:pPr>
      <w:r>
        <w:rPr>
          <w:rFonts w:hint="eastAsia" w:ascii="宋体" w:hAnsi="宋体"/>
          <w:sz w:val="24"/>
        </w:rPr>
        <w:t>11</w:t>
      </w:r>
      <w:r>
        <w:rPr>
          <w:rFonts w:ascii="宋体" w:hAnsi="宋体"/>
          <w:sz w:val="24"/>
        </w:rPr>
        <w:t xml:space="preserve"> </w:t>
      </w:r>
      <w:r>
        <w:rPr>
          <w:rFonts w:hint="eastAsia" w:ascii="宋体" w:hAnsi="宋体"/>
          <w:sz w:val="24"/>
        </w:rPr>
        <w:t>施工组织设计</w:t>
      </w:r>
    </w:p>
    <w:p w14:paraId="2E9D0992">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1. 供应商应当依据采购人提供的工程量清单、图纸、国家现行规范与标准、响应文件各个组成部分对工程的描述以及对工程现场的考察结果，编制本工程的施工组织设计，国家及现有工法规范已有的内容无需重复提交：</w:t>
      </w:r>
    </w:p>
    <w:p w14:paraId="5984E20E">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1)施工方案</w:t>
      </w:r>
    </w:p>
    <w:p w14:paraId="59E11FE1">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2)质量保证措施</w:t>
      </w:r>
    </w:p>
    <w:p w14:paraId="2C90F10D">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3)施工进度计划及保证措施</w:t>
      </w:r>
    </w:p>
    <w:p w14:paraId="4F7C524B">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4)安全施工措施</w:t>
      </w:r>
    </w:p>
    <w:p w14:paraId="6F6DE787">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5)劳动力计划及拟投入的施工仪器和设备</w:t>
      </w:r>
    </w:p>
    <w:p w14:paraId="66580F8A">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6)紧急预案的处理方案和措施</w:t>
      </w:r>
    </w:p>
    <w:p w14:paraId="5B5917BE">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7)完工后的维护和维修等措施及相关承诺</w:t>
      </w:r>
    </w:p>
    <w:p w14:paraId="03F0C279">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8)供应商认为必要的其他内容</w:t>
      </w:r>
    </w:p>
    <w:p w14:paraId="46614564">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2．施工组织设计除采用文字表述外可附下列图表，图表及格式要求附后。</w:t>
      </w:r>
    </w:p>
    <w:p w14:paraId="7B2414D4">
      <w:pPr>
        <w:autoSpaceDE w:val="0"/>
        <w:autoSpaceDN w:val="0"/>
        <w:adjustRightInd w:val="0"/>
        <w:snapToGrid w:val="0"/>
        <w:spacing w:before="25" w:after="25" w:line="360" w:lineRule="auto"/>
        <w:ind w:firstLine="480" w:firstLineChars="200"/>
        <w:rPr>
          <w:rFonts w:hint="eastAsia" w:ascii="宋体" w:hAnsi="宋体"/>
          <w:sz w:val="24"/>
          <w:lang w:val="zh-CN"/>
        </w:rPr>
      </w:pPr>
    </w:p>
    <w:p w14:paraId="5AEE3AD9">
      <w:pPr>
        <w:autoSpaceDE w:val="0"/>
        <w:autoSpaceDN w:val="0"/>
        <w:adjustRightInd w:val="0"/>
        <w:snapToGrid w:val="0"/>
        <w:spacing w:before="25" w:after="25" w:line="360" w:lineRule="auto"/>
        <w:ind w:firstLine="480" w:firstLineChars="200"/>
        <w:rPr>
          <w:rFonts w:hint="eastAsia" w:ascii="宋体" w:hAnsi="宋体"/>
          <w:sz w:val="24"/>
          <w:lang w:val="zh-CN"/>
        </w:rPr>
      </w:pPr>
    </w:p>
    <w:p w14:paraId="1CAFF854">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附表一  拟投入本工程的主要施工设备表</w:t>
      </w:r>
    </w:p>
    <w:p w14:paraId="25D670AE">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附表二  劳动力计划表</w:t>
      </w:r>
    </w:p>
    <w:p w14:paraId="5B320328">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附表三  计划开、竣工日期和施工进度网络图</w:t>
      </w:r>
    </w:p>
    <w:p w14:paraId="33A4A99C">
      <w:pPr>
        <w:autoSpaceDE w:val="0"/>
        <w:autoSpaceDN w:val="0"/>
        <w:adjustRightInd w:val="0"/>
        <w:snapToGrid w:val="0"/>
        <w:spacing w:before="25" w:after="25" w:line="360" w:lineRule="auto"/>
        <w:ind w:firstLine="480" w:firstLineChars="200"/>
        <w:rPr>
          <w:rFonts w:hint="eastAsia" w:ascii="宋体" w:hAnsi="宋体"/>
          <w:sz w:val="24"/>
          <w:lang w:val="zh-CN"/>
        </w:rPr>
      </w:pPr>
      <w:r>
        <w:rPr>
          <w:rFonts w:hint="eastAsia" w:ascii="宋体" w:hAnsi="宋体"/>
          <w:sz w:val="24"/>
          <w:lang w:val="zh-CN"/>
        </w:rPr>
        <w:t>附表四  施工总平面图</w:t>
      </w:r>
    </w:p>
    <w:p w14:paraId="6B799DB9">
      <w:pPr>
        <w:autoSpaceDE w:val="0"/>
        <w:autoSpaceDN w:val="0"/>
        <w:adjustRightInd w:val="0"/>
        <w:snapToGrid w:val="0"/>
        <w:spacing w:before="25" w:after="25" w:line="360" w:lineRule="auto"/>
        <w:ind w:firstLine="480" w:firstLineChars="200"/>
        <w:rPr>
          <w:rFonts w:hint="eastAsia" w:ascii="宋体" w:hAnsi="宋体"/>
          <w:sz w:val="24"/>
          <w:lang w:val="zh-CN"/>
        </w:rPr>
      </w:pPr>
    </w:p>
    <w:p w14:paraId="28DD52E5">
      <w:pPr>
        <w:widowControl/>
        <w:jc w:val="left"/>
        <w:rPr>
          <w:rFonts w:hint="eastAsia" w:ascii="宋体" w:hAnsi="宋体"/>
          <w:sz w:val="24"/>
          <w:lang w:val="zh-CN"/>
        </w:rPr>
      </w:pPr>
      <w:r>
        <w:rPr>
          <w:rFonts w:hint="eastAsia" w:ascii="宋体" w:hAnsi="宋体"/>
          <w:sz w:val="24"/>
          <w:lang w:val="zh-CN"/>
        </w:rPr>
        <w:br w:type="page"/>
      </w:r>
    </w:p>
    <w:p w14:paraId="464D3BCC">
      <w:pPr>
        <w:autoSpaceDE w:val="0"/>
        <w:autoSpaceDN w:val="0"/>
        <w:adjustRightInd w:val="0"/>
        <w:snapToGrid w:val="0"/>
        <w:spacing w:before="25" w:after="25" w:line="360" w:lineRule="auto"/>
        <w:rPr>
          <w:rFonts w:hint="eastAsia" w:ascii="宋体" w:hAnsi="宋体"/>
          <w:sz w:val="24"/>
        </w:rPr>
      </w:pPr>
      <w:r>
        <w:rPr>
          <w:rFonts w:ascii="宋体" w:hAnsi="宋体"/>
          <w:sz w:val="24"/>
        </w:rPr>
        <w:t>附表一：拟投入本工程的主要施工设备表</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2"/>
        <w:gridCol w:w="842"/>
        <w:gridCol w:w="842"/>
        <w:gridCol w:w="843"/>
        <w:gridCol w:w="843"/>
        <w:gridCol w:w="843"/>
        <w:gridCol w:w="936"/>
        <w:gridCol w:w="843"/>
        <w:gridCol w:w="844"/>
        <w:gridCol w:w="844"/>
      </w:tblGrid>
      <w:tr w14:paraId="1C426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2F7D5CE8">
            <w:pPr>
              <w:autoSpaceDE w:val="0"/>
              <w:autoSpaceDN w:val="0"/>
              <w:adjustRightInd w:val="0"/>
              <w:snapToGrid w:val="0"/>
              <w:spacing w:before="25" w:after="25"/>
              <w:rPr>
                <w:rFonts w:hint="eastAsia" w:ascii="宋体" w:hAnsi="宋体"/>
                <w:kern w:val="0"/>
                <w:sz w:val="24"/>
                <w:lang w:val="zh-CN"/>
              </w:rPr>
            </w:pPr>
            <w:r>
              <w:rPr>
                <w:rFonts w:hint="eastAsia" w:ascii="宋体" w:hAnsi="宋体"/>
                <w:kern w:val="0"/>
                <w:sz w:val="24"/>
                <w:lang w:val="zh-CN"/>
              </w:rPr>
              <w:t>序号</w:t>
            </w:r>
          </w:p>
        </w:tc>
        <w:tc>
          <w:tcPr>
            <w:tcW w:w="852" w:type="dxa"/>
            <w:vAlign w:val="center"/>
          </w:tcPr>
          <w:p w14:paraId="7761EB06">
            <w:pPr>
              <w:autoSpaceDE w:val="0"/>
              <w:autoSpaceDN w:val="0"/>
              <w:adjustRightInd w:val="0"/>
              <w:snapToGrid w:val="0"/>
              <w:spacing w:before="25" w:after="25"/>
              <w:rPr>
                <w:rFonts w:hint="eastAsia" w:ascii="宋体" w:hAnsi="宋体"/>
                <w:kern w:val="0"/>
                <w:sz w:val="24"/>
                <w:lang w:val="zh-CN"/>
              </w:rPr>
            </w:pPr>
            <w:r>
              <w:rPr>
                <w:rFonts w:hint="eastAsia" w:ascii="宋体" w:hAnsi="宋体"/>
                <w:kern w:val="0"/>
                <w:sz w:val="24"/>
                <w:lang w:val="zh-CN"/>
              </w:rPr>
              <w:t>设备名称</w:t>
            </w:r>
          </w:p>
        </w:tc>
        <w:tc>
          <w:tcPr>
            <w:tcW w:w="852" w:type="dxa"/>
            <w:vAlign w:val="center"/>
          </w:tcPr>
          <w:p w14:paraId="02822E9C">
            <w:pPr>
              <w:autoSpaceDE w:val="0"/>
              <w:autoSpaceDN w:val="0"/>
              <w:adjustRightInd w:val="0"/>
              <w:snapToGrid w:val="0"/>
              <w:spacing w:before="25" w:after="25"/>
              <w:rPr>
                <w:rFonts w:hint="eastAsia" w:ascii="宋体" w:hAnsi="宋体"/>
                <w:kern w:val="0"/>
                <w:sz w:val="24"/>
                <w:lang w:val="zh-CN"/>
              </w:rPr>
            </w:pPr>
            <w:r>
              <w:rPr>
                <w:rFonts w:hint="eastAsia" w:ascii="宋体" w:hAnsi="宋体"/>
                <w:kern w:val="0"/>
                <w:sz w:val="24"/>
                <w:lang w:val="zh-CN"/>
              </w:rPr>
              <w:t>型号规格</w:t>
            </w:r>
          </w:p>
        </w:tc>
        <w:tc>
          <w:tcPr>
            <w:tcW w:w="852" w:type="dxa"/>
            <w:vAlign w:val="center"/>
          </w:tcPr>
          <w:p w14:paraId="5742B9AA">
            <w:pPr>
              <w:autoSpaceDE w:val="0"/>
              <w:autoSpaceDN w:val="0"/>
              <w:adjustRightInd w:val="0"/>
              <w:snapToGrid w:val="0"/>
              <w:spacing w:before="25" w:after="25"/>
              <w:rPr>
                <w:rFonts w:hint="eastAsia" w:ascii="宋体" w:hAnsi="宋体"/>
                <w:kern w:val="0"/>
                <w:sz w:val="24"/>
                <w:lang w:val="zh-CN"/>
              </w:rPr>
            </w:pPr>
            <w:r>
              <w:rPr>
                <w:rFonts w:hint="eastAsia" w:ascii="宋体" w:hAnsi="宋体"/>
                <w:kern w:val="0"/>
                <w:sz w:val="24"/>
                <w:lang w:val="zh-CN"/>
              </w:rPr>
              <w:t>数量</w:t>
            </w:r>
          </w:p>
        </w:tc>
        <w:tc>
          <w:tcPr>
            <w:tcW w:w="852" w:type="dxa"/>
            <w:vAlign w:val="center"/>
          </w:tcPr>
          <w:p w14:paraId="35D981EE">
            <w:pPr>
              <w:autoSpaceDE w:val="0"/>
              <w:autoSpaceDN w:val="0"/>
              <w:adjustRightInd w:val="0"/>
              <w:snapToGrid w:val="0"/>
              <w:spacing w:before="25" w:after="25"/>
              <w:rPr>
                <w:rFonts w:hint="eastAsia" w:ascii="宋体" w:hAnsi="宋体"/>
                <w:kern w:val="0"/>
                <w:sz w:val="24"/>
                <w:lang w:val="zh-CN"/>
              </w:rPr>
            </w:pPr>
            <w:r>
              <w:rPr>
                <w:rFonts w:hint="eastAsia" w:ascii="宋体" w:hAnsi="宋体"/>
                <w:kern w:val="0"/>
                <w:sz w:val="24"/>
                <w:lang w:val="zh-CN"/>
              </w:rPr>
              <w:t>国别产地</w:t>
            </w:r>
          </w:p>
        </w:tc>
        <w:tc>
          <w:tcPr>
            <w:tcW w:w="852" w:type="dxa"/>
            <w:vAlign w:val="center"/>
          </w:tcPr>
          <w:p w14:paraId="745A69C4">
            <w:pPr>
              <w:autoSpaceDE w:val="0"/>
              <w:autoSpaceDN w:val="0"/>
              <w:adjustRightInd w:val="0"/>
              <w:snapToGrid w:val="0"/>
              <w:spacing w:before="25" w:after="25"/>
              <w:rPr>
                <w:rFonts w:hint="eastAsia" w:ascii="宋体" w:hAnsi="宋体"/>
                <w:kern w:val="0"/>
                <w:sz w:val="24"/>
                <w:lang w:val="zh-CN"/>
              </w:rPr>
            </w:pPr>
            <w:r>
              <w:rPr>
                <w:rFonts w:hint="eastAsia" w:ascii="宋体" w:hAnsi="宋体"/>
                <w:kern w:val="0"/>
                <w:sz w:val="24"/>
                <w:lang w:val="zh-CN"/>
              </w:rPr>
              <w:t>制造年份</w:t>
            </w:r>
          </w:p>
        </w:tc>
        <w:tc>
          <w:tcPr>
            <w:tcW w:w="852" w:type="dxa"/>
            <w:vAlign w:val="center"/>
          </w:tcPr>
          <w:p w14:paraId="4B986A08">
            <w:pPr>
              <w:autoSpaceDE w:val="0"/>
              <w:autoSpaceDN w:val="0"/>
              <w:adjustRightInd w:val="0"/>
              <w:snapToGrid w:val="0"/>
              <w:spacing w:before="25" w:after="25"/>
              <w:rPr>
                <w:rFonts w:hint="eastAsia" w:ascii="宋体" w:hAnsi="宋体"/>
                <w:kern w:val="0"/>
                <w:sz w:val="24"/>
                <w:lang w:val="zh-CN"/>
              </w:rPr>
            </w:pPr>
            <w:r>
              <w:rPr>
                <w:rFonts w:hint="eastAsia" w:ascii="宋体" w:hAnsi="宋体"/>
                <w:kern w:val="0"/>
                <w:sz w:val="24"/>
                <w:lang w:val="zh-CN"/>
              </w:rPr>
              <w:t>额定功率（KW）</w:t>
            </w:r>
          </w:p>
        </w:tc>
        <w:tc>
          <w:tcPr>
            <w:tcW w:w="852" w:type="dxa"/>
            <w:vAlign w:val="center"/>
          </w:tcPr>
          <w:p w14:paraId="3128890D">
            <w:pPr>
              <w:autoSpaceDE w:val="0"/>
              <w:autoSpaceDN w:val="0"/>
              <w:adjustRightInd w:val="0"/>
              <w:snapToGrid w:val="0"/>
              <w:spacing w:before="25" w:after="25"/>
              <w:rPr>
                <w:rFonts w:hint="eastAsia" w:ascii="宋体" w:hAnsi="宋体"/>
                <w:kern w:val="0"/>
                <w:sz w:val="24"/>
                <w:lang w:val="zh-CN"/>
              </w:rPr>
            </w:pPr>
            <w:r>
              <w:rPr>
                <w:rFonts w:hint="eastAsia" w:ascii="宋体" w:hAnsi="宋体"/>
                <w:kern w:val="0"/>
                <w:sz w:val="24"/>
                <w:lang w:val="zh-CN"/>
              </w:rPr>
              <w:t>生产能力</w:t>
            </w:r>
          </w:p>
        </w:tc>
        <w:tc>
          <w:tcPr>
            <w:tcW w:w="853" w:type="dxa"/>
            <w:vAlign w:val="center"/>
          </w:tcPr>
          <w:p w14:paraId="7B1E90E2">
            <w:pPr>
              <w:autoSpaceDE w:val="0"/>
              <w:autoSpaceDN w:val="0"/>
              <w:adjustRightInd w:val="0"/>
              <w:snapToGrid w:val="0"/>
              <w:spacing w:before="25" w:after="25"/>
              <w:rPr>
                <w:rFonts w:hint="eastAsia" w:ascii="宋体" w:hAnsi="宋体"/>
                <w:kern w:val="0"/>
                <w:sz w:val="24"/>
                <w:lang w:val="zh-CN"/>
              </w:rPr>
            </w:pPr>
            <w:r>
              <w:rPr>
                <w:rFonts w:hint="eastAsia" w:ascii="宋体" w:hAnsi="宋体"/>
                <w:kern w:val="0"/>
                <w:sz w:val="24"/>
                <w:lang w:val="zh-CN"/>
              </w:rPr>
              <w:t>用于施工部位</w:t>
            </w:r>
          </w:p>
        </w:tc>
        <w:tc>
          <w:tcPr>
            <w:tcW w:w="853" w:type="dxa"/>
            <w:vAlign w:val="center"/>
          </w:tcPr>
          <w:p w14:paraId="5EA93426">
            <w:pPr>
              <w:autoSpaceDE w:val="0"/>
              <w:autoSpaceDN w:val="0"/>
              <w:adjustRightInd w:val="0"/>
              <w:snapToGrid w:val="0"/>
              <w:spacing w:before="25" w:after="25"/>
              <w:rPr>
                <w:rFonts w:hint="eastAsia" w:ascii="宋体" w:hAnsi="宋体"/>
                <w:kern w:val="0"/>
                <w:sz w:val="24"/>
                <w:lang w:val="zh-CN"/>
              </w:rPr>
            </w:pPr>
            <w:r>
              <w:rPr>
                <w:rFonts w:hint="eastAsia" w:ascii="宋体" w:hAnsi="宋体"/>
                <w:kern w:val="0"/>
                <w:sz w:val="24"/>
                <w:lang w:val="zh-CN"/>
              </w:rPr>
              <w:t>备注</w:t>
            </w:r>
          </w:p>
        </w:tc>
      </w:tr>
      <w:tr w14:paraId="2E5CB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3B82A176">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D78ECD5">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43226D5D">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ACA554A">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F36BCD1">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1F67BF6">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7FE64A1">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56773A3">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1CCC3DDC">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626DEE52">
            <w:pPr>
              <w:autoSpaceDE w:val="0"/>
              <w:autoSpaceDN w:val="0"/>
              <w:adjustRightInd w:val="0"/>
              <w:snapToGrid w:val="0"/>
              <w:spacing w:before="25" w:after="25"/>
              <w:rPr>
                <w:rFonts w:hint="eastAsia" w:ascii="宋体" w:hAnsi="宋体"/>
                <w:kern w:val="0"/>
                <w:sz w:val="24"/>
                <w:lang w:val="zh-CN"/>
              </w:rPr>
            </w:pPr>
          </w:p>
        </w:tc>
      </w:tr>
      <w:tr w14:paraId="1F218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3524BD21">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D7877BF">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196D5A4">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428EED10">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00295BA7">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4DADCB2B">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F57FEA0">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0DD0055D">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006A6DF9">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0E098AE1">
            <w:pPr>
              <w:autoSpaceDE w:val="0"/>
              <w:autoSpaceDN w:val="0"/>
              <w:adjustRightInd w:val="0"/>
              <w:snapToGrid w:val="0"/>
              <w:spacing w:before="25" w:after="25"/>
              <w:rPr>
                <w:rFonts w:hint="eastAsia" w:ascii="宋体" w:hAnsi="宋体"/>
                <w:kern w:val="0"/>
                <w:sz w:val="24"/>
                <w:lang w:val="zh-CN"/>
              </w:rPr>
            </w:pPr>
          </w:p>
        </w:tc>
      </w:tr>
      <w:tr w14:paraId="38E39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65449360">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2D6BF8E">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37F5525">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6F24CDF">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287BFE73">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37DD49C9">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3F646CDA">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0AB0AFF4">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375AE56E">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352072DF">
            <w:pPr>
              <w:autoSpaceDE w:val="0"/>
              <w:autoSpaceDN w:val="0"/>
              <w:adjustRightInd w:val="0"/>
              <w:snapToGrid w:val="0"/>
              <w:spacing w:before="25" w:after="25"/>
              <w:rPr>
                <w:rFonts w:hint="eastAsia" w:ascii="宋体" w:hAnsi="宋体"/>
                <w:kern w:val="0"/>
                <w:sz w:val="24"/>
                <w:lang w:val="zh-CN"/>
              </w:rPr>
            </w:pPr>
          </w:p>
        </w:tc>
      </w:tr>
      <w:tr w14:paraId="07C32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0EACB5EB">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2CBAFAC">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2B1F0EE9">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618BC7AD">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4A78192E">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C6AD1AC">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28FABD21">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36366864">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604F9027">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675A217A">
            <w:pPr>
              <w:autoSpaceDE w:val="0"/>
              <w:autoSpaceDN w:val="0"/>
              <w:adjustRightInd w:val="0"/>
              <w:snapToGrid w:val="0"/>
              <w:spacing w:before="25" w:after="25"/>
              <w:rPr>
                <w:rFonts w:hint="eastAsia" w:ascii="宋体" w:hAnsi="宋体"/>
                <w:kern w:val="0"/>
                <w:sz w:val="24"/>
                <w:lang w:val="zh-CN"/>
              </w:rPr>
            </w:pPr>
          </w:p>
        </w:tc>
      </w:tr>
      <w:tr w14:paraId="0E51D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63FF5485">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55A6ACD">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08C01750">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4C4B0D90">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6541B4F">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3A8A947">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4872BAC5">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473F752">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1FE40A3D">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0A698CF9">
            <w:pPr>
              <w:autoSpaceDE w:val="0"/>
              <w:autoSpaceDN w:val="0"/>
              <w:adjustRightInd w:val="0"/>
              <w:snapToGrid w:val="0"/>
              <w:spacing w:before="25" w:after="25"/>
              <w:rPr>
                <w:rFonts w:hint="eastAsia" w:ascii="宋体" w:hAnsi="宋体"/>
                <w:kern w:val="0"/>
                <w:sz w:val="24"/>
                <w:lang w:val="zh-CN"/>
              </w:rPr>
            </w:pPr>
          </w:p>
        </w:tc>
      </w:tr>
      <w:tr w14:paraId="7F517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74061CA4">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2985C819">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0C5A3F20">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D347282">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6019D4CB">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A055B6B">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A90F263">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45AF83A0">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79596BC9">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7688F5FA">
            <w:pPr>
              <w:autoSpaceDE w:val="0"/>
              <w:autoSpaceDN w:val="0"/>
              <w:adjustRightInd w:val="0"/>
              <w:snapToGrid w:val="0"/>
              <w:spacing w:before="25" w:after="25"/>
              <w:rPr>
                <w:rFonts w:hint="eastAsia" w:ascii="宋体" w:hAnsi="宋体"/>
                <w:kern w:val="0"/>
                <w:sz w:val="24"/>
                <w:lang w:val="zh-CN"/>
              </w:rPr>
            </w:pPr>
          </w:p>
        </w:tc>
      </w:tr>
      <w:tr w14:paraId="73410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725C9C99">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65F08E3E">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88DD9AE">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4E4DD66">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6B0E6F30">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23CC7C2D">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6C48803">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6CA2C7BC">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3BD55FD3">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03C9E41E">
            <w:pPr>
              <w:autoSpaceDE w:val="0"/>
              <w:autoSpaceDN w:val="0"/>
              <w:adjustRightInd w:val="0"/>
              <w:snapToGrid w:val="0"/>
              <w:spacing w:before="25" w:after="25"/>
              <w:rPr>
                <w:rFonts w:hint="eastAsia" w:ascii="宋体" w:hAnsi="宋体"/>
                <w:kern w:val="0"/>
                <w:sz w:val="24"/>
                <w:lang w:val="zh-CN"/>
              </w:rPr>
            </w:pPr>
          </w:p>
        </w:tc>
      </w:tr>
      <w:tr w14:paraId="24A02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2147FAEB">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6171D5DF">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6726B74F">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3532FBC">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395B1790">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6A3C819">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044070A8">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372E7D07">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0D7F3E87">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658E715F">
            <w:pPr>
              <w:autoSpaceDE w:val="0"/>
              <w:autoSpaceDN w:val="0"/>
              <w:adjustRightInd w:val="0"/>
              <w:snapToGrid w:val="0"/>
              <w:spacing w:before="25" w:after="25"/>
              <w:rPr>
                <w:rFonts w:hint="eastAsia" w:ascii="宋体" w:hAnsi="宋体"/>
                <w:kern w:val="0"/>
                <w:sz w:val="24"/>
                <w:lang w:val="zh-CN"/>
              </w:rPr>
            </w:pPr>
          </w:p>
        </w:tc>
      </w:tr>
      <w:tr w14:paraId="7DBBD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2F61DAE5">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81741AE">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0F3F9CC9">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66E8611">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2919F2C0">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6382688B">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CF19090">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A43A5A6">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1036BA22">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1E8F6253">
            <w:pPr>
              <w:autoSpaceDE w:val="0"/>
              <w:autoSpaceDN w:val="0"/>
              <w:adjustRightInd w:val="0"/>
              <w:snapToGrid w:val="0"/>
              <w:spacing w:before="25" w:after="25"/>
              <w:rPr>
                <w:rFonts w:hint="eastAsia" w:ascii="宋体" w:hAnsi="宋体"/>
                <w:kern w:val="0"/>
                <w:sz w:val="24"/>
                <w:lang w:val="zh-CN"/>
              </w:rPr>
            </w:pPr>
          </w:p>
        </w:tc>
      </w:tr>
      <w:tr w14:paraId="673AA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2A578DC5">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BE67CFA">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4558EC9">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1539A8B">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2F5CCB6C">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5F4AAB4">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66458545">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41685A8">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3F122C7D">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37418290">
            <w:pPr>
              <w:autoSpaceDE w:val="0"/>
              <w:autoSpaceDN w:val="0"/>
              <w:adjustRightInd w:val="0"/>
              <w:snapToGrid w:val="0"/>
              <w:spacing w:before="25" w:after="25"/>
              <w:rPr>
                <w:rFonts w:hint="eastAsia" w:ascii="宋体" w:hAnsi="宋体"/>
                <w:kern w:val="0"/>
                <w:sz w:val="24"/>
                <w:lang w:val="zh-CN"/>
              </w:rPr>
            </w:pPr>
          </w:p>
        </w:tc>
      </w:tr>
      <w:tr w14:paraId="06448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5162C58E">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541AA1B">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327BFA0">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36EF3398">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19B193A">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062372BB">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8F52D4D">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0D7B3C0">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3E1778E2">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25854F6B">
            <w:pPr>
              <w:autoSpaceDE w:val="0"/>
              <w:autoSpaceDN w:val="0"/>
              <w:adjustRightInd w:val="0"/>
              <w:snapToGrid w:val="0"/>
              <w:spacing w:before="25" w:after="25"/>
              <w:rPr>
                <w:rFonts w:hint="eastAsia" w:ascii="宋体" w:hAnsi="宋体"/>
                <w:kern w:val="0"/>
                <w:sz w:val="24"/>
                <w:lang w:val="zh-CN"/>
              </w:rPr>
            </w:pPr>
          </w:p>
        </w:tc>
      </w:tr>
      <w:tr w14:paraId="5B0CD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0D6758DE">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0C8E1E3">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458EA5DE">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0C7E1EC7">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D6F65B3">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59D60B7">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1941A68">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39C5DE06">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76E368A3">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0D323AF7">
            <w:pPr>
              <w:autoSpaceDE w:val="0"/>
              <w:autoSpaceDN w:val="0"/>
              <w:adjustRightInd w:val="0"/>
              <w:snapToGrid w:val="0"/>
              <w:spacing w:before="25" w:after="25"/>
              <w:rPr>
                <w:rFonts w:hint="eastAsia" w:ascii="宋体" w:hAnsi="宋体"/>
                <w:kern w:val="0"/>
                <w:sz w:val="24"/>
                <w:lang w:val="zh-CN"/>
              </w:rPr>
            </w:pPr>
          </w:p>
        </w:tc>
      </w:tr>
      <w:tr w14:paraId="200B9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15E2F8AB">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3F6A7796">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27A898F">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61FC2B82">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221DFE1C">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3AA3084">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63142892">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765432E">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22CF02E5">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7AAED418">
            <w:pPr>
              <w:autoSpaceDE w:val="0"/>
              <w:autoSpaceDN w:val="0"/>
              <w:adjustRightInd w:val="0"/>
              <w:snapToGrid w:val="0"/>
              <w:spacing w:before="25" w:after="25"/>
              <w:rPr>
                <w:rFonts w:hint="eastAsia" w:ascii="宋体" w:hAnsi="宋体"/>
                <w:kern w:val="0"/>
                <w:sz w:val="24"/>
                <w:lang w:val="zh-CN"/>
              </w:rPr>
            </w:pPr>
          </w:p>
        </w:tc>
      </w:tr>
      <w:tr w14:paraId="2345B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vAlign w:val="center"/>
          </w:tcPr>
          <w:p w14:paraId="770BCCDD">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1ABF26EF">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324560FD">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2AA68C4C">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526116E6">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71B866D8">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4A4E5EE2">
            <w:pPr>
              <w:autoSpaceDE w:val="0"/>
              <w:autoSpaceDN w:val="0"/>
              <w:adjustRightInd w:val="0"/>
              <w:snapToGrid w:val="0"/>
              <w:spacing w:before="25" w:after="25"/>
              <w:rPr>
                <w:rFonts w:hint="eastAsia" w:ascii="宋体" w:hAnsi="宋体"/>
                <w:kern w:val="0"/>
                <w:sz w:val="24"/>
                <w:lang w:val="zh-CN"/>
              </w:rPr>
            </w:pPr>
          </w:p>
        </w:tc>
        <w:tc>
          <w:tcPr>
            <w:tcW w:w="852" w:type="dxa"/>
            <w:vAlign w:val="center"/>
          </w:tcPr>
          <w:p w14:paraId="3B9AEC07">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415D9FE9">
            <w:pPr>
              <w:autoSpaceDE w:val="0"/>
              <w:autoSpaceDN w:val="0"/>
              <w:adjustRightInd w:val="0"/>
              <w:snapToGrid w:val="0"/>
              <w:spacing w:before="25" w:after="25"/>
              <w:rPr>
                <w:rFonts w:hint="eastAsia" w:ascii="宋体" w:hAnsi="宋体"/>
                <w:kern w:val="0"/>
                <w:sz w:val="24"/>
                <w:lang w:val="zh-CN"/>
              </w:rPr>
            </w:pPr>
          </w:p>
        </w:tc>
        <w:tc>
          <w:tcPr>
            <w:tcW w:w="853" w:type="dxa"/>
            <w:vAlign w:val="center"/>
          </w:tcPr>
          <w:p w14:paraId="3FCC7F8B">
            <w:pPr>
              <w:autoSpaceDE w:val="0"/>
              <w:autoSpaceDN w:val="0"/>
              <w:adjustRightInd w:val="0"/>
              <w:snapToGrid w:val="0"/>
              <w:spacing w:before="25" w:after="25"/>
              <w:rPr>
                <w:rFonts w:hint="eastAsia" w:ascii="宋体" w:hAnsi="宋体"/>
                <w:kern w:val="0"/>
                <w:sz w:val="24"/>
                <w:lang w:val="zh-CN"/>
              </w:rPr>
            </w:pPr>
          </w:p>
        </w:tc>
      </w:tr>
    </w:tbl>
    <w:p w14:paraId="30D29484">
      <w:pPr>
        <w:autoSpaceDE w:val="0"/>
        <w:autoSpaceDN w:val="0"/>
        <w:adjustRightInd w:val="0"/>
        <w:snapToGrid w:val="0"/>
        <w:spacing w:before="25" w:after="25" w:line="360" w:lineRule="auto"/>
        <w:rPr>
          <w:rFonts w:hint="eastAsia" w:ascii="宋体" w:hAnsi="宋体"/>
          <w:sz w:val="24"/>
          <w:lang w:val="zh-CN"/>
        </w:rPr>
      </w:pPr>
    </w:p>
    <w:p w14:paraId="7371BDF6">
      <w:pPr>
        <w:widowControl/>
        <w:jc w:val="left"/>
        <w:rPr>
          <w:rFonts w:hint="eastAsia" w:ascii="宋体" w:hAnsi="宋体"/>
          <w:sz w:val="24"/>
          <w:lang w:val="zh-CN"/>
        </w:rPr>
      </w:pPr>
      <w:r>
        <w:rPr>
          <w:rFonts w:hint="eastAsia" w:ascii="宋体" w:hAnsi="宋体"/>
          <w:sz w:val="24"/>
          <w:lang w:val="zh-CN"/>
        </w:rPr>
        <w:br w:type="page"/>
      </w:r>
    </w:p>
    <w:p w14:paraId="698E6937">
      <w:pPr>
        <w:autoSpaceDE w:val="0"/>
        <w:autoSpaceDN w:val="0"/>
        <w:adjustRightInd w:val="0"/>
        <w:snapToGrid w:val="0"/>
        <w:spacing w:before="25" w:after="25" w:line="360" w:lineRule="auto"/>
        <w:rPr>
          <w:rFonts w:hint="eastAsia" w:ascii="宋体" w:hAnsi="宋体"/>
          <w:sz w:val="24"/>
        </w:rPr>
      </w:pPr>
      <w:r>
        <w:rPr>
          <w:rFonts w:ascii="宋体" w:hAnsi="宋体"/>
          <w:sz w:val="24"/>
        </w:rPr>
        <w:t>附表二：劳动力计划表</w:t>
      </w:r>
    </w:p>
    <w:p w14:paraId="7962E528">
      <w:pPr>
        <w:autoSpaceDE w:val="0"/>
        <w:autoSpaceDN w:val="0"/>
        <w:adjustRightInd w:val="0"/>
        <w:snapToGrid w:val="0"/>
        <w:spacing w:before="25" w:after="25" w:line="360" w:lineRule="auto"/>
        <w:jc w:val="right"/>
        <w:rPr>
          <w:rFonts w:hint="eastAsia" w:ascii="宋体" w:hAnsi="宋体"/>
          <w:sz w:val="24"/>
        </w:rPr>
      </w:pPr>
      <w:r>
        <w:rPr>
          <w:rFonts w:hint="eastAsia" w:ascii="宋体" w:hAnsi="宋体"/>
          <w:sz w:val="24"/>
        </w:rPr>
        <w:t>单位：人</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09"/>
        <w:gridCol w:w="6713"/>
      </w:tblGrid>
      <w:tr w14:paraId="22633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09" w:type="dxa"/>
            <w:vAlign w:val="center"/>
          </w:tcPr>
          <w:p w14:paraId="0AF79607">
            <w:pPr>
              <w:autoSpaceDE w:val="0"/>
              <w:autoSpaceDN w:val="0"/>
              <w:adjustRightInd w:val="0"/>
              <w:snapToGrid w:val="0"/>
              <w:spacing w:before="25" w:after="25"/>
              <w:ind w:right="960"/>
              <w:jc w:val="center"/>
              <w:rPr>
                <w:rFonts w:hint="eastAsia" w:ascii="宋体" w:hAnsi="宋体"/>
                <w:kern w:val="0"/>
                <w:sz w:val="24"/>
                <w:lang w:val="zh-CN"/>
              </w:rPr>
            </w:pPr>
            <w:r>
              <w:rPr>
                <w:rFonts w:hint="eastAsia" w:ascii="宋体" w:hAnsi="宋体"/>
                <w:kern w:val="0"/>
                <w:sz w:val="24"/>
                <w:lang w:val="zh-CN"/>
              </w:rPr>
              <w:t>工种</w:t>
            </w:r>
          </w:p>
        </w:tc>
        <w:tc>
          <w:tcPr>
            <w:tcW w:w="6713" w:type="dxa"/>
            <w:vAlign w:val="center"/>
          </w:tcPr>
          <w:p w14:paraId="250A9783">
            <w:pPr>
              <w:autoSpaceDE w:val="0"/>
              <w:autoSpaceDN w:val="0"/>
              <w:adjustRightInd w:val="0"/>
              <w:snapToGrid w:val="0"/>
              <w:spacing w:before="25" w:after="25"/>
              <w:ind w:right="960"/>
              <w:jc w:val="center"/>
              <w:rPr>
                <w:rFonts w:hint="eastAsia" w:ascii="宋体" w:hAnsi="宋体"/>
                <w:kern w:val="0"/>
                <w:sz w:val="24"/>
                <w:lang w:val="zh-CN"/>
              </w:rPr>
            </w:pPr>
            <w:r>
              <w:rPr>
                <w:rFonts w:ascii="宋体" w:hAnsi="宋体"/>
                <w:kern w:val="0"/>
                <w:sz w:val="24"/>
              </w:rPr>
              <w:t>按工程施工阶段投入劳动力情况</w:t>
            </w:r>
          </w:p>
        </w:tc>
      </w:tr>
      <w:tr w14:paraId="74A43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5818D013">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4AF358D8">
            <w:pPr>
              <w:autoSpaceDE w:val="0"/>
              <w:autoSpaceDN w:val="0"/>
              <w:adjustRightInd w:val="0"/>
              <w:snapToGrid w:val="0"/>
              <w:spacing w:before="25" w:after="25"/>
              <w:ind w:right="960"/>
              <w:jc w:val="center"/>
              <w:rPr>
                <w:rFonts w:hint="eastAsia" w:ascii="宋体" w:hAnsi="宋体"/>
                <w:kern w:val="0"/>
                <w:sz w:val="24"/>
              </w:rPr>
            </w:pPr>
          </w:p>
        </w:tc>
      </w:tr>
      <w:tr w14:paraId="6C099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09" w:type="dxa"/>
            <w:vAlign w:val="center"/>
          </w:tcPr>
          <w:p w14:paraId="27CFD2A6">
            <w:pPr>
              <w:autoSpaceDE w:val="0"/>
              <w:autoSpaceDN w:val="0"/>
              <w:adjustRightInd w:val="0"/>
              <w:snapToGrid w:val="0"/>
              <w:spacing w:before="25" w:after="25"/>
              <w:ind w:right="960"/>
              <w:rPr>
                <w:rFonts w:hint="eastAsia" w:ascii="宋体" w:hAnsi="宋体"/>
                <w:kern w:val="0"/>
                <w:sz w:val="24"/>
                <w:lang w:val="zh-CN"/>
              </w:rPr>
            </w:pPr>
          </w:p>
        </w:tc>
        <w:tc>
          <w:tcPr>
            <w:tcW w:w="6713" w:type="dxa"/>
            <w:vAlign w:val="center"/>
          </w:tcPr>
          <w:p w14:paraId="6AD0EC64">
            <w:pPr>
              <w:autoSpaceDE w:val="0"/>
              <w:autoSpaceDN w:val="0"/>
              <w:adjustRightInd w:val="0"/>
              <w:snapToGrid w:val="0"/>
              <w:spacing w:before="25" w:after="25"/>
              <w:ind w:right="960"/>
              <w:jc w:val="center"/>
              <w:rPr>
                <w:rFonts w:hint="eastAsia" w:ascii="宋体" w:hAnsi="宋体"/>
                <w:kern w:val="0"/>
                <w:sz w:val="24"/>
              </w:rPr>
            </w:pPr>
          </w:p>
        </w:tc>
      </w:tr>
      <w:tr w14:paraId="0FE59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09" w:type="dxa"/>
            <w:vAlign w:val="center"/>
          </w:tcPr>
          <w:p w14:paraId="17387AEB">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6CD058A5">
            <w:pPr>
              <w:autoSpaceDE w:val="0"/>
              <w:autoSpaceDN w:val="0"/>
              <w:adjustRightInd w:val="0"/>
              <w:snapToGrid w:val="0"/>
              <w:spacing w:before="25" w:after="25"/>
              <w:ind w:right="960"/>
              <w:jc w:val="center"/>
              <w:rPr>
                <w:rFonts w:hint="eastAsia" w:ascii="宋体" w:hAnsi="宋体"/>
                <w:kern w:val="0"/>
                <w:sz w:val="24"/>
              </w:rPr>
            </w:pPr>
          </w:p>
        </w:tc>
      </w:tr>
      <w:tr w14:paraId="446D6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57680E87">
            <w:pPr>
              <w:autoSpaceDE w:val="0"/>
              <w:autoSpaceDN w:val="0"/>
              <w:adjustRightInd w:val="0"/>
              <w:snapToGrid w:val="0"/>
              <w:spacing w:before="25" w:after="25"/>
              <w:ind w:right="960"/>
              <w:rPr>
                <w:rFonts w:hint="eastAsia" w:ascii="宋体" w:hAnsi="宋体"/>
                <w:kern w:val="0"/>
                <w:sz w:val="24"/>
                <w:lang w:val="zh-CN"/>
              </w:rPr>
            </w:pPr>
          </w:p>
        </w:tc>
        <w:tc>
          <w:tcPr>
            <w:tcW w:w="6713" w:type="dxa"/>
            <w:vAlign w:val="center"/>
          </w:tcPr>
          <w:p w14:paraId="4E022C61">
            <w:pPr>
              <w:autoSpaceDE w:val="0"/>
              <w:autoSpaceDN w:val="0"/>
              <w:adjustRightInd w:val="0"/>
              <w:snapToGrid w:val="0"/>
              <w:spacing w:before="25" w:after="25"/>
              <w:ind w:right="960"/>
              <w:jc w:val="center"/>
              <w:rPr>
                <w:rFonts w:hint="eastAsia" w:ascii="宋体" w:hAnsi="宋体"/>
                <w:kern w:val="0"/>
                <w:sz w:val="24"/>
              </w:rPr>
            </w:pPr>
          </w:p>
        </w:tc>
      </w:tr>
      <w:tr w14:paraId="6E162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09" w:type="dxa"/>
            <w:vAlign w:val="center"/>
          </w:tcPr>
          <w:p w14:paraId="08726ADB">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287A1220">
            <w:pPr>
              <w:autoSpaceDE w:val="0"/>
              <w:autoSpaceDN w:val="0"/>
              <w:adjustRightInd w:val="0"/>
              <w:snapToGrid w:val="0"/>
              <w:spacing w:before="25" w:after="25"/>
              <w:ind w:right="960"/>
              <w:jc w:val="center"/>
              <w:rPr>
                <w:rFonts w:hint="eastAsia" w:ascii="宋体" w:hAnsi="宋体"/>
                <w:kern w:val="0"/>
                <w:sz w:val="24"/>
              </w:rPr>
            </w:pPr>
          </w:p>
        </w:tc>
      </w:tr>
      <w:tr w14:paraId="23B28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7D293B18">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31CD152F">
            <w:pPr>
              <w:autoSpaceDE w:val="0"/>
              <w:autoSpaceDN w:val="0"/>
              <w:adjustRightInd w:val="0"/>
              <w:snapToGrid w:val="0"/>
              <w:spacing w:before="25" w:after="25"/>
              <w:ind w:right="960"/>
              <w:jc w:val="center"/>
              <w:rPr>
                <w:rFonts w:hint="eastAsia" w:ascii="宋体" w:hAnsi="宋体"/>
                <w:kern w:val="0"/>
                <w:sz w:val="24"/>
              </w:rPr>
            </w:pPr>
          </w:p>
        </w:tc>
      </w:tr>
      <w:tr w14:paraId="372CB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5C9C6030">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7622FC0F">
            <w:pPr>
              <w:autoSpaceDE w:val="0"/>
              <w:autoSpaceDN w:val="0"/>
              <w:adjustRightInd w:val="0"/>
              <w:snapToGrid w:val="0"/>
              <w:spacing w:before="25" w:after="25"/>
              <w:ind w:right="960"/>
              <w:jc w:val="center"/>
              <w:rPr>
                <w:rFonts w:hint="eastAsia" w:ascii="宋体" w:hAnsi="宋体"/>
                <w:kern w:val="0"/>
                <w:sz w:val="24"/>
              </w:rPr>
            </w:pPr>
          </w:p>
        </w:tc>
      </w:tr>
      <w:tr w14:paraId="1C561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0D647646">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621A0C48">
            <w:pPr>
              <w:autoSpaceDE w:val="0"/>
              <w:autoSpaceDN w:val="0"/>
              <w:adjustRightInd w:val="0"/>
              <w:snapToGrid w:val="0"/>
              <w:spacing w:before="25" w:after="25"/>
              <w:ind w:right="960"/>
              <w:jc w:val="center"/>
              <w:rPr>
                <w:rFonts w:hint="eastAsia" w:ascii="宋体" w:hAnsi="宋体"/>
                <w:kern w:val="0"/>
                <w:sz w:val="24"/>
              </w:rPr>
            </w:pPr>
          </w:p>
        </w:tc>
      </w:tr>
      <w:tr w14:paraId="047E0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09" w:type="dxa"/>
            <w:vAlign w:val="center"/>
          </w:tcPr>
          <w:p w14:paraId="690FB571">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1AB09CD9">
            <w:pPr>
              <w:autoSpaceDE w:val="0"/>
              <w:autoSpaceDN w:val="0"/>
              <w:adjustRightInd w:val="0"/>
              <w:snapToGrid w:val="0"/>
              <w:spacing w:before="25" w:after="25"/>
              <w:ind w:right="960"/>
              <w:jc w:val="center"/>
              <w:rPr>
                <w:rFonts w:hint="eastAsia" w:ascii="宋体" w:hAnsi="宋体"/>
                <w:kern w:val="0"/>
                <w:sz w:val="24"/>
              </w:rPr>
            </w:pPr>
          </w:p>
        </w:tc>
      </w:tr>
      <w:tr w14:paraId="2771D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030557B7">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7F02BF4C">
            <w:pPr>
              <w:autoSpaceDE w:val="0"/>
              <w:autoSpaceDN w:val="0"/>
              <w:adjustRightInd w:val="0"/>
              <w:snapToGrid w:val="0"/>
              <w:spacing w:before="25" w:after="25"/>
              <w:ind w:right="960"/>
              <w:jc w:val="center"/>
              <w:rPr>
                <w:rFonts w:hint="eastAsia" w:ascii="宋体" w:hAnsi="宋体"/>
                <w:kern w:val="0"/>
                <w:sz w:val="24"/>
              </w:rPr>
            </w:pPr>
          </w:p>
        </w:tc>
      </w:tr>
      <w:tr w14:paraId="14838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09" w:type="dxa"/>
            <w:vAlign w:val="center"/>
          </w:tcPr>
          <w:p w14:paraId="273051D9">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03C0BF9D">
            <w:pPr>
              <w:autoSpaceDE w:val="0"/>
              <w:autoSpaceDN w:val="0"/>
              <w:adjustRightInd w:val="0"/>
              <w:snapToGrid w:val="0"/>
              <w:spacing w:before="25" w:after="25"/>
              <w:ind w:right="960"/>
              <w:jc w:val="center"/>
              <w:rPr>
                <w:rFonts w:hint="eastAsia" w:ascii="宋体" w:hAnsi="宋体"/>
                <w:kern w:val="0"/>
                <w:sz w:val="24"/>
              </w:rPr>
            </w:pPr>
          </w:p>
        </w:tc>
      </w:tr>
      <w:tr w14:paraId="4E9D8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5EA3AFBD">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4899C814">
            <w:pPr>
              <w:autoSpaceDE w:val="0"/>
              <w:autoSpaceDN w:val="0"/>
              <w:adjustRightInd w:val="0"/>
              <w:snapToGrid w:val="0"/>
              <w:spacing w:before="25" w:after="25"/>
              <w:ind w:right="960"/>
              <w:jc w:val="center"/>
              <w:rPr>
                <w:rFonts w:hint="eastAsia" w:ascii="宋体" w:hAnsi="宋体"/>
                <w:kern w:val="0"/>
                <w:sz w:val="24"/>
              </w:rPr>
            </w:pPr>
          </w:p>
        </w:tc>
      </w:tr>
      <w:tr w14:paraId="5441E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15CDF571">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194DAF11">
            <w:pPr>
              <w:autoSpaceDE w:val="0"/>
              <w:autoSpaceDN w:val="0"/>
              <w:adjustRightInd w:val="0"/>
              <w:snapToGrid w:val="0"/>
              <w:spacing w:before="25" w:after="25"/>
              <w:ind w:right="960"/>
              <w:jc w:val="center"/>
              <w:rPr>
                <w:rFonts w:hint="eastAsia" w:ascii="宋体" w:hAnsi="宋体"/>
                <w:kern w:val="0"/>
                <w:sz w:val="24"/>
              </w:rPr>
            </w:pPr>
          </w:p>
        </w:tc>
      </w:tr>
      <w:tr w14:paraId="55729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6C0D6876">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596D696E">
            <w:pPr>
              <w:autoSpaceDE w:val="0"/>
              <w:autoSpaceDN w:val="0"/>
              <w:adjustRightInd w:val="0"/>
              <w:snapToGrid w:val="0"/>
              <w:spacing w:before="25" w:after="25"/>
              <w:ind w:right="960"/>
              <w:jc w:val="center"/>
              <w:rPr>
                <w:rFonts w:hint="eastAsia" w:ascii="宋体" w:hAnsi="宋体"/>
                <w:kern w:val="0"/>
                <w:sz w:val="24"/>
              </w:rPr>
            </w:pPr>
          </w:p>
        </w:tc>
      </w:tr>
      <w:tr w14:paraId="6A8EE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09" w:type="dxa"/>
            <w:vAlign w:val="center"/>
          </w:tcPr>
          <w:p w14:paraId="3DF47612">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6662777D">
            <w:pPr>
              <w:autoSpaceDE w:val="0"/>
              <w:autoSpaceDN w:val="0"/>
              <w:adjustRightInd w:val="0"/>
              <w:snapToGrid w:val="0"/>
              <w:spacing w:before="25" w:after="25"/>
              <w:ind w:right="960"/>
              <w:jc w:val="center"/>
              <w:rPr>
                <w:rFonts w:hint="eastAsia" w:ascii="宋体" w:hAnsi="宋体"/>
                <w:kern w:val="0"/>
                <w:sz w:val="24"/>
              </w:rPr>
            </w:pPr>
          </w:p>
        </w:tc>
      </w:tr>
      <w:tr w14:paraId="2C6E5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0301B499">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737A0DBF">
            <w:pPr>
              <w:autoSpaceDE w:val="0"/>
              <w:autoSpaceDN w:val="0"/>
              <w:adjustRightInd w:val="0"/>
              <w:snapToGrid w:val="0"/>
              <w:spacing w:before="25" w:after="25"/>
              <w:ind w:right="960"/>
              <w:jc w:val="center"/>
              <w:rPr>
                <w:rFonts w:hint="eastAsia" w:ascii="宋体" w:hAnsi="宋体"/>
                <w:kern w:val="0"/>
                <w:sz w:val="24"/>
              </w:rPr>
            </w:pPr>
          </w:p>
        </w:tc>
      </w:tr>
      <w:tr w14:paraId="7AE27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09" w:type="dxa"/>
            <w:vAlign w:val="center"/>
          </w:tcPr>
          <w:p w14:paraId="3458E83A">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51D1DB9A">
            <w:pPr>
              <w:autoSpaceDE w:val="0"/>
              <w:autoSpaceDN w:val="0"/>
              <w:adjustRightInd w:val="0"/>
              <w:snapToGrid w:val="0"/>
              <w:spacing w:before="25" w:after="25"/>
              <w:ind w:right="960"/>
              <w:jc w:val="center"/>
              <w:rPr>
                <w:rFonts w:hint="eastAsia" w:ascii="宋体" w:hAnsi="宋体"/>
                <w:kern w:val="0"/>
                <w:sz w:val="24"/>
              </w:rPr>
            </w:pPr>
          </w:p>
        </w:tc>
      </w:tr>
      <w:tr w14:paraId="388AC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7EE84817">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30228D12">
            <w:pPr>
              <w:autoSpaceDE w:val="0"/>
              <w:autoSpaceDN w:val="0"/>
              <w:adjustRightInd w:val="0"/>
              <w:snapToGrid w:val="0"/>
              <w:spacing w:before="25" w:after="25"/>
              <w:ind w:right="960"/>
              <w:jc w:val="center"/>
              <w:rPr>
                <w:rFonts w:hint="eastAsia" w:ascii="宋体" w:hAnsi="宋体"/>
                <w:kern w:val="0"/>
                <w:sz w:val="24"/>
              </w:rPr>
            </w:pPr>
          </w:p>
        </w:tc>
      </w:tr>
      <w:tr w14:paraId="74985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74573F52">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52251B62">
            <w:pPr>
              <w:autoSpaceDE w:val="0"/>
              <w:autoSpaceDN w:val="0"/>
              <w:adjustRightInd w:val="0"/>
              <w:snapToGrid w:val="0"/>
              <w:spacing w:before="25" w:after="25"/>
              <w:ind w:right="960"/>
              <w:jc w:val="center"/>
              <w:rPr>
                <w:rFonts w:hint="eastAsia" w:ascii="宋体" w:hAnsi="宋体"/>
                <w:kern w:val="0"/>
                <w:sz w:val="24"/>
              </w:rPr>
            </w:pPr>
          </w:p>
        </w:tc>
      </w:tr>
      <w:tr w14:paraId="2E539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346555F4">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2E9F3F7E">
            <w:pPr>
              <w:autoSpaceDE w:val="0"/>
              <w:autoSpaceDN w:val="0"/>
              <w:adjustRightInd w:val="0"/>
              <w:snapToGrid w:val="0"/>
              <w:spacing w:before="25" w:after="25"/>
              <w:ind w:right="960"/>
              <w:jc w:val="center"/>
              <w:rPr>
                <w:rFonts w:hint="eastAsia" w:ascii="宋体" w:hAnsi="宋体"/>
                <w:kern w:val="0"/>
                <w:sz w:val="24"/>
              </w:rPr>
            </w:pPr>
          </w:p>
        </w:tc>
      </w:tr>
      <w:tr w14:paraId="7C83F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vAlign w:val="center"/>
          </w:tcPr>
          <w:p w14:paraId="2C03C0E2">
            <w:pPr>
              <w:autoSpaceDE w:val="0"/>
              <w:autoSpaceDN w:val="0"/>
              <w:adjustRightInd w:val="0"/>
              <w:snapToGrid w:val="0"/>
              <w:spacing w:before="25" w:after="25"/>
              <w:ind w:right="960"/>
              <w:jc w:val="center"/>
              <w:rPr>
                <w:rFonts w:hint="eastAsia" w:ascii="宋体" w:hAnsi="宋体"/>
                <w:kern w:val="0"/>
                <w:sz w:val="24"/>
                <w:lang w:val="zh-CN"/>
              </w:rPr>
            </w:pPr>
          </w:p>
        </w:tc>
        <w:tc>
          <w:tcPr>
            <w:tcW w:w="6713" w:type="dxa"/>
            <w:vAlign w:val="center"/>
          </w:tcPr>
          <w:p w14:paraId="270B6DE7">
            <w:pPr>
              <w:autoSpaceDE w:val="0"/>
              <w:autoSpaceDN w:val="0"/>
              <w:adjustRightInd w:val="0"/>
              <w:snapToGrid w:val="0"/>
              <w:spacing w:before="25" w:after="25"/>
              <w:ind w:right="960"/>
              <w:jc w:val="center"/>
              <w:rPr>
                <w:rFonts w:hint="eastAsia" w:ascii="宋体" w:hAnsi="宋体"/>
                <w:kern w:val="0"/>
                <w:sz w:val="24"/>
              </w:rPr>
            </w:pPr>
          </w:p>
        </w:tc>
      </w:tr>
    </w:tbl>
    <w:p w14:paraId="0482F986">
      <w:pPr>
        <w:autoSpaceDE w:val="0"/>
        <w:autoSpaceDN w:val="0"/>
        <w:adjustRightInd w:val="0"/>
        <w:snapToGrid w:val="0"/>
        <w:spacing w:before="25" w:after="25" w:line="360" w:lineRule="auto"/>
        <w:ind w:right="960"/>
        <w:jc w:val="left"/>
        <w:rPr>
          <w:rFonts w:hint="eastAsia" w:ascii="宋体" w:hAnsi="宋体"/>
          <w:sz w:val="24"/>
          <w:lang w:val="zh-CN"/>
        </w:rPr>
      </w:pPr>
    </w:p>
    <w:p w14:paraId="126998C5">
      <w:pPr>
        <w:widowControl/>
        <w:jc w:val="left"/>
        <w:rPr>
          <w:rFonts w:hint="eastAsia" w:ascii="宋体" w:hAnsi="宋体"/>
          <w:sz w:val="24"/>
          <w:lang w:val="zh-CN"/>
        </w:rPr>
      </w:pPr>
      <w:r>
        <w:rPr>
          <w:rFonts w:hint="eastAsia" w:ascii="宋体" w:hAnsi="宋体"/>
          <w:sz w:val="24"/>
          <w:lang w:val="zh-CN"/>
        </w:rPr>
        <w:br w:type="page"/>
      </w:r>
    </w:p>
    <w:p w14:paraId="5E04CFAF">
      <w:pPr>
        <w:autoSpaceDE w:val="0"/>
        <w:autoSpaceDN w:val="0"/>
        <w:adjustRightInd w:val="0"/>
        <w:snapToGrid w:val="0"/>
        <w:spacing w:before="25" w:after="25" w:line="360" w:lineRule="auto"/>
        <w:ind w:right="960"/>
        <w:jc w:val="left"/>
        <w:rPr>
          <w:rFonts w:hint="eastAsia" w:ascii="宋体" w:hAnsi="宋体"/>
          <w:sz w:val="24"/>
          <w:lang w:val="zh-CN"/>
        </w:rPr>
      </w:pPr>
      <w:r>
        <w:rPr>
          <w:rFonts w:hint="eastAsia" w:ascii="宋体" w:hAnsi="宋体"/>
          <w:sz w:val="24"/>
          <w:lang w:val="zh-CN"/>
        </w:rPr>
        <w:t>附表三：计划开、竣工日期和施工进度网络图</w:t>
      </w:r>
    </w:p>
    <w:p w14:paraId="17944155">
      <w:pPr>
        <w:autoSpaceDE w:val="0"/>
        <w:autoSpaceDN w:val="0"/>
        <w:adjustRightInd w:val="0"/>
        <w:snapToGrid w:val="0"/>
        <w:spacing w:before="25" w:after="25" w:line="360" w:lineRule="auto"/>
        <w:ind w:right="960"/>
        <w:jc w:val="left"/>
        <w:rPr>
          <w:rFonts w:hint="eastAsia" w:ascii="宋体" w:hAnsi="宋体"/>
          <w:sz w:val="24"/>
          <w:lang w:val="zh-CN"/>
        </w:rPr>
      </w:pPr>
      <w:r>
        <w:rPr>
          <w:rFonts w:hint="eastAsia" w:ascii="宋体" w:hAnsi="宋体"/>
          <w:sz w:val="24"/>
          <w:lang w:val="zh-CN"/>
        </w:rPr>
        <w:t>1．供应商应递交施工进度网络图或施工进度表，说明按磋商文件要求的计划工期进行施工的各个关键日期。</w:t>
      </w:r>
    </w:p>
    <w:p w14:paraId="2D9B2855">
      <w:pPr>
        <w:autoSpaceDE w:val="0"/>
        <w:autoSpaceDN w:val="0"/>
        <w:adjustRightInd w:val="0"/>
        <w:snapToGrid w:val="0"/>
        <w:spacing w:before="25" w:after="25" w:line="360" w:lineRule="auto"/>
        <w:ind w:right="960"/>
        <w:jc w:val="left"/>
        <w:rPr>
          <w:rFonts w:hint="eastAsia" w:ascii="宋体" w:hAnsi="宋体"/>
          <w:sz w:val="24"/>
          <w:lang w:val="zh-CN"/>
        </w:rPr>
      </w:pPr>
      <w:r>
        <w:rPr>
          <w:rFonts w:hint="eastAsia" w:ascii="宋体" w:hAnsi="宋体"/>
          <w:sz w:val="24"/>
          <w:lang w:val="zh-CN"/>
        </w:rPr>
        <w:t>2．施工进度表可采用网络图和（或）横道图表示。</w:t>
      </w:r>
    </w:p>
    <w:p w14:paraId="3F584701">
      <w:pPr>
        <w:autoSpaceDE w:val="0"/>
        <w:autoSpaceDN w:val="0"/>
        <w:adjustRightInd w:val="0"/>
        <w:snapToGrid w:val="0"/>
        <w:spacing w:before="25" w:after="25" w:line="360" w:lineRule="auto"/>
        <w:ind w:right="960"/>
        <w:jc w:val="left"/>
        <w:rPr>
          <w:rFonts w:hint="eastAsia" w:ascii="宋体" w:hAnsi="宋体"/>
          <w:sz w:val="24"/>
          <w:lang w:val="zh-CN"/>
        </w:rPr>
      </w:pPr>
    </w:p>
    <w:p w14:paraId="42F06530">
      <w:pPr>
        <w:autoSpaceDE w:val="0"/>
        <w:autoSpaceDN w:val="0"/>
        <w:adjustRightInd w:val="0"/>
        <w:snapToGrid w:val="0"/>
        <w:spacing w:before="25" w:after="25" w:line="360" w:lineRule="auto"/>
        <w:ind w:right="960"/>
        <w:jc w:val="left"/>
        <w:rPr>
          <w:rFonts w:hint="eastAsia" w:ascii="宋体" w:hAnsi="宋体"/>
          <w:sz w:val="24"/>
          <w:lang w:val="zh-CN"/>
        </w:rPr>
      </w:pPr>
    </w:p>
    <w:p w14:paraId="225389E7">
      <w:pPr>
        <w:autoSpaceDE w:val="0"/>
        <w:autoSpaceDN w:val="0"/>
        <w:adjustRightInd w:val="0"/>
        <w:snapToGrid w:val="0"/>
        <w:spacing w:before="25" w:after="25" w:line="360" w:lineRule="auto"/>
        <w:ind w:right="960"/>
        <w:jc w:val="left"/>
        <w:rPr>
          <w:rFonts w:hint="eastAsia" w:ascii="宋体" w:hAnsi="宋体"/>
          <w:sz w:val="24"/>
          <w:lang w:val="zh-CN"/>
        </w:rPr>
      </w:pPr>
      <w:r>
        <w:rPr>
          <w:rFonts w:hint="eastAsia" w:ascii="宋体" w:hAnsi="宋体"/>
          <w:sz w:val="24"/>
          <w:lang w:val="zh-CN"/>
        </w:rPr>
        <w:t>附表四：施工总平面图</w:t>
      </w:r>
    </w:p>
    <w:p w14:paraId="74AD2CC5">
      <w:pPr>
        <w:autoSpaceDE w:val="0"/>
        <w:autoSpaceDN w:val="0"/>
        <w:adjustRightInd w:val="0"/>
        <w:snapToGrid w:val="0"/>
        <w:spacing w:before="25" w:after="25" w:line="360" w:lineRule="auto"/>
        <w:ind w:right="960"/>
        <w:jc w:val="left"/>
        <w:rPr>
          <w:rFonts w:hint="eastAsia" w:ascii="宋体" w:hAnsi="宋体"/>
          <w:sz w:val="24"/>
          <w:lang w:val="zh-CN"/>
        </w:rPr>
      </w:pPr>
      <w:r>
        <w:rPr>
          <w:rFonts w:hint="eastAsia" w:ascii="宋体" w:hAnsi="宋体"/>
          <w:sz w:val="24"/>
          <w:lang w:val="zh-CN"/>
        </w:rPr>
        <w:t>供应商应递交一份施工总平面图，绘出现场临时设施布置图表并附文字说明，说明临时设施、加工车间、现场办公、设备及仓储、供电、供水、卫生、生活、道路、消防等设施的情况和布置。</w:t>
      </w:r>
    </w:p>
    <w:p w14:paraId="14410438">
      <w:pPr>
        <w:tabs>
          <w:tab w:val="left" w:pos="360"/>
        </w:tabs>
        <w:snapToGrid w:val="0"/>
        <w:spacing w:line="360" w:lineRule="auto"/>
        <w:outlineLvl w:val="1"/>
        <w:rPr>
          <w:rFonts w:hint="eastAsia" w:ascii="宋体" w:hAnsi="宋体"/>
          <w:sz w:val="24"/>
        </w:rPr>
      </w:pPr>
      <w:r>
        <w:rPr>
          <w:rFonts w:ascii="宋体" w:hAnsi="宋体"/>
          <w:sz w:val="24"/>
          <w:szCs w:val="20"/>
        </w:rPr>
        <w:br w:type="page"/>
      </w:r>
    </w:p>
    <w:p w14:paraId="1D4B8F58">
      <w:pPr>
        <w:tabs>
          <w:tab w:val="left" w:pos="360"/>
        </w:tabs>
        <w:snapToGrid w:val="0"/>
        <w:spacing w:line="360" w:lineRule="auto"/>
        <w:outlineLvl w:val="1"/>
        <w:rPr>
          <w:rFonts w:hint="eastAsia" w:ascii="宋体" w:hAnsi="宋体"/>
          <w:sz w:val="24"/>
        </w:rPr>
      </w:pPr>
      <w:r>
        <w:rPr>
          <w:rFonts w:ascii="宋体" w:hAnsi="宋体"/>
          <w:sz w:val="24"/>
        </w:rPr>
        <w:t>1</w:t>
      </w:r>
      <w:r>
        <w:rPr>
          <w:rFonts w:hint="eastAsia" w:ascii="宋体" w:hAnsi="宋体"/>
          <w:sz w:val="24"/>
        </w:rPr>
        <w:t>2</w:t>
      </w:r>
      <w:r>
        <w:rPr>
          <w:rFonts w:ascii="宋体" w:hAnsi="宋体"/>
          <w:sz w:val="24"/>
        </w:rPr>
        <w:t xml:space="preserve">  竞争性磋商文件要求提供或供应商认为应附的其他材料</w:t>
      </w:r>
    </w:p>
    <w:p w14:paraId="5F1271D0">
      <w:pPr>
        <w:rPr>
          <w:rFonts w:ascii="宋体" w:hAnsi="宋体" w:eastAsia="宋体"/>
          <w:sz w:val="24"/>
          <w:lang w:eastAsia="zh-CN"/>
        </w:rPr>
      </w:pPr>
      <w:r>
        <w:rPr>
          <w:rFonts w:hint="eastAsia" w:ascii="宋体" w:hAnsi="宋体" w:eastAsia="宋体"/>
          <w:sz w:val="24"/>
          <w:lang w:eastAsia="zh-CN"/>
        </w:rPr>
        <w:t>1</w:t>
      </w:r>
      <w:r>
        <w:rPr>
          <w:rFonts w:hint="eastAsia" w:ascii="宋体" w:hAnsi="宋体"/>
          <w:sz w:val="24"/>
          <w:lang w:val="en-US" w:eastAsia="zh-CN"/>
        </w:rPr>
        <w:t>2</w:t>
      </w:r>
      <w:r>
        <w:rPr>
          <w:rFonts w:hint="eastAsia" w:ascii="宋体" w:hAnsi="宋体" w:eastAsia="宋体"/>
          <w:sz w:val="24"/>
          <w:lang w:eastAsia="zh-CN"/>
        </w:rPr>
        <w:t>-1 供应商信息采集表</w:t>
      </w:r>
    </w:p>
    <w:tbl>
      <w:tblPr>
        <w:tblStyle w:val="45"/>
        <w:tblW w:w="94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55"/>
        <w:gridCol w:w="3155"/>
        <w:gridCol w:w="3157"/>
      </w:tblGrid>
      <w:tr w14:paraId="39FCF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3155" w:type="dxa"/>
            <w:vAlign w:val="center"/>
          </w:tcPr>
          <w:p w14:paraId="40BB0C82">
            <w:pPr>
              <w:spacing w:after="0"/>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供应商名称</w:t>
            </w:r>
          </w:p>
        </w:tc>
        <w:tc>
          <w:tcPr>
            <w:tcW w:w="3155" w:type="dxa"/>
            <w:vAlign w:val="center"/>
          </w:tcPr>
          <w:p w14:paraId="547BBB48">
            <w:pPr>
              <w:spacing w:after="0"/>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供应商所属性别</w:t>
            </w:r>
          </w:p>
        </w:tc>
        <w:tc>
          <w:tcPr>
            <w:tcW w:w="3157" w:type="dxa"/>
            <w:vAlign w:val="center"/>
          </w:tcPr>
          <w:p w14:paraId="21408053">
            <w:pPr>
              <w:spacing w:after="0"/>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外商投资类型</w:t>
            </w:r>
          </w:p>
        </w:tc>
      </w:tr>
      <w:tr w14:paraId="7A5A9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3155" w:type="dxa"/>
            <w:vAlign w:val="center"/>
          </w:tcPr>
          <w:p w14:paraId="56CEC668">
            <w:pPr>
              <w:spacing w:after="0"/>
              <w:jc w:val="center"/>
              <w:rPr>
                <w:rFonts w:hint="eastAsia" w:ascii="宋体" w:hAnsi="宋体" w:eastAsia="宋体" w:cs="Times New Roman"/>
                <w:snapToGrid/>
                <w:color w:val="auto"/>
                <w:sz w:val="24"/>
                <w:szCs w:val="20"/>
                <w:lang w:eastAsia="zh-CN"/>
              </w:rPr>
            </w:pPr>
          </w:p>
        </w:tc>
        <w:tc>
          <w:tcPr>
            <w:tcW w:w="3155" w:type="dxa"/>
            <w:vAlign w:val="center"/>
          </w:tcPr>
          <w:p w14:paraId="4078708E">
            <w:pPr>
              <w:spacing w:after="0"/>
              <w:jc w:val="center"/>
              <w:rPr>
                <w:rFonts w:hint="eastAsia" w:ascii="宋体" w:hAnsi="宋体" w:eastAsia="宋体" w:cs="Times New Roman"/>
                <w:snapToGrid/>
                <w:color w:val="auto"/>
                <w:sz w:val="24"/>
                <w:szCs w:val="20"/>
                <w:lang w:eastAsia="zh-CN"/>
              </w:rPr>
            </w:pPr>
          </w:p>
        </w:tc>
        <w:tc>
          <w:tcPr>
            <w:tcW w:w="3157" w:type="dxa"/>
            <w:vAlign w:val="center"/>
          </w:tcPr>
          <w:p w14:paraId="7276F47F">
            <w:pPr>
              <w:spacing w:after="0"/>
              <w:jc w:val="center"/>
              <w:rPr>
                <w:rFonts w:hint="eastAsia" w:ascii="宋体" w:hAnsi="宋体" w:eastAsia="宋体" w:cs="Times New Roman"/>
                <w:snapToGrid/>
                <w:color w:val="auto"/>
                <w:sz w:val="24"/>
                <w:szCs w:val="20"/>
                <w:lang w:eastAsia="zh-CN"/>
              </w:rPr>
            </w:pPr>
          </w:p>
        </w:tc>
      </w:tr>
      <w:tr w14:paraId="3CAD8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3155" w:type="dxa"/>
            <w:vAlign w:val="center"/>
          </w:tcPr>
          <w:p w14:paraId="5E4A4F0E">
            <w:pPr>
              <w:spacing w:after="0"/>
              <w:jc w:val="center"/>
              <w:rPr>
                <w:rFonts w:hint="eastAsia" w:ascii="宋体" w:hAnsi="宋体" w:eastAsia="宋体" w:cs="Times New Roman"/>
                <w:snapToGrid/>
                <w:color w:val="auto"/>
                <w:sz w:val="24"/>
                <w:szCs w:val="20"/>
                <w:lang w:eastAsia="zh-CN"/>
              </w:rPr>
            </w:pPr>
          </w:p>
        </w:tc>
        <w:tc>
          <w:tcPr>
            <w:tcW w:w="3155" w:type="dxa"/>
            <w:vAlign w:val="center"/>
          </w:tcPr>
          <w:p w14:paraId="0B1A6678">
            <w:pPr>
              <w:spacing w:after="0"/>
              <w:jc w:val="center"/>
              <w:rPr>
                <w:rFonts w:hint="eastAsia" w:ascii="宋体" w:hAnsi="宋体" w:eastAsia="宋体" w:cs="Times New Roman"/>
                <w:snapToGrid/>
                <w:color w:val="auto"/>
                <w:sz w:val="24"/>
                <w:szCs w:val="20"/>
                <w:lang w:eastAsia="zh-CN"/>
              </w:rPr>
            </w:pPr>
          </w:p>
        </w:tc>
        <w:tc>
          <w:tcPr>
            <w:tcW w:w="3157" w:type="dxa"/>
            <w:vAlign w:val="center"/>
          </w:tcPr>
          <w:p w14:paraId="174AA61C">
            <w:pPr>
              <w:spacing w:after="0"/>
              <w:jc w:val="center"/>
              <w:rPr>
                <w:rFonts w:hint="eastAsia" w:ascii="宋体" w:hAnsi="宋体" w:eastAsia="宋体" w:cs="Times New Roman"/>
                <w:snapToGrid/>
                <w:color w:val="auto"/>
                <w:sz w:val="24"/>
                <w:szCs w:val="20"/>
                <w:lang w:eastAsia="zh-CN"/>
              </w:rPr>
            </w:pPr>
          </w:p>
        </w:tc>
      </w:tr>
    </w:tbl>
    <w:p w14:paraId="14010AE8">
      <w:pPr>
        <w:rPr>
          <w:rFonts w:hint="eastAsia" w:ascii="宋体" w:hAnsi="宋体" w:eastAsia="宋体"/>
          <w:sz w:val="24"/>
          <w:lang w:eastAsia="zh-CN"/>
        </w:rPr>
      </w:pPr>
      <w:r>
        <w:rPr>
          <w:rFonts w:hint="eastAsia" w:ascii="宋体" w:hAnsi="宋体" w:eastAsia="宋体"/>
          <w:sz w:val="24"/>
          <w:lang w:eastAsia="zh-CN"/>
        </w:rPr>
        <w:t>注：1.供应商如为联合体，则应填写联合体各成员信息。</w:t>
      </w:r>
    </w:p>
    <w:p w14:paraId="409E39F9">
      <w:pPr>
        <w:rPr>
          <w:rFonts w:hint="eastAsia" w:ascii="宋体" w:hAnsi="宋体" w:eastAsia="宋体"/>
          <w:sz w:val="24"/>
          <w:lang w:eastAsia="zh-CN"/>
        </w:rPr>
      </w:pPr>
      <w:r>
        <w:rPr>
          <w:rFonts w:hint="eastAsia" w:ascii="宋体" w:hAnsi="宋体" w:eastAsia="宋体"/>
          <w:sz w:val="24"/>
          <w:lang w:eastAsia="zh-CN"/>
        </w:rPr>
        <w:t>2.供应商所属性别请填写“男”或“女”，指拥有供应商 51%以上绝对所有权的性</w:t>
      </w:r>
    </w:p>
    <w:p w14:paraId="733BE87A">
      <w:pPr>
        <w:rPr>
          <w:rFonts w:hint="eastAsia" w:ascii="宋体" w:hAnsi="宋体" w:eastAsia="宋体"/>
          <w:sz w:val="24"/>
          <w:lang w:eastAsia="zh-CN"/>
        </w:rPr>
      </w:pPr>
      <w:r>
        <w:rPr>
          <w:rFonts w:hint="eastAsia" w:ascii="宋体" w:hAnsi="宋体" w:eastAsia="宋体"/>
          <w:sz w:val="24"/>
          <w:lang w:eastAsia="zh-CN"/>
        </w:rPr>
        <w:t>别；绝对所有权拥有者可以是一个人，也可以是多人合计计算。</w:t>
      </w:r>
    </w:p>
    <w:p w14:paraId="137879F9">
      <w:pPr>
        <w:widowControl/>
        <w:jc w:val="left"/>
        <w:rPr>
          <w:rFonts w:hint="eastAsia" w:ascii="宋体" w:hAnsi="宋体"/>
          <w:sz w:val="24"/>
        </w:rPr>
      </w:pPr>
      <w:r>
        <w:rPr>
          <w:rFonts w:hint="eastAsia" w:ascii="宋体" w:hAnsi="宋体" w:eastAsia="宋体"/>
          <w:sz w:val="24"/>
          <w:lang w:eastAsia="zh-CN"/>
        </w:rPr>
        <w:t>3.外商投资类型请填写“外商单独投资”、“外商部分投资”或“内资”。</w:t>
      </w: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_x000B__x000C_">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463"/>
    </w:sdtPr>
    <w:sdtContent>
      <w:p w14:paraId="599B6FEA">
        <w:pPr>
          <w:pStyle w:val="28"/>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30</w:t>
        </w:r>
        <w:r>
          <w:rPr>
            <w:rFonts w:ascii="宋体" w:hAnsi="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5797437"/>
    </w:sdtPr>
    <w:sdtContent>
      <w:p w14:paraId="34434BE1">
        <w:pPr>
          <w:pStyle w:val="28"/>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80</w:t>
        </w:r>
        <w:r>
          <w:rPr>
            <w:rFonts w:ascii="宋体" w:hAnsi="宋体"/>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14193">
    <w:pPr>
      <w:pStyle w:val="29"/>
      <w:pBdr>
        <w:bottom w:val="single" w:color="auto" w:sz="4" w:space="1"/>
      </w:pBdr>
      <w:jc w:val="right"/>
      <w:rPr>
        <w:rFonts w:ascii="宋体" w:hAnsi="宋体"/>
      </w:rPr>
    </w:pPr>
    <w:r>
      <w:rPr>
        <w:sz w:val="36"/>
        <w:szCs w:val="36"/>
      </w:rPr>
      <w:tab/>
    </w:r>
    <w:r>
      <w:rPr>
        <w:rFonts w:hint="eastAsia" w:ascii="宋体" w:hAnsi="宋体"/>
      </w:rPr>
      <w:t>北京市政府采购项目竞争性磋商文件示范文本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57DE6">
    <w:pPr>
      <w:pStyle w:val="29"/>
      <w:pBdr>
        <w:bottom w:val="single" w:color="auto" w:sz="4" w:space="1"/>
      </w:pBdr>
      <w:jc w:val="right"/>
      <w:rPr>
        <w:rFonts w:hint="eastAsia" w:ascii="宋体" w:hAnsi="宋体"/>
      </w:rPr>
    </w:pPr>
    <w:r>
      <w:rPr>
        <w:sz w:val="36"/>
        <w:szCs w:val="36"/>
      </w:rPr>
      <w:tab/>
    </w:r>
    <w:r>
      <w:rPr>
        <w:rFonts w:hint="eastAsia" w:ascii="宋体" w:hAnsi="宋体"/>
      </w:rPr>
      <w:t>北京市政府采购项目竞争性磋商文件示范文本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bCs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105C4A3E"/>
    <w:multiLevelType w:val="multilevel"/>
    <w:tmpl w:val="105C4A3E"/>
    <w:lvl w:ilvl="0" w:tentative="0">
      <w:start w:val="9"/>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21CE1F89"/>
    <w:multiLevelType w:val="multilevel"/>
    <w:tmpl w:val="21CE1F89"/>
    <w:lvl w:ilvl="0" w:tentative="0">
      <w:start w:val="1"/>
      <w:numFmt w:val="decimalEnclosedCircle"/>
      <w:lvlText w:val="%1"/>
      <w:lvlJc w:val="left"/>
      <w:pPr>
        <w:tabs>
          <w:tab w:val="left" w:pos="1140"/>
        </w:tabs>
        <w:ind w:left="1140" w:hanging="360"/>
      </w:pPr>
      <w:rPr>
        <w:rFonts w:hint="default"/>
      </w:rPr>
    </w:lvl>
    <w:lvl w:ilvl="1" w:tentative="0">
      <w:start w:val="1"/>
      <w:numFmt w:val="lowerLetter"/>
      <w:lvlText w:val="%2)"/>
      <w:lvlJc w:val="left"/>
      <w:pPr>
        <w:tabs>
          <w:tab w:val="left" w:pos="1620"/>
        </w:tabs>
        <w:ind w:left="1620" w:hanging="420"/>
      </w:pPr>
    </w:lvl>
    <w:lvl w:ilvl="2" w:tentative="0">
      <w:start w:val="1"/>
      <w:numFmt w:val="lowerRoman"/>
      <w:lvlText w:val="%3."/>
      <w:lvlJc w:val="right"/>
      <w:pPr>
        <w:tabs>
          <w:tab w:val="left" w:pos="2040"/>
        </w:tabs>
        <w:ind w:left="2040" w:hanging="420"/>
      </w:pPr>
    </w:lvl>
    <w:lvl w:ilvl="3" w:tentative="0">
      <w:start w:val="1"/>
      <w:numFmt w:val="decimal"/>
      <w:lvlText w:val="%4."/>
      <w:lvlJc w:val="left"/>
      <w:pPr>
        <w:tabs>
          <w:tab w:val="left" w:pos="2460"/>
        </w:tabs>
        <w:ind w:left="2460" w:hanging="420"/>
      </w:pPr>
    </w:lvl>
    <w:lvl w:ilvl="4" w:tentative="0">
      <w:start w:val="1"/>
      <w:numFmt w:val="lowerLetter"/>
      <w:lvlText w:val="%5)"/>
      <w:lvlJc w:val="left"/>
      <w:pPr>
        <w:tabs>
          <w:tab w:val="left" w:pos="2880"/>
        </w:tabs>
        <w:ind w:left="2880" w:hanging="420"/>
      </w:pPr>
    </w:lvl>
    <w:lvl w:ilvl="5" w:tentative="0">
      <w:start w:val="1"/>
      <w:numFmt w:val="lowerRoman"/>
      <w:lvlText w:val="%6."/>
      <w:lvlJc w:val="right"/>
      <w:pPr>
        <w:tabs>
          <w:tab w:val="left" w:pos="3300"/>
        </w:tabs>
        <w:ind w:left="3300" w:hanging="420"/>
      </w:pPr>
    </w:lvl>
    <w:lvl w:ilvl="6" w:tentative="0">
      <w:start w:val="1"/>
      <w:numFmt w:val="decimal"/>
      <w:lvlText w:val="%7."/>
      <w:lvlJc w:val="left"/>
      <w:pPr>
        <w:tabs>
          <w:tab w:val="left" w:pos="3720"/>
        </w:tabs>
        <w:ind w:left="3720" w:hanging="420"/>
      </w:pPr>
    </w:lvl>
    <w:lvl w:ilvl="7" w:tentative="0">
      <w:start w:val="1"/>
      <w:numFmt w:val="lowerLetter"/>
      <w:lvlText w:val="%8)"/>
      <w:lvlJc w:val="left"/>
      <w:pPr>
        <w:tabs>
          <w:tab w:val="left" w:pos="4140"/>
        </w:tabs>
        <w:ind w:left="4140" w:hanging="420"/>
      </w:pPr>
    </w:lvl>
    <w:lvl w:ilvl="8" w:tentative="0">
      <w:start w:val="1"/>
      <w:numFmt w:val="lowerRoman"/>
      <w:lvlText w:val="%9."/>
      <w:lvlJc w:val="right"/>
      <w:pPr>
        <w:tabs>
          <w:tab w:val="left" w:pos="4560"/>
        </w:tabs>
        <w:ind w:left="4560" w:hanging="420"/>
      </w:pPr>
    </w:lvl>
  </w:abstractNum>
  <w:abstractNum w:abstractNumId="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36F344E4"/>
    <w:multiLevelType w:val="multilevel"/>
    <w:tmpl w:val="36F344E4"/>
    <w:lvl w:ilvl="0" w:tentative="0">
      <w:start w:val="1"/>
      <w:numFmt w:val="decimal"/>
      <w:lvlText w:val="（%1）"/>
      <w:lvlJc w:val="left"/>
      <w:pPr>
        <w:tabs>
          <w:tab w:val="left" w:pos="1199"/>
        </w:tabs>
        <w:ind w:left="1199" w:hanging="720"/>
      </w:pPr>
      <w:rPr>
        <w:rFonts w:hint="default" w:cs="Times New Roman"/>
      </w:rPr>
    </w:lvl>
    <w:lvl w:ilvl="1" w:tentative="0">
      <w:start w:val="1"/>
      <w:numFmt w:val="lowerLetter"/>
      <w:lvlText w:val="%2)"/>
      <w:lvlJc w:val="left"/>
      <w:pPr>
        <w:tabs>
          <w:tab w:val="left" w:pos="1319"/>
        </w:tabs>
        <w:ind w:left="1319" w:hanging="420"/>
      </w:pPr>
      <w:rPr>
        <w:rFonts w:cs="Times New Roman"/>
      </w:rPr>
    </w:lvl>
    <w:lvl w:ilvl="2" w:tentative="0">
      <w:start w:val="1"/>
      <w:numFmt w:val="lowerRoman"/>
      <w:lvlText w:val="%3."/>
      <w:lvlJc w:val="right"/>
      <w:pPr>
        <w:tabs>
          <w:tab w:val="left" w:pos="1739"/>
        </w:tabs>
        <w:ind w:left="1739" w:hanging="420"/>
      </w:pPr>
      <w:rPr>
        <w:rFonts w:cs="Times New Roman"/>
      </w:rPr>
    </w:lvl>
    <w:lvl w:ilvl="3" w:tentative="0">
      <w:start w:val="1"/>
      <w:numFmt w:val="decimal"/>
      <w:lvlText w:val="%4."/>
      <w:lvlJc w:val="left"/>
      <w:pPr>
        <w:tabs>
          <w:tab w:val="left" w:pos="2159"/>
        </w:tabs>
        <w:ind w:left="2159" w:hanging="420"/>
      </w:pPr>
      <w:rPr>
        <w:rFonts w:cs="Times New Roman"/>
      </w:rPr>
    </w:lvl>
    <w:lvl w:ilvl="4" w:tentative="0">
      <w:start w:val="1"/>
      <w:numFmt w:val="lowerLetter"/>
      <w:lvlText w:val="%5)"/>
      <w:lvlJc w:val="left"/>
      <w:pPr>
        <w:tabs>
          <w:tab w:val="left" w:pos="2579"/>
        </w:tabs>
        <w:ind w:left="2579" w:hanging="420"/>
      </w:pPr>
      <w:rPr>
        <w:rFonts w:cs="Times New Roman"/>
      </w:rPr>
    </w:lvl>
    <w:lvl w:ilvl="5" w:tentative="0">
      <w:start w:val="1"/>
      <w:numFmt w:val="lowerRoman"/>
      <w:lvlText w:val="%6."/>
      <w:lvlJc w:val="right"/>
      <w:pPr>
        <w:tabs>
          <w:tab w:val="left" w:pos="2999"/>
        </w:tabs>
        <w:ind w:left="2999" w:hanging="420"/>
      </w:pPr>
      <w:rPr>
        <w:rFonts w:cs="Times New Roman"/>
      </w:rPr>
    </w:lvl>
    <w:lvl w:ilvl="6" w:tentative="0">
      <w:start w:val="1"/>
      <w:numFmt w:val="decimal"/>
      <w:lvlText w:val="%7."/>
      <w:lvlJc w:val="left"/>
      <w:pPr>
        <w:tabs>
          <w:tab w:val="left" w:pos="3419"/>
        </w:tabs>
        <w:ind w:left="3419" w:hanging="420"/>
      </w:pPr>
      <w:rPr>
        <w:rFonts w:cs="Times New Roman"/>
      </w:rPr>
    </w:lvl>
    <w:lvl w:ilvl="7" w:tentative="0">
      <w:start w:val="1"/>
      <w:numFmt w:val="lowerLetter"/>
      <w:lvlText w:val="%8)"/>
      <w:lvlJc w:val="left"/>
      <w:pPr>
        <w:tabs>
          <w:tab w:val="left" w:pos="3839"/>
        </w:tabs>
        <w:ind w:left="3839" w:hanging="420"/>
      </w:pPr>
      <w:rPr>
        <w:rFonts w:cs="Times New Roman"/>
      </w:rPr>
    </w:lvl>
    <w:lvl w:ilvl="8" w:tentative="0">
      <w:start w:val="1"/>
      <w:numFmt w:val="lowerRoman"/>
      <w:lvlText w:val="%9."/>
      <w:lvlJc w:val="right"/>
      <w:pPr>
        <w:tabs>
          <w:tab w:val="left" w:pos="4259"/>
        </w:tabs>
        <w:ind w:left="4259" w:hanging="420"/>
      </w:pPr>
      <w:rPr>
        <w:rFonts w:cs="Times New Roman"/>
      </w:rPr>
    </w:lvl>
  </w:abstractNum>
  <w:num w:numId="1">
    <w:abstractNumId w:val="1"/>
  </w:num>
  <w:num w:numId="2">
    <w:abstractNumId w:val="4"/>
  </w:num>
  <w:num w:numId="3">
    <w:abstractNumId w:val="0"/>
  </w:num>
  <w:num w:numId="4">
    <w:abstractNumId w:val="3"/>
  </w:num>
  <w:num w:numId="5">
    <w:abstractNumId w:val="5"/>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0D1"/>
    <w:rsid w:val="000132CB"/>
    <w:rsid w:val="00016220"/>
    <w:rsid w:val="0002419B"/>
    <w:rsid w:val="00064865"/>
    <w:rsid w:val="000934EE"/>
    <w:rsid w:val="00094331"/>
    <w:rsid w:val="000C6BFC"/>
    <w:rsid w:val="000D13B5"/>
    <w:rsid w:val="000D6188"/>
    <w:rsid w:val="00110FEE"/>
    <w:rsid w:val="0011295D"/>
    <w:rsid w:val="00115086"/>
    <w:rsid w:val="00121FCD"/>
    <w:rsid w:val="001403CE"/>
    <w:rsid w:val="00145A56"/>
    <w:rsid w:val="00173D0C"/>
    <w:rsid w:val="00181E8E"/>
    <w:rsid w:val="00182895"/>
    <w:rsid w:val="00186F0A"/>
    <w:rsid w:val="00192057"/>
    <w:rsid w:val="001B64B4"/>
    <w:rsid w:val="001D5715"/>
    <w:rsid w:val="001E425D"/>
    <w:rsid w:val="001F6EA9"/>
    <w:rsid w:val="0020581D"/>
    <w:rsid w:val="00255389"/>
    <w:rsid w:val="0027175C"/>
    <w:rsid w:val="002754C5"/>
    <w:rsid w:val="002B6760"/>
    <w:rsid w:val="002E6241"/>
    <w:rsid w:val="002F7273"/>
    <w:rsid w:val="003024E1"/>
    <w:rsid w:val="00310340"/>
    <w:rsid w:val="00315E74"/>
    <w:rsid w:val="00322409"/>
    <w:rsid w:val="00323418"/>
    <w:rsid w:val="003429FC"/>
    <w:rsid w:val="00343516"/>
    <w:rsid w:val="003623B0"/>
    <w:rsid w:val="00363007"/>
    <w:rsid w:val="00372624"/>
    <w:rsid w:val="003767A0"/>
    <w:rsid w:val="00383045"/>
    <w:rsid w:val="003A1560"/>
    <w:rsid w:val="003A407D"/>
    <w:rsid w:val="003E248C"/>
    <w:rsid w:val="003F2343"/>
    <w:rsid w:val="00400004"/>
    <w:rsid w:val="00417C23"/>
    <w:rsid w:val="00440AD6"/>
    <w:rsid w:val="004566FF"/>
    <w:rsid w:val="00472B9B"/>
    <w:rsid w:val="004730C3"/>
    <w:rsid w:val="004778D5"/>
    <w:rsid w:val="004836D1"/>
    <w:rsid w:val="00492F8D"/>
    <w:rsid w:val="00496862"/>
    <w:rsid w:val="004A506B"/>
    <w:rsid w:val="004B1A09"/>
    <w:rsid w:val="004B67BD"/>
    <w:rsid w:val="004D05E0"/>
    <w:rsid w:val="004E3FBC"/>
    <w:rsid w:val="004E6354"/>
    <w:rsid w:val="005771EC"/>
    <w:rsid w:val="005B3F02"/>
    <w:rsid w:val="005B648E"/>
    <w:rsid w:val="0061027D"/>
    <w:rsid w:val="00617D4E"/>
    <w:rsid w:val="00657721"/>
    <w:rsid w:val="00660BD0"/>
    <w:rsid w:val="00676AF0"/>
    <w:rsid w:val="00681285"/>
    <w:rsid w:val="006B08CE"/>
    <w:rsid w:val="006E428A"/>
    <w:rsid w:val="006E66CE"/>
    <w:rsid w:val="006E7F7E"/>
    <w:rsid w:val="00730257"/>
    <w:rsid w:val="00736B72"/>
    <w:rsid w:val="00755EE5"/>
    <w:rsid w:val="007869FA"/>
    <w:rsid w:val="007A614C"/>
    <w:rsid w:val="007C37F2"/>
    <w:rsid w:val="007D2010"/>
    <w:rsid w:val="007D40D1"/>
    <w:rsid w:val="007D421A"/>
    <w:rsid w:val="007E028E"/>
    <w:rsid w:val="007E646B"/>
    <w:rsid w:val="008131B6"/>
    <w:rsid w:val="00830008"/>
    <w:rsid w:val="00830161"/>
    <w:rsid w:val="0083715E"/>
    <w:rsid w:val="00845D6D"/>
    <w:rsid w:val="00873601"/>
    <w:rsid w:val="00895C37"/>
    <w:rsid w:val="008D77BD"/>
    <w:rsid w:val="0090399A"/>
    <w:rsid w:val="00936B0E"/>
    <w:rsid w:val="00944E9F"/>
    <w:rsid w:val="0095028C"/>
    <w:rsid w:val="00957659"/>
    <w:rsid w:val="00984207"/>
    <w:rsid w:val="00987AF7"/>
    <w:rsid w:val="00990417"/>
    <w:rsid w:val="009A1F1C"/>
    <w:rsid w:val="009A4CF9"/>
    <w:rsid w:val="009C5916"/>
    <w:rsid w:val="009E1232"/>
    <w:rsid w:val="009E5C34"/>
    <w:rsid w:val="00A17DEC"/>
    <w:rsid w:val="00A22779"/>
    <w:rsid w:val="00A22D55"/>
    <w:rsid w:val="00A636A3"/>
    <w:rsid w:val="00A71DBB"/>
    <w:rsid w:val="00A76C5C"/>
    <w:rsid w:val="00A84410"/>
    <w:rsid w:val="00AC0CD0"/>
    <w:rsid w:val="00AC1869"/>
    <w:rsid w:val="00AD2814"/>
    <w:rsid w:val="00B12DD0"/>
    <w:rsid w:val="00B16BBB"/>
    <w:rsid w:val="00B45D54"/>
    <w:rsid w:val="00B75B76"/>
    <w:rsid w:val="00BA39A6"/>
    <w:rsid w:val="00BD524E"/>
    <w:rsid w:val="00BF7B3D"/>
    <w:rsid w:val="00C05A3D"/>
    <w:rsid w:val="00C14D3C"/>
    <w:rsid w:val="00C17C32"/>
    <w:rsid w:val="00C65E3E"/>
    <w:rsid w:val="00C83001"/>
    <w:rsid w:val="00C9615B"/>
    <w:rsid w:val="00CD3893"/>
    <w:rsid w:val="00CE2049"/>
    <w:rsid w:val="00CF2336"/>
    <w:rsid w:val="00D01F45"/>
    <w:rsid w:val="00D26A25"/>
    <w:rsid w:val="00D305E2"/>
    <w:rsid w:val="00D3235B"/>
    <w:rsid w:val="00D35966"/>
    <w:rsid w:val="00D37687"/>
    <w:rsid w:val="00D600AE"/>
    <w:rsid w:val="00D66C94"/>
    <w:rsid w:val="00D67242"/>
    <w:rsid w:val="00D777D4"/>
    <w:rsid w:val="00D84660"/>
    <w:rsid w:val="00D94CDB"/>
    <w:rsid w:val="00DA0518"/>
    <w:rsid w:val="00DC02B5"/>
    <w:rsid w:val="00DD0394"/>
    <w:rsid w:val="00DD3DE4"/>
    <w:rsid w:val="00DF01CE"/>
    <w:rsid w:val="00DF1E48"/>
    <w:rsid w:val="00E171DC"/>
    <w:rsid w:val="00E4502A"/>
    <w:rsid w:val="00E829A6"/>
    <w:rsid w:val="00EA1FCE"/>
    <w:rsid w:val="00EA3113"/>
    <w:rsid w:val="00ED18F5"/>
    <w:rsid w:val="00ED5916"/>
    <w:rsid w:val="00EE1C7C"/>
    <w:rsid w:val="00EE3307"/>
    <w:rsid w:val="00F04FDC"/>
    <w:rsid w:val="00F4139C"/>
    <w:rsid w:val="00F82DA2"/>
    <w:rsid w:val="00FA4FDA"/>
    <w:rsid w:val="00FE7DC9"/>
    <w:rsid w:val="00FF27CC"/>
    <w:rsid w:val="00FF54B7"/>
    <w:rsid w:val="04F94783"/>
    <w:rsid w:val="05C31B30"/>
    <w:rsid w:val="12C567BD"/>
    <w:rsid w:val="14CC1524"/>
    <w:rsid w:val="17D7072D"/>
    <w:rsid w:val="19387A46"/>
    <w:rsid w:val="1E6F7A22"/>
    <w:rsid w:val="200A7EAB"/>
    <w:rsid w:val="29C04E37"/>
    <w:rsid w:val="29E76BEA"/>
    <w:rsid w:val="2BEB3C1D"/>
    <w:rsid w:val="2C9275FE"/>
    <w:rsid w:val="2F160174"/>
    <w:rsid w:val="343B642D"/>
    <w:rsid w:val="380D5588"/>
    <w:rsid w:val="39165DEB"/>
    <w:rsid w:val="44116432"/>
    <w:rsid w:val="462850BB"/>
    <w:rsid w:val="4F477F24"/>
    <w:rsid w:val="4FE70E6E"/>
    <w:rsid w:val="5A1A1BDF"/>
    <w:rsid w:val="5A5E4C52"/>
    <w:rsid w:val="5DCB1D21"/>
    <w:rsid w:val="66E04E56"/>
    <w:rsid w:val="697F87DA"/>
    <w:rsid w:val="6C7C646E"/>
    <w:rsid w:val="6F9771FA"/>
    <w:rsid w:val="70E60EF4"/>
    <w:rsid w:val="779111B5"/>
    <w:rsid w:val="7F366E10"/>
    <w:rsid w:val="BFEFB80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sdException w:uiPriority="99" w:name="index 3"/>
    <w:lsdException w:uiPriority="99" w:name="index 4"/>
    <w:lsdException w:qFormat="1" w:unhideWhenUsed="0"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semiHidden="0" w:name="Normal Indent"/>
    <w:lsdException w:uiPriority="99" w:name="footnote text"/>
    <w:lsdException w:qFormat="1" w:unhideWhenUsed="0"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9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qFormat/>
    <w:uiPriority w:val="0"/>
    <w:pPr>
      <w:keepNext/>
      <w:keepLines/>
      <w:spacing w:before="340" w:after="330" w:line="578" w:lineRule="auto"/>
      <w:outlineLvl w:val="0"/>
    </w:pPr>
    <w:rPr>
      <w:b/>
      <w:bCs/>
      <w:kern w:val="44"/>
      <w:sz w:val="44"/>
      <w:szCs w:val="44"/>
    </w:rPr>
  </w:style>
  <w:style w:type="paragraph" w:styleId="3">
    <w:name w:val="heading 2"/>
    <w:basedOn w:val="1"/>
    <w:next w:val="4"/>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8"/>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77"/>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78"/>
    <w:qFormat/>
    <w:uiPriority w:val="99"/>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79"/>
    <w:qFormat/>
    <w:uiPriority w:val="99"/>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80"/>
    <w:qFormat/>
    <w:uiPriority w:val="99"/>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81"/>
    <w:qFormat/>
    <w:uiPriority w:val="99"/>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82"/>
    <w:qFormat/>
    <w:uiPriority w:val="99"/>
    <w:pPr>
      <w:keepNext/>
      <w:keepLines/>
      <w:adjustRightInd w:val="0"/>
      <w:spacing w:before="240" w:after="64" w:line="320" w:lineRule="atLeast"/>
      <w:textAlignment w:val="baseline"/>
      <w:outlineLvl w:val="8"/>
    </w:pPr>
    <w:rPr>
      <w:rFonts w:ascii="Arial" w:hAnsi="Arial" w:eastAsia="黑体"/>
      <w:kern w:val="0"/>
      <w:sz w:val="20"/>
      <w:szCs w:val="20"/>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7"/>
    <w:unhideWhenUsed/>
    <w:qFormat/>
    <w:uiPriority w:val="99"/>
    <w:pPr>
      <w:ind w:firstLine="420" w:firstLineChars="200"/>
    </w:pPr>
  </w:style>
  <w:style w:type="paragraph" w:styleId="12">
    <w:name w:val="toc 7"/>
    <w:basedOn w:val="1"/>
    <w:next w:val="1"/>
    <w:qFormat/>
    <w:uiPriority w:val="39"/>
    <w:pPr>
      <w:spacing w:after="160" w:line="278" w:lineRule="auto"/>
      <w:ind w:left="2520" w:leftChars="1200"/>
    </w:pPr>
    <w:rPr>
      <w:rFonts w:ascii="Calibri" w:hAnsi="Calibri"/>
      <w:szCs w:val="22"/>
    </w:rPr>
  </w:style>
  <w:style w:type="paragraph" w:styleId="13">
    <w:name w:val="index 5"/>
    <w:basedOn w:val="1"/>
    <w:next w:val="1"/>
    <w:semiHidden/>
    <w:qFormat/>
    <w:uiPriority w:val="99"/>
    <w:pPr>
      <w:spacing w:after="160" w:line="278" w:lineRule="auto"/>
      <w:ind w:left="800" w:leftChars="800"/>
    </w:pPr>
  </w:style>
  <w:style w:type="paragraph" w:styleId="14">
    <w:name w:val="Document Map"/>
    <w:basedOn w:val="1"/>
    <w:link w:val="83"/>
    <w:semiHidden/>
    <w:qFormat/>
    <w:uiPriority w:val="99"/>
    <w:pPr>
      <w:spacing w:after="160" w:line="278" w:lineRule="auto"/>
    </w:pPr>
    <w:rPr>
      <w:rFonts w:ascii="宋体"/>
      <w:sz w:val="18"/>
      <w:szCs w:val="18"/>
    </w:rPr>
  </w:style>
  <w:style w:type="paragraph" w:styleId="15">
    <w:name w:val="annotation text"/>
    <w:basedOn w:val="1"/>
    <w:link w:val="58"/>
    <w:qFormat/>
    <w:uiPriority w:val="99"/>
    <w:pPr>
      <w:jc w:val="left"/>
    </w:pPr>
  </w:style>
  <w:style w:type="paragraph" w:styleId="16">
    <w:name w:val="Body Text 3"/>
    <w:basedOn w:val="1"/>
    <w:link w:val="84"/>
    <w:qFormat/>
    <w:uiPriority w:val="99"/>
    <w:pPr>
      <w:spacing w:after="120" w:line="278" w:lineRule="auto"/>
    </w:pPr>
    <w:rPr>
      <w:kern w:val="0"/>
      <w:sz w:val="16"/>
      <w:szCs w:val="16"/>
    </w:rPr>
  </w:style>
  <w:style w:type="paragraph" w:styleId="17">
    <w:name w:val="Body Text"/>
    <w:basedOn w:val="1"/>
    <w:link w:val="70"/>
    <w:qFormat/>
    <w:uiPriority w:val="99"/>
    <w:pPr>
      <w:tabs>
        <w:tab w:val="left" w:pos="567"/>
      </w:tabs>
      <w:spacing w:before="120" w:line="22" w:lineRule="atLeast"/>
    </w:pPr>
    <w:rPr>
      <w:rFonts w:ascii="宋体" w:hAnsi="宋体"/>
      <w:sz w:val="24"/>
    </w:rPr>
  </w:style>
  <w:style w:type="paragraph" w:styleId="18">
    <w:name w:val="Body Text Indent"/>
    <w:basedOn w:val="1"/>
    <w:link w:val="85"/>
    <w:qFormat/>
    <w:uiPriority w:val="99"/>
    <w:pPr>
      <w:spacing w:after="120" w:line="278" w:lineRule="auto"/>
      <w:ind w:left="420" w:leftChars="200"/>
    </w:pPr>
    <w:rPr>
      <w:kern w:val="0"/>
      <w:sz w:val="20"/>
    </w:rPr>
  </w:style>
  <w:style w:type="paragraph" w:styleId="19">
    <w:name w:val="List 2"/>
    <w:basedOn w:val="1"/>
    <w:qFormat/>
    <w:uiPriority w:val="99"/>
    <w:pPr>
      <w:autoSpaceDE w:val="0"/>
      <w:autoSpaceDN w:val="0"/>
      <w:spacing w:after="160" w:line="278" w:lineRule="auto"/>
      <w:ind w:left="100" w:hanging="200"/>
      <w:jc w:val="left"/>
    </w:pPr>
    <w:rPr>
      <w:rFonts w:ascii="宋体" w:hAnsi="宋体" w:cs="宋体"/>
      <w:kern w:val="0"/>
      <w:sz w:val="22"/>
      <w:szCs w:val="20"/>
      <w:lang w:val="zh-CN" w:bidi="zh-CN"/>
    </w:rPr>
  </w:style>
  <w:style w:type="paragraph" w:styleId="20">
    <w:name w:val="Block Text"/>
    <w:basedOn w:val="1"/>
    <w:qFormat/>
    <w:uiPriority w:val="99"/>
    <w:pPr>
      <w:spacing w:after="120" w:line="278" w:lineRule="auto"/>
      <w:ind w:left="1440" w:leftChars="700" w:right="1440" w:rightChars="700"/>
    </w:pPr>
  </w:style>
  <w:style w:type="paragraph" w:styleId="21">
    <w:name w:val="toc 5"/>
    <w:basedOn w:val="1"/>
    <w:next w:val="1"/>
    <w:qFormat/>
    <w:uiPriority w:val="39"/>
    <w:pPr>
      <w:spacing w:after="160" w:line="278" w:lineRule="auto"/>
      <w:ind w:left="1680" w:leftChars="800"/>
    </w:pPr>
  </w:style>
  <w:style w:type="paragraph" w:styleId="22">
    <w:name w:val="toc 3"/>
    <w:basedOn w:val="1"/>
    <w:next w:val="1"/>
    <w:qFormat/>
    <w:uiPriority w:val="39"/>
    <w:pPr>
      <w:tabs>
        <w:tab w:val="right" w:leader="dot" w:pos="8302"/>
      </w:tabs>
      <w:spacing w:after="160" w:line="288" w:lineRule="auto"/>
      <w:ind w:left="400" w:leftChars="400"/>
      <w:jc w:val="left"/>
    </w:pPr>
    <w:rPr>
      <w:rFonts w:ascii="宋体" w:hAnsi="宋体"/>
      <w:color w:val="000000"/>
      <w:szCs w:val="21"/>
    </w:rPr>
  </w:style>
  <w:style w:type="paragraph" w:styleId="23">
    <w:name w:val="Plain Text"/>
    <w:basedOn w:val="1"/>
    <w:link w:val="60"/>
    <w:qFormat/>
    <w:uiPriority w:val="99"/>
    <w:rPr>
      <w:rFonts w:ascii="宋体" w:hAnsi="Courier New"/>
      <w:szCs w:val="20"/>
    </w:rPr>
  </w:style>
  <w:style w:type="paragraph" w:styleId="24">
    <w:name w:val="toc 8"/>
    <w:basedOn w:val="1"/>
    <w:next w:val="1"/>
    <w:qFormat/>
    <w:uiPriority w:val="39"/>
    <w:pPr>
      <w:spacing w:after="160" w:line="278" w:lineRule="auto"/>
      <w:ind w:left="2940" w:leftChars="1400"/>
    </w:pPr>
    <w:rPr>
      <w:rFonts w:ascii="Calibri" w:hAnsi="Calibri"/>
      <w:szCs w:val="22"/>
    </w:rPr>
  </w:style>
  <w:style w:type="paragraph" w:styleId="25">
    <w:name w:val="Date"/>
    <w:basedOn w:val="1"/>
    <w:next w:val="1"/>
    <w:link w:val="86"/>
    <w:qFormat/>
    <w:uiPriority w:val="99"/>
    <w:pPr>
      <w:adjustRightInd w:val="0"/>
      <w:spacing w:after="160" w:line="360" w:lineRule="atLeast"/>
    </w:pPr>
    <w:rPr>
      <w:rFonts w:ascii="宋体"/>
      <w:kern w:val="0"/>
      <w:sz w:val="24"/>
      <w:szCs w:val="20"/>
    </w:rPr>
  </w:style>
  <w:style w:type="paragraph" w:styleId="26">
    <w:name w:val="Body Text Indent 2"/>
    <w:basedOn w:val="1"/>
    <w:link w:val="87"/>
    <w:qFormat/>
    <w:uiPriority w:val="99"/>
    <w:pPr>
      <w:spacing w:after="120" w:line="480" w:lineRule="auto"/>
      <w:ind w:left="420" w:leftChars="200"/>
    </w:pPr>
    <w:rPr>
      <w:kern w:val="0"/>
      <w:sz w:val="20"/>
    </w:rPr>
  </w:style>
  <w:style w:type="paragraph" w:styleId="27">
    <w:name w:val="Balloon Text"/>
    <w:basedOn w:val="1"/>
    <w:link w:val="72"/>
    <w:unhideWhenUsed/>
    <w:qFormat/>
    <w:uiPriority w:val="0"/>
    <w:rPr>
      <w:sz w:val="18"/>
      <w:szCs w:val="18"/>
    </w:rPr>
  </w:style>
  <w:style w:type="paragraph" w:styleId="28">
    <w:name w:val="footer"/>
    <w:basedOn w:val="1"/>
    <w:link w:val="52"/>
    <w:unhideWhenUsed/>
    <w:qFormat/>
    <w:uiPriority w:val="99"/>
    <w:pPr>
      <w:tabs>
        <w:tab w:val="center" w:pos="4153"/>
        <w:tab w:val="right" w:pos="8306"/>
      </w:tabs>
      <w:snapToGrid w:val="0"/>
      <w:jc w:val="left"/>
    </w:pPr>
    <w:rPr>
      <w:sz w:val="18"/>
      <w:szCs w:val="18"/>
    </w:rPr>
  </w:style>
  <w:style w:type="paragraph" w:styleId="29">
    <w:name w:val="header"/>
    <w:basedOn w:val="1"/>
    <w:link w:val="51"/>
    <w:unhideWhenUsed/>
    <w:qFormat/>
    <w:uiPriority w:val="0"/>
    <w:pPr>
      <w:tabs>
        <w:tab w:val="center" w:pos="4153"/>
        <w:tab w:val="right" w:pos="8306"/>
      </w:tabs>
      <w:snapToGrid w:val="0"/>
      <w:jc w:val="center"/>
    </w:pPr>
    <w:rPr>
      <w:sz w:val="18"/>
      <w:szCs w:val="18"/>
    </w:rPr>
  </w:style>
  <w:style w:type="paragraph" w:styleId="30">
    <w:name w:val="toc 1"/>
    <w:basedOn w:val="1"/>
    <w:next w:val="1"/>
    <w:autoRedefine/>
    <w:unhideWhenUsed/>
    <w:qFormat/>
    <w:uiPriority w:val="39"/>
    <w:pPr>
      <w:tabs>
        <w:tab w:val="right" w:leader="dot" w:pos="8835"/>
      </w:tabs>
      <w:spacing w:line="720" w:lineRule="auto"/>
      <w:jc w:val="center"/>
    </w:pPr>
    <w:rPr>
      <w:rFonts w:ascii="宋体" w:hAnsi="宋体"/>
      <w:b/>
      <w:sz w:val="28"/>
      <w:szCs w:val="28"/>
    </w:rPr>
  </w:style>
  <w:style w:type="paragraph" w:styleId="31">
    <w:name w:val="toc 4"/>
    <w:basedOn w:val="1"/>
    <w:next w:val="1"/>
    <w:qFormat/>
    <w:uiPriority w:val="39"/>
    <w:pPr>
      <w:tabs>
        <w:tab w:val="right" w:leader="dot" w:pos="8302"/>
      </w:tabs>
      <w:spacing w:after="160" w:line="278" w:lineRule="auto"/>
      <w:jc w:val="left"/>
    </w:pPr>
  </w:style>
  <w:style w:type="paragraph" w:styleId="32">
    <w:name w:val="List"/>
    <w:basedOn w:val="1"/>
    <w:qFormat/>
    <w:uiPriority w:val="99"/>
    <w:pPr>
      <w:adjustRightInd w:val="0"/>
      <w:spacing w:after="160" w:line="360" w:lineRule="atLeast"/>
      <w:ind w:left="420" w:hanging="420"/>
      <w:jc w:val="left"/>
    </w:pPr>
    <w:rPr>
      <w:rFonts w:ascii="宋体"/>
      <w:kern w:val="0"/>
      <w:sz w:val="24"/>
      <w:szCs w:val="20"/>
    </w:rPr>
  </w:style>
  <w:style w:type="paragraph" w:styleId="33">
    <w:name w:val="toc 6"/>
    <w:basedOn w:val="1"/>
    <w:next w:val="1"/>
    <w:qFormat/>
    <w:uiPriority w:val="39"/>
    <w:pPr>
      <w:spacing w:after="160" w:line="278" w:lineRule="auto"/>
      <w:ind w:left="2100" w:leftChars="1000"/>
    </w:pPr>
    <w:rPr>
      <w:rFonts w:ascii="Calibri" w:hAnsi="Calibri"/>
      <w:szCs w:val="22"/>
    </w:rPr>
  </w:style>
  <w:style w:type="paragraph" w:styleId="34">
    <w:name w:val="Body Text Indent 3"/>
    <w:basedOn w:val="1"/>
    <w:link w:val="88"/>
    <w:qFormat/>
    <w:uiPriority w:val="99"/>
    <w:pPr>
      <w:spacing w:after="120" w:line="278" w:lineRule="auto"/>
      <w:ind w:left="420" w:leftChars="200"/>
    </w:pPr>
    <w:rPr>
      <w:kern w:val="0"/>
      <w:sz w:val="16"/>
      <w:szCs w:val="16"/>
    </w:rPr>
  </w:style>
  <w:style w:type="paragraph" w:styleId="35">
    <w:name w:val="toc 2"/>
    <w:basedOn w:val="1"/>
    <w:next w:val="1"/>
    <w:autoRedefine/>
    <w:unhideWhenUsed/>
    <w:qFormat/>
    <w:uiPriority w:val="39"/>
    <w:pPr>
      <w:ind w:left="420" w:leftChars="200"/>
    </w:pPr>
  </w:style>
  <w:style w:type="paragraph" w:styleId="36">
    <w:name w:val="toc 9"/>
    <w:basedOn w:val="1"/>
    <w:next w:val="1"/>
    <w:qFormat/>
    <w:uiPriority w:val="39"/>
    <w:pPr>
      <w:spacing w:after="160" w:line="278" w:lineRule="auto"/>
      <w:ind w:left="3360" w:leftChars="1600"/>
    </w:pPr>
    <w:rPr>
      <w:rFonts w:ascii="Calibri" w:hAnsi="Calibri"/>
      <w:szCs w:val="22"/>
    </w:rPr>
  </w:style>
  <w:style w:type="paragraph" w:styleId="37">
    <w:name w:val="Body Text 2"/>
    <w:basedOn w:val="1"/>
    <w:link w:val="89"/>
    <w:qFormat/>
    <w:uiPriority w:val="99"/>
    <w:pPr>
      <w:spacing w:after="160" w:line="278" w:lineRule="auto"/>
      <w:jc w:val="center"/>
    </w:pPr>
    <w:rPr>
      <w:rFonts w:eastAsia="黑体"/>
      <w:bCs/>
      <w:kern w:val="0"/>
      <w:sz w:val="72"/>
    </w:rPr>
  </w:style>
  <w:style w:type="paragraph" w:styleId="38">
    <w:name w:val="HTML Preformatted"/>
    <w:basedOn w:val="1"/>
    <w:link w:val="7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9">
    <w:name w:val="Normal (Web)"/>
    <w:basedOn w:val="1"/>
    <w:qFormat/>
    <w:uiPriority w:val="0"/>
    <w:pPr>
      <w:widowControl/>
      <w:spacing w:before="100" w:beforeAutospacing="1" w:after="100" w:afterAutospacing="1" w:line="278" w:lineRule="auto"/>
      <w:jc w:val="left"/>
    </w:pPr>
    <w:rPr>
      <w:rFonts w:ascii="宋体" w:hAnsi="宋体"/>
      <w:color w:val="000000"/>
      <w:kern w:val="0"/>
      <w:sz w:val="24"/>
    </w:rPr>
  </w:style>
  <w:style w:type="paragraph" w:styleId="40">
    <w:name w:val="index 1"/>
    <w:basedOn w:val="1"/>
    <w:next w:val="1"/>
    <w:semiHidden/>
    <w:qFormat/>
    <w:uiPriority w:val="99"/>
    <w:pPr>
      <w:spacing w:after="160" w:line="220" w:lineRule="exact"/>
      <w:jc w:val="center"/>
    </w:pPr>
    <w:rPr>
      <w:rFonts w:ascii="仿宋_GB2312" w:eastAsia="仿宋_GB2312"/>
      <w:szCs w:val="21"/>
    </w:rPr>
  </w:style>
  <w:style w:type="paragraph" w:styleId="41">
    <w:name w:val="Title"/>
    <w:basedOn w:val="1"/>
    <w:link w:val="90"/>
    <w:qFormat/>
    <w:uiPriority w:val="99"/>
    <w:pPr>
      <w:adjustRightInd w:val="0"/>
      <w:spacing w:after="160" w:line="278" w:lineRule="auto"/>
      <w:jc w:val="center"/>
      <w:outlineLvl w:val="0"/>
    </w:pPr>
    <w:rPr>
      <w:b/>
      <w:kern w:val="0"/>
      <w:sz w:val="44"/>
      <w:szCs w:val="20"/>
    </w:rPr>
  </w:style>
  <w:style w:type="paragraph" w:styleId="42">
    <w:name w:val="annotation subject"/>
    <w:basedOn w:val="15"/>
    <w:next w:val="15"/>
    <w:link w:val="71"/>
    <w:semiHidden/>
    <w:unhideWhenUsed/>
    <w:qFormat/>
    <w:uiPriority w:val="99"/>
    <w:rPr>
      <w:b/>
      <w:bCs/>
    </w:rPr>
  </w:style>
  <w:style w:type="paragraph" w:styleId="43">
    <w:name w:val="Body Text First Indent 2"/>
    <w:basedOn w:val="18"/>
    <w:link w:val="91"/>
    <w:unhideWhenUsed/>
    <w:qFormat/>
    <w:uiPriority w:val="0"/>
    <w:pPr>
      <w:autoSpaceDE w:val="0"/>
      <w:autoSpaceDN w:val="0"/>
      <w:ind w:firstLine="420" w:firstLineChars="200"/>
      <w:jc w:val="left"/>
    </w:pPr>
    <w:rPr>
      <w:rFonts w:eastAsiaTheme="minorEastAsia" w:cstheme="minorBidi"/>
      <w:kern w:val="2"/>
      <w:sz w:val="21"/>
      <w:lang w:eastAsia="en-US"/>
    </w:rPr>
  </w:style>
  <w:style w:type="table" w:styleId="45">
    <w:name w:val="Table Grid"/>
    <w:basedOn w:val="44"/>
    <w:autoRedefine/>
    <w:qFormat/>
    <w:uiPriority w:val="9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page number"/>
    <w:basedOn w:val="46"/>
    <w:qFormat/>
    <w:uiPriority w:val="99"/>
    <w:rPr>
      <w:rFonts w:cs="Times New Roman"/>
    </w:rPr>
  </w:style>
  <w:style w:type="character" w:styleId="48">
    <w:name w:val="FollowedHyperlink"/>
    <w:qFormat/>
    <w:uiPriority w:val="99"/>
    <w:rPr>
      <w:rFonts w:cs="Times New Roman"/>
      <w:color w:val="800080"/>
      <w:u w:val="single"/>
    </w:rPr>
  </w:style>
  <w:style w:type="character" w:styleId="49">
    <w:name w:val="Hyperlink"/>
    <w:basedOn w:val="46"/>
    <w:unhideWhenUsed/>
    <w:qFormat/>
    <w:uiPriority w:val="99"/>
    <w:rPr>
      <w:color w:val="467886" w:themeColor="hyperlink"/>
      <w:u w:val="single"/>
      <w14:textFill>
        <w14:solidFill>
          <w14:schemeClr w14:val="hlink"/>
        </w14:solidFill>
      </w14:textFill>
    </w:rPr>
  </w:style>
  <w:style w:type="character" w:styleId="50">
    <w:name w:val="annotation reference"/>
    <w:qFormat/>
    <w:uiPriority w:val="99"/>
    <w:rPr>
      <w:sz w:val="21"/>
      <w:szCs w:val="21"/>
    </w:rPr>
  </w:style>
  <w:style w:type="character" w:customStyle="1" w:styleId="51">
    <w:name w:val="页眉 字符"/>
    <w:basedOn w:val="46"/>
    <w:link w:val="29"/>
    <w:qFormat/>
    <w:uiPriority w:val="99"/>
    <w:rPr>
      <w:sz w:val="18"/>
      <w:szCs w:val="18"/>
    </w:rPr>
  </w:style>
  <w:style w:type="character" w:customStyle="1" w:styleId="52">
    <w:name w:val="页脚 字符"/>
    <w:basedOn w:val="46"/>
    <w:link w:val="28"/>
    <w:qFormat/>
    <w:uiPriority w:val="99"/>
    <w:rPr>
      <w:sz w:val="18"/>
      <w:szCs w:val="18"/>
    </w:rPr>
  </w:style>
  <w:style w:type="character" w:styleId="53">
    <w:name w:val="Placeholder Text"/>
    <w:basedOn w:val="46"/>
    <w:semiHidden/>
    <w:qFormat/>
    <w:uiPriority w:val="99"/>
    <w:rPr>
      <w:color w:val="666666"/>
    </w:rPr>
  </w:style>
  <w:style w:type="character" w:customStyle="1" w:styleId="54">
    <w:name w:val="页眉 Char1"/>
    <w:qFormat/>
    <w:uiPriority w:val="99"/>
    <w:rPr>
      <w:rFonts w:eastAsia="宋体"/>
      <w:kern w:val="2"/>
      <w:sz w:val="18"/>
      <w:szCs w:val="18"/>
      <w:lang w:val="en-US" w:eastAsia="zh-CN" w:bidi="ar-SA"/>
    </w:rPr>
  </w:style>
  <w:style w:type="character" w:customStyle="1" w:styleId="55">
    <w:name w:val="标题 2 字符"/>
    <w:basedOn w:val="46"/>
    <w:qFormat/>
    <w:uiPriority w:val="99"/>
    <w:rPr>
      <w:rFonts w:asciiTheme="majorHAnsi" w:hAnsiTheme="majorHAnsi" w:eastAsiaTheme="majorEastAsia" w:cstheme="majorBidi"/>
      <w:b/>
      <w:bCs/>
      <w:sz w:val="32"/>
      <w:szCs w:val="32"/>
    </w:rPr>
  </w:style>
  <w:style w:type="character" w:customStyle="1" w:styleId="56">
    <w:name w:val="标题 2 字符1"/>
    <w:link w:val="3"/>
    <w:qFormat/>
    <w:uiPriority w:val="0"/>
    <w:rPr>
      <w:rFonts w:ascii="Arial" w:hAnsi="Arial" w:eastAsia="黑体" w:cs="Times New Roman"/>
      <w:b/>
      <w:kern w:val="0"/>
      <w:sz w:val="30"/>
      <w:szCs w:val="20"/>
    </w:rPr>
  </w:style>
  <w:style w:type="character" w:customStyle="1" w:styleId="57">
    <w:name w:val="批注文字 字符"/>
    <w:basedOn w:val="46"/>
    <w:semiHidden/>
    <w:qFormat/>
    <w:uiPriority w:val="99"/>
    <w:rPr>
      <w:rFonts w:ascii="Times New Roman" w:hAnsi="Times New Roman" w:eastAsia="宋体" w:cs="Times New Roman"/>
      <w:szCs w:val="24"/>
    </w:rPr>
  </w:style>
  <w:style w:type="character" w:customStyle="1" w:styleId="58">
    <w:name w:val="批注文字 字符1"/>
    <w:link w:val="15"/>
    <w:qFormat/>
    <w:uiPriority w:val="0"/>
    <w:rPr>
      <w:rFonts w:ascii="Times New Roman" w:hAnsi="Times New Roman" w:eastAsia="宋体" w:cs="Times New Roman"/>
      <w:szCs w:val="24"/>
    </w:rPr>
  </w:style>
  <w:style w:type="character" w:customStyle="1" w:styleId="59">
    <w:name w:val="纯文本 字符"/>
    <w:basedOn w:val="46"/>
    <w:qFormat/>
    <w:uiPriority w:val="99"/>
    <w:rPr>
      <w:rFonts w:hAnsi="Courier New" w:cs="Courier New" w:asciiTheme="minorEastAsia"/>
      <w:szCs w:val="24"/>
    </w:rPr>
  </w:style>
  <w:style w:type="character" w:customStyle="1" w:styleId="60">
    <w:name w:val="纯文本 字符1"/>
    <w:link w:val="23"/>
    <w:qFormat/>
    <w:uiPriority w:val="0"/>
    <w:rPr>
      <w:rFonts w:ascii="宋体" w:hAnsi="Courier New" w:eastAsia="宋体" w:cs="Times New Roman"/>
      <w:szCs w:val="20"/>
    </w:rPr>
  </w:style>
  <w:style w:type="character" w:customStyle="1" w:styleId="61">
    <w:name w:val="中等深浅网格 1 - 强调文字颜色 2 Char"/>
    <w:link w:val="62"/>
    <w:qFormat/>
    <w:uiPriority w:val="0"/>
    <w:rPr>
      <w:szCs w:val="24"/>
      <w:lang w:val="zh-CN"/>
    </w:rPr>
  </w:style>
  <w:style w:type="paragraph" w:customStyle="1" w:styleId="62">
    <w:name w:val="1"/>
    <w:link w:val="61"/>
    <w:qFormat/>
    <w:uiPriority w:val="99"/>
    <w:rPr>
      <w:rFonts w:asciiTheme="minorHAnsi" w:hAnsiTheme="minorHAnsi" w:eastAsiaTheme="minorEastAsia" w:cstheme="minorBidi"/>
      <w:kern w:val="2"/>
      <w:sz w:val="21"/>
      <w:szCs w:val="24"/>
      <w:lang w:val="zh-CN" w:eastAsia="zh-CN" w:bidi="ar-SA"/>
    </w:rPr>
  </w:style>
  <w:style w:type="character" w:customStyle="1" w:styleId="63">
    <w:name w:val="NormalCharacter"/>
    <w:semiHidden/>
    <w:qFormat/>
    <w:uiPriority w:val="0"/>
  </w:style>
  <w:style w:type="character" w:customStyle="1" w:styleId="64">
    <w:name w:val="列表段落 字符"/>
    <w:link w:val="65"/>
    <w:qFormat/>
    <w:uiPriority w:val="34"/>
    <w:rPr>
      <w:rFonts w:ascii="Calibri" w:hAnsi="Calibri" w:eastAsia="宋体"/>
      <w:kern w:val="2"/>
      <w:sz w:val="21"/>
      <w:szCs w:val="22"/>
      <w:lang w:val="en-US" w:eastAsia="zh-CN" w:bidi="ar-SA"/>
    </w:rPr>
  </w:style>
  <w:style w:type="paragraph" w:styleId="65">
    <w:name w:val="List Paragraph"/>
    <w:basedOn w:val="1"/>
    <w:link w:val="64"/>
    <w:qFormat/>
    <w:uiPriority w:val="99"/>
    <w:pPr>
      <w:ind w:firstLine="420" w:firstLineChars="200"/>
    </w:pPr>
    <w:rPr>
      <w:rFonts w:ascii="Calibri" w:hAnsi="Calibri" w:cstheme="minorBidi"/>
      <w:szCs w:val="22"/>
    </w:rPr>
  </w:style>
  <w:style w:type="paragraph" w:customStyle="1" w:styleId="66">
    <w:name w:val="_Style 25"/>
    <w:basedOn w:val="1"/>
    <w:next w:val="65"/>
    <w:qFormat/>
    <w:uiPriority w:val="34"/>
    <w:pPr>
      <w:ind w:firstLine="420" w:firstLineChars="200"/>
    </w:pPr>
    <w:rPr>
      <w:rFonts w:ascii="Calibri" w:hAnsi="Calibri"/>
      <w:szCs w:val="22"/>
    </w:rPr>
  </w:style>
  <w:style w:type="character" w:customStyle="1" w:styleId="67">
    <w:name w:val="正文缩进 字符"/>
    <w:link w:val="4"/>
    <w:qFormat/>
    <w:uiPriority w:val="0"/>
    <w:rPr>
      <w:rFonts w:ascii="Times New Roman" w:hAnsi="Times New Roman" w:eastAsia="宋体" w:cs="Times New Roman"/>
      <w:szCs w:val="24"/>
    </w:rPr>
  </w:style>
  <w:style w:type="character" w:customStyle="1" w:styleId="68">
    <w:name w:val="标题 3 字符"/>
    <w:basedOn w:val="46"/>
    <w:link w:val="5"/>
    <w:qFormat/>
    <w:uiPriority w:val="99"/>
    <w:rPr>
      <w:rFonts w:ascii="Times New Roman" w:hAnsi="Times New Roman" w:eastAsia="宋体" w:cs="Times New Roman"/>
      <w:b/>
      <w:bCs/>
      <w:sz w:val="32"/>
      <w:szCs w:val="32"/>
    </w:rPr>
  </w:style>
  <w:style w:type="character" w:customStyle="1" w:styleId="69">
    <w:name w:val="正文文本 字符"/>
    <w:basedOn w:val="46"/>
    <w:qFormat/>
    <w:uiPriority w:val="99"/>
    <w:rPr>
      <w:rFonts w:ascii="Times New Roman" w:hAnsi="Times New Roman" w:eastAsia="宋体" w:cs="Times New Roman"/>
      <w:szCs w:val="24"/>
    </w:rPr>
  </w:style>
  <w:style w:type="character" w:customStyle="1" w:styleId="70">
    <w:name w:val="正文文本 字符1"/>
    <w:link w:val="17"/>
    <w:qFormat/>
    <w:uiPriority w:val="0"/>
    <w:rPr>
      <w:rFonts w:ascii="宋体" w:hAnsi="宋体" w:eastAsia="宋体" w:cs="Times New Roman"/>
      <w:sz w:val="24"/>
      <w:szCs w:val="24"/>
    </w:rPr>
  </w:style>
  <w:style w:type="character" w:customStyle="1" w:styleId="71">
    <w:name w:val="批注主题 字符"/>
    <w:basedOn w:val="58"/>
    <w:link w:val="42"/>
    <w:semiHidden/>
    <w:qFormat/>
    <w:uiPriority w:val="99"/>
    <w:rPr>
      <w:rFonts w:ascii="Times New Roman" w:hAnsi="Times New Roman" w:eastAsia="宋体" w:cs="Times New Roman"/>
      <w:b/>
      <w:bCs/>
      <w:szCs w:val="24"/>
    </w:rPr>
  </w:style>
  <w:style w:type="character" w:customStyle="1" w:styleId="72">
    <w:name w:val="批注框文本 字符"/>
    <w:basedOn w:val="46"/>
    <w:link w:val="27"/>
    <w:qFormat/>
    <w:uiPriority w:val="0"/>
    <w:rPr>
      <w:rFonts w:ascii="Times New Roman" w:hAnsi="Times New Roman" w:eastAsia="宋体" w:cs="Times New Roman"/>
      <w:sz w:val="18"/>
      <w:szCs w:val="18"/>
    </w:rPr>
  </w:style>
  <w:style w:type="character" w:customStyle="1" w:styleId="73">
    <w:name w:val="HTML 预设格式 字符"/>
    <w:basedOn w:val="46"/>
    <w:link w:val="38"/>
    <w:qFormat/>
    <w:uiPriority w:val="0"/>
    <w:rPr>
      <w:rFonts w:ascii="Arial" w:hAnsi="Arial" w:eastAsia="宋体" w:cs="Arial"/>
      <w:kern w:val="0"/>
      <w:sz w:val="24"/>
      <w:szCs w:val="24"/>
    </w:rPr>
  </w:style>
  <w:style w:type="paragraph" w:customStyle="1" w:styleId="74">
    <w:name w:val="Blockquote"/>
    <w:basedOn w:val="1"/>
    <w:qFormat/>
    <w:uiPriority w:val="0"/>
    <w:pPr>
      <w:autoSpaceDE w:val="0"/>
      <w:autoSpaceDN w:val="0"/>
      <w:adjustRightInd w:val="0"/>
      <w:spacing w:after="100"/>
      <w:ind w:left="360" w:right="360"/>
      <w:jc w:val="left"/>
    </w:pPr>
    <w:rPr>
      <w:kern w:val="0"/>
      <w:sz w:val="24"/>
      <w:szCs w:val="20"/>
    </w:rPr>
  </w:style>
  <w:style w:type="paragraph" w:customStyle="1" w:styleId="75">
    <w:name w:val="列出段落1"/>
    <w:basedOn w:val="1"/>
    <w:qFormat/>
    <w:uiPriority w:val="34"/>
    <w:pPr>
      <w:ind w:firstLine="420" w:firstLineChars="200"/>
    </w:pPr>
    <w:rPr>
      <w:rFonts w:ascii="Calibri" w:hAnsi="Calibri"/>
      <w:szCs w:val="22"/>
    </w:rPr>
  </w:style>
  <w:style w:type="character" w:customStyle="1" w:styleId="76">
    <w:name w:val="标题 1 字符"/>
    <w:basedOn w:val="46"/>
    <w:link w:val="2"/>
    <w:qFormat/>
    <w:uiPriority w:val="99"/>
    <w:rPr>
      <w:rFonts w:ascii="Times New Roman" w:hAnsi="Times New Roman" w:eastAsia="宋体" w:cs="Times New Roman"/>
      <w:b/>
      <w:bCs/>
      <w:kern w:val="44"/>
      <w:sz w:val="44"/>
      <w:szCs w:val="44"/>
    </w:rPr>
  </w:style>
  <w:style w:type="character" w:customStyle="1" w:styleId="77">
    <w:name w:val="标题 4 字符"/>
    <w:basedOn w:val="46"/>
    <w:link w:val="6"/>
    <w:qFormat/>
    <w:uiPriority w:val="0"/>
    <w:rPr>
      <w:rFonts w:ascii="Arial" w:hAnsi="Arial" w:eastAsia="黑体" w:cs="Times New Roman"/>
      <w:b/>
      <w:sz w:val="28"/>
    </w:rPr>
  </w:style>
  <w:style w:type="character" w:customStyle="1" w:styleId="78">
    <w:name w:val="标题 5 字符"/>
    <w:basedOn w:val="46"/>
    <w:link w:val="7"/>
    <w:qFormat/>
    <w:uiPriority w:val="99"/>
    <w:rPr>
      <w:rFonts w:ascii="Times New Roman" w:hAnsi="Times New Roman" w:eastAsia="宋体" w:cs="Times New Roman"/>
      <w:b/>
      <w:sz w:val="28"/>
    </w:rPr>
  </w:style>
  <w:style w:type="character" w:customStyle="1" w:styleId="79">
    <w:name w:val="标题 6 字符"/>
    <w:basedOn w:val="46"/>
    <w:link w:val="8"/>
    <w:qFormat/>
    <w:uiPriority w:val="99"/>
    <w:rPr>
      <w:rFonts w:ascii="Arial" w:hAnsi="Arial" w:eastAsia="黑体" w:cs="Times New Roman"/>
      <w:b/>
      <w:sz w:val="24"/>
    </w:rPr>
  </w:style>
  <w:style w:type="character" w:customStyle="1" w:styleId="80">
    <w:name w:val="标题 7 字符"/>
    <w:basedOn w:val="46"/>
    <w:link w:val="9"/>
    <w:qFormat/>
    <w:uiPriority w:val="99"/>
    <w:rPr>
      <w:rFonts w:ascii="Times New Roman" w:hAnsi="Times New Roman" w:eastAsia="宋体" w:cs="Times New Roman"/>
      <w:b/>
      <w:sz w:val="24"/>
    </w:rPr>
  </w:style>
  <w:style w:type="character" w:customStyle="1" w:styleId="81">
    <w:name w:val="标题 8 字符"/>
    <w:basedOn w:val="46"/>
    <w:link w:val="10"/>
    <w:qFormat/>
    <w:uiPriority w:val="99"/>
    <w:rPr>
      <w:rFonts w:ascii="Arial" w:hAnsi="Arial" w:eastAsia="黑体" w:cs="Times New Roman"/>
      <w:sz w:val="24"/>
    </w:rPr>
  </w:style>
  <w:style w:type="character" w:customStyle="1" w:styleId="82">
    <w:name w:val="标题 9 字符"/>
    <w:basedOn w:val="46"/>
    <w:link w:val="11"/>
    <w:qFormat/>
    <w:uiPriority w:val="99"/>
    <w:rPr>
      <w:rFonts w:ascii="Arial" w:hAnsi="Arial" w:eastAsia="黑体" w:cs="Times New Roman"/>
    </w:rPr>
  </w:style>
  <w:style w:type="character" w:customStyle="1" w:styleId="83">
    <w:name w:val="文档结构图 字符"/>
    <w:basedOn w:val="46"/>
    <w:link w:val="14"/>
    <w:semiHidden/>
    <w:qFormat/>
    <w:uiPriority w:val="99"/>
    <w:rPr>
      <w:rFonts w:ascii="宋体" w:hAnsi="Times New Roman" w:eastAsia="宋体" w:cs="Times New Roman"/>
      <w:kern w:val="2"/>
      <w:sz w:val="18"/>
      <w:szCs w:val="18"/>
    </w:rPr>
  </w:style>
  <w:style w:type="character" w:customStyle="1" w:styleId="84">
    <w:name w:val="正文文本 3 字符"/>
    <w:basedOn w:val="46"/>
    <w:link w:val="16"/>
    <w:qFormat/>
    <w:uiPriority w:val="99"/>
    <w:rPr>
      <w:rFonts w:ascii="Times New Roman" w:hAnsi="Times New Roman" w:eastAsia="宋体" w:cs="Times New Roman"/>
      <w:sz w:val="16"/>
      <w:szCs w:val="16"/>
    </w:rPr>
  </w:style>
  <w:style w:type="character" w:customStyle="1" w:styleId="85">
    <w:name w:val="正文文本缩进 字符"/>
    <w:basedOn w:val="46"/>
    <w:link w:val="18"/>
    <w:qFormat/>
    <w:uiPriority w:val="99"/>
    <w:rPr>
      <w:rFonts w:ascii="Times New Roman" w:hAnsi="Times New Roman" w:eastAsia="宋体" w:cs="Times New Roman"/>
      <w:szCs w:val="24"/>
    </w:rPr>
  </w:style>
  <w:style w:type="character" w:customStyle="1" w:styleId="86">
    <w:name w:val="日期 字符"/>
    <w:basedOn w:val="46"/>
    <w:link w:val="25"/>
    <w:qFormat/>
    <w:uiPriority w:val="99"/>
    <w:rPr>
      <w:rFonts w:ascii="宋体" w:hAnsi="Times New Roman" w:eastAsia="宋体" w:cs="Times New Roman"/>
      <w:sz w:val="24"/>
    </w:rPr>
  </w:style>
  <w:style w:type="character" w:customStyle="1" w:styleId="87">
    <w:name w:val="正文文本缩进 2 字符"/>
    <w:basedOn w:val="46"/>
    <w:link w:val="26"/>
    <w:qFormat/>
    <w:uiPriority w:val="99"/>
    <w:rPr>
      <w:rFonts w:ascii="Times New Roman" w:hAnsi="Times New Roman" w:eastAsia="宋体" w:cs="Times New Roman"/>
      <w:szCs w:val="24"/>
    </w:rPr>
  </w:style>
  <w:style w:type="character" w:customStyle="1" w:styleId="88">
    <w:name w:val="正文文本缩进 3 字符"/>
    <w:basedOn w:val="46"/>
    <w:link w:val="34"/>
    <w:qFormat/>
    <w:uiPriority w:val="99"/>
    <w:rPr>
      <w:rFonts w:ascii="Times New Roman" w:hAnsi="Times New Roman" w:eastAsia="宋体" w:cs="Times New Roman"/>
      <w:sz w:val="16"/>
      <w:szCs w:val="16"/>
    </w:rPr>
  </w:style>
  <w:style w:type="character" w:customStyle="1" w:styleId="89">
    <w:name w:val="正文文本 2 字符"/>
    <w:basedOn w:val="46"/>
    <w:link w:val="37"/>
    <w:qFormat/>
    <w:uiPriority w:val="99"/>
    <w:rPr>
      <w:rFonts w:ascii="Times New Roman" w:hAnsi="Times New Roman" w:eastAsia="黑体" w:cs="Times New Roman"/>
      <w:bCs/>
      <w:sz w:val="72"/>
      <w:szCs w:val="24"/>
    </w:rPr>
  </w:style>
  <w:style w:type="character" w:customStyle="1" w:styleId="90">
    <w:name w:val="标题 字符"/>
    <w:basedOn w:val="46"/>
    <w:link w:val="41"/>
    <w:qFormat/>
    <w:uiPriority w:val="99"/>
    <w:rPr>
      <w:rFonts w:ascii="Times New Roman" w:hAnsi="Times New Roman" w:eastAsia="宋体" w:cs="Times New Roman"/>
      <w:b/>
      <w:sz w:val="44"/>
    </w:rPr>
  </w:style>
  <w:style w:type="character" w:customStyle="1" w:styleId="91">
    <w:name w:val="正文文本首行缩进 2 字符"/>
    <w:basedOn w:val="85"/>
    <w:link w:val="43"/>
    <w:qFormat/>
    <w:uiPriority w:val="0"/>
    <w:rPr>
      <w:rFonts w:ascii="Times New Roman" w:hAnsi="Times New Roman" w:eastAsia="宋体" w:cs="Times New Roman"/>
      <w:kern w:val="2"/>
      <w:sz w:val="21"/>
      <w:szCs w:val="24"/>
      <w:lang w:eastAsia="en-US"/>
    </w:rPr>
  </w:style>
  <w:style w:type="paragraph" w:customStyle="1" w:styleId="92">
    <w:name w:val="样式 标题 2 + Times New Roman 四号 非加粗 段前: 5 磅 段后: 0 磅 行距: 固定值 20..."/>
    <w:basedOn w:val="3"/>
    <w:qFormat/>
    <w:uiPriority w:val="0"/>
    <w:pPr>
      <w:autoSpaceDE/>
      <w:autoSpaceDN/>
      <w:adjustRightInd/>
      <w:spacing w:before="260" w:beforeLines="50" w:after="260" w:afterLines="50" w:line="360" w:lineRule="auto"/>
      <w:jc w:val="both"/>
    </w:pPr>
    <w:rPr>
      <w:rFonts w:ascii="宋体" w:hAnsi="Times New Roman" w:eastAsia="宋体" w:cs="宋体"/>
      <w:b w:val="0"/>
      <w:kern w:val="2"/>
      <w:sz w:val="28"/>
    </w:rPr>
  </w:style>
  <w:style w:type="paragraph" w:customStyle="1" w:styleId="93">
    <w:name w:val="3"/>
    <w:basedOn w:val="1"/>
    <w:next w:val="16"/>
    <w:qFormat/>
    <w:uiPriority w:val="99"/>
    <w:pPr>
      <w:spacing w:after="160" w:line="278" w:lineRule="auto"/>
    </w:pPr>
    <w:rPr>
      <w:rFonts w:ascii="宋体"/>
      <w:sz w:val="24"/>
      <w:szCs w:val="20"/>
    </w:rPr>
  </w:style>
  <w:style w:type="paragraph" w:customStyle="1" w:styleId="94">
    <w:name w:val="样式 标题 3 + (中文) 黑体 小四 非加粗 段前: 7.8 磅 段后: 0 磅 行距: 固定值 20 磅"/>
    <w:basedOn w:val="5"/>
    <w:qFormat/>
    <w:uiPriority w:val="0"/>
    <w:pPr>
      <w:spacing w:beforeLines="50" w:afterLines="50" w:line="360" w:lineRule="auto"/>
    </w:pPr>
    <w:rPr>
      <w:rFonts w:ascii="宋体"/>
      <w:b w:val="0"/>
      <w:bCs w:val="0"/>
      <w:kern w:val="0"/>
      <w:sz w:val="24"/>
      <w:szCs w:val="20"/>
    </w:rPr>
  </w:style>
  <w:style w:type="paragraph" w:customStyle="1" w:styleId="95">
    <w:name w:val="2"/>
    <w:basedOn w:val="1"/>
    <w:next w:val="18"/>
    <w:qFormat/>
    <w:uiPriority w:val="99"/>
    <w:pPr>
      <w:spacing w:after="160" w:line="278" w:lineRule="auto"/>
      <w:ind w:left="432"/>
    </w:pPr>
    <w:rPr>
      <w:szCs w:val="20"/>
    </w:rPr>
  </w:style>
  <w:style w:type="paragraph" w:customStyle="1" w:styleId="96">
    <w:name w:val="样式"/>
    <w:qFormat/>
    <w:uiPriority w:val="99"/>
    <w:pPr>
      <w:widowControl w:val="0"/>
      <w:spacing w:after="160" w:line="278" w:lineRule="auto"/>
      <w:jc w:val="both"/>
    </w:pPr>
    <w:rPr>
      <w:rFonts w:ascii="Times New Roman" w:hAnsi="Times New Roman" w:eastAsia="宋体" w:cs="Times New Roman"/>
      <w:kern w:val="2"/>
      <w:sz w:val="21"/>
      <w:szCs w:val="24"/>
      <w:lang w:val="en-US" w:eastAsia="zh-CN" w:bidi="ar-SA"/>
    </w:rPr>
  </w:style>
  <w:style w:type="character" w:customStyle="1" w:styleId="97">
    <w:name w:val="Char Char2"/>
    <w:qFormat/>
    <w:uiPriority w:val="99"/>
    <w:rPr>
      <w:rFonts w:ascii="Arial" w:hAnsi="Arial" w:eastAsia="黑体"/>
      <w:b/>
      <w:kern w:val="2"/>
      <w:sz w:val="32"/>
      <w:lang w:val="en-US" w:eastAsia="zh-CN"/>
    </w:rPr>
  </w:style>
  <w:style w:type="paragraph" w:customStyle="1" w:styleId="98">
    <w:name w:val="样式 标题 1 + 黑体 三号 非加粗 居中 段前: 6 磅 段后: 6 磅 行距: 固定值 20 磅"/>
    <w:basedOn w:val="2"/>
    <w:qFormat/>
    <w:uiPriority w:val="99"/>
    <w:pPr>
      <w:spacing w:before="120" w:after="120" w:line="400" w:lineRule="exact"/>
      <w:jc w:val="center"/>
    </w:pPr>
    <w:rPr>
      <w:rFonts w:ascii="黑体" w:hAnsi="黑体" w:eastAsia="黑体" w:cs="宋体"/>
      <w:b w:val="0"/>
      <w:bCs w:val="0"/>
      <w:sz w:val="32"/>
      <w:szCs w:val="20"/>
    </w:rPr>
  </w:style>
  <w:style w:type="paragraph" w:customStyle="1" w:styleId="99">
    <w:name w:val="Char1"/>
    <w:basedOn w:val="1"/>
    <w:qFormat/>
    <w:uiPriority w:val="99"/>
    <w:pPr>
      <w:spacing w:after="160" w:line="278" w:lineRule="auto"/>
    </w:pPr>
    <w:rPr>
      <w:rFonts w:ascii="Tahoma" w:hAnsi="Tahoma"/>
      <w:sz w:val="24"/>
      <w:szCs w:val="20"/>
    </w:rPr>
  </w:style>
  <w:style w:type="character" w:customStyle="1" w:styleId="100">
    <w:name w:val="font161"/>
    <w:qFormat/>
    <w:uiPriority w:val="99"/>
    <w:rPr>
      <w:b/>
      <w:sz w:val="32"/>
    </w:rPr>
  </w:style>
  <w:style w:type="paragraph" w:customStyle="1" w:styleId="101">
    <w:name w:val="6'"/>
    <w:basedOn w:val="1"/>
    <w:qFormat/>
    <w:uiPriority w:val="99"/>
    <w:pPr>
      <w:autoSpaceDE w:val="0"/>
      <w:autoSpaceDN w:val="0"/>
      <w:adjustRightInd w:val="0"/>
      <w:snapToGrid w:val="0"/>
      <w:spacing w:after="160" w:line="320" w:lineRule="exact"/>
      <w:jc w:val="center"/>
      <w:textAlignment w:val="baseline"/>
    </w:pPr>
    <w:rPr>
      <w:spacing w:val="20"/>
      <w:kern w:val="28"/>
      <w:szCs w:val="20"/>
    </w:rPr>
  </w:style>
  <w:style w:type="paragraph" w:customStyle="1" w:styleId="102">
    <w:name w:val="表格"/>
    <w:basedOn w:val="1"/>
    <w:qFormat/>
    <w:uiPriority w:val="99"/>
    <w:pPr>
      <w:spacing w:after="160" w:line="278" w:lineRule="auto"/>
      <w:jc w:val="center"/>
      <w:textAlignment w:val="center"/>
    </w:pPr>
    <w:rPr>
      <w:rFonts w:ascii="华文细黑" w:hAnsi="华文细黑"/>
      <w:kern w:val="0"/>
      <w:szCs w:val="20"/>
    </w:rPr>
  </w:style>
  <w:style w:type="paragraph" w:customStyle="1" w:styleId="103">
    <w:name w:val="表格文字"/>
    <w:basedOn w:val="1"/>
    <w:qFormat/>
    <w:uiPriority w:val="99"/>
    <w:pPr>
      <w:adjustRightInd w:val="0"/>
      <w:spacing w:after="160" w:line="420" w:lineRule="atLeast"/>
      <w:jc w:val="left"/>
      <w:textAlignment w:val="baseline"/>
    </w:pPr>
    <w:rPr>
      <w:kern w:val="0"/>
      <w:szCs w:val="20"/>
    </w:rPr>
  </w:style>
  <w:style w:type="paragraph" w:customStyle="1" w:styleId="104">
    <w:name w:val="XW正文"/>
    <w:basedOn w:val="18"/>
    <w:qFormat/>
    <w:uiPriority w:val="99"/>
    <w:pPr>
      <w:adjustRightInd w:val="0"/>
      <w:snapToGrid w:val="0"/>
      <w:spacing w:after="0" w:line="300" w:lineRule="auto"/>
      <w:ind w:left="0" w:leftChars="0" w:firstLine="520" w:firstLineChars="200"/>
      <w:jc w:val="left"/>
    </w:pPr>
  </w:style>
  <w:style w:type="paragraph" w:customStyle="1" w:styleId="105">
    <w:name w:val="金安桥正文"/>
    <w:basedOn w:val="18"/>
    <w:qFormat/>
    <w:uiPriority w:val="99"/>
    <w:pPr>
      <w:adjustRightInd w:val="0"/>
      <w:spacing w:after="0" w:line="300" w:lineRule="auto"/>
      <w:ind w:left="0" w:leftChars="0" w:firstLine="200" w:firstLineChars="200"/>
      <w:jc w:val="left"/>
    </w:pPr>
    <w:rPr>
      <w:sz w:val="24"/>
      <w:szCs w:val="20"/>
    </w:rPr>
  </w:style>
  <w:style w:type="character" w:customStyle="1" w:styleId="106">
    <w:name w:val="样式 粉红"/>
    <w:qFormat/>
    <w:uiPriority w:val="99"/>
    <w:rPr>
      <w:color w:val="auto"/>
      <w:u w:val="none"/>
    </w:rPr>
  </w:style>
  <w:style w:type="paragraph" w:customStyle="1" w:styleId="107">
    <w:name w:val="xl24"/>
    <w:basedOn w:val="1"/>
    <w:qFormat/>
    <w:uiPriority w:val="99"/>
    <w:pPr>
      <w:widowControl/>
      <w:spacing w:before="100" w:after="100" w:line="278" w:lineRule="auto"/>
      <w:jc w:val="center"/>
      <w:textAlignment w:val="center"/>
    </w:pPr>
    <w:rPr>
      <w:rFonts w:ascii="宋体" w:hAnsi="宋体"/>
      <w:kern w:val="0"/>
      <w:sz w:val="24"/>
      <w:szCs w:val="20"/>
    </w:rPr>
  </w:style>
  <w:style w:type="character" w:customStyle="1" w:styleId="108">
    <w:name w:val="Char Char1"/>
    <w:qFormat/>
    <w:uiPriority w:val="99"/>
    <w:rPr>
      <w:rFonts w:eastAsia="宋体"/>
      <w:kern w:val="2"/>
      <w:sz w:val="24"/>
      <w:lang w:val="en-US" w:eastAsia="zh-CN"/>
    </w:rPr>
  </w:style>
  <w:style w:type="paragraph" w:customStyle="1" w:styleId="109">
    <w:name w:val="修订1"/>
    <w:hidden/>
    <w:semiHidden/>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110">
    <w:name w:val="TOC 标题1"/>
    <w:basedOn w:val="2"/>
    <w:next w:val="1"/>
    <w:qFormat/>
    <w:uiPriority w:val="99"/>
    <w:pPr>
      <w:widowControl/>
      <w:spacing w:before="480" w:after="160" w:line="276" w:lineRule="auto"/>
      <w:jc w:val="left"/>
      <w:outlineLvl w:val="9"/>
    </w:pPr>
    <w:rPr>
      <w:rFonts w:ascii="Cambria" w:hAnsi="Cambria"/>
      <w:color w:val="365F91"/>
      <w:kern w:val="0"/>
      <w:sz w:val="28"/>
      <w:szCs w:val="28"/>
    </w:rPr>
  </w:style>
  <w:style w:type="paragraph" w:customStyle="1" w:styleId="111">
    <w:name w:val="Char Char Char Char"/>
    <w:basedOn w:val="1"/>
    <w:qFormat/>
    <w:uiPriority w:val="99"/>
    <w:pPr>
      <w:widowControl/>
      <w:spacing w:after="160" w:line="240" w:lineRule="exact"/>
      <w:jc w:val="left"/>
    </w:pPr>
    <w:rPr>
      <w:szCs w:val="20"/>
    </w:rPr>
  </w:style>
  <w:style w:type="paragraph" w:customStyle="1" w:styleId="112">
    <w:name w:val="p17"/>
    <w:basedOn w:val="1"/>
    <w:qFormat/>
    <w:uiPriority w:val="99"/>
    <w:pPr>
      <w:widowControl/>
      <w:spacing w:after="160" w:line="278" w:lineRule="auto"/>
    </w:pPr>
    <w:rPr>
      <w:kern w:val="0"/>
      <w:szCs w:val="21"/>
    </w:rPr>
  </w:style>
  <w:style w:type="paragraph" w:customStyle="1" w:styleId="113">
    <w:name w:val="Normal_0"/>
    <w:qFormat/>
    <w:uiPriority w:val="99"/>
    <w:pPr>
      <w:spacing w:before="120" w:after="240" w:line="278" w:lineRule="auto"/>
      <w:jc w:val="both"/>
    </w:pPr>
    <w:rPr>
      <w:rFonts w:ascii="Calibri" w:hAnsi="Calibri" w:eastAsia="宋体" w:cs="Times New Roman"/>
      <w:sz w:val="22"/>
      <w:szCs w:val="22"/>
      <w:lang w:val="ru-RU" w:eastAsia="en-US" w:bidi="ar-SA"/>
    </w:rPr>
  </w:style>
  <w:style w:type="paragraph" w:customStyle="1" w:styleId="114">
    <w:name w:val="Char12"/>
    <w:basedOn w:val="1"/>
    <w:qFormat/>
    <w:uiPriority w:val="99"/>
    <w:pPr>
      <w:spacing w:after="160" w:line="278" w:lineRule="auto"/>
    </w:pPr>
    <w:rPr>
      <w:rFonts w:ascii="Tahoma" w:hAnsi="Tahoma"/>
      <w:sz w:val="24"/>
      <w:szCs w:val="20"/>
    </w:rPr>
  </w:style>
  <w:style w:type="character" w:customStyle="1" w:styleId="115">
    <w:name w:val="Char Char12"/>
    <w:qFormat/>
    <w:uiPriority w:val="99"/>
    <w:rPr>
      <w:rFonts w:eastAsia="宋体"/>
      <w:kern w:val="2"/>
      <w:sz w:val="24"/>
      <w:lang w:val="en-US" w:eastAsia="zh-CN"/>
    </w:rPr>
  </w:style>
  <w:style w:type="paragraph" w:customStyle="1" w:styleId="116">
    <w:name w:val="Char Char Char Char2"/>
    <w:basedOn w:val="1"/>
    <w:qFormat/>
    <w:uiPriority w:val="99"/>
    <w:pPr>
      <w:widowControl/>
      <w:spacing w:after="160" w:line="240" w:lineRule="exact"/>
      <w:jc w:val="left"/>
    </w:pPr>
    <w:rPr>
      <w:szCs w:val="20"/>
    </w:rPr>
  </w:style>
  <w:style w:type="paragraph" w:customStyle="1" w:styleId="117">
    <w:name w:val="访问过的超链接1"/>
    <w:qFormat/>
    <w:uiPriority w:val="99"/>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18">
    <w:name w:val="样式1"/>
    <w:qFormat/>
    <w:uiPriority w:val="99"/>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19">
    <w:name w:val="Char11"/>
    <w:basedOn w:val="1"/>
    <w:qFormat/>
    <w:uiPriority w:val="99"/>
    <w:pPr>
      <w:spacing w:after="160" w:line="278" w:lineRule="auto"/>
    </w:pPr>
    <w:rPr>
      <w:rFonts w:ascii="Tahoma" w:hAnsi="Tahoma"/>
      <w:sz w:val="24"/>
      <w:szCs w:val="20"/>
    </w:rPr>
  </w:style>
  <w:style w:type="character" w:customStyle="1" w:styleId="120">
    <w:name w:val="Char Char11"/>
    <w:qFormat/>
    <w:uiPriority w:val="99"/>
    <w:rPr>
      <w:rFonts w:eastAsia="宋体"/>
      <w:kern w:val="2"/>
      <w:sz w:val="24"/>
      <w:lang w:val="en-US" w:eastAsia="zh-CN"/>
    </w:rPr>
  </w:style>
  <w:style w:type="paragraph" w:customStyle="1" w:styleId="121">
    <w:name w:val="Char Char Char Char1"/>
    <w:basedOn w:val="1"/>
    <w:qFormat/>
    <w:uiPriority w:val="99"/>
    <w:pPr>
      <w:widowControl/>
      <w:spacing w:after="160" w:line="240" w:lineRule="exact"/>
      <w:jc w:val="left"/>
    </w:pPr>
    <w:rPr>
      <w:szCs w:val="20"/>
    </w:rPr>
  </w:style>
  <w:style w:type="character" w:customStyle="1" w:styleId="122">
    <w:name w:val="正文文本缩进 2 Char"/>
    <w:qFormat/>
    <w:locked/>
    <w:uiPriority w:val="99"/>
    <w:rPr>
      <w:rFonts w:ascii="Times New Roman" w:hAnsi="Times New Roman" w:eastAsia="宋体" w:cs="Times New Roman"/>
      <w:kern w:val="0"/>
      <w:sz w:val="24"/>
      <w:szCs w:val="24"/>
    </w:rPr>
  </w:style>
  <w:style w:type="character" w:customStyle="1" w:styleId="123">
    <w:name w:val="页眉 Char"/>
    <w:qFormat/>
    <w:locked/>
    <w:uiPriority w:val="0"/>
    <w:rPr>
      <w:rFonts w:ascii="Times New Roman" w:hAnsi="Times New Roman" w:eastAsia="宋体" w:cs="Times New Roman"/>
      <w:sz w:val="18"/>
      <w:szCs w:val="18"/>
    </w:rPr>
  </w:style>
  <w:style w:type="character" w:customStyle="1" w:styleId="124">
    <w:name w:val="未处理的提及1"/>
    <w:semiHidden/>
    <w:unhideWhenUsed/>
    <w:qFormat/>
    <w:uiPriority w:val="99"/>
    <w:rPr>
      <w:color w:val="605E5C"/>
      <w:shd w:val="clear" w:color="auto" w:fill="E1DFDD"/>
    </w:rPr>
  </w:style>
  <w:style w:type="character" w:customStyle="1" w:styleId="125">
    <w:name w:val="批注文字 Char"/>
    <w:semiHidden/>
    <w:qFormat/>
    <w:locked/>
    <w:uiPriority w:val="99"/>
    <w:rPr>
      <w:rFonts w:ascii="Times New Roman" w:hAnsi="Times New Roman" w:eastAsia="宋体" w:cs="Times New Roman"/>
      <w:kern w:val="0"/>
      <w:sz w:val="24"/>
      <w:szCs w:val="24"/>
    </w:rPr>
  </w:style>
  <w:style w:type="character" w:customStyle="1" w:styleId="126">
    <w:name w:val="日期 Char1"/>
    <w:basedOn w:val="46"/>
    <w:qFormat/>
    <w:uiPriority w:val="99"/>
    <w:rPr>
      <w:rFonts w:ascii="宋体" w:hAnsi="Times New Roman" w:eastAsia="宋体" w:cs="Times New Roman"/>
      <w:kern w:val="0"/>
      <w:sz w:val="24"/>
      <w:szCs w:val="20"/>
    </w:rPr>
  </w:style>
  <w:style w:type="paragraph" w:customStyle="1" w:styleId="127">
    <w:name w:val="_Style 5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character" w:customStyle="1" w:styleId="128">
    <w:name w:val="Char Char"/>
    <w:qFormat/>
    <w:uiPriority w:val="0"/>
    <w:rPr>
      <w:rFonts w:ascii="Arial" w:hAnsi="Arial" w:eastAsia="黑体"/>
      <w:b/>
      <w:bCs/>
      <w:kern w:val="2"/>
      <w:sz w:val="32"/>
      <w:szCs w:val="32"/>
      <w:lang w:val="en-US" w:eastAsia="zh-CN" w:bidi="ar-SA"/>
    </w:rPr>
  </w:style>
  <w:style w:type="paragraph" w:customStyle="1" w:styleId="129">
    <w:name w:val="Char111"/>
    <w:basedOn w:val="1"/>
    <w:qFormat/>
    <w:uiPriority w:val="99"/>
    <w:pPr>
      <w:spacing w:after="160" w:line="278" w:lineRule="auto"/>
    </w:pPr>
    <w:rPr>
      <w:rFonts w:ascii="Tahoma" w:hAnsi="Tahoma"/>
      <w:sz w:val="24"/>
      <w:szCs w:val="20"/>
    </w:rPr>
  </w:style>
  <w:style w:type="character" w:customStyle="1" w:styleId="130">
    <w:name w:val="Char Char111"/>
    <w:qFormat/>
    <w:uiPriority w:val="99"/>
    <w:rPr>
      <w:rFonts w:eastAsia="宋体"/>
      <w:kern w:val="2"/>
      <w:sz w:val="24"/>
      <w:lang w:val="en-US" w:eastAsia="zh-CN" w:bidi="ar-SA"/>
    </w:rPr>
  </w:style>
  <w:style w:type="paragraph" w:customStyle="1" w:styleId="131">
    <w:name w:val="Char Char Char Char11"/>
    <w:basedOn w:val="1"/>
    <w:qFormat/>
    <w:uiPriority w:val="99"/>
    <w:pPr>
      <w:widowControl/>
      <w:spacing w:after="160" w:line="240" w:lineRule="exact"/>
      <w:jc w:val="left"/>
    </w:pPr>
    <w:rPr>
      <w:szCs w:val="20"/>
    </w:rPr>
  </w:style>
  <w:style w:type="table" w:customStyle="1" w:styleId="132">
    <w:name w:val="网格型1"/>
    <w:basedOn w:val="44"/>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3">
    <w:name w:val="未处理的提及2"/>
    <w:basedOn w:val="46"/>
    <w:semiHidden/>
    <w:unhideWhenUsed/>
    <w:qFormat/>
    <w:uiPriority w:val="99"/>
    <w:rPr>
      <w:color w:val="605E5C"/>
      <w:shd w:val="clear" w:color="auto" w:fill="E1DFDD"/>
    </w:rPr>
  </w:style>
  <w:style w:type="character" w:customStyle="1" w:styleId="134">
    <w:name w:val="正文首行缩进 2 字符"/>
    <w:basedOn w:val="85"/>
    <w:semiHidden/>
    <w:qFormat/>
    <w:uiPriority w:val="99"/>
    <w:rPr>
      <w:rFonts w:ascii="Times New Roman" w:hAnsi="Times New Roman" w:eastAsia="宋体" w:cs="Times New Roman"/>
      <w:kern w:val="0"/>
      <w:sz w:val="20"/>
      <w:szCs w:val="24"/>
    </w:rPr>
  </w:style>
  <w:style w:type="table" w:customStyle="1" w:styleId="135">
    <w:name w:val="Table Normal"/>
    <w:semiHidden/>
    <w:unhideWhenUsed/>
    <w:qFormat/>
    <w:uiPriority w:val="2"/>
    <w:tblPr>
      <w:tblCellMar>
        <w:top w:w="0" w:type="dxa"/>
        <w:left w:w="0" w:type="dxa"/>
        <w:bottom w:w="0" w:type="dxa"/>
        <w:right w:w="0" w:type="dxa"/>
      </w:tblCellMar>
    </w:tblPr>
  </w:style>
  <w:style w:type="paragraph" w:customStyle="1" w:styleId="136">
    <w:name w:val="Table Paragraph"/>
    <w:basedOn w:val="1"/>
    <w:qFormat/>
    <w:uiPriority w:val="1"/>
    <w:pPr>
      <w:autoSpaceDE w:val="0"/>
      <w:autoSpaceDN w:val="0"/>
      <w:spacing w:after="160" w:line="278" w:lineRule="auto"/>
      <w:jc w:val="left"/>
    </w:pPr>
    <w:rPr>
      <w:rFonts w:ascii="宋体" w:hAnsi="宋体" w:cs="宋体"/>
      <w:kern w:val="0"/>
      <w:sz w:val="22"/>
      <w:szCs w:val="22"/>
      <w:lang w:val="zh-CN" w:bidi="zh-CN"/>
    </w:rPr>
  </w:style>
  <w:style w:type="paragraph" w:customStyle="1" w:styleId="137">
    <w:name w:val="正文_48"/>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38">
    <w:name w:val="Normal_0_0"/>
    <w:qFormat/>
    <w:uiPriority w:val="0"/>
    <w:pPr>
      <w:spacing w:before="120" w:after="240" w:line="278" w:lineRule="auto"/>
      <w:jc w:val="both"/>
    </w:pPr>
    <w:rPr>
      <w:rFonts w:ascii="Calibri" w:hAnsi="Calibri" w:eastAsia="Calibri" w:cs="Times New Roman"/>
      <w:sz w:val="22"/>
      <w:szCs w:val="22"/>
      <w:lang w:val="ru-RU" w:eastAsia="en-US" w:bidi="ar-SA"/>
    </w:rPr>
  </w:style>
  <w:style w:type="paragraph" w:customStyle="1" w:styleId="139">
    <w:name w:val="Normal_1"/>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40">
    <w:name w:val="p0"/>
    <w:basedOn w:val="1"/>
    <w:qFormat/>
    <w:uiPriority w:val="0"/>
    <w:pPr>
      <w:widowControl/>
      <w:spacing w:after="160" w:line="278" w:lineRule="auto"/>
    </w:pPr>
    <w:rPr>
      <w:kern w:val="0"/>
      <w:szCs w:val="21"/>
    </w:rPr>
  </w:style>
  <w:style w:type="paragraph" w:customStyle="1" w:styleId="141">
    <w:name w:val="Heading #2|1"/>
    <w:basedOn w:val="1"/>
    <w:qFormat/>
    <w:uiPriority w:val="0"/>
    <w:pPr>
      <w:autoSpaceDE w:val="0"/>
      <w:autoSpaceDN w:val="0"/>
      <w:spacing w:before="660" w:after="100" w:line="278" w:lineRule="auto"/>
      <w:jc w:val="center"/>
      <w:outlineLvl w:val="1"/>
    </w:pPr>
    <w:rPr>
      <w:rFonts w:ascii="宋体" w:hAnsi="宋体" w:cs="宋体"/>
      <w:b/>
      <w:bCs/>
      <w:kern w:val="0"/>
      <w:sz w:val="32"/>
      <w:szCs w:val="32"/>
      <w:lang w:val="zh-TW" w:eastAsia="zh-TW" w:bidi="zh-TW"/>
    </w:rPr>
  </w:style>
  <w:style w:type="paragraph" w:customStyle="1" w:styleId="142">
    <w:name w:val="Body text|2"/>
    <w:basedOn w:val="1"/>
    <w:qFormat/>
    <w:uiPriority w:val="0"/>
    <w:pPr>
      <w:autoSpaceDE w:val="0"/>
      <w:autoSpaceDN w:val="0"/>
      <w:spacing w:after="160" w:line="480" w:lineRule="auto"/>
      <w:ind w:firstLine="400"/>
      <w:jc w:val="left"/>
    </w:pPr>
    <w:rPr>
      <w:rFonts w:ascii="宋体" w:hAnsi="宋体" w:cs="宋体"/>
      <w:kern w:val="0"/>
      <w:sz w:val="26"/>
      <w:szCs w:val="26"/>
      <w:lang w:val="zh-TW" w:eastAsia="zh-TW" w:bidi="zh-TW"/>
    </w:rPr>
  </w:style>
  <w:style w:type="paragraph" w:customStyle="1" w:styleId="143">
    <w:name w:val="Body text|1"/>
    <w:basedOn w:val="1"/>
    <w:qFormat/>
    <w:uiPriority w:val="0"/>
    <w:pPr>
      <w:autoSpaceDE w:val="0"/>
      <w:autoSpaceDN w:val="0"/>
      <w:spacing w:after="160" w:line="437" w:lineRule="auto"/>
      <w:jc w:val="left"/>
    </w:pPr>
    <w:rPr>
      <w:rFonts w:ascii="宋体" w:hAnsi="宋体" w:cs="宋体"/>
      <w:kern w:val="0"/>
      <w:sz w:val="22"/>
      <w:szCs w:val="22"/>
      <w:lang w:val="zh-TW" w:eastAsia="zh-TW" w:bidi="zh-TW"/>
    </w:rPr>
  </w:style>
  <w:style w:type="paragraph" w:customStyle="1" w:styleId="144">
    <w:name w:val="Header or footer|1"/>
    <w:basedOn w:val="1"/>
    <w:qFormat/>
    <w:uiPriority w:val="0"/>
    <w:pPr>
      <w:autoSpaceDE w:val="0"/>
      <w:autoSpaceDN w:val="0"/>
      <w:spacing w:after="160" w:line="278" w:lineRule="auto"/>
      <w:jc w:val="left"/>
    </w:pPr>
    <w:rPr>
      <w:rFonts w:ascii="宋体" w:hAnsi="宋体" w:cs="宋体"/>
      <w:kern w:val="0"/>
      <w:sz w:val="18"/>
      <w:szCs w:val="18"/>
      <w:lang w:val="zh-TW" w:eastAsia="zh-TW" w:bidi="zh-TW"/>
    </w:rPr>
  </w:style>
  <w:style w:type="character" w:customStyle="1" w:styleId="145">
    <w:name w:val="标题 1 字符1"/>
    <w:qFormat/>
    <w:uiPriority w:val="0"/>
    <w:rPr>
      <w:b/>
      <w:bCs/>
      <w:kern w:val="44"/>
      <w:sz w:val="44"/>
      <w:szCs w:val="44"/>
    </w:rPr>
  </w:style>
  <w:style w:type="paragraph" w:customStyle="1" w:styleId="146">
    <w:name w:val="Table Text"/>
    <w:basedOn w:val="1"/>
    <w:semiHidden/>
    <w:qFormat/>
    <w:uiPriority w:val="0"/>
    <w:pPr>
      <w:spacing w:after="160" w:line="278" w:lineRule="auto"/>
    </w:pPr>
    <w:rPr>
      <w:rFonts w:ascii="宋体" w:hAnsi="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1.w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60C1D3-2009-4951-A6C2-5C59F9F525BA}">
  <ds:schemaRefs/>
</ds:datastoreItem>
</file>

<file path=docProps/app.xml><?xml version="1.0" encoding="utf-8"?>
<Properties xmlns="http://schemas.openxmlformats.org/officeDocument/2006/extended-properties" xmlns:vt="http://schemas.openxmlformats.org/officeDocument/2006/docPropsVTypes">
  <Template>Normal</Template>
  <Pages>153</Pages>
  <Words>16255</Words>
  <Characters>17068</Characters>
  <Lines>2801</Lines>
  <Paragraphs>2449</Paragraphs>
  <TotalTime>1</TotalTime>
  <ScaleCrop>false</ScaleCrop>
  <LinksUpToDate>false</LinksUpToDate>
  <CharactersWithSpaces>17278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2024-05-02T18:27:00Z</dcterms:created>
  <dc:creator>静静 张</dc:creator>
  <cp:lastModifiedBy>SnowKiss</cp:lastModifiedBy>
  <dcterms:modified xsi:type="dcterms:W3CDTF">2025-10-23T07:19:37Z</dcterms:modified>
  <dc:title>红红火火恍恍惚惚</dc:title>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26B439BA37B44809B57786DB5281056A_13</vt:lpwstr>
  </property>
  <property fmtid="{D5CDD505-2E9C-101B-9397-08002B2CF9AE}" pid="4" name="KSOTemplateDocerSaveRecord">
    <vt:lpwstr>eyJoZGlkIjoiOGE3MGMyYzY4NTcxZTZjNjVhZWM4Y2VhZjU4YjYxNzAiLCJ1c2VySWQiOiIxMjEzNjE3NTQzIn0=</vt:lpwstr>
  </property>
</Properties>
</file>