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cs="宋体"/>
          <w:color w:val="auto"/>
          <w:sz w:val="32"/>
          <w:szCs w:val="32"/>
          <w:highlight w:val="none"/>
        </w:rPr>
      </w:pPr>
    </w:p>
    <w:p>
      <w:pPr>
        <w:pStyle w:val="44"/>
        <w:ind w:left="0" w:leftChars="0" w:firstLine="0" w:firstLineChars="0"/>
        <w:rPr>
          <w:rFonts w:ascii="宋体" w:hAnsi="宋体" w:cs="宋体"/>
          <w:color w:val="auto"/>
          <w:sz w:val="32"/>
          <w:szCs w:val="32"/>
          <w:highlight w:val="none"/>
        </w:rPr>
      </w:pPr>
    </w:p>
    <w:p>
      <w:pPr>
        <w:jc w:val="center"/>
        <w:rPr>
          <w:rFonts w:ascii="宋体" w:hAnsi="宋体" w:cs="宋体"/>
          <w:color w:val="auto"/>
          <w:sz w:val="32"/>
          <w:szCs w:val="32"/>
          <w:highlight w:val="none"/>
        </w:rPr>
      </w:pPr>
    </w:p>
    <w:p>
      <w:pPr>
        <w:pStyle w:val="20"/>
        <w:ind w:left="1378" w:leftChars="656" w:firstLine="0" w:firstLineChars="0"/>
        <w:rPr>
          <w:rFonts w:hint="eastAsia" w:ascii="宋体" w:hAnsi="宋体" w:cs="宋体"/>
          <w:b/>
          <w:bCs/>
          <w:color w:val="auto"/>
          <w:sz w:val="48"/>
          <w:szCs w:val="48"/>
          <w:highlight w:val="none"/>
        </w:rPr>
      </w:pPr>
      <w:r>
        <w:rPr>
          <w:rFonts w:hint="eastAsia" w:ascii="宋体" w:hAnsi="宋体" w:cs="宋体"/>
          <w:b/>
          <w:bCs/>
          <w:color w:val="auto"/>
          <w:sz w:val="48"/>
          <w:szCs w:val="48"/>
          <w:highlight w:val="none"/>
          <w:lang w:val="en-US" w:eastAsia="zh-CN"/>
        </w:rPr>
        <w:t>政府扩建楼B区局部改造项目</w:t>
      </w:r>
    </w:p>
    <w:p>
      <w:pPr>
        <w:pStyle w:val="20"/>
        <w:ind w:left="1544" w:hanging="1124"/>
        <w:rPr>
          <w:rFonts w:ascii="宋体" w:hAnsi="宋体" w:cs="宋体"/>
          <w:b/>
          <w:bCs/>
          <w:color w:val="auto"/>
          <w:sz w:val="56"/>
          <w:szCs w:val="56"/>
          <w:highlight w:val="none"/>
        </w:rPr>
      </w:pPr>
    </w:p>
    <w:p>
      <w:pPr>
        <w:pStyle w:val="20"/>
        <w:ind w:left="1544" w:hanging="1124"/>
        <w:rPr>
          <w:rFonts w:ascii="宋体" w:hAnsi="宋体" w:cs="宋体"/>
          <w:b/>
          <w:bCs/>
          <w:color w:val="auto"/>
          <w:sz w:val="56"/>
          <w:szCs w:val="56"/>
          <w:highlight w:val="none"/>
        </w:rPr>
      </w:pPr>
    </w:p>
    <w:p>
      <w:pPr>
        <w:jc w:val="center"/>
        <w:outlineLvl w:val="0"/>
        <w:rPr>
          <w:rFonts w:ascii="宋体" w:hAnsi="宋体" w:cs="宋体"/>
          <w:b/>
          <w:bCs/>
          <w:color w:val="auto"/>
          <w:sz w:val="48"/>
          <w:szCs w:val="48"/>
          <w:highlight w:val="none"/>
        </w:rPr>
      </w:pPr>
      <w:r>
        <w:rPr>
          <w:rFonts w:hint="eastAsia" w:ascii="宋体" w:hAnsi="宋体" w:cs="宋体"/>
          <w:b/>
          <w:bCs/>
          <w:color w:val="auto"/>
          <w:sz w:val="48"/>
          <w:szCs w:val="48"/>
          <w:highlight w:val="none"/>
        </w:rPr>
        <w:t>竞争性磋商</w:t>
      </w:r>
    </w:p>
    <w:p>
      <w:pPr>
        <w:spacing w:line="360" w:lineRule="auto"/>
        <w:jc w:val="center"/>
        <w:rPr>
          <w:rFonts w:ascii="宋体" w:hAnsi="宋体" w:cs="宋体"/>
          <w:b/>
          <w:bCs/>
          <w:color w:val="auto"/>
          <w:sz w:val="60"/>
          <w:szCs w:val="60"/>
          <w:highlight w:val="none"/>
        </w:rPr>
      </w:pPr>
    </w:p>
    <w:p>
      <w:pPr>
        <w:spacing w:line="360" w:lineRule="auto"/>
        <w:jc w:val="center"/>
        <w:rPr>
          <w:rFonts w:ascii="宋体" w:hAnsi="宋体" w:cs="宋体"/>
          <w:b/>
          <w:bCs/>
          <w:color w:val="auto"/>
          <w:sz w:val="60"/>
          <w:szCs w:val="60"/>
          <w:highlight w:val="none"/>
        </w:rPr>
      </w:pPr>
    </w:p>
    <w:p>
      <w:pPr>
        <w:pStyle w:val="20"/>
        <w:ind w:left="0" w:leftChars="0" w:firstLine="0" w:firstLineChars="0"/>
        <w:rPr>
          <w:rFonts w:ascii="宋体" w:hAnsi="宋体" w:cs="宋体"/>
          <w:b/>
          <w:bCs/>
          <w:color w:val="auto"/>
          <w:sz w:val="60"/>
          <w:szCs w:val="60"/>
          <w:highlight w:val="none"/>
        </w:rPr>
      </w:pPr>
    </w:p>
    <w:p>
      <w:pPr>
        <w:tabs>
          <w:tab w:val="left" w:pos="5609"/>
        </w:tabs>
        <w:spacing w:line="360" w:lineRule="auto"/>
        <w:jc w:val="left"/>
        <w:rPr>
          <w:rFonts w:ascii="宋体" w:hAnsi="宋体" w:cs="宋体"/>
          <w:bCs/>
          <w:color w:val="auto"/>
          <w:sz w:val="36"/>
          <w:szCs w:val="36"/>
          <w:highlight w:val="none"/>
        </w:rPr>
      </w:pPr>
    </w:p>
    <w:p>
      <w:pPr>
        <w:tabs>
          <w:tab w:val="left" w:pos="5609"/>
        </w:tabs>
        <w:spacing w:line="360" w:lineRule="auto"/>
        <w:ind w:left="2438" w:leftChars="399" w:hanging="1600" w:hangingChars="500"/>
        <w:jc w:val="left"/>
        <w:outlineLvl w:val="0"/>
        <w:rPr>
          <w:rFonts w:ascii="宋体" w:hAnsi="宋体"/>
          <w:color w:val="auto"/>
          <w:sz w:val="32"/>
          <w:szCs w:val="32"/>
          <w:highlight w:val="none"/>
        </w:rPr>
      </w:pPr>
      <w:r>
        <w:rPr>
          <w:rFonts w:hint="eastAsia" w:ascii="宋体" w:hAnsi="宋体"/>
          <w:color w:val="auto"/>
          <w:sz w:val="32"/>
          <w:szCs w:val="32"/>
          <w:highlight w:val="none"/>
        </w:rPr>
        <w:t>项目名称：</w:t>
      </w:r>
      <w:r>
        <w:rPr>
          <w:rFonts w:hint="eastAsia"/>
          <w:color w:val="auto"/>
          <w:sz w:val="32"/>
          <w:szCs w:val="32"/>
          <w:highlight w:val="none"/>
          <w:lang w:val="en-US" w:eastAsia="zh-CN"/>
        </w:rPr>
        <w:t>政府扩建楼B区局部改造项目</w:t>
      </w:r>
    </w:p>
    <w:p>
      <w:pPr>
        <w:tabs>
          <w:tab w:val="left" w:pos="5609"/>
        </w:tabs>
        <w:spacing w:line="360" w:lineRule="auto"/>
        <w:ind w:left="1478" w:leftChars="399" w:hanging="640" w:hangingChars="200"/>
        <w:jc w:val="left"/>
        <w:outlineLvl w:val="0"/>
        <w:rPr>
          <w:rFonts w:ascii="宋体" w:hAnsi="宋体"/>
          <w:color w:val="auto"/>
          <w:sz w:val="32"/>
          <w:szCs w:val="32"/>
          <w:highlight w:val="none"/>
        </w:rPr>
      </w:pPr>
      <w:r>
        <w:rPr>
          <w:rFonts w:hint="eastAsia" w:ascii="宋体" w:hAnsi="宋体"/>
          <w:color w:val="auto"/>
          <w:sz w:val="32"/>
          <w:szCs w:val="32"/>
          <w:highlight w:val="none"/>
        </w:rPr>
        <w:t>编    号：</w:t>
      </w:r>
      <w:r>
        <w:rPr>
          <w:rFonts w:hint="eastAsia" w:ascii="宋体" w:hAnsi="宋体"/>
          <w:color w:val="auto"/>
          <w:sz w:val="32"/>
          <w:szCs w:val="32"/>
          <w:highlight w:val="none"/>
        </w:rPr>
        <w:fldChar w:fldCharType="begin"/>
      </w:r>
      <w:r>
        <w:rPr>
          <w:rFonts w:hint="eastAsia" w:ascii="宋体" w:hAnsi="宋体"/>
          <w:color w:val="auto"/>
          <w:sz w:val="32"/>
          <w:szCs w:val="32"/>
          <w:highlight w:val="none"/>
        </w:rPr>
        <w:instrText xml:space="preserve"> HYPERLINK "http://103.83.45.82:8080/frontend/plan/project_detail_placard.html?projectUuid=77c16320-7fc7-4287-a5b0-0436c7011110&amp;viewMode=placard&amp;uuid=805371dfd4b04e8d83f7259faf6d8a65&amp;placardType=0&amp;packageIdList=null" </w:instrText>
      </w:r>
      <w:r>
        <w:rPr>
          <w:rFonts w:hint="eastAsia" w:ascii="宋体" w:hAnsi="宋体"/>
          <w:color w:val="auto"/>
          <w:sz w:val="32"/>
          <w:szCs w:val="32"/>
          <w:highlight w:val="none"/>
        </w:rPr>
        <w:fldChar w:fldCharType="separate"/>
      </w:r>
      <w:r>
        <w:rPr>
          <w:rFonts w:hint="eastAsia" w:ascii="宋体" w:hAnsi="宋体"/>
          <w:color w:val="auto"/>
          <w:sz w:val="32"/>
          <w:szCs w:val="32"/>
          <w:highlight w:val="none"/>
        </w:rPr>
        <w:t>11011523210200015241-XM001</w:t>
      </w:r>
      <w:r>
        <w:rPr>
          <w:rFonts w:hint="eastAsia" w:ascii="宋体" w:hAnsi="宋体"/>
          <w:color w:val="auto"/>
          <w:sz w:val="32"/>
          <w:szCs w:val="32"/>
          <w:highlight w:val="none"/>
        </w:rPr>
        <w:fldChar w:fldCharType="end"/>
      </w:r>
    </w:p>
    <w:p>
      <w:pPr>
        <w:tabs>
          <w:tab w:val="left" w:pos="5609"/>
        </w:tabs>
        <w:spacing w:line="360" w:lineRule="auto"/>
        <w:ind w:left="1478" w:leftChars="399" w:hanging="640" w:hangingChars="200"/>
        <w:jc w:val="left"/>
        <w:outlineLvl w:val="0"/>
        <w:rPr>
          <w:rFonts w:ascii="宋体" w:hAnsi="宋体"/>
          <w:color w:val="auto"/>
          <w:sz w:val="32"/>
          <w:szCs w:val="32"/>
          <w:highlight w:val="none"/>
        </w:rPr>
      </w:pPr>
      <w:r>
        <w:rPr>
          <w:rFonts w:hint="eastAsia" w:ascii="宋体" w:hAnsi="宋体"/>
          <w:color w:val="auto"/>
          <w:sz w:val="32"/>
          <w:szCs w:val="32"/>
          <w:highlight w:val="none"/>
        </w:rPr>
        <w:t>采 购 人：北京市大兴区采育镇人民政府</w:t>
      </w:r>
    </w:p>
    <w:p>
      <w:pPr>
        <w:tabs>
          <w:tab w:val="left" w:pos="5609"/>
        </w:tabs>
        <w:spacing w:line="360" w:lineRule="auto"/>
        <w:ind w:left="1478" w:leftChars="399" w:hanging="640" w:hangingChars="200"/>
        <w:jc w:val="left"/>
        <w:outlineLvl w:val="0"/>
        <w:rPr>
          <w:rFonts w:ascii="宋体" w:hAnsi="宋体"/>
          <w:color w:val="auto"/>
          <w:sz w:val="32"/>
          <w:szCs w:val="32"/>
          <w:highlight w:val="none"/>
        </w:rPr>
        <w:sectPr>
          <w:type w:val="nextColumn"/>
          <w:pgSz w:w="11906" w:h="16838"/>
          <w:pgMar w:top="1911" w:right="1474" w:bottom="1882" w:left="1587" w:header="851" w:footer="992" w:gutter="0"/>
          <w:cols w:space="425" w:num="1"/>
          <w:docGrid w:linePitch="312" w:charSpace="0"/>
        </w:sectPr>
      </w:pPr>
      <w:r>
        <w:rPr>
          <w:rFonts w:hint="eastAsia" w:ascii="宋体" w:hAnsi="宋体"/>
          <w:color w:val="auto"/>
          <w:sz w:val="32"/>
          <w:szCs w:val="32"/>
          <w:highlight w:val="none"/>
        </w:rPr>
        <w:t xml:space="preserve">采购代理机构：北京中兴天诚招标代理有限公司 </w:t>
      </w:r>
    </w:p>
    <w:p>
      <w:pPr>
        <w:pStyle w:val="161"/>
        <w:spacing w:line="360" w:lineRule="auto"/>
        <w:rPr>
          <w:rFonts w:ascii="宋体" w:hAnsi="宋体" w:cs="宋体"/>
          <w:color w:val="auto"/>
          <w:highlight w:val="none"/>
        </w:rPr>
      </w:pPr>
    </w:p>
    <w:p>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目      录</w:t>
      </w:r>
    </w:p>
    <w:p>
      <w:pPr>
        <w:rPr>
          <w:rFonts w:ascii="宋体" w:hAnsi="宋体" w:cs="宋体"/>
          <w:color w:val="auto"/>
          <w:highlight w:val="none"/>
        </w:rPr>
      </w:pPr>
    </w:p>
    <w:p>
      <w:pPr>
        <w:pStyle w:val="31"/>
        <w:spacing w:line="360" w:lineRule="auto"/>
        <w:rPr>
          <w:rFonts w:cs="宋体"/>
          <w:b w:val="0"/>
          <w:color w:val="auto"/>
          <w:sz w:val="21"/>
          <w:szCs w:val="22"/>
          <w:highlight w:val="none"/>
        </w:rPr>
      </w:pPr>
      <w:r>
        <w:rPr>
          <w:rFonts w:hint="eastAsia" w:cs="宋体"/>
          <w:b w:val="0"/>
          <w:color w:val="auto"/>
          <w:highlight w:val="none"/>
        </w:rPr>
        <w:fldChar w:fldCharType="begin"/>
      </w:r>
      <w:r>
        <w:rPr>
          <w:rFonts w:hint="eastAsia" w:cs="宋体"/>
          <w:b w:val="0"/>
          <w:color w:val="auto"/>
          <w:highlight w:val="none"/>
        </w:rPr>
        <w:instrText xml:space="preserve"> TOC \o "1-1" \h \z \u </w:instrText>
      </w:r>
      <w:r>
        <w:rPr>
          <w:rFonts w:hint="eastAsia" w:cs="宋体"/>
          <w:b w:val="0"/>
          <w:color w:val="auto"/>
          <w:highlight w:val="none"/>
        </w:rPr>
        <w:fldChar w:fldCharType="separate"/>
      </w:r>
      <w:r>
        <w:rPr>
          <w:rFonts w:hint="eastAsia" w:cs="宋体"/>
          <w:color w:val="auto"/>
          <w:highlight w:val="none"/>
        </w:rPr>
        <w:fldChar w:fldCharType="begin"/>
      </w:r>
      <w:r>
        <w:rPr>
          <w:rFonts w:hint="eastAsia" w:cs="宋体"/>
          <w:color w:val="auto"/>
          <w:highlight w:val="none"/>
        </w:rPr>
        <w:instrText xml:space="preserve"> HYPERLINK \l "_Toc97371941" </w:instrText>
      </w:r>
      <w:r>
        <w:rPr>
          <w:rFonts w:hint="eastAsia" w:cs="宋体"/>
          <w:color w:val="auto"/>
          <w:highlight w:val="none"/>
        </w:rPr>
        <w:fldChar w:fldCharType="separate"/>
      </w:r>
      <w:r>
        <w:rPr>
          <w:rStyle w:val="53"/>
          <w:rFonts w:hint="eastAsia" w:cs="宋体"/>
          <w:color w:val="auto"/>
          <w:highlight w:val="none"/>
        </w:rPr>
        <w:t>第一章   采购邀请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_Toc97371941 \h </w:instrText>
      </w:r>
      <w:r>
        <w:rPr>
          <w:rFonts w:hint="eastAsia" w:cs="宋体"/>
          <w:color w:val="auto"/>
          <w:highlight w:val="none"/>
        </w:rPr>
        <w:fldChar w:fldCharType="separate"/>
      </w:r>
      <w:r>
        <w:rPr>
          <w:rFonts w:cs="宋体"/>
          <w:color w:val="auto"/>
          <w:highlight w:val="none"/>
        </w:rPr>
        <w:t>1</w:t>
      </w:r>
      <w:r>
        <w:rPr>
          <w:rFonts w:hint="eastAsia" w:cs="宋体"/>
          <w:color w:val="auto"/>
          <w:highlight w:val="none"/>
        </w:rPr>
        <w:fldChar w:fldCharType="end"/>
      </w:r>
      <w:r>
        <w:rPr>
          <w:rFonts w:hint="eastAsia" w:cs="宋体"/>
          <w:color w:val="auto"/>
          <w:highlight w:val="none"/>
        </w:rPr>
        <w:fldChar w:fldCharType="end"/>
      </w:r>
    </w:p>
    <w:p>
      <w:pPr>
        <w:pStyle w:val="31"/>
        <w:spacing w:line="360" w:lineRule="auto"/>
        <w:rPr>
          <w:rFonts w:cs="宋体"/>
          <w:b w:val="0"/>
          <w:color w:val="auto"/>
          <w:sz w:val="21"/>
          <w:szCs w:val="22"/>
          <w:highlight w:val="none"/>
        </w:rPr>
      </w:pPr>
      <w:r>
        <w:rPr>
          <w:rFonts w:hint="eastAsia" w:cs="宋体"/>
          <w:color w:val="auto"/>
          <w:highlight w:val="none"/>
        </w:rPr>
        <w:fldChar w:fldCharType="begin"/>
      </w:r>
      <w:r>
        <w:rPr>
          <w:rFonts w:hint="eastAsia" w:cs="宋体"/>
          <w:color w:val="auto"/>
          <w:highlight w:val="none"/>
        </w:rPr>
        <w:instrText xml:space="preserve"> HYPERLINK \l "_Toc97371942" </w:instrText>
      </w:r>
      <w:r>
        <w:rPr>
          <w:rFonts w:hint="eastAsia" w:cs="宋体"/>
          <w:color w:val="auto"/>
          <w:highlight w:val="none"/>
        </w:rPr>
        <w:fldChar w:fldCharType="separate"/>
      </w:r>
      <w:r>
        <w:rPr>
          <w:rStyle w:val="53"/>
          <w:rFonts w:hint="eastAsia" w:cs="宋体"/>
          <w:color w:val="auto"/>
          <w:highlight w:val="none"/>
        </w:rPr>
        <w:t>第二章   供应商须知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_Toc97371942 \h </w:instrText>
      </w:r>
      <w:r>
        <w:rPr>
          <w:rFonts w:hint="eastAsia" w:cs="宋体"/>
          <w:color w:val="auto"/>
          <w:highlight w:val="none"/>
        </w:rPr>
        <w:fldChar w:fldCharType="separate"/>
      </w:r>
      <w:r>
        <w:rPr>
          <w:rFonts w:cs="宋体"/>
          <w:color w:val="auto"/>
          <w:highlight w:val="none"/>
        </w:rPr>
        <w:t>4</w:t>
      </w:r>
      <w:r>
        <w:rPr>
          <w:rFonts w:hint="eastAsia" w:cs="宋体"/>
          <w:color w:val="auto"/>
          <w:highlight w:val="none"/>
        </w:rPr>
        <w:fldChar w:fldCharType="end"/>
      </w:r>
      <w:r>
        <w:rPr>
          <w:rFonts w:hint="eastAsia" w:cs="宋体"/>
          <w:color w:val="auto"/>
          <w:highlight w:val="none"/>
        </w:rPr>
        <w:fldChar w:fldCharType="end"/>
      </w:r>
    </w:p>
    <w:p>
      <w:pPr>
        <w:pStyle w:val="31"/>
        <w:spacing w:line="360" w:lineRule="auto"/>
        <w:rPr>
          <w:rFonts w:cs="宋体"/>
          <w:b w:val="0"/>
          <w:color w:val="auto"/>
          <w:sz w:val="21"/>
          <w:szCs w:val="22"/>
          <w:highlight w:val="none"/>
        </w:rPr>
      </w:pPr>
      <w:r>
        <w:rPr>
          <w:rFonts w:hint="eastAsia" w:cs="宋体"/>
          <w:color w:val="auto"/>
          <w:highlight w:val="none"/>
        </w:rPr>
        <w:fldChar w:fldCharType="begin"/>
      </w:r>
      <w:r>
        <w:rPr>
          <w:rFonts w:hint="eastAsia" w:cs="宋体"/>
          <w:color w:val="auto"/>
          <w:highlight w:val="none"/>
        </w:rPr>
        <w:instrText xml:space="preserve"> HYPERLINK \l "_Toc97371943" </w:instrText>
      </w:r>
      <w:r>
        <w:rPr>
          <w:rFonts w:hint="eastAsia" w:cs="宋体"/>
          <w:color w:val="auto"/>
          <w:highlight w:val="none"/>
        </w:rPr>
        <w:fldChar w:fldCharType="separate"/>
      </w:r>
      <w:r>
        <w:rPr>
          <w:rStyle w:val="53"/>
          <w:rFonts w:hint="eastAsia" w:cs="宋体"/>
          <w:color w:val="auto"/>
          <w:highlight w:val="none"/>
        </w:rPr>
        <w:t>第三章   评审方法和评审标准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_Toc97371943 \h </w:instrText>
      </w:r>
      <w:r>
        <w:rPr>
          <w:rFonts w:hint="eastAsia" w:cs="宋体"/>
          <w:color w:val="auto"/>
          <w:highlight w:val="none"/>
        </w:rPr>
        <w:fldChar w:fldCharType="separate"/>
      </w:r>
      <w:r>
        <w:rPr>
          <w:rFonts w:cs="宋体"/>
          <w:color w:val="auto"/>
          <w:highlight w:val="none"/>
        </w:rPr>
        <w:t>19</w:t>
      </w:r>
      <w:r>
        <w:rPr>
          <w:rFonts w:hint="eastAsia" w:cs="宋体"/>
          <w:color w:val="auto"/>
          <w:highlight w:val="none"/>
        </w:rPr>
        <w:fldChar w:fldCharType="end"/>
      </w:r>
      <w:r>
        <w:rPr>
          <w:rFonts w:hint="eastAsia" w:cs="宋体"/>
          <w:color w:val="auto"/>
          <w:highlight w:val="none"/>
        </w:rPr>
        <w:fldChar w:fldCharType="end"/>
      </w:r>
    </w:p>
    <w:p>
      <w:pPr>
        <w:pStyle w:val="31"/>
        <w:spacing w:line="360" w:lineRule="auto"/>
        <w:rPr>
          <w:rFonts w:hint="eastAsia" w:eastAsia="宋体" w:cs="宋体"/>
          <w:b w:val="0"/>
          <w:color w:val="auto"/>
          <w:sz w:val="21"/>
          <w:szCs w:val="22"/>
          <w:highlight w:val="none"/>
          <w:lang w:eastAsia="zh-CN"/>
        </w:rPr>
      </w:pPr>
      <w:r>
        <w:rPr>
          <w:color w:val="auto"/>
          <w:highlight w:val="none"/>
        </w:rPr>
        <w:fldChar w:fldCharType="begin"/>
      </w:r>
      <w:r>
        <w:rPr>
          <w:color w:val="auto"/>
          <w:highlight w:val="none"/>
        </w:rPr>
        <w:instrText xml:space="preserve"> HYPERLINK \l "_Toc97371945" </w:instrText>
      </w:r>
      <w:r>
        <w:rPr>
          <w:color w:val="auto"/>
          <w:highlight w:val="none"/>
        </w:rPr>
        <w:fldChar w:fldCharType="separate"/>
      </w:r>
      <w:r>
        <w:rPr>
          <w:rStyle w:val="53"/>
          <w:rFonts w:hint="eastAsia" w:cs="宋体"/>
          <w:color w:val="auto"/>
          <w:highlight w:val="none"/>
        </w:rPr>
        <w:t>第四章   采购需求</w:t>
      </w:r>
      <w:r>
        <w:rPr>
          <w:rFonts w:hint="eastAsia" w:cs="宋体"/>
          <w:color w:val="auto"/>
          <w:highlight w:val="none"/>
        </w:rPr>
        <w:tab/>
      </w:r>
      <w:r>
        <w:rPr>
          <w:rFonts w:hint="eastAsia" w:cs="宋体"/>
          <w:color w:val="auto"/>
          <w:highlight w:val="none"/>
        </w:rPr>
        <w:t>2</w:t>
      </w:r>
      <w:r>
        <w:rPr>
          <w:rFonts w:hint="eastAsia" w:cs="宋体"/>
          <w:color w:val="auto"/>
          <w:highlight w:val="none"/>
        </w:rPr>
        <w:fldChar w:fldCharType="end"/>
      </w:r>
      <w:r>
        <w:rPr>
          <w:rFonts w:hint="eastAsia" w:cs="宋体"/>
          <w:color w:val="auto"/>
          <w:highlight w:val="none"/>
          <w:lang w:val="en-US" w:eastAsia="zh-CN"/>
        </w:rPr>
        <w:t>8</w:t>
      </w:r>
    </w:p>
    <w:p>
      <w:pPr>
        <w:pStyle w:val="31"/>
        <w:spacing w:line="360" w:lineRule="auto"/>
        <w:rPr>
          <w:rFonts w:hint="eastAsia" w:eastAsia="宋体" w:cs="宋体"/>
          <w:b w:val="0"/>
          <w:color w:val="auto"/>
          <w:sz w:val="21"/>
          <w:szCs w:val="22"/>
          <w:highlight w:val="none"/>
          <w:lang w:eastAsia="zh-CN"/>
        </w:rPr>
      </w:pPr>
      <w:r>
        <w:rPr>
          <w:color w:val="auto"/>
          <w:highlight w:val="none"/>
        </w:rPr>
        <w:fldChar w:fldCharType="begin"/>
      </w:r>
      <w:r>
        <w:rPr>
          <w:color w:val="auto"/>
          <w:highlight w:val="none"/>
        </w:rPr>
        <w:instrText xml:space="preserve"> HYPERLINK \l "_Toc97371946" </w:instrText>
      </w:r>
      <w:r>
        <w:rPr>
          <w:color w:val="auto"/>
          <w:highlight w:val="none"/>
        </w:rPr>
        <w:fldChar w:fldCharType="separate"/>
      </w:r>
      <w:r>
        <w:rPr>
          <w:rStyle w:val="53"/>
          <w:rFonts w:hint="eastAsia" w:cs="宋体"/>
          <w:color w:val="auto"/>
          <w:highlight w:val="none"/>
        </w:rPr>
        <w:t>第五章   合同草案条款</w:t>
      </w:r>
      <w:r>
        <w:rPr>
          <w:rFonts w:hint="eastAsia" w:cs="宋体"/>
          <w:color w:val="auto"/>
          <w:highlight w:val="none"/>
        </w:rPr>
        <w:tab/>
      </w:r>
      <w:r>
        <w:rPr>
          <w:rFonts w:hint="eastAsia" w:cs="宋体"/>
          <w:color w:val="auto"/>
          <w:highlight w:val="none"/>
          <w:lang w:val="en-US" w:eastAsia="zh-CN"/>
        </w:rPr>
        <w:t>2</w:t>
      </w:r>
      <w:r>
        <w:rPr>
          <w:rFonts w:hint="eastAsia" w:cs="宋体"/>
          <w:color w:val="auto"/>
          <w:highlight w:val="none"/>
        </w:rPr>
        <w:fldChar w:fldCharType="end"/>
      </w:r>
      <w:r>
        <w:rPr>
          <w:rFonts w:hint="eastAsia" w:cs="宋体"/>
          <w:color w:val="auto"/>
          <w:highlight w:val="none"/>
          <w:lang w:val="en-US" w:eastAsia="zh-CN"/>
        </w:rPr>
        <w:t>9</w:t>
      </w:r>
    </w:p>
    <w:p>
      <w:pPr>
        <w:pStyle w:val="31"/>
        <w:spacing w:line="360" w:lineRule="auto"/>
        <w:rPr>
          <w:rFonts w:cs="宋体"/>
          <w:color w:val="auto"/>
          <w:highlight w:val="none"/>
        </w:rPr>
      </w:pPr>
      <w:r>
        <w:rPr>
          <w:color w:val="auto"/>
          <w:highlight w:val="none"/>
        </w:rPr>
        <w:fldChar w:fldCharType="begin"/>
      </w:r>
      <w:r>
        <w:rPr>
          <w:color w:val="auto"/>
          <w:highlight w:val="none"/>
        </w:rPr>
        <w:instrText xml:space="preserve"> HYPERLINK \l "_Toc97371947" </w:instrText>
      </w:r>
      <w:r>
        <w:rPr>
          <w:color w:val="auto"/>
          <w:highlight w:val="none"/>
        </w:rPr>
        <w:fldChar w:fldCharType="separate"/>
      </w:r>
      <w:r>
        <w:rPr>
          <w:rStyle w:val="53"/>
          <w:rFonts w:hint="eastAsia" w:cs="宋体"/>
          <w:color w:val="auto"/>
          <w:highlight w:val="none"/>
        </w:rPr>
        <w:t>第六章   响应文件格式</w:t>
      </w:r>
      <w:r>
        <w:rPr>
          <w:rFonts w:hint="eastAsia" w:cs="宋体"/>
          <w:color w:val="auto"/>
          <w:highlight w:val="none"/>
        </w:rPr>
        <w:tab/>
      </w:r>
      <w:r>
        <w:rPr>
          <w:rFonts w:hint="eastAsia" w:cs="宋体"/>
          <w:color w:val="auto"/>
          <w:highlight w:val="none"/>
          <w:lang w:val="en-US" w:eastAsia="zh-CN"/>
        </w:rPr>
        <w:t>1</w:t>
      </w:r>
      <w:r>
        <w:rPr>
          <w:rFonts w:hint="eastAsia" w:cs="宋体"/>
          <w:color w:val="auto"/>
          <w:highlight w:val="none"/>
        </w:rPr>
        <w:fldChar w:fldCharType="end"/>
      </w:r>
      <w:r>
        <w:rPr>
          <w:rFonts w:hint="eastAsia" w:cs="宋体"/>
          <w:color w:val="auto"/>
          <w:highlight w:val="none"/>
          <w:lang w:val="en-US" w:eastAsia="zh-CN"/>
        </w:rPr>
        <w:t>2</w:t>
      </w:r>
      <w:r>
        <w:rPr>
          <w:rFonts w:hint="eastAsia" w:cs="宋体"/>
          <w:color w:val="auto"/>
          <w:highlight w:val="none"/>
        </w:rPr>
        <w:t>6</w:t>
      </w:r>
    </w:p>
    <w:p>
      <w:pPr>
        <w:pStyle w:val="31"/>
        <w:spacing w:line="360" w:lineRule="auto"/>
        <w:rPr>
          <w:rFonts w:cs="宋体"/>
          <w:b w:val="0"/>
          <w:color w:val="auto"/>
          <w:highlight w:val="none"/>
        </w:rPr>
      </w:pPr>
      <w:r>
        <w:rPr>
          <w:rFonts w:hint="eastAsia" w:cs="宋体"/>
          <w:b w:val="0"/>
          <w:color w:val="auto"/>
          <w:highlight w:val="none"/>
        </w:rPr>
        <w:fldChar w:fldCharType="end"/>
      </w:r>
    </w:p>
    <w:p>
      <w:pPr>
        <w:pStyle w:val="31"/>
        <w:spacing w:line="360" w:lineRule="auto"/>
        <w:rPr>
          <w:rFonts w:cs="宋体"/>
          <w:b w:val="0"/>
          <w:color w:val="auto"/>
          <w:sz w:val="36"/>
          <w:szCs w:val="36"/>
          <w:highlight w:val="none"/>
        </w:rPr>
      </w:pPr>
      <w:bookmarkStart w:id="0" w:name="_Toc97371941"/>
    </w:p>
    <w:p>
      <w:pPr>
        <w:spacing w:line="360" w:lineRule="auto"/>
        <w:jc w:val="center"/>
        <w:rPr>
          <w:rFonts w:ascii="宋体" w:hAnsi="宋体" w:cs="宋体"/>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第一章   采购邀请</w:t>
      </w:r>
      <w:bookmarkEnd w:id="0"/>
      <w:bookmarkStart w:id="1" w:name="_Toc28359079"/>
      <w:bookmarkStart w:id="2" w:name="_Toc28359002"/>
      <w:bookmarkStart w:id="3" w:name="_Toc35393621"/>
      <w:bookmarkStart w:id="4" w:name="_Toc35393790"/>
      <w:bookmarkStart w:id="5" w:name="_Hlk24379207"/>
    </w:p>
    <w:p>
      <w:pPr>
        <w:spacing w:line="360" w:lineRule="auto"/>
        <w:ind w:firstLine="480" w:firstLineChars="200"/>
        <w:rPr>
          <w:rFonts w:ascii="宋体" w:hAnsi="宋体" w:cs="宋体"/>
          <w:color w:val="auto"/>
          <w:sz w:val="24"/>
          <w:highlight w:val="none"/>
        </w:rPr>
      </w:pPr>
    </w:p>
    <w:p>
      <w:pPr>
        <w:pStyle w:val="3"/>
        <w:spacing w:before="0"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1"/>
      <w:bookmarkEnd w:id="2"/>
      <w:bookmarkEnd w:id="3"/>
      <w:bookmarkEnd w:id="4"/>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"http://103.83.45.82:8080/frontend/plan/project_detail_placard.html?projectUuid=77c16320-7fc7-4287-a5b0-0436c7011110&amp;viewMode=placard&amp;uuid=805371dfd4b04e8d83f7259faf6d8a65&amp;placardType=0&amp;packageIdList=null"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11011523210200015241-XM001</w:t>
      </w:r>
      <w:r>
        <w:rPr>
          <w:rFonts w:hint="eastAsia" w:ascii="宋体" w:hAnsi="宋体" w:cs="宋体"/>
          <w:color w:val="auto"/>
          <w:sz w:val="24"/>
          <w:highlight w:val="none"/>
        </w:rPr>
        <w:fldChar w:fldCharType="end"/>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政府扩建楼B区局部改造项目</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3.采购方式：竞争性磋商</w:t>
      </w:r>
    </w:p>
    <w:bookmarkEnd w:id="5"/>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4.项目预算金额：</w:t>
      </w:r>
      <w:r>
        <w:rPr>
          <w:rFonts w:hint="eastAsia" w:ascii="宋体" w:hAnsi="宋体" w:cs="宋体"/>
          <w:color w:val="auto"/>
          <w:sz w:val="24"/>
          <w:highlight w:val="none"/>
          <w:lang w:val="en-US" w:eastAsia="zh-CN"/>
        </w:rPr>
        <w:t>208.530664</w:t>
      </w:r>
      <w:r>
        <w:rPr>
          <w:rFonts w:hint="eastAsia" w:ascii="宋体" w:hAnsi="宋体" w:cs="宋体"/>
          <w:color w:val="auto"/>
          <w:sz w:val="24"/>
          <w:highlight w:val="none"/>
        </w:rPr>
        <w:t>万元</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5.招标控制价金额：208.530664万元</w:t>
      </w:r>
    </w:p>
    <w:p>
      <w:pPr>
        <w:spacing w:line="360" w:lineRule="auto"/>
        <w:ind w:left="1919" w:leftChars="228" w:hanging="1440" w:hangingChars="6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.采购需求：</w:t>
      </w:r>
      <w:r>
        <w:rPr>
          <w:rFonts w:hint="eastAsia" w:ascii="宋体" w:hAnsi="宋体" w:cs="宋体"/>
          <w:color w:val="auto"/>
          <w:sz w:val="24"/>
          <w:highlight w:val="none"/>
          <w:lang w:eastAsia="zh-CN"/>
        </w:rPr>
        <w:t>政府扩建楼B区局部改造项目</w:t>
      </w:r>
      <w:r>
        <w:rPr>
          <w:rFonts w:hint="eastAsia" w:ascii="宋体" w:hAnsi="宋体" w:eastAsia="宋体" w:cs="宋体"/>
          <w:color w:val="auto"/>
          <w:sz w:val="24"/>
          <w:highlight w:val="none"/>
        </w:rPr>
        <w:t>所示全部招标内容</w:t>
      </w:r>
      <w:r>
        <w:rPr>
          <w:rFonts w:hint="eastAsia" w:ascii="宋体" w:hAnsi="宋体" w:cs="宋体"/>
          <w:color w:val="auto"/>
          <w:sz w:val="24"/>
          <w:highlight w:val="none"/>
        </w:rPr>
        <w:t>（详见服务需求）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.服务期限 ：</w:t>
      </w:r>
      <w:r>
        <w:rPr>
          <w:rFonts w:hint="eastAsia" w:ascii="宋体" w:hAnsi="宋体" w:cs="宋体"/>
          <w:color w:val="auto"/>
          <w:sz w:val="24"/>
          <w:highlight w:val="none"/>
          <w:lang w:eastAsia="zh-CN"/>
        </w:rPr>
        <w:t>约</w:t>
      </w:r>
      <w:r>
        <w:rPr>
          <w:rFonts w:hint="eastAsia" w:ascii="宋体" w:hAnsi="宋体" w:cs="宋体"/>
          <w:color w:val="auto"/>
          <w:sz w:val="24"/>
          <w:highlight w:val="none"/>
          <w:lang w:val="en-US" w:eastAsia="zh-CN"/>
        </w:rPr>
        <w:t>100天</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.本项目是否接受联合体：</w:t>
      </w:r>
      <w:r>
        <w:rPr>
          <w:rFonts w:hint="eastAsia" w:ascii="宋体" w:hAnsi="宋体" w:cs="宋体"/>
          <w:color w:val="auto"/>
          <w:highlight w:val="none"/>
        </w:rPr>
        <w:t>□</w:t>
      </w:r>
      <w:r>
        <w:rPr>
          <w:rFonts w:hint="eastAsia" w:ascii="宋体" w:hAnsi="宋体" w:cs="宋体"/>
          <w:color w:val="auto"/>
          <w:sz w:val="24"/>
          <w:highlight w:val="none"/>
        </w:rPr>
        <w:t xml:space="preserve">是  </w:t>
      </w:r>
      <w:r>
        <w:rPr>
          <w:rFonts w:hint="eastAsia" w:ascii="宋体" w:hAnsi="宋体" w:cs="宋体"/>
          <w:color w:val="auto"/>
          <w:highlight w:val="none"/>
        </w:rPr>
        <w:t xml:space="preserve">☑ </w:t>
      </w:r>
      <w:r>
        <w:rPr>
          <w:rFonts w:hint="eastAsia" w:ascii="宋体" w:hAnsi="宋体" w:cs="宋体"/>
          <w:color w:val="auto"/>
          <w:sz w:val="24"/>
          <w:highlight w:val="none"/>
        </w:rPr>
        <w:t>否。</w:t>
      </w:r>
    </w:p>
    <w:p>
      <w:pPr>
        <w:pStyle w:val="3"/>
        <w:spacing w:before="0" w:line="360" w:lineRule="auto"/>
        <w:jc w:val="left"/>
        <w:rPr>
          <w:rFonts w:ascii="宋体" w:hAnsi="宋体" w:eastAsia="宋体" w:cs="宋体"/>
          <w:color w:val="auto"/>
          <w:sz w:val="24"/>
          <w:szCs w:val="24"/>
          <w:highlight w:val="none"/>
        </w:rPr>
      </w:pPr>
      <w:bookmarkStart w:id="6" w:name="_Toc35393622"/>
      <w:bookmarkStart w:id="7" w:name="_Toc28359003"/>
      <w:bookmarkStart w:id="8" w:name="_Toc28359080"/>
      <w:bookmarkStart w:id="9" w:name="_Toc35393791"/>
      <w:r>
        <w:rPr>
          <w:rFonts w:hint="eastAsia" w:ascii="宋体" w:hAnsi="宋体" w:eastAsia="宋体" w:cs="宋体"/>
          <w:color w:val="auto"/>
          <w:sz w:val="24"/>
          <w:szCs w:val="24"/>
          <w:highlight w:val="none"/>
        </w:rPr>
        <w:t>二、申请人的资格要求（须同时满足）</w:t>
      </w:r>
      <w:bookmarkEnd w:id="6"/>
      <w:bookmarkEnd w:id="7"/>
      <w:bookmarkEnd w:id="8"/>
      <w:bookmarkEnd w:id="9"/>
    </w:p>
    <w:p>
      <w:pPr>
        <w:spacing w:line="360" w:lineRule="auto"/>
        <w:ind w:firstLine="480" w:firstLineChars="200"/>
        <w:outlineLvl w:val="2"/>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w:t>
      </w:r>
    </w:p>
    <w:p>
      <w:pPr>
        <w:spacing w:line="360" w:lineRule="auto"/>
        <w:ind w:firstLine="480" w:firstLineChars="200"/>
        <w:outlineLvl w:val="2"/>
        <w:rPr>
          <w:rFonts w:ascii="宋体" w:hAnsi="宋体" w:cs="宋体"/>
          <w:color w:val="auto"/>
          <w:sz w:val="24"/>
          <w:highlight w:val="none"/>
        </w:rPr>
      </w:pPr>
      <w:bookmarkStart w:id="10" w:name="_Toc28359081"/>
      <w:bookmarkStart w:id="11" w:name="_Toc28359004"/>
      <w:r>
        <w:rPr>
          <w:rFonts w:hint="eastAsia" w:ascii="宋体" w:hAnsi="宋体" w:cs="宋体"/>
          <w:color w:val="auto"/>
          <w:sz w:val="24"/>
          <w:highlight w:val="none"/>
        </w:rPr>
        <w:t>2.落实政府采购政策需满足的资格要求：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pPr>
        <w:spacing w:line="360" w:lineRule="auto"/>
        <w:ind w:firstLine="420" w:firstLineChars="200"/>
        <w:rPr>
          <w:rFonts w:ascii="宋体" w:hAnsi="宋体" w:cs="宋体"/>
          <w:color w:val="auto"/>
          <w:sz w:val="24"/>
          <w:highlight w:val="none"/>
        </w:rPr>
      </w:pPr>
      <w:r>
        <w:rPr>
          <w:rFonts w:hint="eastAsia" w:ascii="宋体" w:hAnsi="宋体" w:cs="宋体"/>
          <w:color w:val="auto"/>
          <w:highlight w:val="none"/>
          <w:lang w:eastAsia="zh-CN"/>
        </w:rPr>
        <w:t>□</w:t>
      </w:r>
      <w:r>
        <w:rPr>
          <w:rFonts w:hint="eastAsia" w:ascii="宋体" w:hAnsi="宋体" w:cs="宋体"/>
          <w:color w:val="auto"/>
          <w:highlight w:val="none"/>
        </w:rPr>
        <w:t xml:space="preserve"> </w:t>
      </w:r>
      <w:r>
        <w:rPr>
          <w:rFonts w:hint="eastAsia" w:ascii="宋体" w:hAnsi="宋体" w:cs="宋体"/>
          <w:color w:val="auto"/>
          <w:sz w:val="24"/>
          <w:highlight w:val="none"/>
        </w:rPr>
        <w:t>本项目不专门面向中小企业预留采购份额。</w:t>
      </w:r>
    </w:p>
    <w:p>
      <w:pPr>
        <w:spacing w:line="360" w:lineRule="auto"/>
        <w:ind w:firstLine="420" w:firstLineChars="200"/>
        <w:rPr>
          <w:rFonts w:ascii="宋体" w:hAnsi="宋体" w:cs="宋体"/>
          <w:color w:val="auto"/>
          <w:sz w:val="24"/>
          <w:highlight w:val="none"/>
        </w:rPr>
      </w:pPr>
      <w:r>
        <w:rPr>
          <w:rFonts w:hint="eastAsia" w:ascii="宋体" w:hAnsi="宋体" w:eastAsia="宋体" w:cs="宋体"/>
          <w:i w:val="0"/>
          <w:iCs w:val="0"/>
          <w:caps w:val="0"/>
          <w:color w:val="404040"/>
          <w:spacing w:val="0"/>
          <w:sz w:val="21"/>
          <w:szCs w:val="21"/>
          <w:shd w:val="clear" w:fill="FFFFFF"/>
        </w:rPr>
        <w:t>▉</w:t>
      </w:r>
      <w:r>
        <w:rPr>
          <w:rFonts w:hint="eastAsia" w:ascii="宋体" w:hAnsi="宋体" w:cs="宋体"/>
          <w:color w:val="auto"/>
          <w:sz w:val="24"/>
          <w:highlight w:val="none"/>
        </w:rPr>
        <w:t xml:space="preserve">本项目专门面向  </w:t>
      </w:r>
      <w:r>
        <w:rPr>
          <w:rFonts w:hint="eastAsia" w:ascii="宋体" w:hAnsi="宋体" w:cs="宋体"/>
          <w:color w:val="auto"/>
          <w:highlight w:val="none"/>
          <w:lang w:eastAsia="zh-CN"/>
        </w:rPr>
        <w:t>□</w:t>
      </w:r>
      <w:r>
        <w:rPr>
          <w:rFonts w:hint="eastAsia" w:ascii="宋体" w:hAnsi="宋体" w:cs="宋体"/>
          <w:color w:val="auto"/>
          <w:sz w:val="24"/>
          <w:highlight w:val="none"/>
        </w:rPr>
        <w:t xml:space="preserve">中小 </w:t>
      </w:r>
      <w:r>
        <w:rPr>
          <w:rFonts w:hint="eastAsia" w:ascii="宋体" w:hAnsi="宋体" w:eastAsia="宋体" w:cs="宋体"/>
          <w:i w:val="0"/>
          <w:iCs w:val="0"/>
          <w:caps w:val="0"/>
          <w:color w:val="404040"/>
          <w:spacing w:val="0"/>
          <w:sz w:val="21"/>
          <w:szCs w:val="21"/>
          <w:shd w:val="clear" w:fill="FFFFFF"/>
        </w:rPr>
        <w:t>▉</w:t>
      </w:r>
      <w:r>
        <w:rPr>
          <w:rFonts w:hint="eastAsia" w:ascii="宋体" w:hAnsi="宋体" w:cs="宋体"/>
          <w:color w:val="auto"/>
          <w:sz w:val="24"/>
          <w:highlight w:val="none"/>
        </w:rPr>
        <w:t>小微企业  采购。即：提供的货物全部由符合政策要求的小微企业制造、服务全部由符合政策要求的小微企业承接。</w:t>
      </w:r>
    </w:p>
    <w:p>
      <w:pPr>
        <w:spacing w:line="360" w:lineRule="auto"/>
        <w:ind w:firstLine="420" w:firstLineChars="200"/>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其它落实政府采购政策的资格要求（如有）：</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（1）投标人必须符合《中华人民共和国政府采购法》第二十二条之规定；</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（2）落实政府采购政策需满足的资格要求：是否专门面向中小企业或小型、微型企业、监狱企业或残疾人福利性单位采购：</w:t>
      </w:r>
      <w:r>
        <w:rPr>
          <w:rFonts w:hint="eastAsia" w:ascii="宋体" w:hAnsi="宋体" w:cs="宋体"/>
          <w:color w:val="auto"/>
          <w:sz w:val="24"/>
          <w:highlight w:val="none"/>
          <w:lang w:eastAsia="zh-CN"/>
        </w:rPr>
        <w:t>是</w:t>
      </w:r>
      <w:r>
        <w:rPr>
          <w:rFonts w:hint="eastAsia" w:ascii="宋体" w:hAnsi="宋体" w:cs="宋体"/>
          <w:color w:val="auto"/>
          <w:sz w:val="24"/>
          <w:highlight w:val="none"/>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（3）供应商必须为未被列入信用中国网站(www.creditchina.gov.cn) 重大税收违法失信主体、中国执行信息公开网（http://zxgk.court.gov.cn/shixin/）失信被执行人、中国政府采购网(www.ccgp.gov.cn)政府采购严重违法失信行为信息记录；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（4）单位负责人为同一人或者存在直接控股、管理关系的不同供应商，不得同时参加本项目的投标活动；</w:t>
      </w:r>
    </w:p>
    <w:p>
      <w:pPr>
        <w:pStyle w:val="261"/>
        <w:spacing w:line="360" w:lineRule="auto"/>
        <w:ind w:firstLine="480" w:firstLineChars="200"/>
        <w:rPr>
          <w:rFonts w:ascii="宋体" w:hAnsi="宋体" w:cs="宋体"/>
          <w:color w:val="auto"/>
          <w:sz w:val="24"/>
          <w:highlight w:val="none"/>
        </w:rPr>
      </w:pPr>
      <w:r>
        <w:rPr>
          <w:rFonts w:hint="eastAsia" w:ascii="宋体" w:hAnsi="宋体"/>
          <w:color w:val="auto"/>
          <w:sz w:val="24"/>
          <w:szCs w:val="22"/>
          <w:highlight w:val="none"/>
        </w:rPr>
        <w:t>（5）</w:t>
      </w:r>
      <w:r>
        <w:rPr>
          <w:rFonts w:hint="eastAsia" w:ascii="宋体" w:hAnsi="宋体" w:cs="宋体"/>
          <w:color w:val="auto"/>
          <w:sz w:val="24"/>
          <w:highlight w:val="none"/>
        </w:rPr>
        <w:t>本项目不允许转包，不接受联合体投标。</w:t>
      </w:r>
    </w:p>
    <w:p>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2.3</w:t>
      </w:r>
      <w:r>
        <w:rPr>
          <w:rFonts w:hint="eastAsia" w:ascii="宋体" w:hAnsi="宋体" w:cs="宋体"/>
          <w:color w:val="auto"/>
          <w:sz w:val="24"/>
          <w:highlight w:val="none"/>
        </w:rPr>
        <w:t>本项目是否接受分支机构参与响应：</w:t>
      </w:r>
      <w:r>
        <w:rPr>
          <w:rFonts w:hint="eastAsia" w:ascii="宋体" w:hAnsi="宋体" w:cs="宋体"/>
          <w:color w:val="auto"/>
          <w:highlight w:val="none"/>
        </w:rPr>
        <w:t>□</w:t>
      </w:r>
      <w:r>
        <w:rPr>
          <w:rFonts w:hint="eastAsia" w:ascii="宋体" w:hAnsi="宋体" w:cs="宋体"/>
          <w:color w:val="auto"/>
          <w:sz w:val="24"/>
          <w:highlight w:val="none"/>
        </w:rPr>
        <w:t xml:space="preserve">是   </w:t>
      </w:r>
      <w:r>
        <w:rPr>
          <w:rFonts w:hint="eastAsia" w:ascii="宋体" w:hAnsi="宋体" w:cs="宋体"/>
          <w:color w:val="auto"/>
          <w:highlight w:val="none"/>
        </w:rPr>
        <w:t xml:space="preserve">☑ </w:t>
      </w:r>
      <w:r>
        <w:rPr>
          <w:rFonts w:hint="eastAsia" w:ascii="宋体" w:hAnsi="宋体" w:cs="宋体"/>
          <w:color w:val="auto"/>
          <w:sz w:val="24"/>
          <w:highlight w:val="none"/>
        </w:rPr>
        <w:t>否；</w:t>
      </w:r>
    </w:p>
    <w:p>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本项目是否属于政府购买服务：</w:t>
      </w:r>
    </w:p>
    <w:p>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否</w:t>
      </w:r>
    </w:p>
    <w:p>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是，公益一类事业单位、使用事业编制且由财政拨款保障的群团组织，不得作为承接主体；</w:t>
      </w:r>
    </w:p>
    <w:p>
      <w:pPr>
        <w:pStyle w:val="261"/>
        <w:widowControl/>
        <w:numPr>
          <w:ilvl w:val="0"/>
          <w:numId w:val="0"/>
        </w:numPr>
        <w:spacing w:before="0" w:line="360" w:lineRule="auto"/>
        <w:jc w:val="lef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rPr>
        <w:t>本项目的特定资格要求：</w:t>
      </w:r>
    </w:p>
    <w:p>
      <w:pPr>
        <w:pStyle w:val="261"/>
        <w:numPr>
          <w:ilvl w:val="0"/>
          <w:numId w:val="0"/>
        </w:numPr>
        <w:spacing w:line="360" w:lineRule="auto"/>
        <w:rPr>
          <w:rFonts w:hint="eastAsia" w:ascii="宋体" w:hAnsi="宋体" w:eastAsia="宋体" w:cs="Times New Roman"/>
          <w:color w:val="auto"/>
          <w:kern w:val="2"/>
          <w:sz w:val="24"/>
          <w:szCs w:val="22"/>
          <w:highlight w:val="none"/>
          <w:lang w:val="en-US" w:eastAsia="zh-CN" w:bidi="ar-SA"/>
        </w:rPr>
      </w:pPr>
      <w:r>
        <w:rPr>
          <w:rFonts w:hint="eastAsia" w:ascii="宋体" w:hAnsi="宋体" w:cs="宋体"/>
          <w:color w:val="auto"/>
          <w:sz w:val="24"/>
          <w:highlight w:val="none"/>
          <w:lang w:val="en-US" w:eastAsia="zh-CN"/>
        </w:rPr>
        <w:t xml:space="preserve">    </w:t>
      </w:r>
      <w:r>
        <w:rPr>
          <w:rFonts w:hint="eastAsia" w:ascii="宋体" w:hAnsi="宋体" w:eastAsia="宋体" w:cs="Times New Roman"/>
          <w:color w:val="auto"/>
          <w:kern w:val="2"/>
          <w:sz w:val="24"/>
          <w:szCs w:val="22"/>
          <w:highlight w:val="none"/>
          <w:lang w:val="en-US" w:eastAsia="zh-CN" w:bidi="ar-SA"/>
        </w:rPr>
        <w:t>（1）供应商应具有建筑工程施工总承包</w:t>
      </w:r>
      <w:r>
        <w:rPr>
          <w:rFonts w:hint="eastAsia" w:ascii="宋体" w:hAnsi="宋体" w:cs="Times New Roman"/>
          <w:color w:val="auto"/>
          <w:kern w:val="2"/>
          <w:sz w:val="24"/>
          <w:szCs w:val="22"/>
          <w:highlight w:val="none"/>
          <w:lang w:val="en-US" w:eastAsia="zh-CN" w:bidi="ar-SA"/>
        </w:rPr>
        <w:t>叁</w:t>
      </w:r>
      <w:r>
        <w:rPr>
          <w:rFonts w:hint="eastAsia" w:ascii="宋体" w:hAnsi="宋体" w:eastAsia="宋体" w:cs="Times New Roman"/>
          <w:color w:val="auto"/>
          <w:kern w:val="2"/>
          <w:sz w:val="24"/>
          <w:szCs w:val="22"/>
          <w:highlight w:val="none"/>
          <w:lang w:val="en-US" w:eastAsia="zh-CN" w:bidi="ar-SA"/>
        </w:rPr>
        <w:t>级 （含）以上资质，具有有效的安全生产许可证，并在人员、设备、资金等方面具有相应的施工能力；</w:t>
      </w:r>
    </w:p>
    <w:p>
      <w:pPr>
        <w:pStyle w:val="261"/>
        <w:numPr>
          <w:ilvl w:val="0"/>
          <w:numId w:val="0"/>
        </w:numPr>
        <w:spacing w:line="360" w:lineRule="auto"/>
        <w:rPr>
          <w:rFonts w:hint="eastAsia"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（2）供应商人拟派项目经理具备</w:t>
      </w:r>
      <w:r>
        <w:rPr>
          <w:rFonts w:hint="eastAsia" w:ascii="宋体" w:hAnsi="宋体" w:cs="Times New Roman"/>
          <w:color w:val="auto"/>
          <w:kern w:val="2"/>
          <w:sz w:val="24"/>
          <w:szCs w:val="22"/>
          <w:highlight w:val="none"/>
          <w:lang w:val="en-US" w:eastAsia="zh-CN" w:bidi="ar-SA"/>
        </w:rPr>
        <w:t>建筑工程</w:t>
      </w:r>
      <w:r>
        <w:rPr>
          <w:rFonts w:hint="eastAsia" w:ascii="宋体" w:hAnsi="宋体" w:eastAsia="宋体" w:cs="Times New Roman"/>
          <w:color w:val="auto"/>
          <w:kern w:val="2"/>
          <w:sz w:val="24"/>
          <w:szCs w:val="22"/>
          <w:highlight w:val="none"/>
          <w:lang w:val="en-US" w:eastAsia="zh-CN" w:bidi="ar-SA"/>
        </w:rPr>
        <w:t>专业二级（含及以上）注册建造师执业资格，具备有效的安全生产考核合格证书（B本），且在确定成交供应商时不得担任其他在施</w:t>
      </w:r>
      <w:r>
        <w:rPr>
          <w:rFonts w:hint="eastAsia" w:ascii="宋体" w:hAnsi="宋体" w:cs="Times New Roman"/>
          <w:color w:val="auto"/>
          <w:kern w:val="2"/>
          <w:sz w:val="24"/>
          <w:szCs w:val="22"/>
          <w:highlight w:val="none"/>
          <w:lang w:val="en-US" w:eastAsia="zh-CN" w:bidi="ar-SA"/>
        </w:rPr>
        <w:t>建筑</w:t>
      </w:r>
      <w:r>
        <w:rPr>
          <w:rFonts w:hint="eastAsia" w:ascii="宋体" w:hAnsi="宋体" w:eastAsia="宋体" w:cs="Times New Roman"/>
          <w:color w:val="auto"/>
          <w:kern w:val="2"/>
          <w:sz w:val="24"/>
          <w:szCs w:val="22"/>
          <w:highlight w:val="none"/>
          <w:lang w:val="en-US" w:eastAsia="zh-CN" w:bidi="ar-SA"/>
        </w:rPr>
        <w:t>工程项目的项目经理；</w:t>
      </w:r>
    </w:p>
    <w:p>
      <w:pPr>
        <w:pStyle w:val="261"/>
        <w:numPr>
          <w:ilvl w:val="0"/>
          <w:numId w:val="0"/>
        </w:numPr>
        <w:spacing w:line="360" w:lineRule="auto"/>
        <w:rPr>
          <w:rFonts w:hint="eastAsia"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（3）外地来京建筑企业在办理进京备案时，应当一并办理注册建造师备案手续，已办理备案的外地来京建筑企业注册建造师方可在本市行政区域内开展执业活动；</w:t>
      </w:r>
    </w:p>
    <w:p>
      <w:pPr>
        <w:pStyle w:val="3"/>
        <w:widowControl/>
        <w:numPr>
          <w:ilvl w:val="-1"/>
          <w:numId w:val="0"/>
        </w:numPr>
        <w:spacing w:before="0" w:line="360" w:lineRule="auto"/>
        <w:jc w:val="left"/>
        <w:rPr>
          <w:rFonts w:hint="default" w:ascii="宋体" w:hAnsi="宋体" w:eastAsia="黑体" w:cs="宋体"/>
          <w:color w:val="auto"/>
          <w:sz w:val="24"/>
          <w:highlight w:val="none"/>
          <w:lang w:val="en-US" w:eastAsia="zh-CN"/>
        </w:rPr>
      </w:pPr>
    </w:p>
    <w:bookmarkEnd w:id="10"/>
    <w:bookmarkEnd w:id="11"/>
    <w:p>
      <w:pPr>
        <w:pStyle w:val="3"/>
        <w:widowControl/>
        <w:numPr>
          <w:ilvl w:val="-1"/>
          <w:numId w:val="0"/>
        </w:numPr>
        <w:spacing w:before="0" w:line="360" w:lineRule="auto"/>
        <w:jc w:val="left"/>
        <w:rPr>
          <w:rFonts w:ascii="宋体" w:hAnsi="宋体" w:eastAsia="宋体" w:cs="宋体"/>
          <w:color w:val="auto"/>
          <w:sz w:val="24"/>
          <w:szCs w:val="24"/>
          <w:highlight w:val="none"/>
        </w:rPr>
      </w:pPr>
      <w:bookmarkStart w:id="12" w:name="_Toc35393623"/>
      <w:bookmarkStart w:id="13" w:name="_Toc35393792"/>
      <w:r>
        <w:rPr>
          <w:rFonts w:hint="eastAsia" w:ascii="宋体" w:hAnsi="宋体" w:eastAsia="宋体" w:cs="宋体"/>
          <w:color w:val="auto"/>
          <w:sz w:val="24"/>
          <w:szCs w:val="24"/>
          <w:highlight w:val="none"/>
        </w:rPr>
        <w:t>三、获取采购文件</w:t>
      </w:r>
      <w:bookmarkEnd w:id="12"/>
      <w:bookmarkEnd w:id="13"/>
    </w:p>
    <w:p>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1.时间：</w:t>
      </w:r>
      <w:r>
        <w:rPr>
          <w:rFonts w:hint="eastAsia" w:ascii="宋体" w:hAnsi="宋体" w:cs="宋体"/>
          <w:color w:val="auto"/>
          <w:sz w:val="24"/>
          <w:highlight w:val="none"/>
          <w:u w:val="single"/>
          <w:lang w:bidi="ar"/>
        </w:rPr>
        <w:t>2023年</w:t>
      </w:r>
      <w:r>
        <w:rPr>
          <w:rFonts w:hint="eastAsia" w:ascii="宋体" w:hAnsi="宋体" w:cs="宋体"/>
          <w:color w:val="auto"/>
          <w:sz w:val="24"/>
          <w:highlight w:val="none"/>
          <w:u w:val="single"/>
          <w:lang w:val="en-US" w:eastAsia="zh-CN" w:bidi="ar"/>
        </w:rPr>
        <w:t>12</w:t>
      </w:r>
      <w:r>
        <w:rPr>
          <w:rFonts w:hint="eastAsia" w:ascii="宋体" w:hAnsi="宋体" w:cs="宋体"/>
          <w:color w:val="auto"/>
          <w:sz w:val="24"/>
          <w:highlight w:val="none"/>
          <w:u w:val="single"/>
          <w:lang w:bidi="ar"/>
        </w:rPr>
        <w:t>月</w:t>
      </w:r>
      <w:r>
        <w:rPr>
          <w:rFonts w:hint="eastAsia" w:ascii="宋体" w:hAnsi="宋体" w:cs="宋体"/>
          <w:color w:val="auto"/>
          <w:sz w:val="24"/>
          <w:highlight w:val="none"/>
          <w:u w:val="single"/>
          <w:lang w:val="en-US" w:eastAsia="zh-CN" w:bidi="ar"/>
        </w:rPr>
        <w:t>11</w:t>
      </w:r>
      <w:r>
        <w:rPr>
          <w:rFonts w:hint="eastAsia" w:ascii="宋体" w:hAnsi="宋体" w:cs="宋体"/>
          <w:color w:val="auto"/>
          <w:sz w:val="24"/>
          <w:highlight w:val="none"/>
          <w:u w:val="single"/>
          <w:lang w:bidi="ar"/>
        </w:rPr>
        <w:t>日至2023年</w:t>
      </w:r>
      <w:r>
        <w:rPr>
          <w:rFonts w:hint="eastAsia" w:ascii="宋体" w:hAnsi="宋体" w:cs="宋体"/>
          <w:color w:val="auto"/>
          <w:sz w:val="24"/>
          <w:highlight w:val="none"/>
          <w:u w:val="single"/>
          <w:lang w:val="en-US" w:eastAsia="zh-CN" w:bidi="ar"/>
        </w:rPr>
        <w:t>12</w:t>
      </w:r>
      <w:r>
        <w:rPr>
          <w:rFonts w:hint="eastAsia" w:ascii="宋体" w:hAnsi="宋体" w:cs="宋体"/>
          <w:color w:val="auto"/>
          <w:sz w:val="24"/>
          <w:highlight w:val="none"/>
          <w:u w:val="single"/>
          <w:lang w:bidi="ar"/>
        </w:rPr>
        <w:t>月</w:t>
      </w:r>
      <w:r>
        <w:rPr>
          <w:rFonts w:hint="eastAsia" w:ascii="宋体" w:hAnsi="宋体" w:cs="宋体"/>
          <w:color w:val="auto"/>
          <w:sz w:val="24"/>
          <w:highlight w:val="none"/>
          <w:u w:val="single"/>
          <w:lang w:val="en-US" w:eastAsia="zh-CN" w:bidi="ar"/>
        </w:rPr>
        <w:t>15</w:t>
      </w:r>
      <w:r>
        <w:rPr>
          <w:rFonts w:hint="eastAsia" w:ascii="宋体" w:hAnsi="宋体" w:cs="宋体"/>
          <w:color w:val="auto"/>
          <w:sz w:val="24"/>
          <w:highlight w:val="none"/>
          <w:u w:val="single"/>
          <w:lang w:bidi="ar"/>
        </w:rPr>
        <w:t>日</w:t>
      </w:r>
      <w:r>
        <w:rPr>
          <w:rFonts w:hint="eastAsia" w:ascii="宋体" w:hAnsi="宋体" w:cs="宋体"/>
          <w:color w:val="auto"/>
          <w:sz w:val="24"/>
          <w:highlight w:val="none"/>
          <w:lang w:bidi="ar"/>
        </w:rPr>
        <w:t>，每天上午</w:t>
      </w:r>
      <w:r>
        <w:rPr>
          <w:rFonts w:hint="eastAsia" w:ascii="宋体" w:hAnsi="宋体" w:cs="宋体"/>
          <w:color w:val="auto"/>
          <w:sz w:val="24"/>
          <w:highlight w:val="none"/>
          <w:u w:val="single"/>
          <w:lang w:bidi="ar"/>
        </w:rPr>
        <w:t>09:00至11:00</w:t>
      </w:r>
      <w:r>
        <w:rPr>
          <w:rFonts w:hint="eastAsia" w:ascii="宋体" w:hAnsi="宋体" w:cs="宋体"/>
          <w:color w:val="auto"/>
          <w:sz w:val="24"/>
          <w:highlight w:val="none"/>
          <w:lang w:bidi="ar"/>
        </w:rPr>
        <w:t>，下午</w:t>
      </w:r>
      <w:r>
        <w:rPr>
          <w:rFonts w:hint="eastAsia" w:ascii="宋体" w:hAnsi="宋体" w:cs="宋体"/>
          <w:color w:val="auto"/>
          <w:sz w:val="24"/>
          <w:highlight w:val="none"/>
          <w:u w:val="single"/>
          <w:lang w:bidi="ar"/>
        </w:rPr>
        <w:t>14:00至16:00</w:t>
      </w:r>
      <w:r>
        <w:rPr>
          <w:rFonts w:hint="eastAsia" w:ascii="宋体" w:hAnsi="宋体" w:cs="宋体"/>
          <w:color w:val="auto"/>
          <w:sz w:val="24"/>
          <w:highlight w:val="none"/>
          <w:lang w:bidi="ar"/>
        </w:rPr>
        <w:t>（北京时间，法定节假日除外）。</w:t>
      </w:r>
    </w:p>
    <w:p>
      <w:pPr>
        <w:spacing w:line="440" w:lineRule="exact"/>
        <w:ind w:firstLine="420"/>
        <w:rPr>
          <w:rFonts w:hint="eastAsia" w:ascii="宋体" w:hAnsi="宋体" w:cs="宋体"/>
          <w:color w:val="auto"/>
          <w:sz w:val="24"/>
          <w:highlight w:val="none"/>
          <w:lang w:bidi="ar"/>
        </w:rPr>
      </w:pPr>
      <w:r>
        <w:rPr>
          <w:rFonts w:hint="eastAsia" w:ascii="宋体" w:hAnsi="宋体" w:cs="宋体"/>
          <w:color w:val="auto"/>
          <w:sz w:val="24"/>
          <w:highlight w:val="none"/>
          <w:lang w:bidi="ar"/>
        </w:rPr>
        <w:t>2.地点：北京市政府采购电子交易平台（http://zbcg-bjzc.zhongcy.com/bjczj-portal-site/index.html#/home）</w:t>
      </w:r>
    </w:p>
    <w:p>
      <w:pPr>
        <w:spacing w:line="440" w:lineRule="exact"/>
        <w:ind w:firstLine="420"/>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sz w:val="24"/>
          <w:highlight w:val="none"/>
          <w:lang w:bidi="ar"/>
        </w:rPr>
        <w:t>3.方式：</w:t>
      </w:r>
      <w:r>
        <w:rPr>
          <w:rFonts w:hint="eastAsia" w:ascii="宋体" w:hAnsi="宋体" w:eastAsia="宋体" w:cs="宋体"/>
          <w:color w:val="auto"/>
          <w:kern w:val="2"/>
          <w:sz w:val="24"/>
          <w:szCs w:val="24"/>
          <w:highlight w:val="none"/>
          <w:lang w:val="en-US" w:eastAsia="zh-CN" w:bidi="ar"/>
        </w:rPr>
        <w:t>线上获取，凡有意参加的供应商需注意以下事项：</w:t>
      </w:r>
    </w:p>
    <w:p>
      <w:pPr>
        <w:pStyle w:val="44"/>
        <w:ind w:left="0" w:leftChars="0" w:firstLine="0" w:firstLineChars="0"/>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凡有意参加本项目的潜在供应商，在北京市政府采购电子交易平台（http://zbcg-bjzc.zhongcy.com/bjczj-portal-site/index.html#/home），点击供应商入口进行主体注册及CA证书绑定，并按照操作提示在磋商文件获取时间内关注本项目及下载磋商文件</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工程量清单及施工图纸电子版</w:t>
      </w:r>
      <w:r>
        <w:rPr>
          <w:rFonts w:hint="eastAsia" w:ascii="宋体" w:hAnsi="宋体" w:cs="宋体"/>
          <w:color w:val="auto"/>
          <w:kern w:val="2"/>
          <w:sz w:val="24"/>
          <w:szCs w:val="24"/>
          <w:highlight w:val="none"/>
          <w:lang w:val="en-US" w:eastAsia="zh-CN" w:bidi="ar"/>
        </w:rPr>
        <w:t>.</w:t>
      </w:r>
    </w:p>
    <w:p>
      <w:pPr>
        <w:pStyle w:val="44"/>
        <w:ind w:left="0" w:leftChars="0" w:firstLine="0" w:firstLineChars="0"/>
        <w:rPr>
          <w:color w:val="auto"/>
          <w:highlight w:val="none"/>
        </w:rPr>
      </w:pPr>
      <w:r>
        <w:rPr>
          <w:rFonts w:hint="eastAsia" w:ascii="宋体" w:hAnsi="宋体" w:cs="宋体"/>
          <w:b/>
          <w:bCs/>
          <w:color w:val="auto"/>
          <w:kern w:val="0"/>
          <w:szCs w:val="24"/>
          <w:highlight w:val="none"/>
        </w:rPr>
        <w:t>售价：</w:t>
      </w:r>
      <w:r>
        <w:rPr>
          <w:rFonts w:hint="eastAsia" w:ascii="宋体" w:hAnsi="宋体" w:cs="宋体"/>
          <w:b/>
          <w:bCs/>
          <w:color w:val="auto"/>
          <w:kern w:val="0"/>
          <w:szCs w:val="24"/>
          <w:highlight w:val="none"/>
          <w:lang w:val="en-US" w:eastAsia="zh-CN"/>
        </w:rPr>
        <w:t>0</w:t>
      </w:r>
      <w:r>
        <w:rPr>
          <w:rFonts w:hint="eastAsia" w:ascii="宋体" w:hAnsi="宋体" w:cs="宋体"/>
          <w:b/>
          <w:bCs/>
          <w:color w:val="auto"/>
          <w:kern w:val="0"/>
          <w:szCs w:val="24"/>
          <w:highlight w:val="none"/>
        </w:rPr>
        <w:t>元。</w:t>
      </w:r>
    </w:p>
    <w:p>
      <w:pPr>
        <w:pStyle w:val="3"/>
        <w:widowControl/>
        <w:spacing w:line="440" w:lineRule="exact"/>
        <w:ind w:firstLine="482" w:firstLineChars="200"/>
        <w:jc w:val="left"/>
        <w:rPr>
          <w:rFonts w:hint="eastAsia" w:ascii="宋体" w:hAnsi="宋体" w:eastAsia="宋体" w:cs="宋体"/>
          <w:color w:val="auto"/>
          <w:sz w:val="24"/>
          <w:szCs w:val="24"/>
          <w:highlight w:val="none"/>
        </w:rPr>
      </w:pPr>
      <w:bookmarkStart w:id="14" w:name="_Toc28359005"/>
      <w:bookmarkStart w:id="15" w:name="_Toc35393624"/>
      <w:bookmarkStart w:id="16" w:name="_Toc35393793"/>
      <w:bookmarkStart w:id="17" w:name="_Toc28359082"/>
    </w:p>
    <w:p>
      <w:pPr>
        <w:pStyle w:val="3"/>
        <w:widowControl/>
        <w:spacing w:line="440" w:lineRule="exact"/>
        <w:ind w:firstLine="482" w:firstLineChars="200"/>
        <w:jc w:val="left"/>
        <w:rPr>
          <w:rFonts w:ascii="宋体" w:hAnsi="宋体" w:cs="宋体"/>
          <w:color w:val="auto"/>
          <w:sz w:val="24"/>
          <w:highlight w:val="none"/>
          <w:lang w:bidi="ar"/>
        </w:rPr>
      </w:pPr>
      <w:r>
        <w:rPr>
          <w:rFonts w:hint="eastAsia" w:ascii="宋体" w:hAnsi="宋体" w:eastAsia="宋体" w:cs="宋体"/>
          <w:color w:val="auto"/>
          <w:sz w:val="24"/>
          <w:szCs w:val="24"/>
          <w:highlight w:val="none"/>
        </w:rPr>
        <w:t>四、</w:t>
      </w:r>
      <w:bookmarkEnd w:id="14"/>
      <w:bookmarkEnd w:id="15"/>
      <w:bookmarkEnd w:id="16"/>
      <w:bookmarkEnd w:id="17"/>
      <w:r>
        <w:rPr>
          <w:rFonts w:hint="eastAsia" w:ascii="宋体" w:hAnsi="宋体" w:eastAsia="宋体" w:cs="宋体"/>
          <w:color w:val="auto"/>
          <w:sz w:val="24"/>
          <w:szCs w:val="24"/>
          <w:highlight w:val="none"/>
        </w:rPr>
        <w:t>响应文件提交</w:t>
      </w:r>
    </w:p>
    <w:p>
      <w:pPr>
        <w:spacing w:line="360" w:lineRule="auto"/>
        <w:ind w:firstLine="480" w:firstLineChars="200"/>
        <w:rPr>
          <w:rFonts w:hint="eastAsia" w:ascii="宋体" w:hAnsi="宋体" w:cs="宋体"/>
          <w:color w:val="auto"/>
          <w:sz w:val="24"/>
          <w:highlight w:val="none"/>
          <w:lang w:bidi="ar"/>
        </w:rPr>
      </w:pPr>
    </w:p>
    <w:p>
      <w:pPr>
        <w:spacing w:line="360" w:lineRule="auto"/>
        <w:ind w:firstLine="480" w:firstLineChars="200"/>
        <w:rPr>
          <w:rFonts w:ascii="宋体" w:hAnsi="宋体" w:cs="宋体"/>
          <w:bCs/>
          <w:color w:val="auto"/>
          <w:sz w:val="24"/>
          <w:highlight w:val="none"/>
          <w:u w:val="single"/>
        </w:rPr>
      </w:pPr>
      <w:r>
        <w:rPr>
          <w:rFonts w:hint="eastAsia" w:ascii="宋体" w:hAnsi="宋体" w:cs="宋体"/>
          <w:color w:val="auto"/>
          <w:sz w:val="24"/>
          <w:highlight w:val="none"/>
          <w:lang w:bidi="ar"/>
        </w:rPr>
        <w:t>截止时间：</w:t>
      </w:r>
      <w:r>
        <w:rPr>
          <w:rFonts w:hint="eastAsia" w:ascii="宋体" w:hAnsi="宋体" w:cs="宋体"/>
          <w:color w:val="auto"/>
          <w:sz w:val="24"/>
          <w:highlight w:val="none"/>
        </w:rPr>
        <w:t>2023年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bidi="ar"/>
        </w:rPr>
        <w:t>点</w:t>
      </w:r>
      <w:r>
        <w:rPr>
          <w:rFonts w:hint="eastAsia" w:ascii="宋体" w:hAnsi="宋体" w:cs="宋体"/>
          <w:color w:val="auto"/>
          <w:sz w:val="24"/>
          <w:highlight w:val="none"/>
        </w:rPr>
        <w:t>30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p>
    <w:p>
      <w:pPr>
        <w:spacing w:line="360" w:lineRule="auto"/>
        <w:ind w:firstLine="480" w:firstLineChars="200"/>
        <w:rPr>
          <w:rFonts w:ascii="宋体" w:hAnsi="宋体" w:cs="宋体"/>
          <w:color w:val="auto"/>
          <w:sz w:val="24"/>
          <w:highlight w:val="none"/>
          <w:lang w:val="zh-TW" w:bidi="ar"/>
        </w:rPr>
      </w:pPr>
      <w:r>
        <w:rPr>
          <w:rFonts w:hint="eastAsia" w:ascii="宋体" w:hAnsi="宋体" w:cs="宋体"/>
          <w:color w:val="auto"/>
          <w:sz w:val="24"/>
          <w:highlight w:val="none"/>
          <w:lang w:bidi="ar"/>
        </w:rPr>
        <w:t>地点：</w:t>
      </w:r>
      <w:r>
        <w:rPr>
          <w:rFonts w:hint="eastAsia" w:ascii="宋体" w:hAnsi="宋体" w:cs="宋体"/>
          <w:color w:val="auto"/>
          <w:sz w:val="24"/>
          <w:highlight w:val="none"/>
          <w:lang w:eastAsia="zh-CN" w:bidi="ar"/>
        </w:rPr>
        <w:t>北京市大兴区清城商务楼B座1507室</w:t>
      </w:r>
    </w:p>
    <w:p>
      <w:pPr>
        <w:pStyle w:val="3"/>
        <w:spacing w:before="0"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pPr>
        <w:spacing w:line="360" w:lineRule="auto"/>
        <w:ind w:firstLine="480" w:firstLineChars="200"/>
        <w:rPr>
          <w:rFonts w:ascii="宋体" w:hAnsi="宋体" w:cs="宋体"/>
          <w:bCs/>
          <w:color w:val="auto"/>
          <w:sz w:val="24"/>
          <w:highlight w:val="none"/>
          <w:u w:val="single"/>
        </w:rPr>
      </w:pPr>
      <w:r>
        <w:rPr>
          <w:rFonts w:hint="eastAsia" w:ascii="宋体" w:hAnsi="宋体" w:cs="宋体"/>
          <w:color w:val="auto"/>
          <w:sz w:val="24"/>
          <w:highlight w:val="none"/>
          <w:lang w:bidi="ar"/>
        </w:rPr>
        <w:t>时间：</w:t>
      </w:r>
      <w:r>
        <w:rPr>
          <w:rFonts w:hint="eastAsia" w:ascii="宋体" w:hAnsi="宋体" w:cs="宋体"/>
          <w:color w:val="auto"/>
          <w:sz w:val="24"/>
          <w:highlight w:val="none"/>
        </w:rPr>
        <w:t>2023年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bidi="ar"/>
        </w:rPr>
        <w:t>点</w:t>
      </w:r>
      <w:r>
        <w:rPr>
          <w:rFonts w:hint="eastAsia" w:ascii="宋体" w:hAnsi="宋体" w:cs="宋体"/>
          <w:color w:val="auto"/>
          <w:sz w:val="24"/>
          <w:highlight w:val="none"/>
        </w:rPr>
        <w:t>30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p>
    <w:p>
      <w:pPr>
        <w:spacing w:line="360" w:lineRule="auto"/>
        <w:ind w:firstLine="480" w:firstLineChars="200"/>
        <w:rPr>
          <w:rFonts w:ascii="宋体" w:hAnsi="宋体" w:cs="宋体"/>
          <w:bCs/>
          <w:color w:val="auto"/>
          <w:sz w:val="24"/>
          <w:highlight w:val="none"/>
          <w:u w:val="single"/>
        </w:rPr>
      </w:pPr>
      <w:r>
        <w:rPr>
          <w:rFonts w:hint="eastAsia" w:ascii="宋体" w:hAnsi="宋体" w:cs="宋体"/>
          <w:color w:val="auto"/>
          <w:sz w:val="24"/>
          <w:highlight w:val="none"/>
          <w:lang w:bidi="ar"/>
        </w:rPr>
        <w:t>地点：</w:t>
      </w:r>
      <w:r>
        <w:rPr>
          <w:rFonts w:hint="eastAsia" w:ascii="宋体" w:hAnsi="宋体" w:cs="宋体"/>
          <w:color w:val="auto"/>
          <w:sz w:val="24"/>
          <w:highlight w:val="none"/>
          <w:lang w:eastAsia="zh-CN" w:bidi="ar"/>
        </w:rPr>
        <w:t>北京市大兴区清城商务楼B座1507室</w:t>
      </w:r>
    </w:p>
    <w:p>
      <w:pPr>
        <w:pStyle w:val="3"/>
        <w:spacing w:before="0" w:line="360" w:lineRule="auto"/>
        <w:jc w:val="left"/>
        <w:rPr>
          <w:rFonts w:ascii="宋体" w:hAnsi="宋体" w:eastAsia="宋体" w:cs="宋体"/>
          <w:color w:val="auto"/>
          <w:sz w:val="24"/>
          <w:szCs w:val="24"/>
          <w:highlight w:val="none"/>
        </w:rPr>
      </w:pPr>
      <w:bookmarkStart w:id="18" w:name="_Toc28359007"/>
      <w:bookmarkStart w:id="19" w:name="_Toc35393625"/>
      <w:bookmarkStart w:id="20" w:name="_Toc35393794"/>
      <w:bookmarkStart w:id="21" w:name="_Toc28359084"/>
      <w:r>
        <w:rPr>
          <w:rFonts w:hint="eastAsia" w:ascii="宋体" w:hAnsi="宋体" w:eastAsia="宋体" w:cs="宋体"/>
          <w:color w:val="auto"/>
          <w:sz w:val="24"/>
          <w:szCs w:val="24"/>
          <w:highlight w:val="none"/>
        </w:rPr>
        <w:t>六、公告期限</w:t>
      </w:r>
      <w:bookmarkEnd w:id="18"/>
      <w:bookmarkEnd w:id="19"/>
      <w:bookmarkEnd w:id="20"/>
      <w:bookmarkEnd w:id="21"/>
    </w:p>
    <w:p>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自本公告发布之日起3个工作日。</w:t>
      </w:r>
    </w:p>
    <w:p>
      <w:pPr>
        <w:pStyle w:val="3"/>
        <w:spacing w:before="0" w:line="360" w:lineRule="auto"/>
        <w:jc w:val="left"/>
        <w:rPr>
          <w:rFonts w:ascii="宋体" w:hAnsi="宋体" w:eastAsia="宋体" w:cs="宋体"/>
          <w:b w:val="0"/>
          <w:bCs/>
          <w:color w:val="auto"/>
          <w:sz w:val="24"/>
          <w:highlight w:val="none"/>
          <w:lang w:bidi="ar"/>
        </w:rPr>
      </w:pPr>
      <w:bookmarkStart w:id="22" w:name="_Toc35393627"/>
      <w:bookmarkStart w:id="23" w:name="_Toc35393796"/>
      <w:bookmarkStart w:id="24" w:name="_Toc28359008"/>
      <w:bookmarkStart w:id="25" w:name="_Toc28359085"/>
      <w:r>
        <w:rPr>
          <w:rFonts w:hint="eastAsia" w:ascii="宋体" w:hAnsi="宋体" w:eastAsia="宋体" w:cs="宋体"/>
          <w:color w:val="auto"/>
          <w:sz w:val="24"/>
          <w:highlight w:val="none"/>
        </w:rPr>
        <w:t>七、本项目需要落实的政府采购政策</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bidi="ar"/>
        </w:rPr>
        <w:t>符合《中华人民共和国政府采购法》（主席令第68号）、《中华人民共和国政府采购法实施条例》（中华人民共和国国务院令第658号）、《政府采购货物和服务招标投标管理办法》（财政部令第87号）、《关于中国环境标志产品政府采购实施的意见》（财库[2006]90号）、《国务院办公厅关于建立政府强制采购节能产品制度的通知》（国办发【2007】51号）、《关于开展政府采购信用担保试点工作的通知》（财库【2011】124号）、《政府采购促进中小企业发展管理办法》（财库﹝2020﹞46 号）、《财政部、司法部关于政府采购支持监狱企业发展有关问题的通知》（财库【2014】68号）等相关条例和国家相关法律法规规定。</w:t>
      </w:r>
    </w:p>
    <w:p>
      <w:pPr>
        <w:pStyle w:val="4"/>
        <w:ind w:firstLine="0"/>
        <w:rPr>
          <w:rFonts w:hAnsi="宋体" w:cs="宋体"/>
          <w:b/>
          <w:bCs/>
          <w:color w:val="auto"/>
          <w:highlight w:val="none"/>
        </w:rPr>
      </w:pPr>
    </w:p>
    <w:p>
      <w:pPr>
        <w:pStyle w:val="4"/>
        <w:ind w:firstLine="0"/>
        <w:rPr>
          <w:b/>
          <w:bCs/>
          <w:color w:val="auto"/>
          <w:highlight w:val="none"/>
        </w:rPr>
      </w:pPr>
      <w:r>
        <w:rPr>
          <w:rFonts w:hint="eastAsia" w:hAnsi="宋体" w:cs="宋体"/>
          <w:b/>
          <w:bCs/>
          <w:color w:val="auto"/>
          <w:highlight w:val="none"/>
        </w:rPr>
        <w:t>八、其他补充事宜</w:t>
      </w:r>
    </w:p>
    <w:p>
      <w:pPr>
        <w:pStyle w:val="4"/>
        <w:ind w:firstLine="1200" w:firstLineChars="500"/>
        <w:rPr>
          <w:color w:val="auto"/>
          <w:highlight w:val="none"/>
        </w:rPr>
      </w:pPr>
      <w:r>
        <w:rPr>
          <w:rFonts w:hint="eastAsia"/>
          <w:color w:val="auto"/>
          <w:highlight w:val="none"/>
        </w:rPr>
        <w:t>无</w:t>
      </w:r>
    </w:p>
    <w:p>
      <w:pPr>
        <w:pStyle w:val="4"/>
        <w:rPr>
          <w:rFonts w:hAnsi="宋体" w:cs="宋体"/>
          <w:color w:val="auto"/>
          <w:highlight w:val="none"/>
        </w:rPr>
      </w:pPr>
    </w:p>
    <w:p>
      <w:pPr>
        <w:pStyle w:val="3"/>
        <w:spacing w:before="0"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九、对本项目提出询问，请按以下方式联系。</w:t>
      </w:r>
      <w:bookmarkEnd w:id="22"/>
      <w:bookmarkEnd w:id="23"/>
      <w:bookmarkEnd w:id="24"/>
      <w:bookmarkEnd w:id="25"/>
    </w:p>
    <w:p>
      <w:pPr>
        <w:widowControl/>
        <w:spacing w:line="360" w:lineRule="auto"/>
        <w:jc w:val="left"/>
        <w:outlineLvl w:val="2"/>
        <w:rPr>
          <w:rFonts w:ascii="宋体" w:hAnsi="宋体" w:cs="宋体"/>
          <w:b/>
          <w:color w:val="auto"/>
          <w:sz w:val="24"/>
          <w:highlight w:val="none"/>
        </w:rPr>
      </w:pPr>
      <w:r>
        <w:rPr>
          <w:rFonts w:hint="eastAsia" w:ascii="宋体" w:hAnsi="宋体" w:cs="宋体"/>
          <w:color w:val="auto"/>
          <w:sz w:val="24"/>
          <w:highlight w:val="none"/>
        </w:rPr>
        <w:t>　　　</w:t>
      </w:r>
      <w:r>
        <w:rPr>
          <w:rFonts w:hint="eastAsia" w:ascii="宋体" w:hAnsi="宋体" w:cs="宋体"/>
          <w:b/>
          <w:color w:val="auto"/>
          <w:sz w:val="24"/>
          <w:highlight w:val="none"/>
        </w:rPr>
        <w:t>1.采购人信息</w:t>
      </w:r>
    </w:p>
    <w:p>
      <w:pPr>
        <w:spacing w:line="360" w:lineRule="auto"/>
        <w:ind w:left="1076" w:leftChars="371" w:hanging="297" w:hangingChars="124"/>
        <w:jc w:val="left"/>
        <w:rPr>
          <w:rFonts w:ascii="宋体" w:hAnsi="宋体" w:cs="宋体"/>
          <w:color w:val="auto"/>
          <w:sz w:val="24"/>
          <w:highlight w:val="none"/>
        </w:rPr>
      </w:pPr>
      <w:bookmarkStart w:id="26" w:name="_Toc28359086"/>
      <w:bookmarkStart w:id="27" w:name="_Toc28359009"/>
      <w:r>
        <w:rPr>
          <w:rFonts w:hint="eastAsia" w:ascii="宋体" w:hAnsi="宋体" w:cs="宋体"/>
          <w:color w:val="auto"/>
          <w:sz w:val="24"/>
          <w:highlight w:val="none"/>
        </w:rPr>
        <w:t>名    称：北京市大兴区采育镇人民政府</w:t>
      </w:r>
    </w:p>
    <w:p>
      <w:pPr>
        <w:spacing w:line="360" w:lineRule="auto"/>
        <w:ind w:left="1076" w:leftChars="371" w:hanging="297" w:hangingChars="124"/>
        <w:jc w:val="left"/>
        <w:rPr>
          <w:rFonts w:ascii="宋体" w:hAnsi="宋体" w:cs="宋体"/>
          <w:color w:val="auto"/>
          <w:sz w:val="24"/>
          <w:highlight w:val="none"/>
        </w:rPr>
      </w:pPr>
      <w:r>
        <w:rPr>
          <w:rFonts w:hint="eastAsia" w:ascii="宋体" w:hAnsi="宋体" w:cs="宋体"/>
          <w:color w:val="auto"/>
          <w:sz w:val="24"/>
          <w:highlight w:val="none"/>
        </w:rPr>
        <w:t>地    址：北京市大兴区采育镇育政街9号</w:t>
      </w:r>
    </w:p>
    <w:p>
      <w:pPr>
        <w:spacing w:line="360" w:lineRule="auto"/>
        <w:ind w:left="1076" w:leftChars="371" w:hanging="297" w:hangingChars="124"/>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联系方式：侯蕾，010-8027</w:t>
      </w:r>
      <w:r>
        <w:rPr>
          <w:rFonts w:hint="eastAsia" w:ascii="宋体" w:hAnsi="宋体" w:cs="宋体"/>
          <w:color w:val="auto"/>
          <w:sz w:val="24"/>
          <w:highlight w:val="none"/>
          <w:lang w:eastAsia="zh-CN"/>
        </w:rPr>
        <w:t>5</w:t>
      </w:r>
      <w:r>
        <w:rPr>
          <w:rFonts w:hint="eastAsia" w:ascii="宋体" w:hAnsi="宋体" w:cs="宋体"/>
          <w:color w:val="auto"/>
          <w:sz w:val="24"/>
          <w:highlight w:val="none"/>
          <w:lang w:val="en-US" w:eastAsia="zh-CN"/>
        </w:rPr>
        <w:t>567</w:t>
      </w:r>
    </w:p>
    <w:p>
      <w:pPr>
        <w:spacing w:line="360" w:lineRule="auto"/>
        <w:ind w:left="1078" w:leftChars="371" w:hanging="299" w:hangingChars="124"/>
        <w:jc w:val="left"/>
        <w:outlineLvl w:val="2"/>
        <w:rPr>
          <w:rFonts w:ascii="宋体" w:hAnsi="宋体" w:cs="宋体"/>
          <w:b/>
          <w:color w:val="auto"/>
          <w:sz w:val="24"/>
          <w:highlight w:val="none"/>
        </w:rPr>
      </w:pPr>
      <w:r>
        <w:rPr>
          <w:rFonts w:hint="eastAsia" w:ascii="宋体" w:hAnsi="宋体" w:cs="宋体"/>
          <w:b/>
          <w:color w:val="auto"/>
          <w:sz w:val="24"/>
          <w:highlight w:val="none"/>
        </w:rPr>
        <w:t>2.采购代理机构信息</w:t>
      </w:r>
      <w:bookmarkEnd w:id="26"/>
      <w:bookmarkEnd w:id="27"/>
    </w:p>
    <w:p>
      <w:pPr>
        <w:spacing w:line="360" w:lineRule="auto"/>
        <w:ind w:left="1076" w:leftChars="371" w:hanging="297" w:hangingChars="124"/>
        <w:jc w:val="left"/>
        <w:rPr>
          <w:rFonts w:ascii="宋体" w:hAnsi="宋体" w:cs="宋体"/>
          <w:color w:val="auto"/>
          <w:sz w:val="24"/>
          <w:highlight w:val="none"/>
        </w:rPr>
      </w:pPr>
      <w:bookmarkStart w:id="28" w:name="_Toc28359010"/>
      <w:bookmarkStart w:id="29" w:name="_Toc28359087"/>
      <w:r>
        <w:rPr>
          <w:rFonts w:hint="eastAsia" w:ascii="宋体" w:hAnsi="宋体" w:cs="宋体"/>
          <w:color w:val="auto"/>
          <w:sz w:val="24"/>
          <w:highlight w:val="none"/>
        </w:rPr>
        <w:t>名    称：北京中兴天诚招标代理有限公司</w:t>
      </w:r>
    </w:p>
    <w:p>
      <w:pPr>
        <w:spacing w:line="360" w:lineRule="auto"/>
        <w:ind w:left="1076" w:leftChars="371" w:hanging="297" w:hangingChars="124"/>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北京市大兴区清城商务楼B座1507室</w:t>
      </w:r>
    </w:p>
    <w:p>
      <w:pPr>
        <w:spacing w:line="360" w:lineRule="auto"/>
        <w:ind w:left="1076" w:leftChars="371" w:hanging="297" w:hangingChars="124"/>
        <w:jc w:val="left"/>
        <w:rPr>
          <w:rFonts w:ascii="宋体" w:hAnsi="宋体" w:cs="宋体"/>
          <w:color w:val="auto"/>
          <w:sz w:val="24"/>
          <w:highlight w:val="none"/>
          <w:u w:val="single"/>
        </w:rPr>
      </w:pPr>
      <w:r>
        <w:rPr>
          <w:rFonts w:hint="eastAsia" w:ascii="宋体" w:hAnsi="宋体" w:cs="宋体"/>
          <w:color w:val="auto"/>
          <w:sz w:val="24"/>
          <w:highlight w:val="none"/>
        </w:rPr>
        <w:t>联系方式：18519302389</w:t>
      </w:r>
    </w:p>
    <w:p>
      <w:pPr>
        <w:spacing w:line="360" w:lineRule="auto"/>
        <w:ind w:left="1078" w:leftChars="371" w:hanging="299" w:hangingChars="124"/>
        <w:outlineLvl w:val="2"/>
        <w:rPr>
          <w:rFonts w:ascii="宋体" w:hAnsi="宋体" w:cs="宋体"/>
          <w:b/>
          <w:color w:val="auto"/>
          <w:sz w:val="24"/>
          <w:highlight w:val="none"/>
          <w:u w:val="single"/>
        </w:rPr>
      </w:pPr>
      <w:r>
        <w:rPr>
          <w:rFonts w:hint="eastAsia" w:ascii="宋体" w:hAnsi="宋体" w:cs="宋体"/>
          <w:b/>
          <w:color w:val="auto"/>
          <w:sz w:val="24"/>
          <w:highlight w:val="none"/>
        </w:rPr>
        <w:t>3.项目联系方式</w:t>
      </w:r>
      <w:bookmarkEnd w:id="28"/>
      <w:bookmarkEnd w:id="29"/>
    </w:p>
    <w:p>
      <w:pPr>
        <w:pStyle w:val="24"/>
        <w:spacing w:line="360" w:lineRule="auto"/>
        <w:ind w:left="1076" w:leftChars="371" w:hanging="297" w:hangingChars="124"/>
        <w:rPr>
          <w:rFonts w:hint="default" w:hAnsi="宋体" w:cs="宋体"/>
          <w:color w:val="auto"/>
          <w:sz w:val="24"/>
          <w:highlight w:val="none"/>
          <w:u w:val="single"/>
          <w:lang w:bidi="ar"/>
        </w:rPr>
      </w:pPr>
      <w:r>
        <w:rPr>
          <w:rFonts w:hAnsi="宋体" w:cs="宋体"/>
          <w:color w:val="auto"/>
          <w:sz w:val="24"/>
          <w:szCs w:val="24"/>
          <w:highlight w:val="none"/>
        </w:rPr>
        <w:t>项目联系人：</w:t>
      </w:r>
      <w:r>
        <w:rPr>
          <w:rFonts w:hAnsi="宋体" w:cs="宋体"/>
          <w:color w:val="auto"/>
          <w:sz w:val="24"/>
          <w:highlight w:val="none"/>
        </w:rPr>
        <w:t xml:space="preserve">孙工 </w:t>
      </w:r>
    </w:p>
    <w:p>
      <w:pPr>
        <w:pStyle w:val="24"/>
        <w:spacing w:line="360" w:lineRule="auto"/>
        <w:ind w:left="1076" w:leftChars="371" w:hanging="297" w:hangingChars="124"/>
        <w:rPr>
          <w:rFonts w:hint="eastAsia" w:ascii="宋体" w:hAnsi="宋体" w:cs="宋体"/>
          <w:b/>
          <w:color w:val="auto"/>
          <w:sz w:val="36"/>
          <w:szCs w:val="36"/>
          <w:highlight w:val="none"/>
        </w:rPr>
      </w:pPr>
      <w:r>
        <w:rPr>
          <w:rFonts w:hAnsi="宋体" w:cs="宋体"/>
          <w:color w:val="auto"/>
          <w:sz w:val="24"/>
          <w:highlight w:val="none"/>
        </w:rPr>
        <w:t>电      话：18519302389</w:t>
      </w:r>
      <w:bookmarkStart w:id="30" w:name="_Toc265228423"/>
      <w:bookmarkStart w:id="31" w:name="_Toc127151777"/>
      <w:bookmarkStart w:id="32" w:name="_Toc264969275"/>
      <w:bookmarkStart w:id="33" w:name="_Toc127161488"/>
      <w:bookmarkStart w:id="34" w:name="_Toc150774783"/>
      <w:bookmarkStart w:id="35" w:name="_Toc512937850"/>
      <w:bookmarkStart w:id="36" w:name="_Toc305158854"/>
      <w:bookmarkStart w:id="37" w:name="_Toc97371942"/>
      <w:bookmarkStart w:id="38" w:name="_Toc195842950"/>
      <w:bookmarkStart w:id="39" w:name="_Toc353873938"/>
      <w:bookmarkStart w:id="40" w:name="_Toc305158928"/>
      <w:bookmarkStart w:id="41" w:name="_Toc226965856"/>
      <w:bookmarkStart w:id="42" w:name="_Toc353825548"/>
    </w:p>
    <w:p>
      <w:pPr>
        <w:spacing w:line="360" w:lineRule="auto"/>
        <w:jc w:val="center"/>
        <w:outlineLvl w:val="0"/>
        <w:rPr>
          <w:rFonts w:ascii="宋体" w:hAnsi="宋体" w:cs="宋体"/>
          <w:b/>
          <w:color w:val="auto"/>
          <w:sz w:val="32"/>
          <w:szCs w:val="32"/>
          <w:highlight w:val="none"/>
        </w:rPr>
      </w:pPr>
      <w:r>
        <w:rPr>
          <w:rFonts w:hint="eastAsia" w:ascii="宋体" w:hAnsi="宋体" w:cs="宋体"/>
          <w:b/>
          <w:color w:val="auto"/>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p>
    <w:p>
      <w:pPr>
        <w:pStyle w:val="3"/>
        <w:tabs>
          <w:tab w:val="center" w:pos="4592"/>
          <w:tab w:val="left" w:pos="7860"/>
        </w:tabs>
        <w:spacing w:before="0" w:line="360" w:lineRule="auto"/>
        <w:rPr>
          <w:rFonts w:ascii="宋体" w:hAnsi="宋体" w:eastAsia="宋体" w:cs="宋体"/>
          <w:b w:val="0"/>
          <w:color w:val="auto"/>
          <w:sz w:val="28"/>
          <w:highlight w:val="none"/>
        </w:rPr>
      </w:pPr>
      <w:bookmarkStart w:id="43" w:name="_Toc150509270"/>
      <w:bookmarkStart w:id="44" w:name="_Toc151193617"/>
      <w:bookmarkStart w:id="45" w:name="_Toc164229360"/>
      <w:bookmarkStart w:id="46" w:name="_Toc151193833"/>
      <w:bookmarkStart w:id="47" w:name="_Toc151193689"/>
      <w:bookmarkStart w:id="48" w:name="_Toc195842884"/>
      <w:bookmarkStart w:id="49" w:name="_Toc164229214"/>
      <w:bookmarkStart w:id="50" w:name="_Toc142311021"/>
      <w:bookmarkStart w:id="51" w:name="_Toc127161433"/>
      <w:bookmarkStart w:id="52" w:name="_Toc151190146"/>
      <w:bookmarkStart w:id="53" w:name="_Toc151193907"/>
      <w:bookmarkStart w:id="54" w:name="_Toc164608633"/>
      <w:bookmarkStart w:id="55" w:name="_Toc226965709"/>
      <w:bookmarkStart w:id="56" w:name="_Toc149720812"/>
      <w:bookmarkStart w:id="57" w:name="_Toc151193761"/>
      <w:bookmarkStart w:id="58" w:name="_Toc226309763"/>
      <w:bookmarkStart w:id="59" w:name="_Toc150774619"/>
      <w:bookmarkStart w:id="60" w:name="_Toc164608788"/>
      <w:bookmarkStart w:id="61" w:name="_Toc164351613"/>
      <w:bookmarkStart w:id="62" w:name="_Toc150774724"/>
      <w:bookmarkStart w:id="63" w:name="_Toc226965792"/>
      <w:bookmarkStart w:id="64" w:name="_Toc127151720"/>
      <w:bookmarkStart w:id="65" w:name="_Toc150480757"/>
      <w:bookmarkStart w:id="66" w:name="_Toc520356144"/>
      <w:bookmarkStart w:id="67" w:name="_Toc226337215"/>
      <w:bookmarkStart w:id="68" w:name="_Toc127151519"/>
      <w:r>
        <w:rPr>
          <w:rFonts w:hint="eastAsia" w:ascii="宋体" w:hAnsi="宋体" w:eastAsia="宋体" w:cs="宋体"/>
          <w:color w:val="auto"/>
          <w:sz w:val="28"/>
          <w:highlight w:val="none"/>
        </w:rPr>
        <w:t>供应商须知资料表</w:t>
      </w:r>
    </w:p>
    <w:p>
      <w:pPr>
        <w:jc w:val="center"/>
        <w:rPr>
          <w:rFonts w:ascii="宋体" w:hAnsi="宋体" w:cs="宋体"/>
          <w:b/>
          <w:color w:val="auto"/>
          <w:sz w:val="28"/>
          <w:szCs w:val="28"/>
          <w:highlight w:val="none"/>
        </w:rPr>
      </w:pPr>
    </w:p>
    <w:p>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本表是对供应商须知的具体补充和修改，如有矛盾，均以本资料表为准。标记“</w:t>
      </w:r>
      <w:r>
        <w:rPr>
          <w:rFonts w:hint="eastAsia" w:ascii="宋体" w:hAnsi="宋体" w:cs="宋体"/>
          <w:b/>
          <w:color w:val="auto"/>
          <w:sz w:val="24"/>
          <w:highlight w:val="none"/>
        </w:rPr>
        <w:t>■</w:t>
      </w:r>
      <w:r>
        <w:rPr>
          <w:rFonts w:hint="eastAsia" w:ascii="宋体" w:hAnsi="宋体" w:cs="宋体"/>
          <w:color w:val="auto"/>
          <w:sz w:val="24"/>
          <w:highlight w:val="none"/>
        </w:rPr>
        <w:t>”的选项意为适用于本项目，标记“</w:t>
      </w:r>
      <w:r>
        <w:rPr>
          <w:rFonts w:hint="eastAsia" w:ascii="宋体" w:hAnsi="宋体" w:cs="宋体"/>
          <w:color w:val="auto"/>
          <w:highlight w:val="none"/>
        </w:rPr>
        <w:t>□</w:t>
      </w:r>
      <w:r>
        <w:rPr>
          <w:rFonts w:hint="eastAsia" w:ascii="宋体" w:hAnsi="宋体" w:cs="宋体"/>
          <w:color w:val="auto"/>
          <w:sz w:val="24"/>
          <w:highlight w:val="none"/>
        </w:rPr>
        <w:t>”的选项意为不适用于本项目。</w:t>
      </w:r>
    </w:p>
    <w:tbl>
      <w:tblPr>
        <w:tblStyle w:val="45"/>
        <w:tblW w:w="99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color w:val="auto"/>
                <w:sz w:val="24"/>
                <w:highlight w:val="none"/>
              </w:rPr>
            </w:pPr>
            <w:r>
              <w:rPr>
                <w:rFonts w:hint="eastAsia" w:ascii="宋体" w:hAnsi="宋体" w:cs="宋体"/>
                <w:b/>
                <w:color w:val="auto"/>
                <w:sz w:val="24"/>
                <w:highlight w:val="none"/>
              </w:rPr>
              <w:t>条款号</w:t>
            </w:r>
          </w:p>
        </w:tc>
        <w:tc>
          <w:tcPr>
            <w:tcW w:w="1701" w:type="dxa"/>
            <w:vAlign w:val="center"/>
          </w:tcPr>
          <w:p>
            <w:pPr>
              <w:jc w:val="center"/>
              <w:rPr>
                <w:rFonts w:ascii="宋体" w:hAnsi="宋体" w:cs="宋体"/>
                <w:b/>
                <w:bCs/>
                <w:color w:val="auto"/>
                <w:sz w:val="24"/>
                <w:highlight w:val="none"/>
              </w:rPr>
            </w:pPr>
            <w:r>
              <w:rPr>
                <w:rFonts w:hint="eastAsia" w:ascii="宋体" w:hAnsi="宋体" w:cs="宋体"/>
                <w:b/>
                <w:bCs/>
                <w:color w:val="auto"/>
                <w:sz w:val="24"/>
                <w:highlight w:val="none"/>
              </w:rPr>
              <w:t>条目</w:t>
            </w:r>
          </w:p>
        </w:tc>
        <w:tc>
          <w:tcPr>
            <w:tcW w:w="7253" w:type="dxa"/>
            <w:vAlign w:val="center"/>
          </w:tcPr>
          <w:p>
            <w:pPr>
              <w:jc w:val="center"/>
              <w:rPr>
                <w:rFonts w:ascii="宋体" w:hAnsi="宋体" w:cs="宋体"/>
                <w:b/>
                <w:bCs/>
                <w:color w:val="auto"/>
                <w:sz w:val="24"/>
                <w:highlight w:val="none"/>
              </w:rPr>
            </w:pPr>
            <w:r>
              <w:rPr>
                <w:rFonts w:hint="eastAsia" w:ascii="宋体" w:hAnsi="宋体" w:cs="宋体"/>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2.2</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项目属性</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项目属性：</w:t>
            </w:r>
          </w:p>
          <w:p>
            <w:pPr>
              <w:jc w:val="left"/>
              <w:rPr>
                <w:rFonts w:ascii="宋体" w:hAnsi="宋体" w:cs="宋体"/>
                <w:color w:val="auto"/>
                <w:sz w:val="24"/>
                <w:highlight w:val="none"/>
              </w:rPr>
            </w:pPr>
            <w:r>
              <w:rPr>
                <w:rFonts w:hint="eastAsia" w:ascii="宋体" w:hAnsi="宋体" w:cs="宋体"/>
                <w:color w:val="auto"/>
                <w:highlight w:val="none"/>
                <w:lang w:eastAsia="zh-CN"/>
              </w:rPr>
              <w:t>□</w:t>
            </w:r>
            <w:r>
              <w:rPr>
                <w:rFonts w:hint="eastAsia" w:ascii="宋体" w:hAnsi="宋体" w:cs="宋体"/>
                <w:color w:val="auto"/>
                <w:sz w:val="24"/>
                <w:highlight w:val="none"/>
              </w:rPr>
              <w:t>服务</w:t>
            </w:r>
          </w:p>
          <w:p>
            <w:pPr>
              <w:jc w:val="left"/>
              <w:rPr>
                <w:rFonts w:hint="eastAsia" w:ascii="宋体" w:hAnsi="宋体" w:cs="宋体"/>
                <w:color w:val="auto"/>
                <w:sz w:val="24"/>
                <w:highlight w:val="none"/>
              </w:rPr>
            </w:pPr>
            <w:r>
              <w:rPr>
                <w:rFonts w:hint="eastAsia" w:ascii="宋体" w:hAnsi="宋体" w:cs="宋体"/>
                <w:color w:val="auto"/>
                <w:highlight w:val="none"/>
                <w:lang w:eastAsia="zh-CN"/>
              </w:rPr>
              <w:t>□</w:t>
            </w:r>
            <w:r>
              <w:rPr>
                <w:rFonts w:hint="eastAsia" w:ascii="宋体" w:hAnsi="宋体" w:cs="宋体"/>
                <w:color w:val="auto"/>
                <w:sz w:val="24"/>
                <w:highlight w:val="none"/>
              </w:rPr>
              <w:t>货物</w:t>
            </w:r>
          </w:p>
          <w:p>
            <w:pPr>
              <w:pStyle w:val="23"/>
              <w:ind w:left="0" w:leftChars="0"/>
              <w:rPr>
                <w:color w:val="auto"/>
                <w:highlight w:val="none"/>
              </w:rPr>
            </w:pPr>
            <w:r>
              <w:rPr>
                <w:rFonts w:hint="eastAsia" w:ascii="宋体" w:hAnsi="宋体" w:cs="宋体"/>
                <w:b/>
                <w:color w:val="auto"/>
                <w:sz w:val="24"/>
                <w:highlight w:val="none"/>
              </w:rPr>
              <w:t>■</w:t>
            </w:r>
            <w:r>
              <w:rPr>
                <w:rFonts w:hint="eastAsia" w:ascii="宋体" w:hAnsi="宋体" w:cs="宋体"/>
                <w:color w:val="auto"/>
                <w:sz w:val="24"/>
                <w:highlight w:val="none"/>
                <w:lang w:eastAsia="zh-CN"/>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2.3</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科研仪器设备</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是否属于科研仪器设备采购项目：</w:t>
            </w:r>
          </w:p>
          <w:p>
            <w:pPr>
              <w:jc w:val="left"/>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是</w:t>
            </w:r>
          </w:p>
          <w:p>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3.1</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现场考察</w:t>
            </w:r>
          </w:p>
        </w:tc>
        <w:tc>
          <w:tcPr>
            <w:tcW w:w="7253" w:type="dxa"/>
            <w:vAlign w:val="center"/>
          </w:tcPr>
          <w:p>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不组织</w:t>
            </w:r>
          </w:p>
          <w:p>
            <w:pPr>
              <w:jc w:val="left"/>
              <w:rPr>
                <w:rFonts w:ascii="宋体" w:hAnsi="宋体" w:cs="宋体"/>
                <w:bCs/>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组织，考察时间：___</w:t>
            </w:r>
            <w:r>
              <w:rPr>
                <w:rFonts w:hint="eastAsia" w:ascii="宋体" w:hAnsi="宋体" w:cs="宋体"/>
                <w:color w:val="auto"/>
                <w:sz w:val="24"/>
                <w:highlight w:val="none"/>
                <w:lang w:bidi="ar"/>
              </w:rPr>
              <w:t>年</w:t>
            </w:r>
            <w:r>
              <w:rPr>
                <w:rFonts w:hint="eastAsia" w:ascii="宋体" w:hAnsi="宋体" w:cs="宋体"/>
                <w:color w:val="auto"/>
                <w:sz w:val="24"/>
                <w:highlight w:val="none"/>
              </w:rPr>
              <w:t>___</w:t>
            </w:r>
            <w:r>
              <w:rPr>
                <w:rFonts w:hint="eastAsia" w:ascii="宋体" w:hAnsi="宋体" w:cs="宋体"/>
                <w:color w:val="auto"/>
                <w:sz w:val="24"/>
                <w:highlight w:val="none"/>
                <w:lang w:bidi="ar"/>
              </w:rPr>
              <w:t>月</w:t>
            </w:r>
            <w:r>
              <w:rPr>
                <w:rFonts w:hint="eastAsia" w:ascii="宋体" w:hAnsi="宋体" w:cs="宋体"/>
                <w:color w:val="auto"/>
                <w:sz w:val="24"/>
                <w:highlight w:val="none"/>
              </w:rPr>
              <w:t>___</w:t>
            </w:r>
            <w:r>
              <w:rPr>
                <w:rFonts w:hint="eastAsia" w:ascii="宋体" w:hAnsi="宋体" w:cs="宋体"/>
                <w:color w:val="auto"/>
                <w:sz w:val="24"/>
                <w:highlight w:val="none"/>
                <w:lang w:bidi="ar"/>
              </w:rPr>
              <w:t>日</w:t>
            </w:r>
            <w:r>
              <w:rPr>
                <w:rFonts w:hint="eastAsia" w:ascii="宋体" w:hAnsi="宋体" w:cs="宋体"/>
                <w:color w:val="auto"/>
                <w:sz w:val="24"/>
                <w:highlight w:val="none"/>
              </w:rPr>
              <w:t>___</w:t>
            </w:r>
            <w:r>
              <w:rPr>
                <w:rFonts w:hint="eastAsia" w:ascii="宋体" w:hAnsi="宋体" w:cs="宋体"/>
                <w:color w:val="auto"/>
                <w:sz w:val="24"/>
                <w:highlight w:val="none"/>
                <w:lang w:bidi="ar"/>
              </w:rPr>
              <w:t>点</w:t>
            </w:r>
            <w:r>
              <w:rPr>
                <w:rFonts w:hint="eastAsia" w:ascii="宋体" w:hAnsi="宋体" w:cs="宋体"/>
                <w:color w:val="auto"/>
                <w:sz w:val="24"/>
                <w:highlight w:val="none"/>
              </w:rPr>
              <w:t>___</w:t>
            </w:r>
            <w:r>
              <w:rPr>
                <w:rFonts w:hint="eastAsia" w:ascii="宋体" w:hAnsi="宋体" w:cs="宋体"/>
                <w:color w:val="auto"/>
                <w:sz w:val="24"/>
                <w:highlight w:val="none"/>
                <w:lang w:bidi="ar"/>
              </w:rPr>
              <w:t>分</w:t>
            </w:r>
          </w:p>
          <w:p>
            <w:pPr>
              <w:pStyle w:val="24"/>
              <w:adjustRightInd w:val="0"/>
              <w:snapToGrid w:val="0"/>
              <w:rPr>
                <w:rFonts w:hint="default" w:hAnsi="宋体" w:cs="宋体"/>
                <w:color w:val="auto"/>
                <w:sz w:val="24"/>
                <w:szCs w:val="24"/>
                <w:highlight w:val="none"/>
              </w:rPr>
            </w:pPr>
            <w:r>
              <w:rPr>
                <w:rFonts w:hAnsi="宋体" w:cs="宋体"/>
                <w:color w:val="auto"/>
                <w:sz w:val="24"/>
                <w:highlight w:val="none"/>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hAnsi="宋体" w:cs="宋体"/>
                <w:color w:val="auto"/>
                <w:sz w:val="24"/>
                <w:szCs w:val="24"/>
                <w:highlight w:val="none"/>
              </w:rPr>
            </w:pP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磋商前答疑会</w:t>
            </w:r>
          </w:p>
        </w:tc>
        <w:tc>
          <w:tcPr>
            <w:tcW w:w="7253" w:type="dxa"/>
            <w:vAlign w:val="center"/>
          </w:tcPr>
          <w:p>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不召开</w:t>
            </w:r>
          </w:p>
          <w:p>
            <w:pPr>
              <w:jc w:val="left"/>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召开，召开时间：___</w:t>
            </w:r>
            <w:r>
              <w:rPr>
                <w:rFonts w:hint="eastAsia" w:ascii="宋体" w:hAnsi="宋体" w:cs="宋体"/>
                <w:color w:val="auto"/>
                <w:sz w:val="24"/>
                <w:highlight w:val="none"/>
                <w:lang w:bidi="ar"/>
              </w:rPr>
              <w:t>年</w:t>
            </w:r>
            <w:r>
              <w:rPr>
                <w:rFonts w:hint="eastAsia" w:ascii="宋体" w:hAnsi="宋体" w:cs="宋体"/>
                <w:color w:val="auto"/>
                <w:sz w:val="24"/>
                <w:highlight w:val="none"/>
              </w:rPr>
              <w:t>___</w:t>
            </w:r>
            <w:r>
              <w:rPr>
                <w:rFonts w:hint="eastAsia" w:ascii="宋体" w:hAnsi="宋体" w:cs="宋体"/>
                <w:color w:val="auto"/>
                <w:sz w:val="24"/>
                <w:highlight w:val="none"/>
                <w:lang w:bidi="ar"/>
              </w:rPr>
              <w:t>月</w:t>
            </w:r>
            <w:r>
              <w:rPr>
                <w:rFonts w:hint="eastAsia" w:ascii="宋体" w:hAnsi="宋体" w:cs="宋体"/>
                <w:color w:val="auto"/>
                <w:sz w:val="24"/>
                <w:highlight w:val="none"/>
              </w:rPr>
              <w:t>___</w:t>
            </w:r>
            <w:r>
              <w:rPr>
                <w:rFonts w:hint="eastAsia" w:ascii="宋体" w:hAnsi="宋体" w:cs="宋体"/>
                <w:color w:val="auto"/>
                <w:sz w:val="24"/>
                <w:highlight w:val="none"/>
                <w:lang w:bidi="ar"/>
              </w:rPr>
              <w:t>日</w:t>
            </w:r>
            <w:r>
              <w:rPr>
                <w:rFonts w:hint="eastAsia" w:ascii="宋体" w:hAnsi="宋体" w:cs="宋体"/>
                <w:color w:val="auto"/>
                <w:sz w:val="24"/>
                <w:highlight w:val="none"/>
              </w:rPr>
              <w:t>___</w:t>
            </w:r>
            <w:r>
              <w:rPr>
                <w:rFonts w:hint="eastAsia" w:ascii="宋体" w:hAnsi="宋体" w:cs="宋体"/>
                <w:color w:val="auto"/>
                <w:sz w:val="24"/>
                <w:highlight w:val="none"/>
                <w:lang w:bidi="ar"/>
              </w:rPr>
              <w:t>点</w:t>
            </w:r>
            <w:r>
              <w:rPr>
                <w:rFonts w:hint="eastAsia" w:ascii="宋体" w:hAnsi="宋体" w:cs="宋体"/>
                <w:color w:val="auto"/>
                <w:sz w:val="24"/>
                <w:highlight w:val="none"/>
              </w:rPr>
              <w:t>___</w:t>
            </w:r>
            <w:r>
              <w:rPr>
                <w:rFonts w:hint="eastAsia" w:ascii="宋体" w:hAnsi="宋体" w:cs="宋体"/>
                <w:color w:val="auto"/>
                <w:sz w:val="24"/>
                <w:highlight w:val="none"/>
                <w:lang w:bidi="ar"/>
              </w:rPr>
              <w:t>分</w:t>
            </w:r>
          </w:p>
          <w:p>
            <w:pPr>
              <w:jc w:val="left"/>
              <w:rPr>
                <w:rFonts w:ascii="宋体" w:hAnsi="宋体" w:cs="宋体"/>
                <w:color w:val="auto"/>
                <w:sz w:val="24"/>
                <w:highlight w:val="none"/>
              </w:rPr>
            </w:pPr>
            <w:r>
              <w:rPr>
                <w:rFonts w:hint="eastAsia" w:ascii="宋体" w:hAnsi="宋体" w:cs="宋体"/>
                <w:color w:val="auto"/>
                <w:sz w:val="24"/>
                <w:highlight w:val="none"/>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4.2.5</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标的所属行业</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p>
          <w:tbl>
            <w:tblPr>
              <w:tblStyle w:val="45"/>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标的名称</w:t>
                  </w:r>
                </w:p>
              </w:tc>
              <w:tc>
                <w:tcPr>
                  <w:tcW w:w="35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highlight w:val="none"/>
                    </w:rPr>
                  </w:pPr>
                  <w:r>
                    <w:rPr>
                      <w:rFonts w:hint="eastAsia" w:ascii="宋体" w:hAnsi="宋体" w:cs="宋体"/>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trPr>
              <w:tc>
                <w:tcPr>
                  <w:tcW w:w="350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政府扩建楼B区局部改造项目</w:t>
                  </w:r>
                </w:p>
              </w:tc>
              <w:tc>
                <w:tcPr>
                  <w:tcW w:w="3521"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color w:val="auto"/>
                      <w:highlight w:val="none"/>
                      <w:lang w:val="en-US" w:eastAsia="zh-CN"/>
                    </w:rPr>
                  </w:pPr>
                  <w:r>
                    <w:rPr>
                      <w:rFonts w:hint="eastAsia" w:ascii="宋体" w:hAnsi="宋体" w:cs="宋体"/>
                      <w:color w:val="auto"/>
                      <w:sz w:val="24"/>
                      <w:highlight w:val="none"/>
                      <w:lang w:val="en-US" w:eastAsia="zh-CN"/>
                    </w:rPr>
                    <w:t>建筑业</w:t>
                  </w:r>
                </w:p>
              </w:tc>
            </w:tr>
          </w:tbl>
          <w:p>
            <w:pPr>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3"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10.2</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报价</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报价的特殊规定：</w:t>
            </w:r>
          </w:p>
          <w:p>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无</w:t>
            </w:r>
          </w:p>
          <w:p>
            <w:pPr>
              <w:jc w:val="left"/>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11.1</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磋商保证金</w:t>
            </w:r>
          </w:p>
        </w:tc>
        <w:tc>
          <w:tcPr>
            <w:tcW w:w="7253" w:type="dxa"/>
            <w:vAlign w:val="center"/>
          </w:tcPr>
          <w:p>
            <w:pPr>
              <w:pStyle w:val="24"/>
              <w:adjustRightInd w:val="0"/>
              <w:snapToGrid w:val="0"/>
              <w:rPr>
                <w:rFonts w:hint="default" w:hAnsi="宋体" w:cs="宋体"/>
                <w:color w:val="auto"/>
                <w:highlight w:val="none"/>
              </w:rPr>
            </w:pPr>
            <w:r>
              <w:rPr>
                <w:rFonts w:hAnsi="宋体" w:cs="宋体"/>
                <w:color w:val="auto"/>
                <w:sz w:val="24"/>
                <w:szCs w:val="24"/>
                <w:highlight w:val="none"/>
              </w:rPr>
              <w:t>磋商保证金金额：本项目不适用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1"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12.1</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响应有效期</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自提交响应文件的截止之日起算</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1"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20.1</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成交供应商的确认</w:t>
            </w:r>
          </w:p>
        </w:tc>
        <w:tc>
          <w:tcPr>
            <w:tcW w:w="7253" w:type="dxa"/>
            <w:vAlign w:val="center"/>
          </w:tcPr>
          <w:p>
            <w:pPr>
              <w:pStyle w:val="24"/>
              <w:adjustRightInd w:val="0"/>
              <w:snapToGrid w:val="0"/>
              <w:rPr>
                <w:rFonts w:hint="default" w:hAnsi="宋体" w:cs="宋体"/>
                <w:color w:val="auto"/>
                <w:sz w:val="24"/>
                <w:highlight w:val="none"/>
              </w:rPr>
            </w:pPr>
            <w:r>
              <w:rPr>
                <w:rFonts w:hAnsi="宋体" w:cs="宋体"/>
                <w:color w:val="auto"/>
                <w:sz w:val="24"/>
                <w:highlight w:val="none"/>
              </w:rPr>
              <w:t>采购人是否授权磋商小组直接确定成交供应商：</w:t>
            </w:r>
          </w:p>
          <w:p>
            <w:pPr>
              <w:pStyle w:val="24"/>
              <w:adjustRightInd w:val="0"/>
              <w:snapToGrid w:val="0"/>
              <w:rPr>
                <w:rFonts w:hint="default" w:hAnsi="宋体" w:cs="宋体"/>
                <w:color w:val="auto"/>
                <w:sz w:val="24"/>
                <w:highlight w:val="none"/>
              </w:rPr>
            </w:pPr>
            <w:r>
              <w:rPr>
                <w:rFonts w:hAnsi="宋体" w:cs="宋体"/>
                <w:b/>
                <w:color w:val="auto"/>
                <w:sz w:val="24"/>
                <w:szCs w:val="24"/>
                <w:highlight w:val="none"/>
              </w:rPr>
              <w:t>■</w:t>
            </w:r>
            <w:r>
              <w:rPr>
                <w:rFonts w:hAnsi="宋体" w:cs="宋体"/>
                <w:color w:val="auto"/>
                <w:sz w:val="24"/>
                <w:highlight w:val="none"/>
              </w:rPr>
              <w:t>否</w:t>
            </w:r>
          </w:p>
          <w:p>
            <w:pPr>
              <w:jc w:val="left"/>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是</w:t>
            </w:r>
          </w:p>
          <w:p>
            <w:pPr>
              <w:jc w:val="left"/>
              <w:rPr>
                <w:rFonts w:ascii="宋体" w:hAnsi="宋体" w:cs="宋体"/>
                <w:color w:val="auto"/>
                <w:sz w:val="24"/>
                <w:highlight w:val="none"/>
                <w:u w:val="single"/>
              </w:rPr>
            </w:pPr>
            <w:r>
              <w:rPr>
                <w:rFonts w:hint="eastAsia" w:ascii="宋体" w:hAnsi="宋体" w:cs="宋体"/>
                <w:color w:val="auto"/>
                <w:sz w:val="24"/>
                <w:highlight w:val="none"/>
              </w:rPr>
              <w:t>成交候选人并列的，按照以下方式确定成交供应商：</w:t>
            </w:r>
            <w:r>
              <w:rPr>
                <w:rFonts w:hint="eastAsia" w:ascii="宋体" w:hAnsi="宋体" w:cs="宋体"/>
                <w:color w:val="auto"/>
                <w:sz w:val="24"/>
                <w:highlight w:val="none"/>
                <w:u w:val="single"/>
              </w:rPr>
              <w:t>详见第三章6.1条款</w:t>
            </w:r>
            <w:r>
              <w:rPr>
                <w:rFonts w:hint="eastAsia" w:ascii="宋体" w:hAnsi="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7"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23.5</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分包</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本项目是否允许分包： </w:t>
            </w:r>
          </w:p>
          <w:p>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不允许</w:t>
            </w:r>
          </w:p>
          <w:p>
            <w:pPr>
              <w:jc w:val="left"/>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允许，具体要求：_______。</w:t>
            </w:r>
          </w:p>
          <w:p>
            <w:pPr>
              <w:jc w:val="left"/>
              <w:rPr>
                <w:rFonts w:ascii="宋体" w:hAnsi="宋体" w:cs="宋体"/>
                <w:color w:val="auto"/>
                <w:sz w:val="24"/>
                <w:highlight w:val="none"/>
              </w:rPr>
            </w:pPr>
            <w:r>
              <w:rPr>
                <w:rFonts w:hint="eastAsia" w:ascii="宋体" w:hAnsi="宋体" w:cs="宋体"/>
                <w:color w:val="auto"/>
                <w:sz w:val="24"/>
                <w:highlight w:val="none"/>
              </w:rPr>
              <w:t>（1）可以分包履行的具体内容：_______；</w:t>
            </w:r>
          </w:p>
          <w:p>
            <w:pPr>
              <w:jc w:val="left"/>
              <w:rPr>
                <w:rFonts w:ascii="宋体" w:hAnsi="宋体" w:cs="宋体"/>
                <w:color w:val="auto"/>
                <w:sz w:val="24"/>
                <w:highlight w:val="none"/>
              </w:rPr>
            </w:pPr>
            <w:r>
              <w:rPr>
                <w:rFonts w:hint="eastAsia" w:ascii="宋体" w:hAnsi="宋体" w:cs="宋体"/>
                <w:color w:val="auto"/>
                <w:sz w:val="24"/>
                <w:highlight w:val="none"/>
              </w:rPr>
              <w:t>（2）允许分包的金额或者比例：_______；</w:t>
            </w:r>
          </w:p>
          <w:p>
            <w:pPr>
              <w:jc w:val="left"/>
              <w:rPr>
                <w:rFonts w:ascii="宋体" w:hAnsi="宋体" w:cs="宋体"/>
                <w:color w:val="auto"/>
                <w:sz w:val="24"/>
                <w:highlight w:val="none"/>
                <w:u w:val="single"/>
              </w:rPr>
            </w:pPr>
            <w:r>
              <w:rPr>
                <w:rFonts w:hint="eastAsia" w:ascii="宋体" w:hAnsi="宋体" w:cs="宋体"/>
                <w:color w:val="auto"/>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24.1.1</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询问</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电话、书面、现场</w:t>
            </w:r>
            <w:r>
              <w:rPr>
                <w:rFonts w:hint="eastAsia" w:ascii="宋体" w:hAnsi="宋体" w:cs="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5"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24.3</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联系方式</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kern w:val="0"/>
                <w:sz w:val="24"/>
                <w:highlight w:val="none"/>
              </w:rPr>
              <w:t>北京中兴天诚招标代理有限公司</w:t>
            </w:r>
            <w:r>
              <w:rPr>
                <w:rFonts w:hint="eastAsia" w:ascii="宋体" w:hAnsi="宋体" w:cs="宋体"/>
                <w:color w:val="auto"/>
                <w:sz w:val="24"/>
                <w:highlight w:val="none"/>
              </w:rPr>
              <w:t>；</w:t>
            </w:r>
          </w:p>
          <w:p>
            <w:pPr>
              <w:jc w:val="left"/>
              <w:rPr>
                <w:rFonts w:ascii="宋体" w:hAnsi="宋体" w:cs="宋体"/>
                <w:color w:val="auto"/>
                <w:sz w:val="24"/>
                <w:highlight w:val="none"/>
              </w:rPr>
            </w:pPr>
            <w:r>
              <w:rPr>
                <w:rFonts w:hint="eastAsia" w:ascii="宋体" w:hAnsi="宋体" w:cs="宋体"/>
                <w:color w:val="auto"/>
                <w:sz w:val="24"/>
                <w:highlight w:val="none"/>
              </w:rPr>
              <w:t>联系电话：010-18519302389；</w:t>
            </w:r>
          </w:p>
          <w:p>
            <w:pPr>
              <w:jc w:val="left"/>
              <w:rPr>
                <w:rFonts w:ascii="宋体" w:hAnsi="宋体" w:cs="宋体"/>
                <w:color w:val="auto"/>
                <w:sz w:val="24"/>
                <w:highlight w:val="none"/>
              </w:rPr>
            </w:pPr>
            <w:r>
              <w:rPr>
                <w:rFonts w:hint="eastAsia" w:ascii="宋体" w:hAnsi="宋体" w:cs="宋体"/>
                <w:color w:val="auto"/>
                <w:sz w:val="24"/>
                <w:highlight w:val="none"/>
              </w:rPr>
              <w:t>通讯地址：北京市大兴区清城</w:t>
            </w:r>
            <w:r>
              <w:rPr>
                <w:rFonts w:hint="eastAsia" w:ascii="宋体" w:hAnsi="宋体" w:cs="宋体"/>
                <w:color w:val="auto"/>
                <w:sz w:val="24"/>
                <w:highlight w:val="none"/>
                <w:lang w:eastAsia="zh-CN"/>
              </w:rPr>
              <w:t>商务楼</w:t>
            </w:r>
            <w:r>
              <w:rPr>
                <w:rFonts w:hint="eastAsia" w:ascii="宋体" w:hAnsi="宋体" w:cs="宋体"/>
                <w:color w:val="auto"/>
                <w:sz w:val="24"/>
                <w:highlight w:val="none"/>
              </w:rPr>
              <w:t>B座1507室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hAnsi="宋体" w:cs="宋体"/>
                <w:color w:val="auto"/>
                <w:sz w:val="24"/>
                <w:szCs w:val="24"/>
                <w:highlight w:val="none"/>
              </w:rPr>
            </w:pPr>
            <w:r>
              <w:rPr>
                <w:rFonts w:hAnsi="宋体" w:cs="宋体"/>
                <w:color w:val="auto"/>
                <w:sz w:val="24"/>
                <w:szCs w:val="24"/>
                <w:highlight w:val="none"/>
              </w:rPr>
              <w:t>25</w:t>
            </w:r>
          </w:p>
        </w:tc>
        <w:tc>
          <w:tcPr>
            <w:tcW w:w="170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代理费</w:t>
            </w:r>
          </w:p>
        </w:tc>
        <w:tc>
          <w:tcPr>
            <w:tcW w:w="7253" w:type="dxa"/>
            <w:vAlign w:val="center"/>
          </w:tcPr>
          <w:p>
            <w:pPr>
              <w:jc w:val="left"/>
              <w:rPr>
                <w:rFonts w:ascii="宋体" w:hAnsi="宋体" w:cs="宋体"/>
                <w:color w:val="auto"/>
                <w:sz w:val="24"/>
                <w:highlight w:val="none"/>
              </w:rPr>
            </w:pPr>
            <w:r>
              <w:rPr>
                <w:rFonts w:hint="eastAsia" w:ascii="宋体" w:hAnsi="宋体" w:cs="宋体"/>
                <w:color w:val="auto"/>
                <w:sz w:val="24"/>
                <w:highlight w:val="none"/>
              </w:rPr>
              <w:t>收费对象：</w:t>
            </w:r>
          </w:p>
          <w:p>
            <w:pPr>
              <w:jc w:val="left"/>
              <w:rPr>
                <w:rFonts w:ascii="宋体" w:hAnsi="宋体" w:cs="宋体"/>
                <w:color w:val="auto"/>
                <w:sz w:val="24"/>
                <w:highlight w:val="none"/>
              </w:rPr>
            </w:pPr>
            <w:r>
              <w:rPr>
                <w:rFonts w:hint="eastAsia" w:ascii="宋体" w:hAnsi="宋体" w:cs="宋体"/>
                <w:color w:val="auto"/>
                <w:highlight w:val="none"/>
              </w:rPr>
              <w:t>□</w:t>
            </w:r>
            <w:r>
              <w:rPr>
                <w:rFonts w:hint="eastAsia" w:ascii="宋体" w:hAnsi="宋体" w:cs="宋体"/>
                <w:color w:val="auto"/>
                <w:sz w:val="24"/>
                <w:highlight w:val="none"/>
              </w:rPr>
              <w:t>采购人</w:t>
            </w:r>
          </w:p>
          <w:p>
            <w:pPr>
              <w:jc w:val="left"/>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成交供应商</w:t>
            </w:r>
          </w:p>
          <w:p>
            <w:pPr>
              <w:rPr>
                <w:rFonts w:ascii="宋体" w:hAnsi="宋体" w:cs="宋体"/>
                <w:color w:val="auto"/>
                <w:kern w:val="0"/>
                <w:sz w:val="24"/>
                <w:highlight w:val="none"/>
              </w:rPr>
            </w:pPr>
            <w:r>
              <w:rPr>
                <w:rFonts w:hint="eastAsia" w:ascii="宋体" w:hAnsi="宋体" w:cs="宋体"/>
                <w:color w:val="auto"/>
                <w:sz w:val="24"/>
                <w:highlight w:val="none"/>
              </w:rPr>
              <w:t>收费标准：</w:t>
            </w:r>
            <w:r>
              <w:rPr>
                <w:rFonts w:hint="eastAsia" w:ascii="宋体" w:hAnsi="宋体" w:cs="宋体"/>
                <w:color w:val="auto"/>
                <w:kern w:val="0"/>
                <w:sz w:val="24"/>
                <w:highlight w:val="none"/>
              </w:rPr>
              <w:t>参照原国家发展计划委员会《招标代理服务收费管理暂行办法》(计价格[2002]1980号)和《国家发展改革委关于降低部分建设项目收费标准规范收费行为等有关问题的通知》(发改价格[2011]534号)规定标准</w:t>
            </w:r>
          </w:p>
          <w:p>
            <w:pPr>
              <w:jc w:val="left"/>
              <w:rPr>
                <w:rFonts w:ascii="宋体" w:hAnsi="宋体" w:cs="宋体"/>
                <w:color w:val="auto"/>
                <w:sz w:val="24"/>
                <w:highlight w:val="none"/>
              </w:rPr>
            </w:pPr>
            <w:r>
              <w:rPr>
                <w:rFonts w:hint="eastAsia" w:ascii="宋体" w:hAnsi="宋体" w:cs="宋体"/>
                <w:color w:val="auto"/>
                <w:sz w:val="24"/>
                <w:highlight w:val="none"/>
              </w:rPr>
              <w:t>缴纳时间：确定中标之日起5个工作日内。</w:t>
            </w:r>
          </w:p>
        </w:tc>
      </w:tr>
    </w:tbl>
    <w:p>
      <w:pPr>
        <w:tabs>
          <w:tab w:val="left" w:pos="5580"/>
        </w:tabs>
        <w:adjustRightInd w:val="0"/>
        <w:spacing w:line="360" w:lineRule="auto"/>
        <w:jc w:val="distribute"/>
        <w:rPr>
          <w:rFonts w:ascii="宋体" w:hAnsi="宋体" w:cs="宋体"/>
          <w:color w:val="auto"/>
          <w:sz w:val="24"/>
          <w:highlight w:val="none"/>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供应商须知</w:t>
      </w:r>
    </w:p>
    <w:p>
      <w:pPr>
        <w:pStyle w:val="3"/>
        <w:tabs>
          <w:tab w:val="center" w:pos="4592"/>
          <w:tab w:val="left" w:pos="7860"/>
        </w:tabs>
        <w:spacing w:before="0" w:line="360" w:lineRule="auto"/>
        <w:jc w:val="left"/>
        <w:rPr>
          <w:rFonts w:ascii="宋体" w:hAnsi="宋体" w:eastAsia="宋体" w:cs="宋体"/>
          <w:color w:val="auto"/>
          <w:sz w:val="28"/>
          <w:highlight w:val="none"/>
        </w:rPr>
      </w:pPr>
      <w:bookmarkStart w:id="69" w:name="_Toc520356143"/>
      <w:bookmarkStart w:id="70" w:name="_Toc127151518"/>
      <w:r>
        <w:rPr>
          <w:rFonts w:hint="eastAsia" w:ascii="宋体" w:hAnsi="宋体" w:eastAsia="宋体" w:cs="宋体"/>
          <w:color w:val="auto"/>
          <w:sz w:val="28"/>
          <w:highlight w:val="none"/>
        </w:rPr>
        <w:tab/>
      </w:r>
      <w:bookmarkStart w:id="71" w:name="_Toc151190145"/>
      <w:bookmarkStart w:id="72" w:name="_Toc150774618"/>
      <w:bookmarkStart w:id="73" w:name="_Toc226965708"/>
      <w:bookmarkStart w:id="74" w:name="_Toc151193832"/>
      <w:bookmarkStart w:id="75" w:name="_Toc264969208"/>
      <w:bookmarkStart w:id="76" w:name="_Toc226337214"/>
      <w:bookmarkStart w:id="77" w:name="_Toc150509269"/>
      <w:bookmarkStart w:id="78" w:name="_Toc142311020"/>
      <w:bookmarkStart w:id="79" w:name="_Toc305158786"/>
      <w:bookmarkStart w:id="80" w:name="_Toc226309762"/>
      <w:bookmarkStart w:id="81" w:name="_Toc150774723"/>
      <w:bookmarkStart w:id="82" w:name="_Toc151193616"/>
      <w:bookmarkStart w:id="83" w:name="_Toc305158860"/>
      <w:bookmarkStart w:id="84" w:name="_Toc265228356"/>
      <w:bookmarkStart w:id="85" w:name="_Toc226965791"/>
      <w:bookmarkStart w:id="86" w:name="_Toc195842883"/>
      <w:bookmarkStart w:id="87" w:name="_Toc151193688"/>
      <w:bookmarkStart w:id="88" w:name="_Toc151193906"/>
      <w:bookmarkStart w:id="89" w:name="_Toc150480756"/>
      <w:bookmarkStart w:id="90" w:name="_Toc151193760"/>
      <w:r>
        <w:rPr>
          <w:rFonts w:hint="eastAsia" w:ascii="宋体" w:hAnsi="宋体" w:eastAsia="宋体" w:cs="宋体"/>
          <w:color w:val="auto"/>
          <w:sz w:val="28"/>
          <w:highlight w:val="none"/>
        </w:rPr>
        <w:t>一   说  明</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Pr>
          <w:rFonts w:hint="eastAsia" w:ascii="宋体" w:hAnsi="宋体" w:eastAsia="宋体" w:cs="宋体"/>
          <w:color w:val="auto"/>
          <w:sz w:val="28"/>
          <w:highlight w:val="none"/>
        </w:rPr>
        <w:tab/>
      </w:r>
    </w:p>
    <w:p>
      <w:pPr>
        <w:numPr>
          <w:ilvl w:val="0"/>
          <w:numId w:val="8"/>
        </w:numPr>
        <w:tabs>
          <w:tab w:val="left" w:pos="360"/>
          <w:tab w:val="clear" w:pos="900"/>
        </w:tabs>
        <w:snapToGrid w:val="0"/>
        <w:spacing w:line="360" w:lineRule="auto"/>
        <w:ind w:left="357" w:hanging="357"/>
        <w:outlineLvl w:val="2"/>
        <w:rPr>
          <w:rFonts w:ascii="宋体" w:hAnsi="宋体" w:cs="宋体"/>
          <w:color w:val="auto"/>
          <w:sz w:val="24"/>
          <w:highlight w:val="none"/>
        </w:rPr>
      </w:pPr>
      <w:bookmarkStart w:id="91" w:name="_Toc305158861"/>
      <w:bookmarkStart w:id="92" w:name="_Toc265228357"/>
      <w:bookmarkStart w:id="93" w:name="_Toc305158787"/>
      <w:bookmarkStart w:id="94" w:name="_Toc264969209"/>
      <w:r>
        <w:rPr>
          <w:rFonts w:hint="eastAsia" w:ascii="宋体" w:hAnsi="宋体" w:cs="宋体"/>
          <w:color w:val="auto"/>
          <w:sz w:val="24"/>
          <w:highlight w:val="none"/>
        </w:rPr>
        <w:t>采购人、采购代理机构、供应商</w:t>
      </w:r>
      <w:bookmarkEnd w:id="91"/>
      <w:bookmarkEnd w:id="92"/>
      <w:bookmarkEnd w:id="93"/>
      <w:bookmarkEnd w:id="94"/>
      <w:r>
        <w:rPr>
          <w:rFonts w:hint="eastAsia" w:ascii="宋体" w:hAnsi="宋体" w:cs="宋体"/>
          <w:color w:val="auto"/>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2"/>
        <w:rPr>
          <w:rFonts w:ascii="宋体" w:hAnsi="宋体" w:cs="宋体"/>
          <w:color w:val="auto"/>
          <w:sz w:val="24"/>
          <w:highlight w:val="none"/>
        </w:rPr>
      </w:pPr>
      <w:bookmarkStart w:id="95" w:name="_Toc150480758"/>
      <w:bookmarkStart w:id="96" w:name="_Toc265228358"/>
      <w:bookmarkStart w:id="97" w:name="_Toc150774620"/>
      <w:bookmarkStart w:id="98" w:name="_Toc195842885"/>
      <w:bookmarkStart w:id="99" w:name="_Toc150509271"/>
      <w:bookmarkStart w:id="100" w:name="_Toc305158862"/>
      <w:bookmarkStart w:id="101" w:name="_Toc164608634"/>
      <w:bookmarkStart w:id="102" w:name="_Toc150774725"/>
      <w:bookmarkStart w:id="103" w:name="_Toc151193618"/>
      <w:bookmarkStart w:id="104" w:name="_Toc264969210"/>
      <w:bookmarkStart w:id="105" w:name="_Toc127151520"/>
      <w:bookmarkStart w:id="106" w:name="_Toc127151721"/>
      <w:bookmarkStart w:id="107" w:name="_Toc127161434"/>
      <w:bookmarkStart w:id="108" w:name="_Toc164608789"/>
      <w:bookmarkStart w:id="109" w:name="_Toc226965793"/>
      <w:bookmarkStart w:id="110" w:name="_Toc151193834"/>
      <w:bookmarkStart w:id="111" w:name="_Toc226337216"/>
      <w:bookmarkStart w:id="112" w:name="_Toc151193908"/>
      <w:bookmarkStart w:id="113" w:name="_Toc164229361"/>
      <w:bookmarkStart w:id="114" w:name="_Toc164229215"/>
      <w:bookmarkStart w:id="115" w:name="_Toc149720813"/>
      <w:bookmarkStart w:id="116" w:name="_Toc151193690"/>
      <w:bookmarkStart w:id="117" w:name="_Toc226965710"/>
      <w:bookmarkStart w:id="118" w:name="_Toc164351614"/>
      <w:bookmarkStart w:id="119" w:name="_Toc226309764"/>
      <w:bookmarkStart w:id="120" w:name="_Toc142311022"/>
      <w:bookmarkStart w:id="121" w:name="_Toc151190147"/>
      <w:bookmarkStart w:id="122" w:name="_Toc305158788"/>
      <w:bookmarkStart w:id="123" w:name="_Toc151193762"/>
      <w:r>
        <w:rPr>
          <w:rFonts w:hint="eastAsia" w:ascii="宋体" w:hAnsi="宋体" w:cs="宋体"/>
          <w:color w:val="auto"/>
          <w:sz w:val="24"/>
          <w:highlight w:val="none"/>
        </w:rPr>
        <w:t>资金来源</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hint="eastAsia" w:ascii="宋体" w:hAnsi="宋体" w:cs="宋体"/>
          <w:color w:val="auto"/>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现场考察、磋商前答疑会</w:t>
      </w:r>
    </w:p>
    <w:p>
      <w:pPr>
        <w:numPr>
          <w:ilvl w:val="1"/>
          <w:numId w:val="8"/>
        </w:numPr>
        <w:tabs>
          <w:tab w:val="left" w:pos="1080"/>
          <w:tab w:val="left" w:pos="2014"/>
        </w:tabs>
        <w:snapToGrid w:val="0"/>
        <w:spacing w:line="360" w:lineRule="auto"/>
        <w:ind w:left="1080" w:hanging="720"/>
        <w:rPr>
          <w:rFonts w:ascii="宋体" w:hAnsi="宋体" w:cs="宋体"/>
          <w:color w:val="auto"/>
          <w:sz w:val="28"/>
          <w:highlight w:val="none"/>
        </w:rPr>
      </w:pPr>
      <w:r>
        <w:rPr>
          <w:rFonts w:hint="eastAsia" w:ascii="宋体" w:hAnsi="宋体" w:cs="宋体"/>
          <w:color w:val="auto"/>
          <w:sz w:val="24"/>
          <w:highlight w:val="none"/>
        </w:rPr>
        <w:t>若《供应商须知资料表》中规定了组织现场考察、召开磋商前答疑会，则供应商应按要求在规定的时间和地点参加。</w:t>
      </w:r>
      <w:bookmarkStart w:id="124" w:name="_Toc226965795"/>
      <w:bookmarkStart w:id="125" w:name="_Toc226965712"/>
      <w:bookmarkStart w:id="126" w:name="_Toc226309766"/>
      <w:bookmarkStart w:id="127" w:name="_Toc520356146"/>
      <w:bookmarkStart w:id="128" w:name="_Toc151193910"/>
      <w:bookmarkStart w:id="129" w:name="_Toc305158864"/>
      <w:bookmarkStart w:id="130" w:name="_Toc151193620"/>
      <w:bookmarkStart w:id="131" w:name="_Toc151193836"/>
      <w:bookmarkStart w:id="132" w:name="_Toc150509273"/>
      <w:bookmarkStart w:id="133" w:name="_Toc195842887"/>
      <w:bookmarkStart w:id="134" w:name="_Toc264969212"/>
      <w:bookmarkStart w:id="135" w:name="_Toc150480760"/>
      <w:bookmarkStart w:id="136" w:name="_Toc226337218"/>
      <w:bookmarkStart w:id="137" w:name="_Toc150774727"/>
      <w:bookmarkStart w:id="138" w:name="_Toc151190149"/>
      <w:bookmarkStart w:id="139" w:name="_Toc265228360"/>
      <w:bookmarkStart w:id="140" w:name="_Toc151193764"/>
      <w:bookmarkStart w:id="141" w:name="_Toc150774622"/>
      <w:bookmarkStart w:id="142" w:name="_Toc142311024"/>
      <w:bookmarkStart w:id="143" w:name="_Toc305158790"/>
      <w:bookmarkStart w:id="144" w:name="_Toc127151522"/>
      <w:bookmarkStart w:id="145" w:name="_Toc151193692"/>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w:t>
      </w:r>
    </w:p>
    <w:p>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本项目是否接受进口产品见第四章《采购需求》。</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pPr>
        <w:pStyle w:val="76"/>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pPr>
        <w:pStyle w:val="76"/>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pPr>
        <w:pStyle w:val="76"/>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本项目是否专门面向中小企业预留采购份额见第一章《采购邀请》。</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采购标的对应的划分标准所属行业见《供应商须知资料表》。</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响应无效</w:t>
      </w:r>
      <w:r>
        <w:rPr>
          <w:rFonts w:hint="eastAsia" w:ascii="宋体" w:hAnsi="宋体" w:cs="宋体"/>
          <w:color w:val="auto"/>
          <w:sz w:val="24"/>
          <w:highlight w:val="none"/>
        </w:rPr>
        <w:t>；</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w:t>
      </w:r>
    </w:p>
    <w:p>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响应无效</w:t>
      </w:r>
      <w:r>
        <w:rPr>
          <w:rFonts w:hint="eastAsia" w:ascii="宋体" w:hAnsi="宋体" w:cs="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信息安全产品</w:t>
      </w:r>
    </w:p>
    <w:p>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所投产品属于《关于调整信息安全产品强制性认证实施要求的公告》（2009 年第33 号）范围的，采购经国家认证的信息安全产品，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响应无效</w:t>
      </w:r>
      <w:r>
        <w:rPr>
          <w:rFonts w:hint="eastAsia" w:ascii="宋体" w:hAnsi="宋体" w:cs="宋体"/>
          <w:color w:val="auto"/>
          <w:sz w:val="24"/>
          <w:highlight w:val="none"/>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推广使用低挥发性有机化合物（VOCs）</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响应无效</w:t>
      </w:r>
      <w:r>
        <w:rPr>
          <w:rFonts w:hint="eastAsia" w:ascii="宋体" w:hAnsi="宋体" w:cs="宋体"/>
          <w:color w:val="auto"/>
          <w:sz w:val="24"/>
          <w:highlight w:val="none"/>
        </w:rPr>
        <w:t>；属于推荐性标准的，优先采购，具体见第三章《评审方法和评审标准》。</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s="宋体"/>
          <w:color w:val="auto"/>
          <w:sz w:val="28"/>
          <w:highlight w:val="none"/>
        </w:rPr>
      </w:pPr>
      <w:bookmarkStart w:id="146" w:name="_1.8_计量单位"/>
      <w:bookmarkEnd w:id="146"/>
    </w:p>
    <w:p>
      <w:pPr>
        <w:pStyle w:val="4"/>
        <w:rPr>
          <w:rFonts w:hAnsi="宋体" w:cs="宋体"/>
          <w:color w:val="auto"/>
          <w:sz w:val="28"/>
          <w:highlight w:val="none"/>
        </w:rPr>
      </w:pPr>
    </w:p>
    <w:p>
      <w:pPr>
        <w:pStyle w:val="4"/>
        <w:rPr>
          <w:rFonts w:hAnsi="宋体" w:cs="宋体"/>
          <w:color w:val="auto"/>
          <w:sz w:val="28"/>
          <w:highlight w:val="none"/>
        </w:rPr>
      </w:pPr>
    </w:p>
    <w:p>
      <w:pPr>
        <w:pStyle w:val="4"/>
        <w:rPr>
          <w:rFonts w:hAnsi="宋体" w:cs="宋体"/>
          <w:color w:val="auto"/>
          <w:sz w:val="28"/>
          <w:highlight w:val="none"/>
        </w:rPr>
      </w:pPr>
    </w:p>
    <w:p>
      <w:pPr>
        <w:pStyle w:val="4"/>
        <w:rPr>
          <w:rFonts w:hAnsi="宋体" w:cs="宋体"/>
          <w:color w:val="auto"/>
          <w:sz w:val="28"/>
          <w:highlight w:val="none"/>
        </w:rPr>
      </w:pPr>
    </w:p>
    <w:p>
      <w:pPr>
        <w:pStyle w:val="4"/>
        <w:rPr>
          <w:rFonts w:hAnsi="宋体" w:cs="宋体"/>
          <w:color w:val="auto"/>
          <w:sz w:val="28"/>
          <w:highlight w:val="none"/>
        </w:rPr>
      </w:pPr>
    </w:p>
    <w:p>
      <w:pPr>
        <w:pStyle w:val="4"/>
        <w:rPr>
          <w:rFonts w:hAnsi="宋体" w:cs="宋体"/>
          <w:color w:val="auto"/>
          <w:sz w:val="28"/>
          <w:highlight w:val="none"/>
        </w:rPr>
      </w:pPr>
    </w:p>
    <w:p>
      <w:pPr>
        <w:pStyle w:val="4"/>
        <w:rPr>
          <w:rFonts w:hAnsi="宋体" w:cs="宋体"/>
          <w:color w:val="auto"/>
          <w:sz w:val="28"/>
          <w:highlight w:val="none"/>
        </w:rPr>
      </w:pPr>
    </w:p>
    <w:p>
      <w:pPr>
        <w:pStyle w:val="3"/>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二   竞争性磋商文件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147" w:name="_Toc264969213"/>
      <w:bookmarkStart w:id="148" w:name="_Toc226965796"/>
      <w:bookmarkStart w:id="149" w:name="_Toc305158791"/>
      <w:bookmarkStart w:id="150" w:name="_Toc151193621"/>
      <w:bookmarkStart w:id="151" w:name="_Toc520356147"/>
      <w:bookmarkStart w:id="152" w:name="_Toc127161437"/>
      <w:bookmarkStart w:id="153" w:name="_Toc226309767"/>
      <w:bookmarkStart w:id="154" w:name="_Toc151190150"/>
      <w:bookmarkStart w:id="155" w:name="_Toc127151724"/>
      <w:bookmarkStart w:id="156" w:name="_Toc150480761"/>
      <w:bookmarkStart w:id="157" w:name="_Toc164608792"/>
      <w:bookmarkStart w:id="158" w:name="_Toc150774623"/>
      <w:bookmarkStart w:id="159" w:name="_Toc150774728"/>
      <w:bookmarkStart w:id="160" w:name="_Toc151193837"/>
      <w:bookmarkStart w:id="161" w:name="_Toc151193765"/>
      <w:bookmarkStart w:id="162" w:name="_Toc305158865"/>
      <w:bookmarkStart w:id="163" w:name="_Toc127151523"/>
      <w:bookmarkStart w:id="164" w:name="_Toc149720816"/>
      <w:bookmarkStart w:id="165" w:name="_Toc142311025"/>
      <w:bookmarkStart w:id="166" w:name="_Toc164229218"/>
      <w:bookmarkStart w:id="167" w:name="_Toc164351617"/>
      <w:bookmarkStart w:id="168" w:name="_Toc150509274"/>
      <w:bookmarkStart w:id="169" w:name="_Toc151193911"/>
      <w:bookmarkStart w:id="170" w:name="_Toc151193693"/>
      <w:bookmarkStart w:id="171" w:name="_Toc226337219"/>
      <w:bookmarkStart w:id="172" w:name="_Toc265228361"/>
      <w:bookmarkStart w:id="173" w:name="_Toc226965713"/>
      <w:bookmarkStart w:id="174" w:name="_Toc164229364"/>
      <w:bookmarkStart w:id="175" w:name="_Toc195842888"/>
      <w:bookmarkStart w:id="176" w:name="_Toc164608637"/>
      <w:r>
        <w:rPr>
          <w:rFonts w:hint="eastAsia" w:ascii="宋体" w:hAnsi="宋体" w:cs="宋体"/>
          <w:color w:val="auto"/>
          <w:sz w:val="24"/>
          <w:highlight w:val="none"/>
        </w:rPr>
        <w:t>竞争性磋商文件构</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rFonts w:hint="eastAsia" w:ascii="宋体" w:hAnsi="宋体" w:cs="宋体"/>
          <w:color w:val="auto"/>
          <w:sz w:val="24"/>
          <w:highlight w:val="none"/>
        </w:rPr>
        <w:t>成</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竞争性磋商文件包括以下部分：</w:t>
      </w:r>
    </w:p>
    <w:p>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numPr>
          <w:ilvl w:val="0"/>
          <w:numId w:val="8"/>
        </w:numPr>
        <w:tabs>
          <w:tab w:val="left" w:pos="1080"/>
          <w:tab w:val="left" w:pos="2014"/>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pStyle w:val="4"/>
        <w:ind w:firstLine="0"/>
        <w:rPr>
          <w:rFonts w:hAnsi="宋体" w:cs="宋体"/>
          <w:color w:val="auto"/>
          <w:sz w:val="28"/>
          <w:highlight w:val="none"/>
        </w:rPr>
      </w:pPr>
      <w:bookmarkStart w:id="177" w:name="_Toc516367020"/>
      <w:bookmarkStart w:id="178" w:name="_Toc127151526"/>
      <w:bookmarkStart w:id="179" w:name="_Toc264969216"/>
      <w:bookmarkStart w:id="180" w:name="_Toc195842891"/>
      <w:bookmarkStart w:id="181" w:name="_Toc150480764"/>
      <w:bookmarkStart w:id="182" w:name="_Toc150774626"/>
      <w:bookmarkStart w:id="183" w:name="_Toc151193914"/>
      <w:bookmarkStart w:id="184" w:name="_Toc226965799"/>
      <w:bookmarkStart w:id="185" w:name="_Toc305158794"/>
      <w:bookmarkStart w:id="186" w:name="_Toc151193624"/>
      <w:bookmarkStart w:id="187" w:name="_Toc142311028"/>
      <w:bookmarkStart w:id="188" w:name="_Toc150774731"/>
      <w:bookmarkStart w:id="189" w:name="_Toc150509277"/>
      <w:bookmarkStart w:id="190" w:name="_Toc265228364"/>
      <w:bookmarkStart w:id="191" w:name="_Toc151190153"/>
      <w:bookmarkStart w:id="192" w:name="_Toc151193840"/>
      <w:bookmarkStart w:id="193" w:name="_Toc226309770"/>
      <w:bookmarkStart w:id="194" w:name="_Toc305158868"/>
      <w:bookmarkStart w:id="195" w:name="_Toc520356150"/>
      <w:bookmarkStart w:id="196" w:name="_Toc151193696"/>
      <w:bookmarkStart w:id="197" w:name="_Toc151193768"/>
      <w:bookmarkStart w:id="198" w:name="_Toc226337222"/>
      <w:bookmarkStart w:id="199" w:name="_Toc226965716"/>
    </w:p>
    <w:p>
      <w:pPr>
        <w:pStyle w:val="3"/>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三   响应文件</w:t>
      </w:r>
      <w:bookmarkEnd w:id="177"/>
      <w:r>
        <w:rPr>
          <w:rFonts w:hint="eastAsia" w:ascii="宋体" w:hAnsi="宋体" w:eastAsia="宋体" w:cs="宋体"/>
          <w:color w:val="auto"/>
          <w:sz w:val="28"/>
          <w:highlight w:val="none"/>
        </w:rPr>
        <w:t>的编制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200" w:name="_Toc164608796"/>
      <w:bookmarkStart w:id="201" w:name="_Toc164608641"/>
      <w:bookmarkStart w:id="202" w:name="_Toc164351621"/>
      <w:bookmarkStart w:id="203" w:name="_Toc127151527"/>
      <w:bookmarkStart w:id="204" w:name="_Toc151190154"/>
      <w:bookmarkStart w:id="205" w:name="_Toc520356151"/>
      <w:bookmarkStart w:id="206" w:name="_Toc151193841"/>
      <w:bookmarkStart w:id="207" w:name="_Toc151193625"/>
      <w:bookmarkStart w:id="208" w:name="_Toc264969217"/>
      <w:bookmarkStart w:id="209" w:name="_Toc226965717"/>
      <w:bookmarkStart w:id="210" w:name="_Toc226965800"/>
      <w:bookmarkStart w:id="211" w:name="_Toc164229368"/>
      <w:bookmarkStart w:id="212" w:name="_Toc150509278"/>
      <w:bookmarkStart w:id="213" w:name="_Toc164229222"/>
      <w:bookmarkStart w:id="214" w:name="_Toc305158869"/>
      <w:bookmarkStart w:id="215" w:name="_Toc151193769"/>
      <w:bookmarkStart w:id="216" w:name="_Toc142311029"/>
      <w:bookmarkStart w:id="217" w:name="_Toc149720820"/>
      <w:bookmarkStart w:id="218" w:name="_Toc305158795"/>
      <w:bookmarkStart w:id="219" w:name="_Toc150774732"/>
      <w:bookmarkStart w:id="220" w:name="_Toc265228365"/>
      <w:bookmarkStart w:id="221" w:name="_Toc195842892"/>
      <w:bookmarkStart w:id="222" w:name="_Toc226309771"/>
      <w:bookmarkStart w:id="223" w:name="_Toc150774627"/>
      <w:bookmarkStart w:id="224" w:name="_Toc151193697"/>
      <w:bookmarkStart w:id="225" w:name="_Toc516367021"/>
      <w:bookmarkStart w:id="226" w:name="_Toc151193915"/>
      <w:bookmarkStart w:id="227" w:name="_Toc150480765"/>
      <w:bookmarkStart w:id="228" w:name="_Toc127161441"/>
      <w:bookmarkStart w:id="229" w:name="_Toc127151728"/>
      <w:bookmarkStart w:id="230" w:name="_Toc226337223"/>
      <w:r>
        <w:rPr>
          <w:rFonts w:hint="eastAsia" w:ascii="宋体" w:hAnsi="宋体" w:cs="宋体"/>
          <w:color w:val="auto"/>
          <w:sz w:val="24"/>
          <w:highlight w:val="none"/>
        </w:rPr>
        <w:t>响应范围、竞争性磋商文件中计量单位的使用</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hint="eastAsia" w:ascii="宋体" w:hAnsi="宋体" w:cs="宋体"/>
          <w:color w:val="auto"/>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231" w:name="_Ref467306676"/>
      <w:bookmarkStart w:id="232" w:name="_Ref467306195"/>
      <w:bookmarkStart w:id="233" w:name="_Toc516367022"/>
      <w:bookmarkStart w:id="234" w:name="_Toc164608797"/>
      <w:bookmarkStart w:id="235" w:name="_Toc151193626"/>
      <w:bookmarkStart w:id="236" w:name="_Toc127151729"/>
      <w:bookmarkStart w:id="237" w:name="_Toc305158870"/>
      <w:bookmarkStart w:id="238" w:name="_Toc127151528"/>
      <w:bookmarkStart w:id="239" w:name="_Toc151190155"/>
      <w:bookmarkStart w:id="240" w:name="_Toc265228366"/>
      <w:bookmarkStart w:id="241" w:name="_Toc520356152"/>
      <w:bookmarkStart w:id="242" w:name="_Toc151193770"/>
      <w:bookmarkStart w:id="243" w:name="_Toc142311030"/>
      <w:bookmarkStart w:id="244" w:name="_Toc151193916"/>
      <w:bookmarkStart w:id="245" w:name="_Toc150774733"/>
      <w:bookmarkStart w:id="246" w:name="_Toc305158796"/>
      <w:bookmarkStart w:id="247" w:name="_Toc164351622"/>
      <w:bookmarkStart w:id="248" w:name="_Toc150480766"/>
      <w:bookmarkStart w:id="249" w:name="_Toc150509279"/>
      <w:bookmarkStart w:id="250" w:name="_Toc127161442"/>
      <w:bookmarkStart w:id="251" w:name="_Toc226309772"/>
      <w:bookmarkStart w:id="252" w:name="_Toc226337224"/>
      <w:bookmarkStart w:id="253" w:name="_Toc226965801"/>
      <w:bookmarkStart w:id="254" w:name="_Toc151193698"/>
      <w:bookmarkStart w:id="255" w:name="_Toc164608642"/>
      <w:bookmarkStart w:id="256" w:name="_Toc151193842"/>
      <w:bookmarkStart w:id="257" w:name="_Toc164229223"/>
      <w:bookmarkStart w:id="258" w:name="_Toc150774628"/>
      <w:bookmarkStart w:id="259" w:name="_Toc264969218"/>
      <w:bookmarkStart w:id="260" w:name="_Toc164229369"/>
      <w:bookmarkStart w:id="261" w:name="_Toc149720821"/>
      <w:bookmarkStart w:id="262" w:name="_Toc226965718"/>
      <w:bookmarkStart w:id="263" w:name="_Toc195842893"/>
      <w:r>
        <w:rPr>
          <w:rFonts w:hint="eastAsia" w:ascii="宋体" w:hAnsi="宋体" w:cs="宋体"/>
          <w:color w:val="auto"/>
          <w:sz w:val="24"/>
          <w:highlight w:val="none"/>
        </w:rPr>
        <w:t>响应文件</w:t>
      </w:r>
      <w:bookmarkEnd w:id="231"/>
      <w:bookmarkEnd w:id="232"/>
      <w:bookmarkEnd w:id="233"/>
      <w:r>
        <w:rPr>
          <w:rFonts w:hint="eastAsia" w:ascii="宋体" w:hAnsi="宋体" w:cs="宋体"/>
          <w:color w:val="auto"/>
          <w:sz w:val="24"/>
          <w:highlight w:val="none"/>
        </w:rPr>
        <w:t>构成</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64" w:name="_Ref467052588"/>
      <w:r>
        <w:rPr>
          <w:rFonts w:hint="eastAsia" w:ascii="宋体" w:hAnsi="宋体" w:cs="宋体"/>
          <w:color w:val="auto"/>
          <w:sz w:val="24"/>
          <w:highlight w:val="none"/>
        </w:rPr>
        <w:t>供应商应当按照竞争性磋商文件的要求编制响应文件，</w:t>
      </w:r>
      <w:r>
        <w:rPr>
          <w:rFonts w:hint="eastAsia" w:ascii="宋体" w:hAnsi="宋体" w:cs="宋体"/>
          <w:color w:val="auto"/>
          <w:kern w:val="0"/>
          <w:sz w:val="24"/>
          <w:highlight w:val="none"/>
        </w:rPr>
        <w:t>并对其提交的响应文件的真实性、合法性承担法律责任</w:t>
      </w:r>
      <w:r>
        <w:rPr>
          <w:rFonts w:hint="eastAsia" w:ascii="宋体" w:hAnsi="宋体" w:cs="宋体"/>
          <w:color w:val="auto"/>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对于竞争性磋商文件中标记了“实质性格式”文件的，</w:t>
      </w:r>
      <w:r>
        <w:rPr>
          <w:rFonts w:hint="eastAsia" w:ascii="宋体" w:hAnsi="宋体" w:cs="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kern w:val="0"/>
          <w:sz w:val="24"/>
          <w:highlight w:val="none"/>
        </w:rPr>
        <w:t>否则响应无效</w:t>
      </w:r>
      <w:r>
        <w:rPr>
          <w:rFonts w:hint="eastAsia" w:ascii="宋体" w:hAnsi="宋体" w:cs="宋体"/>
          <w:color w:val="auto"/>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供应商认为应附的其他材料。</w:t>
      </w:r>
      <w:bookmarkEnd w:id="264"/>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265" w:name="_Toc150509281"/>
      <w:bookmarkStart w:id="266" w:name="_Toc127151530"/>
      <w:bookmarkStart w:id="267" w:name="_Toc151193772"/>
      <w:bookmarkStart w:id="268" w:name="_Toc151190157"/>
      <w:bookmarkStart w:id="269" w:name="_Toc151193844"/>
      <w:bookmarkStart w:id="270" w:name="_Toc164229371"/>
      <w:bookmarkStart w:id="271" w:name="_Toc151193628"/>
      <w:bookmarkStart w:id="272" w:name="_Toc127161444"/>
      <w:bookmarkStart w:id="273" w:name="_Toc127151731"/>
      <w:bookmarkStart w:id="274" w:name="_Toc142311032"/>
      <w:bookmarkStart w:id="275" w:name="_Toc520356155"/>
      <w:bookmarkStart w:id="276" w:name="_Toc164351624"/>
      <w:bookmarkStart w:id="277" w:name="_Toc164608799"/>
      <w:bookmarkStart w:id="278" w:name="_Toc150480768"/>
      <w:bookmarkStart w:id="279" w:name="_Toc164608644"/>
      <w:bookmarkStart w:id="280" w:name="_Toc150774735"/>
      <w:bookmarkStart w:id="281" w:name="_Toc149720823"/>
      <w:bookmarkStart w:id="282" w:name="_Toc150774630"/>
      <w:bookmarkStart w:id="283" w:name="_Toc195842895"/>
      <w:bookmarkStart w:id="284" w:name="_Toc151193918"/>
      <w:bookmarkStart w:id="285" w:name="_Toc164229225"/>
      <w:bookmarkStart w:id="286" w:name="_Toc151193700"/>
      <w:r>
        <w:rPr>
          <w:rFonts w:hint="eastAsia" w:ascii="宋体" w:hAnsi="宋体" w:cs="宋体"/>
          <w:color w:val="auto"/>
          <w:sz w:val="24"/>
          <w:highlight w:val="none"/>
        </w:rPr>
        <w:t>报价</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所有响应均以人民币报价。</w:t>
      </w:r>
    </w:p>
    <w:p>
      <w:pPr>
        <w:numPr>
          <w:ilvl w:val="1"/>
          <w:numId w:val="8"/>
        </w:numPr>
        <w:tabs>
          <w:tab w:val="left" w:pos="108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按照竞争性磋商文件要求完成本项目的全部相关工程或服务费用。</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供应商不能提供任何有选择性或可调整的最后报价（</w:t>
      </w:r>
      <w:r>
        <w:rPr>
          <w:rFonts w:hint="eastAsia" w:ascii="宋体" w:hAnsi="宋体" w:cs="宋体"/>
          <w:color w:val="auto"/>
          <w:kern w:val="0"/>
          <w:sz w:val="24"/>
          <w:highlight w:val="none"/>
        </w:rPr>
        <w:t>竞争性磋商文件</w:t>
      </w:r>
      <w:r>
        <w:rPr>
          <w:rFonts w:hint="eastAsia" w:ascii="宋体" w:hAnsi="宋体" w:cs="宋体"/>
          <w:color w:val="auto"/>
          <w:sz w:val="24"/>
          <w:highlight w:val="none"/>
        </w:rPr>
        <w:t>另有规定的除外），否则其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87" w:name="_Ref467306302"/>
      <w:r>
        <w:rPr>
          <w:rFonts w:hint="eastAsia" w:ascii="宋体" w:hAnsi="宋体" w:cs="宋体"/>
          <w:color w:val="auto"/>
          <w:sz w:val="24"/>
          <w:highlight w:val="none"/>
        </w:rPr>
        <w:t>供应商应按《供应商须知资料表》中规定的金额及要求交纳磋商保证金</w:t>
      </w:r>
      <w:bookmarkEnd w:id="287"/>
      <w:r>
        <w:rPr>
          <w:rFonts w:hint="eastAsia" w:ascii="宋体" w:hAnsi="宋体" w:cs="宋体"/>
          <w:color w:val="auto"/>
          <w:sz w:val="24"/>
          <w:highlight w:val="none"/>
        </w:rPr>
        <w:t>，并作为其响应文件的一部分。</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磋商保证金（保函）有效期同响应有效期。</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s="宋体"/>
          <w:color w:val="auto"/>
          <w:sz w:val="24"/>
          <w:highlight w:val="none"/>
        </w:rPr>
      </w:pPr>
      <w:r>
        <w:rPr>
          <w:rFonts w:hint="eastAsia" w:ascii="宋体" w:hAnsi="宋体" w:cs="宋体"/>
          <w:snapToGrid w:val="0"/>
          <w:color w:val="auto"/>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有下列情形之一的，采购人或采购代理机构不予退还磋商保证金：</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供应商在提交响应文件截止时间后撤回响应文件的；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供应商在响应文件中提供虚假材料的；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供应商与采购人、其他供应商或者采购代理机构恶意串通的；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《供应商须知资料表》规定的其他情形。</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288" w:name="_Toc226337229"/>
      <w:bookmarkStart w:id="289" w:name="_Toc127161447"/>
      <w:bookmarkStart w:id="290" w:name="_Toc151190160"/>
      <w:bookmarkStart w:id="291" w:name="_Toc265228371"/>
      <w:bookmarkStart w:id="292" w:name="_Toc151193703"/>
      <w:bookmarkStart w:id="293" w:name="_Toc520356158"/>
      <w:bookmarkStart w:id="294" w:name="_Toc150774738"/>
      <w:bookmarkStart w:id="295" w:name="_Toc264969223"/>
      <w:bookmarkStart w:id="296" w:name="_Toc164351627"/>
      <w:bookmarkStart w:id="297" w:name="_Toc151193631"/>
      <w:bookmarkStart w:id="298" w:name="_Toc127151734"/>
      <w:bookmarkStart w:id="299" w:name="_Toc151193847"/>
      <w:bookmarkStart w:id="300" w:name="_Toc226309777"/>
      <w:bookmarkStart w:id="301" w:name="_Toc150509284"/>
      <w:bookmarkStart w:id="302" w:name="_Toc151193775"/>
      <w:bookmarkStart w:id="303" w:name="_Toc164229228"/>
      <w:bookmarkStart w:id="304" w:name="_Toc305158801"/>
      <w:bookmarkStart w:id="305" w:name="_Toc150774633"/>
      <w:bookmarkStart w:id="306" w:name="_Toc226965723"/>
      <w:bookmarkStart w:id="307" w:name="_Toc150480771"/>
      <w:bookmarkStart w:id="308" w:name="_Toc151193921"/>
      <w:bookmarkStart w:id="309" w:name="_Toc164229374"/>
      <w:bookmarkStart w:id="310" w:name="_Toc142311035"/>
      <w:bookmarkStart w:id="311" w:name="_Toc149720826"/>
      <w:bookmarkStart w:id="312" w:name="_Toc127151533"/>
      <w:bookmarkStart w:id="313" w:name="_Toc164608647"/>
      <w:bookmarkStart w:id="314" w:name="_Toc226965806"/>
      <w:bookmarkStart w:id="315" w:name="_Toc195842898"/>
      <w:bookmarkStart w:id="316" w:name="_Toc164608802"/>
      <w:bookmarkStart w:id="317" w:name="_Toc305158875"/>
      <w:bookmarkStart w:id="318" w:name="_Toc195842899"/>
      <w:bookmarkStart w:id="319" w:name="_Toc151193922"/>
      <w:bookmarkStart w:id="320" w:name="_Toc150509285"/>
      <w:bookmarkStart w:id="321" w:name="_Toc305158876"/>
      <w:bookmarkStart w:id="322" w:name="_Toc151193848"/>
      <w:bookmarkStart w:id="323" w:name="_Toc150774739"/>
      <w:bookmarkStart w:id="324" w:name="_Toc226965807"/>
      <w:bookmarkStart w:id="325" w:name="_Toc151193776"/>
      <w:bookmarkStart w:id="326" w:name="_Toc520356159"/>
      <w:bookmarkStart w:id="327" w:name="_Toc226337230"/>
      <w:bookmarkStart w:id="328" w:name="_Toc226965724"/>
      <w:bookmarkStart w:id="329" w:name="_Toc142311036"/>
      <w:bookmarkStart w:id="330" w:name="_Toc151193704"/>
      <w:bookmarkStart w:id="331" w:name="_Toc151190161"/>
      <w:bookmarkStart w:id="332" w:name="_Toc264969224"/>
      <w:bookmarkStart w:id="333" w:name="_Toc150480772"/>
      <w:bookmarkStart w:id="334" w:name="_Toc150774634"/>
      <w:bookmarkStart w:id="335" w:name="_Toc127151534"/>
      <w:bookmarkStart w:id="336" w:name="_Toc151193632"/>
      <w:bookmarkStart w:id="337" w:name="_Toc305158802"/>
      <w:bookmarkStart w:id="338" w:name="_Toc226309778"/>
      <w:bookmarkStart w:id="339" w:name="_Toc265228372"/>
      <w:r>
        <w:rPr>
          <w:rFonts w:hint="eastAsia" w:ascii="宋体" w:hAnsi="宋体" w:cs="宋体"/>
          <w:color w:val="auto"/>
          <w:sz w:val="24"/>
          <w:highlight w:val="none"/>
        </w:rPr>
        <w:t>响应文件的签署</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Pr>
          <w:rFonts w:hint="eastAsia" w:ascii="宋体" w:hAnsi="宋体" w:cs="宋体"/>
          <w:color w:val="auto"/>
          <w:sz w:val="24"/>
          <w:highlight w:val="none"/>
        </w:rPr>
        <w:t>、盖章</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供应商应准备响应文件正本壹份和副本贰份，每份响应文件须清楚地标明“正本”或“副本”。若正本和副本不符，以正本为准。</w:t>
      </w:r>
      <w:r>
        <w:rPr>
          <w:rFonts w:hint="eastAsia" w:ascii="宋体" w:hAnsi="宋体" w:cs="宋体"/>
          <w:color w:val="auto"/>
          <w:sz w:val="24"/>
          <w:highlight w:val="none"/>
          <w:lang w:val="zh-CN"/>
        </w:rPr>
        <w:t>电子文档指：将投标文件制成一个PDF文档（</w:t>
      </w:r>
      <w:r>
        <w:rPr>
          <w:rFonts w:hint="eastAsia" w:ascii="宋体" w:hAnsi="宋体" w:cs="宋体"/>
          <w:color w:val="auto"/>
          <w:sz w:val="24"/>
          <w:highlight w:val="none"/>
        </w:rPr>
        <w:t>内容须与正本一致</w:t>
      </w:r>
      <w:r>
        <w:rPr>
          <w:rFonts w:hint="eastAsia" w:ascii="宋体" w:hAnsi="宋体" w:cs="宋体"/>
          <w:color w:val="auto"/>
          <w:sz w:val="24"/>
          <w:highlight w:val="none"/>
          <w:lang w:val="zh-CN"/>
        </w:rPr>
        <w:t>），且该电子文档的存储载体为</w:t>
      </w:r>
      <w:r>
        <w:rPr>
          <w:rFonts w:hint="eastAsia" w:ascii="宋体" w:hAnsi="宋体" w:cs="宋体"/>
          <w:color w:val="auto"/>
          <w:sz w:val="24"/>
          <w:highlight w:val="none"/>
        </w:rPr>
        <w:t>U盘</w:t>
      </w:r>
      <w:r>
        <w:rPr>
          <w:rFonts w:hint="eastAsia" w:ascii="宋体" w:hAnsi="宋体" w:cs="宋体"/>
          <w:color w:val="auto"/>
          <w:sz w:val="24"/>
          <w:highlight w:val="none"/>
          <w:lang w:val="zh-CN"/>
        </w:rPr>
        <w:t>1份。</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响应文件的正本需打印或用不退色墨水书写，并由供应商的法定代表人或经其正式授权的代表在响应文件上签字并加盖单位印章。递交响应文件时授权代表须持有身份证原件备查。授权代表参与的须持有书面的“授权委托书”，法定代表人参与的须持有书面的 “授权委托书” 并同时将其附在响应文件中。如对响应文件进行了修改，则应由供应商的法定代表人或经其正式授权的代表在修改的每一页上签字。响应文件的副本可采用正本的复印件。</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供应商填写响应文件中授权委托书或者法定代表人（单位负责人）身份证明时，授权委托书或法定代表人（单位负责人）身份证明的签署及生效日期须在其他文件签署日期之前。</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任何行间插字、涂改和增删，必须由响应文件签字人签字或盖章后才有效。</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响应文件因字迹潦草或表达不清所引起的后果由供应商负责。</w:t>
      </w:r>
    </w:p>
    <w:p>
      <w:pPr>
        <w:numPr>
          <w:ilvl w:val="1"/>
          <w:numId w:val="8"/>
        </w:numPr>
        <w:tabs>
          <w:tab w:val="left" w:pos="900"/>
          <w:tab w:val="left" w:pos="1080"/>
          <w:tab w:val="clear" w:pos="1589"/>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 xml:space="preserve"> 响应文件必须胶装成册，避免使用中出现开装情况。</w:t>
      </w:r>
    </w:p>
    <w:p>
      <w:pPr>
        <w:pStyle w:val="18"/>
        <w:rPr>
          <w:color w:val="auto"/>
          <w:highlight w:val="none"/>
        </w:rPr>
      </w:pPr>
    </w:p>
    <w:p>
      <w:pPr>
        <w:rPr>
          <w:color w:val="auto"/>
          <w:highlight w:val="none"/>
        </w:rPr>
      </w:pPr>
    </w:p>
    <w:p>
      <w:pPr>
        <w:pStyle w:val="3"/>
        <w:spacing w:before="0" w:line="360" w:lineRule="auto"/>
        <w:jc w:val="both"/>
        <w:rPr>
          <w:rFonts w:hint="eastAsia" w:ascii="宋体" w:hAnsi="宋体" w:eastAsia="宋体" w:cs="宋体"/>
          <w:color w:val="auto"/>
          <w:sz w:val="28"/>
          <w:highlight w:val="none"/>
        </w:rPr>
      </w:pPr>
    </w:p>
    <w:p>
      <w:pPr>
        <w:pStyle w:val="3"/>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四   响应文件的提交</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340" w:name="_Toc164229230"/>
      <w:bookmarkStart w:id="341" w:name="_Toc142311037"/>
      <w:bookmarkStart w:id="342" w:name="_Toc226309779"/>
      <w:bookmarkStart w:id="343" w:name="_Toc195842900"/>
      <w:bookmarkStart w:id="344" w:name="_Toc127161449"/>
      <w:bookmarkStart w:id="345" w:name="_Toc164351629"/>
      <w:bookmarkStart w:id="346" w:name="_Toc127151535"/>
      <w:bookmarkStart w:id="347" w:name="_Toc164229376"/>
      <w:bookmarkStart w:id="348" w:name="_Toc151193705"/>
      <w:bookmarkStart w:id="349" w:name="_Toc305158803"/>
      <w:bookmarkStart w:id="350" w:name="_Toc520356160"/>
      <w:bookmarkStart w:id="351" w:name="_Toc151190162"/>
      <w:bookmarkStart w:id="352" w:name="_Toc150509286"/>
      <w:bookmarkStart w:id="353" w:name="_Toc149720828"/>
      <w:bookmarkStart w:id="354" w:name="_Toc151193923"/>
      <w:bookmarkStart w:id="355" w:name="_Toc150480773"/>
      <w:bookmarkStart w:id="356" w:name="_Toc264969225"/>
      <w:bookmarkStart w:id="357" w:name="_Toc151193633"/>
      <w:bookmarkStart w:id="358" w:name="_Toc150774740"/>
      <w:bookmarkStart w:id="359" w:name="_Toc164608804"/>
      <w:bookmarkStart w:id="360" w:name="_Toc265228373"/>
      <w:bookmarkStart w:id="361" w:name="_Toc151193849"/>
      <w:bookmarkStart w:id="362" w:name="_Toc151193777"/>
      <w:bookmarkStart w:id="363" w:name="_Toc226337231"/>
      <w:bookmarkStart w:id="364" w:name="_Toc226965725"/>
      <w:bookmarkStart w:id="365" w:name="_Toc226965808"/>
      <w:bookmarkStart w:id="366" w:name="_Toc127151736"/>
      <w:bookmarkStart w:id="367" w:name="_Toc305158877"/>
      <w:bookmarkStart w:id="368" w:name="_Toc150774635"/>
      <w:bookmarkStart w:id="369" w:name="_Toc164608649"/>
      <w:r>
        <w:rPr>
          <w:rFonts w:hint="eastAsia" w:ascii="宋体" w:hAnsi="宋体" w:cs="宋体"/>
          <w:color w:val="auto"/>
          <w:sz w:val="24"/>
          <w:highlight w:val="none"/>
        </w:rPr>
        <w:t>响应文件的</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Fonts w:hint="eastAsia" w:ascii="宋体" w:hAnsi="宋体" w:cs="宋体"/>
          <w:color w:val="auto"/>
          <w:sz w:val="24"/>
          <w:highlight w:val="none"/>
        </w:rPr>
        <w:t>提交</w:t>
      </w:r>
    </w:p>
    <w:p>
      <w:pPr>
        <w:numPr>
          <w:ilvl w:val="1"/>
          <w:numId w:val="8"/>
        </w:numPr>
        <w:tabs>
          <w:tab w:val="left" w:pos="1080"/>
          <w:tab w:val="left" w:pos="2014"/>
        </w:tabs>
        <w:snapToGrid w:val="0"/>
        <w:spacing w:line="360" w:lineRule="auto"/>
        <w:ind w:left="1077" w:hanging="720"/>
        <w:rPr>
          <w:rFonts w:ascii="宋体" w:hAnsi="宋体" w:cs="宋体"/>
          <w:b/>
          <w:bCs/>
          <w:color w:val="auto"/>
          <w:sz w:val="24"/>
          <w:highlight w:val="none"/>
        </w:rPr>
      </w:pPr>
      <w:bookmarkStart w:id="370" w:name="_Toc150774636"/>
      <w:bookmarkStart w:id="371" w:name="_Toc151193778"/>
      <w:bookmarkStart w:id="372" w:name="_Toc265228374"/>
      <w:bookmarkStart w:id="373" w:name="_Toc151193634"/>
      <w:bookmarkStart w:id="374" w:name="_Toc151193924"/>
      <w:bookmarkStart w:id="375" w:name="_Toc164229377"/>
      <w:bookmarkStart w:id="376" w:name="_Toc305158878"/>
      <w:bookmarkStart w:id="377" w:name="_Toc264969226"/>
      <w:bookmarkStart w:id="378" w:name="_Toc520356161"/>
      <w:bookmarkStart w:id="379" w:name="_Toc142311038"/>
      <w:bookmarkStart w:id="380" w:name="_Toc305158804"/>
      <w:bookmarkStart w:id="381" w:name="_Toc164351630"/>
      <w:bookmarkStart w:id="382" w:name="_Toc150480774"/>
      <w:bookmarkStart w:id="383" w:name="_Toc127151737"/>
      <w:bookmarkStart w:id="384" w:name="_Toc151190163"/>
      <w:bookmarkStart w:id="385" w:name="_Toc149720829"/>
      <w:bookmarkStart w:id="386" w:name="_Toc226309780"/>
      <w:bookmarkStart w:id="387" w:name="_Toc151193706"/>
      <w:bookmarkStart w:id="388" w:name="_Toc226965726"/>
      <w:bookmarkStart w:id="389" w:name="_Toc127161450"/>
      <w:bookmarkStart w:id="390" w:name="_Toc150774741"/>
      <w:bookmarkStart w:id="391" w:name="_Toc226337232"/>
      <w:bookmarkStart w:id="392" w:name="_Toc164229231"/>
      <w:bookmarkStart w:id="393" w:name="_Toc127151536"/>
      <w:bookmarkStart w:id="394" w:name="_Toc164608805"/>
      <w:bookmarkStart w:id="395" w:name="_Toc226965809"/>
      <w:bookmarkStart w:id="396" w:name="_Toc151193850"/>
      <w:bookmarkStart w:id="397" w:name="_Toc195842901"/>
      <w:bookmarkStart w:id="398" w:name="_Toc150509287"/>
      <w:bookmarkStart w:id="399" w:name="_Toc164608650"/>
      <w:r>
        <w:rPr>
          <w:rFonts w:hint="eastAsia" w:ascii="宋体" w:hAnsi="宋体" w:cs="宋体"/>
          <w:b/>
          <w:bCs/>
          <w:color w:val="auto"/>
          <w:sz w:val="24"/>
          <w:highlight w:val="none"/>
        </w:rPr>
        <w:t>投标时，供应商应将响应文件正本和所有的副本分开密封装在单独的信封中，且在信封正面标明“正本”“副本”字样。</w:t>
      </w:r>
    </w:p>
    <w:p>
      <w:pPr>
        <w:numPr>
          <w:ilvl w:val="1"/>
          <w:numId w:val="8"/>
        </w:numPr>
        <w:tabs>
          <w:tab w:val="left" w:pos="1080"/>
          <w:tab w:val="left" w:pos="2014"/>
        </w:tabs>
        <w:snapToGrid w:val="0"/>
        <w:spacing w:line="360" w:lineRule="auto"/>
        <w:ind w:left="1077" w:hanging="720"/>
        <w:rPr>
          <w:rFonts w:ascii="宋体" w:hAnsi="宋体" w:cs="宋体"/>
          <w:b/>
          <w:bCs/>
          <w:color w:val="auto"/>
          <w:sz w:val="24"/>
          <w:highlight w:val="none"/>
        </w:rPr>
      </w:pPr>
      <w:r>
        <w:rPr>
          <w:rFonts w:hint="eastAsia" w:ascii="宋体" w:hAnsi="宋体" w:cs="宋体"/>
          <w:b/>
          <w:bCs/>
          <w:color w:val="auto"/>
          <w:sz w:val="24"/>
          <w:highlight w:val="none"/>
        </w:rPr>
        <w:t>供应商应将 “报价一览表”单独密封，并在信封上标明“报价一览表”字样，在投标时单独递交。</w:t>
      </w:r>
    </w:p>
    <w:p>
      <w:pPr>
        <w:numPr>
          <w:ilvl w:val="1"/>
          <w:numId w:val="8"/>
        </w:numPr>
        <w:tabs>
          <w:tab w:val="left" w:pos="1080"/>
          <w:tab w:val="left" w:pos="2014"/>
        </w:tabs>
        <w:snapToGrid w:val="0"/>
        <w:spacing w:line="360" w:lineRule="auto"/>
        <w:ind w:left="1077" w:hanging="720"/>
        <w:rPr>
          <w:rFonts w:ascii="宋体" w:hAnsi="宋体" w:cs="宋体"/>
          <w:b/>
          <w:bCs/>
          <w:color w:val="auto"/>
          <w:sz w:val="24"/>
          <w:highlight w:val="none"/>
        </w:rPr>
      </w:pPr>
      <w:r>
        <w:rPr>
          <w:rFonts w:hint="eastAsia" w:ascii="宋体" w:hAnsi="宋体" w:cs="宋体"/>
          <w:b/>
          <w:bCs/>
          <w:color w:val="auto"/>
          <w:sz w:val="24"/>
          <w:highlight w:val="none"/>
        </w:rPr>
        <w:t>供应商应将 “电子文档”单独密封，并在信封上标明“电子文档”字样，在投标时单独递交。</w:t>
      </w:r>
      <w:r>
        <w:rPr>
          <w:rFonts w:hint="eastAsia" w:ascii="宋体" w:hAnsi="宋体" w:eastAsia="宋体" w:cs="宋体"/>
          <w:b/>
          <w:bCs/>
          <w:color w:val="auto"/>
          <w:sz w:val="24"/>
          <w:highlight w:val="none"/>
          <w:lang w:val="en-US" w:eastAsia="zh-CN"/>
        </w:rPr>
        <w:t>电子版内容为投标文件正本签字盖章后的扫描件，格式为</w:t>
      </w:r>
      <w:r>
        <w:rPr>
          <w:rFonts w:hint="eastAsia" w:ascii="宋体" w:hAnsi="宋体" w:eastAsia="宋体" w:cs="宋体"/>
          <w:b/>
          <w:bCs/>
          <w:color w:val="auto"/>
          <w:sz w:val="24"/>
          <w:szCs w:val="24"/>
          <w:highlight w:val="none"/>
        </w:rPr>
        <w:t>WORD 或 WPS 格式《投标文件》1 份、PDF 格式《投标文件》1 份（须与正本内容一致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highlight w:val="none"/>
          <w:lang w:val="en-US" w:eastAsia="zh-CN"/>
        </w:rPr>
        <w:t>。</w:t>
      </w:r>
    </w:p>
    <w:p>
      <w:pPr>
        <w:numPr>
          <w:ilvl w:val="1"/>
          <w:numId w:val="8"/>
        </w:numPr>
        <w:tabs>
          <w:tab w:val="left" w:pos="1080"/>
          <w:tab w:val="left" w:pos="2014"/>
        </w:tabs>
        <w:snapToGrid w:val="0"/>
        <w:spacing w:line="360" w:lineRule="auto"/>
        <w:ind w:left="1077" w:hanging="720"/>
        <w:rPr>
          <w:rFonts w:ascii="宋体" w:hAnsi="宋体" w:cs="宋体"/>
          <w:b/>
          <w:bCs/>
          <w:color w:val="auto"/>
          <w:sz w:val="24"/>
          <w:highlight w:val="none"/>
        </w:rPr>
      </w:pPr>
      <w:r>
        <w:rPr>
          <w:rFonts w:hint="eastAsia" w:ascii="宋体" w:hAnsi="宋体" w:cs="宋体"/>
          <w:b/>
          <w:bCs/>
          <w:color w:val="auto"/>
          <w:sz w:val="24"/>
          <w:highlight w:val="none"/>
        </w:rPr>
        <w:t>所有信封上均应：</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ab/>
      </w:r>
      <w:r>
        <w:rPr>
          <w:rFonts w:hint="eastAsia" w:ascii="宋体" w:hAnsi="宋体" w:cs="宋体"/>
          <w:b/>
          <w:bCs/>
          <w:color w:val="auto"/>
          <w:sz w:val="24"/>
          <w:highlight w:val="none"/>
        </w:rPr>
        <w:t xml:space="preserve">    （1）清楚标明递交至磋商公告或磋商邀请书中指明的地址。</w:t>
      </w:r>
    </w:p>
    <w:p>
      <w:pPr>
        <w:spacing w:line="360" w:lineRule="auto"/>
        <w:ind w:left="964" w:hanging="964" w:hangingChars="400"/>
        <w:rPr>
          <w:rFonts w:ascii="宋体" w:hAnsi="宋体" w:cs="宋体"/>
          <w:b/>
          <w:bCs/>
          <w:color w:val="auto"/>
          <w:sz w:val="24"/>
          <w:highlight w:val="none"/>
        </w:rPr>
      </w:pPr>
      <w:r>
        <w:rPr>
          <w:rFonts w:hint="eastAsia" w:ascii="宋体" w:hAnsi="宋体" w:cs="宋体"/>
          <w:b/>
          <w:bCs/>
          <w:color w:val="auto"/>
          <w:sz w:val="24"/>
          <w:highlight w:val="none"/>
        </w:rPr>
        <w:tab/>
      </w:r>
      <w:r>
        <w:rPr>
          <w:rFonts w:hint="eastAsia" w:ascii="宋体" w:hAnsi="宋体" w:cs="宋体"/>
          <w:b/>
          <w:bCs/>
          <w:color w:val="auto"/>
          <w:sz w:val="24"/>
          <w:highlight w:val="none"/>
        </w:rPr>
        <w:t>（2）注明磋商公告或磋商邀请书中指明的项目名称、项目编号和“在   （开标日期、时间）之前不得启封”的字样。</w:t>
      </w:r>
    </w:p>
    <w:p>
      <w:pPr>
        <w:tabs>
          <w:tab w:val="left" w:pos="1080"/>
          <w:tab w:val="left" w:pos="2014"/>
        </w:tabs>
        <w:snapToGrid w:val="0"/>
        <w:spacing w:line="360" w:lineRule="auto"/>
        <w:ind w:firstLine="964" w:firstLineChars="400"/>
        <w:rPr>
          <w:rFonts w:ascii="宋体" w:hAnsi="宋体" w:cs="宋体"/>
          <w:b/>
          <w:bCs/>
          <w:color w:val="auto"/>
          <w:sz w:val="24"/>
          <w:highlight w:val="none"/>
        </w:rPr>
      </w:pPr>
      <w:r>
        <w:rPr>
          <w:rFonts w:hint="eastAsia" w:ascii="宋体" w:hAnsi="宋体" w:cs="宋体"/>
          <w:b/>
          <w:bCs/>
          <w:color w:val="auto"/>
          <w:sz w:val="24"/>
          <w:highlight w:val="none"/>
        </w:rPr>
        <w:t>（3）在信封的封装处加盖供应商公章。</w:t>
      </w:r>
    </w:p>
    <w:p>
      <w:pPr>
        <w:numPr>
          <w:ilvl w:val="1"/>
          <w:numId w:val="8"/>
        </w:numPr>
        <w:tabs>
          <w:tab w:val="left" w:pos="1080"/>
          <w:tab w:val="left" w:pos="2014"/>
        </w:tabs>
        <w:snapToGrid w:val="0"/>
        <w:spacing w:line="360" w:lineRule="auto"/>
        <w:ind w:left="1077" w:hanging="720"/>
        <w:rPr>
          <w:rFonts w:ascii="宋体" w:hAnsi="宋体" w:cs="宋体"/>
          <w:b/>
          <w:bCs/>
          <w:color w:val="auto"/>
          <w:sz w:val="24"/>
          <w:highlight w:val="none"/>
        </w:rPr>
      </w:pPr>
      <w:r>
        <w:rPr>
          <w:rFonts w:hint="eastAsia" w:ascii="宋体" w:hAnsi="宋体" w:cs="宋体"/>
          <w:b/>
          <w:bCs/>
          <w:color w:val="auto"/>
          <w:sz w:val="24"/>
          <w:highlight w:val="none"/>
        </w:rPr>
        <w:t>所有信封上还应写明供应商名称和地址，以便若其应答被宣布为“迟到”时，能原封退回。</w:t>
      </w:r>
    </w:p>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400" w:name="_Toc127151537"/>
      <w:bookmarkStart w:id="401" w:name="_Toc164351631"/>
      <w:bookmarkStart w:id="402" w:name="_Toc151193635"/>
      <w:bookmarkStart w:id="403" w:name="_Toc151190164"/>
      <w:bookmarkStart w:id="404" w:name="_Toc305158879"/>
      <w:bookmarkStart w:id="405" w:name="_Toc226309781"/>
      <w:bookmarkStart w:id="406" w:name="_Toc150509288"/>
      <w:bookmarkStart w:id="407" w:name="_Toc150774637"/>
      <w:bookmarkStart w:id="408" w:name="_Toc520356162"/>
      <w:bookmarkStart w:id="409" w:name="_Toc142311039"/>
      <w:bookmarkStart w:id="410" w:name="_Toc151193925"/>
      <w:bookmarkStart w:id="411" w:name="_Toc151193707"/>
      <w:bookmarkStart w:id="412" w:name="_Toc150774742"/>
      <w:bookmarkStart w:id="413" w:name="_Toc265228375"/>
      <w:bookmarkStart w:id="414" w:name="_Toc226965727"/>
      <w:bookmarkStart w:id="415" w:name="_Toc226965810"/>
      <w:bookmarkStart w:id="416" w:name="_Toc264969227"/>
      <w:bookmarkStart w:id="417" w:name="_Toc150480775"/>
      <w:bookmarkStart w:id="418" w:name="_Toc127151738"/>
      <w:bookmarkStart w:id="419" w:name="_Toc305158805"/>
      <w:bookmarkStart w:id="420" w:name="_Toc149720830"/>
      <w:bookmarkStart w:id="421" w:name="_Toc127161451"/>
      <w:bookmarkStart w:id="422" w:name="_Toc164608806"/>
      <w:bookmarkStart w:id="423" w:name="_Toc151193851"/>
      <w:bookmarkStart w:id="424" w:name="_Toc151193779"/>
      <w:bookmarkStart w:id="425" w:name="_Toc164229232"/>
      <w:bookmarkStart w:id="426" w:name="_Toc226337233"/>
      <w:bookmarkStart w:id="427" w:name="_Toc195842902"/>
      <w:bookmarkStart w:id="428" w:name="_Toc164229378"/>
      <w:bookmarkStart w:id="429" w:name="_Toc164608651"/>
      <w:r>
        <w:rPr>
          <w:rFonts w:hint="eastAsia" w:ascii="宋体" w:hAnsi="宋体" w:cs="宋体"/>
          <w:color w:val="auto"/>
          <w:sz w:val="24"/>
          <w:highlight w:val="none"/>
        </w:rPr>
        <w:t>响应文件截止时间</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供应商应在磋商公告或投标邀请书中规定的截止日期和时间内，将响应文件递交采购单位，递交地点应是磋商公告或投标邀请书中规定的地址。</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采购单位有权按本须知的规定，通过修改磋商文件延长应答截止期。在此情况下，采购单位和供应商受应答截止期制约的所有权利和义务均应延长至新的截止期。</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采购单位将拒绝并原封退回在本须知规定的应答截止期后收到的任何响应文件。</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响应文件的修改与撤回</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应答以后，如果供应商提出书面修改或撤标要求，在应答截止时间前送达采购单位者，采购单位将予以接受。</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供应商对响应文件的修改或撤回通知应按本须知规定编制、密封、标记和发送。</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在应答截止期之后，供应商不得对其响应文件做任何修改。</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从应答截止期至供应商在响应文件格式中确定的应答有效期之间，供应商不得撤回其应答，否则其磋商保证金将按照本须知的规定不予退回。</w:t>
      </w:r>
    </w:p>
    <w:p>
      <w:pPr>
        <w:tabs>
          <w:tab w:val="left" w:pos="900"/>
          <w:tab w:val="left" w:pos="1080"/>
          <w:tab w:val="left" w:pos="1589"/>
        </w:tabs>
        <w:snapToGrid w:val="0"/>
        <w:spacing w:line="360" w:lineRule="auto"/>
        <w:ind w:left="357"/>
        <w:rPr>
          <w:rFonts w:ascii="宋体" w:hAnsi="宋体" w:cs="宋体"/>
          <w:color w:val="auto"/>
          <w:sz w:val="24"/>
          <w:highlight w:val="none"/>
        </w:rPr>
      </w:pPr>
    </w:p>
    <w:p>
      <w:pPr>
        <w:pStyle w:val="3"/>
        <w:spacing w:before="0" w:line="360" w:lineRule="auto"/>
        <w:rPr>
          <w:rFonts w:ascii="宋体" w:hAnsi="宋体" w:eastAsia="宋体" w:cs="宋体"/>
          <w:color w:val="auto"/>
          <w:sz w:val="28"/>
          <w:highlight w:val="none"/>
        </w:rPr>
      </w:pPr>
      <w:bookmarkStart w:id="430" w:name="_Toc151193926"/>
      <w:bookmarkStart w:id="431" w:name="_Toc265228376"/>
      <w:bookmarkStart w:id="432" w:name="_Toc195842903"/>
      <w:bookmarkStart w:id="433" w:name="_Toc305158880"/>
      <w:bookmarkStart w:id="434" w:name="_Toc150480776"/>
      <w:bookmarkStart w:id="435" w:name="_Toc150774743"/>
      <w:bookmarkStart w:id="436" w:name="_Toc151193708"/>
      <w:bookmarkStart w:id="437" w:name="_Toc151190165"/>
      <w:bookmarkStart w:id="438" w:name="_Toc520356163"/>
      <w:bookmarkStart w:id="439" w:name="_Toc127151538"/>
      <w:bookmarkStart w:id="440" w:name="_Toc305158806"/>
      <w:bookmarkStart w:id="441" w:name="_Toc226337234"/>
      <w:bookmarkStart w:id="442" w:name="_Toc142311040"/>
      <w:bookmarkStart w:id="443" w:name="_Toc226309782"/>
      <w:bookmarkStart w:id="444" w:name="_Toc151193780"/>
      <w:bookmarkStart w:id="445" w:name="_Toc150509289"/>
      <w:bookmarkStart w:id="446" w:name="_Toc150774638"/>
      <w:bookmarkStart w:id="447" w:name="_Toc264969228"/>
      <w:bookmarkStart w:id="448" w:name="_Toc226965728"/>
      <w:bookmarkStart w:id="449" w:name="_Toc151193636"/>
      <w:bookmarkStart w:id="450" w:name="_Toc151193852"/>
      <w:bookmarkStart w:id="451" w:name="_Toc226965811"/>
      <w:r>
        <w:rPr>
          <w:rFonts w:hint="eastAsia" w:ascii="宋体" w:hAnsi="宋体" w:eastAsia="宋体" w:cs="宋体"/>
          <w:color w:val="auto"/>
          <w:sz w:val="28"/>
          <w:highlight w:val="none"/>
        </w:rPr>
        <w:t xml:space="preserve">五   </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rFonts w:hint="eastAsia" w:ascii="宋体" w:hAnsi="宋体" w:eastAsia="宋体" w:cs="宋体"/>
          <w:color w:val="auto"/>
          <w:sz w:val="28"/>
          <w:highlight w:val="none"/>
        </w:rPr>
        <w:t>评审</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响应文件的解密与开启</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452" w:name="_Toc520356165"/>
      <w:r>
        <w:rPr>
          <w:rFonts w:hint="eastAsia" w:ascii="宋体" w:hAnsi="宋体" w:cs="宋体"/>
          <w:color w:val="auto"/>
          <w:sz w:val="24"/>
          <w:highlight w:val="none"/>
        </w:rPr>
        <w:t>磋商小组根据政府采购有关规定和本次采购项目的特点进行组建，并负责具体评审事务，独立履行职责。</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bookmarkEnd w:id="452"/>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磋商小组根据政府采购有关规定和本次采购项目的特点进行组建，并负责具体评审事务，独立履行职责。</w:t>
      </w:r>
      <w:bookmarkStart w:id="453" w:name="_Toc520356166"/>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3"/>
      <w:bookmarkStart w:id="454" w:name="_Toc520356169"/>
    </w:p>
    <w:p>
      <w:pPr>
        <w:numPr>
          <w:ilvl w:val="0"/>
          <w:numId w:val="8"/>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见第三章《评审方法和评审标准》。</w:t>
      </w:r>
    </w:p>
    <w:p>
      <w:pPr>
        <w:tabs>
          <w:tab w:val="left" w:pos="360"/>
          <w:tab w:val="left" w:pos="1080"/>
        </w:tabs>
        <w:snapToGrid w:val="0"/>
        <w:spacing w:line="360" w:lineRule="auto"/>
        <w:ind w:left="1080"/>
        <w:rPr>
          <w:rFonts w:ascii="宋体" w:hAnsi="宋体" w:cs="宋体"/>
          <w:color w:val="auto"/>
          <w:sz w:val="24"/>
          <w:highlight w:val="none"/>
        </w:rPr>
      </w:pPr>
    </w:p>
    <w:p>
      <w:pPr>
        <w:pStyle w:val="3"/>
        <w:spacing w:before="0" w:line="360" w:lineRule="auto"/>
        <w:rPr>
          <w:rFonts w:ascii="宋体" w:hAnsi="宋体" w:eastAsia="宋体" w:cs="宋体"/>
          <w:color w:val="auto"/>
          <w:sz w:val="28"/>
          <w:highlight w:val="none"/>
        </w:rPr>
      </w:pPr>
      <w:bookmarkStart w:id="455" w:name="_Toc150774645"/>
      <w:bookmarkStart w:id="456" w:name="_Toc226309789"/>
      <w:bookmarkStart w:id="457" w:name="_Toc150509296"/>
      <w:bookmarkStart w:id="458" w:name="_Toc151193787"/>
      <w:bookmarkStart w:id="459" w:name="_Toc264969235"/>
      <w:bookmarkStart w:id="460" w:name="_Toc265228383"/>
      <w:bookmarkStart w:id="461" w:name="_Toc195842910"/>
      <w:bookmarkStart w:id="462" w:name="_Toc226965818"/>
      <w:bookmarkStart w:id="463" w:name="_Toc226965735"/>
      <w:bookmarkStart w:id="464" w:name="_Toc226337241"/>
      <w:bookmarkStart w:id="465" w:name="_Toc151193715"/>
      <w:bookmarkStart w:id="466" w:name="_Toc151193933"/>
      <w:bookmarkStart w:id="467" w:name="_Toc151193859"/>
      <w:bookmarkStart w:id="468" w:name="_Toc151190172"/>
      <w:bookmarkStart w:id="469" w:name="_Toc305158813"/>
      <w:bookmarkStart w:id="470" w:name="_Toc150774750"/>
      <w:bookmarkStart w:id="471" w:name="_Toc127151545"/>
      <w:bookmarkStart w:id="472" w:name="_Toc142311047"/>
      <w:bookmarkStart w:id="473" w:name="_Toc151193643"/>
      <w:bookmarkStart w:id="474" w:name="_Toc150480783"/>
      <w:bookmarkStart w:id="475" w:name="_Toc305158887"/>
      <w:r>
        <w:rPr>
          <w:rFonts w:hint="eastAsia" w:ascii="宋体" w:hAnsi="宋体" w:eastAsia="宋体" w:cs="宋体"/>
          <w:color w:val="auto"/>
          <w:sz w:val="28"/>
          <w:highlight w:val="none"/>
        </w:rPr>
        <w:t xml:space="preserve">六   </w:t>
      </w:r>
      <w:bookmarkEnd w:id="454"/>
      <w:r>
        <w:rPr>
          <w:rFonts w:hint="eastAsia" w:ascii="宋体" w:hAnsi="宋体" w:eastAsia="宋体" w:cs="宋体"/>
          <w:color w:val="auto"/>
          <w:sz w:val="28"/>
          <w:highlight w:val="none"/>
        </w:rPr>
        <w:t>确定</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hint="eastAsia" w:ascii="宋体" w:hAnsi="宋体" w:eastAsia="宋体" w:cs="宋体"/>
          <w:color w:val="auto"/>
          <w:sz w:val="28"/>
          <w:highlight w:val="none"/>
        </w:rPr>
        <w:t>成交</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476" w:name="_Toc127151748"/>
      <w:bookmarkStart w:id="477" w:name="_Toc127151547"/>
      <w:bookmarkStart w:id="478" w:name="_Toc142311049"/>
      <w:bookmarkStart w:id="479" w:name="_Toc151193789"/>
      <w:bookmarkStart w:id="480" w:name="_Toc150509298"/>
      <w:bookmarkStart w:id="481" w:name="_Toc150774647"/>
      <w:bookmarkStart w:id="482" w:name="_Toc151193717"/>
      <w:bookmarkStart w:id="483" w:name="_Toc305158815"/>
      <w:bookmarkStart w:id="484" w:name="_Toc164608816"/>
      <w:bookmarkStart w:id="485" w:name="_Toc305158889"/>
      <w:bookmarkStart w:id="486" w:name="_Toc151190174"/>
      <w:bookmarkStart w:id="487" w:name="_Toc264969237"/>
      <w:bookmarkStart w:id="488" w:name="_Toc151193935"/>
      <w:bookmarkStart w:id="489" w:name="_Toc164351641"/>
      <w:bookmarkStart w:id="490" w:name="_Toc150774752"/>
      <w:bookmarkStart w:id="491" w:name="_Toc164229388"/>
      <w:bookmarkStart w:id="492" w:name="_Toc226965737"/>
      <w:bookmarkStart w:id="493" w:name="_Toc151193645"/>
      <w:bookmarkStart w:id="494" w:name="_Toc149720840"/>
      <w:bookmarkStart w:id="495" w:name="_Toc164608661"/>
      <w:bookmarkStart w:id="496" w:name="_Toc151193861"/>
      <w:bookmarkStart w:id="497" w:name="_Toc226337243"/>
      <w:bookmarkStart w:id="498" w:name="_Toc226965820"/>
      <w:bookmarkStart w:id="499" w:name="_Toc164229242"/>
      <w:bookmarkStart w:id="500" w:name="_Toc127161461"/>
      <w:bookmarkStart w:id="501" w:name="_Toc226309791"/>
      <w:bookmarkStart w:id="502" w:name="_Toc195842912"/>
      <w:bookmarkStart w:id="503" w:name="_Toc150480785"/>
      <w:bookmarkStart w:id="504" w:name="_Toc265228385"/>
      <w:r>
        <w:rPr>
          <w:rFonts w:hint="eastAsia" w:ascii="宋体" w:hAnsi="宋体" w:cs="宋体"/>
          <w:color w:val="auto"/>
          <w:sz w:val="24"/>
          <w:highlight w:val="none"/>
        </w:rPr>
        <w:t>确定成交供应商</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505" w:name="_Toc305158891"/>
      <w:bookmarkStart w:id="506" w:name="_Toc305158817"/>
      <w:bookmarkStart w:id="507" w:name="_Toc151190176"/>
      <w:bookmarkStart w:id="508" w:name="_Toc164608818"/>
      <w:bookmarkStart w:id="509" w:name="_Toc164229244"/>
      <w:bookmarkStart w:id="510" w:name="_Toc151193863"/>
      <w:bookmarkStart w:id="511" w:name="_Toc151193791"/>
      <w:bookmarkStart w:id="512" w:name="_Toc150509300"/>
      <w:bookmarkStart w:id="513" w:name="_Toc127161463"/>
      <w:bookmarkStart w:id="514" w:name="_Toc226309793"/>
      <w:bookmarkStart w:id="515" w:name="_Toc226965739"/>
      <w:bookmarkStart w:id="516" w:name="_Toc164229390"/>
      <w:bookmarkStart w:id="517" w:name="_Toc226965822"/>
      <w:bookmarkStart w:id="518" w:name="_Toc150774649"/>
      <w:bookmarkStart w:id="519" w:name="_Toc265228387"/>
      <w:bookmarkStart w:id="520" w:name="_Toc151193719"/>
      <w:bookmarkStart w:id="521" w:name="_Toc142311051"/>
      <w:bookmarkStart w:id="522" w:name="_Toc127151750"/>
      <w:bookmarkStart w:id="523" w:name="_Toc264969239"/>
      <w:bookmarkStart w:id="524" w:name="_Toc150774754"/>
      <w:bookmarkStart w:id="525" w:name="_Toc150480787"/>
      <w:bookmarkStart w:id="526" w:name="_Toc151193647"/>
      <w:bookmarkStart w:id="527" w:name="_Toc127151549"/>
      <w:bookmarkStart w:id="528" w:name="_Toc226337245"/>
      <w:bookmarkStart w:id="529" w:name="_Toc149720842"/>
      <w:bookmarkStart w:id="530" w:name="_Toc151193937"/>
      <w:bookmarkStart w:id="531" w:name="_Toc164351643"/>
      <w:bookmarkStart w:id="532" w:name="_Toc164608663"/>
      <w:bookmarkStart w:id="533" w:name="_Toc195842914"/>
      <w:bookmarkStart w:id="534" w:name="_Toc520356176"/>
      <w:bookmarkStart w:id="535" w:name="_Ref467306425"/>
      <w:bookmarkStart w:id="536" w:name="_Ref467307090"/>
      <w:r>
        <w:rPr>
          <w:rFonts w:hint="eastAsia" w:ascii="宋体" w:hAnsi="宋体" w:cs="宋体"/>
          <w:color w:val="auto"/>
          <w:sz w:val="24"/>
          <w:highlight w:val="none"/>
        </w:rPr>
        <w:t>成交公告与成交通知书</w:t>
      </w:r>
      <w:bookmarkEnd w:id="505"/>
      <w:bookmarkEnd w:id="506"/>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采购人或采购代理机构将</w:t>
      </w:r>
      <w:r>
        <w:rPr>
          <w:rFonts w:hint="eastAsia" w:ascii="宋体" w:hAnsi="宋体" w:cs="宋体"/>
          <w:color w:val="auto"/>
          <w:kern w:val="0"/>
          <w:sz w:val="24"/>
          <w:highlight w:val="none"/>
        </w:rPr>
        <w:t>在成交供应商确定后2个工作日内向成交供应商发出成交通知书，</w:t>
      </w:r>
      <w:r>
        <w:rPr>
          <w:rFonts w:hint="eastAsia" w:ascii="宋体" w:hAnsi="宋体" w:cs="宋体"/>
          <w:color w:val="auto"/>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终止</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因情况变化，不再符合规定的竞争性磋商采购方式适用情形的；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bookmarkStart w:id="537" w:name="_Toc264969240"/>
      <w:bookmarkStart w:id="538" w:name="_Toc151193938"/>
      <w:bookmarkStart w:id="539" w:name="_Ref467306978"/>
      <w:bookmarkStart w:id="540" w:name="_Toc164351644"/>
      <w:bookmarkStart w:id="541" w:name="_Toc226309794"/>
      <w:bookmarkStart w:id="542" w:name="_Toc164229245"/>
      <w:bookmarkStart w:id="543" w:name="_Toc226965823"/>
      <w:bookmarkStart w:id="544" w:name="_Ref467307062"/>
      <w:bookmarkStart w:id="545" w:name="_Toc164229391"/>
      <w:bookmarkStart w:id="546" w:name="_Toc127151550"/>
      <w:bookmarkStart w:id="547" w:name="_Ref467307204"/>
      <w:bookmarkStart w:id="548" w:name="_Toc150480788"/>
      <w:bookmarkStart w:id="549" w:name="_Toc151190177"/>
      <w:bookmarkStart w:id="550" w:name="_Toc164608819"/>
      <w:bookmarkStart w:id="551" w:name="_Toc151193792"/>
      <w:bookmarkStart w:id="552" w:name="_Toc265228388"/>
      <w:bookmarkStart w:id="553" w:name="_Toc127151751"/>
      <w:bookmarkStart w:id="554" w:name="_Toc127161464"/>
      <w:bookmarkStart w:id="555" w:name="_Toc150774650"/>
      <w:bookmarkStart w:id="556" w:name="_Toc151193648"/>
      <w:bookmarkStart w:id="557" w:name="_Ref467306377"/>
      <w:bookmarkStart w:id="558" w:name="_Toc226965740"/>
      <w:bookmarkStart w:id="559" w:name="_Toc150774755"/>
      <w:bookmarkStart w:id="560" w:name="_Toc164608664"/>
      <w:bookmarkStart w:id="561" w:name="_Toc520356175"/>
      <w:bookmarkStart w:id="562" w:name="_Toc142311052"/>
      <w:bookmarkStart w:id="563" w:name="_Toc149720843"/>
      <w:bookmarkStart w:id="564" w:name="_Toc151193720"/>
      <w:bookmarkStart w:id="565" w:name="_Toc195842915"/>
      <w:bookmarkStart w:id="566" w:name="_Toc305158818"/>
      <w:bookmarkStart w:id="567" w:name="_Toc226337246"/>
      <w:bookmarkStart w:id="568" w:name="_Toc151193864"/>
      <w:bookmarkStart w:id="569" w:name="_Toc305158892"/>
      <w:bookmarkStart w:id="570" w:name="_Toc150509301"/>
      <w:r>
        <w:rPr>
          <w:rFonts w:hint="eastAsia" w:ascii="宋体" w:hAnsi="宋体" w:cs="宋体"/>
          <w:color w:val="auto"/>
          <w:sz w:val="24"/>
          <w:highlight w:val="none"/>
        </w:rPr>
        <w:t>签订合同</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否则响应无效</w:t>
      </w:r>
      <w:r>
        <w:rPr>
          <w:rFonts w:hint="eastAsia" w:ascii="宋体" w:hAnsi="宋体" w:cs="宋体"/>
          <w:color w:val="auto"/>
          <w:sz w:val="24"/>
          <w:highlight w:val="none"/>
        </w:rPr>
        <w:t>。成交供应商就采购项目和分包项目向采购人负责，分包供应商就分包项目承担责任。</w:t>
      </w:r>
    </w:p>
    <w:bookmarkEnd w:id="534"/>
    <w:bookmarkEnd w:id="535"/>
    <w:bookmarkEnd w:id="536"/>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2"/>
        <w:rPr>
          <w:rFonts w:ascii="宋体" w:hAnsi="宋体" w:cs="宋体"/>
          <w:color w:val="auto"/>
          <w:sz w:val="24"/>
          <w:highlight w:val="none"/>
        </w:rPr>
      </w:pPr>
      <w:r>
        <w:rPr>
          <w:rFonts w:hint="eastAsia" w:ascii="宋体" w:hAnsi="宋体" w:cs="宋体"/>
          <w:color w:val="auto"/>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收费对象、收费标准及缴纳时间见《供应商须知资料表》。由成交供应商支付的，成交供应商须一次性向采购代理机构缴纳代理费。</w:t>
      </w:r>
    </w:p>
    <w:p>
      <w:pPr>
        <w:spacing w:line="360" w:lineRule="auto"/>
        <w:jc w:val="center"/>
        <w:outlineLvl w:val="0"/>
        <w:rPr>
          <w:rFonts w:ascii="宋体" w:hAnsi="宋体" w:cs="宋体"/>
          <w:b/>
          <w:color w:val="auto"/>
          <w:sz w:val="36"/>
          <w:szCs w:val="36"/>
          <w:highlight w:val="none"/>
        </w:rPr>
      </w:pPr>
      <w:bookmarkStart w:id="571" w:name="_Toc264969244"/>
      <w:bookmarkStart w:id="572" w:name="_Toc305158822"/>
      <w:bookmarkStart w:id="573" w:name="_Toc353873664"/>
      <w:bookmarkStart w:id="574" w:name="_Toc150480792"/>
      <w:bookmarkStart w:id="575" w:name="_Toc226965827"/>
      <w:bookmarkStart w:id="576" w:name="_Toc353873934"/>
      <w:bookmarkStart w:id="577" w:name="_Toc305158896"/>
      <w:bookmarkStart w:id="578" w:name="_Toc265228392"/>
      <w:bookmarkStart w:id="579" w:name="_Toc226337250"/>
      <w:bookmarkStart w:id="580" w:name="_Toc142311056"/>
      <w:bookmarkStart w:id="581" w:name="_Toc127151554"/>
      <w:bookmarkStart w:id="582" w:name="_Toc353825544"/>
      <w:bookmarkStart w:id="583" w:name="_Toc150774759"/>
      <w:r>
        <w:rPr>
          <w:rFonts w:hint="eastAsia" w:ascii="宋体" w:hAnsi="宋体" w:cs="宋体"/>
          <w:color w:val="auto"/>
          <w:sz w:val="24"/>
          <w:highlight w:val="none"/>
        </w:rPr>
        <w:br w:type="page"/>
      </w:r>
      <w:bookmarkStart w:id="584" w:name="_Toc97371943"/>
      <w:r>
        <w:rPr>
          <w:rFonts w:hint="eastAsia" w:ascii="宋体" w:hAnsi="宋体" w:cs="宋体"/>
          <w:b/>
          <w:color w:val="auto"/>
          <w:sz w:val="36"/>
          <w:szCs w:val="36"/>
          <w:highlight w:val="none"/>
        </w:rPr>
        <w:t xml:space="preserve">第三章   </w:t>
      </w:r>
      <w:bookmarkEnd w:id="571"/>
      <w:bookmarkEnd w:id="572"/>
      <w:bookmarkEnd w:id="573"/>
      <w:bookmarkEnd w:id="574"/>
      <w:bookmarkEnd w:id="575"/>
      <w:bookmarkEnd w:id="576"/>
      <w:bookmarkEnd w:id="577"/>
      <w:bookmarkEnd w:id="578"/>
      <w:bookmarkEnd w:id="579"/>
      <w:bookmarkEnd w:id="580"/>
      <w:bookmarkEnd w:id="581"/>
      <w:bookmarkEnd w:id="582"/>
      <w:bookmarkEnd w:id="583"/>
      <w:r>
        <w:rPr>
          <w:rFonts w:hint="eastAsia" w:ascii="宋体" w:hAnsi="宋体" w:cs="宋体"/>
          <w:b/>
          <w:color w:val="auto"/>
          <w:sz w:val="36"/>
          <w:szCs w:val="36"/>
          <w:highlight w:val="none"/>
        </w:rPr>
        <w:t>评审方法和评审标准</w:t>
      </w:r>
      <w:bookmarkEnd w:id="584"/>
      <w:bookmarkStart w:id="585" w:name="_Toc487900382"/>
    </w:p>
    <w:p>
      <w:pPr>
        <w:pStyle w:val="3"/>
        <w:spacing w:before="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一、资格审查程序</w:t>
      </w:r>
    </w:p>
    <w:p>
      <w:pPr>
        <w:tabs>
          <w:tab w:val="left" w:pos="1080"/>
        </w:tabs>
        <w:snapToGrid w:val="0"/>
        <w:jc w:val="left"/>
        <w:rPr>
          <w:rFonts w:ascii="宋体" w:hAnsi="宋体" w:cs="宋体"/>
          <w:b/>
          <w:color w:val="auto"/>
          <w:sz w:val="24"/>
          <w:highlight w:val="none"/>
        </w:rPr>
      </w:pPr>
      <w:r>
        <w:rPr>
          <w:rFonts w:hint="eastAsia" w:ascii="宋体" w:hAnsi="宋体" w:cs="宋体"/>
          <w:b/>
          <w:color w:val="auto"/>
          <w:sz w:val="24"/>
          <w:highlight w:val="none"/>
        </w:rPr>
        <w:tab/>
      </w:r>
    </w:p>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585"/>
    <w:p>
      <w:pPr>
        <w:numPr>
          <w:ilvl w:val="0"/>
          <w:numId w:val="11"/>
        </w:numPr>
        <w:tabs>
          <w:tab w:val="left" w:pos="360"/>
        </w:tabs>
        <w:snapToGrid w:val="0"/>
        <w:spacing w:line="360" w:lineRule="auto"/>
        <w:outlineLvl w:val="2"/>
        <w:rPr>
          <w:rFonts w:ascii="宋体" w:hAnsi="宋体" w:cs="宋体"/>
          <w:color w:val="auto"/>
          <w:szCs w:val="21"/>
          <w:highlight w:val="none"/>
        </w:rPr>
      </w:pPr>
      <w:bookmarkStart w:id="586" w:name="_Toc150509292"/>
      <w:bookmarkStart w:id="587" w:name="_Toc150480779"/>
      <w:bookmarkStart w:id="588" w:name="_Toc151193929"/>
      <w:bookmarkStart w:id="589" w:name="_Toc151190168"/>
      <w:bookmarkStart w:id="590" w:name="_Toc164608655"/>
      <w:bookmarkStart w:id="591" w:name="_Toc151193639"/>
      <w:bookmarkStart w:id="592" w:name="_Toc164351635"/>
      <w:bookmarkStart w:id="593" w:name="_Toc226309785"/>
      <w:bookmarkStart w:id="594" w:name="_Toc305158809"/>
      <w:bookmarkStart w:id="595" w:name="_Toc127161455"/>
      <w:bookmarkStart w:id="596" w:name="_Toc265228379"/>
      <w:bookmarkStart w:id="597" w:name="_Toc151193855"/>
      <w:bookmarkStart w:id="598" w:name="_Toc226337237"/>
      <w:bookmarkStart w:id="599" w:name="_Toc150774641"/>
      <w:bookmarkStart w:id="600" w:name="_Toc127151742"/>
      <w:bookmarkStart w:id="601" w:name="_Toc127151541"/>
      <w:bookmarkStart w:id="602" w:name="_Toc195842906"/>
      <w:bookmarkStart w:id="603" w:name="_Toc149720834"/>
      <w:bookmarkStart w:id="604" w:name="_Toc264969231"/>
      <w:bookmarkStart w:id="605" w:name="_Toc151193711"/>
      <w:bookmarkStart w:id="606" w:name="_Toc164229382"/>
      <w:bookmarkStart w:id="607" w:name="_Toc150774746"/>
      <w:bookmarkStart w:id="608" w:name="_Toc164229236"/>
      <w:bookmarkStart w:id="609" w:name="_Toc164608810"/>
      <w:bookmarkStart w:id="610" w:name="_Toc226965731"/>
      <w:bookmarkStart w:id="611" w:name="_Toc305158883"/>
      <w:bookmarkStart w:id="612" w:name="_Toc151193783"/>
      <w:bookmarkStart w:id="613" w:name="_Toc226965814"/>
      <w:bookmarkStart w:id="614" w:name="_Toc142311043"/>
      <w:bookmarkStart w:id="615" w:name="_Toc353825551"/>
      <w:bookmarkStart w:id="616" w:name="_Toc353873941"/>
      <w:bookmarkStart w:id="617" w:name="_Toc195842920"/>
      <w:bookmarkStart w:id="618" w:name="_Toc305158897"/>
      <w:bookmarkStart w:id="619" w:name="_Toc305158823"/>
      <w:bookmarkStart w:id="620" w:name="_Toc264969245"/>
      <w:bookmarkStart w:id="621" w:name="_Toc226965828"/>
      <w:bookmarkStart w:id="622" w:name="_Toc226337251"/>
      <w:bookmarkStart w:id="623" w:name="_Toc150480793"/>
      <w:bookmarkStart w:id="624" w:name="_Toc265228393"/>
      <w:bookmarkStart w:id="625" w:name="_Toc353873665"/>
      <w:bookmarkStart w:id="626" w:name="_Toc150774760"/>
      <w:bookmarkStart w:id="627" w:name="_Toc353873935"/>
      <w:bookmarkStart w:id="628" w:name="_Toc353825545"/>
      <w:bookmarkStart w:id="629" w:name="_Toc142311057"/>
      <w:bookmarkStart w:id="630" w:name="_Toc127151555"/>
      <w:r>
        <w:rPr>
          <w:rFonts w:hint="eastAsia" w:ascii="宋体" w:hAnsi="宋体" w:cs="宋体"/>
          <w:color w:val="auto"/>
          <w:sz w:val="24"/>
          <w:highlight w:val="none"/>
        </w:rPr>
        <w:t>响</w:t>
      </w:r>
      <w:r>
        <w:rPr>
          <w:rFonts w:hint="eastAsia" w:ascii="宋体" w:hAnsi="宋体" w:cs="宋体"/>
          <w:color w:val="auto"/>
          <w:szCs w:val="21"/>
          <w:highlight w:val="none"/>
        </w:rPr>
        <w:t>应文件的</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hint="eastAsia" w:ascii="宋体" w:hAnsi="宋体" w:cs="宋体"/>
          <w:color w:val="auto"/>
          <w:szCs w:val="21"/>
          <w:highlight w:val="none"/>
        </w:rPr>
        <w:t>资格性检查和符合性审查</w:t>
      </w:r>
    </w:p>
    <w:p>
      <w:pPr>
        <w:numPr>
          <w:ilvl w:val="1"/>
          <w:numId w:val="11"/>
        </w:numPr>
        <w:tabs>
          <w:tab w:val="left" w:pos="1080"/>
        </w:tabs>
        <w:snapToGrid w:val="0"/>
        <w:spacing w:line="360" w:lineRule="auto"/>
        <w:ind w:left="1077" w:hanging="720"/>
        <w:rPr>
          <w:rFonts w:ascii="宋体" w:hAnsi="宋体" w:cs="宋体"/>
          <w:color w:val="auto"/>
          <w:szCs w:val="21"/>
          <w:highlight w:val="none"/>
        </w:rPr>
      </w:pPr>
      <w:r>
        <w:rPr>
          <w:rFonts w:hint="eastAsia" w:ascii="宋体" w:hAnsi="宋体" w:cs="宋体"/>
          <w:color w:val="auto"/>
          <w:szCs w:val="21"/>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Cs w:val="21"/>
          <w:highlight w:val="none"/>
        </w:rPr>
        <w:t>无效响应</w:t>
      </w:r>
      <w:r>
        <w:rPr>
          <w:rFonts w:hint="eastAsia" w:ascii="宋体" w:hAnsi="宋体" w:cs="宋体"/>
          <w:color w:val="auto"/>
          <w:szCs w:val="21"/>
          <w:highlight w:val="none"/>
        </w:rPr>
        <w:t>处理，磋商小组应当告知提交响应文件的供应商。</w:t>
      </w:r>
    </w:p>
    <w:p>
      <w:pPr>
        <w:numPr>
          <w:ilvl w:val="1"/>
          <w:numId w:val="11"/>
        </w:numPr>
        <w:tabs>
          <w:tab w:val="left" w:pos="1080"/>
        </w:tabs>
        <w:snapToGrid w:val="0"/>
        <w:spacing w:line="360" w:lineRule="auto"/>
        <w:ind w:left="1077" w:hanging="720"/>
        <w:rPr>
          <w:rFonts w:ascii="宋体" w:hAnsi="宋体" w:cs="宋体"/>
          <w:color w:val="auto"/>
          <w:szCs w:val="21"/>
          <w:highlight w:val="none"/>
        </w:rPr>
      </w:pPr>
      <w:r>
        <w:rPr>
          <w:rFonts w:hint="eastAsia" w:ascii="宋体" w:hAnsi="宋体" w:cs="宋体"/>
          <w:color w:val="auto"/>
          <w:szCs w:val="21"/>
          <w:highlight w:val="none"/>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ascii="宋体" w:hAnsi="宋体" w:cs="宋体"/>
          <w:color w:val="auto"/>
          <w:szCs w:val="21"/>
          <w:highlight w:val="none"/>
        </w:rPr>
      </w:pPr>
      <w:r>
        <w:rPr>
          <w:rFonts w:hint="eastAsia" w:ascii="宋体" w:hAnsi="宋体" w:cs="宋体"/>
          <w:color w:val="auto"/>
          <w:szCs w:val="21"/>
          <w:highlight w:val="none"/>
        </w:rPr>
        <w:t>《资格性检查要求》见下表：</w:t>
      </w:r>
    </w:p>
    <w:p>
      <w:pPr>
        <w:tabs>
          <w:tab w:val="left" w:pos="900"/>
          <w:tab w:val="left" w:pos="1080"/>
        </w:tabs>
        <w:snapToGrid w:val="0"/>
        <w:spacing w:line="360" w:lineRule="auto"/>
        <w:ind w:left="1077" w:firstLine="2650" w:firstLineChars="1100"/>
        <w:rPr>
          <w:rFonts w:ascii="宋体" w:hAnsi="宋体" w:cs="宋体"/>
          <w:b/>
          <w:color w:val="auto"/>
          <w:sz w:val="24"/>
          <w:highlight w:val="none"/>
        </w:rPr>
      </w:pPr>
      <w:r>
        <w:rPr>
          <w:rFonts w:hint="eastAsia" w:ascii="宋体" w:hAnsi="宋体" w:cs="宋体"/>
          <w:b/>
          <w:color w:val="auto"/>
          <w:sz w:val="24"/>
          <w:highlight w:val="none"/>
        </w:rPr>
        <w:t>资格性检查要求</w:t>
      </w:r>
    </w:p>
    <w:tbl>
      <w:tblPr>
        <w:tblStyle w:val="4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1"/>
        <w:gridCol w:w="4793"/>
        <w:gridCol w:w="19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46" w:type="dxa"/>
            <w:vAlign w:val="center"/>
          </w:tcPr>
          <w:p>
            <w:pPr>
              <w:tabs>
                <w:tab w:val="left" w:pos="1080"/>
              </w:tabs>
              <w:snapToGrid w:val="0"/>
              <w:jc w:val="center"/>
              <w:rPr>
                <w:rFonts w:ascii="宋体" w:hAnsi="宋体" w:cs="宋体"/>
                <w:b/>
                <w:color w:val="auto"/>
                <w:sz w:val="24"/>
                <w:highlight w:val="none"/>
              </w:rPr>
            </w:pPr>
            <w:bookmarkStart w:id="631" w:name="_Hlt487972895"/>
            <w:bookmarkEnd w:id="631"/>
            <w:r>
              <w:rPr>
                <w:rFonts w:hint="eastAsia" w:ascii="宋体" w:hAnsi="宋体" w:cs="宋体"/>
                <w:b/>
                <w:color w:val="auto"/>
                <w:sz w:val="24"/>
                <w:highlight w:val="none"/>
              </w:rPr>
              <w:t>序号</w:t>
            </w:r>
          </w:p>
        </w:tc>
        <w:tc>
          <w:tcPr>
            <w:tcW w:w="1741" w:type="dxa"/>
            <w:vAlign w:val="center"/>
          </w:tcPr>
          <w:p>
            <w:pPr>
              <w:tabs>
                <w:tab w:val="left" w:pos="1080"/>
              </w:tabs>
              <w:snapToGrid w:val="0"/>
              <w:jc w:val="center"/>
              <w:rPr>
                <w:rFonts w:ascii="宋体" w:hAnsi="宋体" w:cs="宋体"/>
                <w:b/>
                <w:color w:val="auto"/>
                <w:sz w:val="24"/>
                <w:highlight w:val="none"/>
              </w:rPr>
            </w:pPr>
            <w:r>
              <w:rPr>
                <w:rFonts w:hint="eastAsia" w:ascii="宋体" w:hAnsi="宋体" w:cs="宋体"/>
                <w:b/>
                <w:color w:val="auto"/>
                <w:sz w:val="24"/>
                <w:highlight w:val="none"/>
              </w:rPr>
              <w:t>检查因素</w:t>
            </w:r>
          </w:p>
        </w:tc>
        <w:tc>
          <w:tcPr>
            <w:tcW w:w="4793" w:type="dxa"/>
            <w:vAlign w:val="center"/>
          </w:tcPr>
          <w:p>
            <w:pPr>
              <w:tabs>
                <w:tab w:val="left" w:pos="1080"/>
              </w:tabs>
              <w:snapToGrid w:val="0"/>
              <w:jc w:val="center"/>
              <w:rPr>
                <w:rFonts w:ascii="宋体" w:hAnsi="宋体" w:cs="宋体"/>
                <w:b/>
                <w:color w:val="auto"/>
                <w:sz w:val="24"/>
                <w:highlight w:val="none"/>
              </w:rPr>
            </w:pPr>
            <w:r>
              <w:rPr>
                <w:rFonts w:hint="eastAsia" w:ascii="宋体" w:hAnsi="宋体" w:cs="宋体"/>
                <w:b/>
                <w:color w:val="auto"/>
                <w:sz w:val="24"/>
                <w:highlight w:val="none"/>
              </w:rPr>
              <w:t>检查内容</w:t>
            </w:r>
          </w:p>
        </w:tc>
        <w:tc>
          <w:tcPr>
            <w:tcW w:w="1908" w:type="dxa"/>
            <w:vAlign w:val="center"/>
          </w:tcPr>
          <w:p>
            <w:pPr>
              <w:tabs>
                <w:tab w:val="left" w:pos="1080"/>
              </w:tabs>
              <w:snapToGrid w:val="0"/>
              <w:jc w:val="center"/>
              <w:rPr>
                <w:rFonts w:ascii="宋体" w:hAnsi="宋体" w:cs="宋体"/>
                <w:b/>
                <w:color w:val="auto"/>
                <w:sz w:val="24"/>
                <w:highlight w:val="none"/>
              </w:rPr>
            </w:pPr>
            <w:r>
              <w:rPr>
                <w:rFonts w:hint="eastAsia" w:ascii="宋体" w:hAnsi="宋体" w:cs="宋体"/>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93" w:hRule="atLeast"/>
        </w:trPr>
        <w:tc>
          <w:tcPr>
            <w:tcW w:w="846" w:type="dxa"/>
            <w:vAlign w:val="center"/>
          </w:tcPr>
          <w:p>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741"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企业营业执照</w:t>
            </w:r>
          </w:p>
        </w:tc>
        <w:tc>
          <w:tcPr>
            <w:tcW w:w="4793" w:type="dxa"/>
            <w:vAlign w:val="center"/>
          </w:tcPr>
          <w:p>
            <w:pPr>
              <w:widowControl/>
              <w:snapToGrid/>
              <w:jc w:val="left"/>
              <w:rPr>
                <w:rFonts w:ascii="宋体" w:hAnsi="宋体" w:cs="宋体"/>
                <w:color w:val="auto"/>
                <w:sz w:val="24"/>
                <w:highlight w:val="none"/>
              </w:rPr>
            </w:pPr>
            <w:r>
              <w:rPr>
                <w:rFonts w:hint="eastAsia" w:ascii="宋体" w:hAnsi="宋体" w:cs="宋体"/>
                <w:color w:val="auto"/>
                <w:kern w:val="0"/>
                <w:sz w:val="24"/>
                <w:highlight w:val="none"/>
              </w:rPr>
              <w:t>具备有效的企业法人营业执照</w:t>
            </w:r>
          </w:p>
        </w:tc>
        <w:tc>
          <w:tcPr>
            <w:tcW w:w="1908"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42" w:hRule="atLeast"/>
        </w:trPr>
        <w:tc>
          <w:tcPr>
            <w:tcW w:w="846" w:type="dxa"/>
            <w:vAlign w:val="center"/>
          </w:tcPr>
          <w:p>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2</w:t>
            </w:r>
          </w:p>
        </w:tc>
        <w:tc>
          <w:tcPr>
            <w:tcW w:w="1741"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供应商资格声明书</w:t>
            </w:r>
          </w:p>
        </w:tc>
        <w:tc>
          <w:tcPr>
            <w:tcW w:w="4793"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提供了符合竞争性磋商文件要求的《供应商资格声明书》。</w:t>
            </w:r>
          </w:p>
        </w:tc>
        <w:tc>
          <w:tcPr>
            <w:tcW w:w="1908"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333" w:hRule="atLeast"/>
        </w:trPr>
        <w:tc>
          <w:tcPr>
            <w:tcW w:w="846" w:type="dxa"/>
            <w:vAlign w:val="center"/>
          </w:tcPr>
          <w:p>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3</w:t>
            </w:r>
          </w:p>
        </w:tc>
        <w:tc>
          <w:tcPr>
            <w:tcW w:w="1741"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供应商信用记录</w:t>
            </w:r>
          </w:p>
        </w:tc>
        <w:tc>
          <w:tcPr>
            <w:tcW w:w="4793"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供应商必须为未被列入信用中国网站(www.creditchina.gov.cn) 重大税收违法失信主体、中国执行信息公开网（http://zxgk.court.gov.cn/shixin/）失信被执行人、中国政府采购网(www.ccgp.gov.cn)政府采购严重违法失信行为信息记录</w:t>
            </w:r>
          </w:p>
        </w:tc>
        <w:tc>
          <w:tcPr>
            <w:tcW w:w="1908" w:type="dxa"/>
            <w:vAlign w:val="center"/>
          </w:tcPr>
          <w:p>
            <w:pPr>
              <w:widowControl/>
              <w:snapToGrid/>
              <w:jc w:val="left"/>
              <w:rPr>
                <w:rFonts w:hint="eastAsia" w:ascii="宋体" w:hAnsi="宋体" w:cs="宋体"/>
                <w:color w:val="auto"/>
                <w:kern w:val="0"/>
                <w:sz w:val="24"/>
                <w:highlight w:val="none"/>
              </w:rPr>
            </w:pPr>
            <w:r>
              <w:rPr>
                <w:rFonts w:hint="eastAsia" w:ascii="宋体" w:hAnsi="宋体" w:eastAsia="宋体" w:cs="宋体"/>
                <w:color w:val="auto"/>
                <w:sz w:val="24"/>
                <w:highlight w:val="none"/>
                <w:lang w:val="en-US" w:eastAsia="zh-CN"/>
              </w:rPr>
              <w:t>供应商无需提供，由采购人或代理机构查询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166" w:hRule="atLeast"/>
        </w:trPr>
        <w:tc>
          <w:tcPr>
            <w:tcW w:w="846" w:type="dxa"/>
            <w:vAlign w:val="center"/>
          </w:tcPr>
          <w:p>
            <w:pPr>
              <w:tabs>
                <w:tab w:val="left" w:pos="1080"/>
              </w:tabs>
              <w:snapToGrid w:val="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1741" w:type="dxa"/>
            <w:vAlign w:val="center"/>
          </w:tcPr>
          <w:p>
            <w:pPr>
              <w:widowControl/>
              <w:snapToGrid/>
              <w:jc w:val="left"/>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资质要求</w:t>
            </w:r>
          </w:p>
        </w:tc>
        <w:tc>
          <w:tcPr>
            <w:tcW w:w="4793" w:type="dxa"/>
            <w:vAlign w:val="center"/>
          </w:tcPr>
          <w:p>
            <w:pPr>
              <w:pStyle w:val="261"/>
              <w:widowControl/>
              <w:numPr>
                <w:ilvl w:val="0"/>
                <w:numId w:val="0"/>
              </w:numPr>
              <w:snapToGrid/>
              <w:spacing w:line="360" w:lineRule="auto"/>
              <w:jc w:val="left"/>
              <w:rPr>
                <w:rFonts w:hint="eastAsia" w:ascii="宋体" w:hAnsi="宋体" w:cs="宋体"/>
                <w:color w:val="auto"/>
                <w:kern w:val="0"/>
                <w:sz w:val="24"/>
                <w:highlight w:val="none"/>
              </w:rPr>
            </w:pPr>
            <w:r>
              <w:rPr>
                <w:rFonts w:hint="eastAsia" w:ascii="宋体" w:hAnsi="宋体" w:cs="宋体"/>
                <w:color w:val="auto"/>
                <w:sz w:val="24"/>
                <w:highlight w:val="none"/>
                <w:lang w:val="en-US" w:eastAsia="zh-CN"/>
              </w:rPr>
              <w:t xml:space="preserve"> </w:t>
            </w:r>
            <w:r>
              <w:rPr>
                <w:rFonts w:hint="eastAsia" w:ascii="宋体" w:hAnsi="宋体" w:eastAsia="宋体" w:cs="Times New Roman"/>
                <w:color w:val="auto"/>
                <w:kern w:val="2"/>
                <w:sz w:val="24"/>
                <w:szCs w:val="22"/>
                <w:highlight w:val="none"/>
                <w:lang w:val="en-US" w:eastAsia="zh-CN" w:bidi="ar-SA"/>
              </w:rPr>
              <w:t>（1）供应商应具有建筑工程施工总承包</w:t>
            </w:r>
            <w:r>
              <w:rPr>
                <w:rFonts w:hint="eastAsia" w:ascii="宋体" w:hAnsi="宋体" w:cs="Times New Roman"/>
                <w:color w:val="auto"/>
                <w:kern w:val="2"/>
                <w:sz w:val="24"/>
                <w:szCs w:val="22"/>
                <w:highlight w:val="none"/>
                <w:lang w:val="en-US" w:eastAsia="zh-CN" w:bidi="ar-SA"/>
              </w:rPr>
              <w:t>叁</w:t>
            </w:r>
            <w:r>
              <w:rPr>
                <w:rFonts w:hint="eastAsia" w:ascii="宋体" w:hAnsi="宋体" w:eastAsia="宋体" w:cs="Times New Roman"/>
                <w:color w:val="auto"/>
                <w:kern w:val="2"/>
                <w:sz w:val="24"/>
                <w:szCs w:val="22"/>
                <w:highlight w:val="none"/>
                <w:lang w:val="en-US" w:eastAsia="zh-CN" w:bidi="ar-SA"/>
              </w:rPr>
              <w:t>级 （含）以上资质，具有有效的安全生产许可证，并在人员、设备、资金等方面具有相应的施工能力；</w:t>
            </w:r>
          </w:p>
        </w:tc>
        <w:tc>
          <w:tcPr>
            <w:tcW w:w="1908"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29" w:hRule="atLeast"/>
        </w:trPr>
        <w:tc>
          <w:tcPr>
            <w:tcW w:w="846" w:type="dxa"/>
            <w:vAlign w:val="center"/>
          </w:tcPr>
          <w:p>
            <w:pPr>
              <w:tabs>
                <w:tab w:val="left" w:pos="1080"/>
              </w:tabs>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1741" w:type="dxa"/>
            <w:vAlign w:val="center"/>
          </w:tcPr>
          <w:p>
            <w:pPr>
              <w:widowControl/>
              <w:snapToGrid/>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人员要求</w:t>
            </w:r>
          </w:p>
        </w:tc>
        <w:tc>
          <w:tcPr>
            <w:tcW w:w="4793" w:type="dxa"/>
            <w:vAlign w:val="center"/>
          </w:tcPr>
          <w:p>
            <w:pPr>
              <w:pStyle w:val="261"/>
              <w:numPr>
                <w:ilvl w:val="0"/>
                <w:numId w:val="0"/>
              </w:numPr>
              <w:spacing w:line="360" w:lineRule="auto"/>
              <w:rPr>
                <w:rFonts w:hint="eastAsia"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（2）供应商人拟派项目经理具备</w:t>
            </w:r>
            <w:r>
              <w:rPr>
                <w:rFonts w:hint="eastAsia" w:ascii="宋体" w:hAnsi="宋体" w:cs="Times New Roman"/>
                <w:color w:val="auto"/>
                <w:kern w:val="2"/>
                <w:sz w:val="24"/>
                <w:szCs w:val="22"/>
                <w:highlight w:val="none"/>
                <w:lang w:val="en-US" w:eastAsia="zh-CN" w:bidi="ar-SA"/>
              </w:rPr>
              <w:t>建筑工程</w:t>
            </w:r>
            <w:r>
              <w:rPr>
                <w:rFonts w:hint="eastAsia" w:ascii="宋体" w:hAnsi="宋体" w:eastAsia="宋体" w:cs="Times New Roman"/>
                <w:color w:val="auto"/>
                <w:kern w:val="2"/>
                <w:sz w:val="24"/>
                <w:szCs w:val="22"/>
                <w:highlight w:val="none"/>
                <w:lang w:val="en-US" w:eastAsia="zh-CN" w:bidi="ar-SA"/>
              </w:rPr>
              <w:t>专业二级（含及以上）注册建造师执业资格，具备有效的安全生产考核合格证书（B本），且在确定成交供应商时不得担任其他在施</w:t>
            </w:r>
            <w:r>
              <w:rPr>
                <w:rFonts w:hint="eastAsia" w:ascii="宋体" w:hAnsi="宋体" w:cs="Times New Roman"/>
                <w:color w:val="auto"/>
                <w:kern w:val="2"/>
                <w:sz w:val="24"/>
                <w:szCs w:val="22"/>
                <w:highlight w:val="none"/>
                <w:lang w:val="en-US" w:eastAsia="zh-CN" w:bidi="ar-SA"/>
              </w:rPr>
              <w:t>建筑</w:t>
            </w:r>
            <w:r>
              <w:rPr>
                <w:rFonts w:hint="eastAsia" w:ascii="宋体" w:hAnsi="宋体" w:eastAsia="宋体" w:cs="Times New Roman"/>
                <w:color w:val="auto"/>
                <w:kern w:val="2"/>
                <w:sz w:val="24"/>
                <w:szCs w:val="22"/>
                <w:highlight w:val="none"/>
                <w:lang w:val="en-US" w:eastAsia="zh-CN" w:bidi="ar-SA"/>
              </w:rPr>
              <w:t>工程项目的项目经理；</w:t>
            </w:r>
          </w:p>
        </w:tc>
        <w:tc>
          <w:tcPr>
            <w:tcW w:w="1908"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29" w:hRule="atLeast"/>
        </w:trPr>
        <w:tc>
          <w:tcPr>
            <w:tcW w:w="846" w:type="dxa"/>
            <w:vAlign w:val="center"/>
          </w:tcPr>
          <w:p>
            <w:pPr>
              <w:tabs>
                <w:tab w:val="left" w:pos="1080"/>
              </w:tabs>
              <w:snapToGrid w:val="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1741" w:type="dxa"/>
            <w:vAlign w:val="center"/>
          </w:tcPr>
          <w:p>
            <w:pPr>
              <w:widowControl/>
              <w:snapToGrid/>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外地企业要求</w:t>
            </w:r>
          </w:p>
        </w:tc>
        <w:tc>
          <w:tcPr>
            <w:tcW w:w="4793" w:type="dxa"/>
            <w:vAlign w:val="center"/>
          </w:tcPr>
          <w:p>
            <w:pPr>
              <w:pStyle w:val="261"/>
              <w:numPr>
                <w:ilvl w:val="0"/>
                <w:numId w:val="0"/>
              </w:numPr>
              <w:spacing w:line="360" w:lineRule="auto"/>
              <w:rPr>
                <w:rFonts w:hint="eastAsia"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外地来京建筑企业在办理进京备案时，应当一并办理注册建造师备案手续，已办理备案的外地来京建筑企业注册建造师方可在本市行政区域内开展执业活动；</w:t>
            </w:r>
          </w:p>
        </w:tc>
        <w:tc>
          <w:tcPr>
            <w:tcW w:w="1908" w:type="dxa"/>
            <w:vAlign w:val="center"/>
          </w:tcPr>
          <w:p>
            <w:pPr>
              <w:widowControl/>
              <w:snapToGrid/>
              <w:jc w:val="left"/>
              <w:rPr>
                <w:rFonts w:hint="eastAsia" w:ascii="宋体" w:hAnsi="宋体" w:cs="宋体"/>
                <w:color w:val="auto"/>
                <w:kern w:val="0"/>
                <w:sz w:val="24"/>
                <w:highlight w:val="none"/>
              </w:rPr>
            </w:pPr>
            <w:r>
              <w:rPr>
                <w:rFonts w:hint="eastAsia" w:ascii="宋体" w:hAnsi="宋体" w:cs="宋体"/>
                <w:color w:val="auto"/>
                <w:kern w:val="0"/>
                <w:sz w:val="24"/>
                <w:highlight w:val="none"/>
              </w:rPr>
              <w:t>复印件加盖公章</w:t>
            </w:r>
          </w:p>
        </w:tc>
      </w:tr>
    </w:tbl>
    <w:p>
      <w:pPr>
        <w:widowControl/>
        <w:jc w:val="left"/>
        <w:rPr>
          <w:rFonts w:ascii="宋体" w:hAnsi="宋体" w:cs="宋体"/>
          <w:color w:val="auto"/>
          <w:sz w:val="24"/>
          <w:highlight w:val="none"/>
        </w:rPr>
      </w:pPr>
      <w:r>
        <w:rPr>
          <w:rFonts w:hint="eastAsia" w:ascii="宋体" w:hAnsi="宋体" w:cs="宋体"/>
          <w:color w:val="auto"/>
          <w:sz w:val="24"/>
          <w:highlight w:val="none"/>
        </w:rPr>
        <w:br w:type="page"/>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《符合性审查要求》见下表：</w:t>
      </w:r>
    </w:p>
    <w:p>
      <w:pPr>
        <w:widowControl/>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符合性审查要求</w:t>
      </w:r>
    </w:p>
    <w:tbl>
      <w:tblPr>
        <w:tblStyle w:val="45"/>
        <w:tblW w:w="92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1923"/>
        <w:gridCol w:w="6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1923" w:type="dxa"/>
            <w:shd w:val="clear" w:color="000000" w:fill="FFFFFF"/>
            <w:vAlign w:val="center"/>
          </w:tcPr>
          <w:p>
            <w:pPr>
              <w:widowControl/>
              <w:jc w:val="center"/>
              <w:rPr>
                <w:rFonts w:ascii="宋体" w:hAnsi="宋体" w:cs="宋体"/>
                <w:b/>
                <w:color w:val="auto"/>
                <w:kern w:val="0"/>
                <w:sz w:val="24"/>
                <w:highlight w:val="none"/>
              </w:rPr>
            </w:pPr>
            <w:r>
              <w:rPr>
                <w:rFonts w:hint="eastAsia" w:ascii="宋体" w:hAnsi="宋体" w:cs="宋体"/>
                <w:b/>
                <w:color w:val="auto"/>
                <w:sz w:val="24"/>
                <w:highlight w:val="none"/>
              </w:rPr>
              <w:t>检查</w:t>
            </w:r>
            <w:r>
              <w:rPr>
                <w:rFonts w:hint="eastAsia" w:ascii="宋体" w:hAnsi="宋体" w:cs="宋体"/>
                <w:b/>
                <w:color w:val="auto"/>
                <w:kern w:val="0"/>
                <w:sz w:val="24"/>
                <w:highlight w:val="none"/>
              </w:rPr>
              <w:t>因素</w:t>
            </w:r>
          </w:p>
        </w:tc>
        <w:tc>
          <w:tcPr>
            <w:tcW w:w="6213" w:type="dxa"/>
            <w:shd w:val="clear" w:color="000000" w:fill="FFFFFF"/>
            <w:vAlign w:val="center"/>
          </w:tcPr>
          <w:p>
            <w:pPr>
              <w:widowControl/>
              <w:jc w:val="center"/>
              <w:rPr>
                <w:rFonts w:ascii="宋体" w:hAnsi="宋体" w:cs="宋体"/>
                <w:b/>
                <w:color w:val="auto"/>
                <w:kern w:val="0"/>
                <w:sz w:val="24"/>
                <w:highlight w:val="none"/>
              </w:rPr>
            </w:pPr>
            <w:r>
              <w:rPr>
                <w:rFonts w:hint="eastAsia" w:ascii="宋体" w:hAnsi="宋体" w:cs="宋体"/>
                <w:b/>
                <w:color w:val="auto"/>
                <w:sz w:val="24"/>
                <w:highlight w:val="none"/>
              </w:rPr>
              <w:t>检查</w:t>
            </w:r>
            <w:r>
              <w:rPr>
                <w:rFonts w:hint="eastAsia" w:ascii="宋体" w:hAnsi="宋体" w:cs="宋体"/>
                <w:b/>
                <w:color w:val="auto"/>
                <w:kern w:val="0"/>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92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授权委托书</w:t>
            </w:r>
          </w:p>
        </w:tc>
        <w:tc>
          <w:tcPr>
            <w:tcW w:w="621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按磋商文件要求提供授权委托书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192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投标报价</w:t>
            </w:r>
          </w:p>
        </w:tc>
        <w:tc>
          <w:tcPr>
            <w:tcW w:w="621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投标报价未超过磋商文件中规定的项目/采购包预算金额或者项目/采购包最高限价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192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报价唯一性</w:t>
            </w:r>
          </w:p>
        </w:tc>
        <w:tc>
          <w:tcPr>
            <w:tcW w:w="621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投标文件未</w:t>
            </w:r>
            <w:r>
              <w:rPr>
                <w:rFonts w:hint="eastAsia" w:ascii="宋体" w:hAnsi="宋体" w:cs="宋体"/>
                <w:color w:val="auto"/>
                <w:sz w:val="24"/>
                <w:highlight w:val="none"/>
              </w:rPr>
              <w:t>出现可选择性或可调整的报价（磋商文件另有规定的除外）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192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投标有效期</w:t>
            </w:r>
          </w:p>
        </w:tc>
        <w:tc>
          <w:tcPr>
            <w:tcW w:w="621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投标文件中承诺的投标有效期满足磋商文件中载明的投标有效期的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192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签署、盖章</w:t>
            </w:r>
          </w:p>
        </w:tc>
        <w:tc>
          <w:tcPr>
            <w:tcW w:w="621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按照磋商文件要求签署、盖章的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shd w:val="clear" w:color="000000" w:fill="FFFFFF"/>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192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附加条件</w:t>
            </w:r>
          </w:p>
        </w:tc>
        <w:tc>
          <w:tcPr>
            <w:tcW w:w="6213" w:type="dxa"/>
            <w:shd w:val="clear" w:color="000000" w:fill="FFFFFF"/>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1091" w:type="dxa"/>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1923" w:type="dxa"/>
            <w:vAlign w:val="center"/>
          </w:tcPr>
          <w:p>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其他无效情形</w:t>
            </w:r>
          </w:p>
        </w:tc>
        <w:tc>
          <w:tcPr>
            <w:tcW w:w="6213" w:type="dxa"/>
            <w:vAlign w:val="center"/>
          </w:tcPr>
          <w:p>
            <w:pPr>
              <w:widowControl/>
              <w:jc w:val="left"/>
              <w:rPr>
                <w:rFonts w:ascii="宋体" w:hAnsi="宋体" w:cs="宋体"/>
                <w:color w:val="auto"/>
                <w:kern w:val="0"/>
                <w:sz w:val="24"/>
                <w:highlight w:val="none"/>
              </w:rPr>
            </w:pPr>
            <w:r>
              <w:rPr>
                <w:rFonts w:hint="eastAsia" w:ascii="宋体" w:hAnsi="宋体" w:cs="宋体"/>
                <w:color w:val="auto"/>
                <w:sz w:val="24"/>
                <w:highlight w:val="none"/>
              </w:rPr>
              <w:t>投标人、投标文件不存在不符合法律、法规和磋商文件规定的其他无效情形</w:t>
            </w:r>
          </w:p>
        </w:tc>
      </w:tr>
    </w:tbl>
    <w:p>
      <w:pPr>
        <w:tabs>
          <w:tab w:val="left" w:pos="900"/>
          <w:tab w:val="left" w:pos="1080"/>
          <w:tab w:val="left" w:pos="1589"/>
        </w:tabs>
        <w:snapToGrid w:val="0"/>
        <w:spacing w:line="360" w:lineRule="auto"/>
        <w:rPr>
          <w:rFonts w:ascii="宋体" w:hAnsi="宋体" w:cs="宋体"/>
          <w:color w:val="auto"/>
          <w:sz w:val="24"/>
          <w:highlight w:val="none"/>
        </w:rPr>
      </w:pPr>
    </w:p>
    <w:p>
      <w:pPr>
        <w:tabs>
          <w:tab w:val="left" w:pos="900"/>
          <w:tab w:val="left" w:pos="1080"/>
          <w:tab w:val="left" w:pos="1589"/>
        </w:tabs>
        <w:snapToGrid w:val="0"/>
        <w:spacing w:line="360" w:lineRule="auto"/>
        <w:rPr>
          <w:rFonts w:ascii="宋体" w:hAnsi="宋体" w:cs="宋体"/>
          <w:color w:val="auto"/>
          <w:sz w:val="24"/>
          <w:highlight w:val="none"/>
        </w:rPr>
      </w:pPr>
    </w:p>
    <w:p>
      <w:pPr>
        <w:numPr>
          <w:ilvl w:val="0"/>
          <w:numId w:val="11"/>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s="宋体"/>
          <w:color w:val="auto"/>
          <w:kern w:val="0"/>
          <w:sz w:val="24"/>
          <w:highlight w:val="none"/>
        </w:rPr>
      </w:pPr>
      <w:r>
        <w:rPr>
          <w:rFonts w:hint="eastAsia" w:ascii="宋体" w:hAnsi="宋体" w:cs="宋体"/>
          <w:color w:val="auto"/>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s="宋体"/>
          <w:color w:val="auto"/>
          <w:kern w:val="0"/>
          <w:sz w:val="24"/>
          <w:highlight w:val="none"/>
        </w:rPr>
      </w:pPr>
      <w:r>
        <w:rPr>
          <w:rFonts w:hint="eastAsia" w:ascii="宋体" w:hAnsi="宋体" w:cs="宋体"/>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响应文件的澄清、说明或者更正：</w:t>
      </w:r>
    </w:p>
    <w:p>
      <w:pPr>
        <w:numPr>
          <w:ilvl w:val="2"/>
          <w:numId w:val="11"/>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cs="宋体"/>
          <w:b/>
          <w:color w:val="auto"/>
          <w:sz w:val="24"/>
          <w:highlight w:val="none"/>
        </w:rPr>
        <w:t>无效处理</w:t>
      </w:r>
      <w:r>
        <w:rPr>
          <w:rFonts w:hint="eastAsia" w:ascii="宋体" w:hAnsi="宋体" w:cs="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cs="宋体"/>
          <w:b/>
          <w:color w:val="auto"/>
          <w:sz w:val="24"/>
          <w:highlight w:val="none"/>
        </w:rPr>
        <w:t>无效处理</w:t>
      </w:r>
      <w:r>
        <w:rPr>
          <w:rFonts w:hint="eastAsia" w:ascii="宋体" w:hAnsi="宋体" w:cs="宋体"/>
          <w:color w:val="auto"/>
          <w:sz w:val="24"/>
          <w:highlight w:val="none"/>
        </w:rPr>
        <w:t>。</w:t>
      </w:r>
    </w:p>
    <w:p>
      <w:pPr>
        <w:numPr>
          <w:ilvl w:val="2"/>
          <w:numId w:val="11"/>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cs="宋体"/>
          <w:b/>
          <w:color w:val="auto"/>
          <w:sz w:val="24"/>
          <w:highlight w:val="none"/>
        </w:rPr>
        <w:t>其响应无效</w:t>
      </w:r>
      <w:r>
        <w:rPr>
          <w:rFonts w:hint="eastAsia" w:ascii="宋体" w:hAnsi="宋体" w:cs="宋体"/>
          <w:color w:val="auto"/>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highlight w:val="none"/>
          <w:u w:val="single"/>
        </w:rPr>
        <w:t>10</w:t>
      </w:r>
      <w:r>
        <w:rPr>
          <w:rFonts w:hint="eastAsia" w:ascii="宋体" w:hAnsi="宋体" w:cs="宋体"/>
          <w:color w:val="auto"/>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其他为落实政府采购政策实施的优先采购：______。</w:t>
      </w:r>
    </w:p>
    <w:p>
      <w:pPr>
        <w:numPr>
          <w:ilvl w:val="0"/>
          <w:numId w:val="11"/>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磋商环节及提交最后报价后如出现以下情况的，供应商的</w:t>
      </w:r>
      <w:r>
        <w:rPr>
          <w:rFonts w:hint="eastAsia" w:ascii="宋体" w:hAnsi="宋体" w:cs="宋体"/>
          <w:b/>
          <w:color w:val="auto"/>
          <w:sz w:val="24"/>
          <w:highlight w:val="none"/>
        </w:rPr>
        <w:t>响应文件无效</w:t>
      </w:r>
      <w:r>
        <w:rPr>
          <w:rFonts w:hint="eastAsia" w:ascii="宋体" w:hAnsi="宋体" w:cs="宋体"/>
          <w:color w:val="auto"/>
          <w:sz w:val="24"/>
          <w:highlight w:val="none"/>
        </w:rPr>
        <w:t>：</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其他：______。</w:t>
      </w:r>
    </w:p>
    <w:bookmarkEnd w:id="615"/>
    <w:bookmarkEnd w:id="616"/>
    <w:p>
      <w:pPr>
        <w:numPr>
          <w:ilvl w:val="0"/>
          <w:numId w:val="11"/>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非政府强制采购的节能产品或环境标志产品，依据品目清单和认证证书实施政府优先采购。优先采购的具体规定（如涉及）______。</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关于无线局域网认证产品政府采购清单中的产品，优先采购的具体规定（如涉及）______。</w:t>
      </w:r>
    </w:p>
    <w:p>
      <w:pPr>
        <w:numPr>
          <w:ilvl w:val="0"/>
          <w:numId w:val="11"/>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确定</w:t>
      </w:r>
      <w:bookmarkStart w:id="632" w:name="_Toc142311048"/>
      <w:bookmarkStart w:id="633" w:name="_Toc164229387"/>
      <w:bookmarkStart w:id="634" w:name="_Toc150480784"/>
      <w:bookmarkStart w:id="635" w:name="_Toc127151546"/>
      <w:bookmarkStart w:id="636" w:name="_Toc149720839"/>
      <w:bookmarkStart w:id="637" w:name="_Toc226337242"/>
      <w:bookmarkStart w:id="638" w:name="_Toc151193644"/>
      <w:bookmarkStart w:id="639" w:name="_Toc305158814"/>
      <w:bookmarkStart w:id="640" w:name="_Toc150774751"/>
      <w:bookmarkStart w:id="641" w:name="_Toc151193934"/>
      <w:bookmarkStart w:id="642" w:name="_Toc195842911"/>
      <w:bookmarkStart w:id="643" w:name="_Ref467307010"/>
      <w:bookmarkStart w:id="644" w:name="_Toc265228384"/>
      <w:bookmarkStart w:id="645" w:name="_Toc164229241"/>
      <w:bookmarkStart w:id="646" w:name="_Toc164608815"/>
      <w:bookmarkStart w:id="647" w:name="_Toc127151747"/>
      <w:bookmarkStart w:id="648" w:name="_Toc305158888"/>
      <w:bookmarkStart w:id="649" w:name="_Toc164608660"/>
      <w:bookmarkStart w:id="650" w:name="_Toc151190173"/>
      <w:bookmarkStart w:id="651" w:name="_Toc520356170"/>
      <w:bookmarkStart w:id="652" w:name="_Toc264969236"/>
      <w:bookmarkStart w:id="653" w:name="_Toc226965736"/>
      <w:bookmarkStart w:id="654" w:name="_Toc151193788"/>
      <w:bookmarkStart w:id="655" w:name="_Toc151193860"/>
      <w:bookmarkStart w:id="656" w:name="_Toc150774646"/>
      <w:bookmarkStart w:id="657" w:name="_Toc150509297"/>
      <w:bookmarkStart w:id="658" w:name="_Toc226965819"/>
      <w:bookmarkStart w:id="659" w:name="_Toc164351640"/>
      <w:bookmarkStart w:id="660" w:name="_Toc151193716"/>
      <w:bookmarkStart w:id="661" w:name="_Toc226309790"/>
      <w:bookmarkStart w:id="662" w:name="_Toc127161460"/>
      <w:r>
        <w:rPr>
          <w:rFonts w:hint="eastAsia" w:ascii="宋体" w:hAnsi="宋体" w:cs="宋体"/>
          <w:color w:val="auto"/>
          <w:sz w:val="24"/>
          <w:highlight w:val="none"/>
        </w:rPr>
        <w:t>成交候选人名单</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szCs w:val="20"/>
          <w:highlight w:val="none"/>
        </w:rPr>
        <w:t>磋商小组根据上述供应商排序，依次推荐排序前</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名</w:t>
      </w:r>
      <w:r>
        <w:rPr>
          <w:rFonts w:hint="eastAsia" w:ascii="宋体" w:hAnsi="宋体" w:cs="宋体"/>
          <w:color w:val="auto"/>
          <w:kern w:val="0"/>
          <w:sz w:val="24"/>
          <w:szCs w:val="20"/>
          <w:highlight w:val="none"/>
        </w:rPr>
        <w:t>的供应商为</w:t>
      </w:r>
      <w:r>
        <w:rPr>
          <w:rFonts w:hint="eastAsia" w:ascii="宋体" w:hAnsi="宋体" w:cs="宋体"/>
          <w:snapToGrid w:val="0"/>
          <w:color w:val="auto"/>
          <w:kern w:val="0"/>
          <w:sz w:val="24"/>
          <w:szCs w:val="21"/>
          <w:highlight w:val="none"/>
        </w:rPr>
        <w:t>成交候选供应商</w:t>
      </w:r>
      <w:r>
        <w:rPr>
          <w:rFonts w:hint="eastAsia" w:ascii="宋体" w:hAnsi="宋体" w:cs="宋体"/>
          <w:color w:val="auto"/>
          <w:kern w:val="0"/>
          <w:sz w:val="24"/>
          <w:szCs w:val="20"/>
          <w:highlight w:val="none"/>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2"/>
        <w:rPr>
          <w:rFonts w:ascii="宋体" w:hAnsi="宋体" w:cs="宋体"/>
          <w:color w:val="auto"/>
          <w:sz w:val="24"/>
          <w:highlight w:val="none"/>
        </w:rPr>
      </w:pPr>
      <w:r>
        <w:rPr>
          <w:rFonts w:hint="eastAsia" w:ascii="宋体" w:hAnsi="宋体" w:cs="宋体"/>
          <w:color w:val="auto"/>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cs="宋体"/>
          <w:b/>
          <w:color w:val="auto"/>
          <w:sz w:val="24"/>
          <w:highlight w:val="none"/>
        </w:rPr>
      </w:pPr>
      <w:r>
        <w:rPr>
          <w:rFonts w:hint="eastAsia" w:ascii="宋体" w:hAnsi="宋体" w:cs="宋体"/>
          <w:color w:val="auto"/>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b/>
          <w:color w:val="auto"/>
          <w:sz w:val="24"/>
          <w:highlight w:val="none"/>
        </w:rPr>
        <w:br w:type="page"/>
      </w:r>
    </w:p>
    <w:p>
      <w:pPr>
        <w:pStyle w:val="3"/>
        <w:numPr>
          <w:ilvl w:val="0"/>
          <w:numId w:val="12"/>
        </w:numPr>
        <w:spacing w:before="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p>
      <w:pPr>
        <w:pStyle w:val="4"/>
        <w:ind w:firstLine="0"/>
        <w:rPr>
          <w:color w:val="auto"/>
          <w:highlight w:val="none"/>
        </w:rPr>
      </w:pPr>
    </w:p>
    <w:p>
      <w:pPr>
        <w:pStyle w:val="4"/>
        <w:rPr>
          <w:color w:val="auto"/>
          <w:highlight w:val="none"/>
        </w:rPr>
      </w:pPr>
    </w:p>
    <w:tbl>
      <w:tblPr>
        <w:tblStyle w:val="45"/>
        <w:tblW w:w="97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1803"/>
        <w:gridCol w:w="6175"/>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20" w:type="dxa"/>
            <w:noWrap w:val="0"/>
            <w:vAlign w:val="center"/>
          </w:tcPr>
          <w:p>
            <w:pPr>
              <w:widowControl/>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7978" w:type="dxa"/>
            <w:gridSpan w:val="2"/>
            <w:noWrap w:val="0"/>
            <w:vAlign w:val="center"/>
          </w:tcPr>
          <w:p>
            <w:pPr>
              <w:widowControl/>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评审因素及说明</w:t>
            </w:r>
          </w:p>
        </w:tc>
        <w:tc>
          <w:tcPr>
            <w:tcW w:w="870" w:type="dxa"/>
            <w:noWrap w:val="0"/>
            <w:vAlign w:val="center"/>
          </w:tcPr>
          <w:p>
            <w:pPr>
              <w:widowControl/>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723" w:type="dxa"/>
            <w:gridSpan w:val="2"/>
            <w:noWrap w:val="0"/>
            <w:vAlign w:val="center"/>
          </w:tcPr>
          <w:p>
            <w:pPr>
              <w:widowControl/>
              <w:ind w:left="422" w:hanging="422"/>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一、商务部分</w:t>
            </w:r>
          </w:p>
        </w:tc>
        <w:tc>
          <w:tcPr>
            <w:tcW w:w="6175" w:type="dxa"/>
            <w:noWrap w:val="0"/>
            <w:vAlign w:val="center"/>
          </w:tcPr>
          <w:p>
            <w:pPr>
              <w:widowControl/>
              <w:ind w:left="422" w:hanging="422"/>
              <w:jc w:val="center"/>
              <w:rPr>
                <w:rFonts w:hint="eastAsia" w:ascii="宋体" w:hAnsi="宋体" w:eastAsia="宋体" w:cs="宋体"/>
                <w:bCs/>
                <w:color w:val="auto"/>
                <w:sz w:val="21"/>
                <w:szCs w:val="21"/>
                <w:highlight w:val="none"/>
              </w:rPr>
            </w:pPr>
          </w:p>
        </w:tc>
        <w:tc>
          <w:tcPr>
            <w:tcW w:w="870" w:type="dxa"/>
            <w:noWrap w:val="0"/>
            <w:vAlign w:val="center"/>
          </w:tcPr>
          <w:p>
            <w:pPr>
              <w:widowControl/>
              <w:ind w:left="422" w:hanging="422"/>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2" w:hRule="atLeast"/>
          <w:jc w:val="center"/>
        </w:trPr>
        <w:tc>
          <w:tcPr>
            <w:tcW w:w="920" w:type="dxa"/>
            <w:noWrap w:val="0"/>
            <w:vAlign w:val="center"/>
          </w:tcPr>
          <w:p>
            <w:pPr>
              <w:widowControl/>
              <w:ind w:left="420" w:leftChars="0" w:hanging="42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4"/>
                <w:szCs w:val="24"/>
                <w:highlight w:val="none"/>
              </w:rPr>
              <w:t>1</w:t>
            </w:r>
          </w:p>
        </w:tc>
        <w:tc>
          <w:tcPr>
            <w:tcW w:w="1803" w:type="dxa"/>
            <w:noWrap w:val="0"/>
            <w:vAlign w:val="center"/>
          </w:tcPr>
          <w:p>
            <w:pPr>
              <w:numPr>
                <w:ilvl w:val="0"/>
                <w:numId w:val="0"/>
              </w:numPr>
              <w:adjustRightInd w:val="0"/>
              <w:spacing w:before="120" w:after="60" w:line="240" w:lineRule="exact"/>
              <w:ind w:left="0" w:leftChars="0" w:firstLine="0" w:firstLineChars="0"/>
              <w:textAlignment w:val="baseline"/>
              <w:rPr>
                <w:rFonts w:hint="eastAsia" w:ascii="宋体" w:hAnsi="宋体" w:eastAsia="宋体" w:cs="宋体"/>
                <w:color w:val="auto"/>
                <w:kern w:val="2"/>
                <w:sz w:val="21"/>
                <w:szCs w:val="21"/>
                <w:highlight w:val="none"/>
                <w:lang w:val="en-US" w:eastAsia="zh-CN" w:bidi="ar-SA"/>
              </w:rPr>
            </w:pPr>
            <w:r>
              <w:rPr>
                <w:rFonts w:hint="eastAsia" w:eastAsia="宋体"/>
                <w:color w:val="auto"/>
                <w:highlight w:val="none"/>
                <w:lang w:eastAsia="zh-CN"/>
              </w:rPr>
              <w:t>组织机构与人员配备</w:t>
            </w:r>
          </w:p>
        </w:tc>
        <w:tc>
          <w:tcPr>
            <w:tcW w:w="6175" w:type="dxa"/>
            <w:noWrap w:val="0"/>
            <w:vAlign w:val="center"/>
          </w:tcPr>
          <w:p>
            <w:pPr>
              <w:numPr>
                <w:ilvl w:val="0"/>
                <w:numId w:val="0"/>
              </w:numPr>
              <w:adjustRightInd w:val="0"/>
              <w:spacing w:before="120" w:after="60" w:line="240" w:lineRule="auto"/>
              <w:ind w:leftChars="0"/>
              <w:textAlignment w:val="baseline"/>
              <w:rPr>
                <w:rFonts w:hint="eastAsia" w:eastAsia="宋体"/>
                <w:color w:val="auto"/>
                <w:highlight w:val="none"/>
                <w:lang w:val="en-US" w:eastAsia="zh-CN"/>
              </w:rPr>
            </w:pPr>
            <w:r>
              <w:rPr>
                <w:rFonts w:hint="eastAsia" w:eastAsia="宋体"/>
                <w:color w:val="auto"/>
                <w:highlight w:val="none"/>
                <w:lang w:val="en-US" w:eastAsia="zh-CN"/>
              </w:rPr>
              <w:t>组织机构设置合理的，管理层次清晰，人员分工合理得</w:t>
            </w:r>
            <w:r>
              <w:rPr>
                <w:rFonts w:hint="eastAsia"/>
                <w:color w:val="auto"/>
                <w:highlight w:val="none"/>
                <w:lang w:val="en-US" w:eastAsia="zh-CN"/>
              </w:rPr>
              <w:t>5</w:t>
            </w:r>
            <w:r>
              <w:rPr>
                <w:rFonts w:hint="eastAsia" w:eastAsia="宋体"/>
                <w:color w:val="auto"/>
                <w:highlight w:val="none"/>
                <w:lang w:val="en-US" w:eastAsia="zh-CN"/>
              </w:rPr>
              <w:t>分；</w:t>
            </w:r>
          </w:p>
          <w:p>
            <w:pPr>
              <w:numPr>
                <w:ilvl w:val="0"/>
                <w:numId w:val="0"/>
              </w:numPr>
              <w:adjustRightInd w:val="0"/>
              <w:spacing w:before="120" w:after="60" w:line="240" w:lineRule="auto"/>
              <w:ind w:leftChars="0"/>
              <w:textAlignment w:val="baseline"/>
              <w:rPr>
                <w:rFonts w:hint="eastAsia" w:eastAsia="宋体"/>
                <w:color w:val="auto"/>
                <w:highlight w:val="none"/>
                <w:lang w:val="en-US" w:eastAsia="zh-CN"/>
              </w:rPr>
            </w:pPr>
            <w:r>
              <w:rPr>
                <w:rFonts w:hint="eastAsia" w:eastAsia="宋体"/>
                <w:color w:val="auto"/>
                <w:highlight w:val="none"/>
                <w:lang w:val="en-US" w:eastAsia="zh-CN"/>
              </w:rPr>
              <w:t>组织机构设置较合理的，管理层次较清晰，人员分工较合理得</w:t>
            </w:r>
            <w:r>
              <w:rPr>
                <w:rFonts w:hint="eastAsia"/>
                <w:color w:val="auto"/>
                <w:highlight w:val="none"/>
                <w:lang w:val="en-US" w:eastAsia="zh-CN"/>
              </w:rPr>
              <w:t>3</w:t>
            </w:r>
            <w:r>
              <w:rPr>
                <w:rFonts w:hint="eastAsia" w:eastAsia="宋体"/>
                <w:color w:val="auto"/>
                <w:highlight w:val="none"/>
                <w:lang w:val="en-US" w:eastAsia="zh-CN"/>
              </w:rPr>
              <w:t>分；</w:t>
            </w:r>
          </w:p>
          <w:p>
            <w:pPr>
              <w:numPr>
                <w:ilvl w:val="0"/>
                <w:numId w:val="0"/>
              </w:numPr>
              <w:adjustRightInd w:val="0"/>
              <w:spacing w:before="120" w:after="60" w:line="240" w:lineRule="auto"/>
              <w:ind w:leftChars="0"/>
              <w:textAlignment w:val="baseline"/>
              <w:rPr>
                <w:rFonts w:hint="eastAsia" w:eastAsia="宋体"/>
                <w:color w:val="auto"/>
                <w:highlight w:val="none"/>
                <w:lang w:val="en-US" w:eastAsia="zh-CN"/>
              </w:rPr>
            </w:pPr>
            <w:r>
              <w:rPr>
                <w:rFonts w:hint="eastAsia" w:eastAsia="宋体"/>
                <w:color w:val="auto"/>
                <w:highlight w:val="none"/>
                <w:lang w:val="en-US" w:eastAsia="zh-CN"/>
              </w:rPr>
              <w:t>组织机构设置欠合理的，管理层次不够清晰，人员分工不够得</w:t>
            </w:r>
            <w:r>
              <w:rPr>
                <w:rFonts w:hint="eastAsia"/>
                <w:color w:val="auto"/>
                <w:highlight w:val="none"/>
                <w:lang w:val="en-US" w:eastAsia="zh-CN"/>
              </w:rPr>
              <w:t>1</w:t>
            </w:r>
            <w:r>
              <w:rPr>
                <w:rFonts w:hint="eastAsia" w:eastAsia="宋体"/>
                <w:color w:val="auto"/>
                <w:highlight w:val="none"/>
                <w:lang w:val="en-US" w:eastAsia="zh-CN"/>
              </w:rPr>
              <w:t>分；</w:t>
            </w:r>
          </w:p>
          <w:p>
            <w:pPr>
              <w:numPr>
                <w:ilvl w:val="0"/>
                <w:numId w:val="0"/>
              </w:numPr>
              <w:adjustRightInd w:val="0"/>
              <w:spacing w:before="120" w:after="60" w:line="240" w:lineRule="exact"/>
              <w:ind w:left="0" w:leftChars="0" w:firstLine="0" w:firstLineChars="0"/>
              <w:textAlignment w:val="baseline"/>
              <w:rPr>
                <w:rFonts w:hint="eastAsia" w:ascii="宋体" w:hAnsi="宋体" w:eastAsia="宋体" w:cs="宋体"/>
                <w:color w:val="auto"/>
                <w:sz w:val="21"/>
                <w:szCs w:val="21"/>
                <w:highlight w:val="none"/>
                <w:lang w:val="en-US" w:eastAsia="zh-CN"/>
              </w:rPr>
            </w:pPr>
            <w:r>
              <w:rPr>
                <w:rFonts w:hint="eastAsia" w:eastAsia="宋体"/>
                <w:color w:val="auto"/>
                <w:highlight w:val="none"/>
                <w:lang w:val="en-US" w:eastAsia="zh-CN"/>
              </w:rPr>
              <w:t>未提供不得分</w:t>
            </w: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4"/>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6" w:hRule="atLeast"/>
          <w:jc w:val="center"/>
        </w:trPr>
        <w:tc>
          <w:tcPr>
            <w:tcW w:w="920" w:type="dxa"/>
            <w:noWrap w:val="0"/>
            <w:vAlign w:val="center"/>
          </w:tcPr>
          <w:p>
            <w:pPr>
              <w:widowControl/>
              <w:ind w:left="420" w:leftChars="0" w:hanging="420" w:firstLineChars="0"/>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4"/>
                <w:szCs w:val="24"/>
                <w:highlight w:val="none"/>
                <w:lang w:val="en-US" w:eastAsia="zh-CN"/>
              </w:rPr>
              <w:t>2</w:t>
            </w:r>
          </w:p>
        </w:tc>
        <w:tc>
          <w:tcPr>
            <w:tcW w:w="1803" w:type="dxa"/>
            <w:noWrap w:val="0"/>
            <w:vAlign w:val="center"/>
          </w:tcPr>
          <w:p>
            <w:pPr>
              <w:numPr>
                <w:ilvl w:val="0"/>
                <w:numId w:val="0"/>
              </w:numPr>
              <w:adjustRightInd w:val="0"/>
              <w:spacing w:before="120" w:after="60" w:line="240" w:lineRule="exact"/>
              <w:ind w:left="0" w:leftChars="0" w:firstLine="0" w:firstLineChars="0"/>
              <w:jc w:val="center"/>
              <w:textAlignment w:val="baseline"/>
              <w:rPr>
                <w:rFonts w:hint="eastAsia" w:ascii="宋体" w:hAnsi="宋体" w:eastAsia="宋体" w:cs="宋体"/>
                <w:color w:val="auto"/>
                <w:kern w:val="2"/>
                <w:sz w:val="21"/>
                <w:szCs w:val="21"/>
                <w:highlight w:val="none"/>
                <w:lang w:val="en-US" w:eastAsia="zh-CN" w:bidi="ar-SA"/>
              </w:rPr>
            </w:pPr>
            <w:r>
              <w:rPr>
                <w:rFonts w:hint="eastAsia" w:eastAsia="宋体"/>
                <w:color w:val="auto"/>
                <w:highlight w:val="none"/>
              </w:rPr>
              <w:t>项目业绩</w:t>
            </w:r>
          </w:p>
        </w:tc>
        <w:tc>
          <w:tcPr>
            <w:tcW w:w="6175" w:type="dxa"/>
            <w:noWrap w:val="0"/>
            <w:vAlign w:val="center"/>
          </w:tcPr>
          <w:p>
            <w:pPr>
              <w:numPr>
                <w:ilvl w:val="0"/>
                <w:numId w:val="0"/>
              </w:numPr>
              <w:adjustRightInd w:val="0"/>
              <w:spacing w:before="120" w:after="60" w:line="360" w:lineRule="auto"/>
              <w:ind w:left="0" w:leftChars="0" w:firstLine="0" w:firstLineChars="0"/>
              <w:textAlignment w:val="baseline"/>
              <w:rPr>
                <w:rFonts w:hint="eastAsia" w:ascii="宋体" w:hAnsi="宋体" w:eastAsia="宋体" w:cs="宋体"/>
                <w:color w:val="auto"/>
                <w:kern w:val="2"/>
                <w:sz w:val="21"/>
                <w:szCs w:val="21"/>
                <w:highlight w:val="none"/>
                <w:lang w:val="en-US" w:eastAsia="zh-CN" w:bidi="ar-SA"/>
              </w:rPr>
            </w:pPr>
            <w:r>
              <w:rPr>
                <w:rFonts w:hint="eastAsia" w:eastAsia="宋体"/>
                <w:color w:val="auto"/>
                <w:highlight w:val="none"/>
              </w:rPr>
              <w:t>近3年（20</w:t>
            </w:r>
            <w:r>
              <w:rPr>
                <w:rFonts w:hint="eastAsia" w:eastAsia="宋体"/>
                <w:color w:val="auto"/>
                <w:highlight w:val="none"/>
                <w:lang w:val="en-US" w:eastAsia="zh-CN"/>
              </w:rPr>
              <w:t>20</w:t>
            </w:r>
            <w:r>
              <w:rPr>
                <w:rFonts w:hint="eastAsia" w:eastAsia="宋体"/>
                <w:color w:val="auto"/>
                <w:highlight w:val="none"/>
              </w:rPr>
              <w:t>年</w:t>
            </w:r>
            <w:r>
              <w:rPr>
                <w:rFonts w:hint="eastAsia"/>
                <w:color w:val="auto"/>
                <w:highlight w:val="none"/>
                <w:lang w:val="en-US" w:eastAsia="zh-CN"/>
              </w:rPr>
              <w:t>11</w:t>
            </w:r>
            <w:r>
              <w:rPr>
                <w:rFonts w:hint="eastAsia" w:eastAsia="宋体"/>
                <w:color w:val="auto"/>
                <w:highlight w:val="none"/>
              </w:rPr>
              <w:t>月至今）已完成的类似业绩（包括合同首页、合同金额、双方签字盖章页），每提供一个得</w:t>
            </w:r>
            <w:r>
              <w:rPr>
                <w:rFonts w:hint="eastAsia"/>
                <w:color w:val="auto"/>
                <w:highlight w:val="none"/>
                <w:lang w:val="en-US" w:eastAsia="zh-CN"/>
              </w:rPr>
              <w:t>5</w:t>
            </w:r>
            <w:r>
              <w:rPr>
                <w:rFonts w:hint="eastAsia" w:eastAsia="宋体"/>
                <w:color w:val="auto"/>
                <w:highlight w:val="none"/>
              </w:rPr>
              <w:t>分，最多得</w:t>
            </w:r>
            <w:r>
              <w:rPr>
                <w:rFonts w:hint="eastAsia" w:eastAsia="宋体"/>
                <w:color w:val="auto"/>
                <w:highlight w:val="none"/>
                <w:lang w:val="en-US" w:eastAsia="zh-CN"/>
              </w:rPr>
              <w:t>15</w:t>
            </w:r>
            <w:r>
              <w:rPr>
                <w:rFonts w:hint="eastAsia" w:eastAsia="宋体"/>
                <w:color w:val="auto"/>
                <w:highlight w:val="none"/>
              </w:rPr>
              <w:t>分。</w:t>
            </w: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4"/>
                <w:szCs w:val="24"/>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1" w:hRule="atLeast"/>
          <w:jc w:val="center"/>
        </w:trPr>
        <w:tc>
          <w:tcPr>
            <w:tcW w:w="2723" w:type="dxa"/>
            <w:gridSpan w:val="2"/>
            <w:noWrap w:val="0"/>
            <w:vAlign w:val="center"/>
          </w:tcPr>
          <w:p>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二、技术部分</w:t>
            </w:r>
          </w:p>
        </w:tc>
        <w:tc>
          <w:tcPr>
            <w:tcW w:w="6175" w:type="dxa"/>
            <w:noWrap w:val="0"/>
            <w:vAlign w:val="center"/>
          </w:tcPr>
          <w:p>
            <w:pPr>
              <w:adjustRightInd w:val="0"/>
              <w:snapToGrid w:val="0"/>
              <w:rPr>
                <w:rFonts w:hint="eastAsia" w:ascii="宋体" w:hAnsi="宋体" w:eastAsia="宋体" w:cs="宋体"/>
                <w:color w:val="auto"/>
                <w:sz w:val="21"/>
                <w:szCs w:val="21"/>
                <w:highlight w:val="none"/>
              </w:rPr>
            </w:pP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19" w:hRule="atLeast"/>
          <w:jc w:val="center"/>
        </w:trPr>
        <w:tc>
          <w:tcPr>
            <w:tcW w:w="920" w:type="dxa"/>
            <w:noWrap w:val="0"/>
            <w:vAlign w:val="center"/>
          </w:tcPr>
          <w:p>
            <w:pPr>
              <w:widowControl/>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p>
            <w:pPr>
              <w:widowControl/>
              <w:jc w:val="center"/>
              <w:rPr>
                <w:rFonts w:hint="eastAsia" w:ascii="宋体" w:hAnsi="宋体" w:eastAsia="宋体" w:cs="宋体"/>
                <w:bCs/>
                <w:color w:val="auto"/>
                <w:sz w:val="21"/>
                <w:szCs w:val="21"/>
                <w:highlight w:val="none"/>
              </w:rPr>
            </w:pPr>
          </w:p>
        </w:tc>
        <w:tc>
          <w:tcPr>
            <w:tcW w:w="1803" w:type="dxa"/>
            <w:noWrap w:val="0"/>
            <w:vAlign w:val="center"/>
          </w:tcPr>
          <w:p>
            <w:pPr>
              <w:adjustRightInd w:val="0"/>
              <w:snapToGrid w:val="0"/>
              <w:rPr>
                <w:rFonts w:hint="eastAsia"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rPr>
              <w:t>施工方案</w:t>
            </w:r>
          </w:p>
        </w:tc>
        <w:tc>
          <w:tcPr>
            <w:tcW w:w="6175" w:type="dxa"/>
            <w:noWrap w:val="0"/>
            <w:vAlign w:val="center"/>
          </w:tcPr>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科学、可行、针</w:t>
            </w:r>
            <w:r>
              <w:rPr>
                <w:rFonts w:ascii="宋体" w:hAnsi="宋体" w:eastAsia="宋体" w:cs="宋体"/>
                <w:color w:val="auto"/>
                <w:sz w:val="21"/>
                <w:szCs w:val="21"/>
                <w:highlight w:val="none"/>
              </w:rPr>
              <w:t>对性强</w:t>
            </w:r>
            <w:r>
              <w:rPr>
                <w:rFonts w:hint="eastAsia" w:ascii="宋体" w:hAnsi="宋体" w:cs="宋体"/>
                <w:color w:val="auto"/>
                <w:spacing w:val="-17"/>
                <w:sz w:val="21"/>
                <w:szCs w:val="21"/>
                <w:highlight w:val="none"/>
                <w:u w:val="none" w:color="auto"/>
                <w:lang w:val="en-US" w:eastAsia="zh-CN"/>
              </w:rPr>
              <w:t>15</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科学、合理、细</w:t>
            </w:r>
            <w:r>
              <w:rPr>
                <w:rFonts w:ascii="宋体" w:hAnsi="宋体" w:eastAsia="宋体" w:cs="宋体"/>
                <w:color w:val="auto"/>
                <w:sz w:val="21"/>
                <w:szCs w:val="21"/>
                <w:highlight w:val="none"/>
              </w:rPr>
              <w:t>节较完善</w:t>
            </w:r>
            <w:r>
              <w:rPr>
                <w:rFonts w:hint="eastAsia" w:ascii="宋体" w:hAnsi="宋体" w:cs="宋体"/>
                <w:color w:val="auto"/>
                <w:spacing w:val="-17"/>
                <w:sz w:val="21"/>
                <w:szCs w:val="21"/>
                <w:highlight w:val="none"/>
                <w:u w:val="none" w:color="auto"/>
                <w:lang w:val="en-US" w:eastAsia="zh-CN"/>
              </w:rPr>
              <w:t>10</w:t>
            </w:r>
            <w:r>
              <w:rPr>
                <w:rFonts w:ascii="宋体" w:hAnsi="宋体" w:eastAsia="宋体" w:cs="宋体"/>
                <w:color w:val="auto"/>
                <w:spacing w:val="-16"/>
                <w:sz w:val="21"/>
                <w:szCs w:val="21"/>
                <w:highlight w:val="none"/>
                <w:u w:val="none" w:color="auto"/>
              </w:rPr>
              <w:t xml:space="preserve"> 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7"/>
                <w:sz w:val="21"/>
                <w:szCs w:val="21"/>
                <w:highlight w:val="none"/>
                <w:u w:val="none" w:color="auto"/>
                <w:lang w:eastAsia="zh-CN"/>
              </w:rPr>
            </w:pPr>
            <w:r>
              <w:rPr>
                <w:rFonts w:ascii="宋体" w:hAnsi="宋体" w:eastAsia="宋体" w:cs="宋体"/>
                <w:color w:val="auto"/>
                <w:spacing w:val="-1"/>
                <w:sz w:val="21"/>
                <w:szCs w:val="21"/>
                <w:highlight w:val="none"/>
              </w:rPr>
              <w:t>合理、可行、细节待</w:t>
            </w:r>
            <w:r>
              <w:rPr>
                <w:rFonts w:ascii="宋体" w:hAnsi="宋体" w:eastAsia="宋体" w:cs="宋体"/>
                <w:color w:val="auto"/>
                <w:sz w:val="21"/>
                <w:szCs w:val="21"/>
                <w:highlight w:val="none"/>
              </w:rPr>
              <w:t>完善</w:t>
            </w:r>
            <w:r>
              <w:rPr>
                <w:rFonts w:hint="eastAsia" w:ascii="宋体" w:hAnsi="宋体" w:cs="宋体"/>
                <w:color w:val="auto"/>
                <w:spacing w:val="-17"/>
                <w:sz w:val="21"/>
                <w:szCs w:val="21"/>
                <w:highlight w:val="none"/>
                <w:u w:val="none" w:color="auto"/>
                <w:lang w:val="en-US" w:eastAsia="zh-CN"/>
              </w:rPr>
              <w:t>6</w:t>
            </w:r>
            <w:r>
              <w:rPr>
                <w:rFonts w:ascii="宋体" w:hAnsi="宋体" w:eastAsia="宋体" w:cs="宋体"/>
                <w:color w:val="auto"/>
                <w:spacing w:val="-17"/>
                <w:sz w:val="21"/>
                <w:szCs w:val="21"/>
                <w:highlight w:val="none"/>
                <w:u w:val="none" w:color="auto"/>
              </w:rPr>
              <w:t>分</w:t>
            </w:r>
            <w:r>
              <w:rPr>
                <w:rFonts w:hint="eastAsia" w:ascii="宋体" w:hAnsi="宋体" w:cs="宋体"/>
                <w:color w:val="auto"/>
                <w:spacing w:val="-17"/>
                <w:sz w:val="21"/>
                <w:szCs w:val="21"/>
                <w:highlight w:val="none"/>
                <w:u w:val="none" w:color="auto"/>
                <w:lang w:eastAsia="zh-CN"/>
              </w:rPr>
              <w:t>；</w:t>
            </w:r>
          </w:p>
          <w:p>
            <w:pPr>
              <w:adjustRightInd w:val="0"/>
              <w:snapToGrid w:val="0"/>
              <w:rPr>
                <w:rFonts w:hint="eastAsia" w:ascii="宋体" w:hAnsi="宋体" w:cs="宋体"/>
                <w:color w:val="auto"/>
                <w:spacing w:val="-17"/>
                <w:sz w:val="21"/>
                <w:szCs w:val="21"/>
                <w:highlight w:val="none"/>
                <w:u w:val="none" w:color="auto"/>
                <w:lang w:eastAsia="zh-CN"/>
              </w:rPr>
            </w:pPr>
            <w:r>
              <w:rPr>
                <w:rFonts w:ascii="宋体" w:hAnsi="宋体" w:eastAsia="宋体" w:cs="宋体"/>
                <w:color w:val="auto"/>
                <w:spacing w:val="-17"/>
                <w:sz w:val="21"/>
                <w:szCs w:val="21"/>
                <w:highlight w:val="none"/>
              </w:rPr>
              <w:t>欠</w:t>
            </w:r>
            <w:r>
              <w:rPr>
                <w:rFonts w:ascii="宋体" w:hAnsi="宋体" w:eastAsia="宋体" w:cs="宋体"/>
                <w:color w:val="auto"/>
                <w:spacing w:val="-12"/>
                <w:sz w:val="21"/>
                <w:szCs w:val="21"/>
                <w:highlight w:val="none"/>
              </w:rPr>
              <w:t>合理， 可行性较差， 基本满足工程需要</w:t>
            </w:r>
            <w:r>
              <w:rPr>
                <w:rFonts w:hint="eastAsia" w:ascii="宋体" w:hAnsi="宋体" w:cs="宋体"/>
                <w:color w:val="auto"/>
                <w:spacing w:val="-12"/>
                <w:sz w:val="21"/>
                <w:szCs w:val="21"/>
                <w:highlight w:val="none"/>
                <w:lang w:val="en-US" w:eastAsia="zh-CN"/>
              </w:rPr>
              <w:t>3</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未提供不得分。</w:t>
            </w:r>
          </w:p>
        </w:tc>
        <w:tc>
          <w:tcPr>
            <w:tcW w:w="870" w:type="dxa"/>
            <w:noWrap w:val="0"/>
            <w:vAlign w:val="center"/>
          </w:tcPr>
          <w:p>
            <w:pPr>
              <w:pStyle w:val="24"/>
              <w:adjustRightInd w:val="0"/>
              <w:snapToGrid w:val="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0" w:hRule="atLeast"/>
          <w:jc w:val="center"/>
        </w:trPr>
        <w:tc>
          <w:tcPr>
            <w:tcW w:w="920" w:type="dxa"/>
            <w:noWrap w:val="0"/>
            <w:vAlign w:val="center"/>
          </w:tcPr>
          <w:p>
            <w:pPr>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w:t>
            </w:r>
          </w:p>
        </w:tc>
        <w:tc>
          <w:tcPr>
            <w:tcW w:w="1803" w:type="dxa"/>
            <w:noWrap w:val="0"/>
            <w:vAlign w:val="center"/>
          </w:tcPr>
          <w:p>
            <w:pPr>
              <w:pStyle w:val="265"/>
              <w:spacing w:before="59" w:line="221" w:lineRule="auto"/>
              <w:rPr>
                <w:rFonts w:hint="eastAsia" w:ascii="宋体" w:hAnsi="宋体" w:eastAsia="宋体" w:cs="宋体"/>
                <w:color w:val="auto"/>
                <w:sz w:val="21"/>
                <w:szCs w:val="21"/>
                <w:highlight w:val="none"/>
                <w:lang w:eastAsia="zh-CN"/>
              </w:rPr>
            </w:pPr>
            <w:r>
              <w:rPr>
                <w:rFonts w:ascii="宋体" w:hAnsi="宋体" w:eastAsia="宋体" w:cs="宋体"/>
                <w:color w:val="auto"/>
                <w:spacing w:val="-1"/>
                <w:sz w:val="21"/>
                <w:szCs w:val="21"/>
                <w:highlight w:val="none"/>
              </w:rPr>
              <w:t>质量管理体系与</w:t>
            </w:r>
            <w:r>
              <w:rPr>
                <w:rFonts w:hint="eastAsia" w:ascii="宋体" w:hAnsi="宋体" w:eastAsia="宋体" w:cs="宋体"/>
                <w:color w:val="auto"/>
                <w:spacing w:val="-1"/>
                <w:sz w:val="21"/>
                <w:szCs w:val="21"/>
                <w:highlight w:val="none"/>
                <w:lang w:val="en-US" w:eastAsia="zh-CN"/>
              </w:rPr>
              <w:t xml:space="preserve">   </w:t>
            </w:r>
            <w:r>
              <w:rPr>
                <w:rFonts w:ascii="宋体" w:hAnsi="宋体" w:eastAsia="宋体" w:cs="宋体"/>
                <w:color w:val="auto"/>
                <w:spacing w:val="-1"/>
                <w:sz w:val="21"/>
                <w:szCs w:val="21"/>
                <w:highlight w:val="none"/>
              </w:rPr>
              <w:t>保证</w:t>
            </w:r>
            <w:r>
              <w:rPr>
                <w:rFonts w:ascii="宋体" w:hAnsi="宋体" w:eastAsia="宋体" w:cs="宋体"/>
                <w:color w:val="auto"/>
                <w:sz w:val="21"/>
                <w:szCs w:val="21"/>
                <w:highlight w:val="none"/>
              </w:rPr>
              <w:t>措施</w:t>
            </w:r>
          </w:p>
        </w:tc>
        <w:tc>
          <w:tcPr>
            <w:tcW w:w="6175" w:type="dxa"/>
            <w:noWrap w:val="0"/>
            <w:vAlign w:val="center"/>
          </w:tcPr>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科学、可行、针</w:t>
            </w:r>
            <w:r>
              <w:rPr>
                <w:rFonts w:ascii="宋体" w:hAnsi="宋体" w:eastAsia="宋体" w:cs="宋体"/>
                <w:color w:val="auto"/>
                <w:sz w:val="21"/>
                <w:szCs w:val="21"/>
                <w:highlight w:val="none"/>
              </w:rPr>
              <w:t>对性强</w:t>
            </w:r>
            <w:r>
              <w:rPr>
                <w:rFonts w:hint="eastAsia" w:ascii="宋体" w:hAnsi="宋体" w:cs="宋体"/>
                <w:color w:val="auto"/>
                <w:spacing w:val="-17"/>
                <w:sz w:val="21"/>
                <w:szCs w:val="21"/>
                <w:highlight w:val="none"/>
                <w:u w:val="none" w:color="auto"/>
                <w:lang w:val="en-US" w:eastAsia="zh-CN"/>
              </w:rPr>
              <w:t>10</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科学、合理、细</w:t>
            </w:r>
            <w:r>
              <w:rPr>
                <w:rFonts w:ascii="宋体" w:hAnsi="宋体" w:eastAsia="宋体" w:cs="宋体"/>
                <w:color w:val="auto"/>
                <w:sz w:val="21"/>
                <w:szCs w:val="21"/>
                <w:highlight w:val="none"/>
              </w:rPr>
              <w:t>节较完善</w:t>
            </w:r>
            <w:r>
              <w:rPr>
                <w:rFonts w:hint="eastAsia" w:ascii="宋体" w:hAnsi="宋体" w:cs="宋体"/>
                <w:color w:val="auto"/>
                <w:spacing w:val="-17"/>
                <w:sz w:val="21"/>
                <w:szCs w:val="21"/>
                <w:highlight w:val="none"/>
                <w:u w:val="none" w:color="auto"/>
                <w:lang w:val="en-US" w:eastAsia="zh-CN"/>
              </w:rPr>
              <w:t>7</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合理、可行、细节待</w:t>
            </w:r>
            <w:r>
              <w:rPr>
                <w:rFonts w:ascii="宋体" w:hAnsi="宋体" w:eastAsia="宋体" w:cs="宋体"/>
                <w:color w:val="auto"/>
                <w:sz w:val="21"/>
                <w:szCs w:val="21"/>
                <w:highlight w:val="none"/>
              </w:rPr>
              <w:t>完善</w:t>
            </w:r>
            <w:r>
              <w:rPr>
                <w:rFonts w:hint="eastAsia" w:ascii="宋体" w:hAnsi="宋体" w:cs="宋体"/>
                <w:color w:val="auto"/>
                <w:spacing w:val="-17"/>
                <w:sz w:val="21"/>
                <w:szCs w:val="21"/>
                <w:highlight w:val="none"/>
                <w:u w:val="none" w:color="auto"/>
                <w:lang w:val="en-US" w:eastAsia="zh-CN"/>
              </w:rPr>
              <w:t>4</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pacing w:val="-16"/>
                <w:sz w:val="21"/>
                <w:szCs w:val="21"/>
                <w:highlight w:val="none"/>
                <w:u w:val="none" w:color="auto"/>
                <w:lang w:eastAsia="zh-CN"/>
              </w:rPr>
            </w:pPr>
            <w:r>
              <w:rPr>
                <w:rFonts w:ascii="宋体" w:hAnsi="宋体" w:eastAsia="宋体" w:cs="宋体"/>
                <w:color w:val="auto"/>
                <w:spacing w:val="-17"/>
                <w:sz w:val="21"/>
                <w:szCs w:val="21"/>
                <w:highlight w:val="none"/>
              </w:rPr>
              <w:t>欠</w:t>
            </w:r>
            <w:r>
              <w:rPr>
                <w:rFonts w:ascii="宋体" w:hAnsi="宋体" w:eastAsia="宋体" w:cs="宋体"/>
                <w:color w:val="auto"/>
                <w:spacing w:val="-12"/>
                <w:sz w:val="21"/>
                <w:szCs w:val="21"/>
                <w:highlight w:val="none"/>
              </w:rPr>
              <w:t>合理， 可行性较差， 基本满足工程需要</w:t>
            </w:r>
            <w:r>
              <w:rPr>
                <w:rFonts w:hint="eastAsia" w:ascii="宋体" w:hAnsi="宋体" w:cs="宋体"/>
                <w:color w:val="auto"/>
                <w:spacing w:val="-12"/>
                <w:sz w:val="21"/>
                <w:szCs w:val="21"/>
                <w:highlight w:val="none"/>
                <w:lang w:val="en-US" w:eastAsia="zh-CN"/>
              </w:rPr>
              <w:t>2</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eastAsia="zh-CN"/>
              </w:rPr>
              <w:t>未提供不得分</w:t>
            </w:r>
          </w:p>
        </w:tc>
        <w:tc>
          <w:tcPr>
            <w:tcW w:w="870" w:type="dxa"/>
            <w:noWrap w:val="0"/>
            <w:vAlign w:val="center"/>
          </w:tcPr>
          <w:p>
            <w:pPr>
              <w:pStyle w:val="24"/>
              <w:adjustRightInd w:val="0"/>
              <w:snapToGrid w:val="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7" w:hRule="atLeast"/>
          <w:jc w:val="center"/>
        </w:trPr>
        <w:tc>
          <w:tcPr>
            <w:tcW w:w="92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w:t>
            </w:r>
          </w:p>
        </w:tc>
        <w:tc>
          <w:tcPr>
            <w:tcW w:w="1803" w:type="dxa"/>
            <w:noWrap w:val="0"/>
            <w:vAlign w:val="center"/>
          </w:tcPr>
          <w:p>
            <w:pPr>
              <w:adjustRightInd w:val="0"/>
              <w:snapToGrid w:val="0"/>
              <w:rPr>
                <w:rFonts w:hint="eastAsia" w:ascii="宋体" w:hAnsi="宋体" w:eastAsia="宋体" w:cs="宋体"/>
                <w:color w:val="auto"/>
                <w:sz w:val="21"/>
                <w:szCs w:val="21"/>
                <w:highlight w:val="none"/>
                <w:lang w:val="en-US" w:eastAsia="zh-CN"/>
              </w:rPr>
            </w:pPr>
            <w:r>
              <w:rPr>
                <w:rFonts w:ascii="宋体" w:hAnsi="宋体" w:eastAsia="宋体" w:cs="宋体"/>
                <w:color w:val="auto"/>
                <w:spacing w:val="-2"/>
                <w:sz w:val="21"/>
                <w:szCs w:val="21"/>
                <w:highlight w:val="none"/>
              </w:rPr>
              <w:t>安</w:t>
            </w:r>
            <w:r>
              <w:rPr>
                <w:rFonts w:ascii="宋体" w:hAnsi="宋体" w:eastAsia="宋体" w:cs="宋体"/>
                <w:color w:val="auto"/>
                <w:spacing w:val="-1"/>
                <w:sz w:val="21"/>
                <w:szCs w:val="21"/>
                <w:highlight w:val="none"/>
              </w:rPr>
              <w:t>全和绿色施工</w:t>
            </w:r>
            <w:r>
              <w:rPr>
                <w:rFonts w:hint="eastAsia" w:ascii="宋体" w:hAnsi="宋体" w:eastAsia="宋体" w:cs="宋体"/>
                <w:color w:val="auto"/>
                <w:spacing w:val="-1"/>
                <w:sz w:val="21"/>
                <w:szCs w:val="21"/>
                <w:highlight w:val="none"/>
                <w:lang w:val="en-US" w:eastAsia="zh-CN"/>
              </w:rPr>
              <w:t xml:space="preserve">   </w:t>
            </w:r>
            <w:r>
              <w:rPr>
                <w:rFonts w:ascii="宋体" w:hAnsi="宋体" w:eastAsia="宋体" w:cs="宋体"/>
                <w:color w:val="auto"/>
                <w:spacing w:val="-1"/>
                <w:sz w:val="21"/>
                <w:szCs w:val="21"/>
                <w:highlight w:val="none"/>
              </w:rPr>
              <w:t>保障措施</w:t>
            </w:r>
          </w:p>
        </w:tc>
        <w:tc>
          <w:tcPr>
            <w:tcW w:w="6175" w:type="dxa"/>
            <w:noWrap w:val="0"/>
            <w:vAlign w:val="center"/>
          </w:tcPr>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科学、可行、针</w:t>
            </w:r>
            <w:r>
              <w:rPr>
                <w:rFonts w:ascii="宋体" w:hAnsi="宋体" w:eastAsia="宋体" w:cs="宋体"/>
                <w:color w:val="auto"/>
                <w:sz w:val="21"/>
                <w:szCs w:val="21"/>
                <w:highlight w:val="none"/>
              </w:rPr>
              <w:t>对性强</w:t>
            </w:r>
            <w:r>
              <w:rPr>
                <w:rFonts w:hint="eastAsia" w:ascii="宋体" w:hAnsi="宋体" w:cs="宋体"/>
                <w:color w:val="auto"/>
                <w:spacing w:val="-17"/>
                <w:sz w:val="21"/>
                <w:szCs w:val="21"/>
                <w:highlight w:val="none"/>
                <w:u w:val="none" w:color="auto"/>
                <w:lang w:val="en-US" w:eastAsia="zh-CN"/>
              </w:rPr>
              <w:t>10</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科学、合理、细</w:t>
            </w:r>
            <w:r>
              <w:rPr>
                <w:rFonts w:ascii="宋体" w:hAnsi="宋体" w:eastAsia="宋体" w:cs="宋体"/>
                <w:color w:val="auto"/>
                <w:sz w:val="21"/>
                <w:szCs w:val="21"/>
                <w:highlight w:val="none"/>
              </w:rPr>
              <w:t>节较完善</w:t>
            </w:r>
            <w:r>
              <w:rPr>
                <w:rFonts w:hint="eastAsia" w:ascii="宋体" w:hAnsi="宋体" w:cs="宋体"/>
                <w:color w:val="auto"/>
                <w:spacing w:val="-17"/>
                <w:sz w:val="21"/>
                <w:szCs w:val="21"/>
                <w:highlight w:val="none"/>
                <w:u w:val="none" w:color="auto"/>
                <w:lang w:val="en-US" w:eastAsia="zh-CN"/>
              </w:rPr>
              <w:t>7</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合理、可行、细节待</w:t>
            </w:r>
            <w:r>
              <w:rPr>
                <w:rFonts w:ascii="宋体" w:hAnsi="宋体" w:eastAsia="宋体" w:cs="宋体"/>
                <w:color w:val="auto"/>
                <w:sz w:val="21"/>
                <w:szCs w:val="21"/>
                <w:highlight w:val="none"/>
              </w:rPr>
              <w:t>完善</w:t>
            </w:r>
            <w:r>
              <w:rPr>
                <w:rFonts w:hint="eastAsia" w:ascii="宋体" w:hAnsi="宋体" w:cs="宋体"/>
                <w:color w:val="auto"/>
                <w:spacing w:val="-17"/>
                <w:sz w:val="21"/>
                <w:szCs w:val="21"/>
                <w:highlight w:val="none"/>
                <w:u w:val="none" w:color="auto"/>
                <w:lang w:val="en-US" w:eastAsia="zh-CN"/>
              </w:rPr>
              <w:t>4</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pacing w:val="-16"/>
                <w:sz w:val="21"/>
                <w:szCs w:val="21"/>
                <w:highlight w:val="none"/>
                <w:u w:val="none" w:color="auto"/>
                <w:lang w:eastAsia="zh-CN"/>
              </w:rPr>
            </w:pPr>
            <w:r>
              <w:rPr>
                <w:rFonts w:ascii="宋体" w:hAnsi="宋体" w:eastAsia="宋体" w:cs="宋体"/>
                <w:color w:val="auto"/>
                <w:spacing w:val="-17"/>
                <w:sz w:val="21"/>
                <w:szCs w:val="21"/>
                <w:highlight w:val="none"/>
              </w:rPr>
              <w:t>欠</w:t>
            </w:r>
            <w:r>
              <w:rPr>
                <w:rFonts w:ascii="宋体" w:hAnsi="宋体" w:eastAsia="宋体" w:cs="宋体"/>
                <w:color w:val="auto"/>
                <w:spacing w:val="-12"/>
                <w:sz w:val="21"/>
                <w:szCs w:val="21"/>
                <w:highlight w:val="none"/>
              </w:rPr>
              <w:t>合理， 可行性较差， 基本满足工程需要</w:t>
            </w:r>
            <w:r>
              <w:rPr>
                <w:rFonts w:hint="eastAsia" w:ascii="宋体" w:hAnsi="宋体" w:cs="宋体"/>
                <w:color w:val="auto"/>
                <w:spacing w:val="-12"/>
                <w:sz w:val="21"/>
                <w:szCs w:val="21"/>
                <w:highlight w:val="none"/>
                <w:lang w:val="en-US" w:eastAsia="zh-CN"/>
              </w:rPr>
              <w:t>2</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3"/>
                <w:sz w:val="21"/>
                <w:szCs w:val="21"/>
                <w:highlight w:val="none"/>
                <w:lang w:eastAsia="zh-CN"/>
              </w:rPr>
              <w:t>未提供不得分</w:t>
            </w:r>
          </w:p>
        </w:tc>
        <w:tc>
          <w:tcPr>
            <w:tcW w:w="870" w:type="dxa"/>
            <w:noWrap w:val="0"/>
            <w:vAlign w:val="center"/>
          </w:tcPr>
          <w:p>
            <w:pPr>
              <w:adjustRightInd w:val="0"/>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92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2.4</w:t>
            </w:r>
          </w:p>
        </w:tc>
        <w:tc>
          <w:tcPr>
            <w:tcW w:w="1803" w:type="dxa"/>
            <w:noWrap w:val="0"/>
            <w:vAlign w:val="center"/>
          </w:tcPr>
          <w:p>
            <w:pPr>
              <w:widowControl/>
              <w:jc w:val="left"/>
              <w:rPr>
                <w:rFonts w:hint="eastAsia" w:ascii="宋体" w:hAnsi="宋体" w:eastAsia="宋体" w:cs="宋体"/>
                <w:bCs/>
                <w:color w:val="auto"/>
                <w:sz w:val="21"/>
                <w:szCs w:val="21"/>
                <w:highlight w:val="none"/>
                <w:lang w:val="en-US" w:eastAsia="zh-CN"/>
              </w:rPr>
            </w:pPr>
            <w:r>
              <w:rPr>
                <w:rFonts w:ascii="宋体" w:hAnsi="宋体" w:eastAsia="宋体" w:cs="宋体"/>
                <w:color w:val="auto"/>
                <w:spacing w:val="-1"/>
                <w:sz w:val="21"/>
                <w:szCs w:val="21"/>
                <w:highlight w:val="none"/>
              </w:rPr>
              <w:t>工程进度计划与</w:t>
            </w:r>
            <w:r>
              <w:rPr>
                <w:rFonts w:hint="eastAsia" w:ascii="宋体" w:hAnsi="宋体" w:eastAsia="宋体" w:cs="宋体"/>
                <w:color w:val="auto"/>
                <w:spacing w:val="-1"/>
                <w:sz w:val="21"/>
                <w:szCs w:val="21"/>
                <w:highlight w:val="none"/>
                <w:lang w:val="en-US" w:eastAsia="zh-CN"/>
              </w:rPr>
              <w:t xml:space="preserve">   </w:t>
            </w:r>
            <w:r>
              <w:rPr>
                <w:rFonts w:ascii="宋体" w:hAnsi="宋体" w:eastAsia="宋体" w:cs="宋体"/>
                <w:color w:val="auto"/>
                <w:spacing w:val="-1"/>
                <w:sz w:val="21"/>
                <w:szCs w:val="21"/>
                <w:highlight w:val="none"/>
              </w:rPr>
              <w:t>保证措</w:t>
            </w:r>
            <w:r>
              <w:rPr>
                <w:rFonts w:ascii="宋体" w:hAnsi="宋体" w:eastAsia="宋体" w:cs="宋体"/>
                <w:color w:val="auto"/>
                <w:sz w:val="21"/>
                <w:szCs w:val="21"/>
                <w:highlight w:val="none"/>
              </w:rPr>
              <w:t>施</w:t>
            </w:r>
          </w:p>
        </w:tc>
        <w:tc>
          <w:tcPr>
            <w:tcW w:w="6175" w:type="dxa"/>
            <w:noWrap w:val="0"/>
            <w:vAlign w:val="center"/>
          </w:tcPr>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科学、可行、针</w:t>
            </w:r>
            <w:r>
              <w:rPr>
                <w:rFonts w:ascii="宋体" w:hAnsi="宋体" w:eastAsia="宋体" w:cs="宋体"/>
                <w:color w:val="auto"/>
                <w:sz w:val="21"/>
                <w:szCs w:val="21"/>
                <w:highlight w:val="none"/>
              </w:rPr>
              <w:t>对性强</w:t>
            </w:r>
            <w:r>
              <w:rPr>
                <w:rFonts w:hint="eastAsia" w:ascii="宋体" w:hAnsi="宋体" w:cs="宋体"/>
                <w:color w:val="auto"/>
                <w:spacing w:val="-17"/>
                <w:sz w:val="21"/>
                <w:szCs w:val="21"/>
                <w:highlight w:val="none"/>
                <w:u w:val="none" w:color="auto"/>
                <w:lang w:val="en-US" w:eastAsia="zh-CN"/>
              </w:rPr>
              <w:t>10</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科学、合理、细</w:t>
            </w:r>
            <w:r>
              <w:rPr>
                <w:rFonts w:ascii="宋体" w:hAnsi="宋体" w:eastAsia="宋体" w:cs="宋体"/>
                <w:color w:val="auto"/>
                <w:sz w:val="21"/>
                <w:szCs w:val="21"/>
                <w:highlight w:val="none"/>
              </w:rPr>
              <w:t>节较完善</w:t>
            </w:r>
            <w:r>
              <w:rPr>
                <w:rFonts w:hint="eastAsia" w:ascii="宋体" w:hAnsi="宋体" w:cs="宋体"/>
                <w:color w:val="auto"/>
                <w:spacing w:val="-17"/>
                <w:sz w:val="21"/>
                <w:szCs w:val="21"/>
                <w:highlight w:val="none"/>
                <w:u w:val="none" w:color="auto"/>
                <w:lang w:val="en-US" w:eastAsia="zh-CN"/>
              </w:rPr>
              <w:t>7</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合理、可行、细节待</w:t>
            </w:r>
            <w:r>
              <w:rPr>
                <w:rFonts w:ascii="宋体" w:hAnsi="宋体" w:eastAsia="宋体" w:cs="宋体"/>
                <w:color w:val="auto"/>
                <w:sz w:val="21"/>
                <w:szCs w:val="21"/>
                <w:highlight w:val="none"/>
              </w:rPr>
              <w:t>完善</w:t>
            </w:r>
            <w:r>
              <w:rPr>
                <w:rFonts w:hint="eastAsia" w:ascii="宋体" w:hAnsi="宋体" w:cs="宋体"/>
                <w:color w:val="auto"/>
                <w:spacing w:val="-17"/>
                <w:sz w:val="21"/>
                <w:szCs w:val="21"/>
                <w:highlight w:val="none"/>
                <w:u w:val="none" w:color="auto"/>
                <w:lang w:val="en-US" w:eastAsia="zh-CN"/>
              </w:rPr>
              <w:t>4</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pacing w:val="-16"/>
                <w:sz w:val="21"/>
                <w:szCs w:val="21"/>
                <w:highlight w:val="none"/>
                <w:u w:val="none" w:color="auto"/>
                <w:lang w:eastAsia="zh-CN"/>
              </w:rPr>
            </w:pPr>
            <w:r>
              <w:rPr>
                <w:rFonts w:ascii="宋体" w:hAnsi="宋体" w:eastAsia="宋体" w:cs="宋体"/>
                <w:color w:val="auto"/>
                <w:spacing w:val="-17"/>
                <w:sz w:val="21"/>
                <w:szCs w:val="21"/>
                <w:highlight w:val="none"/>
              </w:rPr>
              <w:t>欠</w:t>
            </w:r>
            <w:r>
              <w:rPr>
                <w:rFonts w:ascii="宋体" w:hAnsi="宋体" w:eastAsia="宋体" w:cs="宋体"/>
                <w:color w:val="auto"/>
                <w:spacing w:val="-12"/>
                <w:sz w:val="21"/>
                <w:szCs w:val="21"/>
                <w:highlight w:val="none"/>
              </w:rPr>
              <w:t>合理， 可行性较差， 基本满足工程需要</w:t>
            </w:r>
            <w:r>
              <w:rPr>
                <w:rFonts w:hint="eastAsia" w:ascii="宋体" w:hAnsi="宋体" w:cs="宋体"/>
                <w:color w:val="auto"/>
                <w:spacing w:val="-12"/>
                <w:sz w:val="21"/>
                <w:szCs w:val="21"/>
                <w:highlight w:val="none"/>
                <w:lang w:val="en-US" w:eastAsia="zh-CN"/>
              </w:rPr>
              <w:t>2</w:t>
            </w:r>
            <w:r>
              <w:rPr>
                <w:rFonts w:ascii="宋体" w:hAnsi="宋体" w:eastAsia="宋体" w:cs="宋体"/>
                <w:color w:val="auto"/>
                <w:spacing w:val="-17"/>
                <w:sz w:val="21"/>
                <w:szCs w:val="21"/>
                <w:highlight w:val="none"/>
                <w:u w:val="none" w:color="auto"/>
              </w:rPr>
              <w:t>分</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3"/>
                <w:sz w:val="21"/>
                <w:szCs w:val="21"/>
                <w:highlight w:val="none"/>
                <w:lang w:eastAsia="zh-CN"/>
              </w:rPr>
              <w:t>未提供不得分</w:t>
            </w: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92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w:t>
            </w:r>
          </w:p>
        </w:tc>
        <w:tc>
          <w:tcPr>
            <w:tcW w:w="1803" w:type="dxa"/>
            <w:noWrap w:val="0"/>
            <w:vAlign w:val="center"/>
          </w:tcPr>
          <w:p>
            <w:pPr>
              <w:widowControl/>
              <w:jc w:val="left"/>
              <w:rPr>
                <w:rFonts w:hint="eastAsia" w:ascii="宋体" w:hAnsi="宋体" w:eastAsia="宋体" w:cs="宋体"/>
                <w:bCs/>
                <w:color w:val="auto"/>
                <w:sz w:val="21"/>
                <w:szCs w:val="21"/>
                <w:highlight w:val="none"/>
                <w:lang w:val="en-US" w:eastAsia="zh-CN"/>
              </w:rPr>
            </w:pPr>
            <w:r>
              <w:rPr>
                <w:rFonts w:ascii="宋体" w:hAnsi="宋体" w:eastAsia="宋体" w:cs="宋体"/>
                <w:color w:val="auto"/>
                <w:spacing w:val="-1"/>
                <w:sz w:val="21"/>
                <w:szCs w:val="21"/>
                <w:highlight w:val="none"/>
              </w:rPr>
              <w:t>环境保护管理体系</w:t>
            </w:r>
            <w:r>
              <w:rPr>
                <w:rFonts w:hint="eastAsia" w:ascii="宋体" w:hAnsi="宋体" w:eastAsia="宋体" w:cs="宋体"/>
                <w:color w:val="auto"/>
                <w:spacing w:val="-1"/>
                <w:sz w:val="21"/>
                <w:szCs w:val="21"/>
                <w:highlight w:val="none"/>
                <w:lang w:val="en-US" w:eastAsia="zh-CN"/>
              </w:rPr>
              <w:t xml:space="preserve"> </w:t>
            </w:r>
            <w:r>
              <w:rPr>
                <w:rFonts w:ascii="宋体" w:hAnsi="宋体" w:eastAsia="宋体" w:cs="宋体"/>
                <w:color w:val="auto"/>
                <w:sz w:val="21"/>
                <w:szCs w:val="21"/>
                <w:highlight w:val="none"/>
              </w:rPr>
              <w:t>与措施</w:t>
            </w:r>
          </w:p>
        </w:tc>
        <w:tc>
          <w:tcPr>
            <w:tcW w:w="6175" w:type="dxa"/>
            <w:noWrap w:val="0"/>
            <w:vAlign w:val="center"/>
          </w:tcPr>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科学、可行、针</w:t>
            </w:r>
            <w:r>
              <w:rPr>
                <w:rFonts w:ascii="宋体" w:hAnsi="宋体" w:eastAsia="宋体" w:cs="宋体"/>
                <w:color w:val="auto"/>
                <w:sz w:val="21"/>
                <w:szCs w:val="21"/>
                <w:highlight w:val="none"/>
              </w:rPr>
              <w:t>对性强</w:t>
            </w:r>
            <w:r>
              <w:rPr>
                <w:rFonts w:hint="eastAsia" w:ascii="宋体" w:hAnsi="宋体" w:cs="宋体"/>
                <w:color w:val="auto"/>
                <w:spacing w:val="-17"/>
                <w:sz w:val="21"/>
                <w:szCs w:val="21"/>
                <w:highlight w:val="none"/>
                <w:u w:val="none" w:color="auto"/>
                <w:lang w:val="en-US" w:eastAsia="zh-CN"/>
              </w:rPr>
              <w:t>10</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科学、合理、细</w:t>
            </w:r>
            <w:r>
              <w:rPr>
                <w:rFonts w:ascii="宋体" w:hAnsi="宋体" w:eastAsia="宋体" w:cs="宋体"/>
                <w:color w:val="auto"/>
                <w:sz w:val="21"/>
                <w:szCs w:val="21"/>
                <w:highlight w:val="none"/>
              </w:rPr>
              <w:t>节较完善</w:t>
            </w:r>
            <w:r>
              <w:rPr>
                <w:rFonts w:hint="eastAsia" w:ascii="宋体" w:hAnsi="宋体" w:cs="宋体"/>
                <w:color w:val="auto"/>
                <w:spacing w:val="-17"/>
                <w:sz w:val="21"/>
                <w:szCs w:val="21"/>
                <w:highlight w:val="none"/>
                <w:u w:val="none" w:color="auto"/>
                <w:lang w:val="en-US" w:eastAsia="zh-CN"/>
              </w:rPr>
              <w:t>7</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合理、可行、细节待</w:t>
            </w:r>
            <w:r>
              <w:rPr>
                <w:rFonts w:ascii="宋体" w:hAnsi="宋体" w:eastAsia="宋体" w:cs="宋体"/>
                <w:color w:val="auto"/>
                <w:sz w:val="21"/>
                <w:szCs w:val="21"/>
                <w:highlight w:val="none"/>
              </w:rPr>
              <w:t>完善</w:t>
            </w:r>
            <w:r>
              <w:rPr>
                <w:rFonts w:hint="eastAsia" w:ascii="宋体" w:hAnsi="宋体" w:cs="宋体"/>
                <w:color w:val="auto"/>
                <w:spacing w:val="-17"/>
                <w:sz w:val="21"/>
                <w:szCs w:val="21"/>
                <w:highlight w:val="none"/>
                <w:u w:val="none" w:color="auto"/>
                <w:lang w:val="en-US" w:eastAsia="zh-CN"/>
              </w:rPr>
              <w:t>4</w:t>
            </w:r>
            <w:r>
              <w:rPr>
                <w:rFonts w:ascii="宋体" w:hAnsi="宋体" w:eastAsia="宋体" w:cs="宋体"/>
                <w:color w:val="auto"/>
                <w:spacing w:val="-17"/>
                <w:sz w:val="21"/>
                <w:szCs w:val="21"/>
                <w:highlight w:val="none"/>
                <w:u w:val="none" w:color="auto"/>
              </w:rPr>
              <w:t>分</w:t>
            </w:r>
          </w:p>
          <w:p>
            <w:pPr>
              <w:adjustRightInd w:val="0"/>
              <w:snapToGrid w:val="0"/>
              <w:rPr>
                <w:rFonts w:hint="eastAsia" w:ascii="宋体" w:hAnsi="宋体" w:eastAsia="宋体" w:cs="宋体"/>
                <w:color w:val="auto"/>
                <w:spacing w:val="-16"/>
                <w:sz w:val="21"/>
                <w:szCs w:val="21"/>
                <w:highlight w:val="none"/>
                <w:u w:val="none" w:color="auto"/>
                <w:lang w:eastAsia="zh-CN"/>
              </w:rPr>
            </w:pPr>
            <w:r>
              <w:rPr>
                <w:rFonts w:ascii="宋体" w:hAnsi="宋体" w:eastAsia="宋体" w:cs="宋体"/>
                <w:color w:val="auto"/>
                <w:spacing w:val="-17"/>
                <w:sz w:val="21"/>
                <w:szCs w:val="21"/>
                <w:highlight w:val="none"/>
              </w:rPr>
              <w:t>欠</w:t>
            </w:r>
            <w:r>
              <w:rPr>
                <w:rFonts w:ascii="宋体" w:hAnsi="宋体" w:eastAsia="宋体" w:cs="宋体"/>
                <w:color w:val="auto"/>
                <w:spacing w:val="-12"/>
                <w:sz w:val="21"/>
                <w:szCs w:val="21"/>
                <w:highlight w:val="none"/>
              </w:rPr>
              <w:t>合理， 可行性较差， 基本满足工程需要</w:t>
            </w:r>
            <w:r>
              <w:rPr>
                <w:rFonts w:hint="eastAsia" w:ascii="宋体" w:hAnsi="宋体" w:cs="宋体"/>
                <w:color w:val="auto"/>
                <w:spacing w:val="-12"/>
                <w:sz w:val="21"/>
                <w:szCs w:val="21"/>
                <w:highlight w:val="none"/>
                <w:lang w:val="en-US" w:eastAsia="zh-CN"/>
              </w:rPr>
              <w:t>2</w:t>
            </w:r>
            <w:r>
              <w:rPr>
                <w:rFonts w:ascii="宋体" w:hAnsi="宋体" w:eastAsia="宋体" w:cs="宋体"/>
                <w:color w:val="auto"/>
                <w:spacing w:val="-17"/>
                <w:sz w:val="21"/>
                <w:szCs w:val="21"/>
                <w:highlight w:val="none"/>
                <w:u w:val="none" w:color="auto"/>
              </w:rPr>
              <w:t>分</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3"/>
                <w:sz w:val="21"/>
                <w:szCs w:val="21"/>
                <w:highlight w:val="none"/>
                <w:lang w:eastAsia="zh-CN"/>
              </w:rPr>
              <w:t>未提供不得分</w:t>
            </w:r>
            <w:r>
              <w:rPr>
                <w:rFonts w:hint="eastAsia" w:ascii="宋体" w:hAnsi="宋体" w:eastAsia="宋体" w:cs="宋体"/>
                <w:bCs/>
                <w:color w:val="auto"/>
                <w:sz w:val="21"/>
                <w:szCs w:val="21"/>
                <w:highlight w:val="none"/>
                <w:lang w:val="en-US" w:eastAsia="zh-CN"/>
              </w:rPr>
              <w:t>。</w:t>
            </w: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92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r>
              <w:rPr>
                <w:rFonts w:hint="eastAsia" w:ascii="宋体" w:hAnsi="宋体" w:cs="宋体"/>
                <w:bCs/>
                <w:color w:val="auto"/>
                <w:sz w:val="21"/>
                <w:szCs w:val="21"/>
                <w:highlight w:val="none"/>
                <w:lang w:val="en-US" w:eastAsia="zh-CN"/>
              </w:rPr>
              <w:t>6</w:t>
            </w:r>
          </w:p>
        </w:tc>
        <w:tc>
          <w:tcPr>
            <w:tcW w:w="1803" w:type="dxa"/>
            <w:noWrap w:val="0"/>
            <w:vAlign w:val="center"/>
          </w:tcPr>
          <w:p>
            <w:pPr>
              <w:widowControl/>
              <w:jc w:val="lef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拟投入的设备说明及注意事项</w:t>
            </w:r>
          </w:p>
        </w:tc>
        <w:tc>
          <w:tcPr>
            <w:tcW w:w="6175" w:type="dxa"/>
            <w:noWrap w:val="0"/>
            <w:vAlign w:val="center"/>
          </w:tcPr>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据供应商提供的投诉处理方案，进行综合评价： </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方案合理完善得 </w:t>
            </w:r>
            <w:r>
              <w:rPr>
                <w:rFonts w:hint="eastAsia" w:ascii="宋体" w:hAnsi="宋体" w:cs="宋体"/>
                <w:bCs/>
                <w:color w:val="auto"/>
                <w:sz w:val="21"/>
                <w:szCs w:val="21"/>
                <w:highlight w:val="none"/>
                <w:lang w:val="en-US" w:eastAsia="zh-CN"/>
              </w:rPr>
              <w:t>8</w:t>
            </w:r>
            <w:r>
              <w:rPr>
                <w:rFonts w:hint="eastAsia" w:ascii="宋体" w:hAnsi="宋体" w:eastAsia="宋体" w:cs="宋体"/>
                <w:bCs/>
                <w:color w:val="auto"/>
                <w:sz w:val="21"/>
                <w:szCs w:val="21"/>
                <w:highlight w:val="none"/>
                <w:lang w:val="en-US" w:eastAsia="zh-CN"/>
              </w:rPr>
              <w:t xml:space="preserve">分； </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方案较合理得 </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 xml:space="preserve"> 分； </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方案欠缺得 </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eastAsia="zh-CN"/>
              </w:rPr>
              <w:t xml:space="preserve">分； </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未提供不得分。</w:t>
            </w: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92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r>
              <w:rPr>
                <w:rFonts w:hint="eastAsia" w:ascii="宋体" w:hAnsi="宋体" w:cs="宋体"/>
                <w:bCs/>
                <w:color w:val="auto"/>
                <w:sz w:val="21"/>
                <w:szCs w:val="21"/>
                <w:highlight w:val="none"/>
                <w:lang w:val="en-US" w:eastAsia="zh-CN"/>
              </w:rPr>
              <w:t>7</w:t>
            </w:r>
          </w:p>
        </w:tc>
        <w:tc>
          <w:tcPr>
            <w:tcW w:w="1803" w:type="dxa"/>
            <w:noWrap w:val="0"/>
            <w:vAlign w:val="center"/>
          </w:tcPr>
          <w:p>
            <w:pPr>
              <w:widowControl/>
              <w:jc w:val="left"/>
              <w:rPr>
                <w:rFonts w:hint="eastAsia" w:ascii="宋体" w:hAnsi="宋体" w:cs="宋体"/>
                <w:bCs/>
                <w:color w:val="auto"/>
                <w:sz w:val="21"/>
                <w:szCs w:val="21"/>
                <w:highlight w:val="none"/>
                <w:lang w:val="en-US" w:eastAsia="zh-CN"/>
              </w:rPr>
            </w:pPr>
            <w:r>
              <w:rPr>
                <w:rFonts w:hint="eastAsia" w:ascii="宋体" w:hAnsi="宋体" w:cs="宋体"/>
                <w:color w:val="auto"/>
                <w:sz w:val="21"/>
                <w:szCs w:val="21"/>
                <w:highlight w:val="none"/>
                <w:lang w:eastAsia="zh-CN"/>
              </w:rPr>
              <w:t>应急预案</w:t>
            </w:r>
          </w:p>
        </w:tc>
        <w:tc>
          <w:tcPr>
            <w:tcW w:w="6175" w:type="dxa"/>
            <w:noWrap w:val="0"/>
            <w:vAlign w:val="center"/>
          </w:tcPr>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科学、可行、针</w:t>
            </w:r>
            <w:r>
              <w:rPr>
                <w:rFonts w:ascii="宋体" w:hAnsi="宋体" w:eastAsia="宋体" w:cs="宋体"/>
                <w:color w:val="auto"/>
                <w:sz w:val="21"/>
                <w:szCs w:val="21"/>
                <w:highlight w:val="none"/>
              </w:rPr>
              <w:t>对性强</w:t>
            </w:r>
            <w:r>
              <w:rPr>
                <w:rFonts w:hint="eastAsia" w:ascii="宋体" w:hAnsi="宋体" w:cs="宋体"/>
                <w:color w:val="auto"/>
                <w:spacing w:val="-17"/>
                <w:sz w:val="21"/>
                <w:szCs w:val="21"/>
                <w:highlight w:val="none"/>
                <w:u w:val="none" w:color="auto"/>
                <w:lang w:val="en-US" w:eastAsia="zh-CN"/>
              </w:rPr>
              <w:t>7</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科学、合理、细</w:t>
            </w:r>
            <w:r>
              <w:rPr>
                <w:rFonts w:ascii="宋体" w:hAnsi="宋体" w:eastAsia="宋体" w:cs="宋体"/>
                <w:color w:val="auto"/>
                <w:sz w:val="21"/>
                <w:szCs w:val="21"/>
                <w:highlight w:val="none"/>
              </w:rPr>
              <w:t>节较完善</w:t>
            </w:r>
            <w:r>
              <w:rPr>
                <w:rFonts w:hint="eastAsia" w:ascii="宋体" w:hAnsi="宋体" w:cs="宋体"/>
                <w:color w:val="auto"/>
                <w:spacing w:val="-17"/>
                <w:sz w:val="21"/>
                <w:szCs w:val="21"/>
                <w:highlight w:val="none"/>
                <w:u w:val="none" w:color="auto"/>
                <w:lang w:val="en-US" w:eastAsia="zh-CN"/>
              </w:rPr>
              <w:t>4</w:t>
            </w:r>
            <w:r>
              <w:rPr>
                <w:rFonts w:ascii="宋体" w:hAnsi="宋体" w:eastAsia="宋体" w:cs="宋体"/>
                <w:color w:val="auto"/>
                <w:spacing w:val="-16"/>
                <w:sz w:val="21"/>
                <w:szCs w:val="21"/>
                <w:highlight w:val="none"/>
                <w:u w:val="none" w:color="auto"/>
              </w:rPr>
              <w:t>分</w:t>
            </w:r>
            <w:r>
              <w:rPr>
                <w:rFonts w:hint="eastAsia" w:ascii="宋体" w:hAnsi="宋体" w:cs="宋体"/>
                <w:color w:val="auto"/>
                <w:spacing w:val="-16"/>
                <w:sz w:val="21"/>
                <w:szCs w:val="21"/>
                <w:highlight w:val="none"/>
                <w:u w:val="none" w:color="auto"/>
                <w:lang w:eastAsia="zh-CN"/>
              </w:rPr>
              <w:t>；</w:t>
            </w:r>
          </w:p>
          <w:p>
            <w:pPr>
              <w:adjustRightInd w:val="0"/>
              <w:snapToGrid w:val="0"/>
              <w:rPr>
                <w:rFonts w:hint="eastAsia" w:ascii="宋体" w:hAnsi="宋体" w:cs="宋体"/>
                <w:color w:val="auto"/>
                <w:spacing w:val="-16"/>
                <w:sz w:val="21"/>
                <w:szCs w:val="21"/>
                <w:highlight w:val="none"/>
                <w:u w:val="none" w:color="auto"/>
                <w:lang w:eastAsia="zh-CN"/>
              </w:rPr>
            </w:pPr>
            <w:r>
              <w:rPr>
                <w:rFonts w:ascii="宋体" w:hAnsi="宋体" w:eastAsia="宋体" w:cs="宋体"/>
                <w:color w:val="auto"/>
                <w:spacing w:val="-1"/>
                <w:sz w:val="21"/>
                <w:szCs w:val="21"/>
                <w:highlight w:val="none"/>
              </w:rPr>
              <w:t>合理、可行、细节待</w:t>
            </w:r>
            <w:r>
              <w:rPr>
                <w:rFonts w:ascii="宋体" w:hAnsi="宋体" w:eastAsia="宋体" w:cs="宋体"/>
                <w:color w:val="auto"/>
                <w:sz w:val="21"/>
                <w:szCs w:val="21"/>
                <w:highlight w:val="none"/>
              </w:rPr>
              <w:t>完善</w:t>
            </w:r>
            <w:r>
              <w:rPr>
                <w:rFonts w:hint="eastAsia" w:ascii="宋体" w:hAnsi="宋体" w:cs="宋体"/>
                <w:color w:val="auto"/>
                <w:spacing w:val="-17"/>
                <w:sz w:val="21"/>
                <w:szCs w:val="21"/>
                <w:highlight w:val="none"/>
                <w:u w:val="none" w:color="auto"/>
                <w:lang w:val="en-US" w:eastAsia="zh-CN"/>
              </w:rPr>
              <w:t>2</w:t>
            </w:r>
            <w:r>
              <w:rPr>
                <w:rFonts w:ascii="宋体" w:hAnsi="宋体" w:eastAsia="宋体" w:cs="宋体"/>
                <w:color w:val="auto"/>
                <w:spacing w:val="-17"/>
                <w:sz w:val="21"/>
                <w:szCs w:val="21"/>
                <w:highlight w:val="none"/>
                <w:u w:val="none" w:color="auto"/>
              </w:rPr>
              <w:t>分</w:t>
            </w:r>
          </w:p>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3"/>
                <w:sz w:val="21"/>
                <w:szCs w:val="21"/>
                <w:highlight w:val="none"/>
                <w:lang w:eastAsia="zh-CN"/>
              </w:rPr>
              <w:t>未提供不得分</w:t>
            </w: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1" w:hRule="atLeast"/>
          <w:jc w:val="center"/>
        </w:trPr>
        <w:tc>
          <w:tcPr>
            <w:tcW w:w="2723" w:type="dxa"/>
            <w:gridSpan w:val="2"/>
            <w:noWrap w:val="0"/>
            <w:vAlign w:val="center"/>
          </w:tcPr>
          <w:p>
            <w:pPr>
              <w:widowControl/>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三、报价部分（分）</w:t>
            </w:r>
          </w:p>
        </w:tc>
        <w:tc>
          <w:tcPr>
            <w:tcW w:w="6175" w:type="dxa"/>
            <w:noWrap w:val="0"/>
            <w:vAlign w:val="center"/>
          </w:tcPr>
          <w:p>
            <w:pPr>
              <w:adjustRightInd w:val="0"/>
              <w:snapToGrid w:val="0"/>
              <w:rPr>
                <w:rFonts w:hint="eastAsia" w:ascii="宋体" w:hAnsi="宋体" w:eastAsia="宋体" w:cs="宋体"/>
                <w:color w:val="auto"/>
                <w:sz w:val="21"/>
                <w:szCs w:val="21"/>
                <w:highlight w:val="none"/>
              </w:rPr>
            </w:pPr>
          </w:p>
        </w:tc>
        <w:tc>
          <w:tcPr>
            <w:tcW w:w="870" w:type="dxa"/>
            <w:noWrap w:val="0"/>
            <w:vAlign w:val="center"/>
          </w:tcPr>
          <w:p>
            <w:pPr>
              <w:widowControl/>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0" w:hRule="atLeast"/>
          <w:jc w:val="center"/>
        </w:trPr>
        <w:tc>
          <w:tcPr>
            <w:tcW w:w="920" w:type="dxa"/>
            <w:noWrap w:val="0"/>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803" w:type="dxa"/>
            <w:tcBorders>
              <w:bottom w:val="single" w:color="auto" w:sz="4" w:space="0"/>
            </w:tcBorders>
            <w:noWrap w:val="0"/>
            <w:vAlign w:val="center"/>
          </w:tcPr>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报价</w:t>
            </w:r>
          </w:p>
        </w:tc>
        <w:tc>
          <w:tcPr>
            <w:tcW w:w="6175" w:type="dxa"/>
            <w:noWrap w:val="0"/>
            <w:vAlign w:val="center"/>
          </w:tcPr>
          <w:p>
            <w:pPr>
              <w:widowControl/>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满足招标文件要求投标报价未超过招标文件中规定的项目价格最低的投标报价为评标基准费率，其价格分为满分，其他供应商的价格分统一按下列公式计算：报价得分=（评审基准价/投标报价）×10</w:t>
            </w:r>
          </w:p>
        </w:tc>
        <w:tc>
          <w:tcPr>
            <w:tcW w:w="870" w:type="dxa"/>
            <w:noWrap w:val="0"/>
            <w:vAlign w:val="center"/>
          </w:tcPr>
          <w:p>
            <w:pPr>
              <w:adjustRightInd w:val="0"/>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bl>
    <w:p>
      <w:pPr>
        <w:numPr>
          <w:ilvl w:val="-1"/>
          <w:numId w:val="0"/>
        </w:numPr>
        <w:ind w:left="0" w:leftChars="0" w:firstLine="0" w:firstLineChars="0"/>
        <w:jc w:val="left"/>
        <w:rPr>
          <w:color w:val="auto"/>
          <w:highlight w:val="none"/>
        </w:rPr>
        <w:sectPr>
          <w:headerReference r:id="rId10" w:type="default"/>
          <w:footerReference r:id="rId11" w:type="default"/>
          <w:pgSz w:w="11907" w:h="16840"/>
          <w:pgMar w:top="1418" w:right="1134" w:bottom="1418" w:left="1701" w:header="851" w:footer="851" w:gutter="0"/>
          <w:cols w:space="720" w:num="1"/>
          <w:docGrid w:linePitch="462" w:charSpace="0"/>
        </w:sectPr>
      </w:pPr>
    </w:p>
    <w:p>
      <w:pPr>
        <w:numPr>
          <w:ilvl w:val="-1"/>
          <w:numId w:val="0"/>
        </w:numPr>
        <w:spacing w:line="360" w:lineRule="auto"/>
        <w:jc w:val="center"/>
        <w:outlineLvl w:val="0"/>
        <w:rPr>
          <w:rFonts w:ascii="宋体" w:hAnsi="宋体" w:cs="宋体"/>
          <w:b/>
          <w:color w:val="auto"/>
          <w:sz w:val="36"/>
          <w:szCs w:val="36"/>
          <w:highlight w:val="none"/>
        </w:rPr>
      </w:pPr>
      <w:bookmarkStart w:id="663" w:name="_Toc97371945"/>
      <w:r>
        <w:rPr>
          <w:rFonts w:hint="eastAsia" w:ascii="宋体" w:hAnsi="宋体" w:cs="宋体"/>
          <w:b/>
          <w:color w:val="auto"/>
          <w:sz w:val="36"/>
          <w:szCs w:val="36"/>
          <w:highlight w:val="none"/>
          <w:lang w:eastAsia="zh-CN"/>
        </w:rPr>
        <w:t>第四章</w:t>
      </w:r>
      <w:r>
        <w:rPr>
          <w:rFonts w:hint="eastAsia" w:ascii="宋体" w:hAnsi="宋体" w:cs="宋体"/>
          <w:b/>
          <w:color w:val="auto"/>
          <w:sz w:val="36"/>
          <w:szCs w:val="36"/>
          <w:highlight w:val="none"/>
          <w:lang w:val="en-US" w:eastAsia="zh-CN"/>
        </w:rPr>
        <w:t xml:space="preserve">  </w:t>
      </w:r>
      <w:r>
        <w:rPr>
          <w:rFonts w:hint="eastAsia" w:ascii="宋体" w:hAnsi="宋体" w:cs="宋体"/>
          <w:b/>
          <w:color w:val="auto"/>
          <w:sz w:val="36"/>
          <w:szCs w:val="36"/>
          <w:highlight w:val="none"/>
        </w:rPr>
        <w:t>采购需求</w:t>
      </w:r>
      <w:bookmarkEnd w:id="663"/>
    </w:p>
    <w:p>
      <w:pPr>
        <w:spacing w:line="480" w:lineRule="auto"/>
        <w:ind w:firstLine="480" w:firstLineChars="200"/>
        <w:jc w:val="left"/>
        <w:outlineLvl w:val="0"/>
        <w:rPr>
          <w:rFonts w:hint="eastAsia" w:ascii="宋体" w:hAnsi="宋体" w:eastAsia="宋体" w:cs="Times New Roman"/>
          <w:b w:val="0"/>
          <w:bCs w:val="0"/>
          <w:color w:val="auto"/>
          <w:kern w:val="2"/>
          <w:sz w:val="24"/>
          <w:szCs w:val="24"/>
          <w:highlight w:val="none"/>
          <w:u w:val="none"/>
          <w:lang w:val="en-US" w:eastAsia="zh-CN" w:bidi="ar-SA"/>
        </w:rPr>
      </w:pPr>
      <w:bookmarkStart w:id="664" w:name="_Toc97371946"/>
    </w:p>
    <w:p>
      <w:pPr>
        <w:spacing w:line="480" w:lineRule="auto"/>
        <w:ind w:firstLine="480" w:firstLineChars="200"/>
        <w:jc w:val="left"/>
        <w:outlineLvl w:val="0"/>
        <w:rPr>
          <w:rFonts w:hint="eastAsia" w:ascii="宋体" w:hAnsi="宋体" w:eastAsia="宋体" w:cs="Times New Roman"/>
          <w:b w:val="0"/>
          <w:bCs w:val="0"/>
          <w:color w:val="auto"/>
          <w:kern w:val="2"/>
          <w:sz w:val="24"/>
          <w:szCs w:val="24"/>
          <w:highlight w:val="none"/>
          <w:u w:val="none"/>
          <w:lang w:val="en-US" w:eastAsia="zh-CN" w:bidi="ar-SA"/>
        </w:rPr>
      </w:pPr>
      <w:r>
        <w:rPr>
          <w:rFonts w:hint="eastAsia" w:ascii="宋体" w:hAnsi="宋体" w:eastAsia="宋体" w:cs="Times New Roman"/>
          <w:b w:val="0"/>
          <w:bCs w:val="0"/>
          <w:color w:val="auto"/>
          <w:kern w:val="2"/>
          <w:sz w:val="24"/>
          <w:szCs w:val="24"/>
          <w:highlight w:val="none"/>
          <w:u w:val="none"/>
          <w:lang w:val="en-US" w:eastAsia="zh-CN" w:bidi="ar-SA"/>
        </w:rPr>
        <w:t>一、项目名称：</w:t>
      </w:r>
      <w:r>
        <w:rPr>
          <w:rFonts w:hint="eastAsia" w:ascii="宋体" w:hAnsi="宋体"/>
          <w:color w:val="auto"/>
          <w:sz w:val="24"/>
          <w:szCs w:val="24"/>
          <w:highlight w:val="none"/>
          <w:u w:val="none"/>
          <w:lang w:val="en-US" w:eastAsia="zh-CN"/>
        </w:rPr>
        <w:t>政府扩建楼B区局部改造项目</w:t>
      </w:r>
    </w:p>
    <w:p>
      <w:pPr>
        <w:widowControl/>
        <w:spacing w:line="480" w:lineRule="auto"/>
        <w:ind w:firstLine="480" w:firstLineChars="200"/>
        <w:jc w:val="left"/>
        <w:rPr>
          <w:rFonts w:hint="eastAsia" w:ascii="宋体" w:hAnsi="宋体" w:eastAsia="宋体" w:cs="Times New Roman"/>
          <w:b w:val="0"/>
          <w:bCs w:val="0"/>
          <w:color w:val="auto"/>
          <w:kern w:val="2"/>
          <w:sz w:val="24"/>
          <w:szCs w:val="24"/>
          <w:highlight w:val="none"/>
          <w:u w:val="none"/>
          <w:lang w:val="en-US" w:eastAsia="zh-CN" w:bidi="ar-SA"/>
        </w:rPr>
      </w:pPr>
      <w:r>
        <w:rPr>
          <w:rFonts w:hint="eastAsia" w:ascii="宋体" w:hAnsi="宋体" w:eastAsia="宋体" w:cs="Times New Roman"/>
          <w:b w:val="0"/>
          <w:bCs w:val="0"/>
          <w:color w:val="auto"/>
          <w:kern w:val="2"/>
          <w:sz w:val="24"/>
          <w:szCs w:val="24"/>
          <w:highlight w:val="none"/>
          <w:u w:val="none"/>
          <w:lang w:val="en-US" w:eastAsia="zh-CN" w:bidi="ar-SA"/>
        </w:rPr>
        <w:t>二、预算金额：208.530664 万元</w:t>
      </w:r>
    </w:p>
    <w:p>
      <w:pPr>
        <w:spacing w:line="480" w:lineRule="auto"/>
        <w:ind w:left="719" w:leftChars="228" w:hanging="240" w:hangingChars="100"/>
        <w:rPr>
          <w:rFonts w:hint="eastAsia" w:ascii="宋体" w:hAnsi="宋体" w:eastAsia="宋体" w:cs="Times New Roman"/>
          <w:b w:val="0"/>
          <w:bCs w:val="0"/>
          <w:color w:val="auto"/>
          <w:kern w:val="2"/>
          <w:sz w:val="24"/>
          <w:szCs w:val="24"/>
          <w:highlight w:val="none"/>
          <w:u w:val="none"/>
          <w:lang w:val="en-US" w:eastAsia="zh-CN" w:bidi="ar-SA"/>
        </w:rPr>
      </w:pPr>
      <w:r>
        <w:rPr>
          <w:rFonts w:hint="eastAsia" w:ascii="宋体" w:hAnsi="宋体" w:eastAsia="宋体" w:cs="Times New Roman"/>
          <w:b w:val="0"/>
          <w:bCs w:val="0"/>
          <w:color w:val="auto"/>
          <w:kern w:val="2"/>
          <w:sz w:val="24"/>
          <w:szCs w:val="24"/>
          <w:highlight w:val="none"/>
          <w:u w:val="none"/>
          <w:lang w:val="en-US" w:eastAsia="zh-CN" w:bidi="ar-SA"/>
        </w:rPr>
        <w:t>三、采购需求</w:t>
      </w:r>
      <w:r>
        <w:rPr>
          <w:rFonts w:hint="eastAsia" w:ascii="宋体" w:hAnsi="宋体" w:cs="Times New Roman"/>
          <w:b w:val="0"/>
          <w:bCs w:val="0"/>
          <w:color w:val="auto"/>
          <w:kern w:val="2"/>
          <w:sz w:val="24"/>
          <w:szCs w:val="24"/>
          <w:highlight w:val="none"/>
          <w:u w:val="none"/>
          <w:lang w:val="en-US" w:eastAsia="zh-CN" w:bidi="ar-SA"/>
        </w:rPr>
        <w:t>：</w:t>
      </w:r>
      <w:r>
        <w:rPr>
          <w:rFonts w:hint="eastAsia" w:ascii="宋体" w:hAnsi="宋体" w:eastAsia="宋体" w:cs="Times New Roman"/>
          <w:b w:val="0"/>
          <w:bCs w:val="0"/>
          <w:color w:val="auto"/>
          <w:kern w:val="2"/>
          <w:sz w:val="24"/>
          <w:szCs w:val="24"/>
          <w:highlight w:val="none"/>
          <w:u w:val="none"/>
          <w:lang w:val="en-US" w:eastAsia="zh-CN" w:bidi="ar-SA"/>
        </w:rPr>
        <w:t>北京市大兴区采育镇政府楼扩建B区(旧政务服务中心办公地址)改造总面积717.56平米，计划对现有二层空间进行改造，用于司法所、信访办、城乡建设办公室(农建)三个职能科室办公使用.</w:t>
      </w:r>
    </w:p>
    <w:p>
      <w:pPr>
        <w:spacing w:line="480" w:lineRule="auto"/>
        <w:ind w:firstLine="480" w:firstLineChars="200"/>
        <w:rPr>
          <w:rFonts w:hint="default" w:ascii="宋体" w:hAnsi="宋体" w:cs="Times New Roman"/>
          <w:b w:val="0"/>
          <w:bCs w:val="0"/>
          <w:color w:val="auto"/>
          <w:kern w:val="2"/>
          <w:sz w:val="24"/>
          <w:szCs w:val="24"/>
          <w:highlight w:val="none"/>
          <w:u w:val="none"/>
          <w:lang w:val="en-US" w:eastAsia="zh-CN" w:bidi="ar-SA"/>
        </w:rPr>
      </w:pPr>
      <w:r>
        <w:rPr>
          <w:rFonts w:hint="eastAsia" w:ascii="宋体" w:hAnsi="宋体" w:cs="Times New Roman"/>
          <w:b w:val="0"/>
          <w:bCs w:val="0"/>
          <w:color w:val="auto"/>
          <w:kern w:val="2"/>
          <w:sz w:val="24"/>
          <w:szCs w:val="24"/>
          <w:highlight w:val="none"/>
          <w:u w:val="none"/>
          <w:lang w:val="en-US" w:eastAsia="zh-CN" w:bidi="ar-SA"/>
        </w:rPr>
        <w:t>四、工期：约100天</w:t>
      </w:r>
    </w:p>
    <w:p>
      <w:pPr>
        <w:spacing w:line="480" w:lineRule="auto"/>
        <w:ind w:left="2399" w:leftChars="228" w:hanging="1920" w:hangingChars="800"/>
        <w:rPr>
          <w:rFonts w:hint="eastAsia" w:ascii="宋体" w:hAnsi="宋体" w:cs="Times New Roman"/>
          <w:b w:val="0"/>
          <w:bCs w:val="0"/>
          <w:color w:val="auto"/>
          <w:kern w:val="2"/>
          <w:sz w:val="24"/>
          <w:szCs w:val="24"/>
          <w:highlight w:val="none"/>
          <w:u w:val="none"/>
          <w:lang w:val="en-US" w:eastAsia="zh-CN" w:bidi="ar-SA"/>
        </w:rPr>
      </w:pPr>
      <w:r>
        <w:rPr>
          <w:rFonts w:hint="eastAsia" w:ascii="宋体" w:hAnsi="宋体" w:eastAsia="宋体" w:cs="Times New Roman"/>
          <w:b w:val="0"/>
          <w:bCs w:val="0"/>
          <w:color w:val="auto"/>
          <w:kern w:val="2"/>
          <w:sz w:val="24"/>
          <w:szCs w:val="24"/>
          <w:highlight w:val="none"/>
          <w:u w:val="none"/>
          <w:lang w:val="en-US" w:eastAsia="zh-CN" w:bidi="ar-SA"/>
        </w:rPr>
        <w:t>五、</w:t>
      </w:r>
      <w:r>
        <w:rPr>
          <w:rFonts w:hint="eastAsia" w:ascii="宋体" w:hAnsi="宋体" w:cs="Times New Roman"/>
          <w:b w:val="0"/>
          <w:bCs w:val="0"/>
          <w:color w:val="auto"/>
          <w:kern w:val="2"/>
          <w:sz w:val="24"/>
          <w:szCs w:val="24"/>
          <w:highlight w:val="none"/>
          <w:u w:val="none"/>
          <w:lang w:val="en-US" w:eastAsia="zh-CN" w:bidi="ar-SA"/>
        </w:rPr>
        <w:t>工程量清单（见附件）</w:t>
      </w:r>
    </w:p>
    <w:p>
      <w:pPr>
        <w:spacing w:line="480" w:lineRule="auto"/>
        <w:ind w:left="2399" w:leftChars="228" w:hanging="1920" w:hangingChars="800"/>
        <w:rPr>
          <w:rFonts w:hint="eastAsia" w:ascii="宋体" w:hAnsi="宋体" w:eastAsia="宋体" w:cs="Times New Roman"/>
          <w:b w:val="0"/>
          <w:bCs w:val="0"/>
          <w:color w:val="auto"/>
          <w:kern w:val="2"/>
          <w:sz w:val="24"/>
          <w:szCs w:val="24"/>
          <w:highlight w:val="none"/>
          <w:u w:val="none"/>
          <w:lang w:val="en-US" w:eastAsia="zh-CN" w:bidi="ar-SA"/>
        </w:rPr>
      </w:pPr>
      <w:r>
        <w:rPr>
          <w:rFonts w:hint="eastAsia" w:ascii="宋体" w:hAnsi="宋体" w:cs="Times New Roman"/>
          <w:b w:val="0"/>
          <w:bCs w:val="0"/>
          <w:color w:val="auto"/>
          <w:kern w:val="2"/>
          <w:sz w:val="24"/>
          <w:szCs w:val="24"/>
          <w:highlight w:val="none"/>
          <w:u w:val="none"/>
          <w:lang w:val="en-US" w:eastAsia="zh-CN" w:bidi="ar-SA"/>
        </w:rPr>
        <w:t>六、图纸（见附件）</w:t>
      </w:r>
    </w:p>
    <w:p>
      <w:pPr>
        <w:spacing w:line="360" w:lineRule="auto"/>
        <w:jc w:val="center"/>
        <w:outlineLvl w:val="0"/>
        <w:rPr>
          <w:rFonts w:hint="eastAsia" w:ascii="宋体" w:hAnsi="宋体" w:cs="宋体"/>
          <w:b/>
          <w:color w:val="auto"/>
          <w:sz w:val="36"/>
          <w:szCs w:val="36"/>
          <w:highlight w:val="none"/>
        </w:rPr>
      </w:pPr>
    </w:p>
    <w:p>
      <w:pPr>
        <w:spacing w:line="360" w:lineRule="auto"/>
        <w:jc w:val="center"/>
        <w:outlineLvl w:val="0"/>
        <w:rPr>
          <w:rFonts w:hint="eastAsia" w:ascii="宋体" w:hAnsi="宋体" w:eastAsia="宋体" w:cs="宋体"/>
          <w:b/>
          <w:color w:val="auto"/>
          <w:sz w:val="36"/>
          <w:szCs w:val="36"/>
          <w:highlight w:val="none"/>
          <w:lang w:eastAsia="zh-CN"/>
        </w:rPr>
      </w:pPr>
    </w:p>
    <w:p>
      <w:pPr>
        <w:spacing w:line="360" w:lineRule="auto"/>
        <w:jc w:val="center"/>
        <w:outlineLvl w:val="0"/>
        <w:rPr>
          <w:rFonts w:hint="eastAsia" w:ascii="宋体" w:hAnsi="宋体" w:cs="宋体"/>
          <w:b/>
          <w:color w:val="auto"/>
          <w:sz w:val="36"/>
          <w:szCs w:val="36"/>
          <w:highlight w:val="none"/>
        </w:rPr>
      </w:pPr>
    </w:p>
    <w:p>
      <w:pPr>
        <w:spacing w:line="360" w:lineRule="auto"/>
        <w:jc w:val="center"/>
        <w:outlineLvl w:val="0"/>
        <w:rPr>
          <w:rFonts w:hint="eastAsia" w:ascii="宋体" w:hAnsi="宋体" w:eastAsia="宋体" w:cs="宋体"/>
          <w:b/>
          <w:color w:val="auto"/>
          <w:sz w:val="36"/>
          <w:szCs w:val="36"/>
          <w:highlight w:val="none"/>
          <w:lang w:eastAsia="zh-CN"/>
        </w:rPr>
      </w:pPr>
    </w:p>
    <w:p>
      <w:pPr>
        <w:spacing w:line="360" w:lineRule="auto"/>
        <w:jc w:val="center"/>
        <w:outlineLvl w:val="0"/>
        <w:rPr>
          <w:rFonts w:hint="eastAsia" w:ascii="宋体" w:hAnsi="宋体" w:eastAsia="宋体" w:cs="宋体"/>
          <w:b/>
          <w:color w:val="auto"/>
          <w:sz w:val="36"/>
          <w:szCs w:val="36"/>
          <w:highlight w:val="none"/>
          <w:lang w:eastAsia="zh-CN"/>
        </w:rPr>
        <w:sectPr>
          <w:headerReference r:id="rId12" w:type="default"/>
          <w:footerReference r:id="rId13" w:type="default"/>
          <w:pgSz w:w="11906" w:h="16839"/>
          <w:pgMar w:top="567" w:right="567" w:bottom="567" w:left="567" w:header="878" w:footer="998" w:gutter="0"/>
          <w:cols w:space="0" w:num="1"/>
          <w:rtlGutter w:val="0"/>
          <w:docGrid w:linePitch="0" w:charSpace="0"/>
        </w:sectPr>
      </w:pPr>
    </w:p>
    <w:p>
      <w:pPr>
        <w:spacing w:line="360" w:lineRule="auto"/>
        <w:jc w:val="center"/>
        <w:outlineLvl w:val="0"/>
        <w:rPr>
          <w:rFonts w:hint="eastAsia" w:ascii="宋体" w:hAnsi="宋体" w:eastAsia="宋体" w:cs="宋体"/>
          <w:b/>
          <w:color w:val="auto"/>
          <w:sz w:val="36"/>
          <w:szCs w:val="36"/>
          <w:highlight w:val="none"/>
          <w:lang w:eastAsia="zh-CN"/>
        </w:rPr>
      </w:pPr>
    </w:p>
    <w:p>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第五章  合同草案条款</w:t>
      </w:r>
      <w:bookmarkEnd w:id="664"/>
    </w:p>
    <w:p>
      <w:pPr>
        <w:spacing w:line="360" w:lineRule="auto"/>
        <w:ind w:firstLine="1446" w:firstLineChars="600"/>
        <w:rPr>
          <w:b/>
          <w:color w:val="auto"/>
          <w:sz w:val="24"/>
          <w:highlight w:val="none"/>
        </w:rPr>
      </w:pPr>
    </w:p>
    <w:p>
      <w:pPr>
        <w:rPr>
          <w:rFonts w:ascii="宋体" w:hAnsi="宋体" w:cs="宋体"/>
          <w:color w:val="auto"/>
          <w:spacing w:val="-5"/>
          <w:sz w:val="23"/>
          <w:szCs w:val="23"/>
          <w:highlight w:val="none"/>
          <w:u w:val="single"/>
        </w:rPr>
      </w:pPr>
      <w:r>
        <w:rPr>
          <w:rFonts w:hint="eastAsia" w:ascii="宋体" w:hAnsi="宋体" w:cs="宋体"/>
          <w:color w:val="auto"/>
          <w:spacing w:val="-7"/>
          <w:sz w:val="23"/>
          <w:szCs w:val="23"/>
          <w:highlight w:val="none"/>
        </w:rPr>
        <w:t xml:space="preserve">编号： </w:t>
      </w:r>
      <w:r>
        <w:rPr>
          <w:rFonts w:hint="eastAsia" w:ascii="宋体" w:hAnsi="宋体" w:cs="宋体"/>
          <w:color w:val="auto"/>
          <w:spacing w:val="-7"/>
          <w:sz w:val="23"/>
          <w:szCs w:val="23"/>
          <w:highlight w:val="none"/>
          <w:u w:val="single"/>
        </w:rPr>
        <w:t xml:space="preserve">              </w:t>
      </w:r>
      <w:r>
        <w:rPr>
          <w:rFonts w:hint="eastAsia" w:ascii="宋体" w:hAnsi="宋体" w:cs="宋体"/>
          <w:color w:val="auto"/>
          <w:spacing w:val="-5"/>
          <w:sz w:val="23"/>
          <w:szCs w:val="23"/>
          <w:highlight w:val="none"/>
          <w:u w:val="single"/>
        </w:rPr>
        <w:t xml:space="preserve"> </w:t>
      </w:r>
    </w:p>
    <w:p>
      <w:pPr>
        <w:jc w:val="center"/>
        <w:rPr>
          <w:rFonts w:ascii="宋体" w:hAnsi="宋体" w:cs="宋体"/>
          <w:color w:val="auto"/>
          <w:spacing w:val="-5"/>
          <w:sz w:val="23"/>
          <w:szCs w:val="23"/>
          <w:highlight w:val="none"/>
          <w:u w:val="single"/>
        </w:rPr>
      </w:pPr>
    </w:p>
    <w:p>
      <w:pPr>
        <w:jc w:val="center"/>
        <w:rPr>
          <w:rFonts w:ascii="宋体" w:hAnsi="宋体" w:cs="宋体"/>
          <w:color w:val="auto"/>
          <w:spacing w:val="-5"/>
          <w:sz w:val="23"/>
          <w:szCs w:val="23"/>
          <w:highlight w:val="none"/>
          <w:u w:val="single"/>
        </w:rPr>
      </w:pPr>
    </w:p>
    <w:p>
      <w:pPr>
        <w:jc w:val="center"/>
        <w:rPr>
          <w:rFonts w:ascii="宋体" w:hAnsi="宋体" w:cs="宋体"/>
          <w:color w:val="auto"/>
          <w:spacing w:val="-5"/>
          <w:sz w:val="23"/>
          <w:szCs w:val="23"/>
          <w:highlight w:val="none"/>
          <w:u w:val="single"/>
        </w:rPr>
      </w:pPr>
    </w:p>
    <w:p>
      <w:pPr>
        <w:jc w:val="center"/>
        <w:rPr>
          <w:rFonts w:ascii="宋体" w:hAnsi="宋体" w:cs="宋体"/>
          <w:color w:val="auto"/>
          <w:spacing w:val="-5"/>
          <w:sz w:val="23"/>
          <w:szCs w:val="23"/>
          <w:highlight w:val="none"/>
          <w:u w:val="single"/>
        </w:rPr>
      </w:pPr>
    </w:p>
    <w:p>
      <w:pPr>
        <w:jc w:val="center"/>
        <w:rPr>
          <w:rFonts w:ascii="宋体" w:hAnsi="宋体" w:cs="宋体"/>
          <w:color w:val="auto"/>
          <w:spacing w:val="-5"/>
          <w:sz w:val="23"/>
          <w:szCs w:val="23"/>
          <w:highlight w:val="none"/>
          <w:u w:val="single"/>
        </w:rPr>
      </w:pPr>
    </w:p>
    <w:p>
      <w:pPr>
        <w:jc w:val="center"/>
        <w:rPr>
          <w:rFonts w:ascii="宋体" w:hAnsi="宋体" w:cs="宋体"/>
          <w:color w:val="auto"/>
          <w:spacing w:val="-5"/>
          <w:sz w:val="23"/>
          <w:szCs w:val="23"/>
          <w:highlight w:val="none"/>
          <w:u w:val="single"/>
        </w:rPr>
      </w:pPr>
    </w:p>
    <w:p>
      <w:pPr>
        <w:jc w:val="center"/>
        <w:rPr>
          <w:rFonts w:ascii="宋体" w:hAnsi="宋体" w:cs="宋体"/>
          <w:color w:val="auto"/>
          <w:spacing w:val="-5"/>
          <w:sz w:val="23"/>
          <w:szCs w:val="23"/>
          <w:highlight w:val="none"/>
          <w:u w:val="single"/>
        </w:rPr>
      </w:pPr>
    </w:p>
    <w:p>
      <w:pPr>
        <w:jc w:val="center"/>
        <w:rPr>
          <w:rFonts w:ascii="宋体" w:hAnsi="宋体" w:cs="宋体"/>
          <w:b/>
          <w:bCs/>
          <w:color w:val="auto"/>
          <w:sz w:val="48"/>
          <w:szCs w:val="48"/>
          <w:highlight w:val="none"/>
          <w:lang w:bidi="ar"/>
        </w:rPr>
      </w:pPr>
      <w:r>
        <w:rPr>
          <w:rFonts w:hint="eastAsia" w:cs="Times New Roman" w:asciiTheme="minorEastAsia" w:hAnsiTheme="minorEastAsia" w:eastAsiaTheme="minorEastAsia"/>
          <w:b/>
          <w:bCs/>
          <w:i w:val="0"/>
          <w:iCs w:val="0"/>
          <w:caps w:val="0"/>
          <w:color w:val="auto"/>
          <w:spacing w:val="0"/>
          <w:sz w:val="48"/>
          <w:szCs w:val="48"/>
          <w:highlight w:val="none"/>
          <w:shd w:val="clear" w:fill="auto"/>
        </w:rPr>
        <w:t>政府扩建楼B区局部改造项目</w:t>
      </w:r>
      <w:r>
        <w:rPr>
          <w:rFonts w:hint="eastAsia" w:asciiTheme="minorEastAsia" w:hAnsiTheme="minorEastAsia" w:eastAsiaTheme="minorEastAsia"/>
          <w:b/>
          <w:bCs/>
          <w:color w:val="auto"/>
          <w:sz w:val="48"/>
          <w:szCs w:val="48"/>
          <w:highlight w:val="none"/>
        </w:rPr>
        <w:t>工程</w:t>
      </w:r>
    </w:p>
    <w:p>
      <w:pPr>
        <w:rPr>
          <w:rFonts w:ascii="宋体" w:hAnsi="宋体" w:cs="宋体"/>
          <w:b/>
          <w:bCs/>
          <w:color w:val="auto"/>
          <w:sz w:val="72"/>
          <w:szCs w:val="72"/>
          <w:highlight w:val="none"/>
          <w:lang w:bidi="ar"/>
        </w:rPr>
      </w:pPr>
    </w:p>
    <w:p>
      <w:pPr>
        <w:rPr>
          <w:rFonts w:ascii="宋体" w:hAnsi="宋体" w:cs="宋体"/>
          <w:b/>
          <w:bCs/>
          <w:color w:val="auto"/>
          <w:sz w:val="72"/>
          <w:szCs w:val="72"/>
          <w:highlight w:val="none"/>
          <w:lang w:bidi="ar"/>
        </w:rPr>
      </w:pPr>
    </w:p>
    <w:p>
      <w:pPr>
        <w:rPr>
          <w:rFonts w:ascii="宋体" w:hAnsi="宋体" w:cs="宋体"/>
          <w:b/>
          <w:bCs/>
          <w:color w:val="auto"/>
          <w:sz w:val="72"/>
          <w:szCs w:val="72"/>
          <w:highlight w:val="none"/>
          <w:lang w:bidi="ar"/>
        </w:rPr>
      </w:pPr>
    </w:p>
    <w:p>
      <w:pPr>
        <w:jc w:val="center"/>
        <w:rPr>
          <w:rFonts w:ascii="宋体" w:hAnsi="宋体" w:cs="宋体"/>
          <w:color w:val="auto"/>
          <w:highlight w:val="none"/>
        </w:rPr>
      </w:pPr>
      <w:r>
        <w:rPr>
          <w:rFonts w:hint="eastAsia" w:ascii="宋体" w:hAnsi="宋体" w:cs="宋体"/>
          <w:b/>
          <w:bCs/>
          <w:color w:val="auto"/>
          <w:sz w:val="72"/>
          <w:szCs w:val="72"/>
          <w:highlight w:val="none"/>
          <w:lang w:bidi="ar"/>
        </w:rPr>
        <w:t>施工合同</w:t>
      </w:r>
    </w:p>
    <w:p>
      <w:pPr>
        <w:rPr>
          <w:rFonts w:ascii="宋体" w:hAnsi="宋体" w:cs="宋体"/>
          <w:color w:val="auto"/>
          <w:sz w:val="28"/>
          <w:szCs w:val="28"/>
          <w:highlight w:val="none"/>
          <w:lang w:bidi="ar"/>
        </w:rPr>
      </w:pPr>
    </w:p>
    <w:p>
      <w:pPr>
        <w:spacing w:line="360" w:lineRule="auto"/>
        <w:textAlignment w:val="baseline"/>
        <w:rPr>
          <w:color w:val="auto"/>
          <w:sz w:val="20"/>
          <w:highlight w:val="none"/>
        </w:rPr>
      </w:pPr>
    </w:p>
    <w:p>
      <w:pPr>
        <w:spacing w:line="360" w:lineRule="auto"/>
        <w:ind w:firstLine="2409" w:firstLineChars="1000"/>
        <w:rPr>
          <w:b/>
          <w:color w:val="auto"/>
          <w:sz w:val="36"/>
          <w:highlight w:val="none"/>
        </w:rPr>
      </w:pPr>
      <w:r>
        <w:rPr>
          <w:rFonts w:hint="eastAsia"/>
          <w:b/>
          <w:color w:val="auto"/>
          <w:sz w:val="24"/>
          <w:highlight w:val="none"/>
        </w:rPr>
        <w:t>（参考合同，中标后双方可进一步补充细化）</w:t>
      </w:r>
    </w:p>
    <w:p>
      <w:pPr>
        <w:rPr>
          <w:rFonts w:ascii="宋体" w:hAnsi="宋体" w:cs="宋体"/>
          <w:color w:val="auto"/>
          <w:sz w:val="28"/>
          <w:szCs w:val="28"/>
          <w:highlight w:val="none"/>
          <w:lang w:bidi="ar"/>
        </w:rPr>
      </w:pPr>
    </w:p>
    <w:p>
      <w:pPr>
        <w:rPr>
          <w:rFonts w:ascii="宋体" w:hAnsi="宋体" w:cs="宋体"/>
          <w:color w:val="auto"/>
          <w:sz w:val="28"/>
          <w:szCs w:val="28"/>
          <w:highlight w:val="none"/>
          <w:lang w:bidi="ar"/>
        </w:rPr>
      </w:pPr>
    </w:p>
    <w:p>
      <w:pPr>
        <w:rPr>
          <w:rFonts w:ascii="宋体" w:hAnsi="宋体" w:cs="宋体"/>
          <w:color w:val="auto"/>
          <w:sz w:val="28"/>
          <w:szCs w:val="28"/>
          <w:highlight w:val="none"/>
          <w:lang w:bidi="ar"/>
        </w:rPr>
      </w:pPr>
    </w:p>
    <w:p>
      <w:pPr>
        <w:rPr>
          <w:rFonts w:ascii="宋体" w:hAnsi="宋体" w:cs="宋体"/>
          <w:color w:val="auto"/>
          <w:sz w:val="28"/>
          <w:szCs w:val="28"/>
          <w:highlight w:val="none"/>
          <w:lang w:bidi="ar"/>
        </w:rPr>
      </w:pPr>
    </w:p>
    <w:p>
      <w:pPr>
        <w:spacing w:before="75" w:line="360" w:lineRule="auto"/>
        <w:ind w:right="62"/>
        <w:jc w:val="center"/>
        <w:rPr>
          <w:rFonts w:ascii="宋体" w:hAnsi="宋体" w:cs="宋体"/>
          <w:color w:val="auto"/>
          <w:sz w:val="23"/>
          <w:szCs w:val="23"/>
          <w:highlight w:val="none"/>
        </w:rPr>
      </w:pPr>
      <w:r>
        <w:rPr>
          <w:rFonts w:hint="eastAsia" w:ascii="宋体" w:hAnsi="宋体" w:cs="宋体"/>
          <w:color w:val="auto"/>
          <w:spacing w:val="-7"/>
          <w:sz w:val="23"/>
          <w:szCs w:val="23"/>
          <w:highlight w:val="none"/>
        </w:rPr>
        <w:t xml:space="preserve">                                               </w:t>
      </w:r>
      <w:r>
        <w:rPr>
          <w:rFonts w:hint="eastAsia" w:ascii="宋体" w:hAnsi="宋体" w:cs="宋体"/>
          <w:color w:val="auto"/>
          <w:sz w:val="23"/>
          <w:szCs w:val="23"/>
          <w:highlight w:val="none"/>
        </w:rPr>
        <w:t xml:space="preserve"> </w:t>
      </w:r>
    </w:p>
    <w:p>
      <w:pPr>
        <w:spacing w:line="360" w:lineRule="auto"/>
        <w:ind w:firstLine="476" w:firstLineChars="200"/>
        <w:rPr>
          <w:rFonts w:ascii="宋体" w:hAnsi="宋体" w:cs="宋体"/>
          <w:color w:val="auto"/>
          <w:sz w:val="23"/>
          <w:szCs w:val="23"/>
          <w:highlight w:val="none"/>
        </w:rPr>
      </w:pPr>
      <w:r>
        <w:rPr>
          <w:rFonts w:hint="eastAsia" w:ascii="宋体" w:hAnsi="宋体" w:cs="宋体"/>
          <w:color w:val="auto"/>
          <w:spacing w:val="4"/>
          <w:sz w:val="23"/>
          <w:szCs w:val="23"/>
          <w:highlight w:val="none"/>
        </w:rPr>
        <w:t>发包人</w:t>
      </w:r>
      <w:r>
        <w:rPr>
          <w:rFonts w:hint="eastAsia" w:ascii="宋体" w:hAnsi="宋体" w:cs="宋体"/>
          <w:color w:val="auto"/>
          <w:spacing w:val="2"/>
          <w:sz w:val="23"/>
          <w:szCs w:val="23"/>
          <w:highlight w:val="none"/>
        </w:rPr>
        <w:t xml:space="preserve"> (全称) ：</w:t>
      </w:r>
      <w:r>
        <w:rPr>
          <w:rFonts w:hint="eastAsia" w:ascii="宋体" w:hAnsi="宋体" w:cs="宋体"/>
          <w:color w:val="auto"/>
          <w:spacing w:val="2"/>
          <w:sz w:val="23"/>
          <w:szCs w:val="23"/>
          <w:highlight w:val="none"/>
          <w:u w:val="single"/>
        </w:rPr>
        <w:t xml:space="preserve"> </w:t>
      </w:r>
      <w:r>
        <w:rPr>
          <w:rFonts w:hint="eastAsia" w:ascii="宋体" w:hAnsi="宋体" w:cs="宋体"/>
          <w:color w:val="auto"/>
          <w:spacing w:val="1"/>
          <w:sz w:val="23"/>
          <w:szCs w:val="23"/>
          <w:highlight w:val="none"/>
          <w:u w:val="single"/>
        </w:rPr>
        <w:t xml:space="preserve"> 北京市大兴区采育镇人民政府 </w:t>
      </w:r>
      <w:r>
        <w:rPr>
          <w:rFonts w:hint="eastAsia" w:ascii="宋体" w:hAnsi="宋体" w:cs="宋体"/>
          <w:color w:val="auto"/>
          <w:spacing w:val="2"/>
          <w:sz w:val="23"/>
          <w:szCs w:val="23"/>
          <w:highlight w:val="none"/>
          <w:u w:val="single"/>
        </w:rPr>
        <w:t xml:space="preserve">                       </w:t>
      </w:r>
      <w:r>
        <w:rPr>
          <w:rFonts w:hint="eastAsia" w:ascii="宋体" w:hAnsi="宋体" w:cs="宋体"/>
          <w:color w:val="auto"/>
          <w:sz w:val="23"/>
          <w:szCs w:val="23"/>
          <w:highlight w:val="none"/>
        </w:rPr>
        <w:t xml:space="preserve"> </w:t>
      </w:r>
    </w:p>
    <w:p>
      <w:pPr>
        <w:spacing w:before="75" w:line="360" w:lineRule="auto"/>
        <w:ind w:right="62" w:firstLine="476" w:firstLineChars="200"/>
        <w:rPr>
          <w:rFonts w:ascii="宋体" w:hAnsi="宋体" w:cs="宋体"/>
          <w:color w:val="auto"/>
          <w:sz w:val="23"/>
          <w:szCs w:val="23"/>
          <w:highlight w:val="none"/>
        </w:rPr>
      </w:pPr>
      <w:r>
        <w:rPr>
          <w:rFonts w:hint="eastAsia" w:ascii="宋体" w:hAnsi="宋体" w:cs="宋体"/>
          <w:color w:val="auto"/>
          <w:spacing w:val="4"/>
          <w:sz w:val="23"/>
          <w:szCs w:val="23"/>
          <w:highlight w:val="none"/>
        </w:rPr>
        <w:t>承包人</w:t>
      </w:r>
      <w:r>
        <w:rPr>
          <w:rFonts w:hint="eastAsia" w:ascii="宋体" w:hAnsi="宋体" w:cs="宋体"/>
          <w:color w:val="auto"/>
          <w:spacing w:val="2"/>
          <w:sz w:val="23"/>
          <w:szCs w:val="23"/>
          <w:highlight w:val="none"/>
        </w:rPr>
        <w:t xml:space="preserve"> (全称) ：</w:t>
      </w:r>
      <w:r>
        <w:rPr>
          <w:rFonts w:hint="eastAsia" w:ascii="宋体" w:hAnsi="宋体" w:cs="宋体"/>
          <w:color w:val="auto"/>
          <w:spacing w:val="2"/>
          <w:sz w:val="23"/>
          <w:szCs w:val="23"/>
          <w:highlight w:val="none"/>
          <w:u w:val="single"/>
        </w:rPr>
        <w:t xml:space="preserve"> </w:t>
      </w:r>
      <w:r>
        <w:rPr>
          <w:rFonts w:hint="eastAsia" w:ascii="宋体" w:hAnsi="宋体" w:cs="宋体"/>
          <w:color w:val="auto"/>
          <w:spacing w:val="1"/>
          <w:sz w:val="23"/>
          <w:szCs w:val="23"/>
          <w:highlight w:val="none"/>
          <w:u w:val="single"/>
        </w:rPr>
        <w:t xml:space="preserve"> </w:t>
      </w:r>
      <w:r>
        <w:rPr>
          <w:rFonts w:hint="eastAsia" w:ascii="宋体" w:hAnsi="宋体" w:cs="宋体"/>
          <w:color w:val="auto"/>
          <w:spacing w:val="1"/>
          <w:sz w:val="23"/>
          <w:szCs w:val="23"/>
          <w:highlight w:val="none"/>
          <w:u w:val="single"/>
          <w:lang w:val="en-US" w:eastAsia="zh-CN"/>
        </w:rPr>
        <w:t xml:space="preserve">                         </w:t>
      </w:r>
      <w:r>
        <w:rPr>
          <w:rFonts w:hint="eastAsia" w:ascii="宋体" w:hAnsi="宋体" w:cs="宋体"/>
          <w:color w:val="auto"/>
          <w:spacing w:val="1"/>
          <w:sz w:val="23"/>
          <w:szCs w:val="23"/>
          <w:highlight w:val="none"/>
          <w:u w:val="single"/>
        </w:rPr>
        <w:t xml:space="preserve"> </w:t>
      </w:r>
      <w:r>
        <w:rPr>
          <w:rFonts w:hint="eastAsia" w:ascii="宋体" w:hAnsi="宋体" w:cs="宋体"/>
          <w:color w:val="auto"/>
          <w:spacing w:val="1"/>
          <w:sz w:val="23"/>
          <w:szCs w:val="23"/>
          <w:highlight w:val="none"/>
          <w:u w:val="single"/>
          <w:lang w:val="en-US" w:eastAsia="zh-CN"/>
        </w:rPr>
        <w:t xml:space="preserve"> </w:t>
      </w:r>
      <w:r>
        <w:rPr>
          <w:rFonts w:hint="eastAsia" w:ascii="宋体" w:hAnsi="宋体" w:cs="宋体"/>
          <w:color w:val="auto"/>
          <w:spacing w:val="1"/>
          <w:sz w:val="23"/>
          <w:szCs w:val="23"/>
          <w:highlight w:val="none"/>
          <w:u w:val="single"/>
        </w:rPr>
        <w:t xml:space="preserve">    </w:t>
      </w:r>
      <w:r>
        <w:rPr>
          <w:rFonts w:hint="eastAsia" w:ascii="宋体" w:hAnsi="宋体" w:cs="宋体"/>
          <w:color w:val="auto"/>
          <w:spacing w:val="2"/>
          <w:sz w:val="23"/>
          <w:szCs w:val="23"/>
          <w:highlight w:val="none"/>
          <w:u w:val="single"/>
        </w:rPr>
        <w:t xml:space="preserve">                     </w:t>
      </w:r>
      <w:r>
        <w:rPr>
          <w:rFonts w:hint="eastAsia" w:ascii="宋体" w:hAnsi="宋体" w:cs="宋体"/>
          <w:color w:val="auto"/>
          <w:sz w:val="23"/>
          <w:szCs w:val="23"/>
          <w:highlight w:val="none"/>
        </w:rPr>
        <w:t xml:space="preserve"> </w:t>
      </w:r>
    </w:p>
    <w:p>
      <w:pPr>
        <w:spacing w:line="360" w:lineRule="auto"/>
        <w:ind w:firstLine="468" w:firstLineChars="200"/>
        <w:rPr>
          <w:rFonts w:ascii="宋体" w:hAnsi="宋体" w:cs="宋体"/>
          <w:color w:val="auto"/>
          <w:spacing w:val="1"/>
          <w:sz w:val="23"/>
          <w:szCs w:val="23"/>
          <w:highlight w:val="none"/>
          <w:u w:val="single"/>
        </w:rPr>
      </w:pPr>
      <w:r>
        <w:rPr>
          <w:rFonts w:hint="eastAsia" w:ascii="宋体" w:hAnsi="宋体" w:cs="宋体"/>
          <w:color w:val="auto"/>
          <w:spacing w:val="2"/>
          <w:sz w:val="23"/>
          <w:szCs w:val="23"/>
          <w:highlight w:val="none"/>
        </w:rPr>
        <w:t>工 程 名 称   ：</w:t>
      </w:r>
      <w:r>
        <w:rPr>
          <w:rFonts w:hint="eastAsia" w:ascii="宋体" w:hAnsi="宋体" w:cs="宋体"/>
          <w:color w:val="auto"/>
          <w:spacing w:val="2"/>
          <w:sz w:val="23"/>
          <w:szCs w:val="23"/>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宋体" w:hAnsi="宋体" w:cs="宋体"/>
          <w:color w:val="auto"/>
          <w:spacing w:val="1"/>
          <w:sz w:val="23"/>
          <w:szCs w:val="23"/>
          <w:highlight w:val="none"/>
          <w:u w:val="single"/>
        </w:rPr>
        <w:t xml:space="preserve">                       </w:t>
      </w:r>
    </w:p>
    <w:p>
      <w:pPr>
        <w:ind w:firstLine="468" w:firstLineChars="200"/>
        <w:rPr>
          <w:rFonts w:asciiTheme="minorEastAsia" w:hAnsiTheme="minorEastAsia" w:eastAsiaTheme="minorEastAsia"/>
          <w:color w:val="auto"/>
          <w:szCs w:val="32"/>
          <w:highlight w:val="none"/>
        </w:rPr>
      </w:pPr>
      <w:r>
        <w:rPr>
          <w:rFonts w:hint="eastAsia" w:ascii="宋体" w:hAnsi="宋体" w:cs="宋体"/>
          <w:color w:val="auto"/>
          <w:spacing w:val="2"/>
          <w:sz w:val="23"/>
          <w:szCs w:val="23"/>
          <w:highlight w:val="none"/>
        </w:rPr>
        <w:t>工 程 地 点   ：</w:t>
      </w:r>
      <w:r>
        <w:rPr>
          <w:rFonts w:hint="eastAsia" w:ascii="宋体" w:hAnsi="宋体" w:cs="宋体"/>
          <w:color w:val="auto"/>
          <w:spacing w:val="2"/>
          <w:sz w:val="23"/>
          <w:szCs w:val="23"/>
          <w:highlight w:val="none"/>
          <w:u w:val="single"/>
        </w:rPr>
        <w:t xml:space="preserve"> </w:t>
      </w:r>
      <w:r>
        <w:rPr>
          <w:rFonts w:hint="eastAsia" w:ascii="宋体" w:hAnsi="宋体" w:cs="宋体"/>
          <w:color w:val="auto"/>
          <w:spacing w:val="2"/>
          <w:sz w:val="23"/>
          <w:szCs w:val="23"/>
          <w:highlight w:val="none"/>
          <w:u w:val="single"/>
          <w:lang w:val="en-US" w:eastAsia="zh-CN"/>
        </w:rPr>
        <w:t xml:space="preserve">            </w:t>
      </w:r>
      <w:r>
        <w:rPr>
          <w:rFonts w:hint="eastAsia" w:ascii="宋体" w:hAnsi="宋体" w:cs="宋体"/>
          <w:color w:val="auto"/>
          <w:spacing w:val="2"/>
          <w:sz w:val="23"/>
          <w:szCs w:val="23"/>
          <w:highlight w:val="none"/>
          <w:u w:val="single"/>
        </w:rPr>
        <w:t xml:space="preserve">                                 </w:t>
      </w:r>
      <w:r>
        <w:rPr>
          <w:rFonts w:hint="eastAsia" w:ascii="宋体" w:hAnsi="宋体" w:cs="宋体"/>
          <w:color w:val="auto"/>
          <w:spacing w:val="1"/>
          <w:sz w:val="23"/>
          <w:szCs w:val="23"/>
          <w:highlight w:val="none"/>
          <w:u w:val="single"/>
        </w:rPr>
        <w:t xml:space="preserve"> </w:t>
      </w:r>
      <w:r>
        <w:rPr>
          <w:rFonts w:hint="eastAsia" w:ascii="宋体" w:hAnsi="宋体" w:cs="宋体"/>
          <w:color w:val="auto"/>
          <w:sz w:val="23"/>
          <w:szCs w:val="23"/>
          <w:highlight w:val="none"/>
          <w:u w:val="single"/>
        </w:rPr>
        <w:t xml:space="preserve">    </w:t>
      </w:r>
    </w:p>
    <w:p>
      <w:pPr>
        <w:pStyle w:val="2"/>
        <w:rPr>
          <w:rFonts w:asciiTheme="minorEastAsia" w:hAnsiTheme="minorEastAsia" w:eastAsiaTheme="minorEastAsia"/>
          <w:b w:val="0"/>
          <w:color w:val="auto"/>
          <w:szCs w:val="32"/>
          <w:highlight w:val="none"/>
        </w:rPr>
      </w:pPr>
      <w:r>
        <w:rPr>
          <w:rFonts w:hint="eastAsia" w:ascii="宋体" w:hAnsi="宋体" w:cs="宋体"/>
          <w:b w:val="0"/>
          <w:color w:val="auto"/>
          <w:szCs w:val="32"/>
          <w:highlight w:val="none"/>
        </w:rPr>
        <w:t>第一部分</w:t>
      </w:r>
      <w:r>
        <w:rPr>
          <w:rFonts w:asciiTheme="minorEastAsia" w:hAnsiTheme="minorEastAsia" w:eastAsiaTheme="minorEastAsia"/>
          <w:b w:val="0"/>
          <w:color w:val="auto"/>
          <w:szCs w:val="32"/>
          <w:highlight w:val="none"/>
        </w:rPr>
        <w:t xml:space="preserve">  </w:t>
      </w:r>
      <w:r>
        <w:rPr>
          <w:rFonts w:hint="eastAsia" w:asciiTheme="minorEastAsia" w:hAnsiTheme="minorEastAsia" w:eastAsiaTheme="minorEastAsia"/>
          <w:b w:val="0"/>
          <w:color w:val="auto"/>
          <w:szCs w:val="32"/>
          <w:highlight w:val="none"/>
        </w:rPr>
        <w:t>合同条款专用条款</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bookmarkStart w:id="665" w:name="_Toc489280259"/>
      <w:bookmarkStart w:id="666" w:name="_Toc486580453"/>
      <w:bookmarkStart w:id="667" w:name="_Toc497214121"/>
      <w:bookmarkStart w:id="668" w:name="_Toc485323227"/>
      <w:bookmarkStart w:id="669" w:name="_Toc497584112"/>
      <w:bookmarkStart w:id="670" w:name="_Toc4999989"/>
      <w:r>
        <w:rPr>
          <w:rFonts w:cs="宋体" w:asciiTheme="minorEastAsia" w:hAnsiTheme="minorEastAsia" w:eastAsiaTheme="minorEastAsia"/>
          <w:color w:val="auto"/>
          <w:sz w:val="28"/>
          <w:szCs w:val="20"/>
          <w:highlight w:val="none"/>
        </w:rPr>
        <w:t>1.</w:t>
      </w:r>
      <w:r>
        <w:rPr>
          <w:rFonts w:hint="eastAsia" w:cs="宋体" w:asciiTheme="minorEastAsia" w:hAnsiTheme="minorEastAsia" w:eastAsiaTheme="minorEastAsia"/>
          <w:color w:val="auto"/>
          <w:sz w:val="28"/>
          <w:szCs w:val="20"/>
          <w:highlight w:val="none"/>
        </w:rPr>
        <w:t>一般约定</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1.1  </w:t>
      </w:r>
      <w:r>
        <w:rPr>
          <w:rFonts w:hint="eastAsia" w:asciiTheme="minorEastAsia" w:hAnsiTheme="minorEastAsia" w:eastAsiaTheme="minorEastAsia"/>
          <w:color w:val="auto"/>
          <w:sz w:val="24"/>
          <w:szCs w:val="20"/>
          <w:highlight w:val="none"/>
        </w:rPr>
        <w:t>词语定义</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1.1.2  </w:t>
      </w:r>
      <w:r>
        <w:rPr>
          <w:rFonts w:hint="eastAsia" w:asciiTheme="minorEastAsia" w:hAnsiTheme="minorEastAsia" w:eastAsiaTheme="minorEastAsia"/>
          <w:color w:val="auto"/>
          <w:highlight w:val="none"/>
        </w:rPr>
        <w:t>合同当事人和人员</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1.1.2.2  </w:t>
      </w:r>
      <w:r>
        <w:rPr>
          <w:rFonts w:hint="eastAsia" w:asciiTheme="minorEastAsia" w:hAnsiTheme="minorEastAsia" w:eastAsiaTheme="minorEastAsia"/>
          <w:color w:val="auto"/>
          <w:highlight w:val="none"/>
        </w:rPr>
        <w:t>发包人：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北京市大兴区采育镇人民政府</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1.1.2.3  </w:t>
      </w:r>
      <w:r>
        <w:rPr>
          <w:rFonts w:hint="eastAsia" w:asciiTheme="minorEastAsia" w:hAnsiTheme="minorEastAsia" w:eastAsiaTheme="minorEastAsia"/>
          <w:color w:val="auto"/>
          <w:highlight w:val="none"/>
        </w:rPr>
        <w:t>承包人：</w:t>
      </w:r>
      <w:r>
        <w:rPr>
          <w:rFonts w:asciiTheme="minorEastAsia" w:hAnsiTheme="minorEastAsia" w:eastAsiaTheme="minorEastAsia"/>
          <w:color w:val="auto"/>
          <w:highlight w:val="none"/>
          <w:u w:val="single"/>
        </w:rPr>
        <w:t xml:space="preserve"> </w:t>
      </w:r>
      <w:bookmarkStart w:id="671" w:name="_Toc19897"/>
      <w:bookmarkStart w:id="672" w:name="_Toc14805"/>
      <w:r>
        <w:rPr>
          <w:rFonts w:hint="eastAsia" w:asciiTheme="minorEastAsia" w:hAnsiTheme="minorEastAsia" w:eastAsiaTheme="minorEastAsia"/>
          <w:color w:val="auto"/>
          <w:highlight w:val="none"/>
          <w:u w:val="single"/>
        </w:rPr>
        <w:t xml:space="preserve"> </w:t>
      </w:r>
      <w:bookmarkEnd w:id="671"/>
      <w:bookmarkEnd w:id="672"/>
      <w:r>
        <w:rPr>
          <w:rFonts w:hint="eastAsia" w:ascii="宋体" w:hAnsi="宋体"/>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ind w:firstLine="630" w:firstLineChars="300"/>
        <w:rPr>
          <w:rFonts w:hint="default" w:asciiTheme="minorEastAsia" w:hAnsiTheme="minorEastAsia" w:eastAsiaTheme="minorEastAsia"/>
          <w:color w:val="auto"/>
          <w:highlight w:val="none"/>
          <w:u w:val="single"/>
          <w:lang w:val="en-US" w:eastAsia="zh-CN"/>
        </w:rPr>
      </w:pPr>
      <w:r>
        <w:rPr>
          <w:rFonts w:asciiTheme="minorEastAsia" w:hAnsiTheme="minorEastAsia" w:eastAsiaTheme="minorEastAsia"/>
          <w:color w:val="auto"/>
          <w:highlight w:val="none"/>
        </w:rPr>
        <w:t xml:space="preserve">1.1.2.6  </w:t>
      </w:r>
      <w:r>
        <w:rPr>
          <w:rFonts w:hint="eastAsia" w:asciiTheme="minorEastAsia" w:hAnsiTheme="minorEastAsia" w:eastAsiaTheme="minorEastAsia"/>
          <w:color w:val="auto"/>
          <w:highlight w:val="none"/>
        </w:rPr>
        <w:t>监理人：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1.1.2.8  </w:t>
      </w:r>
      <w:r>
        <w:rPr>
          <w:rFonts w:hint="eastAsia" w:asciiTheme="minorEastAsia" w:hAnsiTheme="minorEastAsia" w:eastAsiaTheme="minorEastAsia"/>
          <w:color w:val="auto"/>
          <w:highlight w:val="none"/>
        </w:rPr>
        <w:t>发包人代表：</w:t>
      </w:r>
    </w:p>
    <w:p>
      <w:pPr>
        <w:spacing w:line="360" w:lineRule="auto"/>
        <w:ind w:firstLine="1575" w:firstLineChars="7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姓</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名：</w:t>
      </w:r>
      <w:r>
        <w:rPr>
          <w:rFonts w:asciiTheme="minorEastAsia" w:hAnsiTheme="minorEastAsia" w:eastAsiaTheme="minorEastAsia"/>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1575" w:firstLineChars="7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联系电话：</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1575" w:firstLineChars="7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电子信箱：</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宋体" w:hAnsi="宋体" w:cs="宋体"/>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1575" w:firstLineChars="750"/>
        <w:rPr>
          <w:rFonts w:hint="default" w:eastAsia="宋体" w:asciiTheme="minorEastAsia" w:hAnsiTheme="minorEastAsia"/>
          <w:color w:val="auto"/>
          <w:highlight w:val="none"/>
          <w:lang w:val="en-US" w:eastAsia="zh-CN"/>
        </w:rPr>
      </w:pPr>
      <w:r>
        <w:rPr>
          <w:rFonts w:hint="eastAsia" w:asciiTheme="minorEastAsia" w:hAnsiTheme="minorEastAsia" w:eastAsiaTheme="minorEastAsia"/>
          <w:color w:val="auto"/>
          <w:highlight w:val="none"/>
        </w:rPr>
        <w:t>通信地址：</w:t>
      </w:r>
      <w:r>
        <w:rPr>
          <w:rFonts w:asciiTheme="minorEastAsia" w:hAnsiTheme="minorEastAsia" w:eastAsiaTheme="minorEastAsia"/>
          <w:color w:val="auto"/>
          <w:highlight w:val="none"/>
          <w:u w:val="single"/>
        </w:rPr>
        <w:t xml:space="preserve">     </w:t>
      </w:r>
      <w:r>
        <w:rPr>
          <w:rFonts w:hint="eastAsia" w:ascii="宋体" w:hAnsi="宋体" w:cs="宋体"/>
          <w:color w:val="auto"/>
          <w:highlight w:val="none"/>
          <w:u w:val="single"/>
          <w:lang w:val="en-US" w:eastAsia="zh-CN"/>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1.1.3  </w:t>
      </w:r>
      <w:r>
        <w:rPr>
          <w:rFonts w:hint="eastAsia" w:asciiTheme="minorEastAsia" w:hAnsiTheme="minorEastAsia" w:eastAsiaTheme="minorEastAsia"/>
          <w:color w:val="auto"/>
          <w:highlight w:val="none"/>
        </w:rPr>
        <w:t>工程和设备</w:t>
      </w:r>
    </w:p>
    <w:p>
      <w:pPr>
        <w:spacing w:line="360" w:lineRule="auto"/>
        <w:ind w:firstLine="630" w:firstLineChars="3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1.1.3.2  </w:t>
      </w:r>
      <w:r>
        <w:rPr>
          <w:rFonts w:hint="eastAsia" w:asciiTheme="minorEastAsia" w:hAnsiTheme="minorEastAsia" w:eastAsiaTheme="minorEastAsia"/>
          <w:color w:val="auto"/>
          <w:highlight w:val="none"/>
        </w:rPr>
        <w:t>永久工程：</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本招标工程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1.1.3.3  </w:t>
      </w:r>
      <w:r>
        <w:rPr>
          <w:rFonts w:hint="eastAsia" w:asciiTheme="minorEastAsia" w:hAnsiTheme="minorEastAsia" w:eastAsiaTheme="minorEastAsia"/>
          <w:color w:val="auto"/>
          <w:highlight w:val="none"/>
        </w:rPr>
        <w:t>临时工程：</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临时用水、临时用电    </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1.1.3.10  </w:t>
      </w:r>
      <w:r>
        <w:rPr>
          <w:rFonts w:hint="eastAsia" w:asciiTheme="minorEastAsia" w:hAnsiTheme="minorEastAsia" w:eastAsiaTheme="minorEastAsia"/>
          <w:color w:val="auto"/>
          <w:highlight w:val="none"/>
        </w:rPr>
        <w:t>永久占地：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本招标工程占地</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1.1.3.11  </w:t>
      </w:r>
      <w:r>
        <w:rPr>
          <w:rFonts w:hint="eastAsia" w:asciiTheme="minorEastAsia" w:hAnsiTheme="minorEastAsia" w:eastAsiaTheme="minorEastAsia"/>
          <w:color w:val="auto"/>
          <w:highlight w:val="none"/>
        </w:rPr>
        <w:t>临时占地：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1.1.4  </w:t>
      </w:r>
      <w:r>
        <w:rPr>
          <w:rFonts w:hint="eastAsia" w:asciiTheme="minorEastAsia" w:hAnsiTheme="minorEastAsia" w:eastAsiaTheme="minorEastAsia"/>
          <w:color w:val="auto"/>
          <w:highlight w:val="none"/>
        </w:rPr>
        <w:t>日期</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1.1.4.5  </w:t>
      </w:r>
      <w:r>
        <w:rPr>
          <w:rFonts w:hint="eastAsia" w:asciiTheme="minorEastAsia" w:hAnsiTheme="minorEastAsia" w:eastAsiaTheme="minorEastAsia"/>
          <w:color w:val="auto"/>
          <w:highlight w:val="none"/>
        </w:rPr>
        <w:t>缺陷责任期期限：</w:t>
      </w:r>
      <w:r>
        <w:rPr>
          <w:rFonts w:asciiTheme="minorEastAsia" w:hAnsiTheme="minorEastAsia" w:eastAsiaTheme="minorEastAsia"/>
          <w:color w:val="auto"/>
          <w:highlight w:val="none"/>
          <w:u w:val="single"/>
        </w:rPr>
        <w:t xml:space="preserve">   12</w:t>
      </w:r>
      <w:r>
        <w:rPr>
          <w:rFonts w:hint="eastAsia" w:asciiTheme="minorEastAsia" w:hAnsiTheme="minorEastAsia" w:eastAsiaTheme="minorEastAsia"/>
          <w:color w:val="auto"/>
          <w:highlight w:val="none"/>
          <w:u w:val="single"/>
        </w:rPr>
        <w:t>个</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1.1.8  </w:t>
      </w:r>
      <w:r>
        <w:rPr>
          <w:rFonts w:hint="eastAsia" w:asciiTheme="minorEastAsia" w:hAnsiTheme="minorEastAsia" w:eastAsiaTheme="minorEastAsia"/>
          <w:color w:val="auto"/>
          <w:highlight w:val="none"/>
        </w:rPr>
        <w:t>其他需要补充的内容</w:t>
      </w:r>
    </w:p>
    <w:p>
      <w:pPr>
        <w:spacing w:line="360" w:lineRule="auto"/>
        <w:ind w:left="315" w:leftChars="150" w:firstLine="109" w:firstLineChars="52"/>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1.4  </w:t>
      </w:r>
      <w:r>
        <w:rPr>
          <w:rFonts w:hint="eastAsia" w:asciiTheme="minorEastAsia" w:hAnsiTheme="minorEastAsia" w:eastAsiaTheme="minorEastAsia"/>
          <w:color w:val="auto"/>
          <w:sz w:val="24"/>
          <w:szCs w:val="20"/>
          <w:highlight w:val="none"/>
        </w:rPr>
        <w:t>合同文件的优先顺序</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合同文件的优先解释顺序如下：</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）合同协议书；</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）中标通知书；</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）投标函及投标函附录；</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）合同条款专用部分；</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）合同条款通用部分；</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已标价工程量清单</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技术标准和要求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图纸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spacing w:line="360" w:lineRule="auto"/>
        <w:ind w:firstLine="4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9</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 xml:space="preserve">其他合同文件 </w:t>
      </w:r>
      <w:r>
        <w:rPr>
          <w:rFonts w:asciiTheme="minorEastAsia" w:hAnsiTheme="minorEastAsia" w:eastAsiaTheme="minorEastAsia"/>
          <w:color w:val="auto"/>
          <w:highlight w:val="none"/>
          <w:u w:val="single"/>
        </w:rPr>
        <w:t xml:space="preserve">                        </w:t>
      </w:r>
    </w:p>
    <w:p>
      <w:pPr>
        <w:spacing w:line="360" w:lineRule="auto"/>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（说明：（</w:t>
      </w: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）填空内容分别限于技术标准和要求、图纸、已标价工程量清单三者之一。）</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1.5  </w:t>
      </w:r>
      <w:r>
        <w:rPr>
          <w:rFonts w:hint="eastAsia" w:asciiTheme="minorEastAsia" w:hAnsiTheme="minorEastAsia" w:eastAsiaTheme="minorEastAsia"/>
          <w:color w:val="auto"/>
          <w:sz w:val="24"/>
          <w:szCs w:val="20"/>
          <w:highlight w:val="none"/>
        </w:rPr>
        <w:t>合同协议书</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合同生效的条件：</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甲乙双方法定代表人或授权代表签字并加盖公章之日生效。</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1.6  </w:t>
      </w:r>
      <w:r>
        <w:rPr>
          <w:rFonts w:hint="eastAsia" w:asciiTheme="minorEastAsia" w:hAnsiTheme="minorEastAsia" w:eastAsiaTheme="minorEastAsia"/>
          <w:color w:val="auto"/>
          <w:sz w:val="24"/>
          <w:szCs w:val="20"/>
          <w:highlight w:val="none"/>
        </w:rPr>
        <w:t>图纸和承包人文件</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1.6.1  </w:t>
      </w:r>
      <w:r>
        <w:rPr>
          <w:rFonts w:hint="eastAsia" w:asciiTheme="minorEastAsia" w:hAnsiTheme="minorEastAsia" w:eastAsiaTheme="minorEastAsia"/>
          <w:color w:val="auto"/>
          <w:highlight w:val="none"/>
        </w:rPr>
        <w:t>图纸的提供</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）发包人提供图纸的期限：</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合同生效后7日内</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发包人提供图纸的数量：</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四套</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其他约定：</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1.6.2  </w:t>
      </w:r>
      <w:r>
        <w:rPr>
          <w:rFonts w:hint="eastAsia" w:asciiTheme="minorEastAsia" w:hAnsiTheme="minorEastAsia" w:eastAsiaTheme="minorEastAsia"/>
          <w:color w:val="auto"/>
          <w:highlight w:val="none"/>
        </w:rPr>
        <w:t>承包人提供的文件</w:t>
      </w:r>
    </w:p>
    <w:p>
      <w:pPr>
        <w:spacing w:line="360" w:lineRule="auto"/>
        <w:ind w:firstLine="315" w:firstLineChars="15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）由承包人提供的文件范围：</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根据本项目实际情况调整后的施工组织设计、二次深化图纸及材料设备招标采购计划等。承包人所提交的施工组织设计不能低于承包人在投标施工方案内所说明的所有工程内容和承诺的标准。因承包人提交的施工方案不能通过发包人审查而造成工期延误，承包人自行承担</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承包人提供文件的期限：</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合同生效后10个工作日内</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承包人提供文件的数量：</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一式肆份</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监理人批复承包人提供文件的期限：</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收到承包人提供的文件3日内</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其他约定：</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承包人应当在合同履行期间，每月</w:t>
      </w:r>
      <w:r>
        <w:rPr>
          <w:rFonts w:hint="eastAsia" w:asciiTheme="minorEastAsia" w:hAnsiTheme="minorEastAsia" w:eastAsiaTheme="minorEastAsia"/>
          <w:color w:val="auto"/>
          <w:highlight w:val="none"/>
          <w:u w:val="single"/>
        </w:rPr>
        <w:t>25</w:t>
      </w:r>
      <w:r>
        <w:rPr>
          <w:rFonts w:hint="eastAsia" w:cs="宋体" w:asciiTheme="minorEastAsia" w:hAnsiTheme="minorEastAsia" w:eastAsiaTheme="minorEastAsia"/>
          <w:color w:val="auto"/>
          <w:highlight w:val="none"/>
          <w:u w:val="single"/>
        </w:rPr>
        <w:t>日提供当月工程统计报表及下月计划报表，其相应费用已包含在合同价款中</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  </w:t>
      </w:r>
      <w:r>
        <w:rPr>
          <w:rFonts w:hint="eastAsia" w:asciiTheme="minorEastAsia" w:hAnsiTheme="minorEastAsia" w:eastAsiaTheme="minorEastAsia"/>
          <w:color w:val="auto"/>
          <w:sz w:val="24"/>
          <w:szCs w:val="20"/>
          <w:highlight w:val="none"/>
        </w:rPr>
        <w:t>联</w:t>
      </w:r>
      <w:r>
        <w:rPr>
          <w:rFonts w:asciiTheme="minorEastAsia" w:hAnsiTheme="minorEastAsia" w:eastAsiaTheme="minorEastAsia"/>
          <w:color w:val="auto"/>
          <w:sz w:val="24"/>
          <w:szCs w:val="20"/>
          <w:highlight w:val="none"/>
        </w:rPr>
        <w:t xml:space="preserve"> </w:t>
      </w:r>
      <w:r>
        <w:rPr>
          <w:rFonts w:hint="eastAsia" w:asciiTheme="minorEastAsia" w:hAnsiTheme="minorEastAsia" w:eastAsiaTheme="minorEastAsia"/>
          <w:color w:val="auto"/>
          <w:sz w:val="24"/>
          <w:szCs w:val="20"/>
          <w:highlight w:val="none"/>
        </w:rPr>
        <w:t>络</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1.7.2  </w:t>
      </w:r>
      <w:r>
        <w:rPr>
          <w:rFonts w:hint="eastAsia" w:asciiTheme="minorEastAsia" w:hAnsiTheme="minorEastAsia" w:eastAsiaTheme="minorEastAsia"/>
          <w:color w:val="auto"/>
          <w:highlight w:val="none"/>
        </w:rPr>
        <w:t>联络来往函件的送达和接收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）发包人指定的接收地点：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待定</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567" w:firstLineChars="27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发包人指定的接收人为：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待定</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）监理人指定的接收地点：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待定</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567" w:firstLineChars="27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监理人指定的接收人为：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待定</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）承包人指定的接收地点：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2.</w:t>
      </w:r>
      <w:r>
        <w:rPr>
          <w:rFonts w:hint="eastAsia" w:cs="宋体" w:asciiTheme="minorEastAsia" w:hAnsiTheme="minorEastAsia" w:eastAsiaTheme="minorEastAsia"/>
          <w:color w:val="auto"/>
          <w:sz w:val="28"/>
          <w:szCs w:val="20"/>
          <w:highlight w:val="none"/>
        </w:rPr>
        <w:t>发包人义务</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2.3  </w:t>
      </w:r>
      <w:r>
        <w:rPr>
          <w:rFonts w:hint="eastAsia" w:asciiTheme="minorEastAsia" w:hAnsiTheme="minorEastAsia" w:eastAsiaTheme="minorEastAsia"/>
          <w:color w:val="auto"/>
          <w:sz w:val="24"/>
          <w:szCs w:val="20"/>
          <w:highlight w:val="none"/>
        </w:rPr>
        <w:t>提供施工场地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发包人移交施工场地的期限：发包人应当将具备施工条件的施工场地，在监理人发出开工通知中载明的开工日期</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7</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天前移交给承包人。</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2.8  </w:t>
      </w:r>
      <w:r>
        <w:rPr>
          <w:rFonts w:hint="eastAsia" w:asciiTheme="minorEastAsia" w:hAnsiTheme="minorEastAsia" w:eastAsiaTheme="minorEastAsia"/>
          <w:color w:val="auto"/>
          <w:sz w:val="24"/>
          <w:szCs w:val="20"/>
          <w:highlight w:val="none"/>
        </w:rPr>
        <w:t>向承包人提交支付担保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）发包人向承包人提交支付担保的金额：</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2.13  </w:t>
      </w:r>
      <w:r>
        <w:rPr>
          <w:rFonts w:hint="eastAsia" w:asciiTheme="minorEastAsia" w:hAnsiTheme="minorEastAsia" w:eastAsiaTheme="minorEastAsia"/>
          <w:color w:val="auto"/>
          <w:sz w:val="24"/>
          <w:szCs w:val="20"/>
          <w:highlight w:val="none"/>
        </w:rPr>
        <w:t>其他义务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发包人应当履行的其他义务：</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3.</w:t>
      </w:r>
      <w:r>
        <w:rPr>
          <w:rFonts w:hint="eastAsia" w:cs="宋体" w:asciiTheme="minorEastAsia" w:hAnsiTheme="minorEastAsia" w:eastAsiaTheme="minorEastAsia"/>
          <w:color w:val="auto"/>
          <w:sz w:val="28"/>
          <w:szCs w:val="20"/>
          <w:highlight w:val="none"/>
        </w:rPr>
        <w:t>监理人</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3.1  </w:t>
      </w:r>
      <w:r>
        <w:rPr>
          <w:rFonts w:hint="eastAsia" w:asciiTheme="minorEastAsia" w:hAnsiTheme="minorEastAsia" w:eastAsiaTheme="minorEastAsia"/>
          <w:color w:val="auto"/>
          <w:sz w:val="24"/>
          <w:szCs w:val="20"/>
          <w:highlight w:val="none"/>
        </w:rPr>
        <w:t>监理人的职责和权力</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3.1.1  </w:t>
      </w:r>
      <w:r>
        <w:rPr>
          <w:rFonts w:hint="eastAsia" w:asciiTheme="minorEastAsia" w:hAnsiTheme="minorEastAsia" w:eastAsiaTheme="minorEastAsia"/>
          <w:color w:val="auto"/>
          <w:highlight w:val="none"/>
        </w:rPr>
        <w:t>发包人需批准明确行使的权力：</w:t>
      </w:r>
      <w:r>
        <w:rPr>
          <w:rFonts w:hint="eastAsia" w:cs="宋体" w:asciiTheme="minorEastAsia" w:hAnsiTheme="minorEastAsia" w:eastAsiaTheme="minorEastAsia"/>
          <w:color w:val="auto"/>
          <w:highlight w:val="none"/>
          <w:u w:val="single"/>
        </w:rPr>
        <w:t>（</w:t>
      </w:r>
      <w:r>
        <w:rPr>
          <w:rFonts w:hint="eastAsia" w:asciiTheme="minorEastAsia" w:hAnsiTheme="minorEastAsia" w:eastAsiaTheme="minorEastAsia"/>
          <w:color w:val="auto"/>
          <w:highlight w:val="none"/>
          <w:u w:val="single"/>
        </w:rPr>
        <w:t>1</w:t>
      </w:r>
      <w:r>
        <w:rPr>
          <w:rFonts w:hint="eastAsia" w:cs="宋体" w:asciiTheme="minorEastAsia" w:hAnsiTheme="minorEastAsia" w:eastAsiaTheme="minorEastAsia"/>
          <w:color w:val="auto"/>
          <w:highlight w:val="none"/>
          <w:u w:val="single"/>
        </w:rPr>
        <w:t>）产生的费用增加额。（</w:t>
      </w:r>
      <w:r>
        <w:rPr>
          <w:rFonts w:hint="eastAsia" w:asciiTheme="minorEastAsia" w:hAnsiTheme="minorEastAsia" w:eastAsiaTheme="minorEastAsia"/>
          <w:color w:val="auto"/>
          <w:highlight w:val="none"/>
          <w:u w:val="single"/>
        </w:rPr>
        <w:t>2</w:t>
      </w:r>
      <w:r>
        <w:rPr>
          <w:rFonts w:hint="eastAsia" w:cs="宋体" w:asciiTheme="minorEastAsia" w:hAnsiTheme="minorEastAsia" w:eastAsiaTheme="minorEastAsia"/>
          <w:color w:val="auto"/>
          <w:highlight w:val="none"/>
          <w:u w:val="single"/>
        </w:rPr>
        <w:t>）发布开工通知、暂停施工指示或者复工通知。（</w:t>
      </w:r>
      <w:r>
        <w:rPr>
          <w:rFonts w:hint="eastAsia" w:asciiTheme="minorEastAsia" w:hAnsiTheme="minorEastAsia" w:eastAsiaTheme="minorEastAsia"/>
          <w:color w:val="auto"/>
          <w:highlight w:val="none"/>
          <w:u w:val="single"/>
        </w:rPr>
        <w:t>3</w:t>
      </w:r>
      <w:r>
        <w:rPr>
          <w:rFonts w:hint="eastAsia" w:cs="宋体" w:asciiTheme="minorEastAsia" w:hAnsiTheme="minorEastAsia" w:eastAsiaTheme="minorEastAsia"/>
          <w:color w:val="auto"/>
          <w:highlight w:val="none"/>
          <w:u w:val="single"/>
        </w:rPr>
        <w:t>）工期延长。（</w:t>
      </w:r>
      <w:r>
        <w:rPr>
          <w:rFonts w:hint="eastAsia" w:asciiTheme="minorEastAsia" w:hAnsiTheme="minorEastAsia" w:eastAsiaTheme="minorEastAsia"/>
          <w:color w:val="auto"/>
          <w:highlight w:val="none"/>
          <w:u w:val="single"/>
        </w:rPr>
        <w:t>4</w:t>
      </w:r>
      <w:r>
        <w:rPr>
          <w:rFonts w:hint="eastAsia" w:cs="宋体" w:asciiTheme="minorEastAsia" w:hAnsiTheme="minorEastAsia" w:eastAsiaTheme="minorEastAsia"/>
          <w:color w:val="auto"/>
          <w:highlight w:val="none"/>
          <w:u w:val="single"/>
        </w:rPr>
        <w:t>）审查批准技术规范或设计的变更。（</w:t>
      </w:r>
      <w:r>
        <w:rPr>
          <w:rFonts w:hint="eastAsia" w:asciiTheme="minorEastAsia" w:hAnsiTheme="minorEastAsia" w:eastAsiaTheme="minorEastAsia"/>
          <w:color w:val="auto"/>
          <w:highlight w:val="none"/>
          <w:u w:val="single"/>
        </w:rPr>
        <w:t>5</w:t>
      </w:r>
      <w:r>
        <w:rPr>
          <w:rFonts w:hint="eastAsia" w:cs="宋体" w:asciiTheme="minorEastAsia" w:hAnsiTheme="minorEastAsia" w:eastAsiaTheme="minorEastAsia"/>
          <w:color w:val="auto"/>
          <w:highlight w:val="none"/>
          <w:u w:val="single"/>
        </w:rPr>
        <w:t>）发出的变更指令，其单项工程变更或者累计变更涉及的金额超过了项目专用合同条款规定的金额。（</w:t>
      </w:r>
      <w:r>
        <w:rPr>
          <w:rFonts w:hint="eastAsia" w:asciiTheme="minorEastAsia" w:hAnsiTheme="minorEastAsia" w:eastAsiaTheme="minorEastAsia"/>
          <w:color w:val="auto"/>
          <w:highlight w:val="none"/>
          <w:u w:val="single"/>
        </w:rPr>
        <w:t>6</w:t>
      </w:r>
      <w:r>
        <w:rPr>
          <w:rFonts w:hint="eastAsia" w:cs="宋体" w:asciiTheme="minorEastAsia" w:hAnsiTheme="minorEastAsia" w:eastAsiaTheme="minorEastAsia"/>
          <w:color w:val="auto"/>
          <w:highlight w:val="none"/>
          <w:u w:val="single"/>
        </w:rPr>
        <w:t>）变更工作的单价。（</w:t>
      </w:r>
      <w:r>
        <w:rPr>
          <w:rFonts w:hint="eastAsia" w:asciiTheme="minorEastAsia" w:hAnsiTheme="minorEastAsia" w:eastAsiaTheme="minorEastAsia"/>
          <w:color w:val="auto"/>
          <w:highlight w:val="none"/>
          <w:u w:val="single"/>
        </w:rPr>
        <w:t>7</w:t>
      </w:r>
      <w:r>
        <w:rPr>
          <w:rFonts w:hint="eastAsia" w:cs="宋体" w:asciiTheme="minorEastAsia" w:hAnsiTheme="minorEastAsia" w:eastAsiaTheme="minorEastAsia"/>
          <w:color w:val="auto"/>
          <w:highlight w:val="none"/>
          <w:u w:val="single"/>
        </w:rPr>
        <w:t>）暂估价金额。（</w:t>
      </w:r>
      <w:r>
        <w:rPr>
          <w:rFonts w:hint="eastAsia" w:asciiTheme="minorEastAsia" w:hAnsiTheme="minorEastAsia" w:eastAsiaTheme="minorEastAsia"/>
          <w:color w:val="auto"/>
          <w:highlight w:val="none"/>
          <w:u w:val="single"/>
        </w:rPr>
        <w:t>8</w:t>
      </w:r>
      <w:r>
        <w:rPr>
          <w:rFonts w:hint="eastAsia" w:cs="宋体" w:asciiTheme="minorEastAsia" w:hAnsiTheme="minorEastAsia" w:eastAsiaTheme="minorEastAsia"/>
          <w:color w:val="auto"/>
          <w:highlight w:val="none"/>
          <w:u w:val="single"/>
        </w:rPr>
        <w:t>）索赔额</w:t>
      </w:r>
      <w:r>
        <w:rPr>
          <w:rFonts w:hint="eastAsia" w:asciiTheme="minorEastAsia" w:hAnsiTheme="minorEastAsia" w:eastAsiaTheme="minorEastAsia"/>
          <w:color w:val="auto"/>
          <w:highlight w:val="none"/>
          <w:u w:val="single"/>
        </w:rPr>
        <w:t>。</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4.</w:t>
      </w:r>
      <w:r>
        <w:rPr>
          <w:rFonts w:hint="eastAsia" w:cs="宋体" w:asciiTheme="minorEastAsia" w:hAnsiTheme="minorEastAsia" w:eastAsiaTheme="minorEastAsia"/>
          <w:color w:val="auto"/>
          <w:sz w:val="28"/>
          <w:szCs w:val="20"/>
          <w:highlight w:val="none"/>
        </w:rPr>
        <w:t>承包人</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4.1  </w:t>
      </w:r>
      <w:r>
        <w:rPr>
          <w:rFonts w:hint="eastAsia" w:asciiTheme="minorEastAsia" w:hAnsiTheme="minorEastAsia" w:eastAsiaTheme="minorEastAsia"/>
          <w:color w:val="auto"/>
          <w:sz w:val="24"/>
          <w:szCs w:val="20"/>
          <w:highlight w:val="none"/>
        </w:rPr>
        <w:t>承包人的一般义务</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4.1.8  </w:t>
      </w:r>
      <w:r>
        <w:rPr>
          <w:rFonts w:hint="eastAsia" w:asciiTheme="minorEastAsia" w:hAnsiTheme="minorEastAsia" w:eastAsiaTheme="minorEastAsia"/>
          <w:color w:val="auto"/>
          <w:highlight w:val="none"/>
        </w:rPr>
        <w:t>为他人提供方便</w:t>
      </w:r>
    </w:p>
    <w:p>
      <w:pPr>
        <w:spacing w:line="360" w:lineRule="auto"/>
        <w:ind w:firstLine="315" w:firstLineChars="1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）承包人应当对在施工场地或者附近实施与合同工程有关的其他工作的独立承包人履行管理、协调、配合、照管和服务义务的具体工作内容和要求：</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现场相关设计变更、签证、洽商、材料及设备价的审核、工程量确认等。须负责统筹协调及联络本工程内的所有市政配套工程的顺利实施。需要说明，承包人对于发包人供应的材料和工程设备，需要提供所有应有的服务。除非合同文件其它部分另有约定，承包人须对本合同项下的整个工程涉及到的所有参建人及各类事项负有承包管理、配合、协调与服务的责任</w:t>
      </w:r>
      <w:r>
        <w:rPr>
          <w:rFonts w:hint="eastAsia" w:cs="宋体" w:asciiTheme="minorEastAsia" w:hAnsiTheme="minorEastAsia" w:eastAsiaTheme="minorEastAsia"/>
          <w:color w:val="auto"/>
          <w:highlight w:val="none"/>
          <w:u w:val="single"/>
          <w:lang w:eastAsia="zh-CN"/>
        </w:rPr>
        <w:t>。</w:t>
      </w:r>
      <w:r>
        <w:rPr>
          <w:rFonts w:hint="eastAsia" w:cs="宋体"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4.1.10  </w:t>
      </w:r>
      <w:r>
        <w:rPr>
          <w:rFonts w:hint="eastAsia" w:asciiTheme="minorEastAsia" w:hAnsiTheme="minorEastAsia" w:eastAsiaTheme="minorEastAsia"/>
          <w:color w:val="auto"/>
          <w:highlight w:val="none"/>
        </w:rPr>
        <w:t>承包人的设计工作</w:t>
      </w:r>
      <w:r>
        <w:rPr>
          <w:rFonts w:asciiTheme="minorEastAsia" w:hAnsiTheme="minorEastAsia" w:eastAsiaTheme="minorEastAsia"/>
          <w:color w:val="auto"/>
          <w:highlight w:val="non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承包人承担的施工图设计或与工程配套的设计工作内容：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必要的加工图和大样图、竣工图纸。</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4.1.12  </w:t>
      </w:r>
      <w:r>
        <w:rPr>
          <w:rFonts w:hint="eastAsia" w:asciiTheme="minorEastAsia" w:hAnsiTheme="minorEastAsia" w:eastAsiaTheme="minorEastAsia"/>
          <w:color w:val="auto"/>
          <w:highlight w:val="none"/>
        </w:rPr>
        <w:t>其他义务</w:t>
      </w:r>
      <w:r>
        <w:rPr>
          <w:rFonts w:asciiTheme="minorEastAsia" w:hAnsiTheme="minorEastAsia" w:eastAsiaTheme="minorEastAsia"/>
          <w:color w:val="auto"/>
          <w:highlight w:val="non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承包人应履行的其他义务：</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1）工程竣工后至验收前，承包人要对现场进行维护直至工程交付使用。</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2）工程竣工验收后，在一个月内承包人将施工队伍和临时设施全部撤离现场。</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3）本工程施工时必须做好交通疏导工作，由承包人编制交通疏导及施工组织方案，经交通及有关部门审批后实施。</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4）承包人如需分包时须征得发包人书面同意，监理人签字。但由于分包而增加的费用由承包人承担。</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5)承包人必须做到安全防护、文明施工，按国家规定做好必要的环保、安全防护设施。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6)扰民/民扰：承包人有责任采取必要的措施，协商并解决扰民/民扰问题，承包人必须遵照有关国家、北京市政府发布的规定，避免或减少由于施工造成的噪音、空气污染而带来的扰民/民扰影响，及施工带来日常行人路及道路使用之干扰。承包人必须主动协调同周围居民及有关单位的关系，以免造成窝工、停工、延误工期的现象发生。承包人须负责完成扰民/民扰问题的配合工作，费用由发包方支付（由承包方自身原因产生的扰民/民扰，其费用由承包方自行承担），如遇特殊情况，双方协商解决，工期合理顺延。承包人不能以扰民/民扰问题处理为理由，向发包人提出工期不合理的顺延及索赔要求。</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4.2  </w:t>
      </w:r>
      <w:r>
        <w:rPr>
          <w:rFonts w:hint="eastAsia" w:asciiTheme="minorEastAsia" w:hAnsiTheme="minorEastAsia" w:eastAsiaTheme="minorEastAsia"/>
          <w:color w:val="auto"/>
          <w:sz w:val="24"/>
          <w:szCs w:val="20"/>
          <w:highlight w:val="none"/>
        </w:rPr>
        <w:t>履约担保</w:t>
      </w:r>
      <w:r>
        <w:rPr>
          <w:rFonts w:asciiTheme="minorEastAsia" w:hAnsiTheme="minorEastAsia" w:eastAsiaTheme="minorEastAsia"/>
          <w:color w:val="auto"/>
          <w:sz w:val="24"/>
          <w:szCs w:val="20"/>
          <w:highlight w:val="non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4.2.1  </w:t>
      </w:r>
      <w:r>
        <w:rPr>
          <w:rFonts w:hint="eastAsia" w:asciiTheme="minorEastAsia" w:hAnsiTheme="minorEastAsia" w:eastAsiaTheme="minorEastAsia"/>
          <w:color w:val="auto"/>
          <w:highlight w:val="none"/>
        </w:rPr>
        <w:t>承包人履约担保的格式和金额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不要求</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（要求</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不要求）承包人提供承包人履约担保。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承包人履约担保的金额为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4.11  </w:t>
      </w:r>
      <w:r>
        <w:rPr>
          <w:rFonts w:hint="eastAsia" w:asciiTheme="minorEastAsia" w:hAnsiTheme="minorEastAsia" w:eastAsiaTheme="minorEastAsia"/>
          <w:color w:val="auto"/>
          <w:sz w:val="24"/>
          <w:szCs w:val="20"/>
          <w:highlight w:val="none"/>
        </w:rPr>
        <w:t>不利物质条件</w:t>
      </w:r>
    </w:p>
    <w:p>
      <w:pPr>
        <w:spacing w:line="360" w:lineRule="auto"/>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4.11.1  </w:t>
      </w:r>
      <w:r>
        <w:rPr>
          <w:rFonts w:hint="eastAsia" w:asciiTheme="minorEastAsia" w:hAnsiTheme="minorEastAsia" w:eastAsiaTheme="minorEastAsia"/>
          <w:color w:val="auto"/>
          <w:highlight w:val="none"/>
        </w:rPr>
        <w:t>不利物质条件的范围：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不利物质条件包括施工过程中遇到废弃的地下管道、未探明的古墓、矿产等不可预见的自然物质条件、非自然的物质障碍和污染物，包括地下和水文条件，但不包括气候条件。</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5.</w:t>
      </w:r>
      <w:r>
        <w:rPr>
          <w:rFonts w:hint="eastAsia" w:cs="宋体" w:asciiTheme="minorEastAsia" w:hAnsiTheme="minorEastAsia" w:eastAsiaTheme="minorEastAsia"/>
          <w:color w:val="auto"/>
          <w:sz w:val="28"/>
          <w:szCs w:val="20"/>
          <w:highlight w:val="none"/>
        </w:rPr>
        <w:t>材料和工程设备</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5.1  </w:t>
      </w:r>
      <w:r>
        <w:rPr>
          <w:rFonts w:hint="eastAsia" w:asciiTheme="minorEastAsia" w:hAnsiTheme="minorEastAsia" w:eastAsiaTheme="minorEastAsia"/>
          <w:color w:val="auto"/>
          <w:sz w:val="24"/>
          <w:szCs w:val="20"/>
          <w:highlight w:val="none"/>
        </w:rPr>
        <w:t>承包人提供的材料和工程设备</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5.1.2 </w:t>
      </w:r>
      <w:r>
        <w:rPr>
          <w:rFonts w:hint="eastAsia" w:asciiTheme="minorEastAsia" w:hAnsiTheme="minorEastAsia" w:eastAsiaTheme="minorEastAsia"/>
          <w:color w:val="auto"/>
          <w:highlight w:val="none"/>
        </w:rPr>
        <w:t>承包人将由其提供的材料和工程设备的供货人和品种、规格、数量及供货时间等报送监理人审批的期限：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材料和工程设备进场前10日，未经监理人和发包人审批确定的该等材料和工程设备不得进入现场，否则发包人有权不支付相应的材料和工程设备价款。 承包人提供的材料、设备质量责任由承包人承担全部法律责任 。监理人收到承包人报送文件后5个工作日审批完毕。</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6.</w:t>
      </w:r>
      <w:r>
        <w:rPr>
          <w:rFonts w:hint="eastAsia" w:cs="宋体" w:asciiTheme="minorEastAsia" w:hAnsiTheme="minorEastAsia" w:eastAsiaTheme="minorEastAsia"/>
          <w:color w:val="auto"/>
          <w:sz w:val="28"/>
          <w:szCs w:val="20"/>
          <w:highlight w:val="none"/>
        </w:rPr>
        <w:t>施工设备和临时设施</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6.1  </w:t>
      </w:r>
      <w:r>
        <w:rPr>
          <w:rFonts w:hint="eastAsia" w:asciiTheme="minorEastAsia" w:hAnsiTheme="minorEastAsia" w:eastAsiaTheme="minorEastAsia"/>
          <w:color w:val="auto"/>
          <w:sz w:val="24"/>
          <w:szCs w:val="20"/>
          <w:highlight w:val="none"/>
        </w:rPr>
        <w:t>承包人提供的施工设备和临时设施</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6.1.2  </w:t>
      </w:r>
      <w:r>
        <w:rPr>
          <w:rFonts w:hint="eastAsia" w:asciiTheme="minorEastAsia" w:hAnsiTheme="minorEastAsia" w:eastAsiaTheme="minorEastAsia"/>
          <w:color w:val="auto"/>
          <w:highlight w:val="none"/>
        </w:rPr>
        <w:t>承包人承担自行修建临时设施费用的范围：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发包人办理申请手续并承担相关费用的临时占地：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6.2  </w:t>
      </w:r>
      <w:r>
        <w:rPr>
          <w:rFonts w:hint="eastAsia" w:asciiTheme="minorEastAsia" w:hAnsiTheme="minorEastAsia" w:eastAsiaTheme="minorEastAsia"/>
          <w:color w:val="auto"/>
          <w:sz w:val="24"/>
          <w:szCs w:val="20"/>
          <w:highlight w:val="none"/>
        </w:rPr>
        <w:t>发包人提供的施工设备和临时设施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发包人提供的施工设备和临时设施：</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发包人提供的施工设备和临时设施的运行、维护、拆除、清运费用的承担人：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7.</w:t>
      </w:r>
      <w:r>
        <w:rPr>
          <w:rFonts w:hint="eastAsia" w:cs="宋体" w:asciiTheme="minorEastAsia" w:hAnsiTheme="minorEastAsia" w:eastAsiaTheme="minorEastAsia"/>
          <w:color w:val="auto"/>
          <w:sz w:val="28"/>
          <w:szCs w:val="20"/>
          <w:highlight w:val="none"/>
        </w:rPr>
        <w:t>交通运输</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7.1  </w:t>
      </w:r>
      <w:r>
        <w:rPr>
          <w:rFonts w:hint="eastAsia" w:asciiTheme="minorEastAsia" w:hAnsiTheme="minorEastAsia" w:eastAsiaTheme="minorEastAsia"/>
          <w:color w:val="auto"/>
          <w:sz w:val="24"/>
          <w:szCs w:val="20"/>
          <w:highlight w:val="none"/>
        </w:rPr>
        <w:t>道路通行权和场外设施</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负责取得道路通行权、场外设施修建权的办理人</w:t>
      </w:r>
      <w:r>
        <w:rPr>
          <w:rFonts w:asciiTheme="minorEastAsia" w:hAnsiTheme="minorEastAsia" w:eastAsiaTheme="minorEastAsia"/>
          <w:color w:val="auto"/>
          <w:highlight w:val="non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，其相关费用由发包人承担。</w:t>
      </w:r>
      <w:r>
        <w:rPr>
          <w:rFonts w:asciiTheme="minorEastAsia" w:hAnsiTheme="minorEastAsia" w:eastAsiaTheme="minorEastAsia"/>
          <w:color w:val="auto"/>
          <w:highlight w:val="non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7.2  </w:t>
      </w:r>
      <w:r>
        <w:rPr>
          <w:rFonts w:hint="eastAsia" w:asciiTheme="minorEastAsia" w:hAnsiTheme="minorEastAsia" w:eastAsiaTheme="minorEastAsia"/>
          <w:color w:val="auto"/>
          <w:sz w:val="24"/>
          <w:szCs w:val="20"/>
          <w:highlight w:val="none"/>
        </w:rPr>
        <w:t>场内施工道路</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7.2.1  </w:t>
      </w:r>
      <w:r>
        <w:rPr>
          <w:rFonts w:hint="eastAsia" w:asciiTheme="minorEastAsia" w:hAnsiTheme="minorEastAsia" w:eastAsiaTheme="minorEastAsia"/>
          <w:color w:val="auto"/>
          <w:highlight w:val="none"/>
        </w:rPr>
        <w:t>施工所需的场内临时道路和交通设施的修建、维护、养护和管理人：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w:t>
      </w:r>
      <w:r>
        <w:rPr>
          <w:rFonts w:hint="eastAsia" w:asciiTheme="minorEastAsia" w:hAnsiTheme="minorEastAsia" w:eastAsiaTheme="minorEastAsia"/>
          <w:color w:val="auto"/>
          <w:highlight w:val="none"/>
        </w:rPr>
        <w:t>，相关费用由</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w:t>
      </w:r>
      <w:r>
        <w:rPr>
          <w:rFonts w:hint="eastAsia" w:asciiTheme="minorEastAsia" w:hAnsiTheme="minorEastAsia" w:eastAsiaTheme="minorEastAsia"/>
          <w:color w:val="auto"/>
          <w:highlight w:val="none"/>
        </w:rPr>
        <w:t>承担。</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7.4  </w:t>
      </w:r>
      <w:r>
        <w:rPr>
          <w:rFonts w:hint="eastAsia" w:asciiTheme="minorEastAsia" w:hAnsiTheme="minorEastAsia" w:eastAsiaTheme="minorEastAsia"/>
          <w:color w:val="auto"/>
          <w:sz w:val="24"/>
          <w:szCs w:val="20"/>
          <w:highlight w:val="none"/>
        </w:rPr>
        <w:t>超大件和超重件的运输</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运输超大件或超重件所需的道路和桥梁临时加固改造等费用的承担人：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承包人,并计入投标报价</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8.</w:t>
      </w:r>
      <w:r>
        <w:rPr>
          <w:rFonts w:hint="eastAsia" w:cs="宋体" w:asciiTheme="minorEastAsia" w:hAnsiTheme="minorEastAsia" w:eastAsiaTheme="minorEastAsia"/>
          <w:color w:val="auto"/>
          <w:sz w:val="28"/>
          <w:szCs w:val="20"/>
          <w:highlight w:val="none"/>
        </w:rPr>
        <w:t>测量放线</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8.1  </w:t>
      </w:r>
      <w:r>
        <w:rPr>
          <w:rFonts w:hint="eastAsia" w:asciiTheme="minorEastAsia" w:hAnsiTheme="minorEastAsia" w:eastAsiaTheme="minorEastAsia"/>
          <w:color w:val="auto"/>
          <w:sz w:val="24"/>
          <w:szCs w:val="20"/>
          <w:highlight w:val="none"/>
        </w:rPr>
        <w:t>施工控制网</w:t>
      </w:r>
    </w:p>
    <w:p>
      <w:pPr>
        <w:spacing w:line="360" w:lineRule="auto"/>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8.1.1  </w:t>
      </w:r>
      <w:r>
        <w:rPr>
          <w:rFonts w:hint="eastAsia" w:asciiTheme="minorEastAsia" w:hAnsiTheme="minorEastAsia" w:eastAsiaTheme="minorEastAsia"/>
          <w:color w:val="auto"/>
          <w:highlight w:val="none"/>
        </w:rPr>
        <w:t>发包人通过监理人提供测量基准点、基准线和水准点及其书面资料的期限：</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合同生效后</w:t>
      </w:r>
      <w:r>
        <w:rPr>
          <w:rFonts w:asciiTheme="minorEastAsia" w:hAnsiTheme="minorEastAsia" w:eastAsiaTheme="minorEastAsia"/>
          <w:color w:val="auto"/>
          <w:highlight w:val="none"/>
          <w:u w:val="single"/>
        </w:rPr>
        <w:t>7</w:t>
      </w:r>
      <w:r>
        <w:rPr>
          <w:rFonts w:hint="eastAsia" w:asciiTheme="minorEastAsia" w:hAnsiTheme="minorEastAsia" w:eastAsiaTheme="minorEastAsia"/>
          <w:color w:val="auto"/>
          <w:highlight w:val="none"/>
          <w:u w:val="single"/>
        </w:rPr>
        <w:t xml:space="preserve">天内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8.1.2  </w:t>
      </w:r>
      <w:r>
        <w:rPr>
          <w:rFonts w:hint="eastAsia" w:asciiTheme="minorEastAsia" w:hAnsiTheme="minorEastAsia" w:eastAsiaTheme="minorEastAsia"/>
          <w:color w:val="auto"/>
          <w:highlight w:val="none"/>
        </w:rPr>
        <w:t>承包人测设施工控制网的其他要求：</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承包人应以监理人提供的测量基准点、基准线和水准点为依据，测量的工程精度应满足国家的工程测量技术规范的相关要求</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承包人将施工控制网资料报送监理人审批的期限：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合同生效后</w:t>
      </w:r>
      <w:r>
        <w:rPr>
          <w:rFonts w:asciiTheme="minorEastAsia" w:hAnsiTheme="minorEastAsia" w:eastAsiaTheme="minorEastAsia"/>
          <w:color w:val="auto"/>
          <w:highlight w:val="none"/>
          <w:u w:val="single"/>
        </w:rPr>
        <w:t>7</w:t>
      </w:r>
      <w:r>
        <w:rPr>
          <w:rFonts w:hint="eastAsia" w:asciiTheme="minorEastAsia" w:hAnsiTheme="minorEastAsia" w:eastAsiaTheme="minorEastAsia"/>
          <w:color w:val="auto"/>
          <w:highlight w:val="none"/>
          <w:u w:val="single"/>
        </w:rPr>
        <w:t>天内</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9.</w:t>
      </w:r>
      <w:r>
        <w:rPr>
          <w:rFonts w:hint="eastAsia" w:cs="宋体" w:asciiTheme="minorEastAsia" w:hAnsiTheme="minorEastAsia" w:eastAsiaTheme="minorEastAsia"/>
          <w:color w:val="auto"/>
          <w:sz w:val="28"/>
          <w:szCs w:val="20"/>
          <w:highlight w:val="none"/>
        </w:rPr>
        <w:t>施工安全、治安保卫和环境保护</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9.2  </w:t>
      </w:r>
      <w:r>
        <w:rPr>
          <w:rFonts w:hint="eastAsia" w:asciiTheme="minorEastAsia" w:hAnsiTheme="minorEastAsia" w:eastAsiaTheme="minorEastAsia"/>
          <w:color w:val="auto"/>
          <w:sz w:val="24"/>
          <w:szCs w:val="20"/>
          <w:highlight w:val="none"/>
        </w:rPr>
        <w:t>承包人的施工安全责任</w:t>
      </w:r>
    </w:p>
    <w:p>
      <w:pPr>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9.2.1  </w:t>
      </w:r>
      <w:r>
        <w:rPr>
          <w:rFonts w:hint="eastAsia" w:asciiTheme="minorEastAsia" w:hAnsiTheme="minorEastAsia" w:eastAsiaTheme="minorEastAsia"/>
          <w:color w:val="auto"/>
          <w:highlight w:val="none"/>
        </w:rPr>
        <w:t>承包人向监理人报送施工安全措施计划的期限：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合同生效后</w:t>
      </w:r>
      <w:r>
        <w:rPr>
          <w:rFonts w:asciiTheme="minorEastAsia" w:hAnsiTheme="minorEastAsia" w:eastAsiaTheme="minorEastAsia"/>
          <w:color w:val="auto"/>
          <w:highlight w:val="none"/>
          <w:u w:val="single"/>
        </w:rPr>
        <w:t>7</w:t>
      </w:r>
      <w:r>
        <w:rPr>
          <w:rFonts w:hint="eastAsia" w:asciiTheme="minorEastAsia" w:hAnsiTheme="minorEastAsia" w:eastAsiaTheme="minorEastAsia"/>
          <w:color w:val="auto"/>
          <w:highlight w:val="none"/>
          <w:u w:val="single"/>
        </w:rPr>
        <w:t>天内</w:t>
      </w:r>
      <w:r>
        <w:rPr>
          <w:rFonts w:asciiTheme="minorEastAsia" w:hAnsiTheme="minorEastAsia" w:eastAsiaTheme="minorEastAsia"/>
          <w:color w:val="auto"/>
          <w:highlight w:val="none"/>
          <w:u w:val="single"/>
        </w:rPr>
        <w:t xml:space="preserve">   </w:t>
      </w:r>
    </w:p>
    <w:p>
      <w:pPr>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监理人收到承包人报送的施工安全措施计划后应当在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7</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天内给予批复。</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9.3  </w:t>
      </w:r>
      <w:r>
        <w:rPr>
          <w:rFonts w:hint="eastAsia" w:asciiTheme="minorEastAsia" w:hAnsiTheme="minorEastAsia" w:eastAsiaTheme="minorEastAsia"/>
          <w:color w:val="auto"/>
          <w:sz w:val="24"/>
          <w:szCs w:val="20"/>
          <w:highlight w:val="none"/>
        </w:rPr>
        <w:t>治安保卫</w:t>
      </w:r>
    </w:p>
    <w:p>
      <w:pPr>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9.3.3 </w:t>
      </w:r>
      <w:r>
        <w:rPr>
          <w:rFonts w:hint="eastAsia" w:asciiTheme="minorEastAsia" w:hAnsiTheme="minorEastAsia" w:eastAsiaTheme="minorEastAsia"/>
          <w:color w:val="auto"/>
          <w:highlight w:val="none"/>
        </w:rPr>
        <w:t>制定施工场地治安管理计划和突发治安事件紧急预案的责任人：</w:t>
      </w:r>
      <w:r>
        <w:rPr>
          <w:rFonts w:hint="eastAsia" w:asciiTheme="minorEastAsia" w:hAnsiTheme="minorEastAsia" w:eastAsiaTheme="minorEastAsia"/>
          <w:color w:val="auto"/>
          <w:highlight w:val="none"/>
          <w:u w:val="single"/>
        </w:rPr>
        <w:t xml:space="preserve">    承包人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9.4  </w:t>
      </w:r>
      <w:r>
        <w:rPr>
          <w:rFonts w:hint="eastAsia" w:asciiTheme="minorEastAsia" w:hAnsiTheme="minorEastAsia" w:eastAsiaTheme="minorEastAsia"/>
          <w:color w:val="auto"/>
          <w:sz w:val="24"/>
          <w:szCs w:val="20"/>
          <w:highlight w:val="none"/>
        </w:rPr>
        <w:t>环境保护</w:t>
      </w:r>
    </w:p>
    <w:p>
      <w:pPr>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9.4.3  </w:t>
      </w:r>
      <w:r>
        <w:rPr>
          <w:rFonts w:hint="eastAsia" w:asciiTheme="minorEastAsia" w:hAnsiTheme="minorEastAsia" w:eastAsiaTheme="minorEastAsia"/>
          <w:color w:val="auto"/>
          <w:highlight w:val="none"/>
        </w:rPr>
        <w:t>施工环保措施计划报送监理人审批的时间：</w:t>
      </w:r>
      <w:r>
        <w:rPr>
          <w:rFonts w:hint="eastAsia" w:asciiTheme="minorEastAsia" w:hAnsiTheme="minorEastAsia" w:eastAsiaTheme="minorEastAsia"/>
          <w:color w:val="auto"/>
          <w:highlight w:val="none"/>
          <w:u w:val="single"/>
        </w:rPr>
        <w:t xml:space="preserve">       合同生效后7天内       </w:t>
      </w:r>
    </w:p>
    <w:p>
      <w:pPr>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监理人收到承包人报送的施工环保措施计划后应当在</w:t>
      </w:r>
      <w:r>
        <w:rPr>
          <w:rFonts w:hint="eastAsia" w:asciiTheme="minorEastAsia" w:hAnsiTheme="minorEastAsia" w:eastAsiaTheme="minorEastAsia"/>
          <w:color w:val="auto"/>
          <w:highlight w:val="none"/>
          <w:u w:val="single"/>
        </w:rPr>
        <w:t xml:space="preserve">   7    </w:t>
      </w:r>
      <w:r>
        <w:rPr>
          <w:rFonts w:hint="eastAsia" w:asciiTheme="minorEastAsia" w:hAnsiTheme="minorEastAsia" w:eastAsiaTheme="minorEastAsia"/>
          <w:color w:val="auto"/>
          <w:highlight w:val="none"/>
        </w:rPr>
        <w:t>天内给予批复。</w:t>
      </w:r>
    </w:p>
    <w:p>
      <w:pPr>
        <w:pStyle w:val="254"/>
        <w:tabs>
          <w:tab w:val="left" w:pos="567"/>
          <w:tab w:val="left" w:pos="851"/>
        </w:tabs>
        <w:spacing w:before="120" w:after="12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9.6  </w:t>
      </w:r>
      <w:r>
        <w:rPr>
          <w:rFonts w:hint="eastAsia" w:asciiTheme="minorEastAsia" w:hAnsiTheme="minorEastAsia" w:eastAsiaTheme="minorEastAsia"/>
          <w:color w:val="auto"/>
          <w:highlight w:val="none"/>
        </w:rPr>
        <w:t>施工现场安全生产标准化管理目标</w:t>
      </w:r>
    </w:p>
    <w:p>
      <w:pPr>
        <w:pStyle w:val="27"/>
        <w:tabs>
          <w:tab w:val="left" w:pos="1134"/>
        </w:tabs>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9.6.1</w:t>
      </w:r>
      <w:r>
        <w:rPr>
          <w:rFonts w:hint="eastAsia" w:asciiTheme="minorEastAsia" w:hAnsiTheme="minorEastAsia" w:eastAsiaTheme="minorEastAsia"/>
          <w:color w:val="auto"/>
          <w:sz w:val="21"/>
          <w:szCs w:val="21"/>
          <w:highlight w:val="none"/>
        </w:rPr>
        <w:t> </w:t>
      </w:r>
      <w:r>
        <w:rPr>
          <w:rFonts w:asciiTheme="minorEastAsia" w:hAnsiTheme="minorEastAsia" w:eastAsiaTheme="minorEastAsia"/>
          <w:color w:val="auto"/>
          <w:sz w:val="21"/>
          <w:szCs w:val="21"/>
          <w:highlight w:val="none"/>
        </w:rPr>
        <w:t xml:space="preserve"> </w:t>
      </w:r>
      <w:r>
        <w:rPr>
          <w:rFonts w:hint="eastAsia" w:asciiTheme="minorEastAsia" w:hAnsiTheme="minorEastAsia" w:eastAsiaTheme="minorEastAsia"/>
          <w:color w:val="auto"/>
          <w:sz w:val="21"/>
          <w:szCs w:val="21"/>
          <w:highlight w:val="none"/>
        </w:rPr>
        <w:t>未达到合同协议书中约定的安全生产标准化管理目标等级的违约金或损失赔偿金的金额或者计算方法：</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7"/>
        <w:spacing w:line="360" w:lineRule="auto"/>
        <w:ind w:leftChars="0" w:hanging="420" w:hangingChars="20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7"/>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9.6.2</w:t>
      </w:r>
      <w:r>
        <w:rPr>
          <w:rFonts w:hint="eastAsia" w:asciiTheme="minorEastAsia" w:hAnsiTheme="minorEastAsia" w:eastAsiaTheme="minorEastAsia"/>
          <w:color w:val="auto"/>
          <w:sz w:val="21"/>
          <w:szCs w:val="21"/>
          <w:highlight w:val="none"/>
        </w:rPr>
        <w:t>  发包人</w:t>
      </w:r>
      <w:r>
        <w:rPr>
          <w:rFonts w:asciiTheme="minorEastAsia" w:hAnsiTheme="minorEastAsia" w:eastAsiaTheme="minorEastAsia"/>
          <w:color w:val="auto"/>
          <w:highlight w:val="none"/>
          <w:u w:val="single"/>
        </w:rPr>
        <w:t xml:space="preserve">       不给予           </w:t>
      </w:r>
      <w:r>
        <w:rPr>
          <w:rFonts w:hint="eastAsia" w:asciiTheme="minorEastAsia" w:hAnsiTheme="minorEastAsia" w:eastAsiaTheme="minorEastAsia"/>
          <w:color w:val="auto"/>
          <w:sz w:val="21"/>
          <w:szCs w:val="21"/>
          <w:highlight w:val="none"/>
        </w:rPr>
        <w:t>（给予/不给予）承包人创优奖励。发包人给予承包人创优奖励的，创优奖励金额或者计算方法：</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7"/>
        <w:spacing w:line="360" w:lineRule="auto"/>
        <w:ind w:left="0" w:leftChars="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54"/>
        <w:tabs>
          <w:tab w:val="left" w:pos="567"/>
        </w:tabs>
        <w:spacing w:before="120" w:after="12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9.7  </w:t>
      </w:r>
      <w:r>
        <w:rPr>
          <w:rFonts w:hint="eastAsia" w:asciiTheme="minorEastAsia" w:hAnsiTheme="minorEastAsia" w:eastAsiaTheme="minorEastAsia"/>
          <w:color w:val="auto"/>
          <w:highlight w:val="none"/>
        </w:rPr>
        <w:t>特殊安全文明施工</w:t>
      </w:r>
    </w:p>
    <w:p>
      <w:pPr>
        <w:pStyle w:val="27"/>
        <w:tabs>
          <w:tab w:val="left" w:pos="1134"/>
        </w:tabs>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9.7.1</w:t>
      </w:r>
      <w:r>
        <w:rPr>
          <w:rFonts w:hint="eastAsia" w:asciiTheme="minorEastAsia" w:hAnsiTheme="minorEastAsia" w:eastAsiaTheme="minorEastAsia"/>
          <w:color w:val="auto"/>
          <w:sz w:val="21"/>
          <w:szCs w:val="21"/>
          <w:highlight w:val="none"/>
        </w:rPr>
        <w:t> </w:t>
      </w:r>
      <w:r>
        <w:rPr>
          <w:rFonts w:asciiTheme="minorEastAsia" w:hAnsiTheme="minorEastAsia" w:eastAsiaTheme="minorEastAsia"/>
          <w:color w:val="auto"/>
          <w:sz w:val="21"/>
          <w:szCs w:val="21"/>
          <w:highlight w:val="none"/>
        </w:rPr>
        <w:t xml:space="preserve"> </w:t>
      </w:r>
      <w:r>
        <w:rPr>
          <w:rFonts w:hint="eastAsia" w:asciiTheme="minorEastAsia" w:hAnsiTheme="minorEastAsia" w:eastAsiaTheme="minorEastAsia"/>
          <w:color w:val="auto"/>
          <w:sz w:val="21"/>
          <w:szCs w:val="21"/>
          <w:highlight w:val="none"/>
        </w:rPr>
        <w:t>未达到合同约定的特殊安全文明施工要求的违约金或损失赔偿金的金额或者计算方法：</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7"/>
        <w:spacing w:line="360" w:lineRule="auto"/>
        <w:ind w:left="0" w:leftChars="0"/>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7"/>
        <w:spacing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9.7.2</w:t>
      </w:r>
      <w:r>
        <w:rPr>
          <w:rFonts w:hint="eastAsia" w:asciiTheme="minorEastAsia" w:hAnsiTheme="minorEastAsia" w:eastAsiaTheme="minorEastAsia"/>
          <w:color w:val="auto"/>
          <w:sz w:val="21"/>
          <w:szCs w:val="21"/>
          <w:highlight w:val="none"/>
        </w:rPr>
        <w:t>  发包人</w:t>
      </w:r>
      <w:r>
        <w:rPr>
          <w:rFonts w:asciiTheme="minorEastAsia" w:hAnsiTheme="minorEastAsia" w:eastAsiaTheme="minorEastAsia"/>
          <w:color w:val="auto"/>
          <w:highlight w:val="none"/>
          <w:u w:val="single"/>
        </w:rPr>
        <w:t xml:space="preserve">           不给予       </w:t>
      </w:r>
      <w:r>
        <w:rPr>
          <w:rFonts w:hint="eastAsia" w:asciiTheme="minorEastAsia" w:hAnsiTheme="minorEastAsia" w:eastAsiaTheme="minorEastAsia"/>
          <w:color w:val="auto"/>
          <w:sz w:val="21"/>
          <w:szCs w:val="21"/>
          <w:highlight w:val="none"/>
        </w:rPr>
        <w:t>（给予/不给予）承包人创优奖励。发包人给予承包人创优奖励的，创优奖励金额或者计算方法：</w:t>
      </w: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pStyle w:val="27"/>
        <w:spacing w:line="360" w:lineRule="auto"/>
        <w:ind w:left="0" w:leftChars="0"/>
        <w:rPr>
          <w:rFonts w:asciiTheme="minorEastAsia" w:hAnsiTheme="minorEastAsia" w:eastAsiaTheme="minorEastAsia"/>
          <w:color w:val="auto"/>
          <w:szCs w:val="21"/>
          <w:highlight w:val="none"/>
          <w:u w:val="single"/>
        </w:rPr>
      </w:pPr>
      <w:r>
        <w:rPr>
          <w:rFonts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u w:val="single"/>
        </w:rPr>
        <w:t>/</w:t>
      </w:r>
      <w:r>
        <w:rPr>
          <w:rFonts w:asciiTheme="minorEastAsia" w:hAnsiTheme="minorEastAsia" w:eastAsiaTheme="minorEastAsia"/>
          <w:color w:val="auto"/>
          <w:sz w:val="21"/>
          <w:szCs w:val="21"/>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10.</w:t>
      </w:r>
      <w:r>
        <w:rPr>
          <w:rFonts w:hint="eastAsia" w:cs="宋体" w:asciiTheme="minorEastAsia" w:hAnsiTheme="minorEastAsia" w:eastAsiaTheme="minorEastAsia"/>
          <w:color w:val="auto"/>
          <w:sz w:val="28"/>
          <w:szCs w:val="20"/>
          <w:highlight w:val="none"/>
        </w:rPr>
        <w:t>进度计划</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10.1  </w:t>
      </w:r>
      <w:r>
        <w:rPr>
          <w:rFonts w:hint="eastAsia" w:asciiTheme="minorEastAsia" w:hAnsiTheme="minorEastAsia" w:eastAsiaTheme="minorEastAsia"/>
          <w:color w:val="auto"/>
          <w:sz w:val="24"/>
          <w:szCs w:val="20"/>
          <w:highlight w:val="none"/>
        </w:rPr>
        <w:t>合同进度计划</w:t>
      </w:r>
    </w:p>
    <w:p>
      <w:pPr>
        <w:wordWrap w:val="0"/>
        <w:spacing w:line="360" w:lineRule="auto"/>
        <w:ind w:left="420" w:left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10.1.1  </w:t>
      </w:r>
      <w:r>
        <w:rPr>
          <w:rFonts w:hint="eastAsia" w:asciiTheme="minorEastAsia" w:hAnsiTheme="minorEastAsia" w:eastAsiaTheme="minorEastAsia"/>
          <w:color w:val="auto"/>
          <w:highlight w:val="none"/>
        </w:rPr>
        <w:t>承包人编制施工进度计划和施工方案说明的内容：</w:t>
      </w:r>
      <w:r>
        <w:rPr>
          <w:rFonts w:hint="eastAsia" w:asciiTheme="minorEastAsia" w:hAnsiTheme="minorEastAsia" w:eastAsiaTheme="minorEastAsia"/>
          <w:color w:val="auto"/>
          <w:highlight w:val="none"/>
          <w:u w:val="single"/>
        </w:rPr>
        <w:t xml:space="preserve">  按照国家相关规定，满足施工要求，进度计划包括单位工程及分部、分项的进度计划；专业分包的进度计划； 施工方案包括人力安排、机具进场安排；承包人认为应编制的其他内容等。</w:t>
      </w:r>
    </w:p>
    <w:p>
      <w:pPr>
        <w:wordWrap w:val="0"/>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施工方案应包含以下内容：</w:t>
      </w:r>
    </w:p>
    <w:p>
      <w:pPr>
        <w:wordWrap w:val="0"/>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1）施工方案及技术措施（包括保证进度目标的措施、保证质量目标的措施、保证安全目标的措施、保证成本目标的措施、保证季节施工的措施、保证环境、绿色和文明施工措施等；施工部署包括施工流向和施工工序、主要施工机械选择、保证施工标准化目标达标方案等）。</w:t>
      </w:r>
    </w:p>
    <w:p>
      <w:pPr>
        <w:wordWrap w:val="0"/>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施工部署和管理体系（保证组织机构的合理，各部门指令关系明确；其次要保证相应部门配备合适的人员，能够保证该部门职能的正常运转；包括实行项目经理责任制，项目部的设立和岗位设置及相应的规章制度等）。</w:t>
      </w:r>
    </w:p>
    <w:p>
      <w:pPr>
        <w:wordWrap w:val="0"/>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（3）文明施工、环保节能降耗保证计划以及辅助、配套的施工措施。   </w:t>
      </w:r>
    </w:p>
    <w:p>
      <w:pPr>
        <w:wordWrap w:val="0"/>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10.1.2  </w:t>
      </w:r>
      <w:r>
        <w:rPr>
          <w:rFonts w:hint="eastAsia" w:asciiTheme="minorEastAsia" w:hAnsiTheme="minorEastAsia" w:eastAsiaTheme="minorEastAsia"/>
          <w:color w:val="auto"/>
          <w:highlight w:val="none"/>
        </w:rPr>
        <w:t>承包人编制分阶段或分项施工进度计划和施工方案说明的内容及时限要求：</w:t>
      </w:r>
      <w:r>
        <w:rPr>
          <w:rFonts w:hint="eastAsia" w:asciiTheme="minorEastAsia" w:hAnsiTheme="minorEastAsia" w:eastAsiaTheme="minorEastAsia"/>
          <w:color w:val="auto"/>
          <w:highlight w:val="none"/>
          <w:u w:val="single"/>
        </w:rPr>
        <w:t>/</w:t>
      </w:r>
    </w:p>
    <w:p>
      <w:pPr>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10.1.3  </w:t>
      </w:r>
      <w:r>
        <w:rPr>
          <w:rFonts w:hint="eastAsia" w:asciiTheme="minorEastAsia" w:hAnsiTheme="minorEastAsia" w:eastAsiaTheme="minorEastAsia"/>
          <w:color w:val="auto"/>
          <w:highlight w:val="none"/>
        </w:rPr>
        <w:t>群体工程中有关编制进度计划和施工方案说明的要求：</w:t>
      </w:r>
      <w:r>
        <w:rPr>
          <w:rFonts w:hint="eastAsia" w:asciiTheme="minorEastAsia" w:hAnsiTheme="minorEastAsia" w:eastAsiaTheme="minorEastAsia"/>
          <w:color w:val="auto"/>
          <w:highlight w:val="none"/>
          <w:u w:val="single"/>
        </w:rPr>
        <w:t xml:space="preserve">    /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10.2  </w:t>
      </w:r>
      <w:r>
        <w:rPr>
          <w:rFonts w:hint="eastAsia" w:asciiTheme="minorEastAsia" w:hAnsiTheme="minorEastAsia" w:eastAsiaTheme="minorEastAsia"/>
          <w:color w:val="auto"/>
          <w:sz w:val="24"/>
          <w:szCs w:val="20"/>
          <w:highlight w:val="none"/>
        </w:rPr>
        <w:t>合同进度计划的修订</w:t>
      </w:r>
    </w:p>
    <w:p>
      <w:pPr>
        <w:spacing w:line="360" w:lineRule="auto"/>
        <w:ind w:left="420" w:left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10.2.1  </w:t>
      </w:r>
      <w:r>
        <w:rPr>
          <w:rFonts w:hint="eastAsia" w:asciiTheme="minorEastAsia" w:hAnsiTheme="minorEastAsia" w:eastAsiaTheme="minorEastAsia"/>
          <w:color w:val="auto"/>
          <w:highlight w:val="none"/>
        </w:rPr>
        <w:t>承包人报送修订合同进度计划申请报告和相关资料的期限：</w:t>
      </w:r>
      <w:r>
        <w:rPr>
          <w:rFonts w:hint="eastAsia" w:asciiTheme="minorEastAsia" w:hAnsiTheme="minorEastAsia" w:eastAsiaTheme="minorEastAsia"/>
          <w:color w:val="auto"/>
          <w:highlight w:val="none"/>
          <w:u w:val="single"/>
        </w:rPr>
        <w:t xml:space="preserve">  需要修订前7天内。内容应当获得监理人的同意，内容应包括（包括但不限于以下内容）：</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A.每一阶段的工程进展情况的照片与详细说明；</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B.反映工程进展情况的任何必要的图表；</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C.主要材料和工程设备的制造商名称、制造地点、进度百分比、以及运达的实际日期或期望日期等；</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D.承包人在现场的人员及施工机械的记录；</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E.必要的质量证明文件、材料的检验结果及证书；</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F.安全统计，包括涉及环境和公共关系方面的任何事件或活动的详情；</w:t>
      </w:r>
    </w:p>
    <w:p>
      <w:pPr>
        <w:spacing w:line="360" w:lineRule="auto"/>
        <w:ind w:left="420" w:left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G.实际进度与计划进度的对比，包括可能影响工程按照进度计划进行的任何因素的详情，以及为消除这些因素正在采取（或准备采取）的措施；</w:t>
      </w:r>
    </w:p>
    <w:p>
      <w:pPr>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H. 施工进度计划中还应载明要求发包人组织设计人进行阶段性工程设计交底的时间, 施工进度计划中还应载明要求发包人组织设计人进行阶段性工程设计交底的时间  </w:t>
      </w:r>
    </w:p>
    <w:p>
      <w:pPr>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监理人批复修订合同进度计划申请报告的期限：</w:t>
      </w:r>
      <w:r>
        <w:rPr>
          <w:rFonts w:hint="eastAsia" w:asciiTheme="minorEastAsia" w:hAnsiTheme="minorEastAsia" w:eastAsiaTheme="minorEastAsia"/>
          <w:color w:val="auto"/>
          <w:highlight w:val="none"/>
          <w:u w:val="single"/>
        </w:rPr>
        <w:t xml:space="preserve">   收到承包人报送的修订合同进度计划申请报告和相关资料后7天内    </w:t>
      </w:r>
    </w:p>
    <w:p>
      <w:pPr>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10.2.2  </w:t>
      </w:r>
      <w:r>
        <w:rPr>
          <w:rFonts w:hint="eastAsia" w:asciiTheme="minorEastAsia" w:hAnsiTheme="minorEastAsia" w:eastAsiaTheme="minorEastAsia"/>
          <w:color w:val="auto"/>
          <w:highlight w:val="none"/>
        </w:rPr>
        <w:t>监理人批复修订合同进度计划的期限：</w:t>
      </w:r>
      <w:r>
        <w:rPr>
          <w:rFonts w:hint="eastAsia" w:asciiTheme="minorEastAsia" w:hAnsiTheme="minorEastAsia" w:eastAsiaTheme="minorEastAsia"/>
          <w:color w:val="auto"/>
          <w:highlight w:val="none"/>
          <w:u w:val="single"/>
        </w:rPr>
        <w:t xml:space="preserve">    收到承包人报送的修订合同进度计划申请报告和相关资料后7天内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11.</w:t>
      </w:r>
      <w:r>
        <w:rPr>
          <w:rFonts w:hint="eastAsia" w:cs="宋体" w:asciiTheme="minorEastAsia" w:hAnsiTheme="minorEastAsia" w:eastAsiaTheme="minorEastAsia"/>
          <w:color w:val="auto"/>
          <w:sz w:val="28"/>
          <w:szCs w:val="20"/>
          <w:highlight w:val="none"/>
        </w:rPr>
        <w:t>开工和竣工</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11.3  </w:t>
      </w:r>
      <w:r>
        <w:rPr>
          <w:rFonts w:hint="eastAsia" w:asciiTheme="minorEastAsia" w:hAnsiTheme="minorEastAsia" w:eastAsiaTheme="minorEastAsia"/>
          <w:color w:val="auto"/>
          <w:sz w:val="24"/>
          <w:szCs w:val="20"/>
          <w:highlight w:val="none"/>
        </w:rPr>
        <w:t>发包人的工期延误</w:t>
      </w:r>
    </w:p>
    <w:p>
      <w:pPr>
        <w:wordWrap w:val="0"/>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）发包人造成工期延误的其他原因：</w:t>
      </w:r>
      <w:r>
        <w:rPr>
          <w:rFonts w:hint="eastAsia" w:asciiTheme="minorEastAsia" w:hAnsiTheme="minorEastAsia" w:eastAsiaTheme="minorEastAsia"/>
          <w:color w:val="auto"/>
          <w:highlight w:val="none"/>
          <w:u w:val="single"/>
        </w:rPr>
        <w:t xml:space="preserve">   /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11.4  </w:t>
      </w:r>
      <w:r>
        <w:rPr>
          <w:rFonts w:hint="eastAsia" w:asciiTheme="minorEastAsia" w:hAnsiTheme="minorEastAsia" w:eastAsiaTheme="minorEastAsia"/>
          <w:color w:val="auto"/>
          <w:sz w:val="24"/>
          <w:szCs w:val="20"/>
          <w:highlight w:val="none"/>
        </w:rPr>
        <w:t>异常恶劣的气候条件</w:t>
      </w:r>
    </w:p>
    <w:p>
      <w:pPr>
        <w:wordWrap w:val="0"/>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异常恶劣的气候条件的范围和标准：</w:t>
      </w:r>
      <w:r>
        <w:rPr>
          <w:rFonts w:hint="eastAsia"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2</w:t>
      </w:r>
      <w:r>
        <w:rPr>
          <w:rFonts w:hint="eastAsia" w:asciiTheme="minorEastAsia" w:hAnsiTheme="minorEastAsia" w:eastAsiaTheme="minorEastAsia"/>
          <w:color w:val="auto"/>
          <w:highlight w:val="none"/>
          <w:u w:val="single"/>
        </w:rPr>
        <w:t>7级（含）以上的大风、12小时内降雪量大于6mm以上降雪、24小时内降水量为100mm以上的暴雨。</w:t>
      </w:r>
      <w:r>
        <w:rPr>
          <w:rFonts w:hint="eastAsia" w:cs="宋体"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11.5  </w:t>
      </w:r>
      <w:r>
        <w:rPr>
          <w:rFonts w:hint="eastAsia" w:asciiTheme="minorEastAsia" w:hAnsiTheme="minorEastAsia" w:eastAsiaTheme="minorEastAsia"/>
          <w:color w:val="auto"/>
          <w:sz w:val="24"/>
          <w:szCs w:val="20"/>
          <w:highlight w:val="none"/>
        </w:rPr>
        <w:t>承包人的工期延误</w:t>
      </w:r>
    </w:p>
    <w:p>
      <w:pPr>
        <w:wordWrap w:val="0"/>
        <w:spacing w:line="360" w:lineRule="auto"/>
        <w:ind w:left="420" w:left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11.5.</w:t>
      </w: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逾期竣工违约金的计算标准和计算方法：</w:t>
      </w:r>
      <w:r>
        <w:rPr>
          <w:rFonts w:hint="eastAsia" w:asciiTheme="minorEastAsia" w:hAnsiTheme="minorEastAsia" w:eastAsiaTheme="minorEastAsia"/>
          <w:color w:val="auto"/>
          <w:highlight w:val="none"/>
          <w:u w:val="single"/>
        </w:rPr>
        <w:t>工期每延误一天，承包人应当向发包人赔偿人民币签约合同价的万分之二元/天，不足一天按一天计，因与其他招标范围标段单位配合而造成的工期延误由承包人与发包人自行协商。</w:t>
      </w:r>
    </w:p>
    <w:p>
      <w:pPr>
        <w:wordWrap w:val="0"/>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逾期竣工违约金最高限额：</w:t>
      </w:r>
      <w:r>
        <w:rPr>
          <w:rFonts w:hint="eastAsia" w:asciiTheme="minorEastAsia" w:hAnsiTheme="minorEastAsia" w:eastAsiaTheme="minorEastAsia"/>
          <w:color w:val="auto"/>
          <w:highlight w:val="none"/>
          <w:u w:val="single"/>
        </w:rPr>
        <w:t xml:space="preserve">签约合同价的万分之二元乘以延误天数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11.6  </w:t>
      </w:r>
      <w:r>
        <w:rPr>
          <w:rFonts w:hint="eastAsia" w:asciiTheme="minorEastAsia" w:hAnsiTheme="minorEastAsia" w:eastAsiaTheme="minorEastAsia"/>
          <w:color w:val="auto"/>
          <w:sz w:val="24"/>
          <w:szCs w:val="20"/>
          <w:highlight w:val="none"/>
        </w:rPr>
        <w:t>工期提前</w:t>
      </w:r>
    </w:p>
    <w:p>
      <w:pPr>
        <w:wordWrap w:val="0"/>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提前竣工的奖励办法：</w:t>
      </w:r>
      <w:r>
        <w:rPr>
          <w:rFonts w:hint="eastAsia" w:asciiTheme="minorEastAsia" w:hAnsiTheme="minorEastAsia" w:eastAsiaTheme="minorEastAsia"/>
          <w:color w:val="auto"/>
          <w:highlight w:val="none"/>
          <w:u w:val="single"/>
        </w:rPr>
        <w:t xml:space="preserve">      /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12.</w:t>
      </w:r>
      <w:r>
        <w:rPr>
          <w:rFonts w:hint="eastAsia" w:cs="宋体" w:asciiTheme="minorEastAsia" w:hAnsiTheme="minorEastAsia" w:eastAsiaTheme="minorEastAsia"/>
          <w:color w:val="auto"/>
          <w:sz w:val="28"/>
          <w:szCs w:val="20"/>
          <w:highlight w:val="none"/>
        </w:rPr>
        <w:t>暂停施工</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12.1  </w:t>
      </w:r>
      <w:r>
        <w:rPr>
          <w:rFonts w:hint="eastAsia" w:asciiTheme="minorEastAsia" w:hAnsiTheme="minorEastAsia" w:eastAsiaTheme="minorEastAsia"/>
          <w:color w:val="auto"/>
          <w:sz w:val="24"/>
          <w:szCs w:val="20"/>
          <w:highlight w:val="none"/>
        </w:rPr>
        <w:t>承包人暂停施工的责任</w:t>
      </w:r>
    </w:p>
    <w:p>
      <w:pPr>
        <w:wordWrap w:val="0"/>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）承包人承担暂停施工责任的其他情形：</w:t>
      </w:r>
      <w:r>
        <w:rPr>
          <w:rFonts w:hint="eastAsia" w:asciiTheme="minorEastAsia" w:hAnsiTheme="minorEastAsia" w:eastAsiaTheme="minorEastAsia"/>
          <w:color w:val="auto"/>
          <w:highlight w:val="none"/>
          <w:u w:val="single"/>
        </w:rPr>
        <w:t xml:space="preserve">      /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13.</w:t>
      </w:r>
      <w:r>
        <w:rPr>
          <w:rFonts w:hint="eastAsia" w:cs="宋体" w:asciiTheme="minorEastAsia" w:hAnsiTheme="minorEastAsia" w:eastAsiaTheme="minorEastAsia"/>
          <w:color w:val="auto"/>
          <w:sz w:val="28"/>
          <w:szCs w:val="20"/>
          <w:highlight w:val="none"/>
        </w:rPr>
        <w:t>工程质量</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13.2  </w:t>
      </w:r>
      <w:r>
        <w:rPr>
          <w:rFonts w:hint="eastAsia" w:asciiTheme="minorEastAsia" w:hAnsiTheme="minorEastAsia" w:eastAsiaTheme="minorEastAsia"/>
          <w:color w:val="auto"/>
          <w:sz w:val="24"/>
          <w:szCs w:val="20"/>
          <w:highlight w:val="none"/>
        </w:rPr>
        <w:t>承包人的质量管理</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13.2.1  </w:t>
      </w:r>
      <w:r>
        <w:rPr>
          <w:rFonts w:hint="eastAsia" w:asciiTheme="minorEastAsia" w:hAnsiTheme="minorEastAsia" w:eastAsiaTheme="minorEastAsia"/>
          <w:color w:val="auto"/>
          <w:highlight w:val="none"/>
        </w:rPr>
        <w:t>承包人向监理人提交工程质量保证措施文件的期限：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合同生效后7天内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监理人审批工程质量保证措施文件的期限：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7日</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13.3  </w:t>
      </w:r>
      <w:r>
        <w:rPr>
          <w:rFonts w:hint="eastAsia" w:asciiTheme="minorEastAsia" w:hAnsiTheme="minorEastAsia" w:eastAsiaTheme="minorEastAsia"/>
          <w:color w:val="auto"/>
          <w:sz w:val="24"/>
          <w:szCs w:val="20"/>
          <w:highlight w:val="none"/>
        </w:rPr>
        <w:t xml:space="preserve">承包人的质量检查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承包人向监理人报送工程质量报表的期限： </w:t>
      </w:r>
      <w:r>
        <w:rPr>
          <w:rFonts w:hint="eastAsia" w:asciiTheme="minorEastAsia" w:hAnsiTheme="minorEastAsia" w:eastAsiaTheme="minorEastAsia"/>
          <w:color w:val="auto"/>
          <w:highlight w:val="none"/>
          <w:u w:val="single"/>
        </w:rPr>
        <w:t xml:space="preserve"> 每月</w:t>
      </w:r>
      <w:r>
        <w:rPr>
          <w:rFonts w:asciiTheme="minorEastAsia" w:hAnsiTheme="minorEastAsia" w:eastAsiaTheme="minorEastAsia"/>
          <w:color w:val="auto"/>
          <w:highlight w:val="none"/>
          <w:u w:val="single"/>
        </w:rPr>
        <w:t>25</w:t>
      </w:r>
      <w:r>
        <w:rPr>
          <w:rFonts w:hint="eastAsia" w:asciiTheme="minorEastAsia" w:hAnsiTheme="minorEastAsia" w:eastAsiaTheme="minorEastAsia"/>
          <w:color w:val="auto"/>
          <w:highlight w:val="none"/>
          <w:u w:val="single"/>
        </w:rPr>
        <w:t>日报监理工程师</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承包人向监理人报送工程质量报表的要求：</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符合国家有关规定和行业标准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监理人审查工程质量报表的期限：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接到报告后</w:t>
      </w:r>
      <w:r>
        <w:rPr>
          <w:rFonts w:asciiTheme="minorEastAsia" w:hAnsiTheme="minorEastAsia" w:eastAsiaTheme="minorEastAsia"/>
          <w:color w:val="auto"/>
          <w:highlight w:val="none"/>
          <w:u w:val="single"/>
        </w:rPr>
        <w:t>14</w:t>
      </w:r>
      <w:r>
        <w:rPr>
          <w:rFonts w:hint="eastAsia" w:asciiTheme="minorEastAsia" w:hAnsiTheme="minorEastAsia" w:eastAsiaTheme="minorEastAsia"/>
          <w:color w:val="auto"/>
          <w:highlight w:val="none"/>
          <w:u w:val="single"/>
        </w:rPr>
        <w:t xml:space="preserve">天内核实已完工程量 </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13.4  </w:t>
      </w:r>
      <w:r>
        <w:rPr>
          <w:rFonts w:hint="eastAsia" w:asciiTheme="minorEastAsia" w:hAnsiTheme="minorEastAsia" w:eastAsiaTheme="minorEastAsia"/>
          <w:color w:val="auto"/>
          <w:sz w:val="24"/>
          <w:szCs w:val="20"/>
          <w:highlight w:val="none"/>
        </w:rPr>
        <w:t>监理人的质量检查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承包人应当为监理人的检查和检验提供方便，监理人可以进行察看和查阅施工原始记录的其他地方包括：</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施工场地、承包人的现场试验场所、承包人的预制构件制作车间、承包人门窗制作车间、等重要材料设备制作场地</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13.5  </w:t>
      </w:r>
      <w:r>
        <w:rPr>
          <w:rFonts w:hint="eastAsia" w:asciiTheme="minorEastAsia" w:hAnsiTheme="minorEastAsia" w:eastAsiaTheme="minorEastAsia"/>
          <w:color w:val="auto"/>
          <w:sz w:val="24"/>
          <w:szCs w:val="20"/>
          <w:highlight w:val="none"/>
        </w:rPr>
        <w:t>工程隐蔽部位覆盖前的检查</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13.5.1  </w:t>
      </w:r>
      <w:r>
        <w:rPr>
          <w:rFonts w:hint="eastAsia" w:asciiTheme="minorEastAsia" w:hAnsiTheme="minorEastAsia" w:eastAsiaTheme="minorEastAsia"/>
          <w:color w:val="auto"/>
          <w:highlight w:val="none"/>
        </w:rPr>
        <w:t>监理人对工程隐蔽部位进行检查的期限：</w:t>
      </w:r>
      <w:r>
        <w:rPr>
          <w:rFonts w:hint="eastAsia" w:cs="宋体" w:asciiTheme="minorEastAsia" w:hAnsiTheme="minorEastAsia" w:eastAsiaTheme="minorEastAsia"/>
          <w:color w:val="auto"/>
          <w:highlight w:val="none"/>
          <w:u w:val="single"/>
        </w:rPr>
        <w:t>收到承包人的检查通知后12小时内</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15.</w:t>
      </w:r>
      <w:r>
        <w:rPr>
          <w:rFonts w:hint="eastAsia" w:cs="宋体" w:asciiTheme="minorEastAsia" w:hAnsiTheme="minorEastAsia" w:eastAsiaTheme="minorEastAsia"/>
          <w:color w:val="auto"/>
          <w:sz w:val="28"/>
          <w:szCs w:val="20"/>
          <w:highlight w:val="none"/>
        </w:rPr>
        <w:t>变更</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15.1  </w:t>
      </w:r>
      <w:r>
        <w:rPr>
          <w:rFonts w:hint="eastAsia" w:asciiTheme="minorEastAsia" w:hAnsiTheme="minorEastAsia" w:eastAsiaTheme="minorEastAsia"/>
          <w:color w:val="auto"/>
          <w:sz w:val="24"/>
          <w:szCs w:val="20"/>
          <w:highlight w:val="none"/>
        </w:rPr>
        <w:t>变更的范围和内容</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15.1.1</w:t>
      </w:r>
      <w:r>
        <w:rPr>
          <w:rFonts w:hint="eastAsia" w:asciiTheme="minorEastAsia" w:hAnsiTheme="minorEastAsia" w:eastAsiaTheme="minorEastAsia"/>
          <w:color w:val="auto"/>
          <w:highlight w:val="none"/>
        </w:rPr>
        <w:t>在履行合同中发生以下情形之一，应按照本条规定进行变更。</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）变更的其他情形：</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15.3  </w:t>
      </w:r>
      <w:r>
        <w:rPr>
          <w:rFonts w:hint="eastAsia" w:asciiTheme="minorEastAsia" w:hAnsiTheme="minorEastAsia" w:eastAsiaTheme="minorEastAsia"/>
          <w:color w:val="auto"/>
          <w:sz w:val="24"/>
          <w:szCs w:val="20"/>
          <w:highlight w:val="none"/>
        </w:rPr>
        <w:t>变更程序</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15.3.2  </w:t>
      </w:r>
      <w:r>
        <w:rPr>
          <w:rFonts w:hint="eastAsia" w:asciiTheme="minorEastAsia" w:hAnsiTheme="minorEastAsia" w:eastAsiaTheme="minorEastAsia"/>
          <w:color w:val="auto"/>
          <w:highlight w:val="none"/>
        </w:rPr>
        <w:t>变更估价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）承包人提交变更报价书的期限：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承包人收到变更指示或变更意向书后的</w:t>
      </w:r>
      <w:r>
        <w:rPr>
          <w:rFonts w:asciiTheme="minorEastAsia" w:hAnsiTheme="minorEastAsia" w:eastAsiaTheme="minorEastAsia"/>
          <w:color w:val="auto"/>
          <w:highlight w:val="none"/>
          <w:u w:val="single"/>
        </w:rPr>
        <w:t>14</w:t>
      </w:r>
      <w:r>
        <w:rPr>
          <w:rFonts w:hint="eastAsia" w:asciiTheme="minorEastAsia" w:hAnsiTheme="minorEastAsia" w:eastAsiaTheme="minorEastAsia"/>
          <w:color w:val="auto"/>
          <w:highlight w:val="none"/>
          <w:u w:val="single"/>
        </w:rPr>
        <w:t>天内</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）监理人商定或确定变更价格的期限：</w:t>
      </w:r>
      <w:r>
        <w:rPr>
          <w:rFonts w:hint="eastAsia" w:asciiTheme="minorEastAsia" w:hAnsiTheme="minorEastAsia" w:eastAsiaTheme="minorEastAsia"/>
          <w:color w:val="auto"/>
          <w:highlight w:val="none"/>
          <w:u w:val="single"/>
        </w:rPr>
        <w:t>监理人收到承包人变更报价书后的</w:t>
      </w:r>
      <w:r>
        <w:rPr>
          <w:rFonts w:asciiTheme="minorEastAsia" w:hAnsiTheme="minorEastAsia" w:eastAsiaTheme="minorEastAsia"/>
          <w:color w:val="auto"/>
          <w:highlight w:val="none"/>
          <w:u w:val="single"/>
        </w:rPr>
        <w:t>14</w:t>
      </w:r>
      <w:r>
        <w:rPr>
          <w:rFonts w:hint="eastAsia" w:asciiTheme="minorEastAsia" w:hAnsiTheme="minorEastAsia" w:eastAsiaTheme="minorEastAsia"/>
          <w:color w:val="auto"/>
          <w:highlight w:val="none"/>
          <w:u w:val="single"/>
        </w:rPr>
        <w:t>天内</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15.4  </w:t>
      </w:r>
      <w:r>
        <w:rPr>
          <w:rFonts w:hint="eastAsia" w:asciiTheme="minorEastAsia" w:hAnsiTheme="minorEastAsia" w:eastAsiaTheme="minorEastAsia"/>
          <w:color w:val="auto"/>
          <w:sz w:val="24"/>
          <w:szCs w:val="20"/>
          <w:highlight w:val="none"/>
        </w:rPr>
        <w:t>变更的估价原则</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15.4.5  </w:t>
      </w:r>
      <w:r>
        <w:rPr>
          <w:rFonts w:hint="eastAsia" w:asciiTheme="minorEastAsia" w:hAnsiTheme="minorEastAsia" w:eastAsiaTheme="minorEastAsia"/>
          <w:color w:val="auto"/>
          <w:highlight w:val="none"/>
        </w:rPr>
        <w:t>合同协议书约定采用单价合同形式时，因非承包人原因引起已标价工程量清单中列明的工程量发生增减，且单个子目工程量变化幅度在</w:t>
      </w:r>
      <w:r>
        <w:rPr>
          <w:rFonts w:hint="eastAsia" w:asciiTheme="minorEastAsia" w:hAnsiTheme="minorEastAsia" w:eastAsiaTheme="minorEastAsia"/>
          <w:color w:val="auto"/>
          <w:highlight w:val="none"/>
          <w:u w:val="single"/>
        </w:rPr>
        <w:t>±15</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以内（含）时，应执行已标价工程量清单中列明的该子目的单价；单个子目工程量变化幅度在</w:t>
      </w:r>
      <w:r>
        <w:rPr>
          <w:rFonts w:hint="eastAsia" w:asciiTheme="minorEastAsia" w:hAnsiTheme="minorEastAsia" w:eastAsiaTheme="minorEastAsia"/>
          <w:color w:val="auto"/>
          <w:highlight w:val="none"/>
          <w:u w:val="single"/>
        </w:rPr>
        <w:t>±15</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以外（不含），且导致分部分项工程费总额变化幅度超过</w:t>
      </w:r>
      <w:r>
        <w:rPr>
          <w:rFonts w:hint="eastAsia" w:asciiTheme="minorEastAsia" w:hAnsiTheme="minorEastAsia" w:eastAsiaTheme="minorEastAsia"/>
          <w:color w:val="auto"/>
          <w:highlight w:val="none"/>
          <w:u w:val="single"/>
        </w:rPr>
        <w:t>±1</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时，由承包人提出并由监理人按第</w:t>
      </w:r>
      <w:r>
        <w:rPr>
          <w:rFonts w:asciiTheme="minorEastAsia" w:hAnsiTheme="minorEastAsia" w:eastAsiaTheme="minorEastAsia"/>
          <w:color w:val="auto"/>
          <w:highlight w:val="none"/>
        </w:rPr>
        <w:t>3.5</w:t>
      </w:r>
      <w:r>
        <w:rPr>
          <w:rFonts w:hint="eastAsia" w:asciiTheme="minorEastAsia" w:hAnsiTheme="minorEastAsia" w:eastAsiaTheme="minorEastAsia"/>
          <w:color w:val="auto"/>
          <w:highlight w:val="none"/>
        </w:rPr>
        <w:t>款商定或确定新的单价，该子目按修正后的新的单价计价。</w:t>
      </w:r>
    </w:p>
    <w:p>
      <w:pPr>
        <w:spacing w:line="360" w:lineRule="auto"/>
        <w:ind w:firstLine="420" w:firstLineChars="200"/>
        <w:rPr>
          <w:rFonts w:cs="宋体"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15.4.6  </w:t>
      </w:r>
      <w:r>
        <w:rPr>
          <w:rFonts w:hint="eastAsia" w:asciiTheme="minorEastAsia" w:hAnsiTheme="minorEastAsia" w:eastAsiaTheme="minorEastAsia"/>
          <w:color w:val="auto"/>
          <w:highlight w:val="none"/>
        </w:rPr>
        <w:t>因变更引起价格调整的其他处理方式：</w:t>
      </w:r>
      <w:r>
        <w:rPr>
          <w:rFonts w:hint="eastAsia" w:cs="宋体" w:asciiTheme="minorEastAsia" w:hAnsiTheme="minorEastAsia" w:eastAsiaTheme="minorEastAsia"/>
          <w:color w:val="auto"/>
          <w:highlight w:val="none"/>
          <w:u w:val="single"/>
        </w:rPr>
        <w:t>已标价工程量清单中无适用或类似子目的单价或根据合同条款</w:t>
      </w:r>
      <w:r>
        <w:rPr>
          <w:rFonts w:asciiTheme="minorEastAsia" w:hAnsiTheme="minorEastAsia" w:eastAsiaTheme="minorEastAsia"/>
          <w:color w:val="auto"/>
          <w:highlight w:val="none"/>
          <w:u w:val="single"/>
        </w:rPr>
        <w:t>15.4.5</w:t>
      </w:r>
      <w:r>
        <w:rPr>
          <w:rFonts w:hint="eastAsia" w:cs="宋体" w:asciiTheme="minorEastAsia" w:hAnsiTheme="minorEastAsia" w:eastAsiaTheme="minorEastAsia"/>
          <w:color w:val="auto"/>
          <w:highlight w:val="none"/>
          <w:u w:val="single"/>
        </w:rPr>
        <w:t>款约定需要确定新的单价的情况时，单价按下列约定计价方式进行组价：</w:t>
      </w:r>
    </w:p>
    <w:p>
      <w:pPr>
        <w:spacing w:line="400" w:lineRule="exact"/>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t>a.</w:t>
      </w:r>
      <w:r>
        <w:rPr>
          <w:rFonts w:hint="eastAsia" w:cs="宋体" w:asciiTheme="minorEastAsia" w:hAnsiTheme="minorEastAsia" w:eastAsiaTheme="minorEastAsia"/>
          <w:color w:val="auto"/>
          <w:highlight w:val="none"/>
          <w:u w:val="single"/>
        </w:rPr>
        <w:t>以《建设工程工程量清单计价规范》（</w:t>
      </w:r>
      <w:r>
        <w:rPr>
          <w:rFonts w:asciiTheme="minorEastAsia" w:hAnsiTheme="minorEastAsia" w:eastAsiaTheme="minorEastAsia"/>
          <w:color w:val="auto"/>
          <w:highlight w:val="none"/>
          <w:u w:val="single"/>
        </w:rPr>
        <w:t>GB50</w:t>
      </w:r>
      <w:r>
        <w:rPr>
          <w:rFonts w:cs="宋体" w:asciiTheme="minorEastAsia" w:hAnsiTheme="minorEastAsia" w:eastAsiaTheme="minorEastAsia"/>
          <w:color w:val="auto"/>
          <w:highlight w:val="none"/>
          <w:u w:val="single"/>
        </w:rPr>
        <w:t>500-2013</w:t>
      </w:r>
      <w:r>
        <w:rPr>
          <w:rFonts w:hint="eastAsia" w:cs="宋体" w:asciiTheme="minorEastAsia" w:hAnsiTheme="minorEastAsia" w:eastAsiaTheme="minorEastAsia"/>
          <w:color w:val="auto"/>
          <w:highlight w:val="none"/>
          <w:u w:val="single"/>
        </w:rPr>
        <w:t>）为依据，执行2021年《北京市建设工程计价依据——预算消耗量标准》中人工、材料、机械消耗量标准；在已标价的工程量清单中已有相应的人工、材料和机械单价的，按已有的执行；如没有，则主材和设备单价按发包人的批价，辅材和机械费单价按定额基价计入；取费费率按已标价的工程量清单中确定的为准。</w:t>
      </w:r>
    </w:p>
    <w:p>
      <w:pPr>
        <w:spacing w:line="400" w:lineRule="exact"/>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t>b.</w:t>
      </w:r>
      <w:r>
        <w:rPr>
          <w:rFonts w:hint="eastAsia" w:cs="宋体" w:asciiTheme="minorEastAsia" w:hAnsiTheme="minorEastAsia" w:eastAsiaTheme="minorEastAsia"/>
          <w:color w:val="auto"/>
          <w:highlight w:val="none"/>
          <w:u w:val="single"/>
        </w:rPr>
        <w:t>在</w:t>
      </w:r>
      <w:r>
        <w:rPr>
          <w:rFonts w:asciiTheme="minorEastAsia" w:hAnsiTheme="minorEastAsia" w:eastAsiaTheme="minorEastAsia"/>
          <w:color w:val="auto"/>
          <w:highlight w:val="none"/>
          <w:u w:val="single"/>
        </w:rPr>
        <w:t>2021年《北京市建设工程计价依据——预算消耗量标准》</w:t>
      </w:r>
      <w:r>
        <w:rPr>
          <w:rFonts w:hint="eastAsia" w:cs="宋体" w:asciiTheme="minorEastAsia" w:hAnsiTheme="minorEastAsia" w:eastAsiaTheme="minorEastAsia"/>
          <w:color w:val="auto"/>
          <w:highlight w:val="none"/>
          <w:u w:val="single"/>
        </w:rPr>
        <w:t>中没有相应子目的项目，由承包人或发包人提出价格组成明细，经监理人审核后，报经对方确认后执行；其中在已标价的工程量清单中已有相应的人工、材料和机械单价的，按照已有的执行；如果没有，由承包人或发包人提出，经监理人审核后，报经对方确认后执行；取费费率以已标价的工程量清单中确定的为准。</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c.</w:t>
      </w:r>
      <w:r>
        <w:rPr>
          <w:rFonts w:hint="eastAsia" w:cs="宋体" w:asciiTheme="minorEastAsia" w:hAnsiTheme="minorEastAsia" w:eastAsiaTheme="minorEastAsia"/>
          <w:color w:val="auto"/>
          <w:highlight w:val="none"/>
          <w:u w:val="single"/>
        </w:rPr>
        <w:t>如双方不能达成一致的，双方可提请工程所在地工程造价管理机构进行咨询或直接按本合同第</w:t>
      </w:r>
      <w:r>
        <w:rPr>
          <w:rFonts w:asciiTheme="minorEastAsia" w:hAnsiTheme="minorEastAsia" w:eastAsiaTheme="minorEastAsia"/>
          <w:color w:val="auto"/>
          <w:highlight w:val="none"/>
          <w:u w:val="single"/>
        </w:rPr>
        <w:t>24</w:t>
      </w:r>
      <w:r>
        <w:rPr>
          <w:rFonts w:hint="eastAsia" w:cs="宋体" w:asciiTheme="minorEastAsia" w:hAnsiTheme="minorEastAsia" w:eastAsiaTheme="minorEastAsia"/>
          <w:color w:val="auto"/>
          <w:highlight w:val="none"/>
          <w:u w:val="single"/>
        </w:rPr>
        <w:t>条解决</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15.5  </w:t>
      </w:r>
      <w:r>
        <w:rPr>
          <w:rFonts w:hint="eastAsia" w:asciiTheme="minorEastAsia" w:hAnsiTheme="minorEastAsia" w:eastAsiaTheme="minorEastAsia"/>
          <w:color w:val="auto"/>
          <w:sz w:val="24"/>
          <w:szCs w:val="20"/>
          <w:highlight w:val="none"/>
        </w:rPr>
        <w:t>承包人的合理化建议</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15.5.2  </w:t>
      </w:r>
      <w:r>
        <w:rPr>
          <w:rFonts w:hint="eastAsia" w:asciiTheme="minorEastAsia" w:hAnsiTheme="minorEastAsia" w:eastAsiaTheme="minorEastAsia"/>
          <w:color w:val="auto"/>
          <w:highlight w:val="none"/>
        </w:rPr>
        <w:t>对承包人提出合理化建议的奖励方法：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15.8  </w:t>
      </w:r>
      <w:r>
        <w:rPr>
          <w:rFonts w:hint="eastAsia" w:asciiTheme="minorEastAsia" w:hAnsiTheme="minorEastAsia" w:eastAsiaTheme="minorEastAsia"/>
          <w:color w:val="auto"/>
          <w:sz w:val="24"/>
          <w:szCs w:val="20"/>
          <w:highlight w:val="none"/>
        </w:rPr>
        <w:t>暂估价</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15.8.1  </w:t>
      </w:r>
      <w:r>
        <w:rPr>
          <w:rFonts w:hint="eastAsia" w:asciiTheme="minorEastAsia" w:hAnsiTheme="minorEastAsia" w:eastAsiaTheme="minorEastAsia"/>
          <w:color w:val="auto"/>
          <w:highlight w:val="none"/>
        </w:rPr>
        <w:t>按合同约定应当由发包人和承包人采用招标方式选择专项供应商或专业分包人的：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）承包人报送招标计划期限：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4" w:firstLineChars="20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发包人审批招标工作计划时限：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）承包人报送相关文件时限：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4" w:firstLineChars="20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发包人审批相关文件时限：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left="420" w:left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10</w:t>
      </w:r>
      <w:r>
        <w:rPr>
          <w:rFonts w:hint="eastAsia" w:asciiTheme="minorEastAsia" w:hAnsiTheme="minorEastAsia" w:eastAsiaTheme="minorEastAsia"/>
          <w:color w:val="auto"/>
          <w:highlight w:val="none"/>
        </w:rPr>
        <w:t>）承包人申报合同文件时限：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发包人审批合同文件时限：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承包人报送正式签订合同副本时限：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15.8.3  </w:t>
      </w:r>
      <w:r>
        <w:rPr>
          <w:rFonts w:hint="eastAsia" w:asciiTheme="minorEastAsia" w:hAnsiTheme="minorEastAsia" w:eastAsiaTheme="minorEastAsia"/>
          <w:color w:val="auto"/>
          <w:highlight w:val="none"/>
        </w:rPr>
        <w:t>发包人在工程量清单中给定暂估价的专业工程不属于依法必须招标的范围或者未达到依法必须招标的规模标准的，其最终价格的估价人为：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或者按照下列约定：</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16.</w:t>
      </w:r>
      <w:r>
        <w:rPr>
          <w:rFonts w:hint="eastAsia" w:cs="宋体" w:asciiTheme="minorEastAsia" w:hAnsiTheme="minorEastAsia" w:eastAsiaTheme="minorEastAsia"/>
          <w:color w:val="auto"/>
          <w:sz w:val="28"/>
          <w:szCs w:val="20"/>
          <w:highlight w:val="none"/>
        </w:rPr>
        <w:t>价格调整</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16.1  </w:t>
      </w:r>
      <w:r>
        <w:rPr>
          <w:rFonts w:hint="eastAsia" w:asciiTheme="minorEastAsia" w:hAnsiTheme="minorEastAsia" w:eastAsiaTheme="minorEastAsia"/>
          <w:color w:val="auto"/>
          <w:sz w:val="24"/>
          <w:szCs w:val="20"/>
          <w:highlight w:val="none"/>
        </w:rPr>
        <w:t>物价波动引起的价格调整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物价波动引起价格调整方法：</w:t>
      </w:r>
      <w:r>
        <w:rPr>
          <w:rFonts w:hint="eastAsia" w:asciiTheme="minorEastAsia" w:hAnsiTheme="minorEastAsia" w:eastAsiaTheme="minorEastAsia"/>
          <w:color w:val="auto"/>
          <w:highlight w:val="none"/>
          <w:u w:val="single"/>
        </w:rPr>
        <w:t>采用北京市造价信息调整价格差额</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16.1.2  </w:t>
      </w:r>
      <w:r>
        <w:rPr>
          <w:rFonts w:hint="eastAsia" w:asciiTheme="minorEastAsia" w:hAnsiTheme="minorEastAsia" w:eastAsiaTheme="minorEastAsia"/>
          <w:color w:val="auto"/>
          <w:highlight w:val="none"/>
        </w:rPr>
        <w:t>采用造价信息调整价格差额</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16.1.2.1  </w:t>
      </w:r>
      <w:r>
        <w:rPr>
          <w:rFonts w:hint="eastAsia" w:asciiTheme="minorEastAsia" w:hAnsiTheme="minorEastAsia" w:eastAsiaTheme="minorEastAsia"/>
          <w:color w:val="auto"/>
          <w:highlight w:val="none"/>
        </w:rPr>
        <w:t>引起价格调整的物价波动风险范围及幅度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引起价格调整的物价波动风险范围：</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      </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引起价格调整的物价波动风险幅度：</w:t>
      </w:r>
      <w:r>
        <w:rPr>
          <w:rFonts w:hint="eastAsia" w:cs="宋体" w:asciiTheme="minorEastAsia" w:hAnsiTheme="minorEastAsia" w:eastAsiaTheme="minorEastAsia"/>
          <w:color w:val="auto"/>
          <w:highlight w:val="none"/>
          <w:u w:val="single"/>
        </w:rPr>
        <w:t xml:space="preserve"> </w:t>
      </w:r>
      <w:r>
        <w:rPr>
          <w:rFonts w:cs="宋体"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16.1.2.2   </w:t>
      </w:r>
      <w:r>
        <w:rPr>
          <w:rFonts w:hint="eastAsia" w:asciiTheme="minorEastAsia" w:hAnsiTheme="minorEastAsia" w:eastAsiaTheme="minorEastAsia"/>
          <w:color w:val="auto"/>
          <w:highlight w:val="none"/>
        </w:rPr>
        <w:t>物价波动引起价格调整的风险幅度的计算方法</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）投标报价基准期：</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202</w:t>
      </w:r>
      <w:r>
        <w:rPr>
          <w:rFonts w:asciiTheme="minorEastAsia" w:hAnsiTheme="minorEastAsia" w:eastAsiaTheme="minorEastAsia"/>
          <w:color w:val="auto"/>
          <w:highlight w:val="none"/>
          <w:u w:val="single"/>
        </w:rPr>
        <w:t>3</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06</w:t>
      </w:r>
      <w:r>
        <w:rPr>
          <w:rFonts w:hint="eastAsia" w:asciiTheme="minorEastAsia" w:hAnsiTheme="minorEastAsia" w:eastAsiaTheme="minorEastAsia"/>
          <w:color w:val="auto"/>
          <w:highlight w:val="none"/>
        </w:rPr>
        <w:t>月。</w:t>
      </w:r>
    </w:p>
    <w:p>
      <w:pPr>
        <w:spacing w:line="360" w:lineRule="auto"/>
        <w:ind w:firstLine="630" w:firstLineChars="3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）《北京工程造价信息》市场价格信息中没有的，基准价的确定方法：</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监理人发布开工令时，以发包人、承包人、监理人共同确认的市场价格为依据确定，由承包人提供相应认定材料</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）合同施工期市场价格的确定方法：</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《北京建设工程造价信息》中有的，以施工期对应的《北京建设工程造价信息》中的市场信息价格的算术平均值为依据确定；《北京建设工程造价信息》中没有的，按发包人、承包人双方确认的市场价格为准</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16.1.2.3  </w:t>
      </w:r>
      <w:r>
        <w:rPr>
          <w:rFonts w:hint="eastAsia" w:asciiTheme="minorEastAsia" w:hAnsiTheme="minorEastAsia" w:eastAsiaTheme="minorEastAsia"/>
          <w:color w:val="auto"/>
          <w:highlight w:val="none"/>
        </w:rPr>
        <w:t>物价波动引起价格调整的方法</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）本工程单价调整方法采用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（加权平均法</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算数平均法</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其他计算方法）。</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采用加权平均法：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420" w:lineRule="auto"/>
        <w:ind w:firstLine="630" w:firstLineChars="3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采用算数平均法：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按实际施工进度对应的当期造价信息价格</w:t>
      </w:r>
      <w:r>
        <w:rPr>
          <w:rFonts w:asciiTheme="minorEastAsia" w:hAnsiTheme="minorEastAsia" w:eastAsiaTheme="minorEastAsia"/>
          <w:color w:val="auto"/>
          <w:highlight w:val="none"/>
          <w:u w:val="single"/>
        </w:rPr>
        <w:t xml:space="preserve">算术平均值进行调整 </w:t>
      </w:r>
      <w:r>
        <w:rPr>
          <w:rFonts w:hint="eastAsia" w:asciiTheme="minorEastAsia" w:hAnsiTheme="minorEastAsia" w:eastAsiaTheme="minorEastAsia"/>
          <w:color w:val="auto"/>
          <w:highlight w:val="none"/>
          <w:u w:val="single"/>
        </w:rPr>
        <w:t>。</w:t>
      </w:r>
    </w:p>
    <w:p>
      <w:pPr>
        <w:spacing w:line="420" w:lineRule="auto"/>
        <w:ind w:firstLine="630" w:firstLineChars="3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计算公式：M=（X</w:t>
      </w:r>
      <w:r>
        <w:rPr>
          <w:rFonts w:hint="eastAsia" w:asciiTheme="minorEastAsia" w:hAnsiTheme="minorEastAsia" w:eastAsiaTheme="minorEastAsia"/>
          <w:color w:val="auto"/>
          <w:highlight w:val="none"/>
          <w:u w:val="single"/>
          <w:vertAlign w:val="subscript"/>
        </w:rPr>
        <w:t>1</w:t>
      </w:r>
      <w:r>
        <w:rPr>
          <w:rFonts w:hint="eastAsia" w:asciiTheme="minorEastAsia" w:hAnsiTheme="minorEastAsia" w:eastAsiaTheme="minorEastAsia"/>
          <w:color w:val="auto"/>
          <w:highlight w:val="none"/>
          <w:u w:val="single"/>
        </w:rPr>
        <w:t>+X</w:t>
      </w:r>
      <w:r>
        <w:rPr>
          <w:rFonts w:hint="eastAsia" w:asciiTheme="minorEastAsia" w:hAnsiTheme="minorEastAsia" w:eastAsiaTheme="minorEastAsia"/>
          <w:color w:val="auto"/>
          <w:highlight w:val="none"/>
          <w:u w:val="single"/>
          <w:vertAlign w:val="subscript"/>
        </w:rPr>
        <w:t>2</w:t>
      </w:r>
      <w:r>
        <w:rPr>
          <w:rFonts w:hint="eastAsia" w:asciiTheme="minorEastAsia" w:hAnsiTheme="minorEastAsia" w:eastAsiaTheme="minorEastAsia"/>
          <w:color w:val="auto"/>
          <w:highlight w:val="none"/>
          <w:u w:val="single"/>
        </w:rPr>
        <w:t>+X</w:t>
      </w:r>
      <w:r>
        <w:rPr>
          <w:rFonts w:hint="eastAsia" w:asciiTheme="minorEastAsia" w:hAnsiTheme="minorEastAsia" w:eastAsiaTheme="minorEastAsia"/>
          <w:color w:val="auto"/>
          <w:highlight w:val="none"/>
          <w:u w:val="single"/>
          <w:vertAlign w:val="subscript"/>
        </w:rPr>
        <w:t>3</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w:t>
      </w:r>
      <w:r>
        <w:rPr>
          <w:rFonts w:hint="eastAsia" w:asciiTheme="minorEastAsia" w:hAnsiTheme="minorEastAsia" w:eastAsiaTheme="minorEastAsia"/>
          <w:color w:val="auto"/>
          <w:highlight w:val="none"/>
          <w:u w:val="single"/>
        </w:rPr>
        <w:t>Xn）/n</w:t>
      </w:r>
    </w:p>
    <w:p>
      <w:pPr>
        <w:spacing w:line="420" w:lineRule="auto"/>
        <w:ind w:firstLine="630" w:firstLineChars="3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其中：M代表施工期内各期人工、材料、设备价格平均值</w:t>
      </w:r>
    </w:p>
    <w:p>
      <w:pPr>
        <w:spacing w:line="420" w:lineRule="auto"/>
        <w:ind w:left="1274" w:leftChars="300" w:hanging="644" w:hangingChars="307"/>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u w:val="single"/>
        </w:rPr>
        <w:t>X</w:t>
      </w:r>
      <w:r>
        <w:rPr>
          <w:rFonts w:hint="eastAsia" w:asciiTheme="minorEastAsia" w:hAnsiTheme="minorEastAsia" w:eastAsiaTheme="minorEastAsia"/>
          <w:color w:val="auto"/>
          <w:highlight w:val="none"/>
          <w:u w:val="single"/>
          <w:vertAlign w:val="subscript"/>
        </w:rPr>
        <w:t>1</w:t>
      </w:r>
      <w:r>
        <w:rPr>
          <w:rFonts w:hint="eastAsia" w:asciiTheme="minorEastAsia" w:hAnsiTheme="minorEastAsia" w:eastAsiaTheme="minorEastAsia"/>
          <w:color w:val="auto"/>
          <w:highlight w:val="none"/>
          <w:u w:val="single"/>
        </w:rPr>
        <w:t>、X</w:t>
      </w:r>
      <w:r>
        <w:rPr>
          <w:rFonts w:hint="eastAsia" w:asciiTheme="minorEastAsia" w:hAnsiTheme="minorEastAsia" w:eastAsiaTheme="minorEastAsia"/>
          <w:color w:val="auto"/>
          <w:highlight w:val="none"/>
          <w:u w:val="single"/>
          <w:vertAlign w:val="subscript"/>
        </w:rPr>
        <w:t>2</w:t>
      </w:r>
      <w:r>
        <w:rPr>
          <w:rFonts w:hint="eastAsia" w:asciiTheme="minorEastAsia" w:hAnsiTheme="minorEastAsia" w:eastAsiaTheme="minorEastAsia"/>
          <w:color w:val="auto"/>
          <w:highlight w:val="none"/>
          <w:u w:val="single"/>
        </w:rPr>
        <w:t>、X</w:t>
      </w:r>
      <w:r>
        <w:rPr>
          <w:rFonts w:hint="eastAsia" w:asciiTheme="minorEastAsia" w:hAnsiTheme="minorEastAsia" w:eastAsiaTheme="minorEastAsia"/>
          <w:color w:val="auto"/>
          <w:highlight w:val="none"/>
          <w:u w:val="single"/>
          <w:vertAlign w:val="subscript"/>
        </w:rPr>
        <w:t>3</w:t>
      </w:r>
      <w:r>
        <w:rPr>
          <w:rFonts w:asciiTheme="minorEastAsia" w:hAnsiTheme="minorEastAsia" w:eastAsiaTheme="minorEastAsia"/>
          <w:color w:val="auto"/>
          <w:highlight w:val="none"/>
          <w:u w:val="single"/>
        </w:rPr>
        <w:t>……</w:t>
      </w:r>
      <w:r>
        <w:rPr>
          <w:rFonts w:hint="eastAsia" w:asciiTheme="minorEastAsia" w:hAnsiTheme="minorEastAsia" w:eastAsiaTheme="minorEastAsia"/>
          <w:color w:val="auto"/>
          <w:highlight w:val="none"/>
          <w:u w:val="single"/>
        </w:rPr>
        <w:t>Xn代表人工、材料、机械对应施工期每月造价信息价格，施工期未达到造价信息公布时间的，按上月造价信息调整；</w:t>
      </w:r>
    </w:p>
    <w:p>
      <w:pPr>
        <w:spacing w:line="42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u w:val="single"/>
        </w:rPr>
        <w:t>n代表施工期（月）数量。</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采用其他计算方法：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                             </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16.1.2.4  </w:t>
      </w:r>
      <w:r>
        <w:rPr>
          <w:rFonts w:hint="eastAsia" w:asciiTheme="minorEastAsia" w:hAnsiTheme="minorEastAsia" w:eastAsiaTheme="minorEastAsia"/>
          <w:color w:val="auto"/>
          <w:highlight w:val="none"/>
        </w:rPr>
        <w:t>其他约定：</w:t>
      </w:r>
      <w:r>
        <w:rPr>
          <w:rFonts w:hint="eastAsia" w:asciiTheme="minorEastAsia" w:hAnsiTheme="minorEastAsia" w:eastAsiaTheme="minorEastAsia"/>
          <w:color w:val="auto"/>
          <w:highlight w:val="none"/>
          <w:u w:val="single"/>
        </w:rPr>
        <w:t xml:space="preserve">           /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16.1.3  </w:t>
      </w:r>
      <w:r>
        <w:rPr>
          <w:rFonts w:hint="eastAsia" w:asciiTheme="minorEastAsia" w:hAnsiTheme="minorEastAsia" w:eastAsiaTheme="minorEastAsia"/>
          <w:color w:val="auto"/>
          <w:highlight w:val="none"/>
        </w:rPr>
        <w:t>其他价格调整方法</w:t>
      </w:r>
    </w:p>
    <w:p>
      <w:pPr>
        <w:spacing w:line="420" w:lineRule="auto"/>
        <w:ind w:left="424" w:leftChars="202"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除安全文明施工费外工程施工发生的夜间施工增加费、冬雨季施工增加费、二次搬运费、已完工程及设备保护费等按项计取的措施项目费均已包含在合同价款中结算时不予调整。</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17.</w:t>
      </w:r>
      <w:r>
        <w:rPr>
          <w:rFonts w:hint="eastAsia" w:cs="宋体" w:asciiTheme="minorEastAsia" w:hAnsiTheme="minorEastAsia" w:eastAsiaTheme="minorEastAsia"/>
          <w:color w:val="auto"/>
          <w:sz w:val="28"/>
          <w:szCs w:val="20"/>
          <w:highlight w:val="none"/>
        </w:rPr>
        <w:t>计量与支付</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17.1  </w:t>
      </w:r>
      <w:r>
        <w:rPr>
          <w:rFonts w:hint="eastAsia" w:asciiTheme="minorEastAsia" w:hAnsiTheme="minorEastAsia" w:eastAsiaTheme="minorEastAsia"/>
          <w:color w:val="auto"/>
          <w:sz w:val="24"/>
          <w:szCs w:val="20"/>
          <w:highlight w:val="none"/>
        </w:rPr>
        <w:t>计量</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17.1.3  </w:t>
      </w:r>
      <w:r>
        <w:rPr>
          <w:rFonts w:hint="eastAsia" w:asciiTheme="minorEastAsia" w:hAnsiTheme="minorEastAsia" w:eastAsiaTheme="minorEastAsia"/>
          <w:color w:val="auto"/>
          <w:highlight w:val="none"/>
        </w:rPr>
        <w:t>计量周期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）每月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25</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日为当月计量截止日期（不含当日）和下月计量起始日期（含当日）。</w:t>
      </w:r>
    </w:p>
    <w:p>
      <w:pPr>
        <w:spacing w:line="360" w:lineRule="auto"/>
        <w:ind w:left="105" w:leftChars="50" w:firstLine="315" w:firstLineChars="1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）本合同</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执行</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（执行（采用单价合同形式时）</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不执行（采用总价合同形式时））单价子目已完成工程量按月计量。</w:t>
      </w:r>
    </w:p>
    <w:p>
      <w:pPr>
        <w:spacing w:line="360" w:lineRule="auto"/>
        <w:ind w:left="105" w:leftChars="50" w:firstLine="315" w:firstLineChars="1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）总价子目计量方式采用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按实际完成工程量计量</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（支付分解报告</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按实际完成工程量计量）。</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17.1.5  </w:t>
      </w:r>
      <w:r>
        <w:rPr>
          <w:rFonts w:hint="eastAsia" w:asciiTheme="minorEastAsia" w:hAnsiTheme="minorEastAsia" w:eastAsiaTheme="minorEastAsia"/>
          <w:color w:val="auto"/>
          <w:highlight w:val="none"/>
        </w:rPr>
        <w:t>总价子目的计量（适用于采用支付分解报告）</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）采用支付分解报告计量方式的，总价子目的价格调整方法：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17.1.5  </w:t>
      </w:r>
      <w:r>
        <w:rPr>
          <w:rFonts w:hint="eastAsia" w:asciiTheme="minorEastAsia" w:hAnsiTheme="minorEastAsia" w:eastAsiaTheme="minorEastAsia"/>
          <w:color w:val="auto"/>
          <w:highlight w:val="none"/>
        </w:rPr>
        <w:t>总价子目的计量（适用于采用按实际完成工程量计量）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）采用按实际完成工程量计量方式的</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总价子目的价格调整方法：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因非承包人原因引起已标价工程量清单中某单个子目工程量变化幅度超过15%（不含）且承包人或监理人认为该变化引起相关措施项目发生变化的，发包人或监理人要求承包人针对措施项目的变化提交施工调整方案及价格调整报告，监理人批准后确定需调整的措施项目价款</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17.2  </w:t>
      </w:r>
      <w:r>
        <w:rPr>
          <w:rFonts w:hint="eastAsia" w:asciiTheme="minorEastAsia" w:hAnsiTheme="minorEastAsia" w:eastAsiaTheme="minorEastAsia"/>
          <w:color w:val="auto"/>
          <w:sz w:val="24"/>
          <w:szCs w:val="20"/>
          <w:highlight w:val="none"/>
        </w:rPr>
        <w:t>预付款</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17.2.1  </w:t>
      </w:r>
      <w:r>
        <w:rPr>
          <w:rFonts w:hint="eastAsia" w:asciiTheme="minorEastAsia" w:hAnsiTheme="minorEastAsia" w:eastAsiaTheme="minorEastAsia"/>
          <w:color w:val="auto"/>
          <w:highlight w:val="none"/>
        </w:rPr>
        <w:t>预付款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）预付款额度</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预付款额度：</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bCs/>
          <w:color w:val="auto"/>
          <w:highlight w:val="none"/>
          <w:u w:val="single"/>
        </w:rPr>
        <w:t>预付合同价款的</w:t>
      </w:r>
      <w:r>
        <w:rPr>
          <w:rFonts w:asciiTheme="minorEastAsia" w:hAnsiTheme="minorEastAsia" w:eastAsiaTheme="minorEastAsia"/>
          <w:bCs/>
          <w:color w:val="auto"/>
          <w:highlight w:val="none"/>
          <w:u w:val="single"/>
        </w:rPr>
        <w:t>3</w:t>
      </w:r>
      <w:r>
        <w:rPr>
          <w:rFonts w:hint="eastAsia" w:asciiTheme="minorEastAsia" w:hAnsiTheme="minorEastAsia" w:eastAsiaTheme="minorEastAsia"/>
          <w:bCs/>
          <w:color w:val="auto"/>
          <w:highlight w:val="none"/>
          <w:u w:val="single"/>
        </w:rPr>
        <w:t>0%</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其中：安全文明施工费用预付额度：</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100%</w:t>
      </w:r>
      <w:r>
        <w:rPr>
          <w:rFonts w:asciiTheme="minorEastAsia" w:hAnsiTheme="minorEastAsia" w:eastAsiaTheme="minorEastAsia"/>
          <w:color w:val="auto"/>
          <w:highlight w:val="none"/>
          <w:u w:val="single"/>
        </w:rPr>
        <w:t xml:space="preserve">        </w:t>
      </w:r>
    </w:p>
    <w:p>
      <w:pPr>
        <w:spacing w:line="360" w:lineRule="auto"/>
        <w:ind w:firstLine="1260" w:firstLineChars="6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其他预付款额度：</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）预付办法</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预付款预付办法：</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在收到承包人提交的预付款正式发票及项目资金批复到位后，发包人一次性向承包人支付预付款</w:t>
      </w:r>
    </w:p>
    <w:p>
      <w:pPr>
        <w:spacing w:line="360" w:lineRule="auto"/>
        <w:ind w:firstLine="630" w:firstLineChars="3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预付款的支付时间：</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本合同生效后</w:t>
      </w:r>
      <w:r>
        <w:rPr>
          <w:rFonts w:asciiTheme="minorEastAsia" w:hAnsiTheme="minorEastAsia" w:eastAsiaTheme="minorEastAsia"/>
          <w:color w:val="auto"/>
          <w:highlight w:val="none"/>
          <w:u w:val="single"/>
        </w:rPr>
        <w:t>14</w:t>
      </w:r>
      <w:r>
        <w:rPr>
          <w:rFonts w:hint="eastAsia" w:cs="宋体" w:asciiTheme="minorEastAsia" w:hAnsiTheme="minorEastAsia" w:eastAsiaTheme="minorEastAsia"/>
          <w:color w:val="auto"/>
          <w:highlight w:val="none"/>
          <w:u w:val="single"/>
        </w:rPr>
        <w:t>日历天内（但需在收到承包人提交的正式发票后或乙方施工进场7日历天内）</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17.2.2  </w:t>
      </w:r>
      <w:r>
        <w:rPr>
          <w:rFonts w:hint="eastAsia" w:asciiTheme="minorEastAsia" w:hAnsiTheme="minorEastAsia" w:eastAsiaTheme="minorEastAsia"/>
          <w:color w:val="auto"/>
          <w:highlight w:val="none"/>
        </w:rPr>
        <w:t>预付款的扣回与还清</w:t>
      </w:r>
    </w:p>
    <w:p>
      <w:pPr>
        <w:spacing w:line="400" w:lineRule="exact"/>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预付款的扣回办法：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17.3  </w:t>
      </w:r>
      <w:r>
        <w:rPr>
          <w:rFonts w:hint="eastAsia" w:asciiTheme="minorEastAsia" w:hAnsiTheme="minorEastAsia" w:eastAsiaTheme="minorEastAsia"/>
          <w:color w:val="auto"/>
          <w:sz w:val="24"/>
          <w:szCs w:val="20"/>
          <w:highlight w:val="none"/>
        </w:rPr>
        <w:t>工程进度付款</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17.3.2  </w:t>
      </w:r>
      <w:r>
        <w:rPr>
          <w:rFonts w:hint="eastAsia" w:asciiTheme="minorEastAsia" w:hAnsiTheme="minorEastAsia" w:eastAsiaTheme="minorEastAsia"/>
          <w:color w:val="auto"/>
          <w:highlight w:val="none"/>
        </w:rPr>
        <w:t>进度付款申请单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进度付款申请单的份数：</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六份</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承包人报送监理人的进度付款申请单应包括下列内容：</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）根据合同应增加和（或）扣减的其他内容金额：</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付款次数或编号；截止本次付款周期末已实施工程的价款；变更金额；索赔金额；本次应支付的预付款和（或）应扣减的返还预付款；本次扣减的质量保证金；根据合同应增加和扣减的其他金额；对已签发的进度款支付证书中出现错误的修正，应在本次进度付款中支付或扣除的金额.</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17.3.3  </w:t>
      </w:r>
      <w:r>
        <w:rPr>
          <w:rFonts w:hint="eastAsia" w:asciiTheme="minorEastAsia" w:hAnsiTheme="minorEastAsia" w:eastAsiaTheme="minorEastAsia"/>
          <w:color w:val="auto"/>
          <w:highlight w:val="none"/>
        </w:rPr>
        <w:t>进度付款证书和支付时间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）逾期付款违约金的计算标准：/</w:t>
      </w:r>
    </w:p>
    <w:p>
      <w:pPr>
        <w:spacing w:line="360" w:lineRule="auto"/>
        <w:ind w:firstLine="567" w:firstLineChars="27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逾期付款违约金的计算方法：/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）进度付款涉及政府性资金的支付方法：</w:t>
      </w:r>
      <w:bookmarkStart w:id="673" w:name="_Hlk96416755"/>
      <w:r>
        <w:rPr>
          <w:rFonts w:hint="eastAsia" w:cs="宋体" w:asciiTheme="minorEastAsia" w:hAnsiTheme="minorEastAsia" w:eastAsiaTheme="minorEastAsia"/>
          <w:color w:val="auto"/>
          <w:highlight w:val="none"/>
          <w:u w:val="single"/>
        </w:rPr>
        <w:t>采取按节点支付方式支付，当本工程进度完成总工程的6</w:t>
      </w:r>
      <w:r>
        <w:rPr>
          <w:rFonts w:cs="宋体" w:asciiTheme="minorEastAsia" w:hAnsiTheme="minorEastAsia" w:eastAsiaTheme="minorEastAsia"/>
          <w:color w:val="auto"/>
          <w:highlight w:val="none"/>
          <w:u w:val="single"/>
        </w:rPr>
        <w:t>0</w:t>
      </w:r>
      <w:r>
        <w:rPr>
          <w:rFonts w:hint="eastAsia" w:cs="宋体" w:asciiTheme="minorEastAsia" w:hAnsiTheme="minorEastAsia" w:eastAsiaTheme="minorEastAsia"/>
          <w:color w:val="auto"/>
          <w:highlight w:val="none"/>
          <w:u w:val="single"/>
        </w:rPr>
        <w:t>%时，支付至签约合同价的5</w:t>
      </w:r>
      <w:r>
        <w:rPr>
          <w:rFonts w:cs="宋体" w:asciiTheme="minorEastAsia" w:hAnsiTheme="minorEastAsia" w:eastAsiaTheme="minorEastAsia"/>
          <w:color w:val="auto"/>
          <w:highlight w:val="none"/>
          <w:u w:val="single"/>
        </w:rPr>
        <w:t>0</w:t>
      </w:r>
      <w:r>
        <w:rPr>
          <w:rFonts w:hint="eastAsia" w:cs="宋体" w:asciiTheme="minorEastAsia" w:hAnsiTheme="minorEastAsia" w:eastAsiaTheme="minorEastAsia"/>
          <w:color w:val="auto"/>
          <w:highlight w:val="none"/>
          <w:u w:val="single"/>
        </w:rPr>
        <w:t>%，整体完成竣工验收合格后10日内支付至签约合同价</w:t>
      </w:r>
      <w:r>
        <w:rPr>
          <w:rFonts w:cs="宋体" w:asciiTheme="minorEastAsia" w:hAnsiTheme="minorEastAsia" w:eastAsiaTheme="minorEastAsia"/>
          <w:color w:val="auto"/>
          <w:highlight w:val="none"/>
          <w:u w:val="single"/>
        </w:rPr>
        <w:t>80</w:t>
      </w:r>
      <w:r>
        <w:rPr>
          <w:rFonts w:hint="eastAsia" w:cs="宋体" w:asciiTheme="minorEastAsia" w:hAnsiTheme="minorEastAsia" w:eastAsiaTheme="minorEastAsia"/>
          <w:color w:val="auto"/>
          <w:highlight w:val="none"/>
          <w:u w:val="single"/>
        </w:rPr>
        <w:t>%，结算审计后10日内支付至结算价的</w:t>
      </w:r>
      <w:r>
        <w:rPr>
          <w:rFonts w:cs="宋体" w:asciiTheme="minorEastAsia" w:hAnsiTheme="minorEastAsia" w:eastAsiaTheme="minorEastAsia"/>
          <w:color w:val="auto"/>
          <w:highlight w:val="none"/>
          <w:u w:val="single"/>
        </w:rPr>
        <w:t>97</w:t>
      </w:r>
      <w:r>
        <w:rPr>
          <w:rFonts w:hint="eastAsia" w:cs="宋体" w:asciiTheme="minorEastAsia" w:hAnsiTheme="minorEastAsia" w:eastAsiaTheme="minorEastAsia"/>
          <w:color w:val="auto"/>
          <w:highlight w:val="none"/>
          <w:u w:val="single"/>
        </w:rPr>
        <w:t>%，质保金3%。双方配合接受审计，审计结论作为双方工程结算的依据</w:t>
      </w:r>
      <w:bookmarkEnd w:id="673"/>
      <w:r>
        <w:rPr>
          <w:rFonts w:hint="eastAsia" w:cs="宋体" w:asciiTheme="minorEastAsia" w:hAnsiTheme="minorEastAsia" w:eastAsiaTheme="minorEastAsia"/>
          <w:color w:val="auto"/>
          <w:highlight w:val="none"/>
          <w:u w:val="single"/>
        </w:rPr>
        <w:t>。因政府资金的迟延批复不视为发包人违约。</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17.4  </w:t>
      </w:r>
      <w:r>
        <w:rPr>
          <w:rFonts w:hint="eastAsia" w:asciiTheme="minorEastAsia" w:hAnsiTheme="minorEastAsia" w:eastAsiaTheme="minorEastAsia"/>
          <w:color w:val="auto"/>
          <w:sz w:val="24"/>
          <w:szCs w:val="20"/>
          <w:highlight w:val="none"/>
        </w:rPr>
        <w:t>质量保证金</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17.4.1  </w:t>
      </w:r>
      <w:r>
        <w:rPr>
          <w:rFonts w:hint="eastAsia" w:asciiTheme="minorEastAsia" w:hAnsiTheme="minorEastAsia" w:eastAsiaTheme="minorEastAsia"/>
          <w:color w:val="auto"/>
          <w:highlight w:val="none"/>
        </w:rPr>
        <w:t>质量保证金处理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）质量保证金形式：</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（采用银行保函担保或其他保函担保形式╱采用扣留质量保证金）。</w:t>
      </w:r>
    </w:p>
    <w:p>
      <w:pPr>
        <w:spacing w:line="360" w:lineRule="auto"/>
        <w:ind w:firstLine="945" w:firstLineChars="4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质量保证金约定比例：</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3</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17.5  </w:t>
      </w:r>
      <w:r>
        <w:rPr>
          <w:rFonts w:hint="eastAsia" w:asciiTheme="minorEastAsia" w:hAnsiTheme="minorEastAsia" w:eastAsiaTheme="minorEastAsia"/>
          <w:color w:val="auto"/>
          <w:sz w:val="24"/>
          <w:szCs w:val="20"/>
          <w:highlight w:val="none"/>
        </w:rPr>
        <w:t>竣工结算</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17.5.1  </w:t>
      </w:r>
      <w:r>
        <w:rPr>
          <w:rFonts w:hint="eastAsia" w:asciiTheme="minorEastAsia" w:hAnsiTheme="minorEastAsia" w:eastAsiaTheme="minorEastAsia"/>
          <w:color w:val="auto"/>
          <w:highlight w:val="none"/>
        </w:rPr>
        <w:t>竣工付款申请单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）承包人提交竣工付款申请单的份数：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提交</w:t>
      </w:r>
      <w:r>
        <w:rPr>
          <w:rFonts w:asciiTheme="minorEastAsia" w:hAnsiTheme="minorEastAsia" w:eastAsiaTheme="minorEastAsia"/>
          <w:color w:val="auto"/>
          <w:highlight w:val="none"/>
          <w:u w:val="single"/>
        </w:rPr>
        <w:t>5</w:t>
      </w:r>
      <w:r>
        <w:rPr>
          <w:rFonts w:hint="eastAsia" w:asciiTheme="minorEastAsia" w:hAnsiTheme="minorEastAsia" w:eastAsiaTheme="minorEastAsia"/>
          <w:color w:val="auto"/>
          <w:highlight w:val="none"/>
          <w:u w:val="single"/>
        </w:rPr>
        <w:t>份竣工付款申请单</w:t>
      </w:r>
      <w:r>
        <w:rPr>
          <w:rFonts w:asciiTheme="minorEastAsia" w:hAnsiTheme="minorEastAsia" w:eastAsiaTheme="minorEastAsia"/>
          <w:color w:val="auto"/>
          <w:highlight w:val="none"/>
          <w:u w:val="single"/>
        </w:rPr>
        <w:t xml:space="preserve">     </w:t>
      </w:r>
    </w:p>
    <w:p>
      <w:pPr>
        <w:spacing w:line="360" w:lineRule="auto"/>
        <w:ind w:firstLine="840" w:firstLineChars="4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承包人提交竣工付款申请单的期限：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在工程接收证书颁发后</w:t>
      </w:r>
      <w:r>
        <w:rPr>
          <w:rFonts w:asciiTheme="minorEastAsia" w:hAnsiTheme="minorEastAsia" w:eastAsiaTheme="minorEastAsia"/>
          <w:color w:val="auto"/>
          <w:highlight w:val="none"/>
          <w:u w:val="single"/>
        </w:rPr>
        <w:t>14</w:t>
      </w:r>
      <w:r>
        <w:rPr>
          <w:rFonts w:hint="eastAsia" w:asciiTheme="minorEastAsia" w:hAnsiTheme="minorEastAsia" w:eastAsiaTheme="minorEastAsia"/>
          <w:color w:val="auto"/>
          <w:highlight w:val="none"/>
          <w:u w:val="single"/>
        </w:rPr>
        <w:t>天内</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2</w:t>
      </w:r>
      <w:r>
        <w:rPr>
          <w:rFonts w:hint="eastAsia" w:asciiTheme="minorEastAsia" w:hAnsiTheme="minorEastAsia" w:eastAsiaTheme="minorEastAsia"/>
          <w:color w:val="auto"/>
          <w:highlight w:val="none"/>
          <w:u w:val="single"/>
        </w:rPr>
        <w:t>）竣工付款申请单的其他内容：</w:t>
      </w:r>
      <w:r>
        <w:rPr>
          <w:rFonts w:hint="eastAsia" w:cs="宋体" w:asciiTheme="minorEastAsia" w:hAnsiTheme="minorEastAsia" w:eastAsiaTheme="minorEastAsia"/>
          <w:color w:val="auto"/>
          <w:highlight w:val="none"/>
          <w:u w:val="single"/>
        </w:rPr>
        <w:t>按照发包人规定的格式和内容填写，应包括但不限于竣工结算合同总价、已支付的工程价款、应扣回的预付款、应扣留的质量保证金、应支付的竣工付款金额、工程变更、工程洽商、现场签证等。</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17.6  </w:t>
      </w:r>
      <w:r>
        <w:rPr>
          <w:rFonts w:hint="eastAsia" w:asciiTheme="minorEastAsia" w:hAnsiTheme="minorEastAsia" w:eastAsiaTheme="minorEastAsia"/>
          <w:color w:val="auto"/>
          <w:sz w:val="24"/>
          <w:szCs w:val="20"/>
          <w:highlight w:val="none"/>
        </w:rPr>
        <w:t>最终结清</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17.6.1  </w:t>
      </w:r>
      <w:r>
        <w:rPr>
          <w:rFonts w:hint="eastAsia" w:asciiTheme="minorEastAsia" w:hAnsiTheme="minorEastAsia" w:eastAsiaTheme="minorEastAsia"/>
          <w:color w:val="auto"/>
          <w:highlight w:val="none"/>
        </w:rPr>
        <w:t>最终结清申请单</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）承包人提交最终结清申请单的份数：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提交</w:t>
      </w:r>
      <w:r>
        <w:rPr>
          <w:rFonts w:asciiTheme="minorEastAsia" w:hAnsiTheme="minorEastAsia" w:eastAsiaTheme="minorEastAsia"/>
          <w:color w:val="auto"/>
          <w:highlight w:val="none"/>
          <w:u w:val="single"/>
        </w:rPr>
        <w:t>5</w:t>
      </w:r>
      <w:r>
        <w:rPr>
          <w:rFonts w:hint="eastAsia" w:asciiTheme="minorEastAsia" w:hAnsiTheme="minorEastAsia" w:eastAsiaTheme="minorEastAsia"/>
          <w:color w:val="auto"/>
          <w:highlight w:val="none"/>
          <w:u w:val="single"/>
        </w:rPr>
        <w:t>份最终结清申请单</w:t>
      </w:r>
      <w:r>
        <w:rPr>
          <w:rFonts w:asciiTheme="minorEastAsia" w:hAnsiTheme="minorEastAsia" w:eastAsiaTheme="minorEastAsia"/>
          <w:color w:val="auto"/>
          <w:highlight w:val="none"/>
          <w:u w:val="single"/>
        </w:rPr>
        <w:t xml:space="preserve">      </w:t>
      </w:r>
    </w:p>
    <w:p>
      <w:pPr>
        <w:spacing w:line="360" w:lineRule="auto"/>
        <w:ind w:firstLine="945" w:firstLineChars="4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承包人提交最终结清申请单的期限：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在缺陷责任期终止证书颁发后28天内</w:t>
      </w:r>
      <w:r>
        <w:rPr>
          <w:rFonts w:asciiTheme="minorEastAsia" w:hAnsiTheme="minorEastAsia" w:eastAsiaTheme="minorEastAsia"/>
          <w:color w:val="auto"/>
          <w:highlight w:val="none"/>
          <w:u w:val="single"/>
        </w:rPr>
        <w:t xml:space="preserve">         </w:t>
      </w:r>
    </w:p>
    <w:p>
      <w:pPr>
        <w:spacing w:line="360" w:lineRule="auto"/>
        <w:ind w:firstLine="949" w:firstLineChars="45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发包人向承包人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不支付  </w:t>
      </w:r>
      <w:r>
        <w:rPr>
          <w:rFonts w:hint="eastAsia" w:asciiTheme="minorEastAsia" w:hAnsiTheme="minorEastAsia" w:eastAsiaTheme="minorEastAsia"/>
          <w:color w:val="auto"/>
          <w:highlight w:val="none"/>
        </w:rPr>
        <w:t>（支付</w:t>
      </w:r>
      <w:r>
        <w:rPr>
          <w:rFonts w:asciiTheme="minorEastAsia" w:hAnsiTheme="minorEastAsia" w:eastAsiaTheme="minorEastAsia"/>
          <w:color w:val="auto"/>
          <w:highlight w:val="none"/>
        </w:rPr>
        <w:t xml:space="preserve"> / </w:t>
      </w:r>
      <w:r>
        <w:rPr>
          <w:rFonts w:hint="eastAsia" w:asciiTheme="minorEastAsia" w:hAnsiTheme="minorEastAsia" w:eastAsiaTheme="minorEastAsia"/>
          <w:color w:val="auto"/>
          <w:highlight w:val="none"/>
        </w:rPr>
        <w:t>不支付）质量保证金利息。</w:t>
      </w:r>
    </w:p>
    <w:p>
      <w:pPr>
        <w:spacing w:line="360" w:lineRule="auto"/>
        <w:ind w:firstLine="949" w:firstLineChars="45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发包人向承包人支付质量保证金利息的，利息计算方法：</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18.</w:t>
      </w:r>
      <w:r>
        <w:rPr>
          <w:rFonts w:hint="eastAsia" w:cs="宋体" w:asciiTheme="minorEastAsia" w:hAnsiTheme="minorEastAsia" w:eastAsiaTheme="minorEastAsia"/>
          <w:color w:val="auto"/>
          <w:sz w:val="28"/>
          <w:szCs w:val="20"/>
          <w:highlight w:val="none"/>
        </w:rPr>
        <w:t>竣工验收</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18.2  </w:t>
      </w:r>
      <w:r>
        <w:rPr>
          <w:rFonts w:hint="eastAsia" w:asciiTheme="minorEastAsia" w:hAnsiTheme="minorEastAsia" w:eastAsiaTheme="minorEastAsia"/>
          <w:color w:val="auto"/>
          <w:sz w:val="24"/>
          <w:szCs w:val="20"/>
          <w:highlight w:val="none"/>
        </w:rPr>
        <w:t>竣工验收申请报告</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）承包人负责整理和提交的竣工验收资料具体内容：</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除监理人同意列入缺陷责任期内完成的尾工（甩项）工程和缺陷修补工作外，合同范围内的全部单位工程以及有关工作，包括合同要求的试验，试运行以及检验和验收均已完成，并符合合同要求；已按合同约定的内容和份数备齐了符合要求的竣工资料；已按监理人的要求编制了在缺陷责任期内完成的尾工（甩项）工程和缺陷修补工作清单以及相应施工计划；监理人要求在竣工验收前应完成的其他工作；监理人要求提交的竣工验收资料清单；由监理人确认的工程相关项目管理系统电子版竣工验收资料。</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竣工验收资料的份数：</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6套竣工图及工程档案资料（含6套缩微版文档，执行档案馆要求）</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竣工验收资料的费用支付方式：</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由承包人支付已包含在投标报价中</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18.5  </w:t>
      </w:r>
      <w:r>
        <w:rPr>
          <w:rFonts w:hint="eastAsia" w:asciiTheme="minorEastAsia" w:hAnsiTheme="minorEastAsia" w:eastAsiaTheme="minorEastAsia"/>
          <w:color w:val="auto"/>
          <w:sz w:val="24"/>
          <w:szCs w:val="20"/>
          <w:highlight w:val="none"/>
        </w:rPr>
        <w:t>施工期运行</w:t>
      </w:r>
    </w:p>
    <w:p>
      <w:pPr>
        <w:spacing w:line="360" w:lineRule="auto"/>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18.5.1  </w:t>
      </w:r>
      <w:r>
        <w:rPr>
          <w:rFonts w:hint="eastAsia" w:asciiTheme="minorEastAsia" w:hAnsiTheme="minorEastAsia" w:eastAsiaTheme="minorEastAsia"/>
          <w:color w:val="auto"/>
          <w:highlight w:val="none"/>
        </w:rPr>
        <w:t>需要施工期运行的单位工程或设备安装工程：</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18.8  </w:t>
      </w:r>
      <w:r>
        <w:rPr>
          <w:rFonts w:hint="eastAsia" w:asciiTheme="minorEastAsia" w:hAnsiTheme="minorEastAsia" w:eastAsiaTheme="minorEastAsia"/>
          <w:color w:val="auto"/>
          <w:sz w:val="24"/>
          <w:szCs w:val="20"/>
          <w:highlight w:val="none"/>
        </w:rPr>
        <w:t>施工队伍的撤离</w:t>
      </w:r>
    </w:p>
    <w:p>
      <w:pPr>
        <w:spacing w:line="360" w:lineRule="auto"/>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18.8.3  </w:t>
      </w:r>
      <w:r>
        <w:rPr>
          <w:rFonts w:hint="eastAsia" w:asciiTheme="minorEastAsia" w:hAnsiTheme="minorEastAsia" w:eastAsiaTheme="minorEastAsia"/>
          <w:color w:val="auto"/>
          <w:highlight w:val="none"/>
        </w:rPr>
        <w:t>缺陷责任期满时，承包人在施工场地保留的人员和施工设备最终撤离的期限：</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在发包人发出最终撤离通知后15天内</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18.9  </w:t>
      </w:r>
      <w:r>
        <w:rPr>
          <w:rFonts w:hint="eastAsia" w:asciiTheme="minorEastAsia" w:hAnsiTheme="minorEastAsia" w:eastAsiaTheme="minorEastAsia"/>
          <w:color w:val="auto"/>
          <w:sz w:val="24"/>
          <w:szCs w:val="20"/>
          <w:highlight w:val="none"/>
        </w:rPr>
        <w:t>中间验收</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18.9.1  </w:t>
      </w:r>
      <w:r>
        <w:rPr>
          <w:rFonts w:hint="eastAsia" w:asciiTheme="minorEastAsia" w:hAnsiTheme="minorEastAsia" w:eastAsiaTheme="minorEastAsia"/>
          <w:color w:val="auto"/>
          <w:highlight w:val="none"/>
        </w:rPr>
        <w:t>本工程需要进行中间验收的部位：</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18.9.2  </w:t>
      </w:r>
      <w:r>
        <w:rPr>
          <w:rFonts w:hint="eastAsia" w:asciiTheme="minorEastAsia" w:hAnsiTheme="minorEastAsia" w:eastAsiaTheme="minorEastAsia"/>
          <w:color w:val="auto"/>
          <w:highlight w:val="none"/>
        </w:rPr>
        <w:t>验收不合格的，承包人在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7日</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期限内进行修改后重新验收。</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19.</w:t>
      </w:r>
      <w:r>
        <w:rPr>
          <w:rFonts w:hint="eastAsia" w:cs="宋体" w:asciiTheme="minorEastAsia" w:hAnsiTheme="minorEastAsia" w:eastAsiaTheme="minorEastAsia"/>
          <w:color w:val="auto"/>
          <w:sz w:val="28"/>
          <w:szCs w:val="20"/>
          <w:highlight w:val="none"/>
        </w:rPr>
        <w:t>缺陷责任与保修责任</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19.7  </w:t>
      </w:r>
      <w:r>
        <w:rPr>
          <w:rFonts w:hint="eastAsia" w:asciiTheme="minorEastAsia" w:hAnsiTheme="minorEastAsia" w:eastAsiaTheme="minorEastAsia"/>
          <w:color w:val="auto"/>
          <w:sz w:val="24"/>
          <w:szCs w:val="20"/>
          <w:highlight w:val="none"/>
        </w:rPr>
        <w:t>保修责任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19.7.1  </w:t>
      </w:r>
      <w:r>
        <w:rPr>
          <w:rFonts w:hint="eastAsia" w:asciiTheme="minorEastAsia" w:hAnsiTheme="minorEastAsia" w:eastAsiaTheme="minorEastAsia"/>
          <w:color w:val="auto"/>
          <w:highlight w:val="none"/>
        </w:rPr>
        <w:t>工程质量保修范围：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施工合同约定的所有施工承包范围内工程质量保修责任</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工程质量保修期限：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基础设施工程的地基基础和主体结构工程，为设计文件规定的合理使用年限；其他项目的保修期为两年，自全部工程竣工验收合格之日起计算</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工程质量保修责任：</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按《建设工程质量管理条例》规定执行</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20.</w:t>
      </w:r>
      <w:r>
        <w:rPr>
          <w:rFonts w:hint="eastAsia" w:cs="宋体" w:asciiTheme="minorEastAsia" w:hAnsiTheme="minorEastAsia" w:eastAsiaTheme="minorEastAsia"/>
          <w:color w:val="auto"/>
          <w:sz w:val="28"/>
          <w:szCs w:val="20"/>
          <w:highlight w:val="none"/>
        </w:rPr>
        <w:t>保险</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20.1  </w:t>
      </w:r>
      <w:r>
        <w:rPr>
          <w:rFonts w:hint="eastAsia" w:asciiTheme="minorEastAsia" w:hAnsiTheme="minorEastAsia" w:eastAsiaTheme="minorEastAsia"/>
          <w:color w:val="auto"/>
          <w:sz w:val="24"/>
          <w:szCs w:val="20"/>
          <w:highlight w:val="none"/>
        </w:rPr>
        <w:t>工程保险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本工程</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投保</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投保</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不投保</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工程保险。投保工程保险时，险种为：</w:t>
      </w:r>
      <w:r>
        <w:rPr>
          <w:rFonts w:asciiTheme="minorEastAsia" w:hAnsiTheme="minorEastAsia" w:eastAsiaTheme="minorEastAsia"/>
          <w:color w:val="auto"/>
          <w:highlight w:val="none"/>
          <w:u w:val="single"/>
        </w:rPr>
        <w:t>建筑工程一切险或安装工程一切险</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工伤保险</w:t>
      </w:r>
      <w:r>
        <w:rPr>
          <w:rFonts w:hint="eastAsia" w:asciiTheme="minorEastAsia" w:hAnsiTheme="minorEastAsia" w:eastAsiaTheme="minorEastAsia"/>
          <w:color w:val="auto"/>
          <w:highlight w:val="none"/>
          <w:u w:val="single"/>
        </w:rPr>
        <w:t>包含在合同价款中，发包人不单独列清单项支付</w:t>
      </w:r>
      <w:r>
        <w:rPr>
          <w:rFonts w:hint="eastAsia" w:asciiTheme="minorEastAsia" w:hAnsiTheme="minorEastAsia" w:eastAsiaTheme="minorEastAsia"/>
          <w:color w:val="auto"/>
          <w:highlight w:val="none"/>
        </w:rPr>
        <w:t>，并符合以下约定：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）投保人：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承包人</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）投保内容：</w:t>
      </w:r>
      <w:r>
        <w:rPr>
          <w:rFonts w:asciiTheme="minorEastAsia" w:hAnsiTheme="minorEastAsia" w:eastAsiaTheme="minorEastAsia"/>
          <w:color w:val="auto"/>
          <w:highlight w:val="none"/>
          <w:u w:val="single"/>
        </w:rPr>
        <w:t>建筑工程一切险或安装工程一切险</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工伤保险</w:t>
      </w:r>
      <w:r>
        <w:rPr>
          <w:rFonts w:hint="eastAsia" w:asciiTheme="minorEastAsia" w:hAnsiTheme="minorEastAsia" w:eastAsiaTheme="minorEastAsia"/>
          <w:color w:val="auto"/>
          <w:highlight w:val="none"/>
          <w:u w:val="single"/>
        </w:rPr>
        <w:t>包含在合同价款中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）保险费率：由投保人与合同双方同意的保险人商定。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）保险金额：</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工程本身全部价值的100%</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）保险期限：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合同实施期间</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20.4  </w:t>
      </w:r>
      <w:r>
        <w:rPr>
          <w:rFonts w:hint="eastAsia" w:asciiTheme="minorEastAsia" w:hAnsiTheme="minorEastAsia" w:eastAsiaTheme="minorEastAsia"/>
          <w:color w:val="auto"/>
          <w:sz w:val="24"/>
          <w:szCs w:val="20"/>
          <w:highlight w:val="none"/>
        </w:rPr>
        <w:t>第三者责任险</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20.4.2  </w:t>
      </w:r>
      <w:r>
        <w:rPr>
          <w:rFonts w:hint="eastAsia" w:asciiTheme="minorEastAsia" w:hAnsiTheme="minorEastAsia" w:eastAsiaTheme="minorEastAsia"/>
          <w:color w:val="auto"/>
          <w:highlight w:val="none"/>
        </w:rPr>
        <w:t>保险金额：</w:t>
      </w:r>
      <w:r>
        <w:rPr>
          <w:rFonts w:hint="eastAsia" w:asciiTheme="minorEastAsia" w:hAnsiTheme="minorEastAsia" w:eastAsiaTheme="minorEastAsia"/>
          <w:color w:val="auto"/>
          <w:highlight w:val="none"/>
          <w:u w:val="single"/>
        </w:rPr>
        <w:t>已包含在建筑工程一切险中</w:t>
      </w:r>
      <w:r>
        <w:rPr>
          <w:rFonts w:hint="eastAsia" w:asciiTheme="minorEastAsia" w:hAnsiTheme="minorEastAsia" w:eastAsiaTheme="minorEastAsia"/>
          <w:color w:val="auto"/>
          <w:highlight w:val="none"/>
        </w:rPr>
        <w:t>，保险费率由承包人与发包人同意的保险人商定，相关保险费由</w:t>
      </w:r>
      <w:r>
        <w:rPr>
          <w:rFonts w:hint="eastAsia" w:asciiTheme="minorEastAsia" w:hAnsiTheme="minorEastAsia" w:eastAsiaTheme="minorEastAsia"/>
          <w:color w:val="auto"/>
          <w:highlight w:val="none"/>
          <w:u w:val="single"/>
        </w:rPr>
        <w:t>承包人</w:t>
      </w:r>
      <w:r>
        <w:rPr>
          <w:rFonts w:hint="eastAsia" w:asciiTheme="minorEastAsia" w:hAnsiTheme="minorEastAsia" w:eastAsiaTheme="minorEastAsia"/>
          <w:color w:val="auto"/>
          <w:highlight w:val="none"/>
        </w:rPr>
        <w:t>承担。</w:t>
      </w:r>
      <w:r>
        <w:rPr>
          <w:rFonts w:asciiTheme="minorEastAsia" w:hAnsiTheme="minorEastAsia" w:eastAsiaTheme="minorEastAsia"/>
          <w:color w:val="auto"/>
          <w:highlight w:val="none"/>
        </w:rPr>
        <w:t xml:space="preserve">                               </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20.5  </w:t>
      </w:r>
      <w:r>
        <w:rPr>
          <w:rFonts w:hint="eastAsia" w:asciiTheme="minorEastAsia" w:hAnsiTheme="minorEastAsia" w:eastAsiaTheme="minorEastAsia"/>
          <w:color w:val="auto"/>
          <w:sz w:val="24"/>
          <w:szCs w:val="20"/>
          <w:highlight w:val="none"/>
        </w:rPr>
        <w:t>其他保险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承包人应为其施工设备、进场材料和工程设备等办理的保险：</w:t>
      </w:r>
      <w:r>
        <w:rPr>
          <w:rFonts w:hint="eastAsia" w:asciiTheme="minorEastAsia" w:hAnsiTheme="minorEastAsia" w:eastAsiaTheme="minorEastAsia"/>
          <w:color w:val="auto"/>
          <w:highlight w:val="none"/>
          <w:u w:val="single"/>
        </w:rPr>
        <w:t>由承包人自行投标并承担保险费</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20.6  </w:t>
      </w:r>
      <w:r>
        <w:rPr>
          <w:rFonts w:hint="eastAsia" w:asciiTheme="minorEastAsia" w:hAnsiTheme="minorEastAsia" w:eastAsiaTheme="minorEastAsia"/>
          <w:color w:val="auto"/>
          <w:sz w:val="24"/>
          <w:szCs w:val="20"/>
          <w:highlight w:val="none"/>
        </w:rPr>
        <w:t>对各项保险的一般要求</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20.6.1  </w:t>
      </w:r>
      <w:r>
        <w:rPr>
          <w:rFonts w:hint="eastAsia" w:asciiTheme="minorEastAsia" w:hAnsiTheme="minorEastAsia" w:eastAsiaTheme="minorEastAsia"/>
          <w:color w:val="auto"/>
          <w:highlight w:val="none"/>
        </w:rPr>
        <w:t>保险凭证</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承包人向发包人提交各项保险生效的证据和保险单副本的期限：</w:t>
      </w:r>
      <w:r>
        <w:rPr>
          <w:rFonts w:hint="eastAsia" w:asciiTheme="minorEastAsia" w:hAnsiTheme="minorEastAsia" w:eastAsiaTheme="minorEastAsia"/>
          <w:color w:val="auto"/>
          <w:highlight w:val="none"/>
          <w:u w:val="single"/>
        </w:rPr>
        <w:t>合同生效后7天内</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20.6.4  </w:t>
      </w:r>
      <w:r>
        <w:rPr>
          <w:rFonts w:hint="eastAsia" w:asciiTheme="minorEastAsia" w:hAnsiTheme="minorEastAsia" w:eastAsiaTheme="minorEastAsia"/>
          <w:color w:val="auto"/>
          <w:highlight w:val="none"/>
        </w:rPr>
        <w:t>保险金不足的补偿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保险金不足以补偿损失时，承包人和发包人负责补偿的责任分摊：</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由承包人补偿</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21.</w:t>
      </w:r>
      <w:r>
        <w:rPr>
          <w:rFonts w:hint="eastAsia" w:cs="宋体" w:asciiTheme="minorEastAsia" w:hAnsiTheme="minorEastAsia" w:eastAsiaTheme="minorEastAsia"/>
          <w:color w:val="auto"/>
          <w:sz w:val="28"/>
          <w:szCs w:val="20"/>
          <w:highlight w:val="none"/>
        </w:rPr>
        <w:t>不可抗力</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21.1  </w:t>
      </w:r>
      <w:r>
        <w:rPr>
          <w:rFonts w:hint="eastAsia" w:asciiTheme="minorEastAsia" w:hAnsiTheme="minorEastAsia" w:eastAsiaTheme="minorEastAsia"/>
          <w:color w:val="auto"/>
          <w:sz w:val="24"/>
          <w:szCs w:val="20"/>
          <w:highlight w:val="none"/>
        </w:rPr>
        <w:t>不可抗力的确认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21.1.1  </w:t>
      </w:r>
      <w:r>
        <w:rPr>
          <w:rFonts w:hint="eastAsia" w:asciiTheme="minorEastAsia" w:hAnsiTheme="minorEastAsia" w:eastAsiaTheme="minorEastAsia"/>
          <w:color w:val="auto"/>
          <w:highlight w:val="none"/>
        </w:rPr>
        <w:t>合同条款通用部分第</w:t>
      </w:r>
      <w:r>
        <w:rPr>
          <w:rFonts w:asciiTheme="minorEastAsia" w:hAnsiTheme="minorEastAsia" w:eastAsiaTheme="minorEastAsia"/>
          <w:color w:val="auto"/>
          <w:highlight w:val="none"/>
        </w:rPr>
        <w:t>21.1.1</w:t>
      </w:r>
      <w:r>
        <w:rPr>
          <w:rFonts w:hint="eastAsia" w:asciiTheme="minorEastAsia" w:hAnsiTheme="minorEastAsia" w:eastAsiaTheme="minorEastAsia"/>
          <w:color w:val="auto"/>
          <w:highlight w:val="none"/>
        </w:rPr>
        <w:t>项约定的不可抗力以外的其他情形：</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不可抗力的等级范围约定：</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烈度7度（不含7度）以上地震，10级以上（不含10级）台风，日雨量60mm以上暴雨（以国家县（市）级以上气象局（台）、地震局（台）等专门机构公布为准），以及县市级以上政府公告不允许在本场地施工的时段</w:t>
      </w:r>
      <w:r>
        <w:rPr>
          <w:rFonts w:asciiTheme="minorEastAsia" w:hAnsiTheme="minorEastAsia" w:eastAsiaTheme="minorEastAsia"/>
          <w:color w:val="auto"/>
          <w:highlight w:val="none"/>
          <w:u w:val="single"/>
        </w:rPr>
        <w:t xml:space="preserve">  </w:t>
      </w:r>
    </w:p>
    <w:p>
      <w:pPr>
        <w:keepNext/>
        <w:keepLines/>
        <w:spacing w:before="120" w:beforeLines="50" w:after="120" w:afterLines="50" w:line="360" w:lineRule="auto"/>
        <w:outlineLvl w:val="1"/>
        <w:rPr>
          <w:rFonts w:cs="宋体" w:asciiTheme="minorEastAsia" w:hAnsiTheme="minorEastAsia" w:eastAsiaTheme="minorEastAsia"/>
          <w:color w:val="auto"/>
          <w:sz w:val="28"/>
          <w:szCs w:val="20"/>
          <w:highlight w:val="none"/>
        </w:rPr>
      </w:pPr>
      <w:r>
        <w:rPr>
          <w:rFonts w:cs="宋体" w:asciiTheme="minorEastAsia" w:hAnsiTheme="minorEastAsia" w:eastAsiaTheme="minorEastAsia"/>
          <w:color w:val="auto"/>
          <w:sz w:val="28"/>
          <w:szCs w:val="20"/>
          <w:highlight w:val="none"/>
        </w:rPr>
        <w:t>24.</w:t>
      </w:r>
      <w:r>
        <w:rPr>
          <w:rFonts w:hint="eastAsia" w:cs="宋体" w:asciiTheme="minorEastAsia" w:hAnsiTheme="minorEastAsia" w:eastAsiaTheme="minorEastAsia"/>
          <w:color w:val="auto"/>
          <w:sz w:val="28"/>
          <w:szCs w:val="20"/>
          <w:highlight w:val="none"/>
        </w:rPr>
        <w:t>争议的解决</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24.1  </w:t>
      </w:r>
      <w:r>
        <w:rPr>
          <w:rFonts w:hint="eastAsia" w:asciiTheme="minorEastAsia" w:hAnsiTheme="minorEastAsia" w:eastAsiaTheme="minorEastAsia"/>
          <w:color w:val="auto"/>
          <w:sz w:val="24"/>
          <w:szCs w:val="20"/>
          <w:highlight w:val="none"/>
        </w:rPr>
        <w:t>争议的解决方式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因本合同引起的或与本合同有关的任何争议，合同双方友好协商不成、不愿提请争议组评审或者不愿接受争议评审组意见的，选择下列第</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种方式解决：</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（壹）</w:t>
      </w:r>
      <w:r>
        <w:rPr>
          <w:rFonts w:hint="eastAsia" w:asciiTheme="minorEastAsia" w:hAnsiTheme="minorEastAsia" w:eastAsiaTheme="minorEastAsia"/>
          <w:color w:val="auto"/>
          <w:highlight w:val="none"/>
        </w:rPr>
        <w:t>提请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仲裁委员会按照该会仲裁规则进行仲裁，仲裁裁决是终局的，对合同双方均有约束力。</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（贰）</w:t>
      </w:r>
      <w:r>
        <w:rPr>
          <w:rFonts w:hint="eastAsia" w:asciiTheme="minorEastAsia" w:hAnsiTheme="minorEastAsia" w:eastAsiaTheme="minorEastAsia"/>
          <w:color w:val="auto"/>
          <w:highlight w:val="none"/>
        </w:rPr>
        <w:t>向工程所在地有管辖权的人民法院提起诉讼。</w:t>
      </w:r>
    </w:p>
    <w:p>
      <w:pPr>
        <w:keepNext/>
        <w:keepLines/>
        <w:spacing w:before="120" w:beforeLines="50" w:after="120" w:afterLines="50" w:line="360" w:lineRule="auto"/>
        <w:outlineLvl w:val="2"/>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 xml:space="preserve">24.3  </w:t>
      </w:r>
      <w:r>
        <w:rPr>
          <w:rFonts w:hint="eastAsia" w:asciiTheme="minorEastAsia" w:hAnsiTheme="minorEastAsia" w:eastAsiaTheme="minorEastAsia"/>
          <w:color w:val="auto"/>
          <w:sz w:val="24"/>
          <w:szCs w:val="20"/>
          <w:highlight w:val="none"/>
        </w:rPr>
        <w:t>争议评审</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24.3.4  </w:t>
      </w:r>
      <w:r>
        <w:rPr>
          <w:rFonts w:hint="eastAsia" w:asciiTheme="minorEastAsia" w:hAnsiTheme="minorEastAsia" w:eastAsiaTheme="minorEastAsia"/>
          <w:color w:val="auto"/>
          <w:highlight w:val="none"/>
        </w:rPr>
        <w:t>争议评审组邀请合同双方代表人和有关人员举行调查会的期限：</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14日内</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24.3.5  </w:t>
      </w:r>
      <w:r>
        <w:rPr>
          <w:rFonts w:hint="eastAsia" w:asciiTheme="minorEastAsia" w:hAnsiTheme="minorEastAsia" w:eastAsiaTheme="minorEastAsia"/>
          <w:color w:val="auto"/>
          <w:highlight w:val="none"/>
        </w:rPr>
        <w:t>争议评审组在调查会后作出争议评审意见的期限：</w:t>
      </w:r>
      <w:r>
        <w:rPr>
          <w:rFonts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rPr>
        <w:t>14日内</w:t>
      </w:r>
    </w:p>
    <w:p>
      <w:pPr>
        <w:spacing w:line="360" w:lineRule="auto"/>
        <w:rPr>
          <w:rFonts w:asciiTheme="minorEastAsia" w:hAnsiTheme="minorEastAsia" w:eastAsiaTheme="minorEastAsia"/>
          <w:color w:val="auto"/>
          <w:sz w:val="24"/>
          <w:szCs w:val="20"/>
          <w:highlight w:val="none"/>
        </w:rPr>
      </w:pPr>
      <w:r>
        <w:rPr>
          <w:rFonts w:hint="eastAsia" w:asciiTheme="minorEastAsia" w:hAnsiTheme="minorEastAsia" w:eastAsiaTheme="minorEastAsia"/>
          <w:color w:val="auto"/>
          <w:sz w:val="24"/>
          <w:szCs w:val="20"/>
          <w:highlight w:val="none"/>
        </w:rPr>
        <w:t>2</w:t>
      </w:r>
      <w:r>
        <w:rPr>
          <w:rFonts w:asciiTheme="minorEastAsia" w:hAnsiTheme="minorEastAsia" w:eastAsiaTheme="minorEastAsia"/>
          <w:color w:val="auto"/>
          <w:sz w:val="24"/>
          <w:szCs w:val="20"/>
          <w:highlight w:val="none"/>
        </w:rPr>
        <w:t xml:space="preserve">5.  </w:t>
      </w:r>
      <w:r>
        <w:rPr>
          <w:rFonts w:hint="eastAsia" w:asciiTheme="minorEastAsia" w:hAnsiTheme="minorEastAsia" w:eastAsiaTheme="minorEastAsia"/>
          <w:color w:val="auto"/>
          <w:sz w:val="24"/>
          <w:szCs w:val="20"/>
          <w:highlight w:val="none"/>
        </w:rPr>
        <w:t>其他</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5.1</w:t>
      </w:r>
      <w:r>
        <w:rPr>
          <w:rFonts w:hint="eastAsia" w:asciiTheme="minorEastAsia" w:hAnsiTheme="minorEastAsia" w:eastAsiaTheme="minorEastAsia"/>
          <w:color w:val="auto"/>
          <w:highlight w:val="none"/>
          <w:u w:val="single"/>
        </w:rPr>
        <w:t>承包人违反合同约定，在质量、安全、文明施工、农民工工资支付等方面未尽到应有的责任和义务，被执法部门通报、进行处罚的，发包人将对承包人进行同等数额的违约处罚。</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5.2</w:t>
      </w:r>
      <w:r>
        <w:rPr>
          <w:rFonts w:hint="eastAsia" w:asciiTheme="minorEastAsia" w:hAnsiTheme="minorEastAsia" w:eastAsiaTheme="minorEastAsia"/>
          <w:color w:val="auto"/>
          <w:highlight w:val="none"/>
          <w:u w:val="single"/>
        </w:rPr>
        <w:t>合同双方应认真落实北京市人民政府关于《北京市空气重污染应急预案》（京政发[</w:t>
      </w:r>
      <w:r>
        <w:rPr>
          <w:rFonts w:asciiTheme="minorEastAsia" w:hAnsiTheme="minorEastAsia" w:eastAsiaTheme="minorEastAsia"/>
          <w:color w:val="auto"/>
          <w:highlight w:val="none"/>
          <w:u w:val="single"/>
        </w:rPr>
        <w:t>2018]24</w:t>
      </w:r>
      <w:r>
        <w:rPr>
          <w:rFonts w:hint="eastAsia" w:asciiTheme="minorEastAsia" w:hAnsiTheme="minorEastAsia" w:eastAsiaTheme="minorEastAsia"/>
          <w:color w:val="auto"/>
          <w:highlight w:val="none"/>
          <w:u w:val="single"/>
        </w:rPr>
        <w:t>号）的要求，履行各自责任。</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5.3</w:t>
      </w:r>
      <w:r>
        <w:rPr>
          <w:rFonts w:hint="eastAsia" w:asciiTheme="minorEastAsia" w:hAnsiTheme="minorEastAsia" w:eastAsiaTheme="minorEastAsia"/>
          <w:color w:val="auto"/>
          <w:highlight w:val="none"/>
          <w:u w:val="single"/>
        </w:rPr>
        <w:t>发包人对施工工地扬尘污染控制工作负总责，要及时支付安全防护、文明施工措施费用，并组织和督促承包人、监理人落实扬尘控制措施。及时向主管部门汇总上报管控的动态信息和数据。</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5.4</w:t>
      </w:r>
      <w:r>
        <w:rPr>
          <w:rFonts w:hint="eastAsia" w:asciiTheme="minorEastAsia" w:hAnsiTheme="minorEastAsia" w:eastAsiaTheme="minorEastAsia"/>
          <w:color w:val="auto"/>
          <w:highlight w:val="none"/>
          <w:u w:val="single"/>
        </w:rPr>
        <w:t>应该严格按照北京市施工现场安全文明施工的各项规定制度，承包人对施工现场扬尘污染控制负主体责任，应当认真落实施工现场扬尘控制措施，确保扬尘管理措施落实到位。保证安全防护、绿色文明施工措施费用的投入满足要求。</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5.5</w:t>
      </w:r>
      <w:r>
        <w:rPr>
          <w:rFonts w:hint="eastAsia" w:asciiTheme="minorEastAsia" w:hAnsiTheme="minorEastAsia" w:eastAsiaTheme="minorEastAsia"/>
          <w:color w:val="auto"/>
          <w:highlight w:val="none"/>
          <w:u w:val="single"/>
        </w:rPr>
        <w:t>监理人对施工现场扬尘污染控制负监理责任，应当督促施工单位在各个施工环节和施工现场严格执行各项扬尘控制措施。</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5.6</w:t>
      </w:r>
      <w:r>
        <w:rPr>
          <w:rFonts w:hint="eastAsia" w:asciiTheme="minorEastAsia" w:hAnsiTheme="minorEastAsia" w:eastAsiaTheme="minorEastAsia"/>
          <w:color w:val="auto"/>
          <w:highlight w:val="none"/>
          <w:u w:val="single"/>
        </w:rPr>
        <w:t>承包人应按照北京市及工程所在地政府、相关行政主管部门关于疫情期间管理的相关规定，做好疫情防控的管理工作。</w:t>
      </w:r>
    </w:p>
    <w:p>
      <w:pPr>
        <w:spacing w:line="360" w:lineRule="auto"/>
        <w:ind w:firstLine="420" w:firstLineChars="200"/>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t>25.7</w:t>
      </w:r>
      <w:r>
        <w:rPr>
          <w:rFonts w:hint="eastAsia" w:asciiTheme="minorEastAsia" w:hAnsiTheme="minorEastAsia" w:eastAsiaTheme="minorEastAsia"/>
          <w:color w:val="auto"/>
          <w:highlight w:val="none"/>
          <w:u w:val="single"/>
        </w:rPr>
        <w:t xml:space="preserve">施工单位应使用在本市进行信息编码登记且符合排放标准的非道路移动机械。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5</w:t>
      </w:r>
      <w:r>
        <w:rPr>
          <w:rFonts w:hint="eastAsia" w:asciiTheme="minorEastAsia" w:hAnsiTheme="minorEastAsia" w:eastAsiaTheme="minorEastAsia"/>
          <w:color w:val="auto"/>
          <w:highlight w:val="none"/>
          <w:u w:val="single"/>
        </w:rPr>
        <w:t>.8  合同双方主动配合结果查究。</w:t>
      </w:r>
    </w:p>
    <w:p>
      <w:pPr>
        <w:jc w:val="center"/>
        <w:rPr>
          <w:rFonts w:ascii="宋体" w:hAnsi="宋体" w:cs="宋体"/>
          <w:color w:val="auto"/>
          <w:highlight w:val="none"/>
        </w:rPr>
      </w:pPr>
      <w:r>
        <w:rPr>
          <w:rFonts w:asciiTheme="minorEastAsia" w:hAnsiTheme="minorEastAsia" w:eastAsiaTheme="minorEastAsia"/>
          <w:color w:val="auto"/>
          <w:sz w:val="24"/>
          <w:szCs w:val="20"/>
          <w:highlight w:val="none"/>
        </w:rPr>
        <w:br w:type="page"/>
      </w:r>
      <w:r>
        <w:rPr>
          <w:rFonts w:hint="eastAsia" w:ascii="宋体" w:hAnsi="宋体" w:cs="宋体"/>
          <w:bCs/>
          <w:color w:val="auto"/>
          <w:kern w:val="44"/>
          <w:sz w:val="32"/>
          <w:szCs w:val="32"/>
          <w:highlight w:val="none"/>
        </w:rPr>
        <w:t>第二部分 合同条款通用部分</w:t>
      </w:r>
    </w:p>
    <w:p>
      <w:pPr>
        <w:spacing w:before="91" w:line="242" w:lineRule="auto"/>
        <w:ind w:firstLine="43"/>
        <w:outlineLvl w:val="1"/>
        <w:rPr>
          <w:rFonts w:ascii="宋体" w:hAnsi="宋体" w:cs="宋体"/>
          <w:color w:val="auto"/>
          <w:sz w:val="28"/>
          <w:szCs w:val="28"/>
          <w:highlight w:val="none"/>
        </w:rPr>
      </w:pPr>
      <w:r>
        <w:rPr>
          <w:rFonts w:hint="eastAsia" w:ascii="宋体" w:hAnsi="宋体" w:cs="宋体"/>
          <w:color w:val="auto"/>
          <w:spacing w:val="-4"/>
          <w:sz w:val="28"/>
          <w:szCs w:val="28"/>
          <w:highlight w:val="none"/>
        </w:rPr>
        <w:t>1.</w:t>
      </w:r>
      <w:r>
        <w:rPr>
          <w:rFonts w:hint="eastAsia" w:ascii="宋体" w:hAnsi="宋体" w:cs="宋体"/>
          <w:color w:val="auto"/>
          <w:spacing w:val="-7"/>
          <w:sz w:val="28"/>
          <w:szCs w:val="28"/>
          <w:highlight w:val="none"/>
        </w:rPr>
        <w:t>一</w:t>
      </w:r>
      <w:r>
        <w:rPr>
          <w:rFonts w:hint="eastAsia" w:ascii="宋体" w:hAnsi="宋体" w:cs="宋体"/>
          <w:color w:val="auto"/>
          <w:spacing w:val="-6"/>
          <w:sz w:val="28"/>
          <w:szCs w:val="28"/>
          <w:highlight w:val="none"/>
        </w:rPr>
        <w:t>般约定</w:t>
      </w:r>
    </w:p>
    <w:p>
      <w:pPr>
        <w:spacing w:line="278" w:lineRule="auto"/>
        <w:rPr>
          <w:rFonts w:ascii="宋体" w:hAnsi="宋体" w:cs="宋体"/>
          <w:color w:val="auto"/>
          <w:highlight w:val="none"/>
        </w:rPr>
      </w:pPr>
    </w:p>
    <w:p>
      <w:pPr>
        <w:spacing w:before="75" w:line="228" w:lineRule="auto"/>
        <w:ind w:firstLine="38"/>
        <w:outlineLvl w:val="2"/>
        <w:rPr>
          <w:rFonts w:ascii="宋体" w:hAnsi="宋体" w:cs="宋体"/>
          <w:color w:val="auto"/>
          <w:sz w:val="24"/>
          <w:highlight w:val="none"/>
        </w:rPr>
      </w:pPr>
      <w:bookmarkStart w:id="674" w:name="_bookmark91"/>
      <w:bookmarkEnd w:id="674"/>
      <w:r>
        <w:rPr>
          <w:rFonts w:hint="eastAsia" w:ascii="宋体" w:hAnsi="宋体" w:cs="宋体"/>
          <w:color w:val="auto"/>
          <w:spacing w:val="3"/>
          <w:sz w:val="24"/>
          <w:highlight w:val="none"/>
        </w:rPr>
        <w:t>1.1</w:t>
      </w:r>
      <w:r>
        <w:rPr>
          <w:rFonts w:hint="eastAsia" w:ascii="宋体" w:hAnsi="宋体" w:cs="宋体"/>
          <w:color w:val="auto"/>
          <w:spacing w:val="4"/>
          <w:sz w:val="24"/>
          <w:highlight w:val="none"/>
        </w:rPr>
        <w:t xml:space="preserve">  </w:t>
      </w:r>
      <w:r>
        <w:rPr>
          <w:rFonts w:hint="eastAsia" w:ascii="宋体" w:hAnsi="宋体" w:cs="宋体"/>
          <w:color w:val="auto"/>
          <w:spacing w:val="5"/>
          <w:sz w:val="24"/>
          <w:highlight w:val="none"/>
        </w:rPr>
        <w:t>词语定义</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合同条款通用部分、合同条款专用部分中的下列词语应具有本款所赋予的含义。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  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1.1.1.1  合同文件（或称合同）：指合同协议书、中标通知书、投标函及投标函附录、 合同条款专用部分、合同条款通用部分、技术标准和要求、图纸、已标价工程量清单，以及 其他合同文件。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1.1.1.2  合同协议书：指第 1.5 款所指的合同协议书。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1.1.1.3  中标通知书：指发包人通知承包人中标的函件。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1.1.1.4  投标函：指构成合同文件组成部分的由承包人填写并签署的投标函。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1.1.1.5  投标函附录：指附在投标函后构成合同文件的投标函附录。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1.1.1.6  合同条款：指构成合同文件组成部分的合同条款通用部分和（或）合同条 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1.1.1.7  技术标准和要求：指构成合同文件组成部分的名为技术标准和要求的文件， 包括合同双方当事人约定对其所作的修改或补充。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1.1.1.8  图纸：指包含在合同中的工程图纸，以及由发包人按合同约定提供的任何 补充和修改的图纸，包括配套的说明。</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1.1.1.9  已标价工程量清单：指构成合同文件组成部分的由承包人按照规定的格式 和要求填写并标明价格的工程量清单。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1.1.1.10  其他合同文件：指经合同双方当事人确认构成合同文件的其他文件。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  合同当事人和人员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1.1.2.1  合同当事人：指发包人和（或）承包人。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1.1.2.2  发包人：指合同协议书中约定，具有工程发包主体资格和承诺按照合同约 定的条件、期限和方式向承包人支付工程价款的当事人，以及取得该当事人资格的合法继承 人。发包人名称见合同条款专用部分。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1.1.2.3  承包人：指合同协议书中约定，具有合同工程承包主体资格，并承诺按照</w:t>
      </w:r>
    </w:p>
    <w:p>
      <w:pPr>
        <w:spacing w:line="360" w:lineRule="auto"/>
        <w:ind w:firstLine="420" w:firstLineChars="200"/>
        <w:rPr>
          <w:rFonts w:asciiTheme="minorEastAsia" w:hAnsiTheme="minorEastAsia" w:eastAsiaTheme="minorEastAsia"/>
          <w:color w:val="auto"/>
          <w:highlight w:val="none"/>
        </w:rPr>
        <w:sectPr>
          <w:pgSz w:w="11906" w:h="16839"/>
          <w:pgMar w:top="1162" w:right="1723" w:bottom="1157" w:left="567" w:header="878" w:footer="998" w:gutter="0"/>
          <w:cols w:space="0" w:num="1"/>
          <w:rtlGutter w:val="0"/>
          <w:docGrid w:linePitch="0" w:charSpace="0"/>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合同约定进行施工、竣工、交付并承担质量缺陷保修责任的当事人，以及取得该当事人资格 的合法继承人。承包人名称见合同条款专用部分。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1.1.2.4  承包人项目经理：指承包人派驻施工场地的全权负责人。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1.1.2.5  分包人：指从承包人处分包合同中某一部分工程，并与其签订分包合同的 分包人。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1.1.2.6  监理人：指发包人委托的对合同履行实施管理的法人或其他组织。监理人 名称见合同条款专用部分。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1.1.2.7  总监理工程师（总监）：指由监理人委派常驻施工场地对合同履行实施管理 的全权负责人。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1.1.2.8  发包人代表：指由发包人指定的派驻施工场地（现场）的全权代表。发包 人代表相关信息见合同条款专用部分。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1.1.2.9  专业分包人：指根据合同条款第 15.8.1 项的约定，由发包人和承包人以招 标方式选择的分包人。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1.1.2.10  专项供应商：指根据合同条款第 15.8.1 项的约定， 由发包人和承包人以 招标方式选择的供应商。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1.1.2.11  独立承包人：指与发包人直接订立工程承包合同，负责实施与工程有关的 其他工作的当事人。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  工程和设备</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1.1.3.1  工程：指永久工程和（或）临时工程。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1.1.3.2  永久工程：指按照合同约定所需建造、完成并移交给发包人的工程，包括 工程设备。永久工程的约定见合同条款专用部分。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1.1.3.3  临时工程：指为完成合同约定的永久工程所修建的各类临时性工程，不包 括施工设备。临时工程的约定见合同条款专用部分。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1.1.3.4  单位工程：指具有相对独立的设计文件，能够独立组织施工并能形成独立 使用功能的永久工程的组成部分。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1.1.3.5  工程设备：指构成或计划构成永久工程一部分的机电设备、金属结构设备、 仪器装置及其他类似的设备和装置。</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1.1.3.6  施工设备：指为完成合同约定的各项工作所需的设备、器具和其他物品， 不包括临时工程和材料。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1.1.3.7  临时设施：指为完成合同约定的各项工作所服务的临时性生产和生活设施。</w:t>
      </w:r>
    </w:p>
    <w:p>
      <w:pPr>
        <w:spacing w:line="360" w:lineRule="auto"/>
        <w:ind w:firstLine="420" w:firstLineChars="200"/>
        <w:rPr>
          <w:rFonts w:asciiTheme="minorEastAsia" w:hAnsiTheme="minorEastAsia" w:eastAsiaTheme="minorEastAsia"/>
          <w:color w:val="auto"/>
          <w:highlight w:val="none"/>
        </w:rPr>
        <w:sectPr>
          <w:headerReference r:id="rId14" w:type="default"/>
          <w:footerReference r:id="rId15" w:type="default"/>
          <w:pgSz w:w="11906" w:h="16839"/>
          <w:pgMar w:top="1161" w:right="1728"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1.1.3.8  承包人设备：指承包人自带的施工设备。</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1.1.3.9  施工场地（或称工地、现场）：指用于合同工程施工的场所，以及在合同中 指定作为施工场地组成部分的其他场所，包括永久占地和临时占地。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1.1.3.10  永久占地：指为实施合同工程需永久占用的土地。永久占地的约定见合同 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1.1.3.11  临时占地：指为实施合同工程需临时占用的土地。临时占地的约定见合同 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1.1.3.12  材料：指构成或将构成永久工程组成部分的各类物品(工程设备除外)，包 括合同中可能约定的承包人仅负责供应的材料。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  日期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1.1.4.1  开工通知：指监理人按第 11.1 款通知承包人开工的函件。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1.1.4.2  开工日期：指监理人按第 11.1 款发出的开工通知中写明的开工日期。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1.1.4.3  工期：指承包人在投标函中承诺的完成合同工程所需的期限，包括按第 11.3 款、第 11.4 款和第 11.6 款约定所作的变更。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1.1.4.4  竣工日期：指第 1.1.4.3 目约定工期届满时的日期。实际竣工日期以工程 接收证书中写明的日期为准。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1.1.4.5  缺陷责任期：指履行第 19.2 款约定的缺陷责任的期限，包括根据第 19.3 款约定所作的延长。缺陷责任期的具体期限见合同条款专用部分。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1.1.4.6  基准日期：指投标截止时间前 28 天的日期。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1.1.4.7  天：除特别指明外，指日历天。合同中按天计算时间的，开始当天不计入， 从次日开始计算。期限最后一天的截止时间为当天 24:00。</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1.1.4.8  保修期：是根据现行有关法律规定，在合同条款第 19.7 款中约定的由承包 人负责对合同约定的保修范围内发生的质量问题履行保修义务并对造成的损失承担赔偿责 任的期限。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  合同价格和费用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1.1.5.1  签约合同价：指签定合同时合同协议书中写明的，包括了暂列金额、暂估 价的合同总金额。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1.1.5.2  合同价格：指承包人按合同约定完成了包括缺陷责任期内的全部承包工作 后，发包人应付给承包人的金额，包括在履行合同过程中按合同约定进行的变更和调整。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1.1.5.3  费用：指为履行合同所发生的或将要发生的所有合理开支，包括管理费和</w:t>
      </w:r>
    </w:p>
    <w:p>
      <w:pPr>
        <w:spacing w:line="360" w:lineRule="auto"/>
        <w:ind w:firstLine="420" w:firstLineChars="200"/>
        <w:rPr>
          <w:rFonts w:asciiTheme="minorEastAsia" w:hAnsiTheme="minorEastAsia" w:eastAsiaTheme="minorEastAsia"/>
          <w:color w:val="auto"/>
          <w:highlight w:val="none"/>
        </w:rPr>
        <w:sectPr>
          <w:headerReference r:id="rId16" w:type="default"/>
          <w:footerReference r:id="rId17" w:type="default"/>
          <w:pgSz w:w="11906" w:h="16839"/>
          <w:pgMar w:top="1161" w:right="1744"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应分摊的其他费用，但不包括利润。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1.1.5.4  暂列金额：指已标价工程量清单中所列的暂列金额，用于在签订协议书时 尚未确定或不可预见变更的施工及其所需材料、工程设备、服务等的金额，包括以计日工方 式支付的金额。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1.1.5.5  暂估价：指发包人在工程量清单中给定的用于支付必然发生但暂时不能确 定价格的材料、设备以及专业工程的金额。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1.1.5.6  计日工：指对零星工作采取的一种计价方式，按合同中的计日工子目及其 单价计价付款。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1.1.5.7  质量保证金（或称保留金）：指按第 17.4.1 项约定用于保证在缺陷责任期 内履行缺陷修复义务的金额。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1.1.6  书面形式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书面形式：指合同文件、信函、 电报、传真等可以有形地表现所载内容的形式。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1.1.7  争议评审组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争议评审组：是由发包人和承包人共同聘请的人员组成的独立、公正的第三方临时性组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织，一般由一名或者三名合同管理和（或）工程管理专家组成。争议评审组负责对发包人和 （或）承包人提请进行评审的本合同项下的争议进行评审并在规定的期限内给出评审意见， 合同双方在规定的期限内均未对评审意见提出异议时，评审意见对合同双方有最终约束力。 发包人和承包人应当分别与接受聘请的争议评审专家签订聘用协议，就评审的争议范围、评 审意见效力等必要事项做出约定。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1.1.8  其他需要补充的内容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其他需要补充的内容见合同条款专用部分。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75" w:name="_bookmark92"/>
      <w:bookmarkEnd w:id="675"/>
      <w:r>
        <w:rPr>
          <w:rFonts w:hint="eastAsia" w:asciiTheme="minorEastAsia" w:hAnsiTheme="minorEastAsia" w:eastAsiaTheme="minorEastAsia"/>
          <w:color w:val="auto"/>
          <w:highlight w:val="none"/>
        </w:rPr>
        <w:t>1.2  语言文字</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除专用术语外，合同使用的语言文字为中文。必要时专用术语应附有中文注释。</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76" w:name="_bookmark93"/>
      <w:bookmarkEnd w:id="676"/>
      <w:r>
        <w:rPr>
          <w:rFonts w:hint="eastAsia" w:asciiTheme="minorEastAsia" w:hAnsiTheme="minorEastAsia" w:eastAsiaTheme="minorEastAsia"/>
          <w:color w:val="auto"/>
          <w:highlight w:val="none"/>
        </w:rPr>
        <w:t>1.3  法律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适用于合同的法律包括中华人民共和国法律、行政法规、部门规章，以及工程所在地的 地方法规、 自治条例、单行条例和地方政府规章。</w:t>
      </w:r>
    </w:p>
    <w:p>
      <w:pPr>
        <w:spacing w:line="360" w:lineRule="auto"/>
        <w:ind w:firstLine="420" w:firstLineChars="200"/>
        <w:rPr>
          <w:rFonts w:asciiTheme="minorEastAsia" w:hAnsiTheme="minorEastAsia" w:eastAsiaTheme="minorEastAsia"/>
          <w:color w:val="auto"/>
          <w:highlight w:val="none"/>
        </w:rPr>
      </w:pPr>
      <w:bookmarkStart w:id="677" w:name="_bookmark94"/>
      <w:bookmarkEnd w:id="677"/>
      <w:r>
        <w:rPr>
          <w:rFonts w:hint="eastAsia" w:asciiTheme="minorEastAsia" w:hAnsiTheme="minorEastAsia" w:eastAsiaTheme="minorEastAsia"/>
          <w:color w:val="auto"/>
          <w:highlight w:val="none"/>
        </w:rPr>
        <w:t>1.4  合同文件的优先顺序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组成合同的各项文件应互相解释，互为说明。除合同条款专用部分另有约定外，解释合</w:t>
      </w:r>
    </w:p>
    <w:p>
      <w:pPr>
        <w:spacing w:line="360" w:lineRule="auto"/>
        <w:ind w:firstLine="420" w:firstLineChars="200"/>
        <w:rPr>
          <w:rFonts w:asciiTheme="minorEastAsia" w:hAnsiTheme="minorEastAsia" w:eastAsiaTheme="minorEastAsia"/>
          <w:color w:val="auto"/>
          <w:highlight w:val="none"/>
        </w:rPr>
        <w:sectPr>
          <w:headerReference r:id="rId18" w:type="default"/>
          <w:footerReference r:id="rId19"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同文件的优先顺序如下：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（1）合同协议书；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（2）中标通知书；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（3）投标函及投标函附录；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（5）合同条款通用部分；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（6）技术标准和要求；</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（7）图纸；</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 已标价工程量清单；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（9）其他合同文件。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附注：构成合同文件的图纸与技术标准和要求之间有矛盾或者不一致的，应以其中要求 较严格的标准为准。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合同双方在合同履行过程中签署的不背离合同实质性内容的补充协议，应当视为合同文 件的有效组成部分，其解释顺序视其内容与其他合同文件的相互关系而定。</w:t>
      </w:r>
    </w:p>
    <w:p>
      <w:pPr>
        <w:spacing w:line="360" w:lineRule="auto"/>
        <w:ind w:firstLine="420" w:firstLineChars="200"/>
        <w:rPr>
          <w:rFonts w:asciiTheme="minorEastAsia" w:hAnsiTheme="minorEastAsia" w:eastAsiaTheme="minorEastAsia"/>
          <w:color w:val="auto"/>
          <w:highlight w:val="none"/>
        </w:rPr>
      </w:pPr>
      <w:bookmarkStart w:id="678" w:name="_bookmark95"/>
      <w:bookmarkEnd w:id="678"/>
      <w:r>
        <w:rPr>
          <w:rFonts w:hint="eastAsia" w:asciiTheme="minorEastAsia" w:hAnsiTheme="minorEastAsia" w:eastAsiaTheme="minorEastAsia"/>
          <w:color w:val="auto"/>
          <w:highlight w:val="none"/>
        </w:rPr>
        <w:t>1.5  合同协议书</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指由发包人与承包人共同签署的用于明确当事人合同关系的文件。承包人按照中标通知 书规定的时间与发包人签订的合同协议书，除法律另有规定或合同条款专用部分另有约定外， 发包人和承包人的法定代表人或其委托代理人在合同协议书上签字并盖单位章后，合同生效。 合同生效的条件见合同条款专用部分。</w:t>
      </w:r>
    </w:p>
    <w:p>
      <w:pPr>
        <w:spacing w:line="360" w:lineRule="auto"/>
        <w:ind w:firstLine="420" w:firstLineChars="200"/>
        <w:rPr>
          <w:rFonts w:asciiTheme="minorEastAsia" w:hAnsiTheme="minorEastAsia" w:eastAsiaTheme="minorEastAsia"/>
          <w:color w:val="auto"/>
          <w:highlight w:val="none"/>
        </w:rPr>
      </w:pPr>
      <w:bookmarkStart w:id="679" w:name="_bookmark96"/>
      <w:bookmarkEnd w:id="679"/>
      <w:r>
        <w:rPr>
          <w:rFonts w:hint="eastAsia" w:asciiTheme="minorEastAsia" w:hAnsiTheme="minorEastAsia" w:eastAsiaTheme="minorEastAsia"/>
          <w:color w:val="auto"/>
          <w:highlight w:val="none"/>
        </w:rPr>
        <w:t>1.6  图纸和承包人文件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  图纸的提供</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（1）发包人按照合同约定向承包人提供图纸。发包人未按时提供图纸造成工期延误的， 按第 11.3 款的约定办理。承包人需要增加图纸套数的，发包人应代为复制，复制费用由承 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（2）依据合同条款专用部分第 10.1 款约定制定的合同进度计划，或依据合同条款专用 部分第 10.2 款约定修订的合同进度计划，经监理人批准后 7 日内，承包人应当根据合同进 度计划或合同进度计划修订和本项约定的图纸提供期限和数量，编制或者修改图纸供应计划 并报送监理人，其中应当载明承包人对各最新版本图纸(包括第 1.6.3 项约定的图纸修改图)</w:t>
      </w:r>
    </w:p>
    <w:p>
      <w:pPr>
        <w:spacing w:line="360" w:lineRule="auto"/>
        <w:ind w:firstLine="420" w:firstLineChars="200"/>
        <w:rPr>
          <w:rFonts w:asciiTheme="minorEastAsia" w:hAnsiTheme="minorEastAsia" w:eastAsiaTheme="minorEastAsia"/>
          <w:color w:val="auto"/>
          <w:highlight w:val="none"/>
        </w:rPr>
        <w:sectPr>
          <w:headerReference r:id="rId20" w:type="default"/>
          <w:footerReference r:id="rId21" w:type="default"/>
          <w:pgSz w:w="11906" w:h="16839"/>
          <w:pgMar w:top="1161" w:right="1623"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的最迟需求时间，监理人应当在收到图纸供应计划后 7 天内批复或提出修改意见，否则该图 纸供应计划视为得到批准。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（3）经监理人批准最新的图纸供应计划对合同双方有合同约束力，应当作为发包人或 者监理人向承包人提供图纸的主要依据。发包人或者监理人不按照图纸供应计划提供图纸而 导致承包人费用增加和（或）工期延误的，由发包人承担赔偿责任。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（4）承包人未按照约定的时间向监理人提交图纸供应计划,致使发包人或者监理人未能 在约定的时间内提供相应图纸或者承包人未按照图纸供应计划组织施工所造成的费用增加 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（5）发包人提供图纸的期限、数量和其他约定见合同条款专用部分。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1.6.2  承包人提供的文件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 由承包人提供的文件包括部分工程的大样图、加工图等，承包人应当按照约定的 范围、数量和期限报送监理人，监理人应当在约定的期限内批复。承包人提供文件的范围、 数量、期限和监理人批复期限以及其他约定见合同条款专用部分。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（2）除合同条款第 4.1.10 项约定的由承包人提供的设计文件外，本项约定的其他应由 承包人提供的文件，包括必要的加工图和大样图，均不能作为合同计量与支付的依据文件。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1.6.3  图纸的修改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图纸需要修改和补充的，监理人应当按照合同条款第 1.6.1（2） 目约定的有合同约束 力的图纸供应计划，签发图纸修改图给承包人。承包人应按修改后的图纸施工。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1.6.4  图纸的错误</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承包人发现发包人提供的图纸存在明显错误或疏忽，应及时通知监理人。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1.6.5  图纸和承包人文件的保管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监理人和承包人均应在施工场地各保存一套完整的包含第 1.6.1 项、第 1.6.2 项、第 1.6.3 项约定内容的图纸和承包人文件。</w:t>
      </w:r>
    </w:p>
    <w:p>
      <w:pPr>
        <w:spacing w:line="360" w:lineRule="auto"/>
        <w:ind w:firstLine="420" w:firstLineChars="200"/>
        <w:rPr>
          <w:rFonts w:asciiTheme="minorEastAsia" w:hAnsiTheme="minorEastAsia" w:eastAsiaTheme="minorEastAsia"/>
          <w:color w:val="auto"/>
          <w:highlight w:val="none"/>
        </w:rPr>
      </w:pPr>
      <w:bookmarkStart w:id="680" w:name="_bookmark97"/>
      <w:bookmarkEnd w:id="680"/>
      <w:r>
        <w:rPr>
          <w:rFonts w:hint="eastAsia" w:asciiTheme="minorEastAsia" w:hAnsiTheme="minorEastAsia" w:eastAsiaTheme="minorEastAsia"/>
          <w:color w:val="auto"/>
          <w:highlight w:val="none"/>
        </w:rPr>
        <w:t>1.7  联络</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  与合同有关的通知、批准、证明、证书、指示、要求、请求、同意、意见、确 定和决定等，均应采用书面形式。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1.7.2  第 1.7.1 项中的通知、批准、证明、证书、指示、要求、请求、同意、意见、 确定和决定等来往函件，均应在合同约定的期限内送达指定地点和接收人，并办理签收手续。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（1）联络来往信函的送达期限：合同约定了发出期限的，送达期限为合同约定的发出</w:t>
      </w:r>
    </w:p>
    <w:p>
      <w:pPr>
        <w:spacing w:line="360" w:lineRule="auto"/>
        <w:ind w:firstLine="420" w:firstLineChars="200"/>
        <w:rPr>
          <w:rFonts w:asciiTheme="minorEastAsia" w:hAnsiTheme="minorEastAsia" w:eastAsiaTheme="minorEastAsia"/>
          <w:color w:val="auto"/>
          <w:highlight w:val="none"/>
        </w:rPr>
        <w:sectPr>
          <w:headerReference r:id="rId22" w:type="default"/>
          <w:footerReference r:id="rId23" w:type="default"/>
          <w:pgSz w:w="11906" w:h="16839"/>
          <w:pgMar w:top="1161" w:right="1728"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期限后的 24 小时内；合同约定了通知、提供或者报送期限的，通知、提供或者报送期限即 为送达期限。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（2）发包人指定的接收人和接收地点见合同条款专用部分。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（3）监理人指定的接收人和接收地点见合同条款专用部分。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（4）承包人指定的接收人为合同协议书中载明的承包人项目经理本人或者项目经理的 授权代表。承包人应在收到开工通知后 7 天内，按照合同条款第 4.5.4 项的约定，将授权代 表其接收来往信函的项目经理的授权代表姓名和授权范围通知监理人。除合同另有约定外， 承包人施工场地管理机构的办公地点即为承包人指定的接收地点。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（5）发包人（包括监理人）和承包人中任何一方指定的接收人或者接收地点发生变动， 应当在实际变动前提前至少一个工作日以书面形式通知另一方。发包人（包括监理人）和承 包人应当确保其各自指定的接收人在法定的和（或）符合合同约定的工作时间内始终工作在 指定的接收地点，指定接收人离开工作岗位而无法及时签收来往信函视为拒不签收。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（6）发包人（包括监理人）和承包人中任何一方均应当及时签收另一方送达其指定接 收地点的来往信函，拒不签收的，送达信函的一方可以采用挂号或者公证方式送达，由此所 造成的直接的和间接的费用增加（包括被迫采用特殊送达方式所发生的费用）和（或）延误 的工期由拒绝签收一方承担。</w:t>
      </w:r>
    </w:p>
    <w:p>
      <w:pPr>
        <w:spacing w:line="360" w:lineRule="auto"/>
        <w:ind w:firstLine="420" w:firstLineChars="200"/>
        <w:rPr>
          <w:rFonts w:asciiTheme="minorEastAsia" w:hAnsiTheme="minorEastAsia" w:eastAsiaTheme="minorEastAsia"/>
          <w:color w:val="auto"/>
          <w:highlight w:val="none"/>
        </w:rPr>
      </w:pPr>
      <w:bookmarkStart w:id="681" w:name="_bookmark98"/>
      <w:bookmarkEnd w:id="681"/>
      <w:r>
        <w:rPr>
          <w:rFonts w:hint="eastAsia" w:asciiTheme="minorEastAsia" w:hAnsiTheme="minorEastAsia" w:eastAsiaTheme="minorEastAsia"/>
          <w:color w:val="auto"/>
          <w:highlight w:val="none"/>
        </w:rPr>
        <w:t>1.8  转让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除合同另有约定外，未经对方当事人同意，一方当事人不得将合同权利全部或部分转让 给第三人，也不得全部或部分转移合同义务。</w:t>
      </w:r>
    </w:p>
    <w:p>
      <w:pPr>
        <w:spacing w:line="360" w:lineRule="auto"/>
        <w:ind w:firstLine="420" w:firstLineChars="200"/>
        <w:rPr>
          <w:rFonts w:asciiTheme="minorEastAsia" w:hAnsiTheme="minorEastAsia" w:eastAsiaTheme="minorEastAsia"/>
          <w:color w:val="auto"/>
          <w:highlight w:val="none"/>
        </w:rPr>
      </w:pPr>
      <w:bookmarkStart w:id="682" w:name="_bookmark99"/>
      <w:bookmarkEnd w:id="682"/>
      <w:r>
        <w:rPr>
          <w:rFonts w:hint="eastAsia" w:asciiTheme="minorEastAsia" w:hAnsiTheme="minorEastAsia" w:eastAsiaTheme="minorEastAsia"/>
          <w:color w:val="auto"/>
          <w:highlight w:val="none"/>
        </w:rPr>
        <w:t>1.9  严禁贿赂</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合同双方当事人不得以贿赂或变相贿赂的方式，谋取不当利益或损害对方权益。因贿赂 造成对方损失的，行为人应赔偿损失，并承担相应的法律责任。</w:t>
      </w:r>
    </w:p>
    <w:p>
      <w:pPr>
        <w:spacing w:line="360" w:lineRule="auto"/>
        <w:ind w:firstLine="420" w:firstLineChars="200"/>
        <w:rPr>
          <w:rFonts w:asciiTheme="minorEastAsia" w:hAnsiTheme="minorEastAsia" w:eastAsiaTheme="minorEastAsia"/>
          <w:color w:val="auto"/>
          <w:highlight w:val="none"/>
        </w:rPr>
      </w:pPr>
      <w:bookmarkStart w:id="683" w:name="_bookmark100"/>
      <w:bookmarkEnd w:id="683"/>
      <w:r>
        <w:rPr>
          <w:rFonts w:hint="eastAsia" w:asciiTheme="minorEastAsia" w:hAnsiTheme="minorEastAsia" w:eastAsiaTheme="minorEastAsia"/>
          <w:color w:val="auto"/>
          <w:highlight w:val="none"/>
        </w:rPr>
        <w:t>1.10  化石、文物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1.10.1  在施工场地发掘的所有文物、古迹以及具有地质研究或考古价值的其他遗迹、 化石、钱币或物品属于国家所有。一旦发现上述文物，承包人应采取有效合理的保护措施， 防止任何人员移动或损坏上述物品，并立即报告当地文物行政部门，同时通知监理人。发包 人、监理人和承包人应按文物行政部门要求采取妥善保护措施， 由此导致费用增加和（或） 工期延误由发包人承担。</w:t>
      </w:r>
    </w:p>
    <w:p>
      <w:pPr>
        <w:spacing w:line="360" w:lineRule="auto"/>
        <w:ind w:firstLine="420" w:firstLineChars="200"/>
        <w:rPr>
          <w:rFonts w:asciiTheme="minorEastAsia" w:hAnsiTheme="minorEastAsia" w:eastAsiaTheme="minorEastAsia"/>
          <w:color w:val="auto"/>
          <w:highlight w:val="none"/>
        </w:rPr>
        <w:sectPr>
          <w:headerReference r:id="rId24" w:type="default"/>
          <w:footerReference r:id="rId25" w:type="default"/>
          <w:pgSz w:w="11906" w:h="16839"/>
          <w:pgMar w:top="1161" w:right="1728"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1.10.2  承包人发现文物后不及时报告或隐瞒不报，致使文物丢失或损坏的，应赔偿损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失，并承担相应的法律责任。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84" w:name="_bookmark101"/>
      <w:bookmarkEnd w:id="684"/>
      <w:r>
        <w:rPr>
          <w:rFonts w:hint="eastAsia" w:asciiTheme="minorEastAsia" w:hAnsiTheme="minorEastAsia" w:eastAsiaTheme="minorEastAsia"/>
          <w:color w:val="auto"/>
          <w:highlight w:val="none"/>
        </w:rPr>
        <w:t>1.11  专利技术</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1.11.1  承包人在使用任何材料、承包人设备、工程设备或采用施工工艺时，因侵犯专 利权或其他知识产权所引起的责任，由承包人承担，但由于遵照发包人提供的设计或技术标 准和要求引起的除外。</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1.11.2  承包人在投标文件中采用专利技术的，专利技术的使用费包含在投标报价内。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1.11.3  承包人的技术秘密和声明需要保密的资料和信息，发包人和监理人不得为合同 以外的目的泄露给他人。</w:t>
      </w:r>
    </w:p>
    <w:p>
      <w:pPr>
        <w:spacing w:line="360" w:lineRule="auto"/>
        <w:ind w:firstLine="420" w:firstLineChars="200"/>
        <w:rPr>
          <w:rFonts w:asciiTheme="minorEastAsia" w:hAnsiTheme="minorEastAsia" w:eastAsiaTheme="minorEastAsia"/>
          <w:color w:val="auto"/>
          <w:highlight w:val="none"/>
        </w:rPr>
      </w:pPr>
      <w:bookmarkStart w:id="685" w:name="_bookmark102"/>
      <w:bookmarkEnd w:id="685"/>
      <w:r>
        <w:rPr>
          <w:rFonts w:hint="eastAsia" w:asciiTheme="minorEastAsia" w:hAnsiTheme="minorEastAsia" w:eastAsiaTheme="minorEastAsia"/>
          <w:color w:val="auto"/>
          <w:highlight w:val="none"/>
        </w:rPr>
        <w:t>1.12  图纸和文件的保密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1.12.1  发包人提供的图纸和文件，未经发包人同意，承包人不得为合同以外的目的泄 露给他人或公开发表与引用。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1.12.2  承包人提供的文件，未经承包人同意，发包人和监理人不得为合同以外的目的 泄露给他人或公开发表与引用。</w:t>
      </w:r>
    </w:p>
    <w:p>
      <w:pPr>
        <w:spacing w:line="360" w:lineRule="auto"/>
        <w:ind w:firstLine="420" w:firstLineChars="200"/>
        <w:rPr>
          <w:rFonts w:asciiTheme="minorEastAsia" w:hAnsiTheme="minorEastAsia" w:eastAsiaTheme="minorEastAsia"/>
          <w:color w:val="auto"/>
          <w:highlight w:val="none"/>
        </w:rPr>
      </w:pPr>
      <w:bookmarkStart w:id="686" w:name="_bookmark103"/>
      <w:bookmarkEnd w:id="686"/>
      <w:r>
        <w:rPr>
          <w:rFonts w:hint="eastAsia" w:asciiTheme="minorEastAsia" w:hAnsiTheme="minorEastAsia" w:eastAsiaTheme="minorEastAsia"/>
          <w:color w:val="auto"/>
          <w:highlight w:val="none"/>
        </w:rPr>
        <w:t>2.发包人义务</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87" w:name="_bookmark104"/>
      <w:bookmarkEnd w:id="687"/>
      <w:r>
        <w:rPr>
          <w:rFonts w:hint="eastAsia" w:asciiTheme="minorEastAsia" w:hAnsiTheme="minorEastAsia" w:eastAsiaTheme="minorEastAsia"/>
          <w:color w:val="auto"/>
          <w:highlight w:val="none"/>
        </w:rPr>
        <w:t>2.1  遵守法律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发包人在履行合同过程中应遵守法律，并保证承包人免于承担因发包人违反法律而引起 的任何责任。</w:t>
      </w:r>
    </w:p>
    <w:p>
      <w:pPr>
        <w:spacing w:line="360" w:lineRule="auto"/>
        <w:ind w:firstLine="420" w:firstLineChars="200"/>
        <w:rPr>
          <w:rFonts w:asciiTheme="minorEastAsia" w:hAnsiTheme="minorEastAsia" w:eastAsiaTheme="minorEastAsia"/>
          <w:color w:val="auto"/>
          <w:highlight w:val="none"/>
        </w:rPr>
      </w:pPr>
      <w:bookmarkStart w:id="688" w:name="_bookmark105"/>
      <w:bookmarkEnd w:id="688"/>
      <w:r>
        <w:rPr>
          <w:rFonts w:hint="eastAsia" w:asciiTheme="minorEastAsia" w:hAnsiTheme="minorEastAsia" w:eastAsiaTheme="minorEastAsia"/>
          <w:color w:val="auto"/>
          <w:highlight w:val="none"/>
        </w:rPr>
        <w:t>2.2  发出开工通知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发包人应委托监理人按第 11.1 款的约定向承包人发出开工通知。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89" w:name="_bookmark106"/>
      <w:bookmarkEnd w:id="689"/>
      <w:r>
        <w:rPr>
          <w:rFonts w:hint="eastAsia" w:asciiTheme="minorEastAsia" w:hAnsiTheme="minorEastAsia" w:eastAsiaTheme="minorEastAsia"/>
          <w:color w:val="auto"/>
          <w:highlight w:val="none"/>
        </w:rPr>
        <w:t>2.3  提供施工场地</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发包人应在约定期限前确保施工场地具备施工条件并移交给承包人，具体施工条件在 “技术标准和要求”第一节“一般要求”中约定。发包人最迟应当在移交施工场地的同时向 承包人提供施工场地内地下管线和地下设施等有关资料，并保证资料的真实、准确和完整。 发包人移交施工场地的期限见合同条款专用部分。</w:t>
      </w:r>
    </w:p>
    <w:p>
      <w:pPr>
        <w:spacing w:line="360" w:lineRule="auto"/>
        <w:ind w:firstLine="420" w:firstLineChars="200"/>
        <w:rPr>
          <w:rFonts w:asciiTheme="minorEastAsia" w:hAnsiTheme="minorEastAsia" w:eastAsiaTheme="minorEastAsia"/>
          <w:color w:val="auto"/>
          <w:highlight w:val="none"/>
        </w:rPr>
        <w:sectPr>
          <w:headerReference r:id="rId26" w:type="default"/>
          <w:footerReference r:id="rId27"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90" w:name="_bookmark107"/>
      <w:bookmarkEnd w:id="690"/>
      <w:r>
        <w:rPr>
          <w:rFonts w:hint="eastAsia" w:asciiTheme="minorEastAsia" w:hAnsiTheme="minorEastAsia" w:eastAsiaTheme="minorEastAsia"/>
          <w:color w:val="auto"/>
          <w:highlight w:val="none"/>
        </w:rPr>
        <w:t>2.4  协助承包人办理证件和批件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发包人应协助承包人办理法律规定的有关施工证件和批件。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91" w:name="_bookmark108"/>
      <w:bookmarkEnd w:id="691"/>
      <w:r>
        <w:rPr>
          <w:rFonts w:hint="eastAsia" w:asciiTheme="minorEastAsia" w:hAnsiTheme="minorEastAsia" w:eastAsiaTheme="minorEastAsia"/>
          <w:color w:val="auto"/>
          <w:highlight w:val="none"/>
        </w:rPr>
        <w:t>2.5  组织设计交底</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发包人应根据批准的合同进度计划，组织设计单位向承包人进行设计交底。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发包人应在第 11.1.1 项约定的开工日期前，组织设计人向承包人进行合同工程总体设 计交底（包括图纸会审）。发包人还应按照合同进度计划中载明的阶段性设计交底时间，组 织和安排阶段工程设计交底（包括图纸会审）。承包人应当以书面方式通过监理人向发包人 申请增加设计交底，发包人在认为确有必要且条件许可时，应当尽快组织这类设计交底。</w:t>
      </w:r>
    </w:p>
    <w:p>
      <w:pPr>
        <w:spacing w:line="360" w:lineRule="auto"/>
        <w:ind w:firstLine="420" w:firstLineChars="200"/>
        <w:rPr>
          <w:rFonts w:asciiTheme="minorEastAsia" w:hAnsiTheme="minorEastAsia" w:eastAsiaTheme="minorEastAsia"/>
          <w:color w:val="auto"/>
          <w:highlight w:val="none"/>
        </w:rPr>
      </w:pPr>
      <w:bookmarkStart w:id="692" w:name="_bookmark109"/>
      <w:bookmarkEnd w:id="692"/>
      <w:r>
        <w:rPr>
          <w:rFonts w:hint="eastAsia" w:asciiTheme="minorEastAsia" w:hAnsiTheme="minorEastAsia" w:eastAsiaTheme="minorEastAsia"/>
          <w:color w:val="auto"/>
          <w:highlight w:val="none"/>
        </w:rPr>
        <w:t>2.6  支付合同价款</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发包人应按合同约定向承包人及时支付合同价款。</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93" w:name="_bookmark110"/>
      <w:bookmarkEnd w:id="693"/>
      <w:r>
        <w:rPr>
          <w:rFonts w:hint="eastAsia" w:asciiTheme="minorEastAsia" w:hAnsiTheme="minorEastAsia" w:eastAsiaTheme="minorEastAsia"/>
          <w:color w:val="auto"/>
          <w:highlight w:val="none"/>
        </w:rPr>
        <w:t>2.7  组织竣工验收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发包人应按合同约定及时组织竣工验收。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94" w:name="_bookmark111"/>
      <w:bookmarkEnd w:id="694"/>
      <w:r>
        <w:rPr>
          <w:rFonts w:hint="eastAsia" w:asciiTheme="minorEastAsia" w:hAnsiTheme="minorEastAsia" w:eastAsiaTheme="minorEastAsia"/>
          <w:color w:val="auto"/>
          <w:highlight w:val="none"/>
        </w:rPr>
        <w:t>2.8  向承包人提交支付担保</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（1）发包人要求承包人提交履约担保的，除合同条款专用部分另有约定的，在承包人 按合同条款第 4.2 款向发包人递交符合合同约定的履约担保的同时，发包人应当按照金额和 条件对等的原则和合同文件中规定的格式或者其他经过承包人事先认可的格式向承包人递 交一份支付担保。发包人提供支付担保格式见合同条款专用部分附件六。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（2）支付担保的有效期应当自本合同生效之日起至发包人实际支付竣工付款之日止。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（3）发包人无法获得一份不带具体截止日期的履约担保，支付担保中应当约定有“变 更工程竣工付款支付日期的，保证期间按照变更后的竣工付款支付日期做相应调整”或类似 约定的条款。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（4）支付担保应当在发包人付清竣工付款之日后 28 天内退还给发包人；承包人不承担 发包人与支付担保有关的任何利息或其它类似的费用或者收益。</w:t>
      </w:r>
    </w:p>
    <w:p>
      <w:pPr>
        <w:spacing w:line="360" w:lineRule="auto"/>
        <w:ind w:firstLine="420" w:firstLineChars="200"/>
        <w:rPr>
          <w:rFonts w:asciiTheme="minorEastAsia" w:hAnsiTheme="minorEastAsia" w:eastAsiaTheme="minorEastAsia"/>
          <w:color w:val="auto"/>
          <w:highlight w:val="none"/>
        </w:rPr>
      </w:pPr>
      <w:bookmarkStart w:id="695" w:name="_bookmark112"/>
      <w:bookmarkEnd w:id="695"/>
      <w:r>
        <w:rPr>
          <w:rFonts w:hint="eastAsia" w:asciiTheme="minorEastAsia" w:hAnsiTheme="minorEastAsia" w:eastAsiaTheme="minorEastAsia"/>
          <w:color w:val="auto"/>
          <w:highlight w:val="none"/>
        </w:rPr>
        <w:t>2.9  办理工程质量监督手续</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发包人应按有关规定及时办理工程质量监督手续。</w:t>
      </w:r>
    </w:p>
    <w:p>
      <w:pPr>
        <w:spacing w:line="360" w:lineRule="auto"/>
        <w:ind w:firstLine="420" w:firstLineChars="200"/>
        <w:rPr>
          <w:rFonts w:asciiTheme="minorEastAsia" w:hAnsiTheme="minorEastAsia" w:eastAsiaTheme="minorEastAsia"/>
          <w:color w:val="auto"/>
          <w:highlight w:val="none"/>
        </w:rPr>
        <w:sectPr>
          <w:headerReference r:id="rId28" w:type="default"/>
          <w:footerReference r:id="rId29" w:type="default"/>
          <w:pgSz w:w="11906" w:h="16839"/>
          <w:pgMar w:top="1161" w:right="178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96" w:name="_bookmark113"/>
      <w:bookmarkEnd w:id="696"/>
      <w:r>
        <w:rPr>
          <w:rFonts w:hint="eastAsia" w:asciiTheme="minorEastAsia" w:hAnsiTheme="minorEastAsia" w:eastAsiaTheme="minorEastAsia"/>
          <w:color w:val="auto"/>
          <w:highlight w:val="none"/>
        </w:rPr>
        <w:t>2.10  环境保护责任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发包人对建筑垃圾处理、施工扬尘治理以及疫情防控常态化管理负总责。</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697" w:name="_bookmark114"/>
      <w:bookmarkEnd w:id="697"/>
      <w:r>
        <w:rPr>
          <w:rFonts w:hint="eastAsia" w:asciiTheme="minorEastAsia" w:hAnsiTheme="minorEastAsia" w:eastAsiaTheme="minorEastAsia"/>
          <w:color w:val="auto"/>
          <w:highlight w:val="none"/>
        </w:rPr>
        <w:t>2.11  移交工程档案</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发包人应根据建设行政主管部门和（或）城市建设档案管理机构的规定，收集、整理、 立卷、归档工程资料，并按规定时间向建设行政主管部门或者城市建设档案管理机构移交规 定的工程档案。</w:t>
      </w:r>
    </w:p>
    <w:p>
      <w:pPr>
        <w:spacing w:line="360" w:lineRule="auto"/>
        <w:ind w:firstLine="420" w:firstLineChars="200"/>
        <w:rPr>
          <w:rFonts w:asciiTheme="minorEastAsia" w:hAnsiTheme="minorEastAsia" w:eastAsiaTheme="minorEastAsia"/>
          <w:color w:val="auto"/>
          <w:highlight w:val="none"/>
        </w:rPr>
      </w:pPr>
      <w:bookmarkStart w:id="698" w:name="_bookmark115"/>
      <w:bookmarkEnd w:id="698"/>
      <w:r>
        <w:rPr>
          <w:rFonts w:hint="eastAsia" w:asciiTheme="minorEastAsia" w:hAnsiTheme="minorEastAsia" w:eastAsiaTheme="minorEastAsia"/>
          <w:color w:val="auto"/>
          <w:highlight w:val="none"/>
        </w:rPr>
        <w:t>2.12  批准和确认</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按照合同约定应当由监理人或者发包人回复、批复、批准和确认，或承包人提出修改意 见的要求、请求、申请和报批等，自监理人或者发包人指定的接收人收到承包人发出的相应 要求、请求、申请和报批之日起，如果监理人或者发包人在合同约定的期限内未予回复、批 复、批准、确认或提出修改意见的，视为监理人和发包人已经同意、确认或者批准。</w:t>
      </w:r>
    </w:p>
    <w:p>
      <w:pPr>
        <w:spacing w:line="360" w:lineRule="auto"/>
        <w:ind w:firstLine="420" w:firstLineChars="200"/>
        <w:rPr>
          <w:rFonts w:asciiTheme="minorEastAsia" w:hAnsiTheme="minorEastAsia" w:eastAsiaTheme="minorEastAsia"/>
          <w:color w:val="auto"/>
          <w:highlight w:val="none"/>
        </w:rPr>
      </w:pPr>
      <w:bookmarkStart w:id="699" w:name="_bookmark116"/>
      <w:bookmarkEnd w:id="699"/>
      <w:r>
        <w:rPr>
          <w:rFonts w:hint="eastAsia" w:asciiTheme="minorEastAsia" w:hAnsiTheme="minorEastAsia" w:eastAsiaTheme="minorEastAsia"/>
          <w:color w:val="auto"/>
          <w:highlight w:val="none"/>
        </w:rPr>
        <w:t>2.13  其他义务</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发包人应履行的其他义务见合同条款专用部分。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00" w:name="_bookmark117"/>
      <w:bookmarkEnd w:id="700"/>
      <w:r>
        <w:rPr>
          <w:rFonts w:hint="eastAsia" w:asciiTheme="minorEastAsia" w:hAnsiTheme="minorEastAsia" w:eastAsiaTheme="minorEastAsia"/>
          <w:color w:val="auto"/>
          <w:highlight w:val="none"/>
        </w:rPr>
        <w:t>3.监理人</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01" w:name="_bookmark118"/>
      <w:bookmarkEnd w:id="701"/>
      <w:r>
        <w:rPr>
          <w:rFonts w:hint="eastAsia" w:asciiTheme="minorEastAsia" w:hAnsiTheme="minorEastAsia" w:eastAsiaTheme="minorEastAsia"/>
          <w:color w:val="auto"/>
          <w:highlight w:val="none"/>
        </w:rPr>
        <w:t>3.1  监理人的职责和权力</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3.1.1  监理人受发包人委托，享有合同约定的权力。监理人在行使某项权力前需要经 发包人事先批准，合同条款通用部分没有指明的，应在合同中指明。监理人履行须经发包人 批准行使的权力时，应当向承包人出示其行使该权力已经取得发包人批准的文件或者其他合 法有效的证明。发包人需批准明确行使的权力见合同条款专用部分。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3.1.2  监理人发出的任何指示应视为已得到发包人的批准，但监理人无权免除或变更 合同约定的发包人和承包人的权利、义务和责任。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3.1.3  合同约定应由承包人承担的义务和责任，不因监理人对承包人提交文件的审查 或批准，对工程、材料和设备的检查和检验，以及为实施监理作出的指示等职务行为而减轻 或解除。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3.1.4  监理人负责审查施工现场疫情常态化防控工作方案，检查落实情况并提出合理 化建议。</w:t>
      </w:r>
    </w:p>
    <w:p>
      <w:pPr>
        <w:spacing w:line="360" w:lineRule="auto"/>
        <w:ind w:firstLine="420" w:firstLineChars="200"/>
        <w:rPr>
          <w:rFonts w:asciiTheme="minorEastAsia" w:hAnsiTheme="minorEastAsia" w:eastAsiaTheme="minorEastAsia"/>
          <w:color w:val="auto"/>
          <w:highlight w:val="none"/>
        </w:rPr>
        <w:sectPr>
          <w:headerReference r:id="rId30" w:type="default"/>
          <w:footerReference r:id="rId31"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02" w:name="_bookmark119"/>
      <w:bookmarkEnd w:id="702"/>
      <w:r>
        <w:rPr>
          <w:rFonts w:hint="eastAsia" w:asciiTheme="minorEastAsia" w:hAnsiTheme="minorEastAsia" w:eastAsiaTheme="minorEastAsia"/>
          <w:color w:val="auto"/>
          <w:highlight w:val="none"/>
        </w:rPr>
        <w:t>3.2  总监理工程师</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发包人应在发出开工通知前将总监理工程师的任命通知承包人。总监理工程师更换时， 应在调离 14 天前通知承包人。总监理工程师短期离开施工场地的，应委派代表代行其职责， 并通知承包人。</w:t>
      </w:r>
    </w:p>
    <w:p>
      <w:pPr>
        <w:spacing w:line="360" w:lineRule="auto"/>
        <w:ind w:firstLine="420" w:firstLineChars="200"/>
        <w:rPr>
          <w:rFonts w:asciiTheme="minorEastAsia" w:hAnsiTheme="minorEastAsia" w:eastAsiaTheme="minorEastAsia"/>
          <w:color w:val="auto"/>
          <w:highlight w:val="none"/>
        </w:rPr>
      </w:pPr>
      <w:bookmarkStart w:id="703" w:name="_bookmark120"/>
      <w:bookmarkEnd w:id="703"/>
      <w:r>
        <w:rPr>
          <w:rFonts w:hint="eastAsia" w:asciiTheme="minorEastAsia" w:hAnsiTheme="minorEastAsia" w:eastAsiaTheme="minorEastAsia"/>
          <w:color w:val="auto"/>
          <w:highlight w:val="none"/>
        </w:rPr>
        <w:t>3.3  监理人员</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3.3.1  总监理工程师可以授权其他监理人员负责执行其指派的一项或多项监理工作。 总监理工程师应将被授权监理人员的姓名及其授权范围通知承包人。被授权的监理人员在授 权范围内发出的指示视为已得到总监理工程师的同意，与总监理工程师发出的指示具有同等 效力。总监理工程师撤销某项授权时，应将撤销授权的决定及时通知承包人。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3.3.2  监理人员对承包人的任何工作、工程或其采用的材料和工程设备未在约定的或 合理的期限内提出否定意见的，视为已获批准，但不影响监理人在以后拒绝该项工作、工程、 材料或工程设备的权利。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3.3.3  承包人对总监理工程师授权的监理人员发出的指示有疑问的，可向总监理工程 师提出书面异议，总监理工程师应在 48 小时内对该指示予以确认、更改或撤销。</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3.3.4  总监理工程师不应将合同条款通用部分第 3.5 款约定应由总监理工程师作出确 定的权力授权或者委托给其他监理人员。</w:t>
      </w:r>
    </w:p>
    <w:p>
      <w:pPr>
        <w:spacing w:line="360" w:lineRule="auto"/>
        <w:ind w:firstLine="420" w:firstLineChars="200"/>
        <w:rPr>
          <w:rFonts w:asciiTheme="minorEastAsia" w:hAnsiTheme="minorEastAsia" w:eastAsiaTheme="minorEastAsia"/>
          <w:color w:val="auto"/>
          <w:highlight w:val="none"/>
        </w:rPr>
      </w:pPr>
      <w:bookmarkStart w:id="704" w:name="_bookmark121"/>
      <w:bookmarkEnd w:id="704"/>
      <w:r>
        <w:rPr>
          <w:rFonts w:hint="eastAsia" w:asciiTheme="minorEastAsia" w:hAnsiTheme="minorEastAsia" w:eastAsiaTheme="minorEastAsia"/>
          <w:color w:val="auto"/>
          <w:highlight w:val="none"/>
        </w:rPr>
        <w:t>3.4  监理人的指示</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3.4.1  监理人应按第 3.1 款的约定向承包人发出指示，监理人的指示应加盖监理人授 权的施工场地机构章，并由总监理工程师或总监理工程师按第 3.3.1 项约定授权的监理人员 签字。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3.4.2  承包人收到监理人按第 3.4.1 项作出的指示后，应遵照执行。指示构成变更的， 应按第 15 条处理。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3.4.3  在紧急情况下，总监理工程师或被授权的监理人员可以当场签发临时书面指示， 承包人应遵照执行。承包人应在收到上述临时书面指示后 24 小时内，向监理人发出书面确 认函。监理人在收到书面确认函后 24 小时内未予答复的，该书面确认函应被视为监理人的 正式指示。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3.4.4  除合同另有约定外，承包人只从总监理工程师或按第 3.3.1 项被授权的监理人 员处取得指示。</w:t>
      </w:r>
    </w:p>
    <w:p>
      <w:pPr>
        <w:spacing w:line="360" w:lineRule="auto"/>
        <w:ind w:firstLine="420" w:firstLineChars="200"/>
        <w:rPr>
          <w:rFonts w:asciiTheme="minorEastAsia" w:hAnsiTheme="minorEastAsia" w:eastAsiaTheme="minorEastAsia"/>
          <w:color w:val="auto"/>
          <w:highlight w:val="none"/>
        </w:rPr>
        <w:sectPr>
          <w:headerReference r:id="rId32" w:type="default"/>
          <w:footerReference r:id="rId33" w:type="default"/>
          <w:pgSz w:w="11906" w:h="16839"/>
          <w:pgMar w:top="1161" w:right="172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3.4.5  由于监理人未能按合同约定发出指示、指示延误或指示错误而导致承包人费用 增加和（或）工期延误的， 由发包人承担赔偿责任。</w:t>
      </w:r>
    </w:p>
    <w:p>
      <w:pPr>
        <w:spacing w:line="360" w:lineRule="auto"/>
        <w:ind w:firstLine="420" w:firstLineChars="200"/>
        <w:rPr>
          <w:rFonts w:asciiTheme="minorEastAsia" w:hAnsiTheme="minorEastAsia" w:eastAsiaTheme="minorEastAsia"/>
          <w:color w:val="auto"/>
          <w:highlight w:val="none"/>
        </w:rPr>
      </w:pPr>
      <w:bookmarkStart w:id="705" w:name="_bookmark122"/>
      <w:bookmarkEnd w:id="705"/>
      <w:r>
        <w:rPr>
          <w:rFonts w:hint="eastAsia" w:asciiTheme="minorEastAsia" w:hAnsiTheme="minorEastAsia" w:eastAsiaTheme="minorEastAsia"/>
          <w:color w:val="auto"/>
          <w:highlight w:val="none"/>
        </w:rPr>
        <w:t>3.5  商定或确定</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3.5.1  总监理工程师应按照本款对任何事项进行商定或确定时，总监理工程师应与合 同当事人协商，尽量达成一致。不能达成一致的，总监理工程师应认真研究后审慎确定。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3.5.2  总监理工程师应将商定或确定的事项通知合同当事人，并附详细依据。对总监 理工程师的确定有异议的，构成争议，按照第 24 条的约定处理。在争议解决前，双方应暂 按总监理工程师的确定执行；按照第 24 条的约定对总监理工程师的确定需要作出修改的， 按修改后的结果执行。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3.6  监理人的宽恕</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监理人或者发包人就承包人对合同约定的任何责任和义务的某种违约行为的宽恕，不影 响监理人和发包人在此后的任何时间严格按合同约定处理承包人的其它违约行为，也不意味 发包人放弃合同约定的发包人与上述违约有关的任何权利和赔偿要求。</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  承包人的一般义务</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  遵守法律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承包人在履行合同过程中应遵守法律，并保证发包人免于承担因承包人违反法律而引起 的任何责任。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4.1.2  依法纳税</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承包人应按有关法律规定纳税，应缴纳的税金包括在合同价格内。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4.1.3  完成各项承包工作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（1）承包人应按合同约定以及监理人根据第 3.4 款作出的指示，实施、完成全部工程， 并修补工程中的任何缺陷。除第 5.2 款约定由发包人提供的材料和工程设备和第 6.2 款约定 由发包人提供的施工设备和临时设施外，承包人应负责提供为完成合同工作所需的劳务、材 料、施工设备、工程设备和其他物品，并按照合同约定负责临时设施的设计、建造、运行、 维护、管理和拆除工作。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（2）承包人应当依法合规建立施工扬尘综合治理、建筑垃圾、土方和砂石清运与消纳、</w:t>
      </w:r>
    </w:p>
    <w:p>
      <w:pPr>
        <w:spacing w:line="360" w:lineRule="auto"/>
        <w:ind w:firstLine="420" w:firstLineChars="200"/>
        <w:rPr>
          <w:rFonts w:asciiTheme="minorEastAsia" w:hAnsiTheme="minorEastAsia" w:eastAsiaTheme="minorEastAsia"/>
          <w:color w:val="auto"/>
          <w:highlight w:val="none"/>
        </w:rPr>
        <w:sectPr>
          <w:headerReference r:id="rId34" w:type="default"/>
          <w:footerReference r:id="rId35" w:type="default"/>
          <w:pgSz w:w="11906" w:h="16839"/>
          <w:pgMar w:top="1161" w:right="172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保证使用已在本市进行信息编码登记符合排放标准的非道路移动机械和严禁使用高排放非 道路移动机械以及行业挥发性有机物治理（如建筑外墙涂装、钢结构等鼓励使用水性漆替代 油性漆）等责任制，制定具体的管控机制和实施方案，严格落实。</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4.1.4  对施工作业和施工方法的完备性负责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承包人应按合同约定的工作内容和施工进度要求，编制施工组织设计和施工措施计划， 并对所有施工作业和施工方法的完备性和安全可靠性负责。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4.1.5  保证工程施工和人员的安全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承包人应按照第 9.2 款约定采取施工安全措施，确保工程及其人员、材料、设备和设施 的安全，防止因工程施工造成的人身伤害和财产损失。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4.1.6  负责施工场地、周边环境和生态保护以及疫情防控常态化工作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承包人应按照第 9.4 款约定负责施工场地及其周边环境与生态的保护工作。同时负责施 工现场及周边疫情常态化防控各项工作具体组织实施。即做好施工现场（含生活区）封闭式 管理；做好施工现场实名制管理；做好对重点人群的管理；做好生活区隔离管理；做好智能 体温计佩戴管理工作；做好环境卫生整治和消毒工作；做好施工现场从业人员健康素养宣传 教育等工作。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4.1.7  避免施工对公众与他人的利益造成损害</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承包人在进行合同约定的各项工作时，不得侵害发包人与他人使用公用道路、水源、市 政管网等公共设施的权利，避免对邻近的公共设施产生干扰。承包人占用或使用他人的施工 场地，影响他人作业或生活的，应承担相应责任。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4.1.8  为他人提供方便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（1）承包人应当对在施工场地或者附近实施与合同工程有关的其他工作的独立承包人 履行管理、协调、配合、照管和服务义务，由此发生的费用被认为已经包括在承包人的签约 合同价（投标总报价）中，具体工作内容和要求见合同条款专用部分。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（2）承包人还应按照监理人指示为独立承包人以外的他人在施工场地或者附近实施与 合同工程有关的其他工作提供可能的条件，可能发生费用由监理人按合同条款通用部分第 3.5 款商定或者确定。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4.1.9  工程的维护和照管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工程接收证书颁发前，承包人应负责照管和维护工程。工程接收证书颁发时尚有部分未 竣工工程的，承包人还应负责该未竣工工程的照管和维护工作，直至竣工后移交给发包人为 止。</w:t>
      </w:r>
    </w:p>
    <w:p>
      <w:pPr>
        <w:spacing w:line="360" w:lineRule="auto"/>
        <w:ind w:firstLine="420" w:firstLineChars="200"/>
        <w:rPr>
          <w:rFonts w:asciiTheme="minorEastAsia" w:hAnsiTheme="minorEastAsia" w:eastAsiaTheme="minorEastAsia"/>
          <w:color w:val="auto"/>
          <w:highlight w:val="none"/>
        </w:rPr>
        <w:sectPr>
          <w:headerReference r:id="rId36" w:type="default"/>
          <w:footerReference r:id="rId37" w:type="default"/>
          <w:pgSz w:w="11906" w:h="16839"/>
          <w:pgMar w:top="1161" w:right="1761" w:bottom="1153"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4.1.10  承包人的设计工作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根据发包人委托，在其设计资质等级和业务允许的范围内，完成约定的施工图设计或与 工程配套的设计工作，经监理人确认后使用，发包人承担由此发生的费用和合理利润。由承 包人负责完成的设计文件属于合同条款第 1.6.2 项约定的承包人提供的文件，承包人应按照 合同条款专用部分第 1.6.2 项约定的期限和数量提交，由此发生的费用被认为已经包括在承 包人的签约合同价（投标总报价）中。承包人承担的施工图设计或与工程配套的设计工作内 容见合同条款专用部分。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4.1.11  农民工工资保证金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承包人应在银行设立工资保证金专用账户，专项用于发生欠薪时支付农民工工资的应急 保障。账户内资金启用应当经建设主管部门和劳动保障行政部门批准。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4.1.12  其他义务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承包人应履行的其他义务见合同条款专用部分。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4.2  履约担保</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4.2.1  履约担保的格式和金额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合同约定承包人提交履约担保的，承包人应在签订合同前，按照发包人约定的格式或者 其他经过发包人认可的格式向发包人递交一份履约担保。经过发包人事先书面认可的其他格 式的履约担保，其担保条款的实质性内容应当与发包人合同文件约定的格式内容保持一致。 承包人是否提交履约担保及需要提交履约担保的金额见合同条款专用部分。承包人履约担保 格式见合同条款专用部分附件五。</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4.2.2  履约担保的有效期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履约担保的有效期应当自本合同生效之日起至发包人签认并由监理人向承包人出具工 程接收证书之日止。如果承包人无法获得一份不带具体截止日期的担保，履约担保中就应当 约定有“变更工程竣工日期的，保证期间按照变更后的竣工日期做相应调整”或类似约定的 条款。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4.2.3  履约担保的退还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履约担保应在监理人向承包人颁发（出具）工程接收证书之日后 28 天内退还给承包人。 发包人不承担承包人与履约担保有关的任何利息或其它类似的费用或者收益。</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4.2.4  通知义务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不管履约担保条款中如何约定，发包人根据担保条款提出索赔或兑现要求 28 天前，应</w:t>
      </w:r>
    </w:p>
    <w:p>
      <w:pPr>
        <w:spacing w:line="360" w:lineRule="auto"/>
        <w:ind w:firstLine="420" w:firstLineChars="200"/>
        <w:rPr>
          <w:rFonts w:asciiTheme="minorEastAsia" w:hAnsiTheme="minorEastAsia" w:eastAsiaTheme="minorEastAsia"/>
          <w:color w:val="auto"/>
          <w:highlight w:val="none"/>
        </w:rPr>
        <w:sectPr>
          <w:headerReference r:id="rId38" w:type="default"/>
          <w:footerReference r:id="rId39" w:type="default"/>
          <w:pgSz w:w="11906" w:h="16839"/>
          <w:pgMar w:top="1161" w:right="172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通知承包人并说明导致此类索赔或兑现的违约性质或原因。相应地，不管第 2.8 款约定的支 付担保条款中如何约定，承包人根据担保条款提出索赔或兑现要求 28 天前，也应通知发包 人并说明导致此类索赔或兑现的违约性质或原因。但是，本项约定的通知不应理解为是在任 何意义上寻求承包人或者发包人的同意。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  分包</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4.3.1  承包人不得将其承包的全部工程转包给第三人，或将其承包的全部工程肢解后 以分包的名义转包给第三人。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4.3.2  承包人不得将工程主体、关键性工作分包给第三人。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4.3.3  未经发包人同意，承包人不得将其自行施工范围工程的其他部分或工作分包给 第三人。发包人同意承包人分包的非主体、非关键性工作包括：</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（1）投标函附录约定的分包工程；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（2）除投标函附录中约定的分包内容外，经过发包人和监理人同意的其他非主体、非关 键性工作，但分包人应当经过发包人和监理人审批。发包人和监理人有权拒绝承包人的分包 请求和承包人选择的分包人。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4.3.4  发包人在工程量清单中给定暂估价的专业工程，包括从暂列金额开支的专业工 程，达到依法应当招标的规模标准的，以及虽未达到规定的规模标准但合同中约定采用招标 方式实施的，应当按第 15.8.1 项的约定， 由发包人和承包人以招标方式确定专业分包人。 除项目审批部门有特别核准外，暂估价的专业工程的招标应当采用与施工总承包同样的招标 方式。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4.3.5  在相关分包合同签订并报送有关建设行政主管部门后 7 天内，承包人应当将一 份副本提交给监理人，承包人应保障分包工作不得再次分包。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4.3.6  分包工程价款由承包人与分包人（包括专业分包人）结算。未经承包人同意， 发包人不得以任何形式向分包人（包括专业分包人）支付相关分包合同项下的任何工程款项。 因发包人未经承包人同意直接向分包人（包括专业分包人）支付相关分包合同项下的任何工 程款项而影响承包人工作的，所造成的承包人费用增加和（或）延误的工期由发包人承担。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4.3.7  未经发包人和监理人审批同意的分包工程和分包人，发包人有权拒绝验收分包 工程和支付相应款项， 由此引起的承包人费用增加和（或）延误的工期由承包人承担。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4.3.8  分包人的资格能力应与其分包工程的标准和规模相适应。</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4.3.9  发包人同意的分包工程，承包人应向发包人和监理人提供合同副本。</w:t>
      </w:r>
    </w:p>
    <w:p>
      <w:pPr>
        <w:spacing w:line="360" w:lineRule="auto"/>
        <w:ind w:firstLine="420" w:firstLineChars="200"/>
        <w:rPr>
          <w:rFonts w:asciiTheme="minorEastAsia" w:hAnsiTheme="minorEastAsia" w:eastAsiaTheme="minorEastAsia"/>
          <w:color w:val="auto"/>
          <w:highlight w:val="none"/>
        </w:rPr>
        <w:sectPr>
          <w:headerReference r:id="rId40" w:type="default"/>
          <w:footerReference r:id="rId41" w:type="default"/>
          <w:pgSz w:w="11906" w:h="16839"/>
          <w:pgMar w:top="1161" w:right="1726" w:bottom="1153"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4.3.10  承包人应与分包人就分包工程向发包人承担连带责任。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4.4  联合体</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4.4.1  联合体各方应共同与发包人签订合同协议书。联合体各方应为履行合同承担连</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带责任。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4.4.2  联合体协议经发包人确认后作为合同附件。在履行合同过程中，未经发包人同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意，不得修改联合体协议。</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4.4.3  联合体牵头人负责与发包人和监理人联系，并接受指示，负责组织联合体各成 员全面履行合同。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4.5  承包人项目经理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4.5.1  承包人项目经理必须与承包人投标时所承诺的人员一致，并在根据第 11.1.1 项确定的开工日期前到任。在监理人向承包人颁发（出具）工程接收证书前，项目经理不得 同时兼任其他任何项目的项目经理。未经发包人书面许可，承包人不得更换项目经理。承包 人项目经理的姓名、职称、身份证号、执业资格证书号、注册证书号、执业印章号、安全生 产考核合格证书号等细节资料应当在合同协议书中载明。承包人更换项目经理应事先征得发 包人同意，并应在更换 14 天前通知发包人和监理人。承包人项目经理短期离开施工场地， 应事先征得监理人同意，并委派代表代行其职责。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4.5.2  承包人项目经理应按合同约定以及监理人按第 3.4 款作出的指示，负责组织合 同工程的实施。在情况紧急且无法与监理人取得联系时，可采取保证工程和人员生命财产安 全的紧急措施，并在采取措施后 24 小时内向监理人提交书面报告。</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4.5.3  承包人为履行合同发出的一切函件均应盖有承包人授权的施工场地管理机构章， 并由承包人项目经理或其授权代表签字。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4.5.4  承包人项目经理可以授权其下属人员履行其某项职责，但事先应将这些人员的 姓名和授权范围通知监理人。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  承包人人员的管理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4.6.1  承包人应在接到开工通知后 28 天内，向监理人提交承包人在施工场地的管理机 构以及人员安排的报告，其内容应包括管理机构的设置、各主要岗位的技术和管理人员名单 及其资格，以及各工种技术工人的安排状况。承包人应向监理人提交施工场地人员变动情况 的报告。</w:t>
      </w:r>
    </w:p>
    <w:p>
      <w:pPr>
        <w:spacing w:line="360" w:lineRule="auto"/>
        <w:ind w:firstLine="420" w:firstLineChars="200"/>
        <w:rPr>
          <w:rFonts w:asciiTheme="minorEastAsia" w:hAnsiTheme="minorEastAsia" w:eastAsiaTheme="minorEastAsia"/>
          <w:color w:val="auto"/>
          <w:highlight w:val="none"/>
        </w:rPr>
        <w:sectPr>
          <w:headerReference r:id="rId42" w:type="default"/>
          <w:footerReference r:id="rId43" w:type="default"/>
          <w:pgSz w:w="11906" w:h="16839"/>
          <w:pgMar w:top="1161" w:right="165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4.6.2  为完成合同约定的各项工作，承包人应向施工场地派遣或雇佣足够数量的下列 人员：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（1）具有相应资格的专业技工和合格的普工；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（2）具有相应施工经验的技术人员；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（3）具有相应岗位资格的各级管理人员。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4.6.3  承包人安排在施工场地的主要管理人员和技术骨干应相对稳定。承包人更换主 要管理人员和技术骨干时，应取得监理人的同意。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4.6.4  特殊岗位的工作人员均应持有相应的资格证明，监理人有权随时检查。监理人 认为有必要时，可进行现场考核。</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4.6.5  严格落实疫情防控常态化有关要求，核实项目人员身份及做好人员健康信息档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案，不使用零散工和无健康信息的劳务人员，  不得使用按照有关规定需要隔离观察的劳务 人员；现场进口设立体温监测点，对所有进入施工现场人员进行体温检测和“健康码”查验， 核对人员身份和健康状况，凡有发热、干咳等症状的，禁止其进入，并及时报告和妥善处置； 在人员密集的封闭场所与他人小于 1 米距离接触时要佩戴口罩。同时加强公共卫生教育培训， 引导施工现场人员养成勤洗手、常通风、科学佩戴口罩、使用公勺公筷等良好卫生习惯，确 保疫情防控管理常态化。</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4.7  撤换承包人项目经理和其他人员</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承包人应对其项目经理和其他人员进行有效管理。监理人要求撤换不能胜任本职工作、 行为不端或玩忽职守的承包人项目经理和其他人员的，承包人应予以撤换。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  保障承包人人员的合法权益</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4.8.1  承包人应与其雇佣的人员签订劳动合同，并按时发放工资。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4.8.2  承包人应按劳动法的规定安排工作时间，保证其雇佣人员享有休息和休假的权 利。因工程施工的特殊需要占用休假日或延长工作时间的，应不超过法律规定的限度，并按 法律规定给予补休或付酬。</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4.8.3  承包人应为其雇佣人员提供必要的食宿条件， 以及符合环境保护和卫生要求的 生活环境，在远离城镇的施工场地，还应配备必要的伤病防治和急救的医务人员与医疗设施。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4.8.4  承包人应按国家有关劳动保护的规定，采取有效的防止粉尘、降低噪声、控制 有害气体和保障高温、高寒、高空作业安全等劳动保护措施。其雇佣人员在施工中受到伤害</w:t>
      </w:r>
    </w:p>
    <w:p>
      <w:pPr>
        <w:spacing w:line="360" w:lineRule="auto"/>
        <w:ind w:firstLine="420" w:firstLineChars="200"/>
        <w:rPr>
          <w:rFonts w:asciiTheme="minorEastAsia" w:hAnsiTheme="minorEastAsia" w:eastAsiaTheme="minorEastAsia"/>
          <w:color w:val="auto"/>
          <w:highlight w:val="none"/>
        </w:rPr>
        <w:sectPr>
          <w:headerReference r:id="rId44" w:type="default"/>
          <w:footerReference r:id="rId45"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的，承包人应立即采取有效措施进行抢救和治疗。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4.8.5  承包人应按有关法律规定和合同约定，为其雇佣人员办理保险。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4.8.6  承包人应负责处理其雇佣人员因工伤亡事故的善后事宜。</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4.9  工程价款应专款专用</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发包人按合同约定支付给承包人的各项价款应专用于合同工程。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4.10  承包人现场查勘</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4.10.1  发包人应将其持有的现场地质勘探资料、水文气象资料提供给承包人，并对其 准确性负责。但承包人应对其阅读上述有关资料后所作出的解释和推断负责。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4.10.2  承包人应对施工场地和周围环境进行查勘，并收集有关地质、水文、气象条件、 交通条件、风俗习惯以及其他为完成合同工作有关的当地资料。在全部合同工作中，应视为 承包人已充分估计了应承担的责任和风险。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  不利物质条件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4.11.1  不利物质条件一般是指承包人在施工场地遇到的不可预见的自然物质条件、非 自然的物质障碍和污染物，包括地下和水文条件，但不包括气候条件。不利物质条件的具体 范围见合同条款专用部分。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4.11.2  承包人遇到不利物质条件时，应采取适应不利物质条件的合理措施继续施工， 并及时通知监理人。监理人应当及时发出指示，指示构成变更的，按第 15 条约定办理。监 理人没有发出指示的，承包人因采取合理措施增加的费用和（或）工期延误，由发包人承担。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5.材料和工程设备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5.1  承包人提供的材料和工程设备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5.1.1  除第 5.2 款约定由发包人提供的材料和工程设备外， 由承包人提供的材料和工 程设备均由承包人负责采购、运输和保管。但是，发包人在工程量清单中给定暂估价的材料 和工程设备，包括从暂列金额开支的材料和工程设备，其中属于依法必须招标的范围并达到 规定的规模标准的，以及虽不属于依法必须招标的范围但合同中约定采用招标方式采购的， 应当按第 15.8.1 项的约定， 由发包人和承包人以招标方式确定专项供应商。承包人负责提 供的主要材料和工程设备清单见合同条款专用部分“附件三：承包人提供的材料和工程设备</w:t>
      </w:r>
    </w:p>
    <w:p>
      <w:pPr>
        <w:spacing w:line="360" w:lineRule="auto"/>
        <w:ind w:firstLine="420" w:firstLineChars="200"/>
        <w:rPr>
          <w:rFonts w:asciiTheme="minorEastAsia" w:hAnsiTheme="minorEastAsia" w:eastAsiaTheme="minorEastAsia"/>
          <w:color w:val="auto"/>
          <w:highlight w:val="none"/>
        </w:rPr>
        <w:sectPr>
          <w:headerReference r:id="rId46" w:type="default"/>
          <w:footerReference r:id="rId47" w:type="default"/>
          <w:pgSz w:w="11906" w:h="16839"/>
          <w:pgMar w:top="1161" w:right="172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一览表”。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5.1.2  承包人应在合同约定的期限内，将各项材料和工程设备的供货人和品种、规格、 数量及供货时间等报送监理人审批。承包人应向监理人提交其负责提供的材料和工程设备的 质量证明文件，并满足合同约定的质量标准。承包人将其提供的各项材料和工程设备的供货 人和品种、规格、数量及供货时间等报送监理人审批的期限见合同条款专用部分。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5.1.3  对承包人提供的材料和工程设备，承包人应会同监理人进行检验和交货验收， 查验材料合格证明和产品合格证书，并按照合同约定和监理人指示，进行材料的抽样检验和 工程设备的检验测试，检验和测试结果应提交监理人，所需费用由承包人承担。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  发包人提供的材料和工程设备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5.2.1  发包人负责提供的材料和工程设备的名称、规格、数量、价格、交货方式、交 货地点和计划交货日期等见合同条款专用部分“附件四：发包人提供的材料和工程设备一览 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5.2.2  承包人应根据合同进度计划的安排，向监理人报送要求发包人交货的日期计划。 发包人应按照监理人与合同双方当事人商定的交货日期，向承包人提交材料和工程设备。</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5.2.3  发包人应在材料和工程设备到货 7 天前通知承包人，承包人应会同监理人在约 定的时间内，赴交货地点共同进行验收。由发包人提供的材料和工程设备验收后，由承包人 负责接收、运输和保管。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5.2.4  发包人要求向承包人提前交货的，承包人不得拒绝，但发包人应承担承包人由 此增加的费用。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5.2.5  承包人要求更改交货日期或地点的，应事先报请监理人批准。 由于承包人要求 更改交货时间或地点所增加的费用和（或）工期延误由承包人承担。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5.2.6  发包人提供的材料和工程设备的规格、数量或质量不符合合同要求，或由于发 包人原因发生交货日期延误及交货地点变更等情况的，发包人应承担由此增加的费用和（或） 工期延误，并向承包人支付合理利润。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5.3  材料和工程设备专用于合同工程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5.3.1  运入施工场地的材料、工程设备，包括备品备件、安装专用工器具与随机资料， 必须专用于合同工程，未经监理人同意，承包人不得运出施工场地或挪作他用。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5.3.2  随同工程设备运入施工场地的备品备件、专用工器具与随机资料，应由承包人</w:t>
      </w:r>
    </w:p>
    <w:p>
      <w:pPr>
        <w:spacing w:line="360" w:lineRule="auto"/>
        <w:ind w:firstLine="420" w:firstLineChars="200"/>
        <w:rPr>
          <w:rFonts w:asciiTheme="minorEastAsia" w:hAnsiTheme="minorEastAsia" w:eastAsiaTheme="minorEastAsia"/>
          <w:color w:val="auto"/>
          <w:highlight w:val="none"/>
        </w:rPr>
        <w:sectPr>
          <w:headerReference r:id="rId48" w:type="default"/>
          <w:footerReference r:id="rId49" w:type="default"/>
          <w:pgSz w:w="11906" w:h="16839"/>
          <w:pgMar w:top="1161" w:right="170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会同监理人按供货人的装箱单清点后共同封存，未经监理人同意不得启用。承包人因合同工 作需要使用上述物品时，应向监理人提出申请。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5.4  禁止使用不合格的材料和工程设备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5.4.1  监理人有权拒绝承包人提供的不合格材料或工程设备，并要求承包人立即进行 更换。监理人应在更换后再次进行检查和检验，由此增加的费用和（或）工期延误由承包人 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5.4.2  监理人发现承包人使用了不合格的材料和工程设备，应即时发出指示要求承包 人立即改正，并禁止在工程中继续使用不合格的材料和工程设备。</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5.4.3  发包人提供的材料或工程设备不符合合同要求的，承包人有权拒绝，并可要求 发包人更换， 由此增加的费用和（或）工期延误由发包人承担。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6.施工设备和临时设施</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6.1  承包人提供的施工设备和临时设施</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6.1.1  承包人应按合同进度计划的要求，及时配置施工设备和修建临时设施。进入施 工场地的承包人设备需经监理人核查后才能投入使用。承包人更换合同约定的承包人设备的， 应报监理人批准。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6.1.2  除合同另有约定外，承包人应承担自行修建临时设施的费用。需要临时占地的， 应由发包人办理申请手续并承担相应费用。承包人自行修建临时设施的范围以及所需临时占 地见合同条款专用部分。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6.2  发包人提供的施工设备和临时设施</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发包人提供的施工设备或临时设施，以及相关运行、维护、拆除、清运费用的承担人见 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6.3  要求承包人增加或更换施工设备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承包人使用的施工设备不能满足合同进度计划和（或）质量要求时，监理人有权要求承 包人增加或更换施工设备，承包人应及时增加或更换，由此增加的费用和（或）工期延误由 承包人承担。</w:t>
      </w:r>
    </w:p>
    <w:p>
      <w:pPr>
        <w:spacing w:line="360" w:lineRule="auto"/>
        <w:ind w:firstLine="420" w:firstLineChars="200"/>
        <w:rPr>
          <w:rFonts w:asciiTheme="minorEastAsia" w:hAnsiTheme="minorEastAsia" w:eastAsiaTheme="minorEastAsia"/>
          <w:color w:val="auto"/>
          <w:highlight w:val="none"/>
        </w:rPr>
        <w:sectPr>
          <w:headerReference r:id="rId50" w:type="default"/>
          <w:footerReference r:id="rId51"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6.4  施工设备和临时设施专用于合同工程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6.4.1  除为第 4.1.8 项约定的其他独立承包人和监理人指示的他人提供条件外,承包 人运入施工场地的所有施工设备以及在施工场地建设的临时设施仅限于用于合同工程。未经 监理人同意，不得将上述施工设备和临时设施中的任何部分运出施工场地或挪作他用。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6.4.2  经监理人同意，承包人可根据合同进度计划撤走闲置的施工设备。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7.交通运输</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7.1  道路通行权和场外设施</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除合同条款专用部分另有约定外，发包人应根据合同工程的施工需要，负责办理取得出 入施工场地的专用和临时道路的通行权，以及取得为工程建设所需修建场外设施的权利，并 承担有关费用。承包人应协助发包人办理上述手续。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7.2  场内施工道路</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7.2.1  除合同条款专用部分另有约定外，承包人应负责修建、维修、养护和管理施工 所需的临时道路和交通设施，包括维修、养护和管理发包人提供的道路和交通设施，并承担 相应费用。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7.2.2  发包人和监理人有权无偿使用承包人修建的临时道路和交通设施，不需要交纳 任何费用。</w:t>
      </w:r>
    </w:p>
    <w:p>
      <w:pPr>
        <w:spacing w:line="360" w:lineRule="auto"/>
        <w:ind w:firstLine="420" w:firstLineChars="200"/>
        <w:rPr>
          <w:rFonts w:asciiTheme="minorEastAsia" w:hAnsiTheme="minorEastAsia" w:eastAsiaTheme="minorEastAsia"/>
          <w:color w:val="auto"/>
          <w:highlight w:val="none"/>
        </w:rPr>
      </w:pPr>
      <w:bookmarkStart w:id="706" w:name="_bookmark149"/>
      <w:bookmarkEnd w:id="706"/>
      <w:r>
        <w:rPr>
          <w:rFonts w:hint="eastAsia" w:asciiTheme="minorEastAsia" w:hAnsiTheme="minorEastAsia" w:eastAsiaTheme="minorEastAsia"/>
          <w:color w:val="auto"/>
          <w:highlight w:val="none"/>
        </w:rPr>
        <w:t>7.3  场外交通</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7.3.1  承包人车辆外出行驶所需的场外公共道路的通行费、养路费和税款等由承包人 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7.3.2  承包人应遵守有关交通法规，严格按照道路和桥梁的限制荷重安全行驶，并服 从交通管理部门的检查和监督。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7.4  超大件和超重件的运输</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由承包人负责运输的超大件或超重件，应由承包人负责向交通管理部门办理申请手续， 发包人给予协助。运输超大件或超重件所需的道路和桥梁临时加固改造费用和其他有关费用， 由承包人承担，但合同条款专用部分另有约定除外。</w:t>
      </w:r>
    </w:p>
    <w:p>
      <w:pPr>
        <w:spacing w:line="360" w:lineRule="auto"/>
        <w:ind w:firstLine="420" w:firstLineChars="200"/>
        <w:rPr>
          <w:rFonts w:asciiTheme="minorEastAsia" w:hAnsiTheme="minorEastAsia" w:eastAsiaTheme="minorEastAsia"/>
          <w:color w:val="auto"/>
          <w:highlight w:val="none"/>
        </w:rPr>
        <w:sectPr>
          <w:headerReference r:id="rId52" w:type="default"/>
          <w:footerReference r:id="rId53"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7.5  道路和桥梁的损坏责任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因承包人运输造成施工场地内外公共道路和桥梁损坏的，由承包人承担修复损坏的全部 费用和可能引起的赔偿。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7.6  水路和航空运输</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本条上述各款的内容适用于水路运输和航空运输，其中“道路”一词的涵义包括河道、 航线、船闸、机场、码头、堤防以及水路或航空运输中其他相似结构物；“车辆”一词的涵 义包括船舶和飞机等。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8.测量放线</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8.1  施工控制网</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8.1.1  发包人应在合同约定的期限内，通过监理人向承包人提供测量基准点、基准线 和水准点及其书面资料。向承包人提供测量基准点、基准线和水准点及其书面资料的期限见 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8.1.2  承包人应根据国家测绘基准、测绘系统和工程测量技术规范，按上述基准点（线） 以及合同工程精度要求，测设施工控制网，承包人测设施工控制网的其他要求见合同条款专 用部分。并将施工控制网资料在约定期限内报送监理人审批，其报送监理人审批的期限见合 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8.1.3  承包人应负责管理施工控制网点。施工控制网点丢失或损坏的，承包人应及时 修复，并承担施工控制网点的管理与修复费用。工程竣工后将施工控制网点移交发包人。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8.2  施工测量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8.2.1  承包人应负责施工过程中的全部施工测量放线工作，并配置合格的人员、仪器、 设备和其他物品。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8.2.2  监理人可以指示承包人进行抽样复测，当复测中发现错误或出现超过合同约定 的误差时，承包人应按监理人指示进行修正或补测，并承担相应的复测费用。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8.3  基准资料错误的责任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发包人应对其提供的测量基准点、基准线和水准点及其书面资料的真实性、准确性和完 整性负责。发包人提供上述基准资料错误导致承包人测量放线工作的返工或造成工程损失的，</w:t>
      </w:r>
    </w:p>
    <w:p>
      <w:pPr>
        <w:spacing w:line="360" w:lineRule="auto"/>
        <w:ind w:firstLine="420" w:firstLineChars="200"/>
        <w:rPr>
          <w:rFonts w:asciiTheme="minorEastAsia" w:hAnsiTheme="minorEastAsia" w:eastAsiaTheme="minorEastAsia"/>
          <w:color w:val="auto"/>
          <w:highlight w:val="none"/>
        </w:rPr>
        <w:sectPr>
          <w:headerReference r:id="rId54" w:type="default"/>
          <w:footerReference r:id="rId55"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发包人应当承担由此增加的费用和（或）工期延误，并向承包人支付合理利润。承包人发现 发包人提供的上述基准资料存在明显错误或疏忽的，应及时通知监理人。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8.4  监理人使用施工控制网</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监理人需要使用施工控制网的，承包人应提供必要的协助，发包人不再为此支付费用。</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9.施工安全、治安保卫和环境保护</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9.1  发包人的施工安全责任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9.1.1  发包人应按合同约定履行安全职责，授权监理人按合同约定的安全工作内容监 督、检查承包人安全工作的实施，组织承包人和有关单位进行安全检查。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9.1.2  发包人应对其现场机构雇佣的全部人员的工伤事故承担责任，但由于承包人原 因造成发包人人员工伤的，应由承包人承担责任。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9.1.3  发包人应负责赔偿以下各种情况造成的第三者人身伤亡和财产损失：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（1）工程或工程的任何部分对土地的占用所造成的第三者财产损失；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 由于发包人原因在施工场地及其毗邻地带造成的第三者人身伤亡和财产损失。</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  承包人的施工安全责任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9.2.1  承包人应按合同约定履行安全职责,执行监理人有关安全工作的指示,并在合同 条款专用部分约定的期限内，按合同约定的安全工作内容，编制施工安全措施计划报送监理 人审批。监理人应在合同条款专用部分约定的期限内完成批复。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9.2.2  承包人应加强施工作业安全管理，特别应加强易燃、易爆材料、火工器材、有 毒与腐蚀性材料、行业挥发性有机物和其他危险品的管理，以及对爆破作业和地下工程施工 等危险作业的管理。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9.2.3  承包人应严格按照国家安全标准制定施工安全操作规程，配备必要的安全生产 和劳动保护设施，加强对承包人人员的安全教育，并发放安全工作手册和劳动保护用具。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9.2.4  承包人应按监理人的指示制定应对灾害的紧急预案，报送监理人审批。承包人 还应按预案做好安全检查，配置必要的救助物资和器材，切实保护好有关人员的人身和财产 安全。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9.2.5  合同约定的安全作业环境及安全施工措施所需费用应遵守有关规定，并包括在 相关工作的合同价格中。因采取合同未约定的安全作业环境及安全施工措施增加的费用，由</w:t>
      </w:r>
    </w:p>
    <w:p>
      <w:pPr>
        <w:spacing w:line="360" w:lineRule="auto"/>
        <w:ind w:firstLine="420" w:firstLineChars="200"/>
        <w:rPr>
          <w:rFonts w:asciiTheme="minorEastAsia" w:hAnsiTheme="minorEastAsia" w:eastAsiaTheme="minorEastAsia"/>
          <w:color w:val="auto"/>
          <w:highlight w:val="none"/>
        </w:rPr>
        <w:sectPr>
          <w:headerReference r:id="rId56" w:type="default"/>
          <w:footerReference r:id="rId57"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监理人按第 3.5 款商定或确定。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9.2.6  承包人应对其履行合同所雇佣的全部人员，包括分包人人员的工伤事故承担责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任，但由于发包人原因造成承包人人员工伤事故的，应由发包人承担责任。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9.2.7  由于承包人原因在施工场地内及其毗邻地带造成的第三者人员伤亡和财产损失， 由承包人负责赔偿。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9.3  治安保卫</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9.3.1  发包人应与当地公安部门协商，在现场建立治安管理机构或联防组织，负责统 一管理施工场地的治安保卫事项，履行合同工程的治安保卫职责。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9.3.2  发包人和承包人除应协助现场治安管理机构或联防组织维护施工场地的社会治 安外，还应做好包括生活区在内的各自管辖区的治安保卫工作。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9.3.3  在工程开工前应当明确责任人编制施工场地治安管理计划，并制定应对突发治 安事件的紧急预案。在工程施工过程中，发生暴乱、爆炸等恐怖事件，以及群殴、械斗等群 体性突发治安事件的，发包人和承包人应立即向当地政府报告。发包人和承包人应积极协助 当地有关部门采取措施平息事态，防止事态扩大，尽量减少财产损失和避免人员伤亡。制定 施工场地治安管理计划和突发治安事件紧急预案的责任人见合同条款专用部分。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9.3.4  建立健全疫情常态化防控应急机制，始终坚持疫情常态化防控和应急处置相结 合的原则，按照项目所在地分区分级标准及时制定完善应急预案，明确应急处置流程，适时 开展应急演练，确保责任落实到人。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建立联防联控机制，对接属地社区、卫生健康、疾控等部门，全面落实各项疫情常态化 防控措施。发生涉疫情况，应第一时间向有关部门报告、第一时间启动应急预案、第一时间 采取停工措施并封闭现场；并按照应急预案和相关规定进行先期处置，安排涉疫人员至隔离 观察区域，与现场其他人员进行隔离，并安排专人负责卫生健康、疾控等部门防控专业人员 的进场引导工作，保障急救通道畅通；同时积极配合卫生健康、疾控等部门做好流行病学调 查、医学观察，对现场进行全面消杀。</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  环境保护</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9.4.1  承包人在施工过程中，应遵守有关环境保护的法律，履行合同约定的环境保护 义务，并对违反法律和合同约定义务所造成的环境破坏、人身伤害和财产损失负责。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9.4.2  承包人应建立施工扬尘治理、建筑垃圾、土方和砂石清运与消纳、保证使用已</w:t>
      </w:r>
    </w:p>
    <w:p>
      <w:pPr>
        <w:spacing w:line="360" w:lineRule="auto"/>
        <w:ind w:firstLine="420" w:firstLineChars="200"/>
        <w:rPr>
          <w:rFonts w:asciiTheme="minorEastAsia" w:hAnsiTheme="minorEastAsia" w:eastAsiaTheme="minorEastAsia"/>
          <w:color w:val="auto"/>
          <w:highlight w:val="none"/>
        </w:rPr>
        <w:sectPr>
          <w:headerReference r:id="rId58" w:type="default"/>
          <w:footerReference r:id="rId59" w:type="default"/>
          <w:pgSz w:w="11906" w:h="16839"/>
          <w:pgMar w:top="1161" w:right="165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在本市进行信息编码登记符合排放标准的非道路移动机械和严禁使用高排放非道路移动机 械以及行业挥发性有机物治理（如建筑外墙涂装、钢结构等鼓励使用水性漆替代油性漆）等 责任制，针对工程项目特点制定具体的实施方案，并严格实施。如扬尘治理，承包人应在建 筑工地公示施工扬尘治理措施、责任人、主管部门等信息，并及时向当地主管部门报送施工 扬尘治理措施落实情况。</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9.4.3  承包人应在合同条款专用部分约定的时限内，按合同约定的环保工作内容，编 制施工环保措施计划（包含第 9.4.2 项约定的实施方案内容），报送监理人审批。监理人在 合同条款专用部分约定的期限内给予批复。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9.4.4  承包人应按照批准的施工环保措施计划有序地堆放和处理施工废弃物，避免对 环境造成破坏。因承包人任意堆放或弃置施工废弃物造成妨碍公共交通、影响城镇居民生活、 降低河流行洪能力、危及居民安全、破坏和污染环境，或者影响其他承包人施工等后果的， 承包人应承担责任。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9.4.5  承包人应按合同约定采取有效措施，对施工开挖的边坡及时进行支护,维护排水 设施，并进行水土保护，避免因施工造成的地质灾害。</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9.4.6  承包人应按国家饮用水管理标准定期对饮用水源进行监测，防止施工活动污染 饮用水源。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9.4.7  承包人应按合同约定，加强对噪声、粉尘、废气、废水和废油的控制，努力降 低噪声，控制粉尘和废气浓度，做好废水和废油的治理和排放。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9.5  事故处理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工程施工过程中发生事故的，承包人应立即通知监理人，监理人应立即通知发包人。发 包人和承包人应立即组织人员和设备进行紧急抢救和抢修，减少人员伤亡和财产损失，防止 事故扩大，并保护事故现场。需要移动现场物品时，应作出标记和书面记录，妥善保管有关 证据。发包人和承包人应按国家有关规定，及时如实地向有关部门报告事故发生的情况，以 及正在采取的紧急措施等。</w:t>
      </w:r>
    </w:p>
    <w:p>
      <w:pPr>
        <w:spacing w:line="360" w:lineRule="auto"/>
        <w:ind w:firstLine="420" w:firstLineChars="200"/>
        <w:rPr>
          <w:rFonts w:asciiTheme="minorEastAsia" w:hAnsiTheme="minorEastAsia" w:eastAsiaTheme="minorEastAsia"/>
          <w:color w:val="auto"/>
          <w:highlight w:val="none"/>
        </w:rPr>
      </w:pPr>
      <w:bookmarkStart w:id="707" w:name="_bookmark164"/>
      <w:bookmarkEnd w:id="707"/>
      <w:r>
        <w:rPr>
          <w:rFonts w:hint="eastAsia" w:asciiTheme="minorEastAsia" w:hAnsiTheme="minorEastAsia" w:eastAsiaTheme="minorEastAsia"/>
          <w:color w:val="auto"/>
          <w:highlight w:val="none"/>
        </w:rPr>
        <w:t>9.6  施工现场安全生产标准化管理目标</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9.6.1 由于承包人原因，施工现场安全生产标准化评定、认定等级未达到合同协议书中 约定的管理目标等级但“达标（合格）”的，承包人应当向发包人支付未达到合同协议书中 约定的安全生产标准化管理目标等级的违约金或损失赔偿金。未达到合同协议书中约定的安</w:t>
      </w:r>
    </w:p>
    <w:p>
      <w:pPr>
        <w:spacing w:line="360" w:lineRule="auto"/>
        <w:ind w:firstLine="420" w:firstLineChars="200"/>
        <w:rPr>
          <w:rFonts w:asciiTheme="minorEastAsia" w:hAnsiTheme="minorEastAsia" w:eastAsiaTheme="minorEastAsia"/>
          <w:color w:val="auto"/>
          <w:highlight w:val="none"/>
        </w:rPr>
        <w:sectPr>
          <w:headerReference r:id="rId60" w:type="default"/>
          <w:footerReference r:id="rId61" w:type="default"/>
          <w:pgSz w:w="11906" w:h="16839"/>
          <w:pgMar w:top="1161" w:right="172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全生产标准化管理目标等级的违约金或损失赔偿金的金额或者计算方法见合同条款专用部 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9.6.2 发包人鼓励承包人提高施工现场安全生产标准化管理。施工现场安全生产标准化 评定、认定等级高于合同协议书中约定的管理目标等级的，发包人可给予承包人创优奖励。 发包人是否给予承包人创优奖励及创优奖励金额或者计算方法见合同条款专用部分。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9.7  特殊安全文明施工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9.7.1 由于承包人原因，特殊安全文明施工要求未达到合同约定的要求，承包人应当向 发包人支付未达到合同约定的特殊安全文明施工要求的违约金或损失赔偿金。未达到合同约 定的特殊安全文明施工要求的违约金或损失赔偿金的金额或者计算方法见合同条款专用部 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9.7.2 发包人鼓励承包人提高特殊安全文明施工要求。特殊安全文明施工要求高于合同 约定的要求，发包人可给予承包人创优奖励。发包人是否给予承包人创优奖励及创优奖励金 额或者计算方法见合同条款专用部分。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10.进度计划</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10.1  合同进度计划</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10.1.1  承包人应当在收到监理人按照第 11.1.1 项发出的开工通知后 7 天内，编制详 细的施工进度计划和施工方案说明报送监理人，施工进度计划中应载明要求发包人组织设计 人进行阶段性工程设计交底的时间。监理人应在收到承包人报送的相关进度计划和施工方案 说明后 14 天内批复或提出修改意见，否则该进度计划视为已得到批准。经监理人批准的施 工进度计划称合同进度计划，是控制合同工程进度的依据。承包人编制施工进度计划和施工 方案说明的内容见合同条款专用部分。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10.1.2  承包人还应根据合同进度计划，按照第 10.1.1 项相关约定编制更为详细的分 阶段或分项进度计划，报监理人审批。承包人编制分阶段或分项施工进度计划和施工方案说 明的内容及时限要求见合同条款专用部分。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10.1.3  群体工程中单位工程分期进行施工的，承包人应当按照发包人提供图纸及有关 资料的时间要求，编制单位工程进度计划和施工方案说明。群体工程中有关编制进度计划和 施工方案说明的要求见合同条款专用部分。</w:t>
      </w:r>
    </w:p>
    <w:p>
      <w:pPr>
        <w:spacing w:line="360" w:lineRule="auto"/>
        <w:ind w:firstLine="420" w:firstLineChars="200"/>
        <w:rPr>
          <w:rFonts w:asciiTheme="minorEastAsia" w:hAnsiTheme="minorEastAsia" w:eastAsiaTheme="minorEastAsia"/>
          <w:color w:val="auto"/>
          <w:highlight w:val="none"/>
        </w:rPr>
        <w:sectPr>
          <w:headerReference r:id="rId62" w:type="default"/>
          <w:footerReference r:id="rId63"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10.2  合同进度计划的修订</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10.2.1  不论何种原因造成工程的实际进度与第 10.1 款的合同进度计划不符时，承包 人可以在合同条款专用部分约定的期限内向监理人提交修订合同进度计划的申请报告，并附 有关措施和相关资料，报监理人审批；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10.2.2  监理人也可以直接向承包人作出修订合同进度计划的指示，承包人应按该指示 修订合同进度计划，报监理人审批。监理人应在合同条款专用部分约定的期限内完成批复。 监理人在批复前应获得发包人同意。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11.开工和竣工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  开工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11.1.1  监理人应在开工日期 7 天前向承包人发出开工通知。监理人在发出开工通知前 应获得发包人同意。工期自监理人发出的开工通知中载明的开工日期起计算。承包人应在开 工日期后尽快施工。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11.1.2  承包人应按第 10.1 款约定的合同进度计划，向监理人提交工程开工报审表， 经监理人审批后执行。开工报审表应详细说明按合同进度计划正常施工所需的施工道路、临 时设施、材料设备、施工人员等施工组织措施的落实情况以及工程的进度安排。</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11.2  竣工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承包人应在第 1.1.4.3 目约定的期限内完成合同工程。实际竣工日期在接收证书中写明。</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11.3  发包人的工期延误</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在履行合同过程中，由于发包人的下列原因造成承包人关键线路工期延误的，承包人有 权要求发包人延长工期和（或）增加费用，并支付合理利润。需要修订合同进度计划的，按 照第 10.2 款的约定办理。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（1）增加合同工作内容；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（2）改变合同中任何一项工作的质量要求或其他特性；</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（3）发包人迟延提供材料、工程设备或变更交货地点的；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（4）因发包人原因导致的暂停施工；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（5）提供图纸延误；</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（6）未按合同约定及时支付预付款、进度款；</w:t>
      </w:r>
    </w:p>
    <w:p>
      <w:pPr>
        <w:spacing w:line="360" w:lineRule="auto"/>
        <w:ind w:firstLine="420" w:firstLineChars="200"/>
        <w:rPr>
          <w:rFonts w:asciiTheme="minorEastAsia" w:hAnsiTheme="minorEastAsia" w:eastAsiaTheme="minorEastAsia"/>
          <w:color w:val="auto"/>
          <w:highlight w:val="none"/>
        </w:rPr>
        <w:sectPr>
          <w:headerReference r:id="rId64" w:type="default"/>
          <w:footerReference r:id="rId65" w:type="default"/>
          <w:pgSz w:w="11906" w:h="16839"/>
          <w:pgMar w:top="1161" w:right="1623"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（7）因发包人原因不能按照监理人发出的开工通知中载明的开工日期开工； （8）发包人造成工期延误的其他原因见合同条款专用部分。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11.4  异常恶劣的气候条件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由于出现异常恶劣气候的条件导致工期延误的，承包人有权要求发包人延长工期。异常 恶劣的气候条件的范围和标准见合同条款专用部分。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  承包人的工期延误</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11.5.1  由于承包人原因，未能按合同进度计划完成工作，或监理人认为承包人施工进 度不能满足合同工期要求的，承包人应采取措施加快进度，并承担加快进度所增加的费用。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11.5.2  由于承包人原因造成不能按期竣工的，按照合同约定的竣工日期（包括按合同 工期延长）后 7 天内，监理人应当按第 23.4.1 项的约定书面通知承包人,说明发包人有权得 到逾期竣工违约金，逾期竣工违约金计算标准和计算方法见合同条款专用部分。但最终逾期 竣工违约金的金额不应超过合同约定的逾期竣工违约金最高限额。逾期竣工违约金最高限额 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监理人未在规定的期限内发出本款约定的书面通知的，发包人丧失主张逾期竣工违约金 的权利。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11.5.3  承包人支付逾期竣工违约金，不免除承包人完成工程及修补缺陷的义务。</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11.6  工期提前</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发包人要求承包人提前竣工，或承包人提出提前竣工的建议能够给发包人带来效益的， 应由监理人与承包人共同协商采取加快工程进度的措施和修订合同进度计划。发包人应承担 承包人由此增加的费用，并向承包人支付相应的奖金。提前竣工的奖励办法见合同条款专用 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12.暂停施工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12.1  承包人暂停施工的责任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因下列情形暂停施工增加的费用和（或）工期延误由承包人承担：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（1）承包人违约引起的暂停施工；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 由于承包人原因为工程合理施工和安全保障所必需的暂停施工；</w:t>
      </w:r>
    </w:p>
    <w:p>
      <w:pPr>
        <w:spacing w:line="360" w:lineRule="auto"/>
        <w:ind w:firstLine="420" w:firstLineChars="200"/>
        <w:rPr>
          <w:rFonts w:asciiTheme="minorEastAsia" w:hAnsiTheme="minorEastAsia" w:eastAsiaTheme="minorEastAsia"/>
          <w:color w:val="auto"/>
          <w:highlight w:val="none"/>
        </w:rPr>
        <w:sectPr>
          <w:headerReference r:id="rId66" w:type="default"/>
          <w:footerReference r:id="rId67"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（3）承包人擅自暂停施工；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（4）承包人承担暂停施工责任的其他情形见合同条款专用部分。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12.2  发包人暂停施工的责任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由于发包人原因引起的暂停施工造成工期延误的，承包人有权要求发包人延长工期和 （或）增加费用，并支付合理利润。</w:t>
      </w:r>
    </w:p>
    <w:p>
      <w:pPr>
        <w:spacing w:line="360" w:lineRule="auto"/>
        <w:ind w:firstLine="420" w:firstLineChars="200"/>
        <w:rPr>
          <w:rFonts w:asciiTheme="minorEastAsia" w:hAnsiTheme="minorEastAsia" w:eastAsiaTheme="minorEastAsia"/>
          <w:color w:val="auto"/>
          <w:highlight w:val="none"/>
        </w:rPr>
      </w:pPr>
      <w:bookmarkStart w:id="708" w:name="_bookmark179"/>
      <w:bookmarkEnd w:id="708"/>
      <w:r>
        <w:rPr>
          <w:rFonts w:hint="eastAsia" w:asciiTheme="minorEastAsia" w:hAnsiTheme="minorEastAsia" w:eastAsiaTheme="minorEastAsia"/>
          <w:color w:val="auto"/>
          <w:highlight w:val="none"/>
        </w:rPr>
        <w:t>12.3  监理人暂停施工指示</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12.3.1  监理人认为有必要时，可向承包人作出暂停施工的指示，承包人应按监理人指 示暂停施工。不论由于何种原因引起的暂停施工，暂停施工期间承包人应负责妥善保护工程 并提供安全保障。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12.3.2  由于发包人的原因发生暂停施工的紧急情况，且监理人未及时下达暂停施工指 示的，承包人可先暂停施工，并及时向监理人提出暂停施工的书面请求。监理人应在接到书 面请求后的 24 小时内予以答复，逾期未答复的，视为同意承包人的暂停施工请求。</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12.4  暂停施工后的复工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12.4.1  暂停施工后，监理人应与发包人和承包人协商，采取有效措施积极消除暂停施 工的影响。当工程具备复工条件时，监理人应立即向承包人发出复工通知。承包人收到复工 通知后，应在监理人指定的期限内复工。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12.4.2  承包人无故拖延和拒绝复工的，由此增加的费用和工期延误由承包人承担；因 发包人原因无法按时复工的，承包人有权要求发包人延长工期和（或）增加费用，并支付合 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12.4.3  根据第 12.4.1 款的约定，监理人发出复工通知后，监理人应和承包人一起对 受到暂停施工影响的工程、材料和工程设备进行检查。承包人负责修复在暂停施工期间发生 在工程、材料和工程设备上的任何损蚀、缺陷或损失，修复费用由承担暂停施工责任的责任 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12.4.4  暂停施工持续 56 天以上，按合同约定由承包人提供的材料和工程设备，由于 暂停施工原因导致承包人在暂停施工前已经订购但被暂停运至施工现场的，发包人应按照承 包人订购合同的约定支付相应的订购款项。</w:t>
      </w:r>
    </w:p>
    <w:p>
      <w:pPr>
        <w:spacing w:line="360" w:lineRule="auto"/>
        <w:ind w:firstLine="420" w:firstLineChars="200"/>
        <w:rPr>
          <w:rFonts w:asciiTheme="minorEastAsia" w:hAnsiTheme="minorEastAsia" w:eastAsiaTheme="minorEastAsia"/>
          <w:color w:val="auto"/>
          <w:highlight w:val="none"/>
        </w:rPr>
        <w:sectPr>
          <w:headerReference r:id="rId68" w:type="default"/>
          <w:footerReference r:id="rId69" w:type="default"/>
          <w:pgSz w:w="11906" w:h="16839"/>
          <w:pgMar w:top="1161" w:right="178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12.5  暂停施工持续 56 天以上</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12.5.1  监理人发出暂停施工指示后 56 天内未向承包人发出复工通知，除了该项停工 属于第 12.1 款的情况外，承包人可向监理人提交书面通知，要求监理人在收到书面通知后 28 天内准许已暂停施工的工程或其中一部分工程继续施工。如监理人逾期不予批准，则承 包人可以通知监理人，将工程受影响的部分视为按第 15.1（1）项的可取消工作。如暂停施 工影响到整个工程，可视为发包人违约，应按第 22.2 款的规定办理。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12.5.2  由于承包人责任引起的暂停施工，如承包人在收到监理人暂停施工指示后 56 天内不认真采取有效的复工措施，造成工期延误，可视为承包人违约，应按第 22.1 款的规 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13.工程质量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13.1  工程质量要求</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13.1.1  工程质量验收按合同约定验收标准执行。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13.1.2  因承包人原因造成工程质量达不到合同约定验收标准的，监理人有权要求承包 人返工直至符合合同要求为止， 由此造成的费用增加和（或）工期延误由承包人承担。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13.1.3  因发包人原因造成工程质量达不到合同约定验收标准的，发包人应承担由于承 包人返工造成的费用增加和（或）工期延误，并支付承包人合理利润。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13.2  承包人的质量管理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13.2.1  承包人应在施工场地设置专门的质量检查机构，配备专职质量检查人员，建立 完善的质量检查制度。承包人应在合同条款专用部分约定的期限内，提交工程质量保证措施 文件，包括质量检查机构的组织和岗位责任、质检人员的组成、质量检查程序和实施细则等， 报送监理人审批。监理人应在合同条款专用部分约定的期限内完成审批。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13.2.2  承包人应加强对施工人员的质量教育和技术培训，定期考核施工人员的劳动技</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能，严格执行规范和操作规程。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13.3  承包人的质量检查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承包人应按合同条款专用部分的约定对材料、工程设备以及工程的所有部位及其施工工 艺进行全过程的质量检查和检验，并作详细记录，编制工程质量报表，报送监理人审查。监 理人应在合同条款专用部分约定的期限内完成审查。</w:t>
      </w:r>
    </w:p>
    <w:p>
      <w:pPr>
        <w:spacing w:line="360" w:lineRule="auto"/>
        <w:ind w:firstLine="420" w:firstLineChars="200"/>
        <w:rPr>
          <w:rFonts w:asciiTheme="minorEastAsia" w:hAnsiTheme="minorEastAsia" w:eastAsiaTheme="minorEastAsia"/>
          <w:color w:val="auto"/>
          <w:highlight w:val="none"/>
        </w:rPr>
        <w:sectPr>
          <w:headerReference r:id="rId70" w:type="default"/>
          <w:footerReference r:id="rId71" w:type="default"/>
          <w:pgSz w:w="11906" w:h="16839"/>
          <w:pgMar w:top="1161" w:right="1742"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13.4  监理人的质量检查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监理人有权对工程的所有部位及其施工工艺、材料和工程设备进行检查和检验。承包人 应为监理人的检查和检验提供方便，包括监理人到施工场地，或制造、加工地点，或合同约 定的其他地方进行察看和查阅施工原始记录。承包人还应按监理人指示，进行施工场地取样 试验、工程复核测量和设备性能检测，提供试验样品、提交试验报告和测量成果以及监理人 要求进行的其他工作。监理人的检查和检验，不免除承包人按合同约定应负的责任。监理人 可以进行察看和查阅施工原始记录的其他地方见合同条款专用部分。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13.5  工程隐蔽部位覆盖前的检查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13.5.1  通知监理人检查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经承包人自检确认的工程隐蔽部位具备覆盖条件后，承包人应通知监理人在合同约定的 期限内检查。承包人的通知应附有自检记录和必要的检查资料。监理人应按时到场检查。经 监理人检查确认质量符合隐蔽要求，并在检查记录上签字后，承包人才能进行覆盖。监理人 检查确认质量不合格的，承包人应在监理人指示的时间内修整返工后，由监理人重新检查。 监理人对工程隐蔽部位进行检查的期限见合同条款专用部分。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13.5.2  监理人未到场检查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监理人未按第 13.5.1 项约定的时间进行检查的，除监理人另有指示外，承包人可自行 完成覆盖工作，并作相应记录报送监理人，监理人应签字确认。监理人事后对检查记录有疑 问的，可按第 13.5.3 项的约定重新检查。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13.5.3  监理人重新检查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承包人按第 13.5.1 项或第 13.5.2 项覆盖工程隐蔽部位后，监理人对质量有疑问的，可 要求承包人对已覆盖的部位进行钻孔探测或揭开重新检验，承包人应遵照执行，并在检验后 重新覆盖恢复原状。经检验证明工程质量符合合同要求的，由发包人承担由此增加的费用和 （或）工期延误，并支付承包人合理利润；经检验证明工程质量不符合合同要求的，由此增 加的费用和（或）工期延误由承包人承担。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13.5.4  承包人私自覆盖</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承包人未通知监理人到场检查，私自将工程隐蔽部位覆盖的，监理人有权指示承包人钻 孔探测或揭开检查，由此增加的费用和（或）工期延误由承包人承担。</w:t>
      </w:r>
    </w:p>
    <w:p>
      <w:pPr>
        <w:spacing w:line="360" w:lineRule="auto"/>
        <w:ind w:firstLine="420" w:firstLineChars="200"/>
        <w:rPr>
          <w:rFonts w:asciiTheme="minorEastAsia" w:hAnsiTheme="minorEastAsia" w:eastAsiaTheme="minorEastAsia"/>
          <w:color w:val="auto"/>
          <w:highlight w:val="none"/>
        </w:rPr>
        <w:sectPr>
          <w:headerReference r:id="rId72" w:type="default"/>
          <w:footerReference r:id="rId73"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13.6  清除不合格工程</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13.6.1  承包人使用不合格材料、工程设备，或采用不适当的施工工艺，或施工不当， 造成工程不合格的，监理人可以随时发出指示，要求承包人立即采取措施进行补救，直至达 到合同要求的质量标准，由此增加的费用和（或）工期延误由承包人承担。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13.6.2  由于发包人提供的材料或工程设备不合格造成的工程不合格，需要承包人采取 措施补救的，发包人应承担由此增加的费用和（或）工期延误，并支付承包人合理利润。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13.7  质量争议</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发包人和承包人对工程质量有争议的，除可按第 24 条办理外，监理人可提请合同双方 委托有相应资质的工程质量检测机构进行鉴定，所需费用及因此造成的损失，由责任人承担， 双方均有责任，由双方根据其责任分别承担。经检测，质量确有缺陷的，已竣工验收或已竣 工未验收但实际投入使用的工程，其处理按工程保修书的约定执行；已竣工未验收且未实际 投入使用的工程以及停工、停建的工程，根据检测结果确定解决方案，或按工程质量监督机 构的处理决定执行。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14.试验和检验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14.1  材料、工程设备和工程的试验和检验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14.1.1  承包人应按合同约定进行材料、工程设备和工程的试验和检验，并为监理人对 上述材料、工程设备和工程的质量检查提供必要的试验资料和原始记录。按合同约定应由监 理人与承包人共同进行试验和检验的，由承包人负责提供必要的试验资料和原始记录。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14.1.2  监理人未按合同约定派员参加试验和检验的，除监理人另有指示外，承包人可 自行试验和检验，并应立即将试验和检验结果报送监理人，监理人应签字确认。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14.1.3  监理人对承包人的试验和检验结果有疑问的，或为查清承包人试验和检验成果 的可靠性要求承包人重新试验和检验的，可按合同约定由监理人与承包人共同进行。重新试 验和检验的结果证明该项材料、工程设备或工程的质量不符合合同要求的，由此增加的费用 和（或）工期延误由承包人承担；重新试验和检验结果证明该项材料、工程设备和工程符合 合同要求，由发包人承担由此增加的费用和（或）工期延误，并支付承包人合理利润。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14.2  现场材料试验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14.2.1  承包人根据合同约定或监理人指示进行的现场材料试验，应由承包人提供试验</w:t>
      </w:r>
    </w:p>
    <w:p>
      <w:pPr>
        <w:spacing w:line="360" w:lineRule="auto"/>
        <w:ind w:firstLine="420" w:firstLineChars="200"/>
        <w:rPr>
          <w:rFonts w:asciiTheme="minorEastAsia" w:hAnsiTheme="minorEastAsia" w:eastAsiaTheme="minorEastAsia"/>
          <w:color w:val="auto"/>
          <w:highlight w:val="none"/>
        </w:rPr>
        <w:sectPr>
          <w:headerReference r:id="rId74" w:type="default"/>
          <w:footerReference r:id="rId75" w:type="default"/>
          <w:pgSz w:w="11906" w:h="16839"/>
          <w:pgMar w:top="1161" w:right="1742"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场所、试验人员、试验设备器材以及其他必要的试验条件。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14.2.2  监理人在必要时可以使用承包人的试验场所、试验设备器材以及其他试验条件， 进行以工程质量检查为目的的复核性材料试验，承包人应予以协助。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14.3  现场工艺试验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承包人应按合同约定或监理人指示进行现场工艺试验。对大型的现场工艺试验，监理人 认为必要时，应由承包人根据监理人提出的工艺试验要求，编制工艺试验措施计划，报送监 理人审批。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15.变更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15.1  变更的范围和内容</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15.1.1  在履行合同中发生以下情形之一，应按照本条规定进行变更。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（1）取消合同中任何一项工作，但被取消的工作不能转由发包人或其他人实施；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（2）改变合同中任何一项工作的质量或其他特性；</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（3）改变合同工程的基线、标高、位置或尺寸；</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（4）改变合同中任何一项工作的施工时间或改变已批准的施工工艺或顺序；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（5）为完成工程需要追加的额外工作；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（6）变更的其他情形见合同条款专用部分。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15.1.2  发包人违背第 15.1（1） 目的约定，将被取消的合同中的工作转由发包人或其 他人实施的，承包人可向监理人发出通知，要求发包人采取有效措施纠正违约行为，发包人 在监理人收到承包人通知后 28 天内仍不纠正违约行为的，应当赔偿承包人损失（包括合理 的利润）并承担由此引起的其他责任。承包人应当按第 23.1（1）项的约定，在上述 28 天 期限到期后的 28 天内，向监理人递交索赔意向通知书,并按第 23.1（2）项的约定，及时向 监理人递交正式索赔通知书，说明有权得到的损失赔偿金额并附必要的记录和证明材料。发 包人支付给承包人的损失赔偿金额应当包括被取消工作的合同价值中所包含的承包人管理 费、利润以及相应的税金和规费。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15.2  变更权</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在履行合同过程中，经发包人同意，监理人可按第 15.3 款约定的变更程序向承包人作 出变更指示，承包人应遵照执行。没有监理人的变更指示，承包人不得擅自变更。</w:t>
      </w:r>
    </w:p>
    <w:p>
      <w:pPr>
        <w:spacing w:line="360" w:lineRule="auto"/>
        <w:ind w:firstLine="420" w:firstLineChars="200"/>
        <w:rPr>
          <w:rFonts w:asciiTheme="minorEastAsia" w:hAnsiTheme="minorEastAsia" w:eastAsiaTheme="minorEastAsia"/>
          <w:color w:val="auto"/>
          <w:highlight w:val="none"/>
        </w:rPr>
        <w:sectPr>
          <w:headerReference r:id="rId76" w:type="default"/>
          <w:footerReference r:id="rId77" w:type="default"/>
          <w:pgSz w:w="11906" w:h="16839"/>
          <w:pgMar w:top="1161" w:right="1639" w:bottom="1153"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15.3  变更程序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15.3.1  变更的提出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（1）在合同履行过程中，可能发生第 15.1.1 项约定情形的，监理人可向承包人发出变 更意向书。变更意向书应说明变更的具体内容和发包人对变更的时间要求，并附必要的图纸 和相关资料。变更意向书应要求承包人提交包括拟实施变更工作的计划、措施和竣工时间等 内容的实施方案。发包人同意承包人根据变更意向书要求提交的变更实施方案的，由监理人 按第 15.3.3 项约定发出变更指示。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（2）在合同履行过程中，发生第 15.1.1 项约定情形的，监理人应按照第 15.3.3 项约定 向承包人发出变更指示。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（3）承包人收到监理人按合同约定发出的图纸和文件，经检查认为其中存在第 15.1.1 项约定情形的，可向监理人提出书面变更建议。变更建议应阐明要求变更的依据，并附必要 的图纸和说明。监理人收到承包人书面建议后，应与发包人共同研究，确认存在变更的，应 在收到承包人书面建议后的 14 天内作出变更指示。经研究后不同意作为变更的，应由监理 人书面答复承包人。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（4）若承包人收到监理人的变更意向书后认为难以实施此项变更，应立即通知监理人， 说明原因并附详细依据。监理人与承包人和发包人协商后确定撤销、改变或不改变原变更意 向书。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15.3.2  变更估价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（1）除合同条款专用部分对期限另有约定外，承包人应在收到变更指示或变更意向书后 的 14 天内，向监理人提交变更报价书，报价内容应根据第 15.4 款约定的估价原则，详细开 列变更工作的价格组成及其依据，并附必要的施工方法说明和有关图纸。承包人提交变更报 价书的期限见合同条款专用部分。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（2）变更工作影响工期的，承包人应提出调整工期的具体细节。监理人认为有必要时， 可要求承包人提交要求提前或延长工期的施工进度计划，及相应施工措施等详细资料。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（3）除合同条款专用部分对期限另有约定外，监理人收到承包人变更报价书后的 14 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内，根据第 15.4 款约定的估价原则，按照第 3.5 款商定或确定变更价格。监理人商定或确 定变更价格的期限见合同条款专用部分。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（4）收到变更指示后，如承包人未在规定的期限内提交变更报价书的，监理人可自行决 定是否调整合同价款以及如果监理人决定调整合同价款时，相应调整的具体金额。</w:t>
      </w:r>
    </w:p>
    <w:p>
      <w:pPr>
        <w:spacing w:line="360" w:lineRule="auto"/>
        <w:ind w:firstLine="420" w:firstLineChars="200"/>
        <w:rPr>
          <w:rFonts w:asciiTheme="minorEastAsia" w:hAnsiTheme="minorEastAsia" w:eastAsiaTheme="minorEastAsia"/>
          <w:color w:val="auto"/>
          <w:highlight w:val="none"/>
        </w:rPr>
        <w:sectPr>
          <w:headerReference r:id="rId78" w:type="default"/>
          <w:footerReference r:id="rId79" w:type="default"/>
          <w:pgSz w:w="11906" w:h="16839"/>
          <w:pgMar w:top="1161" w:right="1761"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15.3.3  变更指示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（1）变更指示只能由监理人发出。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（2）变更指示应说明变更的目的、范围、变更内容以及变更的工程量及其进度和技术 要求，并附有关图纸和文件。承包人收到变更指示后，应按变更指示进行变更工作。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  变更的估价原则</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因工程量清单漏项（仅适用于合同协议书约定采用单价合同形式时）或变更引起的价格 调整按照本款约定处理。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15.4.1  已标价工程量清单中有适用于变更工作的子目的，采用该子目的单价。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15.4.2  已标价工程量清单中无适用于变更工作的子目，但有类似子目的，可在合理范 围内参照类似子目的单价， 由监理人按第 3.5 款商定或确定变更工作的单价。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15.4.3  已标价工程量清单中无适用或类似子目的单价，可按照成本加利润的原则，由 监理人按第 3.5 款商定或确定变更工作的单价。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15.4.4  因工程量清单漏项（仅适用于合同协议书约定采用单价合同形式时）或变更引 起措施项目发生变化，原措施项目费中已有的措施项目，采用原措施项目费的组价方法变更； 原措施项目费中没有的措施项目，由承包人根据措施项目变更情况，提出适当的措施项目费 变更，由监理人按第 3.5 款商定或确定变更措施项目的费用。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15.4.5  合同协议书约定采用单价合同形式时，因非承包人原因引起已标价工程量清单 中列明的工程量发生增减，超过合同约定范围且导致分部分项工程费总额变化超过一定幅度 时，可以调整单价，否则不因已标价工程量清单中列明工程量的增减而调整单价。其调整的 原则见合同条款专用部分。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15.4.6  因变更引起价格调整的其他处理方式见合同条款专用部分。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15.5  承包人的合理化建议</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15.5.1  在履行合同过程中，承包人对发包人提供的图纸、技术要求以及其他方面提出 的合理化建议，均应以书面形式提交监理人。合理化建议书的内容应包括建议工作的详细说 明、进度计划和效益以及与其他工作的协调等，并附必要的设计文件。监理人应与发包人协 商是否采纳建议。建议被采纳并构成变更的，应按第 15.3.3 项约定向承包人发出变更指示。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15.5.2  承包人提出的合理化建议降低了合同价格、缩短了工期或者提高了工程经济效 益的，发包人可按国家有关规定给予奖励。对承包人提出合理化建议的奖励方法见合同条款</w:t>
      </w:r>
    </w:p>
    <w:p>
      <w:pPr>
        <w:spacing w:line="360" w:lineRule="auto"/>
        <w:ind w:firstLine="420" w:firstLineChars="200"/>
        <w:rPr>
          <w:rFonts w:asciiTheme="minorEastAsia" w:hAnsiTheme="minorEastAsia" w:eastAsiaTheme="minorEastAsia"/>
          <w:color w:val="auto"/>
          <w:highlight w:val="none"/>
        </w:rPr>
        <w:sectPr>
          <w:headerReference r:id="rId80" w:type="default"/>
          <w:footerReference r:id="rId81" w:type="default"/>
          <w:pgSz w:w="11906" w:h="16839"/>
          <w:pgMar w:top="1161" w:right="1728" w:bottom="1153"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专用部分。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15.6  暂列金额</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暂列金额只能按照监理人的指示使用，并对合同价格进行相应调整。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15.7  计日工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15.7.1  发包人认为有必要时，由监理人通知承包人以计日工方式实施变更的零星工作。 其价款按列入已标价工程量清单中的计日工计价子目及其单价进行计算。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15.7.2  采用计日工计价的任何一项变更工作，应从暂列金额中支付，承包人应在该项 变更的实施过程中，每天提交以下报表和有关凭证报送监理人审批：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（1）工作名称、 内容和数量；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（2）投入该工作所有人员的姓名、工种、级别和耗用工时；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（3）投入该工作的材料类别和数量；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（4）投入该工作的施工设备型号、台数和耗用台时；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（5）监理人要求提交的其他资料和凭证。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15.7.3  计日工由承包人汇总后，按第 17.3.2 项的约定列入进度付款申请单，由监理 人复核并经发包人同意后列入进度付款。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15.8  暂估价</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15.8.1  发包人在工程量清单中给定暂估价的材料和工程设备及专业工程属于依法必 须招标的范围并达到规定的规模标准的，由发包人和承包人采用招标方式选择专项供应商或 专业分包人。发包人和承包人的权利义务关系约定如下：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（1）由承包人作为招标人，依法组织招标工作并接受有管辖权的建设工程招标投标行政 监督部门的监督。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（2）与组织招标工作有关的费用应当被认为已经包括在承包人的签约合同价（投标总报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价）中。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（3）中标金额与工程量清单中所列的暂估价的金额差以及相应的税金等其他费用列入合 同价格。</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（4）在任何招标工作启动前，承包人应当按照合同条款专用部分约定期限编制招标工作 计划并通过监理人报请发包人审批，招标工作计划应当包括招标工作的时间安排、拟采用的 招标方式、拟采用的资格审查方法、主要招标过程文件的编制内容、对投标人的资格条件要</w:t>
      </w:r>
    </w:p>
    <w:p>
      <w:pPr>
        <w:spacing w:line="360" w:lineRule="auto"/>
        <w:ind w:firstLine="420" w:firstLineChars="200"/>
        <w:rPr>
          <w:rFonts w:asciiTheme="minorEastAsia" w:hAnsiTheme="minorEastAsia" w:eastAsiaTheme="minorEastAsia"/>
          <w:color w:val="auto"/>
          <w:highlight w:val="none"/>
        </w:rPr>
        <w:sectPr>
          <w:headerReference r:id="rId82" w:type="default"/>
          <w:footerReference r:id="rId83" w:type="default"/>
          <w:pgSz w:w="11906" w:h="16839"/>
          <w:pgMar w:top="1161" w:right="1623"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求、评标标准和方法、评标委员会组成、是否编制招标控制价和（或）标底以及招标控制价 和（或）标底编制原则。发包人应当在监理人收到承包人报送的招标工作计划后应当在合同 条款专用部分约定期限内给予批准或者提出修改意见。承包人应当严格按照经过发包人批准 的招标工作计划开展招标工作。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（5）承包人应当在发出招标公告（或者资格预审公告或者投标邀请书）、资格预审文件 和招标文件前按照合同条款专用部分约定期限，分别将相关文件通过监理人报请发包人审批， 发包人应当在监理人收到承包人报送的相关文件后应当在合同条款专用部分约定期限内给 予批准或者提出修改意见，经发包人批准的相关文件，由承包人负责誊清整理并准备出开展 实际招标工作所需要的份数，通过监理人报发包人核查并加盖发包人印章，发包人在相关文 件上加盖印章只表明相关文件经过发包人审核批准。最终发出的文件应当分别报送一份给发 包人和监理人备查。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（6）如果发、承包任何一方委派评标代表，评标委员会应当由七人以上单数构成。除发 包人或者承包人自愿放弃委派评标代表的权利外，招标人评标代表应当分别由发包人和承包 人等额委派。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（7）设有标底的，承包人应当在开标前提前 48 小时将标底报发包人审核认可，发包人 应当在收到承包人报送的标底后 24 小时内给予批准或者提出修改意见。承包人和发包人应 当共同制定标底保密措施，不得提前泄露标底。标底的最终审核和决定权属于发包人。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（8）设有招标控制价的，承包人应当在招标文件发出前提前 7 天将招标控制价报发包人 审核认可，发包人应当在收到承包人报送的招标控制价后 72 小时内给予认可或者提出修改 意见。招标控制价的最终审核和决定权属于发包人，未经发包人认可，承包人不得发出招标 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（9）承包人在收到相关招标项目评标委员会提交的评标报告后，应当在 24 小时内通过 监理人转报发包人核查，发包人应当在监理人收到承包人报送的评标报告后 48 小时内核查 完毕，评标报告经过发包人核查认可后，承包人才可以开始后续程序，依法确定中标人并发 出中标通知书。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（10）承包人与专业分包人或者专项供应商订立合同前应当按照合同条款专用部分约定 期限，将准备用于正式签订的合同文件通过监理人报发包人审核，发包人应当在监理人收到 相关文件后在合同条款专用部分约定期限内给予批准或者提出修改意见，承包人应当按照发 包人批准的合同文件签订相关合同，合同订立后，在合同条款专用部分约定期限内，承包人 应当将其中的两份副本报送监理人，其中一份由监理人报发包人留存。</w:t>
      </w:r>
    </w:p>
    <w:p>
      <w:pPr>
        <w:spacing w:line="360" w:lineRule="auto"/>
        <w:ind w:firstLine="420" w:firstLineChars="200"/>
        <w:rPr>
          <w:rFonts w:asciiTheme="minorEastAsia" w:hAnsiTheme="minorEastAsia" w:eastAsiaTheme="minorEastAsia"/>
          <w:color w:val="auto"/>
          <w:highlight w:val="none"/>
        </w:rPr>
        <w:sectPr>
          <w:headerReference r:id="rId84" w:type="default"/>
          <w:footerReference r:id="rId85"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（11）发包人对承包人报送文件进行审批或提出的修改意见应当合理，并符合现行有关 法律法规的规定。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（12）承包人违背本项上述约定的程序或者未履行本项上述约定的报批手续的，发包人 有权拒绝对相关专业工程或者涉及相关专项供应的材料和工程设备的工程进行验收和拨付 相应工程款项，所造成的费用增加和（或）工期延误由承包人承担。发包人未按本项上述约 定履行审批手续的，所造成的费用增加和（或）工期延误由发包人承担。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15.8.2  发包人在工程量清单中给定暂估价的材料和工程设备不属于依法必须招标的 范围或未达到规定的规模标准的，应由承包人按第 5.1 款的约定提供。经监理人确认的材料、 工程设备的价格与工程量清单中所列的暂估价的金额差以及相应的税金等其他费用列入合 同价格。</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15.8.3  发包人在工程量清单中给定暂估价的专业工程不属于依法必须招标的范围或 未达到规定的规模标准的，由监理人按照第 15.4 款进行估价，但合同条款专用部分另有约 定的除外。经估价的专业工程与工程量清单中所列的暂估价的金额差以及相应的税金等其他 费用列入合同价格。</w:t>
      </w:r>
    </w:p>
    <w:p>
      <w:pPr>
        <w:spacing w:line="360" w:lineRule="auto"/>
        <w:ind w:firstLine="420" w:firstLineChars="200"/>
        <w:rPr>
          <w:rFonts w:asciiTheme="minorEastAsia" w:hAnsiTheme="minorEastAsia" w:eastAsiaTheme="minorEastAsia"/>
          <w:color w:val="auto"/>
          <w:highlight w:val="none"/>
        </w:rPr>
      </w:pPr>
      <w:bookmarkStart w:id="709" w:name="_bookmark203"/>
      <w:bookmarkEnd w:id="709"/>
      <w:r>
        <w:rPr>
          <w:rFonts w:hint="eastAsia" w:asciiTheme="minorEastAsia" w:hAnsiTheme="minorEastAsia" w:eastAsiaTheme="minorEastAsia"/>
          <w:color w:val="auto"/>
          <w:highlight w:val="none"/>
        </w:rPr>
        <w:t>16.价格调整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  物价波动引起的价格调整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除合同条款专用部分另有约定外，因物价波动引起的价格调整按照本款约定处理。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16.1.1 采用价格指数调整价格差额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16.1.1.1 价格调整公式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因人工、材料和设备等价格波动影响合同价格时，根据投标函附录中的价格指数和权 重表约定的数据，按以下公式计算差额并调整合同价格。</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drawing>
          <wp:inline distT="0" distB="0" distL="0" distR="0">
            <wp:extent cx="90805" cy="190500"/>
            <wp:effectExtent l="0" t="0" r="4445"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35"/>
                    <a:stretch>
                      <a:fillRect/>
                    </a:stretch>
                  </pic:blipFill>
                  <pic:spPr>
                    <a:xfrm>
                      <a:off x="0" y="0"/>
                      <a:ext cx="91410" cy="191014"/>
                    </a:xfrm>
                    <a:prstGeom prst="rect">
                      <a:avLst/>
                    </a:prstGeom>
                  </pic:spPr>
                </pic:pic>
              </a:graphicData>
            </a:graphic>
          </wp:inline>
        </w:drawing>
      </w:r>
      <w:r>
        <w:rPr>
          <w:rFonts w:hint="eastAsia" w:asciiTheme="minorEastAsia" w:hAnsiTheme="minorEastAsia" w:eastAsiaTheme="minorEastAsia"/>
          <w:color w:val="auto"/>
          <w:highlight w:val="none"/>
        </w:rPr>
        <w:t xml:space="preserve">P </w:t>
      </w:r>
      <w:r>
        <w:rPr>
          <w:rFonts w:hint="eastAsia" w:asciiTheme="minorEastAsia" w:hAnsiTheme="minorEastAsia" w:eastAsiaTheme="minorEastAsia"/>
          <w:color w:val="auto"/>
          <w:highlight w:val="none"/>
        </w:rPr>
        <w:drawing>
          <wp:inline distT="0" distB="0" distL="0" distR="0">
            <wp:extent cx="80010" cy="58420"/>
            <wp:effectExtent l="0" t="0" r="15240" b="1778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36"/>
                    <a:stretch>
                      <a:fillRect/>
                    </a:stretch>
                  </pic:blipFill>
                  <pic:spPr>
                    <a:xfrm>
                      <a:off x="0" y="0"/>
                      <a:ext cx="80023" cy="58677"/>
                    </a:xfrm>
                    <a:prstGeom prst="rect">
                      <a:avLst/>
                    </a:prstGeom>
                  </pic:spPr>
                </pic:pic>
              </a:graphicData>
            </a:graphic>
          </wp:inline>
        </w:drawing>
      </w:r>
      <w:r>
        <w:rPr>
          <w:rFonts w:hint="eastAsia" w:asciiTheme="minorEastAsia" w:hAnsiTheme="minorEastAsia" w:eastAsiaTheme="minorEastAsia"/>
          <w:color w:val="auto"/>
          <w:highlight w:val="none"/>
        </w:rPr>
        <w:t xml:space="preserve"> P0 </w:t>
      </w:r>
      <w:r>
        <w:rPr>
          <w:rFonts w:hint="eastAsia" w:asciiTheme="minorEastAsia" w:hAnsiTheme="minorEastAsia" w:eastAsiaTheme="minorEastAsia"/>
          <w:color w:val="auto"/>
          <w:highlight w:val="none"/>
        </w:rPr>
        <w:drawing>
          <wp:inline distT="0" distB="0" distL="0" distR="0">
            <wp:extent cx="53340" cy="491490"/>
            <wp:effectExtent l="0" t="0" r="3810" b="381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137"/>
                    <a:stretch>
                      <a:fillRect/>
                    </a:stretch>
                  </pic:blipFill>
                  <pic:spPr>
                    <a:xfrm>
                      <a:off x="0" y="0"/>
                      <a:ext cx="53505" cy="491699"/>
                    </a:xfrm>
                    <a:prstGeom prst="rect">
                      <a:avLst/>
                    </a:prstGeom>
                  </pic:spPr>
                </pic:pic>
              </a:graphicData>
            </a:graphic>
          </wp:inline>
        </w:drawing>
      </w:r>
      <w:r>
        <w:rPr>
          <w:rFonts w:hint="eastAsia" w:asciiTheme="minorEastAsia" w:hAnsiTheme="minorEastAsia" w:eastAsiaTheme="minorEastAsia"/>
          <w:color w:val="auto"/>
          <w:highlight w:val="none"/>
        </w:rPr>
        <w:t xml:space="preserve">A </w:t>
      </w:r>
      <w:r>
        <w:rPr>
          <w:rFonts w:hint="eastAsia" w:asciiTheme="minorEastAsia" w:hAnsiTheme="minorEastAsia" w:eastAsiaTheme="minorEastAsia"/>
          <w:color w:val="auto"/>
          <w:highlight w:val="none"/>
        </w:rPr>
        <w:drawing>
          <wp:inline distT="0" distB="0" distL="0" distR="0">
            <wp:extent cx="80010" cy="190500"/>
            <wp:effectExtent l="0" t="0" r="15240" b="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138"/>
                    <a:stretch>
                      <a:fillRect/>
                    </a:stretch>
                  </pic:blipFill>
                  <pic:spPr>
                    <a:xfrm>
                      <a:off x="0" y="0"/>
                      <a:ext cx="80023" cy="191014"/>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61595" cy="464820"/>
            <wp:effectExtent l="0" t="0" r="14605" b="11430"/>
            <wp:docPr id="8" name="IM 5"/>
            <wp:cNvGraphicFramePr/>
            <a:graphic xmlns:a="http://schemas.openxmlformats.org/drawingml/2006/main">
              <a:graphicData uri="http://schemas.openxmlformats.org/drawingml/2006/picture">
                <pic:pic xmlns:pic="http://schemas.openxmlformats.org/drawingml/2006/picture">
                  <pic:nvPicPr>
                    <pic:cNvPr id="8" name="IM 5"/>
                    <pic:cNvPicPr/>
                  </pic:nvPicPr>
                  <pic:blipFill>
                    <a:blip r:embed="rId139"/>
                    <a:stretch>
                      <a:fillRect/>
                    </a:stretch>
                  </pic:blipFill>
                  <pic:spPr>
                    <a:xfrm>
                      <a:off x="0" y="0"/>
                      <a:ext cx="61772" cy="465410"/>
                    </a:xfrm>
                    <a:prstGeom prst="rect">
                      <a:avLst/>
                    </a:prstGeom>
                  </pic:spPr>
                </pic:pic>
              </a:graphicData>
            </a:graphic>
          </wp:inline>
        </w:drawing>
      </w:r>
      <w:r>
        <w:rPr>
          <w:rFonts w:hint="eastAsia" w:asciiTheme="minorEastAsia" w:hAnsiTheme="minorEastAsia" w:eastAsiaTheme="minorEastAsia"/>
          <w:color w:val="auto"/>
          <w:highlight w:val="none"/>
        </w:rPr>
        <w:t xml:space="preserve">B1 </w:t>
      </w:r>
      <w:r>
        <w:rPr>
          <w:rFonts w:hint="eastAsia" w:asciiTheme="minorEastAsia" w:hAnsiTheme="minorEastAsia" w:eastAsiaTheme="minorEastAsia"/>
          <w:color w:val="auto"/>
          <w:highlight w:val="none"/>
        </w:rPr>
        <w:drawing>
          <wp:inline distT="0" distB="0" distL="0" distR="0">
            <wp:extent cx="66675" cy="190500"/>
            <wp:effectExtent l="0" t="0" r="9525" b="0"/>
            <wp:docPr id="9" name="IM 6"/>
            <wp:cNvGraphicFramePr/>
            <a:graphic xmlns:a="http://schemas.openxmlformats.org/drawingml/2006/main">
              <a:graphicData uri="http://schemas.openxmlformats.org/drawingml/2006/picture">
                <pic:pic xmlns:pic="http://schemas.openxmlformats.org/drawingml/2006/picture">
                  <pic:nvPicPr>
                    <pic:cNvPr id="9" name="IM 6"/>
                    <pic:cNvPicPr/>
                  </pic:nvPicPr>
                  <pic:blipFill>
                    <a:blip r:embed="rId140"/>
                    <a:stretch>
                      <a:fillRect/>
                    </a:stretch>
                  </pic:blipFill>
                  <pic:spPr>
                    <a:xfrm>
                      <a:off x="0" y="0"/>
                      <a:ext cx="67232" cy="191014"/>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212725" cy="369570"/>
            <wp:effectExtent l="0" t="0" r="15875" b="11430"/>
            <wp:docPr id="10" name="IM 7"/>
            <wp:cNvGraphicFramePr/>
            <a:graphic xmlns:a="http://schemas.openxmlformats.org/drawingml/2006/main">
              <a:graphicData uri="http://schemas.openxmlformats.org/drawingml/2006/picture">
                <pic:pic xmlns:pic="http://schemas.openxmlformats.org/drawingml/2006/picture">
                  <pic:nvPicPr>
                    <pic:cNvPr id="10" name="IM 7"/>
                    <pic:cNvPicPr/>
                  </pic:nvPicPr>
                  <pic:blipFill>
                    <a:blip r:embed="rId141"/>
                    <a:stretch>
                      <a:fillRect/>
                    </a:stretch>
                  </pic:blipFill>
                  <pic:spPr>
                    <a:xfrm>
                      <a:off x="0" y="0"/>
                      <a:ext cx="212977" cy="369587"/>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80010" cy="190500"/>
            <wp:effectExtent l="0" t="0" r="15240" b="0"/>
            <wp:docPr id="11" name="IM 8"/>
            <wp:cNvGraphicFramePr/>
            <a:graphic xmlns:a="http://schemas.openxmlformats.org/drawingml/2006/main">
              <a:graphicData uri="http://schemas.openxmlformats.org/drawingml/2006/picture">
                <pic:pic xmlns:pic="http://schemas.openxmlformats.org/drawingml/2006/picture">
                  <pic:nvPicPr>
                    <pic:cNvPr id="11" name="IM 8"/>
                    <pic:cNvPicPr/>
                  </pic:nvPicPr>
                  <pic:blipFill>
                    <a:blip r:embed="rId138"/>
                    <a:stretch>
                      <a:fillRect/>
                    </a:stretch>
                  </pic:blipFill>
                  <pic:spPr>
                    <a:xfrm>
                      <a:off x="0" y="0"/>
                      <a:ext cx="80023" cy="191014"/>
                    </a:xfrm>
                    <a:prstGeom prst="rect">
                      <a:avLst/>
                    </a:prstGeom>
                  </pic:spPr>
                </pic:pic>
              </a:graphicData>
            </a:graphic>
          </wp:inline>
        </w:drawing>
      </w:r>
      <w:r>
        <w:rPr>
          <w:rFonts w:hint="eastAsia" w:asciiTheme="minorEastAsia" w:hAnsiTheme="minorEastAsia" w:eastAsiaTheme="minorEastAsia"/>
          <w:color w:val="auto"/>
          <w:highlight w:val="none"/>
        </w:rPr>
        <w:t xml:space="preserve"> B2 </w:t>
      </w:r>
      <w:r>
        <w:rPr>
          <w:rFonts w:hint="eastAsia" w:asciiTheme="minorEastAsia" w:hAnsiTheme="minorEastAsia" w:eastAsiaTheme="minorEastAsia"/>
          <w:color w:val="auto"/>
          <w:highlight w:val="none"/>
        </w:rPr>
        <w:drawing>
          <wp:inline distT="0" distB="0" distL="0" distR="0">
            <wp:extent cx="66675" cy="190500"/>
            <wp:effectExtent l="0" t="0" r="9525" b="0"/>
            <wp:docPr id="13" name="IM 9"/>
            <wp:cNvGraphicFramePr/>
            <a:graphic xmlns:a="http://schemas.openxmlformats.org/drawingml/2006/main">
              <a:graphicData uri="http://schemas.openxmlformats.org/drawingml/2006/picture">
                <pic:pic xmlns:pic="http://schemas.openxmlformats.org/drawingml/2006/picture">
                  <pic:nvPicPr>
                    <pic:cNvPr id="13" name="IM 9"/>
                    <pic:cNvPicPr/>
                  </pic:nvPicPr>
                  <pic:blipFill>
                    <a:blip r:embed="rId140"/>
                    <a:stretch>
                      <a:fillRect/>
                    </a:stretch>
                  </pic:blipFill>
                  <pic:spPr>
                    <a:xfrm>
                      <a:off x="0" y="0"/>
                      <a:ext cx="67232" cy="191014"/>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219710" cy="369570"/>
            <wp:effectExtent l="0" t="0" r="8890" b="11430"/>
            <wp:docPr id="14" name="IM 10"/>
            <wp:cNvGraphicFramePr/>
            <a:graphic xmlns:a="http://schemas.openxmlformats.org/drawingml/2006/main">
              <a:graphicData uri="http://schemas.openxmlformats.org/drawingml/2006/picture">
                <pic:pic xmlns:pic="http://schemas.openxmlformats.org/drawingml/2006/picture">
                  <pic:nvPicPr>
                    <pic:cNvPr id="14" name="IM 10"/>
                    <pic:cNvPicPr/>
                  </pic:nvPicPr>
                  <pic:blipFill>
                    <a:blip r:embed="rId142"/>
                    <a:stretch>
                      <a:fillRect/>
                    </a:stretch>
                  </pic:blipFill>
                  <pic:spPr>
                    <a:xfrm>
                      <a:off x="0" y="0"/>
                      <a:ext cx="219731" cy="369587"/>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80010" cy="190500"/>
            <wp:effectExtent l="0" t="0" r="15240" b="0"/>
            <wp:docPr id="15" name="IM 11"/>
            <wp:cNvGraphicFramePr/>
            <a:graphic xmlns:a="http://schemas.openxmlformats.org/drawingml/2006/main">
              <a:graphicData uri="http://schemas.openxmlformats.org/drawingml/2006/picture">
                <pic:pic xmlns:pic="http://schemas.openxmlformats.org/drawingml/2006/picture">
                  <pic:nvPicPr>
                    <pic:cNvPr id="15" name="IM 11"/>
                    <pic:cNvPicPr/>
                  </pic:nvPicPr>
                  <pic:blipFill>
                    <a:blip r:embed="rId143"/>
                    <a:stretch>
                      <a:fillRect/>
                    </a:stretch>
                  </pic:blipFill>
                  <pic:spPr>
                    <a:xfrm>
                      <a:off x="0" y="0"/>
                      <a:ext cx="80023" cy="191014"/>
                    </a:xfrm>
                    <a:prstGeom prst="rect">
                      <a:avLst/>
                    </a:prstGeom>
                  </pic:spPr>
                </pic:pic>
              </a:graphicData>
            </a:graphic>
          </wp:inline>
        </w:drawing>
      </w:r>
      <w:r>
        <w:rPr>
          <w:rFonts w:hint="eastAsia" w:asciiTheme="minorEastAsia" w:hAnsiTheme="minorEastAsia" w:eastAsiaTheme="minorEastAsia"/>
          <w:color w:val="auto"/>
          <w:highlight w:val="none"/>
        </w:rPr>
        <w:t xml:space="preserve"> B3 </w:t>
      </w:r>
      <w:r>
        <w:rPr>
          <w:rFonts w:hint="eastAsia" w:asciiTheme="minorEastAsia" w:hAnsiTheme="minorEastAsia" w:eastAsiaTheme="minorEastAsia"/>
          <w:color w:val="auto"/>
          <w:highlight w:val="none"/>
        </w:rPr>
        <w:drawing>
          <wp:inline distT="0" distB="0" distL="0" distR="0">
            <wp:extent cx="66675" cy="190500"/>
            <wp:effectExtent l="0" t="0" r="9525" b="0"/>
            <wp:docPr id="16" name="IM 12"/>
            <wp:cNvGraphicFramePr/>
            <a:graphic xmlns:a="http://schemas.openxmlformats.org/drawingml/2006/main">
              <a:graphicData uri="http://schemas.openxmlformats.org/drawingml/2006/picture">
                <pic:pic xmlns:pic="http://schemas.openxmlformats.org/drawingml/2006/picture">
                  <pic:nvPicPr>
                    <pic:cNvPr id="16" name="IM 12"/>
                    <pic:cNvPicPr/>
                  </pic:nvPicPr>
                  <pic:blipFill>
                    <a:blip r:embed="rId140"/>
                    <a:stretch>
                      <a:fillRect/>
                    </a:stretch>
                  </pic:blipFill>
                  <pic:spPr>
                    <a:xfrm>
                      <a:off x="0" y="0"/>
                      <a:ext cx="67232" cy="191014"/>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216535" cy="369570"/>
            <wp:effectExtent l="0" t="0" r="12065" b="11430"/>
            <wp:docPr id="17" name="IM 13"/>
            <wp:cNvGraphicFramePr/>
            <a:graphic xmlns:a="http://schemas.openxmlformats.org/drawingml/2006/main">
              <a:graphicData uri="http://schemas.openxmlformats.org/drawingml/2006/picture">
                <pic:pic xmlns:pic="http://schemas.openxmlformats.org/drawingml/2006/picture">
                  <pic:nvPicPr>
                    <pic:cNvPr id="17" name="IM 13"/>
                    <pic:cNvPicPr/>
                  </pic:nvPicPr>
                  <pic:blipFill>
                    <a:blip r:embed="rId144"/>
                    <a:stretch>
                      <a:fillRect/>
                    </a:stretch>
                  </pic:blipFill>
                  <pic:spPr>
                    <a:xfrm>
                      <a:off x="0" y="0"/>
                      <a:ext cx="216950" cy="369587"/>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80010" cy="190500"/>
            <wp:effectExtent l="0" t="0" r="15240" b="0"/>
            <wp:docPr id="18" name="IM 14"/>
            <wp:cNvGraphicFramePr/>
            <a:graphic xmlns:a="http://schemas.openxmlformats.org/drawingml/2006/main">
              <a:graphicData uri="http://schemas.openxmlformats.org/drawingml/2006/picture">
                <pic:pic xmlns:pic="http://schemas.openxmlformats.org/drawingml/2006/picture">
                  <pic:nvPicPr>
                    <pic:cNvPr id="18" name="IM 14"/>
                    <pic:cNvPicPr/>
                  </pic:nvPicPr>
                  <pic:blipFill>
                    <a:blip r:embed="rId145"/>
                    <a:stretch>
                      <a:fillRect/>
                    </a:stretch>
                  </pic:blipFill>
                  <pic:spPr>
                    <a:xfrm>
                      <a:off x="0" y="0"/>
                      <a:ext cx="80023" cy="191014"/>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120650" cy="49530"/>
            <wp:effectExtent l="0" t="0" r="0" b="0"/>
            <wp:docPr id="19" name="IM 15"/>
            <wp:cNvGraphicFramePr/>
            <a:graphic xmlns:a="http://schemas.openxmlformats.org/drawingml/2006/main">
              <a:graphicData uri="http://schemas.openxmlformats.org/drawingml/2006/picture">
                <pic:pic xmlns:pic="http://schemas.openxmlformats.org/drawingml/2006/picture">
                  <pic:nvPicPr>
                    <pic:cNvPr id="19" name="IM 15"/>
                    <pic:cNvPicPr/>
                  </pic:nvPicPr>
                  <pic:blipFill>
                    <a:blip r:embed="rId146"/>
                    <a:stretch>
                      <a:fillRect/>
                    </a:stretch>
                  </pic:blipFill>
                  <pic:spPr>
                    <a:xfrm>
                      <a:off x="0" y="0"/>
                      <a:ext cx="121205" cy="49938"/>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80010" cy="190500"/>
            <wp:effectExtent l="0" t="0" r="15240" b="0"/>
            <wp:docPr id="20" name="IM 16"/>
            <wp:cNvGraphicFramePr/>
            <a:graphic xmlns:a="http://schemas.openxmlformats.org/drawingml/2006/main">
              <a:graphicData uri="http://schemas.openxmlformats.org/drawingml/2006/picture">
                <pic:pic xmlns:pic="http://schemas.openxmlformats.org/drawingml/2006/picture">
                  <pic:nvPicPr>
                    <pic:cNvPr id="20" name="IM 16"/>
                    <pic:cNvPicPr/>
                  </pic:nvPicPr>
                  <pic:blipFill>
                    <a:blip r:embed="rId143"/>
                    <a:stretch>
                      <a:fillRect/>
                    </a:stretch>
                  </pic:blipFill>
                  <pic:spPr>
                    <a:xfrm>
                      <a:off x="0" y="0"/>
                      <a:ext cx="80023" cy="191014"/>
                    </a:xfrm>
                    <a:prstGeom prst="rect">
                      <a:avLst/>
                    </a:prstGeom>
                  </pic:spPr>
                </pic:pic>
              </a:graphicData>
            </a:graphic>
          </wp:inline>
        </w:drawing>
      </w:r>
      <w:r>
        <w:rPr>
          <w:rFonts w:hint="eastAsia" w:asciiTheme="minorEastAsia" w:hAnsiTheme="minorEastAsia" w:eastAsiaTheme="minorEastAsia"/>
          <w:color w:val="auto"/>
          <w:highlight w:val="none"/>
        </w:rPr>
        <w:t xml:space="preserve"> Bn </w:t>
      </w:r>
      <w:r>
        <w:rPr>
          <w:rFonts w:hint="eastAsia" w:asciiTheme="minorEastAsia" w:hAnsiTheme="minorEastAsia" w:eastAsiaTheme="minorEastAsia"/>
          <w:color w:val="auto"/>
          <w:highlight w:val="none"/>
        </w:rPr>
        <w:drawing>
          <wp:inline distT="0" distB="0" distL="0" distR="0">
            <wp:extent cx="66675" cy="190500"/>
            <wp:effectExtent l="0" t="0" r="9525" b="0"/>
            <wp:docPr id="21" name="IM 17"/>
            <wp:cNvGraphicFramePr/>
            <a:graphic xmlns:a="http://schemas.openxmlformats.org/drawingml/2006/main">
              <a:graphicData uri="http://schemas.openxmlformats.org/drawingml/2006/picture">
                <pic:pic xmlns:pic="http://schemas.openxmlformats.org/drawingml/2006/picture">
                  <pic:nvPicPr>
                    <pic:cNvPr id="21" name="IM 17"/>
                    <pic:cNvPicPr/>
                  </pic:nvPicPr>
                  <pic:blipFill>
                    <a:blip r:embed="rId140"/>
                    <a:stretch>
                      <a:fillRect/>
                    </a:stretch>
                  </pic:blipFill>
                  <pic:spPr>
                    <a:xfrm>
                      <a:off x="0" y="0"/>
                      <a:ext cx="67232" cy="191014"/>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227330" cy="369570"/>
            <wp:effectExtent l="0" t="0" r="1270" b="11430"/>
            <wp:docPr id="22" name="IM 18"/>
            <wp:cNvGraphicFramePr/>
            <a:graphic xmlns:a="http://schemas.openxmlformats.org/drawingml/2006/main">
              <a:graphicData uri="http://schemas.openxmlformats.org/drawingml/2006/picture">
                <pic:pic xmlns:pic="http://schemas.openxmlformats.org/drawingml/2006/picture">
                  <pic:nvPicPr>
                    <pic:cNvPr id="22" name="IM 18"/>
                    <pic:cNvPicPr/>
                  </pic:nvPicPr>
                  <pic:blipFill>
                    <a:blip r:embed="rId147"/>
                    <a:stretch>
                      <a:fillRect/>
                    </a:stretch>
                  </pic:blipFill>
                  <pic:spPr>
                    <a:xfrm>
                      <a:off x="0" y="0"/>
                      <a:ext cx="227677" cy="369587"/>
                    </a:xfrm>
                    <a:prstGeom prst="rect">
                      <a:avLst/>
                    </a:prstGeom>
                  </pic:spPr>
                </pic:pic>
              </a:graphicData>
            </a:graphic>
          </wp:inline>
        </w:drawing>
      </w:r>
      <w:r>
        <w:rPr>
          <w:rFonts w:hint="eastAsia" w:asciiTheme="minorEastAsia" w:hAnsiTheme="minorEastAsia" w:eastAsiaTheme="minorEastAsia"/>
          <w:color w:val="auto"/>
          <w:highlight w:val="none"/>
        </w:rPr>
        <w:drawing>
          <wp:inline distT="0" distB="0" distL="0" distR="0">
            <wp:extent cx="61595" cy="464820"/>
            <wp:effectExtent l="0" t="0" r="14605" b="11430"/>
            <wp:docPr id="23" name="IM 19"/>
            <wp:cNvGraphicFramePr/>
            <a:graphic xmlns:a="http://schemas.openxmlformats.org/drawingml/2006/main">
              <a:graphicData uri="http://schemas.openxmlformats.org/drawingml/2006/picture">
                <pic:pic xmlns:pic="http://schemas.openxmlformats.org/drawingml/2006/picture">
                  <pic:nvPicPr>
                    <pic:cNvPr id="23" name="IM 19"/>
                    <pic:cNvPicPr/>
                  </pic:nvPicPr>
                  <pic:blipFill>
                    <a:blip r:embed="rId148"/>
                    <a:stretch>
                      <a:fillRect/>
                    </a:stretch>
                  </pic:blipFill>
                  <pic:spPr>
                    <a:xfrm>
                      <a:off x="0" y="0"/>
                      <a:ext cx="61616" cy="465410"/>
                    </a:xfrm>
                    <a:prstGeom prst="rect">
                      <a:avLst/>
                    </a:prstGeom>
                  </pic:spPr>
                </pic:pic>
              </a:graphicData>
            </a:graphic>
          </wp:inline>
        </w:drawing>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drawing>
          <wp:inline distT="0" distB="0" distL="0" distR="0">
            <wp:extent cx="80010" cy="44450"/>
            <wp:effectExtent l="0" t="0" r="0" b="0"/>
            <wp:docPr id="24" name="IM 20"/>
            <wp:cNvGraphicFramePr/>
            <a:graphic xmlns:a="http://schemas.openxmlformats.org/drawingml/2006/main">
              <a:graphicData uri="http://schemas.openxmlformats.org/drawingml/2006/picture">
                <pic:pic xmlns:pic="http://schemas.openxmlformats.org/drawingml/2006/picture">
                  <pic:nvPicPr>
                    <pic:cNvPr id="24" name="IM 20"/>
                    <pic:cNvPicPr/>
                  </pic:nvPicPr>
                  <pic:blipFill>
                    <a:blip r:embed="rId149"/>
                    <a:stretch>
                      <a:fillRect/>
                    </a:stretch>
                  </pic:blipFill>
                  <pic:spPr>
                    <a:xfrm>
                      <a:off x="0" y="0"/>
                      <a:ext cx="80023" cy="44476"/>
                    </a:xfrm>
                    <a:prstGeom prst="rect">
                      <a:avLst/>
                    </a:prstGeom>
                  </pic:spPr>
                </pic:pic>
              </a:graphicData>
            </a:graphic>
          </wp:inline>
        </w:drawing>
      </w:r>
      <w:r>
        <w:rPr>
          <w:rFonts w:hint="eastAsia" w:asciiTheme="minorEastAsia" w:hAnsiTheme="minorEastAsia" w:eastAsiaTheme="minorEastAsia"/>
          <w:color w:val="auto"/>
          <w:highlight w:val="none"/>
        </w:rPr>
        <w:t xml:space="preserve"> 1</w:t>
      </w:r>
      <w:r>
        <w:rPr>
          <w:rFonts w:hint="eastAsia" w:asciiTheme="minorEastAsia" w:hAnsiTheme="minorEastAsia" w:eastAsiaTheme="minorEastAsia"/>
          <w:color w:val="auto"/>
          <w:highlight w:val="none"/>
        </w:rPr>
        <w:drawing>
          <wp:inline distT="0" distB="0" distL="0" distR="0">
            <wp:extent cx="53340" cy="491490"/>
            <wp:effectExtent l="0" t="0" r="3810" b="3810"/>
            <wp:docPr id="25" name="IM 21"/>
            <wp:cNvGraphicFramePr/>
            <a:graphic xmlns:a="http://schemas.openxmlformats.org/drawingml/2006/main">
              <a:graphicData uri="http://schemas.openxmlformats.org/drawingml/2006/picture">
                <pic:pic xmlns:pic="http://schemas.openxmlformats.org/drawingml/2006/picture">
                  <pic:nvPicPr>
                    <pic:cNvPr id="25" name="IM 21"/>
                    <pic:cNvPicPr/>
                  </pic:nvPicPr>
                  <pic:blipFill>
                    <a:blip r:embed="rId150"/>
                    <a:stretch>
                      <a:fillRect/>
                    </a:stretch>
                  </pic:blipFill>
                  <pic:spPr>
                    <a:xfrm>
                      <a:off x="0" y="0"/>
                      <a:ext cx="53505" cy="491699"/>
                    </a:xfrm>
                    <a:prstGeom prst="rect">
                      <a:avLst/>
                    </a:prstGeom>
                  </pic:spPr>
                </pic:pic>
              </a:graphicData>
            </a:graphic>
          </wp:inline>
        </w:drawing>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式中：  △P --  需调整的价格差额；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P0 --  第 17.3.3 项、第 17.5.2 项和第 17.6.2 项约定的付款证书中承包人应得到 的已完成工程量的金额。此项金额应不包括价格调整、不计质量保证金的扣留和支付、预付 款的支付和扣回。第 15 条约定的变更及其他金额已按现行价格计价的，也不计在内；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 --  定值权重(即不调部分的权重)；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B1; B2  ;B3 ·····Bn --  各可调因子的变值权重(即可调部分的权重)为各可调因子 在投标函投标总报价中所占的比例；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Ft 1  ;Ft2  ;Ft3 ·····Ftn --  各可调因子的现行价格指数，指第 17.3.3 项、第 17.5.2 项 和第 17.6.2 项约定的付款证书相关周期最后一天的前 42 天的各可调因子的价格指数；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Fo1; Fo2; Fo3 ·····Fon --  各可调因子的基本价格指数，指基准日期的各可调因子 的价格指数。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以上价格调整公式中的各可调因子、定值和变值权重，以及基本价格指数及其来源在 投标函附录价格指数和权重表中约定。价格指数应首先采用有关部门提供的价格指数，缺乏 上述价格指数时，可采用有关部门提供的价格代替。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16.1.1.2 暂时确定调整差额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在计算调整差额时得不到现行价格指数的，可暂用上一次价格指数计算，并在以后的 付款中再按实际价格指数进行调整。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16.1.1.3 权重的调整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按第 15. 1 款约定的变更导致原定合同中的权重不合理时， 由监理人与承包人和发包 人协商后进行调整。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16.1.1.4 承包人工期延误后的价格调整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由于承包人原因未在约定的工期内竣工的，则对原约定竣工日期后继续施工的工程， 在使用第 16. 1. 1. 1  目价格调整公式时，应采用原约定竣工日期与实际竣工日期的两个价格指 数中较低的一个作为现行价格指数。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16.1.2  采用造价信息调整价格差额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施工期内，因人工、材料、设备和机械台班价格波动影响合同价格时，需要进行价格调 整的，其价格和数量应由监理人审核，监理人确认需调整的内容、范围、价格和数量作为调 整工程合同价格差额的依据。</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16.1.2.1  引起价格调整的物价波动风险范围及幅度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施工期内，因人工、材料、设备和机械台班发生物价波动变化幅度在合同约定的风险 幅度范围以内的，由承包人承担或受益，不调整合同价格；其价格波动变化幅度在合同约定 的风险幅度范围以外的，由发包人承担或受益。物价波动引起价格调整的风险范围以及调整 的风险幅度见合同条款专用部分。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16.1.2.2  物价波动变化幅度的计算方法</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（1）投标报价基准期确定的人工、材料、设备和机械台班的市场价格即为基准价。投 标报价基准期见合同条款专用部分。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（2）《北京工程造价信息》中市场价格信息有的， 以北京市建设工程造价管理机构发 布的《北京工程造价信息》中的市场价格（以下简称造价信息价格）为依据确定基准价，造 价信息价格中有上、下限的， 以下限为准；《北京工程造价信息》市场价格信息中没有的， 确定基准价的方法见合同条款专用部分。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（3）合同施工期市场价格的确定方法见合同条款专用部分。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（4）物价波动变化幅度的计算方法：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1）当承包人投标报价中的单价低于基准价时：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物价波动变化幅度（涨幅）=（施工期市场价-基准价）/基准价×100%</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物价波动变化幅度（跌幅）=（施工期市场价-投标单价）/投标单价×100% 2）当承包人投标报价中的单价高于基准价时：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物价波动变化幅度（涨幅）=（施工期市场价-投标单价）/投标单价×100%</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物价波动变化幅度（跌幅）=（施工期市场价-基准价）/基准价×100% 3）当承包人投标报价中的单价等于基准价时：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物价波动变化幅度=（施工期市场价-基准价）/基准价×100% 16.1.2.3  物价波动引起价格调整的方法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（1）第 16.1.2.1 目中约定的人工、材料、设备和机械台班的物价波动变化幅度超过风 险幅度时，其计算价格调整差额的方法见合同条款专用部分。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（2）第 16.1.2.1 目中约定的人工的物价波动变化幅度超过风险幅度时，应当计算全部 价格差额，其价格差额由发包人承担或受益，其价格差额不计取规费，只计取税金。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（3）第 16.1.2.1 目中约定的材料、设备和机械台班的物价波动变化幅度超过风险幅度 时，应当计算超过部分的价格差额，其价格差额由发包人承担或受益，其价格差额不计取规 费，只计取税金。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16.1.2.4  物价波动引起价格调整的其他约定见合同条款专用部分。 16.1.3  物价波动引起价格调整的其他方法见合同条款专用部分。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16.2  法律变化引起的价格调整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在基准日后，因法律变化导致承包人在合同履行中所需要的工程费用发生除第 16.1 款 约定以外的增减时，监理人应根据法律、国家或省、自治区、直辖市有关部门的规定，按第</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3.5 款商定或确定需调整的合同价款。</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17.计量与支付</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  计量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17.1.1  计量单位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计量采用国家法定的计量单位。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17.1.2  计量方法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工程量计算规则执行工程量清单中约定的计量计价规范版本。除合同另有约定外，承包 人实际完成的工程量按约定的工程量计算规则和有合同约束力的图纸进行计量。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17.1.3  计量周期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（1）本合同的计量周期为月，当月计量截止日期（不含当日）和下月计量起始日期（含 当日）见合同条款专用部分。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（2）单价子目已完成工程量是否按月计量见合同条款专用部分。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（3）总价子目计量方法见合同条款专用部分。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17.1.4  单价子目的计量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 已标价工程量清单中的单价子目工程量为估算工程量。结算工程量是承包人实际 完成的，并按合同约定的计量方法进行计量的工程量。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（2）承包人对已完成的工程进行计量，向监理人提交进度付款申请单、已完成工程量 报表和有关计量资料。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（3）监理人对承包人提交的工程量报表进行复核， 以确定实际完成的工程量。对数量 有异议的，可要求承包人按第 8.2 款约定进行共同复核和抽样复测。承包人应协助监理人进 行复核并按监理人要求提供补充计量资料。承包人未按监理人要求参加复核，监理人复核或 修正的工程量视为承包人实际完成的工程量。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（4）监理人认为有必要时，可通知承包人共同进行联合测量、计量，承包人应遵照执 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（5）承包人完成工程量清单中每个子目的工程量后，监理人应要求承包人派员共同对 每个子目的历次计量报表进行汇总，以核实最终结算工程量。监理人可要求承包人提供补充 计量资料，以确定最后一次进度付款的准确工程量。承包人未按监理人要求派员参加的，监 理人最终核实的工程量视为承包人完成该子目的准确工程量。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（6）监理人应在收到承包人提交的工程量报表后的 7 天内进行复核，监理人未在约定 时间内复核的，承包人提交的工程量报表中的工程量视为承包人实际完成的工程量，据此计 算工程价款。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17.1.5  总价子目的计量（适用于采用支付分解报告）</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总价子目按照有合同约束力的支付分解表支付。承包人应根据合同条款第 10 条约定的 合同进度计划和总价子目的总价构成、费用性质、计划发生时间和相应工作量等因素对各个 总价子目的总价按月进行分解，形成支付分解报告。承包人应当在收到经过监理人批复的合 同进度计划后 7 天内，将支付分解报告以及形成支付分解报告的分项计量和总价分解等支持 性资料报监理人审批，监理人应当在收到承包人报送的支付分解报告后 7 天内给予批复或提 出修改意见，经监理人批准的支付分解报告为有合同约束力的支付分解表。支付分解表应根 据合同条款第 10.2 款约定的修订合同进度计划进行修正，修正的程序和期限应当依照本项 上述约定，经修正的支付分解表为有合同约束力的支付分解表。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（1）总价子目的价格调整方法见合同条款专用部分。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（2）列入每月进度付款申请单中各总价子目的价值为有合同约束力的支付分解表中对 应月份的总价子目总价值。</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（3）监理人根据有合同约束力的支付分解表复核列入每月进度付款申请单中的总价子 目的总价值。</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（4）除按照第 15 条约定的变更外，在竣工结算时总价子目的工程量不应当重新计量， 签约合同价所基于的工程量即是用于竣工结算的最终工程量。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17.1.5  总价子目的计量（适用于采用按实际完成工程量计量）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（1）总价子目的计量和支付应以总价为基础，对承包人实际完成的工程量进行计量， 是进行工程目标管理和控制进度款支付的依据。总价子目的价格调整方法见合同条款专用部 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（2）承包人在合同条款专用部分第 17.1.3（1） 目约定的每月计量截止日期后，对已 完成的分部分项工程和单价措施项目的子目，按照合同条款第 17.1.2 项约定的计量方法进 行计量，对已完成的总价措施项目的相关子目，按其总价构成、费用性质和实际发生比例进 行计量，向监理人提交进度付款申请单、已完成工程量报表和有关计量资料。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（3）监理人对承包人提交的工程量报表进行复核， 以确定实际完成的工程量。对数量 有异议的，可要求承包人进行共同复核。承包人应协助监理人进行复核并按监理人要求提供</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补充计量资料。承包人未按监理人要求参加复核，监理人复核或修正的工程量视为承包人实 际完成的工程量。</w:t>
      </w:r>
    </w:p>
    <w:p>
      <w:pPr>
        <w:spacing w:line="360" w:lineRule="auto"/>
        <w:ind w:firstLine="420" w:firstLineChars="200"/>
        <w:rPr>
          <w:rFonts w:asciiTheme="minorEastAsia" w:hAnsiTheme="minorEastAsia" w:eastAsiaTheme="minorEastAsia"/>
          <w:color w:val="auto"/>
          <w:highlight w:val="none"/>
        </w:rPr>
        <w:sectPr>
          <w:headerReference r:id="rId86" w:type="default"/>
          <w:footerReference r:id="rId87" w:type="default"/>
          <w:pgSz w:w="11906" w:h="16839"/>
          <w:pgMar w:top="1161" w:right="175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（4）监理人应在收到承包人提交的工程量报表后的 7 天内进行复核，监理人未在约定 时间内复核的，承包人提交的工程量报表中的工程量视为承包人实际完成的工程量，据此计 算工程价款。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（5）除按照第 15 条约定的变更外，在竣工结算时总价子目的工程量不应当重新计量， 签约合同价所基于的工程量即是用于竣工结算的最终工程量。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17.2  预付款</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17.2.1  预付款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预付款用于承包人为合同工程施工购置材料、工程设备、施工设备、修建临时设施以及 组织施工队伍进场等。预付款必须专用于合同工程。预付款的额度和预付办法以及支付时间 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安全文明施工费用预付款额度及方式见合同条款专用部分。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发包人逾期支付合同约定的预付款，除承担第 22.2 款约定的违约责任外，还应向承包 人支付按第 17.3.3(2)目约定的标准和方法计算的逾期付款违约金。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17.2.2  预付款的扣回与还清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预付款在进度付款中按照合同约定扣回。在颁发工程接收证书前，由于不可抗力或其他 原因解除合同时，预付款尚未扣清的，尚未扣清的预付款余额应作为承包人的到期应付款。 预付款扣回办法见合同条款专用部分。</w:t>
      </w:r>
    </w:p>
    <w:p>
      <w:pPr>
        <w:spacing w:line="360" w:lineRule="auto"/>
        <w:ind w:firstLine="420" w:firstLineChars="200"/>
        <w:rPr>
          <w:rFonts w:asciiTheme="minorEastAsia" w:hAnsiTheme="minorEastAsia" w:eastAsiaTheme="minorEastAsia"/>
          <w:color w:val="auto"/>
          <w:highlight w:val="none"/>
        </w:rPr>
      </w:pPr>
      <w:bookmarkStart w:id="710" w:name="_bookmark209"/>
      <w:bookmarkEnd w:id="710"/>
      <w:r>
        <w:rPr>
          <w:rFonts w:hint="eastAsia" w:asciiTheme="minorEastAsia" w:hAnsiTheme="minorEastAsia" w:eastAsiaTheme="minorEastAsia"/>
          <w:color w:val="auto"/>
          <w:highlight w:val="none"/>
        </w:rPr>
        <w:t>17.3  工程进度付款</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17.3.1  付款周期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付款周期同计量周期。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17.3.2  进度付款申请单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承包人应在每个付款周期末，按监理人批准的格式和合同约定的份数，向监理人提交进 度付款申请单，并附相应的支持性证明文件。承包人提交进度付款申请单份数见合同条款专 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承包人报送监理人的进度付款申请单应包括下列内容：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（1）截至本次付款周期末已实施工程的价款；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（2）根据第 15 条应增加和扣减的变更金额；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（3）根据第 23 条应增加和扣减的索赔金额；</w:t>
      </w:r>
    </w:p>
    <w:p>
      <w:pPr>
        <w:spacing w:line="360" w:lineRule="auto"/>
        <w:ind w:firstLine="420" w:firstLineChars="200"/>
        <w:rPr>
          <w:rFonts w:asciiTheme="minorEastAsia" w:hAnsiTheme="minorEastAsia" w:eastAsiaTheme="minorEastAsia"/>
          <w:color w:val="auto"/>
          <w:highlight w:val="none"/>
        </w:rPr>
        <w:sectPr>
          <w:headerReference r:id="rId88" w:type="default"/>
          <w:footerReference r:id="rId89"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（4）根据第 17.2 款约定应支付的预付款和扣减的返还预付款；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（5）根据第 17.4.1 项约定应扣减的质量保证金；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（6）根据合同应增加和（或）扣减的其他内容金额见合同条款专用部分。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17.3.3  进度付款证书和支付时间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（1）监理人在收到承包人进度付款申请单以及相应的支持性证明文件后的 14 天内完成 核查，提出发包人到期应支付给承包人的金额以及相应的支持性材料，经发包人审查同意后， 由监理人向承包人出具经发包人签认的进度付款证书。监理人有权扣发承包人未能按照合同 要求履行任何工作或义务的相应金额。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（2）发包人应在监理人收到进度付款申请单后的 28 天内，将进度应付款支付给承包人。 发包人未按第 17.2.1(2) 目、第 17.3.3(2) 目、第 17.5.2(2) 目和第 17.6.2(2)目约定的期限 支付承包人依合同约定应当得到的款项，应当从应付之日起按照合同约定的计算标准和计算 方法向承包人支付逾期付款违约金。承包人应当按第 23.1（1） 目的约定，在最终付款期限 到期后 28 天内，向监理人递交索赔意向通知书,说明有权得到按本款约定的标准和方法计算 的逾期付款违约金。承包人要求发包人支付逾期付款违约金不影响承包人要求发包人承担第 22.2 款约定的其他违约责任的权利。逾期付款违约金计算标准和计算方法见合同条款专用 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（3）监理人出具进度付款证书，不应视为监理人已同意、批准或接受了承包人完成的 该部分工作。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（4）进度付款涉及政府投资资金的，按照国库集中支付等国家相关规定和合同约定办 理。进度付款涉及政府性资金的支付方法见合同条款专用部分。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17.3.4  工程进度付款的修正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在对以往历次已签发的进度付款证书进行汇总和复核中发现错、漏或重复的，监理人有 权予以修正，承包人也有权提出修正申请。经双方复核同意的修正，应在本次进度付款中支 付或扣除。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17.3.5  临时付款证书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在合同约定的期限内，承包人和监理人无法对当期已完工程量和按合同约定应当支付的 其他款项达成一致的，监理人应当在收到承包人报送的进度付款申请单等文件后 14 天内， 就与承包人达成一致意见的金额编制临时付款证书，报送发包人审查。临时付款证书中应当 说明承包人有异议部分的金额及其原因，经发包人签字确认后，由监理人向承包人出具临时 付款证书。发包人应当在监理人收到进度付款申请单后 28 天内，将临时付款证书中确定的</w:t>
      </w:r>
    </w:p>
    <w:p>
      <w:pPr>
        <w:spacing w:line="360" w:lineRule="auto"/>
        <w:ind w:firstLine="420" w:firstLineChars="200"/>
        <w:rPr>
          <w:rFonts w:asciiTheme="minorEastAsia" w:hAnsiTheme="minorEastAsia" w:eastAsiaTheme="minorEastAsia"/>
          <w:color w:val="auto"/>
          <w:highlight w:val="none"/>
        </w:rPr>
        <w:sectPr>
          <w:headerReference r:id="rId90" w:type="default"/>
          <w:footerReference r:id="rId91" w:type="default"/>
          <w:pgSz w:w="11906" w:h="16839"/>
          <w:pgMar w:top="1161" w:right="172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应付金额支付给承包人。发包人和监理人均不得以任何理由延期支付工程进度付款。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对临时付款证书中承包人有异议部分的金额，承包人应当按照监理人要求，提交进一步 的支持性文件，经监理人进一步审核并认可的应付金额，应当按第 17.3.4 项的约定纳入到 下一期进度付款证书中。经过进一步努力，承包人仍有异议的，按合同条款第 24 条的约定 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有异议款项中经监理人进一步审核后认可的，或者经过合同条款第 24 条约定的争议解 决方式确定的应付金额，其应付之日为引发异议的进度付款证书的应付之日，承包人有权得 到按第 17.3.3（2） 目约定计算的逾期付款违约金。</w:t>
      </w:r>
    </w:p>
    <w:p>
      <w:pPr>
        <w:spacing w:line="360" w:lineRule="auto"/>
        <w:ind w:firstLine="420" w:firstLineChars="200"/>
        <w:rPr>
          <w:rFonts w:asciiTheme="minorEastAsia" w:hAnsiTheme="minorEastAsia" w:eastAsiaTheme="minorEastAsia"/>
          <w:color w:val="auto"/>
          <w:highlight w:val="none"/>
        </w:rPr>
      </w:pPr>
      <w:bookmarkStart w:id="711" w:name="_bookmark210"/>
      <w:bookmarkEnd w:id="711"/>
      <w:r>
        <w:rPr>
          <w:rFonts w:hint="eastAsia" w:asciiTheme="minorEastAsia" w:hAnsiTheme="minorEastAsia" w:eastAsiaTheme="minorEastAsia"/>
          <w:color w:val="auto"/>
          <w:highlight w:val="none"/>
        </w:rPr>
        <w:t>17.4  质量保证金</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17.4.1  质量保证金处理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（1）合同条款专用部分第 4.2.1 项约定不提交履约担保，采用扣留质量保证金的，质 量保证金由监理人从第一个付款周期开始按进度付款证书确认的已实施工程的价款、根据合 同条款第 15 条增加和扣减的变更金额、根据合同条款第 23 条增加和扣减的索赔金额以及根 据合同应增加和扣减的其他金额（不包括预付款的支付、返还、此前已经按合同约定支付给 承包人的进度款以及已经扣留的质量保证金）的总额的约定比例扣留，直至质量保证金累计 扣留金额达到竣工结算合同总价的约定比例为止；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采用质量保证金保函担保形式的，工程竣工前，不得扣留质量保证金。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（2）合同条款专用部分第 4.2.1 项约定提交履约担保，采用扣留质量保证金的，在第 17.5 款竣工结算中，应当按照竣工结算合同总价约定的比例扣留质量保证金，当应支付的 竣工付款金额不足应扣留的质量保证金金额时，承包人应返款差额部分；采用质量保证金保 函担保形式的，工程竣工前，不得扣留质量保证金。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（3）质量保证金的形式与约定比例见合同条款专用部分。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17.4.2  在第 1.1.4.5 目约定的缺陷责任期满时，承包人向发包人申请到期应返还承包 人剩余的质量保证金金额或退还保函担保，发包人应在 14 天内会同承包人按照合同约定的 内容核实承包人是否完成缺陷责任。如无异议，发包人应当在核实后将剩余保证金返还承包 人或将其保函退还承包人。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17.4.3  在第 1.1.4.5 目约定的缺陷责任期满时，承包人没有完成缺陷责任的，发包人 有权扣留与未履行责任剩余工作所需金额相应的质量保证金余额或依据其保函担保约定追 究责任，并有权根据第 19.3 款约定要求延长缺陷责任期，直至完成剩余工作为止。</w:t>
      </w:r>
    </w:p>
    <w:p>
      <w:pPr>
        <w:spacing w:line="360" w:lineRule="auto"/>
        <w:ind w:firstLine="420" w:firstLineChars="200"/>
        <w:rPr>
          <w:rFonts w:asciiTheme="minorEastAsia" w:hAnsiTheme="minorEastAsia" w:eastAsiaTheme="minorEastAsia"/>
          <w:color w:val="auto"/>
          <w:highlight w:val="none"/>
        </w:rPr>
        <w:sectPr>
          <w:headerReference r:id="rId92" w:type="default"/>
          <w:footerReference r:id="rId93" w:type="default"/>
          <w:pgSz w:w="11906" w:h="16839"/>
          <w:pgMar w:top="1161" w:right="178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12" w:name="_bookmark211"/>
      <w:bookmarkEnd w:id="712"/>
      <w:r>
        <w:rPr>
          <w:rFonts w:hint="eastAsia" w:asciiTheme="minorEastAsia" w:hAnsiTheme="minorEastAsia" w:eastAsiaTheme="minorEastAsia"/>
          <w:color w:val="auto"/>
          <w:highlight w:val="none"/>
        </w:rPr>
        <w:t>17.5  竣工结算</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17.5.1  竣工付款申请单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（1）工程接收证书颁发后，承包人应按合同约定的份数和期限向监理人提交竣工付款 申请单，并提供相关证明材料。承包人提交竣工付款申请单份数和期限见合同条款专用部分。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（2）竣工付款申请单应包括下列内容：竣工结算合同总价、发包人已支付承包人的工 程价款、应扣留的质量保证金、应支付的竣工付款金额和应支付或扣减的其他内容金额。竣 工付款申请单的其他内容见合同条款专用部分。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（3）监理人对竣工付款申请单有异议的，有权要求承包人进行修正和提供补充资料。 经监理人和承包人协商后， 由承包人向监理人提交修正后的竣工付款申请单。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（4）承包人未按本项约定的期限和内容提交竣工付款申请单或者未按第 17.5.1（3)目 约定提交修正后的竣工付款申请单，经监理人催促后 14 天内仍未提交或者没有明确答复的， 监理人和发包人有权根据已有资料进行审查，审查确定的竣工结算合同总价和竣工付款金额 视同是经承包人认可的工程竣工结算合同总价和竣工付款金额。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17.5.2  竣工付款证书及支付时间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（1）监理人在收到承包人提交的竣工付款申请单后的 14 天内完成审核，并提出发包人 到期应支付给承包人的价款等审核意见，报送发包人审核。发包人应在收到后 14 天内审核 完毕，由监理人向承包人出具经发包人签字确认的竣工付款证书。监理人未在约定时间内提 出具体意见的，视为承包人提交的竣工付款申请单已经监理人核查同意；发包人未在约定时 间内提出具体意见的，监理人提出发包人到期应支付给承包人的价款视为已经发包人同意。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（2）发包人应在监理人出具竣工付款证书后的 14 天内，将应支付款支付给承包人。发 包人不按期支付的，按第 17.3.3（2） 目的约定，将逾期付款违约金支付给承包人。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（3）承包人对发包人签认的竣工付款证书有异议的，发包人可出具竣工付款申请单中 与承包人达成一致意见部分的临时付款证书。存在争议的部分，按第 24 条“争议的解决” 的约定办理。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（4）竣工付款涉及政府投资资金的，按第 17.3.3（4） 目的约定办理。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17.5.3  除第 17.5.4 项约定的情况外，发包人和承包人应当在监理人颁发（出具）工 程接收证书后 56 天内办清竣工结算和竣工付款。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17.5.4  政府投资或者以政府投资为主的建设项目纳入审计项目计划的，发包人和承包 人均负有配合、接受审计机关审计的义务，竣工结算应当依据审计结论，办清竣工结算和竣</w:t>
      </w:r>
    </w:p>
    <w:p>
      <w:pPr>
        <w:spacing w:line="360" w:lineRule="auto"/>
        <w:ind w:firstLine="420" w:firstLineChars="200"/>
        <w:rPr>
          <w:rFonts w:asciiTheme="minorEastAsia" w:hAnsiTheme="minorEastAsia" w:eastAsiaTheme="minorEastAsia"/>
          <w:color w:val="auto"/>
          <w:highlight w:val="none"/>
        </w:rPr>
        <w:sectPr>
          <w:headerReference r:id="rId94" w:type="default"/>
          <w:footerReference r:id="rId95" w:type="default"/>
          <w:pgSz w:w="11906" w:h="16839"/>
          <w:pgMar w:top="1161" w:right="1696"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工付款的时间按照相关规定执行。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13" w:name="_bookmark212"/>
      <w:bookmarkEnd w:id="713"/>
      <w:r>
        <w:rPr>
          <w:rFonts w:hint="eastAsia" w:asciiTheme="minorEastAsia" w:hAnsiTheme="minorEastAsia" w:eastAsiaTheme="minorEastAsia"/>
          <w:color w:val="auto"/>
          <w:highlight w:val="none"/>
        </w:rPr>
        <w:t>17.6  最终结清</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17.6.1  最终结清申请单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（1）缺陷责任期终止证书签发后，承包人可按合同约定的份数和期限向监理人提交最 终结清申请单，并提供相关证明材料。承包人提交最终结清申请单的份数和期限见合同条款 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发包人向承包人支付质量保证金利息的，承包人应按照约定的利息计算方法计算利息， 并列入最终结清申请单中。是否支付质量保证金利息及利息计算方法见合同条款专用部分。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（2）发包人对最终结清申请单内容有异议的，有权要求承包人进行修正和提供补充资 料， 由承包人向监理人提交修正后的最终结清申请单。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17.6.2  最终结清证书和支付时间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（1）监理人收到承包人提交的最终结清申请单后的 14 天内，提出发包人应支付给承包 人的价款等审核意见，并报送发包人审核。发包人应在收到后 14 天内审核完毕， 由监理人 向承包人出具经发包人签认的最终结清证书。监理人未在约定时间内提出具体意见的，视为 承包人提交的最终结清申请已经监理人核查同意；发包人未在约定时间内提出具体意见的， 监理人提出应支付给承包人的价款视为已经发包人同意。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（2）发包人应在监理人出具最终结清证书后的 14 天内，将应支付款支付给承包人。发 包人不按期支付的，按第 17.3.3（2） 目的约定，将逾期付款违约金支付给承包人。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（3）承包人对发包人签认的最终结清证书有异议的，按第 24 条“争议的解决”的约定 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（4）最终结清付款涉及政府投资资金的，按第 17.3.3（4） 目的约定办理。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14" w:name="_bookmark213"/>
      <w:bookmarkEnd w:id="714"/>
      <w:r>
        <w:rPr>
          <w:rFonts w:hint="eastAsia" w:asciiTheme="minorEastAsia" w:hAnsiTheme="minorEastAsia" w:eastAsiaTheme="minorEastAsia"/>
          <w:color w:val="auto"/>
          <w:highlight w:val="none"/>
        </w:rPr>
        <w:t>18.竣工验收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bookmarkStart w:id="715" w:name="_bookmark214"/>
      <w:bookmarkEnd w:id="715"/>
      <w:r>
        <w:rPr>
          <w:rFonts w:hint="eastAsia" w:asciiTheme="minorEastAsia" w:hAnsiTheme="minorEastAsia" w:eastAsiaTheme="minorEastAsia"/>
          <w:color w:val="auto"/>
          <w:highlight w:val="none"/>
        </w:rPr>
        <w:t>18.1  竣工验收的含义</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18.1.1  竣工验收指承包人完成了全部合同工作后，发包人按合同要求进行的验收。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18.1.2  国家验收是政府有关部门根据法律、规范、规程和政策要求，针对发包人全面 组织实施的整个工程正式交付投运前的验收。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18.1.3  需要进行国家验收的，竣工验收是国家验收的一部分。竣工验收所采用的各项 验收和评定标准应符合国家验收标准。发包人和承包人为竣工验收提供的各项竣工验收资料</w:t>
      </w:r>
    </w:p>
    <w:p>
      <w:pPr>
        <w:spacing w:line="360" w:lineRule="auto"/>
        <w:ind w:firstLine="420" w:firstLineChars="200"/>
        <w:rPr>
          <w:rFonts w:asciiTheme="minorEastAsia" w:hAnsiTheme="minorEastAsia" w:eastAsiaTheme="minorEastAsia"/>
          <w:color w:val="auto"/>
          <w:highlight w:val="none"/>
        </w:rPr>
        <w:sectPr>
          <w:headerReference r:id="rId96" w:type="default"/>
          <w:footerReference r:id="rId97" w:type="default"/>
          <w:pgSz w:w="11906" w:h="16839"/>
          <w:pgMar w:top="1161" w:right="174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应符合国家验收的要求。</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18.2  竣工验收申请报告</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当工程具备以下条件时，承包人即可向监理人报送竣工验收申请报告：</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（1）除监理人同意列入缺陷责任期内完成的尾工（甩项）工程和缺陷修补工作外，合 同范围内的全部单位工程以及有关工作，包括合同要求的试验、试运行以及检验和验收均已 完成，并符合合同要求。</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（2）承包人负责整理和提交的竣工验收资料应当符合工程所在地建设行政主管部门和 （或）城市建设档案管理机构有关施工资料的要求，同时已按合同条款专用部分约定备齐了 符合要求的竣工资料。竣工验收资料的内容和份数以及费用支付方式见合同条款专用部分。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 已按监理人的要求编制了在缺陷责任期内需完成的尾工（甩项）工程，和缺陷修 补工作清单等相应施工计划。</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（4）监理人要求在竣工验收前应完成的其他工作。</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（5）监理人要求提交的竣工验收资料清单。</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  验收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监理人收到承包人按第 18.2 款约定提交的竣工验收申请报告后，应审查申请报告的各 项内容，并按以下不同情况进行处理。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18.3.1  监理人审查后认为尚不具备竣工验收条件的，应在收到竣工验收申请报告后的 28 天内通知承包人，并指出在颁发接收证书前承包人需进行的工作内容。承包人完成监理 人通知的全部工作内容后，应再次提交竣工验收申请报告，直至监理人同意为止。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18.3.2  监理人审查后认为已具备竣工验收条件的，应在收到竣工验收申请报告后的 28 天内提请发包人进行工程验收。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18.3.3  发包人经过验收后同意接受工程的，应在监理人收到竣工验收申请报告后的 56 天内， 由监理人向承包人出具经发包人签认的工程接收证书。发包人验收后同意接收工 程，但提出整修和完善要求的，限期修好，并缓发工程接收证书。整修和完善工作完成后， 监理人复查达到要求的，经发包人同意后，再向承包人出具工程接收证书。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18.3.4  发包人验收后不同意接收工程的，监理人应按照发包人的验收意见发出指示， 要求承包人对不合格工程认真返工重作或进行补救处理，并承担由此产生的费用。承包人在 完成不合格工程的返工重作或补救工作后，应重新提交竣工验收申请报告，按第 18.3.1 项、</w:t>
      </w:r>
    </w:p>
    <w:p>
      <w:pPr>
        <w:spacing w:line="360" w:lineRule="auto"/>
        <w:ind w:firstLine="420" w:firstLineChars="200"/>
        <w:rPr>
          <w:rFonts w:asciiTheme="minorEastAsia" w:hAnsiTheme="minorEastAsia" w:eastAsiaTheme="minorEastAsia"/>
          <w:color w:val="auto"/>
          <w:highlight w:val="none"/>
        </w:rPr>
        <w:sectPr>
          <w:headerReference r:id="rId98" w:type="default"/>
          <w:footerReference r:id="rId99" w:type="default"/>
          <w:pgSz w:w="11906" w:h="16839"/>
          <w:pgMar w:top="1161" w:right="1728"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第 18.3.2 项和第 18.3.3 项的约定进行。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18.3.5  经验收合格的工程, 实际竣工日期为承包人按照第 18.2 款提交竣工验收申请 报告或按照本款重新提交竣工验收申请报告的日期（以两者中时间在后者为准）。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18.3.6  发包人在收到承包人竣工验收申请报告 56 天后未进行验收的，视为验收合格， 实际竣工日期以提交竣工验收申请报告的日期为准，但发包人由于不可抗力不能进行验收的 除外。</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18.4  单位工程验收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18.4.1  发包人根据合同进度计划安排，在全部工程竣工前需要使用已经竣工的单位工 程时，或承包人提出经发包人同意时，可进行单位工程验收。验收的程序可参照第 18.2 款 与第 18.3 款的约定进行。验收合格后， 由监理人向承包人出具经发包人签认的单位工程验 收证书。已签发单位工程接收证书的单位工程由发包人负责照管。单位工程的验收成果和结 论作为全部工程竣工验收申请报告的附件。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18.4.2  发包人在全部工程竣工前，使用已接收的单位工程导致承包人费用增加的，发 包人应承担由此增加的费用和（或）工期延误，并支付承包人合理利润。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18.5  施工期运行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18.5.1  施工期运行是指合同工程尚未全部竣工，其中某项或某几项单位工程或工程设 备安装已竣工，根据合同条款专用部分约定，需要投入施工期运行的，经发包人按第 18.4 款的约定验收合格，证明能确保安全后，才能在施工期投入运行。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18.5.2  在施工期运行中发现工程或工程设备损坏或存在缺陷的， 由承包人按第 19.2 款约定进行修复。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18.6  试运行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18.6.1  工程及工程设备试运行的组织与费用承担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（1）工程设备安装具备单机无负荷试运行条件， 由承包人组织试运行，费用由承包人 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（2）工程设备安装具备无负荷联动试运行条件， 由发包人组织试运行，费用由发包人 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（3）投料试运行应在工程竣工验收后由发包人负责，如发包人要求在工程竣工验收前 进行或需要承包人配合时，应征得承包人同意，另行签订补充协议。</w:t>
      </w:r>
    </w:p>
    <w:p>
      <w:pPr>
        <w:spacing w:line="360" w:lineRule="auto"/>
        <w:ind w:firstLine="420" w:firstLineChars="200"/>
        <w:rPr>
          <w:rFonts w:asciiTheme="minorEastAsia" w:hAnsiTheme="minorEastAsia" w:eastAsiaTheme="minorEastAsia"/>
          <w:color w:val="auto"/>
          <w:highlight w:val="none"/>
        </w:rPr>
        <w:sectPr>
          <w:headerReference r:id="rId100" w:type="default"/>
          <w:footerReference r:id="rId101" w:type="default"/>
          <w:pgSz w:w="11906" w:h="16839"/>
          <w:pgMar w:top="1161" w:right="1744"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18.6.2  由于承包人的原因导致试运行失败的，承包人应采取措施保证试运行合格，并 承担相应费用。由于发包人的原因导致试运行失败的，承包人应当采取措施保证试运行合格， 发包人应承担由此产生的费用，并支付承包人合理利润。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18.7  竣工清场</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18.7.1  监理人颁发（出具）工程接收证书后，承包人负责按照以下要求对施工场地进 行清理，直至监理人检验合格为止。竣工清场费用由承包人承担。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（1）施工场地内残留的垃圾已全部清除出场；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（2）临时工程已拆除，场地已按合同要求进行清理、平整或复原；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（3）按合同约定应撤离的承包人设备和剩余的材料，包括废弃的施工设备和材料，已 按计划撤离施工场地；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（4）工程建筑物周边及其附近道路、河道的施工堆积物，已按监理人指示全部清理；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（5）监理人指示的其他场地清理工作已全部完成。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18.7.2  承包人未按监理人的要求恢复临时占地，或者场地清理未达到合同约定的，发 包人有权委托其他人恢复或清理，所发生的金额从拟支付给承包人的款项中扣除。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18.8  施工队伍的撤离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18.8.1  工程接收证书颁发后的 56 天内，除了经监理人同意需在缺陷责任期内继续工 作和使用的人员、施工设备和临时工程外，其余的人员、施工设备和临时工程均应撤离施工 场地或拆除。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18.8.2  承包人撤离施工场地（现场）时，监理人和承包人应当办理永久工程和施工场 地移交手续，移交手续以书面方式出具，并分别经过发包人、监理人和承包人的签认。但是， 监理人和发包人未按第 17.5.1 项约定的期限办清竣工结算和竣工付款的，本工程不得交付 使用，发包人和监理人也无权要求承包人按合同约定的期限撤离施工场地（现场）和办理工 程移交手续。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18.8.3  缺陷责任期满时，承包人的人员和施工设备应在合同约定期限内全部撤离施工 场地。撤离施工场地的期限要求见合同条款专用部分。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18.9  中间验收</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18.9.1  本工程需要按照合同约定进行中间验收。进行中间验收的部位见合同条款专用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部分。</w:t>
      </w:r>
    </w:p>
    <w:p>
      <w:pPr>
        <w:spacing w:line="360" w:lineRule="auto"/>
        <w:ind w:firstLine="420" w:firstLineChars="200"/>
        <w:rPr>
          <w:rFonts w:asciiTheme="minorEastAsia" w:hAnsiTheme="minorEastAsia" w:eastAsiaTheme="minorEastAsia"/>
          <w:color w:val="auto"/>
          <w:highlight w:val="none"/>
        </w:rPr>
        <w:sectPr>
          <w:headerReference r:id="rId102" w:type="default"/>
          <w:footerReference r:id="rId103" w:type="default"/>
          <w:pgSz w:w="11906" w:h="16839"/>
          <w:pgMar w:top="1161" w:right="1740"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18.9.2  当工程进度达到第 18.9.1 项约定的中间验收部位时，承包人应当进行自检， 并在中间验收前 48 小时以书面形式通知监理人验收。书面通知应包括中间验收的内容、验 收时间和地点。承包人应当准备验收记录。只有监理人验收合格并在验收记录上签字后，承 包人方可继续施工。验收不合格的，承包人在合同约定的期限内修改后重新验收。重新验收 的期限见合同条款专用部分。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18.9.3  监理人不能按时进行验收的，应在验收前至少 24 小时以书面形式向承包人提 出延期要求，但延期不能超过 48 小时。监理人未能按本款约定的时限提出延期要求，又未 按期进行验收的，承包人可自行组织验收，监理人必须认同验收记录。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经监理人验收后工程质量符合约定的验收标准，但验收 24 小时后监理人仍不在验收记 录上签字的，视为监理人已经认可验收记录，承包人可继续施工。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19.缺陷责任与保修责任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19.1  缺陷责任期的起算时间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缺陷责任期自实际竣工日期起计算。在全部工程竣工验收前，已经发包人提前验收的单 位工程，其缺陷责任期的起算日期相应提前。</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19.2  缺陷责任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19.2.1  承包人应在缺陷责任期内对已交付使用的工程承担缺陷责任。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19.2.2  缺陷责任期内，发包人对已接收使用的工程负责日常维护工作。发包人在使用 过程中，发现已接收的工程存在新的缺陷或已修复的缺陷部位或部件又遭损坏的，承包人应 负责修复，直至检验合格为止。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19.2.3  监理人和承包人应共同查清缺陷和（或）损坏的原因。经查明属承包人原因造 成的，应由承包人承担修复和查验的费用。经查验属发包人原因造成的，发包人应承担修复 和查验的费用，并支付承包人合理利润。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19.2.4  承包人不能在合理时间内修复缺陷的，发包人可自行修复或委托其他人修复， 所需费用和利润的承担，按第 19.2.3 项约定办理。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19.3  缺陷责任期的延长</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由于承包人原因造成某项缺陷或损坏，使某项工程或工程设备不能按原定目标使用，需 要再次检查、检验和修复的，发包人有权要求承包人相应延长缺陷责任期，但缺陷责任期最</w:t>
      </w:r>
    </w:p>
    <w:p>
      <w:pPr>
        <w:spacing w:line="360" w:lineRule="auto"/>
        <w:ind w:firstLine="420" w:firstLineChars="200"/>
        <w:rPr>
          <w:rFonts w:asciiTheme="minorEastAsia" w:hAnsiTheme="minorEastAsia" w:eastAsiaTheme="minorEastAsia"/>
          <w:color w:val="auto"/>
          <w:highlight w:val="none"/>
        </w:rPr>
        <w:sectPr>
          <w:headerReference r:id="rId104" w:type="default"/>
          <w:footerReference r:id="rId105" w:type="default"/>
          <w:pgSz w:w="11906" w:h="16839"/>
          <w:pgMar w:top="1161" w:right="1761"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长不超过 2 年。</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19.4  进一步试验和试运行</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任何一项缺陷或损坏修复后，经检查证明其影响了工程或工程设备的使用性能，承包人 应重新进行合同约定的试验和试运行，试验和试运行的全部费用应由责任方承担。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19.5  承包人的进入权</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缺陷责任期内承包人为缺陷修复工作需要，有权进入工程现场，但应遵守发包人的保安 和保密规定。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19.6  缺陷责任期终止证书</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在第 1.1.4.5 目约定的缺陷责任期，包括根据第 19.3 款延长的期限终止后 14 天内，由 监理人向承包人出具经发包人签认的缺陷责任期终止证书，并退还剩余的质量保证金或退还 保函。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19.7  保修责任</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19.7.1  合同当事人根据有关法律法规规定明确工程质量保修范围、期限和责任。保修 期自实际竣工日期起计算。在全部工程竣工验收前，已经发包人提前验收的单位工程，其保 修期的起算日期相应提前。工程质量保修范围、期限和责任见合同条款专用部分。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19.7.2  质量保修书是竣工验收申请报告的组成内容。承包人应当按照有关法律法规规 定和合同所附的格式出具质量保修书，质量保修书的主要内容应当与本款上述约定内容一致。 承包人在递交合同条款第 18.2 款约定的竣工验收报告的同时，将质量保修书一并报送监理 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20.保险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20.1  工程保险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承包人应以发包人和承包人的共同名义向双方同意的保险人投保建筑工程一切险、安装 工程一切险。其具体的投保内容、保险金额、保险费率、保险期限等有关内容见合同条款专 用部分。</w:t>
      </w:r>
    </w:p>
    <w:p>
      <w:pPr>
        <w:spacing w:line="360" w:lineRule="auto"/>
        <w:ind w:firstLine="420" w:firstLineChars="200"/>
        <w:rPr>
          <w:rFonts w:asciiTheme="minorEastAsia" w:hAnsiTheme="minorEastAsia" w:eastAsiaTheme="minorEastAsia"/>
          <w:color w:val="auto"/>
          <w:highlight w:val="none"/>
        </w:rPr>
        <w:sectPr>
          <w:headerReference r:id="rId106" w:type="default"/>
          <w:footerReference r:id="rId107" w:type="default"/>
          <w:pgSz w:w="11906" w:h="16839"/>
          <w:pgMar w:top="1161" w:right="1623"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20.2  人员工伤事故的保险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20.2.1  承包人员工伤事故的保险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（1）承包人应依照有关法律法规规定参加工伤保险，为其履行合同所雇佣的全部人员 （包括专业分包人、劳务分包人使用的人员），在合同工程开工前应当一次性缴纳工伤保险 费。承包人在工程分包计费时，不得再向分包人另行计提、划拨工伤保险费。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（2）承包人工伤事故保险期限自合同工程开工之日起至合同终止之日止。 20.2.2  发包人员工伤事故的保险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发包人应依照有关法律法规规定参加工伤保险，为其现场机构雇佣的全部人员，缴纳工 伤保险费，并要求其监理人也进行此项保险。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20.3  人身意外伤害险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20.3.1  发包人应在整个施工期间为其现场机构雇用的全部人员，投保人身意外伤害险， 缴纳保险费，并要求其监理人也进行此项保险。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20.3.2  承包人应在整个施工期间为其现场机构雇用的全部人员，投保人身意外伤害险， 缴纳保险费，并要求其分包人也进行此项保险。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20.4  第三者责任险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20.4.1  第三者责任系指在保险期内，对因工程意外事故造成的、依法应由被保险人负 责的工地上及毗邻地区的第三者人身伤亡、疾病或财产损失（本工程除外）， 以及被保险人 因此而支付的诉讼费用和事先经保险人书面同意支付的其他费用等赔偿责任。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20.4.2  在缺陷责任期终止证书颁发前，承包人应以承包人和发包人的共同名义，投保 第 20.4.1 项约定的第三者责任险，其保险费率、保险金额、保险费承担人等有关内容见合 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20.5  其他保险</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承包人应为其施工设备、进场的材料和工程设备等办理保险。办理保险的险种见合同条 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  对各项保险的一般要求</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20.6.1  保险凭证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承包人应在合同约定的期限内向发包人提交各项保险生效的证据和保险单副本，保险单</w:t>
      </w:r>
    </w:p>
    <w:p>
      <w:pPr>
        <w:spacing w:line="360" w:lineRule="auto"/>
        <w:ind w:firstLine="420" w:firstLineChars="200"/>
        <w:rPr>
          <w:rFonts w:asciiTheme="minorEastAsia" w:hAnsiTheme="minorEastAsia" w:eastAsiaTheme="minorEastAsia"/>
          <w:color w:val="auto"/>
          <w:highlight w:val="none"/>
        </w:rPr>
        <w:sectPr>
          <w:headerReference r:id="rId108" w:type="default"/>
          <w:footerReference r:id="rId109"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必须与合同约定的条件保持一致。各项保险生效的证据和保险单副本的期限见合同条款专用 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20.6.2  保险合同条款的变动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承包人需要变动保险合同条款时，应事先征得发包人同意，并通知监理人。保险人作出 变动的，承包人应在收到保险人通知后立即通知发包人和监理人。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20.6.3  持续保险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承包人应与保险人保持联系，使保险人能够随时了解工程实施中的变动，并确保按保险 合同条款要求持续保险。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20.6.4  保险金不足的补偿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保险金不足以补偿损失的，应由承包人和（或）发包人按合同约定负责补偿。保险金不 足的补偿原则见合同条款专用部分。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20.6.5  未按约定投保的补救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 由于负有投保义务的一方当事人未按合同约定办理保险，或未能使保险持续有效 的，另一方当事人可代为办理，所需费用由对方当事人承担。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 由于负有投保义务的一方当事人未按合同约定办理某项保险，导致受益人未能得 到保险人的赔偿，原应从该项保险得到的保险金应由负有投保义务的一方当事人支付。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20.6.6  报告义务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当保险事故发生时，投保人应按照保险单规定的条件和期限及时向保险人报告。</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21.不可抗力</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21.1  不可抗力的确认</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21.1.1  不可抗力是指承包人和发包人在订立合同时不可预见，在工程施工过程中不可 避免发生并不能克服的自然灾害和社会性突发事件，如地震、海啸、瘟疫、水灾、骚乱、暴 动、战争和合同约定的其他情形。其他情形见合同条款专用部分。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21.1.2  不可抗力发生后，发包人和承包人应及时认真统计所造成的损失，收集不可抗 力造成损失的证据。合同双方对是否属于不可抗力或其损失的意见不一致的，由监理人按第 3.5 款商定或确定。发生争议时，按第 24 条的约定办理。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21.2  不可抗力的通知</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21.2.1  合同一方当事人遇到不可抗力事件，使其履行合同义务受到阻碍时，应立即通</w:t>
      </w:r>
    </w:p>
    <w:p>
      <w:pPr>
        <w:spacing w:line="360" w:lineRule="auto"/>
        <w:ind w:firstLine="420" w:firstLineChars="200"/>
        <w:rPr>
          <w:rFonts w:asciiTheme="minorEastAsia" w:hAnsiTheme="minorEastAsia" w:eastAsiaTheme="minorEastAsia"/>
          <w:color w:val="auto"/>
          <w:highlight w:val="none"/>
        </w:rPr>
        <w:sectPr>
          <w:headerReference r:id="rId110" w:type="default"/>
          <w:footerReference r:id="rId111" w:type="default"/>
          <w:pgSz w:w="11906" w:h="16839"/>
          <w:pgMar w:top="1161" w:right="178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知合同另一方当事人和监理人，书面说明不可抗力和受阻碍的详细情况，并提供必要的证明。</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21.2.2  如不可抗力持续发生，合同一方当事人应及时向合同另一方当事人和监理人提 交中间报告，说明不可抗力和履行合同受阻的情况，并于不可抗力事件结束后 28 天内提交 最终报告及有关资料。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21.3  不可抗力后果及其处理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21.3.1  不可抗力造成损害的责任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不可抗力导致的人员伤亡、财产损失、费用增加和（或）工期延误等后果，由合同双方 按以下原则承担：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（1）永久工程，包括已运至施工场地的材料和工程设备的损害， 以及因工程损害造成 的第三者人员伤亡和财产损失由发包人承担；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（2）承包人设备的损坏由承包人承担；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（3）发包人和承包人各自承担其人员伤亡和其他财产损失及其相关费用；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（4）承包人的停工损失由承包人承担，但停工期间应监理人要求照管工程和清理、修 复工程的金额由发包人承担；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（5）不能按期竣工的，应合理延长工期，承包人不需支付逾期竣工违约金。发包人要 求赶工的，承包人应采取赶工措施，赶工费用由发包人承担。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21.3.2  延迟履行期间发生的不可抗力</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合同一方当事人延迟履行，在延迟履行期间发生不可抗力的，不免除其责任。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21.3.3  避免和减少不可抗力损失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不可抗力发生后，发包人和承包人均应采取措施尽量避免和减少损失的扩大，任何一方 没有采取有效措施导致损失扩大的，应对扩大的损失承担责任。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21.3.4  因不可抗力解除合同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合同一方当事人因不可抗力不能履行合同的，应当及时通知对方解除合同。合同解除后， 承包人应按照第 22.2.5 项约定撤离施工场地。已经订货的材料、设备由订货方负责退货或 解除订货合同，不能退还的货款和因退货、解除订货合同发生的费用，由发包人承担，因未 及时退货造成的损失由责任方承担。合同解除后的付款，参照第 22.2.4 项约定， 由监理人 按第 3.5 款商定或确定。</w:t>
      </w:r>
    </w:p>
    <w:p>
      <w:pPr>
        <w:spacing w:line="360" w:lineRule="auto"/>
        <w:ind w:firstLine="420" w:firstLineChars="200"/>
        <w:rPr>
          <w:rFonts w:asciiTheme="minorEastAsia" w:hAnsiTheme="minorEastAsia" w:eastAsiaTheme="minorEastAsia"/>
          <w:color w:val="auto"/>
          <w:highlight w:val="none"/>
        </w:rPr>
        <w:sectPr>
          <w:headerReference r:id="rId112" w:type="default"/>
          <w:footerReference r:id="rId113" w:type="default"/>
          <w:pgSz w:w="11906" w:h="16839"/>
          <w:pgMar w:top="1161" w:right="1728"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22.违约</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  承包人违约</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22.1.1  承包人违约的情形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在履行合同过程中发生的下列情况属承包人违约：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（1）承包人违反第 1.8 款或第 4.3 款的约定，私自将合同的全部或部分权利转让给其 他人，或私自将合同的全部或部分义务转移给其他人；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（2）承包人违反第 5.3 款或第 6.4 款的约定，未经监理人批准，私自将已按合同约定 进入施工场地的施工设备、临时设施或材料撤离施工场地；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（3）承包人违反第 5.4 款的约定使用了不合格材料或工程设备，工程质量达不到标准 要求，又拒绝清除不合格工程；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（4）承包人未能按合同进度计划及时完成合同约定的工作，已造成或预期造成工期延 误；</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（5）承包人在缺陷责任期内，未能对工程接收证书所列的缺陷清单的内容或缺陷责任 期内发生的缺陷进行修复，而又拒绝按监理人指示再进行修补；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（6）承包人无法继续履行或明确表示不履行或实质上已停止履行合同；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（7）承包人不按合同约定履行义务的其他情况。</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22.1.2  对承包人违约的处理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（1）承包人发生第 22.1.1（6） 目约定的违约情况时，发包人可通知承包人立即解除 合同，并按有关法律处理。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（2）承包人发生除第 22.1.1（6） 目约定以外的其他违约情况时，监理人可向承包人 发出整改通知，要求其在指定的期限内改正。承包人应承担其违约所引起的费用增加和（或） 工期延误。</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（3）经检查证明承包人已采取了有效措施纠正违约行为，具备复工条件的，可由监理 人签发复工通知复工。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22.1.3  承包人违约解除合同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监理人发出整改通知 28 天后，承包人仍不纠正违约行为的，发包人可向承包人发出解 除合同通知。合同解除后，发包人可派员进驻施工场地，另行组织人员或委托其他承包人施 工。发包人因继续完成该工程的需要，有权扣留使用承包人在现场的材料、设备和临时设施。 但发包人的这一行动不免除承包人应承担的违约责任，也不影响发包人根据合同约定享有的</w:t>
      </w:r>
    </w:p>
    <w:p>
      <w:pPr>
        <w:spacing w:line="360" w:lineRule="auto"/>
        <w:ind w:firstLine="420" w:firstLineChars="200"/>
        <w:rPr>
          <w:rFonts w:asciiTheme="minorEastAsia" w:hAnsiTheme="minorEastAsia" w:eastAsiaTheme="minorEastAsia"/>
          <w:color w:val="auto"/>
          <w:highlight w:val="none"/>
        </w:rPr>
        <w:sectPr>
          <w:headerReference r:id="rId114" w:type="default"/>
          <w:footerReference r:id="rId115" w:type="default"/>
          <w:pgSz w:w="11906" w:h="16839"/>
          <w:pgMar w:top="1161" w:right="170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索赔权利。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22.1.4  合同解除后的估价、付款和结清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（1）合同解除后，监理人按第 3.5 款商定或确定承包人实际完成工作的价值，以及承 包人已提供的材料、施工设备、工程设备和临时工程等的价值。</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（2）合同解除后，发包人应暂停对承包人的一切付款，查清各项付款和已扣款金额， 包括承包人应支付的违约金。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（3）合同解除后，发包人应按第 23.4 款的约定向承包人索赔由于解除合同给发包人造 成的损失。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（4）合同双方确认上述往来款项后，出具最终结清付款证书，结清全部合同款项。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（5）发包人和承包人未能就解除合同后的结清达成一致而形成争议的，按第 24 条的约 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22.1.5  协议利益的转让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因承包人违约解除合同的，发包人有权要求承包人将其为实施合同而签订的材料和设备 的订货协议或任何服务协议利益转让给发包人，并在解除合同后的 14 天内，依法办理转让 手续。</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22.1.6  紧急情况下无能力或不愿进行抢救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在工程实施期间或缺陷责任期内发生危及工程安全的事件，监理人通知承包人进行抢救， 承包人声明无能力或不愿立即执行的，发包人有权雇佣其他人员进行抢救。此类抢救按合同 约定属于承包人义务的，由此发生的金额和（或）工期延误由承包人承担。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22.2  发包人违约</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22.2.1  发包人违约的情形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在履行合同过程中发生的下列情形，属发包人违约：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（1）发包人未能按合同约定支付预付款或合同价款，或拖延、拒绝批准付款申请和支 付凭证，导致付款延误的；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（2）发包人原因造成停工的；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（3）监理人无正当理由没有在约定期限内发出复工指示，导致承包人无法复工的；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（4）发包人无法继续履行或明确表示不履行或实质上已停止履行合同的；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（5）发包人不履行合同约定其他义务的。</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22.2.2  承包人有权暂停施工</w:t>
      </w:r>
    </w:p>
    <w:p>
      <w:pPr>
        <w:spacing w:line="360" w:lineRule="auto"/>
        <w:ind w:firstLine="420" w:firstLineChars="200"/>
        <w:rPr>
          <w:rFonts w:asciiTheme="minorEastAsia" w:hAnsiTheme="minorEastAsia" w:eastAsiaTheme="minorEastAsia"/>
          <w:color w:val="auto"/>
          <w:highlight w:val="none"/>
        </w:rPr>
        <w:sectPr>
          <w:headerReference r:id="rId116" w:type="default"/>
          <w:footerReference r:id="rId117" w:type="default"/>
          <w:pgSz w:w="11906" w:h="16839"/>
          <w:pgMar w:top="1161" w:right="1639"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发包人发生除第 22.2.1（4） 目以外的违约情况时，承包人可向发包人发出通知，要求 发包人采取有效措施纠正违约行为。发包人收到承包人通知后的 28 天内仍不履行合同义务， 承包人有权暂停施工，并通知监理人，发包人应承担由此增加的费用和（或）工期延误，并 支付承包人合理利润。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22.2.3  发包人违约解除合同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（1）发生第 22.2.1（4） 目的违约情况时，承包人可书面通知发包人解除合同。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（2）承包人按第 22.2.2 项暂停施工 28 天后，发包人仍不纠正违约行为的，承包人可 向发包人发出解除合同通知。但承包人的这一行动不免除发包人承担的违约责任，也不影响 承包人根据合同约定享有的索赔权利。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22.2.4  解除合同后的付款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因发包人违约解除合同的，发包人应在解除合同后 28 天内向承包人支付下列金额，承 包人应在此期限内及时向发包人提交要求支付下列金额的有关资料和凭证：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（1）合同解除日以前所完成工作的价款；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（2）承包人为该工程施工订购并已付款的材料、工程设备和其他物品的金额。发包人 付还后，该材料、工程设备和其他物品归发包人所有；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（3）承包人为完成工程所发生的，而发包人未支付的金额；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（4）承包人撤离施工场地以及遣散承包人人员的金额；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 由于解除合同应赔偿的承包人损失；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（6）按合同约定在合同解除日前应支付给承包人的其他金额。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发包人应按本项约定支付上述金额并退还质量保证金或退还质量保证金保函和履约担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保，但有权要求承包人支付应偿还给发包人的各项金额。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22.2.5  解除合同后的承包人撤离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因发包人违约而解除合同后，承包人应妥善做好已竣工工程和已购材料、设备的保护和 移交工作，按发包人要求将承包人设备和人员撤出施工场地。承包人撤出施工场地应遵守第 18.7.1 项的约定，发包人应为承包人撤出提供必要条件。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22.3  第三人造成的违约</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在履行合同过程中，一方当事人因第三人的原因造成违约的，应当向对方当事人承担违 约责任。一方当事人和第三人之间的纠纷，依照法律规定或者按照约定解决。</w:t>
      </w:r>
    </w:p>
    <w:p>
      <w:pPr>
        <w:spacing w:line="360" w:lineRule="auto"/>
        <w:ind w:firstLine="420" w:firstLineChars="200"/>
        <w:rPr>
          <w:rFonts w:asciiTheme="minorEastAsia" w:hAnsiTheme="minorEastAsia" w:eastAsiaTheme="minorEastAsia"/>
          <w:color w:val="auto"/>
          <w:highlight w:val="none"/>
        </w:rPr>
        <w:sectPr>
          <w:headerReference r:id="rId118" w:type="default"/>
          <w:footerReference r:id="rId119" w:type="default"/>
          <w:pgSz w:w="11906" w:h="16839"/>
          <w:pgMar w:top="1161" w:right="1744"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23.索赔</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23.1  承包人索赔的提出</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根据合同约定，承包人认为有权得到追加付款和（或）延长工期的，应按以下程序向发 包人提出索赔：</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（1）承包人应在知道或应当知道索赔事件发生后 28 天内，向监理人递交索赔意向通知 书，并说明发生索赔事件的事由。承包人未在前述 28 天内发出索赔意向通知书的，丧失要 求追加付款和（或）延长工期的权利；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（2）承包人应在发出索赔意向通知书后 28 天内，向监理人正式递交索赔通知书。索赔 通知书应详细说明索赔理由以及要求追加的付款金额和（或）延长的工期，并附必要的记录 和证明材料；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（3）索赔事件具有连续影响的，承包人应按合理时间间隔继续递交延续索赔通知，说 明连续影响的实际情况和记录，列出累计的追加付款金额和（或）工期延长天数；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（4）在索赔事件影响结束后的 28 天内，承包人应向监理人递交最终索赔通知书，说明 最终要求索赔的追加付款金额和延长的工期，并附必要的记录和证明材料。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23.2  承包人索赔处理程序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（1）监理人收到承包人提交的索赔通知书后，应及时审查索赔通知书的内容、查验承 包人的记录和证明材料，必要时监理人可要求承包人提交全部原始记录副本。</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（2）监理人应按第 3.5 款商定或确定追加的付款和（或）延长的工期，并在收到上述 索赔通知书或有关索赔的进一步证明材料后的 42 天内，将索赔处理结果答复承包人。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（3）承包人接受索赔处理结果的，发包人应在作出索赔处理结果答复后 28 天内完成赔 付。承包人不接受索赔处理结果的，按第 24 条的约定办理。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23.3  承包人提出索赔的期限</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23.3.1  承包人按第 17.5 款的约定接受了竣工付款证书后，应被认为已无权再提出在 合同工程接收证书颁发前所发生的任何索赔。</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23.3.2  承包人按第 17.6 款的约定提交的最终结清申请单中，只限于提出工程接收证 书颁发后发生的索赔。提出索赔的期限自接受最终结清证书时终止。</w:t>
      </w:r>
    </w:p>
    <w:p>
      <w:pPr>
        <w:spacing w:line="360" w:lineRule="auto"/>
        <w:ind w:firstLine="420" w:firstLineChars="200"/>
        <w:rPr>
          <w:rFonts w:asciiTheme="minorEastAsia" w:hAnsiTheme="minorEastAsia" w:eastAsiaTheme="minorEastAsia"/>
          <w:color w:val="auto"/>
          <w:highlight w:val="none"/>
        </w:rPr>
        <w:sectPr>
          <w:headerReference r:id="rId120" w:type="default"/>
          <w:footerReference r:id="rId121" w:type="default"/>
          <w:pgSz w:w="11906" w:h="16839"/>
          <w:pgMar w:top="1161" w:right="1785"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23.4  发包人的索赔</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23.4.1  发生索赔事件后，监理人应及时书面通知承包人，详细说明发包人有权得到的 索赔金额和（或）延长缺陷责任期的细节和依据。发包人提出索赔的期限和要求与第 23.3 款的约定相同，延长缺陷责任期的通知应在缺陷责任期届满前发出。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23.4.2  监理人按第 3.5 款商定或确定发包人从承包人处得到赔付的金额和（或）缺陷 责任期的延长期。承包人应付给发包人的金额可从拟支付给承包人的合同价款中扣除，或由 承包人以其他方式支付给发包人。</w:t>
      </w:r>
    </w:p>
    <w:p>
      <w:pPr>
        <w:spacing w:line="360" w:lineRule="auto"/>
        <w:ind w:firstLine="420" w:firstLineChars="200"/>
        <w:rPr>
          <w:rFonts w:asciiTheme="minorEastAsia" w:hAnsiTheme="minorEastAsia" w:eastAsiaTheme="minorEastAsia"/>
          <w:color w:val="auto"/>
          <w:highlight w:val="none"/>
        </w:rPr>
      </w:pPr>
      <w:bookmarkStart w:id="716" w:name="_bookmark251"/>
      <w:bookmarkEnd w:id="716"/>
      <w:r>
        <w:rPr>
          <w:rFonts w:hint="eastAsia" w:asciiTheme="minorEastAsia" w:hAnsiTheme="minorEastAsia" w:eastAsiaTheme="minorEastAsia"/>
          <w:color w:val="auto"/>
          <w:highlight w:val="none"/>
        </w:rPr>
        <w:t>24.争议的解决</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24.1  争议的解决方式</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发包人和承包人在履行合同中发生争议的，可以友好协商解决或者提请争议评审组评审。 合同当事人友好协商解决不成、不愿提请争议评审或者不接受争议评审组意见的，可在合同 条款专用部分中约定下列一种方式解决。</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（1）向约定的仲裁委员会申请仲裁；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（2）向有管辖权的人民法院提起诉讼。</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24.2  友好解决</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在提请争议评审、仲裁或者诉讼前，以及在争议评审、仲裁或诉讼过程中，发包人和承包人均可共同努力友好协商解决争议。</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  争议评审</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24.3.1  采用争议评审的，发包人和承包人应在开工日后的 28 天内或在争议发生后， 协商成立争议评审组。争议评审组由有合同管理和工程实践经验的专家组成。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24.3.2  合同双方的争议，应首先由申请人向争议评审组提交一份详细的评审申请报告， 并附必要的文件、图纸和证明材料，申请人还应将上述报告的副本同时提交给被申请人和监 理人。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24.3.3  被申请人在收到申请人评审申请报告副本后的 28 天内，向争议评审组提交一 份答辩报告，并附证明材料。被申请人应将答辩报告的副本同时提交给申请人和监理人。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24.3.4  争议评审组在收到合同双方报告后的 14 天内，邀请双方代表和有关人员在合 同约定的期限内举行调查会，向双方调查争议细节；必要时争议评审组可要求双方进一步提</w:t>
      </w:r>
    </w:p>
    <w:p>
      <w:pPr>
        <w:spacing w:line="360" w:lineRule="auto"/>
        <w:ind w:firstLine="420" w:firstLineChars="200"/>
        <w:rPr>
          <w:rFonts w:asciiTheme="minorEastAsia" w:hAnsiTheme="minorEastAsia" w:eastAsiaTheme="minorEastAsia"/>
          <w:color w:val="auto"/>
          <w:highlight w:val="none"/>
        </w:rPr>
        <w:sectPr>
          <w:headerReference r:id="rId122" w:type="default"/>
          <w:footerReference r:id="rId123" w:type="default"/>
          <w:pgSz w:w="11906" w:h="16839"/>
          <w:pgMar w:top="1161" w:right="1623" w:bottom="1156" w:left="1785" w:header="878" w:footer="996" w:gutter="0"/>
          <w:cols w:space="720" w:num="1"/>
        </w:sect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供补充材料。举行调查会的期限见合同条款专用部分。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24.3.5  在调查会结束后的 14 天内，争议评审组应在不受任何干扰的情况下进行独立、 公正的评审，在合同约定的期限内作出书面评审意见，并说明理由。在争议评审期间，争议 双方暂按总监理工程师的确定执行。争议评审组作出争议评审意见的期限见合同条款专用部 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24.3.6  发包人和承包人接受评审意见的，由监理人根据评审意见拟定执行协议，经争 议双方签字后作为合同的补充文件，并遵照执行。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24.3.7  发包人或承包人不接受评审意见，并要求提交仲裁或提起诉讼的，应在收到评 审意见后的 14 天内将仲裁或起诉意向书面通知另一方，并抄送监理人，但在仲裁或诉讼结 束前应暂按总监理工程师的确定执行。</w:t>
      </w:r>
    </w:p>
    <w:p>
      <w:pPr>
        <w:spacing w:line="360" w:lineRule="auto"/>
        <w:ind w:firstLine="420" w:firstLineChars="200"/>
        <w:rPr>
          <w:rFonts w:asciiTheme="minorEastAsia" w:hAnsiTheme="minorEastAsia" w:eastAsiaTheme="minorEastAsia"/>
          <w:color w:val="auto"/>
          <w:highlight w:val="none"/>
        </w:rPr>
        <w:sectPr>
          <w:headerReference r:id="rId124" w:type="default"/>
          <w:footerReference r:id="rId125" w:type="default"/>
          <w:pgSz w:w="11906" w:h="16839"/>
          <w:pgMar w:top="1161" w:right="1728" w:bottom="1156" w:left="1785" w:header="878" w:footer="996" w:gutter="0"/>
          <w:cols w:space="720" w:num="1"/>
        </w:sectPr>
      </w:pPr>
    </w:p>
    <w:p>
      <w:pPr>
        <w:keepNext/>
        <w:keepLines/>
        <w:spacing w:before="120" w:beforeLines="50" w:after="120" w:afterLines="50" w:line="360" w:lineRule="auto"/>
        <w:outlineLvl w:val="1"/>
        <w:rPr>
          <w:rFonts w:asciiTheme="minorEastAsia" w:hAnsiTheme="minorEastAsia" w:eastAsiaTheme="minorEastAsia"/>
          <w:color w:val="auto"/>
          <w:sz w:val="24"/>
          <w:szCs w:val="20"/>
          <w:highlight w:val="none"/>
        </w:rPr>
      </w:pPr>
      <w:r>
        <w:rPr>
          <w:rFonts w:hint="eastAsia" w:asciiTheme="minorEastAsia" w:hAnsiTheme="minorEastAsia" w:eastAsiaTheme="minorEastAsia"/>
          <w:color w:val="auto"/>
          <w:sz w:val="24"/>
          <w:szCs w:val="20"/>
          <w:highlight w:val="none"/>
        </w:rPr>
        <w:t>附件一：合同协议书</w:t>
      </w:r>
      <w:bookmarkEnd w:id="665"/>
      <w:bookmarkEnd w:id="666"/>
      <w:bookmarkEnd w:id="667"/>
      <w:bookmarkEnd w:id="668"/>
      <w:bookmarkEnd w:id="669"/>
      <w:bookmarkEnd w:id="670"/>
    </w:p>
    <w:p>
      <w:pPr>
        <w:spacing w:line="360" w:lineRule="auto"/>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合同协议书</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编号：</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发包人（全称）：</w:t>
      </w:r>
      <w:r>
        <w:rPr>
          <w:rFonts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szCs w:val="21"/>
          <w:highlight w:val="none"/>
          <w:u w:val="single"/>
          <w:lang w:val="en-US" w:eastAsia="zh-CN"/>
        </w:rPr>
        <w:t xml:space="preserve">                            </w:t>
      </w:r>
      <w:r>
        <w:rPr>
          <w:rFonts w:hint="eastAsia" w:cs="Arial"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w:t>
      </w:r>
      <w:r>
        <w:rPr>
          <w:rFonts w:asciiTheme="minorEastAsia" w:hAnsiTheme="minorEastAsia" w:eastAsiaTheme="minorEastAsia"/>
          <w:color w:val="auto"/>
          <w:sz w:val="18"/>
          <w:highlight w:val="none"/>
        </w:rPr>
        <w:t xml:space="preserve"> </w:t>
      </w:r>
      <w:r>
        <w:rPr>
          <w:rFonts w:hint="eastAsia" w:asciiTheme="minorEastAsia" w:hAnsiTheme="minorEastAsia" w:eastAsiaTheme="minorEastAsia"/>
          <w:color w:val="auto"/>
          <w:highlight w:val="none"/>
        </w:rPr>
        <w:t>定</w:t>
      </w:r>
      <w:r>
        <w:rPr>
          <w:rFonts w:asciiTheme="minorEastAsia" w:hAnsiTheme="minorEastAsia" w:eastAsiaTheme="minorEastAsia"/>
          <w:color w:val="auto"/>
          <w:sz w:val="13"/>
          <w:highlight w:val="none"/>
        </w:rPr>
        <w:t xml:space="preserve"> </w:t>
      </w:r>
      <w:r>
        <w:rPr>
          <w:rFonts w:hint="eastAsia" w:asciiTheme="minorEastAsia" w:hAnsiTheme="minorEastAsia" w:eastAsiaTheme="minorEastAsia"/>
          <w:color w:val="auto"/>
          <w:highlight w:val="none"/>
        </w:rPr>
        <w:t>代</w:t>
      </w:r>
      <w:r>
        <w:rPr>
          <w:rFonts w:asciiTheme="minorEastAsia" w:hAnsiTheme="minorEastAsia" w:eastAsiaTheme="minorEastAsia"/>
          <w:color w:val="auto"/>
          <w:sz w:val="13"/>
          <w:highlight w:val="none"/>
        </w:rPr>
        <w:t xml:space="preserve"> </w:t>
      </w:r>
      <w:r>
        <w:rPr>
          <w:rFonts w:hint="eastAsia" w:asciiTheme="minorEastAsia" w:hAnsiTheme="minorEastAsia" w:eastAsiaTheme="minorEastAsia"/>
          <w:color w:val="auto"/>
          <w:highlight w:val="none"/>
        </w:rPr>
        <w:t>表</w:t>
      </w:r>
      <w:r>
        <w:rPr>
          <w:rFonts w:asciiTheme="minorEastAsia" w:hAnsiTheme="minorEastAsia" w:eastAsiaTheme="minorEastAsia"/>
          <w:color w:val="auto"/>
          <w:sz w:val="13"/>
          <w:highlight w:val="none"/>
        </w:rPr>
        <w:t xml:space="preserve"> </w:t>
      </w:r>
      <w:r>
        <w:rPr>
          <w:rFonts w:hint="eastAsia" w:asciiTheme="minorEastAsia" w:hAnsiTheme="minorEastAsia" w:eastAsiaTheme="minorEastAsia"/>
          <w:color w:val="auto"/>
          <w:highlight w:val="none"/>
        </w:rPr>
        <w:t>人：</w:t>
      </w:r>
      <w:r>
        <w:rPr>
          <w:rFonts w:asciiTheme="minorEastAsia" w:hAnsiTheme="minorEastAsia" w:eastAsiaTheme="minorEastAsia"/>
          <w:color w:val="auto"/>
          <w:highlight w:val="none"/>
          <w:u w:val="single"/>
        </w:rPr>
        <w:t xml:space="preserve">    </w:t>
      </w:r>
      <w:r>
        <w:rPr>
          <w:rFonts w:hint="eastAsia" w:ascii="宋体" w:hAnsi="宋体" w:cs="宋体"/>
          <w:color w:val="auto"/>
          <w:spacing w:val="1"/>
          <w:sz w:val="23"/>
          <w:szCs w:val="23"/>
          <w:highlight w:val="none"/>
          <w:u w:val="single"/>
          <w:lang w:val="en-US" w:eastAsia="zh-CN"/>
        </w:rPr>
        <w:t xml:space="preserve">     </w:t>
      </w:r>
      <w:r>
        <w:rPr>
          <w:rFonts w:hint="eastAsia" w:ascii="宋体" w:hAnsi="宋体" w:cs="宋体"/>
          <w:color w:val="auto"/>
          <w:spacing w:val="1"/>
          <w:sz w:val="23"/>
          <w:szCs w:val="23"/>
          <w:highlight w:val="none"/>
          <w:u w:val="single"/>
        </w:rPr>
        <w:t xml:space="preserve">   </w:t>
      </w:r>
      <w:r>
        <w:rPr>
          <w:rFonts w:hint="eastAsia" w:ascii="宋体" w:hAnsi="宋体"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法定注册地址：</w:t>
      </w:r>
      <w:r>
        <w:rPr>
          <w:rFonts w:asciiTheme="minorEastAsia" w:hAnsiTheme="minorEastAsia" w:eastAsiaTheme="minorEastAsia"/>
          <w:color w:val="auto"/>
          <w:highlight w:val="none"/>
          <w:u w:val="single"/>
        </w:rPr>
        <w:t xml:space="preserve">     </w:t>
      </w:r>
      <w:r>
        <w:rPr>
          <w:rFonts w:hint="eastAsia" w:ascii="宋体" w:hAnsi="宋体" w:cs="宋体"/>
          <w:color w:val="auto"/>
          <w:spacing w:val="3"/>
          <w:sz w:val="23"/>
          <w:szCs w:val="23"/>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承包人（全称）：</w:t>
      </w:r>
      <w:r>
        <w:rPr>
          <w:rFonts w:asciiTheme="minorEastAsia" w:hAnsiTheme="minorEastAsia" w:eastAsiaTheme="minorEastAsia"/>
          <w:color w:val="auto"/>
          <w:highlight w:val="none"/>
          <w:u w:val="single"/>
        </w:rPr>
        <w:t xml:space="preserve">   </w:t>
      </w:r>
      <w:r>
        <w:rPr>
          <w:rFonts w:hint="eastAsia" w:ascii="宋体" w:hAnsi="宋体"/>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w:t>
      </w:r>
      <w:r>
        <w:rPr>
          <w:rFonts w:asciiTheme="minorEastAsia" w:hAnsiTheme="minorEastAsia" w:eastAsiaTheme="minorEastAsia"/>
          <w:color w:val="auto"/>
          <w:sz w:val="18"/>
          <w:highlight w:val="none"/>
        </w:rPr>
        <w:t xml:space="preserve"> </w:t>
      </w:r>
      <w:r>
        <w:rPr>
          <w:rFonts w:hint="eastAsia" w:asciiTheme="minorEastAsia" w:hAnsiTheme="minorEastAsia" w:eastAsiaTheme="minorEastAsia"/>
          <w:color w:val="auto"/>
          <w:highlight w:val="none"/>
        </w:rPr>
        <w:t>定</w:t>
      </w:r>
      <w:r>
        <w:rPr>
          <w:rFonts w:asciiTheme="minorEastAsia" w:hAnsiTheme="minorEastAsia" w:eastAsiaTheme="minorEastAsia"/>
          <w:color w:val="auto"/>
          <w:sz w:val="13"/>
          <w:highlight w:val="none"/>
        </w:rPr>
        <w:t xml:space="preserve"> </w:t>
      </w:r>
      <w:r>
        <w:rPr>
          <w:rFonts w:hint="eastAsia" w:asciiTheme="minorEastAsia" w:hAnsiTheme="minorEastAsia" w:eastAsiaTheme="minorEastAsia"/>
          <w:color w:val="auto"/>
          <w:highlight w:val="none"/>
        </w:rPr>
        <w:t>代</w:t>
      </w:r>
      <w:r>
        <w:rPr>
          <w:rFonts w:asciiTheme="minorEastAsia" w:hAnsiTheme="minorEastAsia" w:eastAsiaTheme="minorEastAsia"/>
          <w:color w:val="auto"/>
          <w:sz w:val="13"/>
          <w:highlight w:val="none"/>
        </w:rPr>
        <w:t xml:space="preserve"> </w:t>
      </w:r>
      <w:r>
        <w:rPr>
          <w:rFonts w:hint="eastAsia" w:asciiTheme="minorEastAsia" w:hAnsiTheme="minorEastAsia" w:eastAsiaTheme="minorEastAsia"/>
          <w:color w:val="auto"/>
          <w:highlight w:val="none"/>
        </w:rPr>
        <w:t>表</w:t>
      </w:r>
      <w:r>
        <w:rPr>
          <w:rFonts w:asciiTheme="minorEastAsia" w:hAnsiTheme="minorEastAsia" w:eastAsiaTheme="minorEastAsia"/>
          <w:color w:val="auto"/>
          <w:sz w:val="13"/>
          <w:highlight w:val="none"/>
        </w:rPr>
        <w:t xml:space="preserve"> </w:t>
      </w:r>
      <w:r>
        <w:rPr>
          <w:rFonts w:hint="eastAsia" w:asciiTheme="minorEastAsia" w:hAnsiTheme="minorEastAsia" w:eastAsiaTheme="minorEastAsia"/>
          <w:color w:val="auto"/>
          <w:highlight w:val="none"/>
        </w:rPr>
        <w:t>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法定注册地址：</w:t>
      </w:r>
      <w:r>
        <w:rPr>
          <w:rFonts w:asciiTheme="minorEastAsia" w:hAnsiTheme="minorEastAsia" w:eastAsiaTheme="minorEastAsia"/>
          <w:color w:val="auto"/>
          <w:highlight w:val="none"/>
          <w:u w:val="single"/>
        </w:rPr>
        <w:t xml:space="preserve">    </w:t>
      </w:r>
      <w:r>
        <w:rPr>
          <w:rFonts w:hint="eastAsia" w:ascii="宋体" w:hAnsi="宋体" w:cs="华文中宋"/>
          <w:bCs/>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ind w:firstLine="49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发包人为建设</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一、工程概况</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工程名称：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工程地点：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工程内容：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施工图纸范围内的所有工作内容及招标人要求的所有工作。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群体工程应附“承包人承揽工程项目一览表”（附件二）</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工程立项批准文号：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资金来源：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政府资金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二、工程承包范围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承包范围：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施工图纸范围内的所有工作内容及招标人要求的所有工作。                              </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详细承包范围见第五章“技术标准和要求”。</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三、合同工期</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计划开工日期：</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计划竣工日期：</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工期总日历天数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天，自监理人发出的开工通知中载明的开工日期起算。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四、质量标准</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工程质量标准：</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合格</w:t>
      </w:r>
      <w:r>
        <w:rPr>
          <w:rFonts w:asciiTheme="minorEastAsia" w:hAnsiTheme="minorEastAsia" w:eastAsiaTheme="minorEastAsia"/>
          <w:color w:val="auto"/>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五、合同形式</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本合同采用</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合同形式。</w:t>
      </w:r>
    </w:p>
    <w:p>
      <w:pPr>
        <w:spacing w:line="360" w:lineRule="auto"/>
        <w:ind w:firstLine="420" w:firstLineChars="200"/>
        <w:rPr>
          <w:rFonts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六、签约合同价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金额（大写）：</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（人民币）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（小写）￥：</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pPr>
        <w:spacing w:line="360" w:lineRule="auto"/>
        <w:ind w:firstLine="630" w:firstLineChars="3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其中：安全文明施工费：</w:t>
      </w:r>
      <w:r>
        <w:rPr>
          <w:rFonts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szCs w:val="21"/>
          <w:highlight w:val="none"/>
          <w:u w:val="single"/>
          <w:lang w:val="en-US" w:eastAsia="zh-CN"/>
        </w:rPr>
        <w:t xml:space="preserve">         </w:t>
      </w:r>
      <w:r>
        <w:rPr>
          <w:rFonts w:hint="eastAsia" w:cs="Arial"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pPr>
        <w:wordWrap w:val="0"/>
        <w:spacing w:line="360" w:lineRule="auto"/>
        <w:ind w:left="1260" w:leftChars="6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建筑垃圾运输处置费：</w:t>
      </w:r>
      <w:r>
        <w:rPr>
          <w:rFonts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pPr>
        <w:spacing w:line="360" w:lineRule="auto"/>
        <w:ind w:firstLine="1260" w:firstLineChars="6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暂列金额（除税）：</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pPr>
        <w:spacing w:line="360" w:lineRule="auto"/>
        <w:ind w:firstLine="1260" w:firstLineChars="600"/>
        <w:rPr>
          <w:rFonts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专业工程暂估价</w:t>
      </w:r>
      <w:r>
        <w:rPr>
          <w:rFonts w:hint="eastAsia" w:asciiTheme="minorEastAsia" w:hAnsiTheme="minorEastAsia" w:eastAsiaTheme="minorEastAsia"/>
          <w:color w:val="auto"/>
          <w:highlight w:val="none"/>
        </w:rPr>
        <w:t>（除税）</w:t>
      </w:r>
      <w:r>
        <w:rPr>
          <w:rFonts w:hint="eastAsia" w:asciiTheme="minorEastAsia" w:hAnsiTheme="minorEastAsia" w:eastAsiaTheme="minorEastAsia"/>
          <w:bCs/>
          <w:color w:val="auto"/>
          <w:highlight w:val="non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w:t>
      </w:r>
    </w:p>
    <w:p>
      <w:pPr>
        <w:spacing w:line="360" w:lineRule="auto"/>
        <w:ind w:firstLine="1274" w:firstLineChars="607"/>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七、承包人项目经理：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姓名：</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职称：</w:t>
      </w:r>
      <w:r>
        <w:rPr>
          <w:rFonts w:asciiTheme="minorEastAsia" w:hAnsiTheme="minorEastAsia" w:eastAsiaTheme="minorEastAsia"/>
          <w:color w:val="auto"/>
          <w:highlight w:val="none"/>
          <w:u w:val="single"/>
        </w:rPr>
        <w:t xml:space="preserve">    </w:t>
      </w:r>
      <w:r>
        <w:rPr>
          <w:rFonts w:hint="eastAsia" w:ascii="宋体" w:hAnsi="宋体" w:cs="华文中宋"/>
          <w:color w:val="auto"/>
          <w:highlight w:val="none"/>
          <w:u w:val="single"/>
          <w:lang w:val="en-US" w:eastAsia="zh-CN"/>
        </w:rPr>
        <w:t xml:space="preserve"> </w:t>
      </w:r>
      <w:r>
        <w:rPr>
          <w:rFonts w:hint="eastAsia" w:ascii="宋体" w:hAnsi="宋体" w:cs="华文中宋"/>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身份证号：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建造师执业资格证书号：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建造师注册证书号：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建造师执业印章号：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安全生产考核合格证书号：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八、合同文件的组成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下列文件共同构成合同文件：</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、本协议书；</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、中标通知书；</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、投标函及投标函附录；</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、合同条款专用部分；</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、合同条款通用部分；</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、技术标准和要求；</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、图纸；</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、已标价工程量清单；</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9</w:t>
      </w:r>
      <w:r>
        <w:rPr>
          <w:rFonts w:hint="eastAsia" w:asciiTheme="minorEastAsia" w:hAnsiTheme="minorEastAsia" w:eastAsiaTheme="minorEastAsia"/>
          <w:color w:val="auto"/>
          <w:highlight w:val="none"/>
        </w:rPr>
        <w:t>、其他合同文件。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上述文件互相补充和解释，如有不明确或不一致之处，以合同约定次序在先者为准。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九、本协议书中有关词语定义与合同条款中的定义相同。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十、承包人承诺按照合同约定进行施工、竣工、交付并承担质量缺陷保修责任。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十一、发包人承诺按照合同约定的条件、期限和方式向承包人支付合同价款。</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十二、本协议书连同其他合同文件正本一式两份，合同双方各执一份；副本一式</w:t>
      </w:r>
      <w:r>
        <w:rPr>
          <w:rFonts w:hint="eastAsia" w:asciiTheme="minorEastAsia" w:hAnsiTheme="minorEastAsia" w:eastAsiaTheme="minorEastAsia"/>
          <w:color w:val="auto"/>
          <w:highlight w:val="none"/>
          <w:u w:val="single"/>
        </w:rPr>
        <w:t>肆</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份，其中一份在合同报送建设行政主管部门备案时留存。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十三、合同未尽事宜，双方另行签订补充协议，但不得背离本协议第八条所约定的合同文件的实质性内容。补充协议是合同文件的组成部分。</w:t>
      </w:r>
    </w:p>
    <w:p>
      <w:pPr>
        <w:spacing w:line="360" w:lineRule="auto"/>
        <w:rPr>
          <w:rFonts w:asciiTheme="minorEastAsia" w:hAnsiTheme="minorEastAsia" w:eastAsiaTheme="minorEastAsia"/>
          <w:color w:val="auto"/>
          <w:highlight w:val="none"/>
          <w:u w:val="single"/>
        </w:rPr>
      </w:pPr>
    </w:p>
    <w:p>
      <w:pPr>
        <w:spacing w:line="360" w:lineRule="auto"/>
        <w:rPr>
          <w:rFonts w:asciiTheme="minorEastAsia" w:hAnsiTheme="minorEastAsia" w:eastAsiaTheme="minorEastAsia"/>
          <w:bCs/>
          <w:color w:val="auto"/>
          <w:highlight w:val="none"/>
        </w:rPr>
      </w:pPr>
    </w:p>
    <w:p>
      <w:pPr>
        <w:spacing w:line="360" w:lineRule="auto"/>
        <w:jc w:val="right"/>
        <w:rPr>
          <w:rFonts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发包人：</w:t>
      </w:r>
      <w:r>
        <w:rPr>
          <w:rFonts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highlight w:val="none"/>
        </w:rPr>
        <w:t>（盖单位章）</w:t>
      </w:r>
      <w:r>
        <w:rPr>
          <w:rFonts w:asciiTheme="minorEastAsia" w:hAnsiTheme="minorEastAsia" w:eastAsiaTheme="minorEastAsia"/>
          <w:bCs/>
          <w:color w:val="auto"/>
          <w:highlight w:val="none"/>
        </w:rPr>
        <w:t xml:space="preserve"> </w:t>
      </w:r>
      <w:r>
        <w:rPr>
          <w:rFonts w:hint="eastAsia" w:asciiTheme="minorEastAsia" w:hAnsiTheme="minorEastAsia" w:eastAsiaTheme="minorEastAsia"/>
          <w:bCs/>
          <w:color w:val="auto"/>
          <w:highlight w:val="none"/>
        </w:rPr>
        <w:t>承包人：</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（盖单位章）</w:t>
      </w:r>
    </w:p>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法定代表人或其</w:t>
      </w:r>
      <w:r>
        <w:rPr>
          <w:rFonts w:asciiTheme="minorEastAsia" w:hAnsiTheme="minorEastAsia" w:eastAsiaTheme="minorEastAsia"/>
          <w:color w:val="auto"/>
          <w:highlight w:val="none"/>
        </w:rPr>
        <w:t xml:space="preserve">                           </w:t>
      </w:r>
      <w:r>
        <w:rPr>
          <w:rFonts w:hint="eastAsia" w:asciiTheme="minorEastAsia" w:hAnsiTheme="minorEastAsia" w:eastAsiaTheme="minorEastAsia"/>
          <w:bCs/>
          <w:color w:val="auto"/>
          <w:highlight w:val="none"/>
        </w:rPr>
        <w:t>法定代表人或其</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r>
        <w:rPr>
          <w:rFonts w:asciiTheme="minorEastAsia" w:hAnsiTheme="minorEastAsia" w:eastAsiaTheme="minorEastAsia"/>
          <w:color w:val="auto"/>
          <w:highlight w:val="none"/>
        </w:rPr>
        <w:t xml:space="preserve"> </w:t>
      </w:r>
      <w:r>
        <w:rPr>
          <w:rFonts w:asciiTheme="minorEastAsia" w:hAnsiTheme="minorEastAsia" w:eastAsiaTheme="minorEastAsia"/>
          <w:bCs/>
          <w:color w:val="auto"/>
          <w:highlight w:val="none"/>
        </w:rPr>
        <w:t xml:space="preserve"> </w:t>
      </w:r>
      <w:r>
        <w:rPr>
          <w:rFonts w:hint="eastAsia" w:asciiTheme="minorEastAsia" w:hAnsiTheme="minorEastAsia" w:eastAsiaTheme="minorEastAsia"/>
          <w:bCs/>
          <w:color w:val="auto"/>
          <w:highlight w:val="none"/>
        </w:rPr>
        <w:t>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p>
    <w:p>
      <w:pPr>
        <w:spacing w:line="360" w:lineRule="auto"/>
        <w:rPr>
          <w:rFonts w:asciiTheme="minorEastAsia" w:hAnsiTheme="minorEastAsia" w:eastAsiaTheme="minorEastAsia"/>
          <w:color w:val="auto"/>
          <w:highlight w:val="none"/>
          <w:u w:val="single"/>
        </w:rPr>
      </w:pP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日</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w:t>
      </w:r>
    </w:p>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签约地点：</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北京市大兴区采育镇</w:t>
      </w:r>
      <w:r>
        <w:rPr>
          <w:rFonts w:asciiTheme="minorEastAsia" w:hAnsiTheme="minorEastAsia" w:eastAsiaTheme="minorEastAsia"/>
          <w:color w:val="auto"/>
          <w:highlight w:val="none"/>
          <w:u w:val="single"/>
        </w:rPr>
        <w:t xml:space="preserve">                                             </w:t>
      </w:r>
    </w:p>
    <w:p>
      <w:pPr>
        <w:rPr>
          <w:color w:val="auto"/>
          <w:highlight w:val="none"/>
        </w:rPr>
      </w:pPr>
      <w:r>
        <w:rPr>
          <w:color w:val="auto"/>
          <w:highlight w:val="none"/>
        </w:rPr>
        <w:br w:type="page"/>
      </w:r>
    </w:p>
    <w:p>
      <w:pPr>
        <w:keepNext/>
        <w:keepLines/>
        <w:spacing w:before="120" w:beforeLines="50" w:after="120" w:afterLines="50" w:line="360" w:lineRule="auto"/>
        <w:outlineLvl w:val="1"/>
        <w:rPr>
          <w:rFonts w:asciiTheme="minorEastAsia" w:hAnsiTheme="minorEastAsia" w:eastAsiaTheme="minorEastAsia"/>
          <w:color w:val="auto"/>
          <w:sz w:val="24"/>
          <w:szCs w:val="20"/>
          <w:highlight w:val="none"/>
        </w:rPr>
      </w:pPr>
      <w:bookmarkStart w:id="717" w:name="_Toc489280260"/>
      <w:bookmarkStart w:id="718" w:name="_Toc486580454"/>
      <w:bookmarkStart w:id="719" w:name="_Toc497584113"/>
      <w:bookmarkStart w:id="720" w:name="_Toc4999990"/>
      <w:bookmarkStart w:id="721" w:name="_Toc497214122"/>
      <w:r>
        <w:rPr>
          <w:rFonts w:hint="eastAsia" w:asciiTheme="minorEastAsia" w:hAnsiTheme="minorEastAsia" w:eastAsiaTheme="minorEastAsia"/>
          <w:color w:val="auto"/>
          <w:sz w:val="24"/>
          <w:szCs w:val="20"/>
          <w:highlight w:val="none"/>
        </w:rPr>
        <w:t>附件二：承包人承揽工程项目一览表</w:t>
      </w:r>
      <w:bookmarkEnd w:id="717"/>
      <w:bookmarkEnd w:id="718"/>
      <w:bookmarkEnd w:id="719"/>
      <w:bookmarkEnd w:id="720"/>
      <w:bookmarkEnd w:id="721"/>
    </w:p>
    <w:p>
      <w:pPr>
        <w:spacing w:line="360" w:lineRule="auto"/>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承包人承揽工程项目一览表</w:t>
      </w:r>
    </w:p>
    <w:tbl>
      <w:tblPr>
        <w:tblStyle w:val="45"/>
        <w:tblW w:w="8782"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单位工程</w:t>
            </w:r>
          </w:p>
          <w:p>
            <w:pPr>
              <w:spacing w:line="540" w:lineRule="exact"/>
              <w:jc w:val="center"/>
              <w:rPr>
                <w:rFonts w:asciiTheme="minorEastAsia" w:hAnsiTheme="minorEastAsia" w:eastAsiaTheme="minorEastAsia"/>
                <w:color w:val="auto"/>
                <w:spacing w:val="12"/>
                <w:highlight w:val="none"/>
              </w:rPr>
            </w:pPr>
          </w:p>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名</w:t>
            </w:r>
            <w:r>
              <w:rPr>
                <w:rFonts w:asciiTheme="minorEastAsia" w:hAnsiTheme="minorEastAsia" w:eastAsiaTheme="minorEastAsia"/>
                <w:color w:val="auto"/>
                <w:spacing w:val="12"/>
                <w:highlight w:val="none"/>
              </w:rPr>
              <w:t xml:space="preserve">    </w:t>
            </w:r>
            <w:r>
              <w:rPr>
                <w:rFonts w:hint="eastAsia" w:asciiTheme="minorEastAsia" w:hAnsiTheme="minorEastAsia" w:eastAsiaTheme="minorEastAsia"/>
                <w:color w:val="auto"/>
                <w:spacing w:val="12"/>
                <w:highlight w:val="none"/>
              </w:rPr>
              <w:t>称</w:t>
            </w:r>
          </w:p>
        </w:tc>
        <w:tc>
          <w:tcPr>
            <w:tcW w:w="791" w:type="dxa"/>
          </w:tcPr>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建设</w:t>
            </w:r>
          </w:p>
          <w:p>
            <w:pPr>
              <w:spacing w:line="540" w:lineRule="exact"/>
              <w:rPr>
                <w:rFonts w:asciiTheme="minorEastAsia" w:hAnsiTheme="minorEastAsia" w:eastAsiaTheme="minorEastAsia"/>
                <w:color w:val="auto"/>
                <w:spacing w:val="12"/>
                <w:highlight w:val="none"/>
              </w:rPr>
            </w:pPr>
          </w:p>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规模</w:t>
            </w:r>
          </w:p>
        </w:tc>
        <w:tc>
          <w:tcPr>
            <w:tcW w:w="1155" w:type="dxa"/>
          </w:tcPr>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建筑面积</w:t>
            </w:r>
          </w:p>
          <w:p>
            <w:pPr>
              <w:spacing w:line="540" w:lineRule="exact"/>
              <w:rPr>
                <w:rFonts w:asciiTheme="minorEastAsia" w:hAnsiTheme="minorEastAsia" w:eastAsiaTheme="minorEastAsia"/>
                <w:color w:val="auto"/>
                <w:spacing w:val="12"/>
                <w:highlight w:val="none"/>
              </w:rPr>
            </w:pPr>
          </w:p>
          <w:p>
            <w:pPr>
              <w:spacing w:line="540" w:lineRule="exact"/>
              <w:rPr>
                <w:rFonts w:asciiTheme="minorEastAsia" w:hAnsiTheme="minorEastAsia" w:eastAsiaTheme="minorEastAsia"/>
                <w:color w:val="auto"/>
                <w:spacing w:val="12"/>
                <w:highlight w:val="none"/>
              </w:rPr>
            </w:pPr>
            <w:r>
              <w:rPr>
                <w:rFonts w:asciiTheme="minorEastAsia" w:hAnsiTheme="minorEastAsia" w:eastAsiaTheme="minorEastAsia"/>
                <w:color w:val="auto"/>
                <w:spacing w:val="12"/>
                <w:highlight w:val="none"/>
              </w:rPr>
              <w:t>(</w:t>
            </w:r>
            <w:r>
              <w:rPr>
                <w:rFonts w:hint="eastAsia" w:asciiTheme="minorEastAsia" w:hAnsiTheme="minorEastAsia" w:eastAsiaTheme="minorEastAsia"/>
                <w:color w:val="auto"/>
                <w:spacing w:val="12"/>
                <w:highlight w:val="none"/>
              </w:rPr>
              <w:t>平方米</w:t>
            </w:r>
            <w:r>
              <w:rPr>
                <w:rFonts w:asciiTheme="minorEastAsia" w:hAnsiTheme="minorEastAsia" w:eastAsiaTheme="minorEastAsia"/>
                <w:color w:val="auto"/>
                <w:spacing w:val="12"/>
                <w:highlight w:val="none"/>
              </w:rPr>
              <w:t>)</w:t>
            </w:r>
          </w:p>
        </w:tc>
        <w:tc>
          <w:tcPr>
            <w:tcW w:w="525" w:type="dxa"/>
          </w:tcPr>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结</w:t>
            </w:r>
          </w:p>
          <w:p>
            <w:pPr>
              <w:spacing w:line="540" w:lineRule="exact"/>
              <w:rPr>
                <w:rFonts w:asciiTheme="minorEastAsia" w:hAnsiTheme="minorEastAsia" w:eastAsiaTheme="minorEastAsia"/>
                <w:color w:val="auto"/>
                <w:spacing w:val="12"/>
                <w:highlight w:val="none"/>
              </w:rPr>
            </w:pPr>
          </w:p>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构</w:t>
            </w:r>
          </w:p>
        </w:tc>
        <w:tc>
          <w:tcPr>
            <w:tcW w:w="525" w:type="dxa"/>
          </w:tcPr>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层</w:t>
            </w:r>
          </w:p>
          <w:p>
            <w:pPr>
              <w:spacing w:line="540" w:lineRule="exact"/>
              <w:jc w:val="center"/>
              <w:rPr>
                <w:rFonts w:asciiTheme="minorEastAsia" w:hAnsiTheme="minorEastAsia" w:eastAsiaTheme="minorEastAsia"/>
                <w:color w:val="auto"/>
                <w:spacing w:val="12"/>
                <w:highlight w:val="none"/>
              </w:rPr>
            </w:pPr>
          </w:p>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数</w:t>
            </w:r>
          </w:p>
        </w:tc>
        <w:tc>
          <w:tcPr>
            <w:tcW w:w="735" w:type="dxa"/>
            <w:vAlign w:val="center"/>
          </w:tcPr>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跨</w:t>
            </w:r>
          </w:p>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度</w:t>
            </w:r>
            <w:r>
              <w:rPr>
                <w:rFonts w:asciiTheme="minorEastAsia" w:hAnsiTheme="minorEastAsia" w:eastAsiaTheme="minorEastAsia"/>
                <w:color w:val="auto"/>
                <w:spacing w:val="12"/>
                <w:highlight w:val="none"/>
              </w:rPr>
              <w:t>(</w:t>
            </w:r>
            <w:r>
              <w:rPr>
                <w:rFonts w:hint="eastAsia" w:asciiTheme="minorEastAsia" w:hAnsiTheme="minorEastAsia" w:eastAsiaTheme="minorEastAsia"/>
                <w:color w:val="auto"/>
                <w:spacing w:val="12"/>
                <w:highlight w:val="none"/>
              </w:rPr>
              <w:t>米</w:t>
            </w:r>
            <w:r>
              <w:rPr>
                <w:rFonts w:asciiTheme="minorEastAsia" w:hAnsiTheme="minorEastAsia" w:eastAsiaTheme="minorEastAsia"/>
                <w:color w:val="auto"/>
                <w:spacing w:val="12"/>
                <w:highlight w:val="none"/>
              </w:rPr>
              <w:t>)</w:t>
            </w:r>
          </w:p>
        </w:tc>
        <w:tc>
          <w:tcPr>
            <w:tcW w:w="1155" w:type="dxa"/>
          </w:tcPr>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设备安装</w:t>
            </w:r>
          </w:p>
          <w:p>
            <w:pPr>
              <w:spacing w:line="540" w:lineRule="exact"/>
              <w:jc w:val="center"/>
              <w:rPr>
                <w:rFonts w:asciiTheme="minorEastAsia" w:hAnsiTheme="minorEastAsia" w:eastAsiaTheme="minorEastAsia"/>
                <w:color w:val="auto"/>
                <w:spacing w:val="12"/>
                <w:highlight w:val="none"/>
              </w:rPr>
            </w:pPr>
          </w:p>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内</w:t>
            </w:r>
            <w:r>
              <w:rPr>
                <w:rFonts w:asciiTheme="minorEastAsia" w:hAnsiTheme="minorEastAsia" w:eastAsiaTheme="minorEastAsia"/>
                <w:color w:val="auto"/>
                <w:spacing w:val="12"/>
                <w:highlight w:val="none"/>
              </w:rPr>
              <w:t xml:space="preserve">   </w:t>
            </w:r>
            <w:r>
              <w:rPr>
                <w:rFonts w:hint="eastAsia" w:asciiTheme="minorEastAsia" w:hAnsiTheme="minorEastAsia" w:eastAsiaTheme="minorEastAsia"/>
                <w:color w:val="auto"/>
                <w:spacing w:val="12"/>
                <w:highlight w:val="none"/>
              </w:rPr>
              <w:t>容</w:t>
            </w:r>
          </w:p>
        </w:tc>
        <w:tc>
          <w:tcPr>
            <w:tcW w:w="735" w:type="dxa"/>
          </w:tcPr>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工程造价</w:t>
            </w:r>
          </w:p>
          <w:p>
            <w:pPr>
              <w:spacing w:line="540" w:lineRule="exact"/>
              <w:jc w:val="center"/>
              <w:rPr>
                <w:rFonts w:asciiTheme="minorEastAsia" w:hAnsiTheme="minorEastAsia" w:eastAsiaTheme="minorEastAsia"/>
                <w:color w:val="auto"/>
                <w:spacing w:val="12"/>
                <w:highlight w:val="none"/>
              </w:rPr>
            </w:pPr>
            <w:r>
              <w:rPr>
                <w:rFonts w:asciiTheme="minorEastAsia" w:hAnsiTheme="minorEastAsia" w:eastAsiaTheme="minorEastAsia"/>
                <w:color w:val="auto"/>
                <w:spacing w:val="12"/>
                <w:highlight w:val="none"/>
              </w:rPr>
              <w:t>(</w:t>
            </w:r>
            <w:r>
              <w:rPr>
                <w:rFonts w:hint="eastAsia" w:asciiTheme="minorEastAsia" w:hAnsiTheme="minorEastAsia" w:eastAsiaTheme="minorEastAsia"/>
                <w:color w:val="auto"/>
                <w:spacing w:val="12"/>
                <w:highlight w:val="none"/>
              </w:rPr>
              <w:t>元</w:t>
            </w:r>
            <w:r>
              <w:rPr>
                <w:rFonts w:asciiTheme="minorEastAsia" w:hAnsiTheme="minorEastAsia" w:eastAsiaTheme="minorEastAsia"/>
                <w:color w:val="auto"/>
                <w:spacing w:val="12"/>
                <w:highlight w:val="none"/>
              </w:rPr>
              <w:t>)</w:t>
            </w:r>
          </w:p>
        </w:tc>
        <w:tc>
          <w:tcPr>
            <w:tcW w:w="735" w:type="dxa"/>
          </w:tcPr>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开工</w:t>
            </w:r>
          </w:p>
          <w:p>
            <w:pPr>
              <w:spacing w:line="540" w:lineRule="exact"/>
              <w:rPr>
                <w:rFonts w:asciiTheme="minorEastAsia" w:hAnsiTheme="minorEastAsia" w:eastAsiaTheme="minorEastAsia"/>
                <w:color w:val="auto"/>
                <w:spacing w:val="12"/>
                <w:highlight w:val="none"/>
              </w:rPr>
            </w:pPr>
          </w:p>
          <w:p>
            <w:pPr>
              <w:spacing w:line="540" w:lineRule="exact"/>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日期</w:t>
            </w:r>
          </w:p>
        </w:tc>
        <w:tc>
          <w:tcPr>
            <w:tcW w:w="735" w:type="dxa"/>
          </w:tcPr>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竣工</w:t>
            </w:r>
          </w:p>
          <w:p>
            <w:pPr>
              <w:spacing w:line="540" w:lineRule="exact"/>
              <w:jc w:val="center"/>
              <w:rPr>
                <w:rFonts w:asciiTheme="minorEastAsia" w:hAnsiTheme="minorEastAsia" w:eastAsiaTheme="minorEastAsia"/>
                <w:color w:val="auto"/>
                <w:spacing w:val="12"/>
                <w:highlight w:val="none"/>
              </w:rPr>
            </w:pPr>
          </w:p>
          <w:p>
            <w:pPr>
              <w:spacing w:line="540" w:lineRule="exact"/>
              <w:jc w:val="center"/>
              <w:rPr>
                <w:rFonts w:asciiTheme="minorEastAsia" w:hAnsiTheme="minorEastAsia" w:eastAsiaTheme="minorEastAsia"/>
                <w:color w:val="auto"/>
                <w:spacing w:val="12"/>
                <w:highlight w:val="none"/>
              </w:rPr>
            </w:pPr>
            <w:r>
              <w:rPr>
                <w:rFonts w:hint="eastAsia" w:asciiTheme="minorEastAsia" w:hAnsiTheme="minorEastAsia" w:eastAsiaTheme="minorEastAsia"/>
                <w:color w:val="auto"/>
                <w:spacing w:val="12"/>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5" w:hRule="atLeast"/>
        </w:trPr>
        <w:tc>
          <w:tcPr>
            <w:tcW w:w="1691" w:type="dxa"/>
          </w:tcPr>
          <w:p>
            <w:pPr>
              <w:spacing w:line="5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spacing w:val="12"/>
                <w:highlight w:val="none"/>
                <w:lang w:val="en-US" w:eastAsia="zh-CN"/>
              </w:rPr>
              <w:t xml:space="preserve"> </w:t>
            </w:r>
          </w:p>
        </w:tc>
        <w:tc>
          <w:tcPr>
            <w:tcW w:w="791" w:type="dxa"/>
          </w:tcPr>
          <w:p>
            <w:pPr>
              <w:spacing w:line="540" w:lineRule="exact"/>
              <w:rPr>
                <w:rFonts w:hint="eastAsia" w:asciiTheme="minorEastAsia" w:hAnsiTheme="minorEastAsia" w:eastAsiaTheme="minorEastAsia"/>
                <w:color w:val="auto"/>
                <w:spacing w:val="12"/>
                <w:highlight w:val="none"/>
                <w:lang w:eastAsia="zh-CN"/>
              </w:rPr>
            </w:pPr>
            <w:r>
              <w:rPr>
                <w:rFonts w:hint="eastAsia" w:asciiTheme="minorEastAsia" w:hAnsiTheme="minorEastAsia" w:eastAsiaTheme="minorEastAsia"/>
                <w:color w:val="auto"/>
                <w:spacing w:val="12"/>
                <w:highlight w:val="none"/>
                <w:lang w:val="en-US" w:eastAsia="zh-CN"/>
              </w:rPr>
              <w:t xml:space="preserve"> </w:t>
            </w: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spacing w:val="12"/>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spacing w:val="12"/>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spacing w:val="12"/>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spacing w:val="12"/>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spacing w:val="12"/>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91" w:type="dxa"/>
          </w:tcPr>
          <w:p>
            <w:pPr>
              <w:spacing w:line="540" w:lineRule="exact"/>
              <w:rPr>
                <w:rFonts w:asciiTheme="minorEastAsia" w:hAnsiTheme="minorEastAsia" w:eastAsiaTheme="minorEastAsia"/>
                <w:color w:val="auto"/>
                <w:spacing w:val="12"/>
                <w:highlight w:val="none"/>
              </w:rPr>
            </w:pPr>
          </w:p>
        </w:tc>
        <w:tc>
          <w:tcPr>
            <w:tcW w:w="791"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52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115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c>
          <w:tcPr>
            <w:tcW w:w="735" w:type="dxa"/>
          </w:tcPr>
          <w:p>
            <w:pPr>
              <w:spacing w:line="540" w:lineRule="exact"/>
              <w:rPr>
                <w:rFonts w:asciiTheme="minorEastAsia" w:hAnsiTheme="minorEastAsia" w:eastAsiaTheme="minorEastAsia"/>
                <w:color w:val="auto"/>
                <w:spacing w:val="12"/>
                <w:highlight w:val="none"/>
              </w:rPr>
            </w:pPr>
          </w:p>
        </w:tc>
      </w:tr>
    </w:tbl>
    <w:p>
      <w:pPr>
        <w:keepNext/>
        <w:keepLines/>
        <w:spacing w:before="120" w:beforeLines="50" w:after="120" w:afterLines="50" w:line="360" w:lineRule="auto"/>
        <w:outlineLvl w:val="0"/>
        <w:rPr>
          <w:rFonts w:asciiTheme="minorEastAsia" w:hAnsiTheme="minorEastAsia" w:eastAsiaTheme="minorEastAsia"/>
          <w:bCs/>
          <w:color w:val="auto"/>
          <w:sz w:val="32"/>
          <w:highlight w:val="none"/>
        </w:rPr>
        <w:sectPr>
          <w:footerReference r:id="rId127" w:type="first"/>
          <w:footerReference r:id="rId126" w:type="default"/>
          <w:pgSz w:w="11906" w:h="16838"/>
          <w:pgMar w:top="1440" w:right="1797" w:bottom="1440" w:left="1797" w:header="851" w:footer="992" w:gutter="0"/>
          <w:cols w:space="425" w:num="1"/>
          <w:docGrid w:linePitch="312" w:charSpace="0"/>
        </w:sectPr>
      </w:pPr>
    </w:p>
    <w:p>
      <w:pPr>
        <w:keepNext/>
        <w:keepLines/>
        <w:spacing w:before="120" w:beforeLines="50" w:after="120" w:afterLines="50" w:line="360" w:lineRule="auto"/>
        <w:outlineLvl w:val="1"/>
        <w:rPr>
          <w:rFonts w:asciiTheme="minorEastAsia" w:hAnsiTheme="minorEastAsia" w:eastAsiaTheme="minorEastAsia"/>
          <w:color w:val="auto"/>
          <w:sz w:val="24"/>
          <w:szCs w:val="20"/>
          <w:highlight w:val="none"/>
        </w:rPr>
      </w:pPr>
      <w:bookmarkStart w:id="722" w:name="_Toc485323229"/>
      <w:bookmarkStart w:id="723" w:name="_Toc489280261"/>
      <w:bookmarkStart w:id="724" w:name="_Toc486580455"/>
      <w:bookmarkStart w:id="725" w:name="_Toc497584114"/>
      <w:bookmarkStart w:id="726" w:name="_Toc4999991"/>
      <w:bookmarkStart w:id="727" w:name="_Toc497214123"/>
      <w:r>
        <w:rPr>
          <w:rFonts w:hint="eastAsia" w:asciiTheme="minorEastAsia" w:hAnsiTheme="minorEastAsia" w:eastAsiaTheme="minorEastAsia"/>
          <w:color w:val="auto"/>
          <w:sz w:val="24"/>
          <w:szCs w:val="20"/>
          <w:highlight w:val="none"/>
        </w:rPr>
        <w:t>附件三：承包人提供的材料和工程设备一览表</w:t>
      </w:r>
      <w:bookmarkEnd w:id="722"/>
      <w:bookmarkEnd w:id="723"/>
      <w:bookmarkEnd w:id="724"/>
      <w:bookmarkEnd w:id="725"/>
      <w:bookmarkEnd w:id="726"/>
      <w:bookmarkEnd w:id="727"/>
    </w:p>
    <w:p>
      <w:pPr>
        <w:spacing w:line="360" w:lineRule="auto"/>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承包人提供的材料和工程设备一览表</w:t>
      </w:r>
    </w:p>
    <w:tbl>
      <w:tblPr>
        <w:tblStyle w:val="45"/>
        <w:tblW w:w="79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5" w:hRule="atLeast"/>
          <w:jc w:val="center"/>
        </w:trPr>
        <w:tc>
          <w:tcPr>
            <w:tcW w:w="48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序</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号</w:t>
            </w:r>
          </w:p>
        </w:tc>
        <w:tc>
          <w:tcPr>
            <w:tcW w:w="115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材料设备</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称</w:t>
            </w:r>
          </w:p>
        </w:tc>
        <w:tc>
          <w:tcPr>
            <w:tcW w:w="105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规格</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型号</w:t>
            </w:r>
          </w:p>
        </w:tc>
        <w:tc>
          <w:tcPr>
            <w:tcW w:w="63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单</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位</w:t>
            </w:r>
          </w:p>
        </w:tc>
        <w:tc>
          <w:tcPr>
            <w:tcW w:w="52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数</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量</w:t>
            </w:r>
          </w:p>
        </w:tc>
        <w:tc>
          <w:tcPr>
            <w:tcW w:w="73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单</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价</w:t>
            </w:r>
          </w:p>
        </w:tc>
        <w:tc>
          <w:tcPr>
            <w:tcW w:w="84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交货</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方式</w:t>
            </w:r>
          </w:p>
        </w:tc>
        <w:tc>
          <w:tcPr>
            <w:tcW w:w="84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交货</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地点</w:t>
            </w:r>
          </w:p>
        </w:tc>
        <w:tc>
          <w:tcPr>
            <w:tcW w:w="73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计划交货</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时间</w:t>
            </w:r>
          </w:p>
        </w:tc>
        <w:tc>
          <w:tcPr>
            <w:tcW w:w="94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bl>
    <w:p>
      <w:pPr>
        <w:keepNext/>
        <w:keepLines/>
        <w:spacing w:before="120" w:beforeLines="50" w:after="120" w:afterLines="50" w:line="360" w:lineRule="auto"/>
        <w:outlineLvl w:val="1"/>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br w:type="page"/>
      </w:r>
      <w:bookmarkStart w:id="728" w:name="_Toc485323230"/>
      <w:bookmarkStart w:id="729" w:name="_Toc4999992"/>
      <w:bookmarkStart w:id="730" w:name="_Toc489280262"/>
      <w:bookmarkStart w:id="731" w:name="_Toc486580456"/>
      <w:bookmarkStart w:id="732" w:name="_Toc497214124"/>
      <w:bookmarkStart w:id="733" w:name="_Toc497584115"/>
      <w:r>
        <w:rPr>
          <w:rFonts w:hint="eastAsia" w:asciiTheme="minorEastAsia" w:hAnsiTheme="minorEastAsia" w:eastAsiaTheme="minorEastAsia"/>
          <w:color w:val="auto"/>
          <w:sz w:val="24"/>
          <w:szCs w:val="20"/>
          <w:highlight w:val="none"/>
        </w:rPr>
        <w:t>附件四：发包人提供的材料和工程设备一览表</w:t>
      </w:r>
      <w:bookmarkEnd w:id="728"/>
      <w:bookmarkEnd w:id="729"/>
      <w:bookmarkEnd w:id="730"/>
      <w:bookmarkEnd w:id="731"/>
      <w:bookmarkEnd w:id="732"/>
      <w:bookmarkEnd w:id="733"/>
    </w:p>
    <w:p>
      <w:pPr>
        <w:spacing w:line="360" w:lineRule="auto"/>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发包人提供的材料和工程设备一览表</w:t>
      </w:r>
    </w:p>
    <w:tbl>
      <w:tblPr>
        <w:tblStyle w:val="45"/>
        <w:tblW w:w="79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5" w:hRule="atLeast"/>
          <w:jc w:val="center"/>
        </w:trPr>
        <w:tc>
          <w:tcPr>
            <w:tcW w:w="48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序</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号</w:t>
            </w:r>
          </w:p>
        </w:tc>
        <w:tc>
          <w:tcPr>
            <w:tcW w:w="115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材料设备</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称</w:t>
            </w:r>
          </w:p>
        </w:tc>
        <w:tc>
          <w:tcPr>
            <w:tcW w:w="105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规格</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型号</w:t>
            </w:r>
          </w:p>
        </w:tc>
        <w:tc>
          <w:tcPr>
            <w:tcW w:w="63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单</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位</w:t>
            </w:r>
          </w:p>
        </w:tc>
        <w:tc>
          <w:tcPr>
            <w:tcW w:w="52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数</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量</w:t>
            </w:r>
          </w:p>
        </w:tc>
        <w:tc>
          <w:tcPr>
            <w:tcW w:w="73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单</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价</w:t>
            </w:r>
          </w:p>
        </w:tc>
        <w:tc>
          <w:tcPr>
            <w:tcW w:w="84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交货</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方式</w:t>
            </w:r>
          </w:p>
        </w:tc>
        <w:tc>
          <w:tcPr>
            <w:tcW w:w="840"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交货</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地点</w:t>
            </w:r>
          </w:p>
        </w:tc>
        <w:tc>
          <w:tcPr>
            <w:tcW w:w="73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计划交货</w:t>
            </w:r>
          </w:p>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时间</w:t>
            </w:r>
          </w:p>
        </w:tc>
        <w:tc>
          <w:tcPr>
            <w:tcW w:w="945" w:type="dxa"/>
            <w:vAlign w:val="center"/>
          </w:tcPr>
          <w:p>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tcPr>
          <w:p>
            <w:pPr>
              <w:spacing w:line="360" w:lineRule="auto"/>
              <w:jc w:val="center"/>
              <w:rPr>
                <w:rFonts w:asciiTheme="minorEastAsia" w:hAnsiTheme="minorEastAsia" w:eastAsiaTheme="minorEastAsia"/>
                <w:color w:val="auto"/>
                <w:sz w:val="28"/>
                <w:szCs w:val="28"/>
                <w:highlight w:val="none"/>
              </w:rPr>
            </w:pPr>
          </w:p>
        </w:tc>
        <w:tc>
          <w:tcPr>
            <w:tcW w:w="1155" w:type="dxa"/>
          </w:tcPr>
          <w:p>
            <w:pPr>
              <w:spacing w:line="360" w:lineRule="auto"/>
              <w:jc w:val="center"/>
              <w:rPr>
                <w:rFonts w:asciiTheme="minorEastAsia" w:hAnsiTheme="minorEastAsia" w:eastAsiaTheme="minorEastAsia"/>
                <w:color w:val="auto"/>
                <w:sz w:val="28"/>
                <w:szCs w:val="28"/>
                <w:highlight w:val="none"/>
              </w:rPr>
            </w:pPr>
          </w:p>
        </w:tc>
        <w:tc>
          <w:tcPr>
            <w:tcW w:w="1050" w:type="dxa"/>
          </w:tcPr>
          <w:p>
            <w:pPr>
              <w:spacing w:line="360" w:lineRule="auto"/>
              <w:jc w:val="center"/>
              <w:rPr>
                <w:rFonts w:asciiTheme="minorEastAsia" w:hAnsiTheme="minorEastAsia" w:eastAsiaTheme="minorEastAsia"/>
                <w:color w:val="auto"/>
                <w:sz w:val="28"/>
                <w:szCs w:val="28"/>
                <w:highlight w:val="none"/>
              </w:rPr>
            </w:pPr>
          </w:p>
        </w:tc>
        <w:tc>
          <w:tcPr>
            <w:tcW w:w="630" w:type="dxa"/>
          </w:tcPr>
          <w:p>
            <w:pPr>
              <w:spacing w:line="360" w:lineRule="auto"/>
              <w:jc w:val="center"/>
              <w:rPr>
                <w:rFonts w:asciiTheme="minorEastAsia" w:hAnsiTheme="minorEastAsia" w:eastAsiaTheme="minorEastAsia"/>
                <w:color w:val="auto"/>
                <w:sz w:val="28"/>
                <w:szCs w:val="28"/>
                <w:highlight w:val="none"/>
              </w:rPr>
            </w:pPr>
          </w:p>
        </w:tc>
        <w:tc>
          <w:tcPr>
            <w:tcW w:w="525"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840" w:type="dxa"/>
          </w:tcPr>
          <w:p>
            <w:pPr>
              <w:spacing w:line="360" w:lineRule="auto"/>
              <w:jc w:val="center"/>
              <w:rPr>
                <w:rFonts w:asciiTheme="minorEastAsia" w:hAnsiTheme="minorEastAsia" w:eastAsiaTheme="minorEastAsia"/>
                <w:color w:val="auto"/>
                <w:sz w:val="28"/>
                <w:szCs w:val="28"/>
                <w:highlight w:val="none"/>
              </w:rPr>
            </w:pPr>
          </w:p>
        </w:tc>
        <w:tc>
          <w:tcPr>
            <w:tcW w:w="735" w:type="dxa"/>
          </w:tcPr>
          <w:p>
            <w:pPr>
              <w:spacing w:line="360" w:lineRule="auto"/>
              <w:jc w:val="center"/>
              <w:rPr>
                <w:rFonts w:asciiTheme="minorEastAsia" w:hAnsiTheme="minorEastAsia" w:eastAsiaTheme="minorEastAsia"/>
                <w:color w:val="auto"/>
                <w:sz w:val="28"/>
                <w:szCs w:val="28"/>
                <w:highlight w:val="none"/>
              </w:rPr>
            </w:pPr>
          </w:p>
        </w:tc>
        <w:tc>
          <w:tcPr>
            <w:tcW w:w="945" w:type="dxa"/>
          </w:tcPr>
          <w:p>
            <w:pPr>
              <w:spacing w:line="360" w:lineRule="auto"/>
              <w:jc w:val="center"/>
              <w:rPr>
                <w:rFonts w:asciiTheme="minorEastAsia" w:hAnsiTheme="minorEastAsia" w:eastAsiaTheme="minorEastAsia"/>
                <w:color w:val="auto"/>
                <w:sz w:val="28"/>
                <w:szCs w:val="28"/>
                <w:highlight w:val="none"/>
              </w:rPr>
            </w:pPr>
          </w:p>
        </w:tc>
      </w:tr>
    </w:tbl>
    <w:p>
      <w:pPr>
        <w:tabs>
          <w:tab w:val="left" w:pos="1440"/>
        </w:tabs>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备注：除合同另有约定外，本表所列发包人供应材料和工程设备的数量不考虑施工损耗，施工损耗被认为已经包括在承包人的投标价格中。</w:t>
      </w:r>
    </w:p>
    <w:p>
      <w:pPr>
        <w:keepNext/>
        <w:keepLines/>
        <w:spacing w:before="120" w:beforeLines="50" w:after="120" w:afterLines="50" w:line="360" w:lineRule="auto"/>
        <w:outlineLvl w:val="1"/>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br w:type="page"/>
      </w:r>
      <w:bookmarkStart w:id="734" w:name="_Toc497584116"/>
      <w:bookmarkStart w:id="735" w:name="_Toc497214125"/>
      <w:bookmarkStart w:id="736" w:name="_Toc485323231"/>
      <w:bookmarkStart w:id="737" w:name="_Toc489280263"/>
      <w:bookmarkStart w:id="738" w:name="_Toc4999993"/>
      <w:bookmarkStart w:id="739" w:name="_Toc486580457"/>
      <w:r>
        <w:rPr>
          <w:rFonts w:hint="eastAsia" w:asciiTheme="minorEastAsia" w:hAnsiTheme="minorEastAsia" w:eastAsiaTheme="minorEastAsia"/>
          <w:color w:val="auto"/>
          <w:sz w:val="24"/>
          <w:szCs w:val="20"/>
          <w:highlight w:val="none"/>
        </w:rPr>
        <w:t>附件五：承包人履约担保格式</w:t>
      </w:r>
      <w:bookmarkEnd w:id="734"/>
      <w:bookmarkEnd w:id="735"/>
      <w:bookmarkEnd w:id="736"/>
      <w:bookmarkEnd w:id="737"/>
      <w:bookmarkEnd w:id="738"/>
      <w:bookmarkEnd w:id="739"/>
    </w:p>
    <w:p>
      <w:pPr>
        <w:spacing w:line="360" w:lineRule="auto"/>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承包人履约保函(本项目不适用)</w:t>
      </w:r>
    </w:p>
    <w:p>
      <w:pPr>
        <w:spacing w:line="360" w:lineRule="auto"/>
        <w:jc w:val="center"/>
        <w:rPr>
          <w:rFonts w:asciiTheme="minorEastAsia" w:hAnsiTheme="minorEastAsia" w:eastAsiaTheme="minorEastAsia"/>
          <w:color w:val="auto"/>
          <w:highlight w:val="none"/>
          <w:u w:val="single"/>
        </w:rPr>
      </w:pP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（发包人名称）：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鉴于你方作为发包人已经与</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（承包人名称）（以下称“承包人”）于</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日签订了</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（工程名称）施工承包合同（以下称“主合同”），应承包人申请，我方愿就承包人履行主合同约定的义务以保证的方式向你方提供如下担保：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一、保证的范围及保证金额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我方的保证范围是承包人未按照主合同的约定履行义务，给你方造成的实际损失。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我方保证的金额是主合同约定的合同总价款</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，数额最高不超过人民币</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元（大写）。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二、保证的方式及保证期间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我方保证的方式为：连带责任保证。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我方保证的期间为：自本合同生效之日起至主合同约定的工程竣工日期后</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你方与承包人协议变更工程竣工日期的，经我方书面同意后，保证期间按照变更后的竣工日期做相应调整。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三、承担保证责任的形式</w:t>
      </w:r>
    </w:p>
    <w:p>
      <w:pPr>
        <w:spacing w:line="360" w:lineRule="auto"/>
        <w:ind w:firstLine="420" w:firstLineChars="200"/>
        <w:rPr>
          <w:rFonts w:asciiTheme="minorEastAsia" w:hAnsiTheme="minorEastAsia" w:eastAsiaTheme="minorEastAsia"/>
          <w:color w:val="auto"/>
          <w:highlight w:val="none"/>
          <w:shd w:val="pct10" w:color="auto" w:fill="FFFFFF"/>
        </w:rPr>
      </w:pPr>
      <w:r>
        <w:rPr>
          <w:rFonts w:hint="eastAsia" w:asciiTheme="minorEastAsia" w:hAnsiTheme="minorEastAsia" w:eastAsiaTheme="minorEastAsia"/>
          <w:color w:val="auto"/>
          <w:highlight w:val="none"/>
        </w:rPr>
        <w:t>我方按照你方的要求以下列方式之一承担保证责任：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）由我方提供资金及技术援助，使承包人继续履行主合同义务，支付金额不超过本保函第一条规定的保证金额。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）由我方在本保函第一条规定的保证金额内赔偿你方的损失。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四、代偿的安排</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你方以工程质量不符合主合同约定标准为由，向我方提出违约索赔的，还需同时提供符合相应条件要求的工程质量检测部门出具的质量说明材料。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我方收到你方的书面索赔通知及相应证明材料后，在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工作日内进行核定后按照本保函的承诺承担保证责任。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五、保证责任的解除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、在本保函承诺的保证期间内，你方未书面向我方主张保证责任的，自保证期间届满次日起，我方保证责任解除。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、承包人按主合同约定履行了义务的，自本保函承诺的保证期间届满次日起，我方保证责任解除。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、我方按照本保函向你方履行保证责任所支付的金额达到本保函保证金额时，自我方向你方支付（支付款项从我方帐户划出）之日起，保证责任即解除。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、按照法律法规的规定或出现应解除我方保证责任的其它情形的，我方在本保函项下的保证责任亦解除。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我方解除保证责任后，你方应自我方保证责任解除之日起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个工作日内，将本保函原件返还我方。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六、免责条款</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、因你方违约致使承包人不能履行义务的，我方不承担保证责任。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、依照法律法规的规定或你方与承包人的另行约定，免除承包人部分或全部义务的，我方亦免除其相应的保证责任。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、你方与承包人协议变更主合同（符合主合同合同条款第</w:t>
      </w:r>
      <w:r>
        <w:rPr>
          <w:rFonts w:asciiTheme="minorEastAsia" w:hAnsiTheme="minorEastAsia" w:eastAsiaTheme="minorEastAsia"/>
          <w:color w:val="auto"/>
          <w:highlight w:val="none"/>
        </w:rPr>
        <w:t>15</w:t>
      </w:r>
      <w:r>
        <w:rPr>
          <w:rFonts w:hint="eastAsia" w:asciiTheme="minorEastAsia" w:hAnsiTheme="minorEastAsia" w:eastAsiaTheme="minorEastAsia"/>
          <w:color w:val="auto"/>
          <w:highlight w:val="none"/>
        </w:rPr>
        <w:t>条约定的变更除外），如加重承包人责任致使我方保证责任加重的，需征得我方书面同意，否则我方不再承担因此而加重部分的保证责任。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、因不可抗力造成承包人不能履行义务的，我方不承担保证责任。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七、争议的解决</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因本保函发生的纠纷，由贵我双方协商解决，协商不成的，任何一方均可提请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仲裁委员会仲裁。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八、保函的生效</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本保函自我方法定代表人（或其授权代理人）签字或加盖公章并交付你方之日起生效。</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本条所称交付是指：</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p>
    <w:p>
      <w:pPr>
        <w:spacing w:line="360" w:lineRule="auto"/>
        <w:rPr>
          <w:rFonts w:asciiTheme="minorEastAsia" w:hAnsiTheme="minorEastAsia" w:eastAsiaTheme="minorEastAsia"/>
          <w:color w:val="auto"/>
          <w:highlight w:val="none"/>
        </w:rPr>
      </w:pPr>
    </w:p>
    <w:p>
      <w:pPr>
        <w:spacing w:line="360" w:lineRule="auto"/>
        <w:ind w:left="2692" w:leftChars="12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担保人：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（盖单位章）</w:t>
      </w:r>
    </w:p>
    <w:p>
      <w:pPr>
        <w:spacing w:line="360" w:lineRule="auto"/>
        <w:ind w:left="2692" w:leftChars="12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法定代表人或其委托代理人：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p>
    <w:p>
      <w:pPr>
        <w:spacing w:line="360" w:lineRule="auto"/>
        <w:ind w:left="2692" w:leftChars="12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址：</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p>
    <w:p>
      <w:pPr>
        <w:spacing w:line="360" w:lineRule="auto"/>
        <w:ind w:left="2692" w:leftChars="1282"/>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邮政编码：</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p>
    <w:p>
      <w:pPr>
        <w:spacing w:line="360" w:lineRule="auto"/>
        <w:ind w:left="2692" w:leftChars="1282"/>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电</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话：</w:t>
      </w:r>
      <w:r>
        <w:rPr>
          <w:rFonts w:asciiTheme="minorEastAsia" w:hAnsiTheme="minorEastAsia" w:eastAsiaTheme="minorEastAsia"/>
          <w:color w:val="auto"/>
          <w:highlight w:val="none"/>
          <w:u w:val="single"/>
        </w:rPr>
        <w:t xml:space="preserve">                                           </w:t>
      </w:r>
    </w:p>
    <w:p>
      <w:pPr>
        <w:spacing w:line="360" w:lineRule="auto"/>
        <w:ind w:left="2692" w:leftChars="1282"/>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传</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真：</w:t>
      </w:r>
      <w:r>
        <w:rPr>
          <w:rFonts w:asciiTheme="minorEastAsia" w:hAnsiTheme="minorEastAsia" w:eastAsiaTheme="minorEastAsia"/>
          <w:color w:val="auto"/>
          <w:highlight w:val="none"/>
          <w:u w:val="single"/>
        </w:rPr>
        <w:t xml:space="preserve">                                           </w:t>
      </w:r>
    </w:p>
    <w:p>
      <w:pPr>
        <w:spacing w:line="360" w:lineRule="auto"/>
        <w:ind w:left="2692" w:leftChars="1282"/>
        <w:jc w:val="right"/>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w:t>
      </w:r>
    </w:p>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备注：本承包人履约担保格式可以采用经发包人同意的其他格式，但相关内容不得违背合同约定的实质性内容。</w:t>
      </w:r>
    </w:p>
    <w:p>
      <w:pPr>
        <w:keepNext/>
        <w:keepLines/>
        <w:spacing w:before="120" w:beforeLines="50" w:after="120" w:afterLines="50" w:line="360" w:lineRule="auto"/>
        <w:outlineLvl w:val="1"/>
        <w:rPr>
          <w:rFonts w:asciiTheme="minorEastAsia" w:hAnsiTheme="minorEastAsia" w:eastAsiaTheme="minorEastAsia"/>
          <w:color w:val="auto"/>
          <w:sz w:val="24"/>
          <w:szCs w:val="20"/>
          <w:highlight w:val="none"/>
        </w:rPr>
      </w:pPr>
      <w:bookmarkStart w:id="740" w:name="_Toc486580458"/>
      <w:bookmarkStart w:id="741" w:name="_Toc485323232"/>
      <w:bookmarkStart w:id="742" w:name="_Toc497584117"/>
      <w:bookmarkStart w:id="743" w:name="_Toc4999994"/>
      <w:bookmarkStart w:id="744" w:name="_Toc497214126"/>
      <w:bookmarkStart w:id="745" w:name="_Toc489280264"/>
      <w:r>
        <w:rPr>
          <w:rFonts w:hint="eastAsia" w:asciiTheme="minorEastAsia" w:hAnsiTheme="minorEastAsia" w:eastAsiaTheme="minorEastAsia"/>
          <w:color w:val="auto"/>
          <w:sz w:val="24"/>
          <w:szCs w:val="20"/>
          <w:highlight w:val="none"/>
        </w:rPr>
        <w:t>附件六：支付担保格式</w:t>
      </w:r>
      <w:bookmarkEnd w:id="740"/>
      <w:bookmarkEnd w:id="741"/>
      <w:bookmarkEnd w:id="742"/>
      <w:bookmarkEnd w:id="743"/>
      <w:bookmarkEnd w:id="744"/>
      <w:bookmarkEnd w:id="745"/>
    </w:p>
    <w:p>
      <w:pPr>
        <w:spacing w:line="360" w:lineRule="auto"/>
        <w:jc w:val="center"/>
        <w:rPr>
          <w:rFonts w:asciiTheme="minorEastAsia" w:hAnsiTheme="minorEastAsia" w:eastAsiaTheme="minorEastAsia"/>
          <w:color w:val="auto"/>
          <w:sz w:val="28"/>
          <w:highlight w:val="none"/>
        </w:rPr>
      </w:pPr>
    </w:p>
    <w:p>
      <w:pPr>
        <w:spacing w:line="360" w:lineRule="auto"/>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发包人支付保函(本项目不适用)</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（承包人）：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鉴于你方作为承包人已经与</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（发包人名称）（以下称“发包人”）于</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日签订了</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（工程名称）施工承包合同（以下称“主合同”），应发包人的申请，我方愿就发包人履行主合同约定的工程款支付义务以保证的方式向你方提供如下担保：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一、保证的范围及保证金额</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我方的保证范围是主合同约定的工程款。</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本保函所称主合同约定的工程款是指主合同约定的除工程质量保证金以外的合同价款。</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我方保证的金额是主合同约定的工程款的</w:t>
      </w: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，数额最高不超过人民币</w:t>
      </w:r>
      <w:r>
        <w:rPr>
          <w:rFonts w:asciiTheme="minorEastAsia" w:hAnsiTheme="minorEastAsia" w:eastAsiaTheme="minorEastAsia"/>
          <w:color w:val="auto"/>
          <w:highlight w:val="none"/>
        </w:rPr>
        <w:softHyphen/>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元（大写：</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二、保证的方式及保证期间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我方保证的方式为：连带责任保证。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我方保证的期间为：自本合同生效之日起至主合同约定的工程款支付之日后</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你方与发包人协议变更工程款支付日期的，经我方书面同意后，保证期间按照变更后的支付日期做相应调整。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三、承担保证责任的形式</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我方承担保证责任的形式是代为支付。发包人未按主合同约定向你方支付工程款的，由我方在保证金额内代为支付。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四、代偿的安排</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你方要求我方承担保证责任的，应向我方发出书面索赔通知及发包人未支付主合同约定工程款的证明材料。索赔通知应写明要求索赔的金额，支付款项应到达的帐号。</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我方收到你方的书面索赔通知及相应证明材料后，在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个工作日内进行核定后按照本保函的承诺承担保证责任。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五、保证责任的解除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、在本保函承诺的保证期间内，你方未书面向我方主张保证责任的，自保证期间届满次日起，我方保证责任解除。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、发包人按主合同约定履行了工程款的全部支付义务的，自本保函承诺的保证期间届满次日起，我方保证责任解除。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、我方按照本保函向你方履行保证责任所支付金额达到本保函保证金额时，自我方向你方支付（支付款项从我方帐户划出）之日起，保证责任即解除。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、按照法律法规的规定或出现应解除我方保证责任的其它情形的，我方在本保函项下的保证责任亦解除。</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我方解除保证责任后，你方应自我方保证责任解除之日起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个工作日内，将本保函原件返还我方。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六、免责条款</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、因你方违约致使发包人不能履行义务的，我方不承担保证责任。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、依照法律法规的规定或你方与发包人的另行约定，免除发包人部分或全部义务的，我方亦免除其相应的保证责任。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、你方与发包人协议变更主合同的（符合主合同合同条款第</w:t>
      </w:r>
      <w:r>
        <w:rPr>
          <w:rFonts w:asciiTheme="minorEastAsia" w:hAnsiTheme="minorEastAsia" w:eastAsiaTheme="minorEastAsia"/>
          <w:color w:val="auto"/>
          <w:highlight w:val="none"/>
        </w:rPr>
        <w:t>15</w:t>
      </w:r>
      <w:r>
        <w:rPr>
          <w:rFonts w:hint="eastAsia" w:asciiTheme="minorEastAsia" w:hAnsiTheme="minorEastAsia" w:eastAsiaTheme="minorEastAsia"/>
          <w:color w:val="auto"/>
          <w:highlight w:val="none"/>
        </w:rPr>
        <w:t>条约定的变更除外），如加重发包人责任致使我方保证责任加重的，需征得我方书面同意，否则我方不再承担因此而加重部分的保证责任。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、因不可抗力造成发包人不能履行义务的，我方不承担保证责任。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七、争议的解决</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因本保函发生的纠纷，由贵我双方协商解决，协商不成的，任何一方均可提请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仲裁委员会仲裁。</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八、保函的生效</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本保函自我方法定代表人（或其授权代理人）签字或加盖公章并交付你方之日起生效。</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本条所称交付是指：</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w:t>
      </w:r>
    </w:p>
    <w:p>
      <w:pPr>
        <w:spacing w:line="360" w:lineRule="auto"/>
        <w:rPr>
          <w:rFonts w:asciiTheme="minorEastAsia" w:hAnsiTheme="minorEastAsia" w:eastAsiaTheme="minorEastAsia"/>
          <w:color w:val="auto"/>
          <w:highlight w:val="none"/>
        </w:rPr>
      </w:pPr>
    </w:p>
    <w:p>
      <w:pPr>
        <w:spacing w:line="360" w:lineRule="auto"/>
        <w:ind w:left="2692" w:leftChars="12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担保人：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（盖单位章）</w:t>
      </w:r>
    </w:p>
    <w:p>
      <w:pPr>
        <w:spacing w:line="360" w:lineRule="auto"/>
        <w:ind w:left="2692" w:leftChars="12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法定代表人或其委托代理人：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p>
    <w:p>
      <w:pPr>
        <w:spacing w:line="360" w:lineRule="auto"/>
        <w:ind w:left="2692" w:leftChars="12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址：</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p>
    <w:p>
      <w:pPr>
        <w:spacing w:line="360" w:lineRule="auto"/>
        <w:ind w:left="2692" w:leftChars="1282"/>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邮政编码：</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ab/>
      </w:r>
      <w:r>
        <w:rPr>
          <w:rFonts w:asciiTheme="minorEastAsia" w:hAnsiTheme="minorEastAsia" w:eastAsiaTheme="minorEastAsia"/>
          <w:color w:val="auto"/>
          <w:highlight w:val="none"/>
          <w:u w:val="single"/>
        </w:rPr>
        <w:t xml:space="preserve">                   </w:t>
      </w:r>
    </w:p>
    <w:p>
      <w:pPr>
        <w:spacing w:line="360" w:lineRule="auto"/>
        <w:ind w:left="2692" w:leftChars="1282"/>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电</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话：</w:t>
      </w:r>
      <w:r>
        <w:rPr>
          <w:rFonts w:asciiTheme="minorEastAsia" w:hAnsiTheme="minorEastAsia" w:eastAsiaTheme="minorEastAsia"/>
          <w:color w:val="auto"/>
          <w:highlight w:val="none"/>
          <w:u w:val="single"/>
        </w:rPr>
        <w:t xml:space="preserve">                                           </w:t>
      </w:r>
    </w:p>
    <w:p>
      <w:pPr>
        <w:spacing w:line="360" w:lineRule="auto"/>
        <w:ind w:left="2692" w:leftChars="1282"/>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传</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真：</w:t>
      </w:r>
      <w:r>
        <w:rPr>
          <w:rFonts w:asciiTheme="minorEastAsia" w:hAnsiTheme="minorEastAsia" w:eastAsiaTheme="minorEastAsia"/>
          <w:color w:val="auto"/>
          <w:highlight w:val="none"/>
          <w:u w:val="single"/>
        </w:rPr>
        <w:t xml:space="preserve">                                           </w:t>
      </w:r>
    </w:p>
    <w:p>
      <w:pPr>
        <w:spacing w:line="360" w:lineRule="auto"/>
        <w:jc w:val="right"/>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日</w:t>
      </w:r>
    </w:p>
    <w:p>
      <w:pPr>
        <w:spacing w:line="360" w:lineRule="auto"/>
        <w:rPr>
          <w:rFonts w:asciiTheme="minorEastAsia" w:hAnsiTheme="minorEastAsia" w:eastAsiaTheme="minorEastAsia"/>
          <w:bCs/>
          <w:color w:val="auto"/>
          <w:highlight w:val="none"/>
        </w:rPr>
        <w:sectPr>
          <w:pgSz w:w="11906" w:h="16838"/>
          <w:pgMar w:top="1440" w:right="1797" w:bottom="1440" w:left="1797" w:header="851" w:footer="992" w:gutter="0"/>
          <w:cols w:space="425" w:num="1"/>
          <w:docGrid w:linePitch="312" w:charSpace="0"/>
        </w:sectPr>
      </w:pPr>
      <w:r>
        <w:rPr>
          <w:rFonts w:hint="eastAsia" w:asciiTheme="minorEastAsia" w:hAnsiTheme="minorEastAsia" w:eastAsiaTheme="minorEastAsia"/>
          <w:bCs/>
          <w:color w:val="auto"/>
          <w:highlight w:val="none"/>
        </w:rPr>
        <w:t>备注：本支付担保格式可采用经承包人同意的其他格式，但相关约定应当与承包人履约担保对等。</w:t>
      </w:r>
    </w:p>
    <w:p>
      <w:pPr>
        <w:keepNext/>
        <w:keepLines/>
        <w:spacing w:before="156" w:beforeLines="50" w:after="156" w:afterLines="50" w:line="360" w:lineRule="auto"/>
        <w:outlineLvl w:val="1"/>
        <w:rPr>
          <w:rFonts w:asciiTheme="minorEastAsia" w:hAnsiTheme="minorEastAsia" w:eastAsiaTheme="minorEastAsia"/>
          <w:color w:val="auto"/>
          <w:sz w:val="24"/>
          <w:szCs w:val="20"/>
          <w:highlight w:val="none"/>
        </w:rPr>
      </w:pPr>
      <w:bookmarkStart w:id="746" w:name="_Toc497584118"/>
      <w:bookmarkStart w:id="747" w:name="_Toc4999995"/>
      <w:bookmarkStart w:id="748" w:name="_Toc489219296"/>
      <w:bookmarkStart w:id="749" w:name="_Toc497214127"/>
      <w:r>
        <w:rPr>
          <w:rFonts w:hint="eastAsia" w:asciiTheme="minorEastAsia" w:hAnsiTheme="minorEastAsia" w:eastAsiaTheme="minorEastAsia"/>
          <w:color w:val="auto"/>
          <w:sz w:val="24"/>
          <w:szCs w:val="20"/>
          <w:highlight w:val="none"/>
        </w:rPr>
        <w:t>附件七：质量保修书格式</w:t>
      </w:r>
      <w:bookmarkEnd w:id="746"/>
      <w:bookmarkEnd w:id="747"/>
      <w:bookmarkEnd w:id="748"/>
      <w:bookmarkEnd w:id="749"/>
    </w:p>
    <w:p>
      <w:pPr>
        <w:tabs>
          <w:tab w:val="left" w:pos="3855"/>
        </w:tabs>
        <w:spacing w:line="360" w:lineRule="auto"/>
        <w:ind w:firstLine="560" w:firstLineChars="200"/>
        <w:jc w:val="center"/>
        <w:rPr>
          <w:rFonts w:asciiTheme="minorEastAsia" w:hAnsiTheme="minorEastAsia" w:eastAsiaTheme="minorEastAsia"/>
          <w:color w:val="auto"/>
          <w:sz w:val="28"/>
          <w:highlight w:val="none"/>
        </w:rPr>
      </w:pPr>
    </w:p>
    <w:p>
      <w:pPr>
        <w:tabs>
          <w:tab w:val="left" w:pos="3855"/>
        </w:tabs>
        <w:spacing w:line="360" w:lineRule="auto"/>
        <w:ind w:firstLine="560" w:firstLineChars="200"/>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房屋建筑工程质量保修书</w:t>
      </w:r>
    </w:p>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发包人：</w:t>
      </w:r>
      <w:r>
        <w:rPr>
          <w:rFonts w:asciiTheme="minorEastAsia" w:hAnsiTheme="minorEastAsia" w:eastAsiaTheme="minorEastAsia"/>
          <w:color w:val="auto"/>
          <w:highlight w:val="none"/>
          <w:u w:val="single"/>
        </w:rPr>
        <w:t xml:space="preserve">   </w:t>
      </w:r>
      <w:r>
        <w:rPr>
          <w:rFonts w:hint="eastAsia" w:ascii="宋体" w:hAnsi="宋体"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w:t>
      </w:r>
      <w:r>
        <w:rPr>
          <w:rFonts w:asciiTheme="minorEastAsia" w:hAnsiTheme="minorEastAsia" w:eastAsiaTheme="minorEastAsia"/>
          <w:color w:val="auto"/>
          <w:highlight w:val="none"/>
          <w:u w:val="single"/>
        </w:rPr>
        <w:t xml:space="preserve">  </w:t>
      </w:r>
      <w:r>
        <w:rPr>
          <w:rFonts w:hint="eastAsia" w:ascii="宋体" w:hAnsi="宋体"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ind w:firstLine="488"/>
        <w:rPr>
          <w:rFonts w:asciiTheme="minorEastAsia" w:hAnsiTheme="minorEastAsia" w:eastAsiaTheme="minorEastAsia"/>
          <w:color w:val="auto"/>
          <w:highlight w:val="none"/>
          <w:u w:val="single"/>
        </w:rPr>
      </w:pP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发包人、承包人根据《中华人民共和国建筑法》、《建设工程质量管理条例》和《房屋建筑工程质量保修办法》，经协商一致，对</w:t>
      </w:r>
      <w:r>
        <w:rPr>
          <w:rFonts w:hint="eastAsia" w:ascii="宋体" w:hAnsi="宋体"/>
          <w:color w:val="auto"/>
          <w:highlight w:val="none"/>
          <w:u w:val="single"/>
          <w:lang w:val="en-US" w:eastAsia="zh-CN"/>
        </w:rPr>
        <w:t xml:space="preserve">                   </w:t>
      </w:r>
      <w:r>
        <w:rPr>
          <w:rFonts w:hint="eastAsia" w:asciiTheme="minorEastAsia" w:hAnsiTheme="minorEastAsia" w:eastAsiaTheme="minorEastAsia"/>
          <w:color w:val="auto"/>
          <w:highlight w:val="none"/>
        </w:rPr>
        <w:t>（工程名称）签订保修书。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一、工程保修范围和内容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承包人在保修期内，按照有关法律、法规、规章的管理规定和双方约定，承担本工程保修责任。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保修责任范围包括 </w:t>
      </w:r>
      <w:r>
        <w:rPr>
          <w:rFonts w:hint="eastAsia" w:asciiTheme="minorEastAsia" w:hAnsiTheme="minorEastAsia" w:eastAsiaTheme="minorEastAsia"/>
          <w:color w:val="auto"/>
          <w:highlight w:val="none"/>
          <w:u w:val="single"/>
        </w:rPr>
        <w:t>施工合同约定的所有施工承包范围内工程质量保修责任</w:t>
      </w:r>
      <w:r>
        <w:rPr>
          <w:rFonts w:hint="eastAsia" w:asciiTheme="minorEastAsia" w:hAnsiTheme="minorEastAsia" w:eastAsiaTheme="minorEastAsia"/>
          <w:color w:val="auto"/>
          <w:highlight w:val="none"/>
        </w:rPr>
        <w:t>，以及双方约定的其他项目。具体保修的内容，双方约定如下：</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基础设施工程的地基基础和主体结构工程，为设计文件规定的合理使用年限；其他项目的保修期为两年，自全部工程竣工验收合格之日起计算</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工程质量保修责任：</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按《建设工程质量管理条例》规定执行</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二、保修期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双方根据《建设工程质量管理条例》及有关规定，约定本工程的保修期如下：</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地基基础工程和主体结构工程为设计文件规定的该工程合理使用年限；</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屋面防水工程、有防水要求的卫生间、房间和外墙面的防渗漏为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5</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外窗工程为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年，外窗防渗漏为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5</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装修工程为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电气管线、给排水管道、设备安装工程为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供热与供冷系统为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个采暖期、供冷期；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住宅小区内的给排水设施、道路等配套工程为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2</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其他项目保修期限约定如下：</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三、保修责任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r>
        <w:rPr>
          <w:rFonts w:hint="eastAsia" w:asciiTheme="minorEastAsia" w:hAnsiTheme="minorEastAsia" w:eastAsiaTheme="minorEastAsia"/>
          <w:color w:val="auto"/>
          <w:highlight w:val="none"/>
        </w:rPr>
        <w:t>、属于责任范围、内容的项目，承包人应当在接到保修通知之日起</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天内派人保修。承包人不在约定期限内派人保修的，发包人可以委托他人修理。</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、发生紧急抢修事故的，承包人在接到事故通知后，应当立即到达事故现场抢修。</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、质量保修完成后，由发包人组织验收。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四、保修费用</w:t>
      </w:r>
    </w:p>
    <w:p>
      <w:pPr>
        <w:spacing w:line="360" w:lineRule="auto"/>
        <w:ind w:firstLine="420" w:firstLineChars="20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保修费用由造成质量缺陷的责任方承担。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五、其</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他</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双方约定的其他工程保修责任事项：</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本工程保修书，由施工合同发包人、承包人双方在竣工验收前共同签署，作为施工合同附件，其有效期限至保修期满。</w:t>
      </w:r>
    </w:p>
    <w:p>
      <w:pPr>
        <w:spacing w:line="360" w:lineRule="auto"/>
        <w:rPr>
          <w:rFonts w:asciiTheme="minorEastAsia" w:hAnsiTheme="minorEastAsia" w:eastAsiaTheme="minorEastAsia"/>
          <w:color w:val="auto"/>
          <w:highlight w:val="none"/>
        </w:rPr>
      </w:pPr>
    </w:p>
    <w:p>
      <w:pPr>
        <w:spacing w:line="360" w:lineRule="auto"/>
        <w:ind w:left="6510" w:hanging="6510" w:hangingChars="31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w:t>
      </w:r>
      <w:r>
        <w:rPr>
          <w:rFonts w:hint="eastAsia" w:cs="Arial"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highlight w:val="none"/>
        </w:rPr>
        <w:t>（公章）承包人：</w:t>
      </w:r>
      <w:r>
        <w:rPr>
          <w:rFonts w:hint="eastAsia" w:ascii="宋体" w:hAnsi="宋体"/>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（公章）</w:t>
      </w:r>
      <w:r>
        <w:rPr>
          <w:rFonts w:asciiTheme="minorEastAsia" w:hAnsiTheme="minorEastAsia" w:eastAsiaTheme="minorEastAsia"/>
          <w:color w:val="auto"/>
          <w:highlight w:val="none"/>
        </w:rPr>
        <w:t xml:space="preserve"> </w:t>
      </w:r>
    </w:p>
    <w:p>
      <w:pPr>
        <w:spacing w:line="360" w:lineRule="auto"/>
        <w:ind w:left="5670" w:hanging="5670" w:hangingChars="27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法定地址：</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法定地址：</w:t>
      </w:r>
      <w:r>
        <w:rPr>
          <w:rFonts w:hint="eastAsia" w:ascii="宋体" w:hAnsi="宋体" w:cs="宋体"/>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法定代表人或其</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法定代表人或其</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电话：</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电话：</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传真：</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传真：</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电子邮箱：</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电子邮箱：</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开户银行：</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开户银行：</w:t>
      </w:r>
      <w:r>
        <w:rPr>
          <w:rFonts w:asciiTheme="minorEastAsia" w:hAnsiTheme="minorEastAsia" w:eastAsiaTheme="minorEastAsia"/>
          <w:color w:val="auto"/>
          <w:highlight w:val="none"/>
          <w:u w:val="single"/>
        </w:rPr>
        <w:t xml:space="preserve">   </w:t>
      </w:r>
      <w:r>
        <w:rPr>
          <w:rFonts w:hint="eastAsia" w:ascii="宋体" w:hAnsi="宋体" w:cs="宋体" w:eastAsiaTheme="minorEastAsia"/>
          <w:color w:val="auto"/>
          <w:spacing w:val="5"/>
          <w:sz w:val="20"/>
          <w:szCs w:val="20"/>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帐号：</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帐号：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邮政编码：</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邮政编码：</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keepNext/>
        <w:keepLines/>
        <w:spacing w:before="156" w:beforeLines="50" w:after="156" w:afterLines="50" w:line="360" w:lineRule="auto"/>
        <w:outlineLvl w:val="1"/>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br w:type="page"/>
      </w:r>
      <w:bookmarkStart w:id="750" w:name="_Toc497214128"/>
      <w:bookmarkStart w:id="751" w:name="_Toc489219297"/>
      <w:bookmarkStart w:id="752" w:name="_Toc497584119"/>
      <w:bookmarkStart w:id="753" w:name="_Toc4999996"/>
      <w:r>
        <w:rPr>
          <w:rFonts w:hint="eastAsia" w:asciiTheme="minorEastAsia" w:hAnsiTheme="minorEastAsia" w:eastAsiaTheme="minorEastAsia"/>
          <w:color w:val="auto"/>
          <w:sz w:val="24"/>
          <w:szCs w:val="20"/>
          <w:highlight w:val="none"/>
        </w:rPr>
        <w:t>附件八：廉政责任书格式</w:t>
      </w:r>
      <w:bookmarkEnd w:id="750"/>
      <w:bookmarkEnd w:id="751"/>
      <w:bookmarkEnd w:id="752"/>
      <w:bookmarkEnd w:id="753"/>
    </w:p>
    <w:p>
      <w:pPr>
        <w:keepNext/>
        <w:keepLines/>
        <w:spacing w:before="156" w:beforeLines="50" w:after="156" w:afterLines="50" w:line="360" w:lineRule="auto"/>
        <w:outlineLvl w:val="1"/>
        <w:rPr>
          <w:rFonts w:asciiTheme="minorEastAsia" w:hAnsiTheme="minorEastAsia" w:eastAsiaTheme="minorEastAsia"/>
          <w:color w:val="auto"/>
          <w:sz w:val="24"/>
          <w:szCs w:val="20"/>
          <w:highlight w:val="none"/>
        </w:rPr>
      </w:pPr>
    </w:p>
    <w:p>
      <w:pPr>
        <w:keepNext/>
        <w:keepLines/>
        <w:spacing w:before="156" w:beforeLines="50" w:after="156" w:afterLines="50" w:line="360" w:lineRule="auto"/>
        <w:jc w:val="center"/>
        <w:outlineLvl w:val="1"/>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建设工程廉政责任书</w:t>
      </w:r>
    </w:p>
    <w:p>
      <w:pPr>
        <w:keepNext/>
        <w:keepLines/>
        <w:spacing w:before="156" w:beforeLines="50" w:after="156" w:afterLines="50" w:line="360" w:lineRule="auto"/>
        <w:jc w:val="center"/>
        <w:outlineLvl w:val="1"/>
        <w:rPr>
          <w:rFonts w:asciiTheme="minorEastAsia" w:hAnsiTheme="minorEastAsia" w:eastAsiaTheme="minorEastAsia"/>
          <w:color w:val="auto"/>
          <w:sz w:val="28"/>
          <w:highlight w:val="none"/>
        </w:rPr>
      </w:pPr>
    </w:p>
    <w:p>
      <w:pPr>
        <w:spacing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发包人：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宋体" w:hAnsi="宋体" w:cs="宋体"/>
          <w:color w:val="auto"/>
          <w:spacing w:val="10"/>
          <w:sz w:val="23"/>
          <w:szCs w:val="23"/>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承包人：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u w:val="singl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pacing w:line="360" w:lineRule="auto"/>
        <w:ind w:firstLine="420" w:firstLineChars="200"/>
        <w:rPr>
          <w:rFonts w:asciiTheme="minorEastAsia" w:hAnsiTheme="minorEastAsia" w:eastAsiaTheme="minorEastAsia"/>
          <w:color w:val="auto"/>
          <w:szCs w:val="28"/>
          <w:highlight w:val="non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一、双方的责任</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1.1 </w:t>
      </w:r>
      <w:r>
        <w:rPr>
          <w:rFonts w:hint="eastAsia" w:asciiTheme="minorEastAsia" w:hAnsiTheme="minorEastAsia" w:eastAsiaTheme="minorEastAsia"/>
          <w:color w:val="auto"/>
          <w:szCs w:val="28"/>
          <w:highlight w:val="none"/>
        </w:rPr>
        <w:t>应严格遵守国家关于建设工程的有关法律、法规，相关政策，以及廉政建设的各项规定。</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1.2 </w:t>
      </w:r>
      <w:r>
        <w:rPr>
          <w:rFonts w:hint="eastAsia" w:asciiTheme="minorEastAsia" w:hAnsiTheme="minorEastAsia" w:eastAsiaTheme="minorEastAsia"/>
          <w:color w:val="auto"/>
          <w:szCs w:val="28"/>
          <w:highlight w:val="none"/>
        </w:rPr>
        <w:t>严格执行建设工程合同文件，自觉按合同办事。</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1.3 </w:t>
      </w:r>
      <w:r>
        <w:rPr>
          <w:rFonts w:hint="eastAsia" w:asciiTheme="minorEastAsia" w:hAnsiTheme="minorEastAsia" w:eastAsiaTheme="minorEastAsia"/>
          <w:color w:val="auto"/>
          <w:szCs w:val="28"/>
          <w:highlight w:val="none"/>
        </w:rPr>
        <w:t>各项活动必须坚持公开、公平、公正、诚信、透明的原则（除法律法规另有规定者外），不得为获取不正当的利益，损害国家、集体和对方利益，不得违反建设工程管理的规章制度。</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1.4 </w:t>
      </w:r>
      <w:r>
        <w:rPr>
          <w:rFonts w:hint="eastAsia" w:asciiTheme="minorEastAsia" w:hAnsiTheme="minorEastAsia" w:eastAsiaTheme="minorEastAsia"/>
          <w:color w:val="auto"/>
          <w:szCs w:val="28"/>
          <w:highlight w:val="none"/>
        </w:rPr>
        <w:t>发现对方在业务活动中有违规、违纪、违法行为的，应及时提醒对方，情节严重的，应向其上级主管部门或纪检监察、司法等有关机关举报。</w:t>
      </w:r>
    </w:p>
    <w:p>
      <w:pPr>
        <w:spacing w:line="360" w:lineRule="auto"/>
        <w:ind w:firstLine="420" w:firstLineChars="200"/>
        <w:rPr>
          <w:rFonts w:asciiTheme="minorEastAsia" w:hAnsiTheme="minorEastAsia" w:eastAsiaTheme="minorEastAsia"/>
          <w:color w:val="auto"/>
          <w:szCs w:val="28"/>
          <w:highlight w:val="non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二、发包人责任</w:t>
      </w: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发包人的领导和从事该建设工程项目的工作人员，在工程建设的事前、事中、事后应遵守以下规定：</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2.1</w:t>
      </w:r>
      <w:r>
        <w:rPr>
          <w:rFonts w:hint="eastAsia" w:asciiTheme="minorEastAsia" w:hAnsiTheme="minorEastAsia" w:eastAsiaTheme="minorEastAsia"/>
          <w:color w:val="auto"/>
          <w:szCs w:val="28"/>
          <w:highlight w:val="none"/>
        </w:rPr>
        <w:t>不得向承包人和相关单位索要或接受回扣、礼金、有价证券、贵重物品和好处费、感谢费等。</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2.2 </w:t>
      </w:r>
      <w:r>
        <w:rPr>
          <w:rFonts w:hint="eastAsia" w:asciiTheme="minorEastAsia" w:hAnsiTheme="minorEastAsia" w:eastAsiaTheme="minorEastAsia"/>
          <w:color w:val="auto"/>
          <w:szCs w:val="28"/>
          <w:highlight w:val="none"/>
        </w:rPr>
        <w:t>不得在承包人和相关单位报销任何应由发包人或个人支付的费用。</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2.3 </w:t>
      </w:r>
      <w:r>
        <w:rPr>
          <w:rFonts w:hint="eastAsia" w:asciiTheme="minorEastAsia" w:hAnsiTheme="minorEastAsia" w:eastAsiaTheme="minorEastAsia"/>
          <w:color w:val="auto"/>
          <w:szCs w:val="28"/>
          <w:highlight w:val="none"/>
        </w:rPr>
        <w:t>不得要求、暗示或接受承包人和相关单位为个人装修住房、婚丧嫁娶、配偶子女的工作安排以及出国（境）、旅游等提供方便。</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2.4 </w:t>
      </w:r>
      <w:r>
        <w:rPr>
          <w:rFonts w:hint="eastAsia" w:asciiTheme="minorEastAsia" w:hAnsiTheme="minorEastAsia" w:eastAsiaTheme="minorEastAsia"/>
          <w:color w:val="auto"/>
          <w:szCs w:val="28"/>
          <w:highlight w:val="none"/>
        </w:rPr>
        <w:t>不得参加有可能影响公正执行公务的承包人和相关单位的宴请、健身、娱乐等活动。</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2.5 </w:t>
      </w:r>
      <w:r>
        <w:rPr>
          <w:rFonts w:hint="eastAsia" w:asciiTheme="minorEastAsia" w:hAnsiTheme="minorEastAsia" w:eastAsiaTheme="minorEastAsia"/>
          <w:color w:val="auto"/>
          <w:szCs w:val="28"/>
          <w:highlight w:val="none"/>
        </w:rPr>
        <w:t>不得向承包人和相关单位介绍或为配偶、子女、亲属参与同发包人工程建设管理合同有关的业务活动；不得以任何理由要求承包人和相关单位使用某种产品、材料和设备。</w:t>
      </w:r>
    </w:p>
    <w:p>
      <w:pPr>
        <w:spacing w:line="360" w:lineRule="auto"/>
        <w:ind w:firstLine="420" w:firstLineChars="200"/>
        <w:rPr>
          <w:rFonts w:asciiTheme="minorEastAsia" w:hAnsiTheme="minorEastAsia" w:eastAsiaTheme="minorEastAsia"/>
          <w:color w:val="auto"/>
          <w:szCs w:val="28"/>
          <w:highlight w:val="non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三、承包人责任</w:t>
      </w: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应与发包人保持正常的业务交往，按照有关法律法规和程序开展业务工作，严格执行工程建设的有关方针、政策，执行工程建设强制性标准，并遵守以下规定：</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3.1 </w:t>
      </w:r>
      <w:r>
        <w:rPr>
          <w:rFonts w:hint="eastAsia" w:asciiTheme="minorEastAsia" w:hAnsiTheme="minorEastAsia" w:eastAsiaTheme="minorEastAsia"/>
          <w:color w:val="auto"/>
          <w:szCs w:val="28"/>
          <w:highlight w:val="none"/>
        </w:rPr>
        <w:t>不得以任何理由向发包人及其工作人员索要、接受或赠送礼金、有价证券、贵重物品及回扣、好处费、感谢费等。</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3.2</w:t>
      </w:r>
      <w:r>
        <w:rPr>
          <w:rFonts w:hint="eastAsia" w:asciiTheme="minorEastAsia" w:hAnsiTheme="minorEastAsia" w:eastAsiaTheme="minorEastAsia"/>
          <w:color w:val="auto"/>
          <w:szCs w:val="28"/>
          <w:highlight w:val="none"/>
        </w:rPr>
        <w:t>不得以任何理由为发包人和相关单位报销应由对方或个人支付的费用。</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3.3</w:t>
      </w:r>
      <w:r>
        <w:rPr>
          <w:rFonts w:hint="eastAsia" w:asciiTheme="minorEastAsia" w:hAnsiTheme="minorEastAsia" w:eastAsiaTheme="minorEastAsia"/>
          <w:color w:val="auto"/>
          <w:szCs w:val="28"/>
          <w:highlight w:val="none"/>
        </w:rPr>
        <w:t>不得接受或暗示为发包人、相关单位或个人装修住房、婚丧嫁娶、配偶子女的工作安排以及出国（境）、旅游等提供方便。</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3.4</w:t>
      </w:r>
      <w:r>
        <w:rPr>
          <w:rFonts w:hint="eastAsia" w:asciiTheme="minorEastAsia" w:hAnsiTheme="minorEastAsia" w:eastAsiaTheme="minorEastAsia"/>
          <w:color w:val="auto"/>
          <w:szCs w:val="28"/>
          <w:highlight w:val="none"/>
        </w:rPr>
        <w:t>不得以任何理由为发包人、相关单位或个人组织有可能影响公正执行公务的宴请、健身、娱乐等活动。</w:t>
      </w:r>
    </w:p>
    <w:p>
      <w:pPr>
        <w:spacing w:line="360" w:lineRule="auto"/>
        <w:ind w:firstLine="420" w:firstLineChars="200"/>
        <w:rPr>
          <w:rFonts w:asciiTheme="minorEastAsia" w:hAnsiTheme="minorEastAsia" w:eastAsiaTheme="minorEastAsia"/>
          <w:color w:val="auto"/>
          <w:szCs w:val="28"/>
          <w:highlight w:val="non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四、违约责任</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4.1</w:t>
      </w:r>
      <w:r>
        <w:rPr>
          <w:rFonts w:hint="eastAsia" w:asciiTheme="minorEastAsia" w:hAnsiTheme="minorEastAsia" w:eastAsiaTheme="minorEastAsia"/>
          <w:color w:val="auto"/>
          <w:szCs w:val="28"/>
          <w:highlight w:val="none"/>
        </w:rPr>
        <w:t>发包人工作人员有违反本责任书第一、二条责任行为的，依据有关法律、法规给予处理；涉嫌犯罪的，移交司法机关追究刑事责任；给承包人单位造成经济损失的，应予以赔偿。</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4.2 </w:t>
      </w:r>
      <w:r>
        <w:rPr>
          <w:rFonts w:hint="eastAsia" w:asciiTheme="minorEastAsia" w:hAnsiTheme="minorEastAsia" w:eastAsiaTheme="minorEastAsia"/>
          <w:color w:val="auto"/>
          <w:szCs w:val="28"/>
          <w:highlight w:val="none"/>
        </w:rPr>
        <w:t>承包人工作人员有违反本责任书第一、三条责任行为的，依据有关法律法规处理；涉嫌犯罪的，移交司法机关追究刑事责任；给发包人单位造成经济损失的，应予以赔偿。</w:t>
      </w:r>
    </w:p>
    <w:p>
      <w:pPr>
        <w:spacing w:line="360" w:lineRule="auto"/>
        <w:ind w:firstLine="420" w:firstLineChars="200"/>
        <w:rPr>
          <w:rFonts w:asciiTheme="minorEastAsia" w:hAnsiTheme="minorEastAsia" w:eastAsiaTheme="minorEastAsia"/>
          <w:color w:val="auto"/>
          <w:szCs w:val="28"/>
          <w:highlight w:val="none"/>
        </w:rPr>
      </w:pPr>
      <w:r>
        <w:rPr>
          <w:rFonts w:asciiTheme="minorEastAsia" w:hAnsiTheme="minorEastAsia" w:eastAsiaTheme="minorEastAsia"/>
          <w:color w:val="auto"/>
          <w:szCs w:val="28"/>
          <w:highlight w:val="none"/>
        </w:rPr>
        <w:t xml:space="preserve">4.3 </w:t>
      </w:r>
      <w:r>
        <w:rPr>
          <w:rFonts w:hint="eastAsia" w:asciiTheme="minorEastAsia" w:hAnsiTheme="minorEastAsia" w:eastAsiaTheme="minorEastAsia"/>
          <w:color w:val="auto"/>
          <w:szCs w:val="28"/>
          <w:highlight w:val="none"/>
        </w:rPr>
        <w:t>本责任书作为建设工程合同的组成部分，与建设工程合同具有同等法律效力。经双方签署后立即生效。</w:t>
      </w:r>
    </w:p>
    <w:p>
      <w:pPr>
        <w:spacing w:line="360" w:lineRule="auto"/>
        <w:ind w:firstLine="420" w:firstLineChars="200"/>
        <w:rPr>
          <w:rFonts w:asciiTheme="minorEastAsia" w:hAnsiTheme="minorEastAsia" w:eastAsiaTheme="minorEastAsia"/>
          <w:color w:val="auto"/>
          <w:szCs w:val="28"/>
          <w:highlight w:val="non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五、责任书有效期</w:t>
      </w: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本责任书的有效期为双方签署之日起至该工程项目竣工验收合格时止。</w:t>
      </w:r>
    </w:p>
    <w:p>
      <w:pPr>
        <w:spacing w:line="360" w:lineRule="auto"/>
        <w:ind w:firstLine="420" w:firstLineChars="200"/>
        <w:rPr>
          <w:rFonts w:asciiTheme="minorEastAsia" w:hAnsiTheme="minorEastAsia" w:eastAsiaTheme="minorEastAsia"/>
          <w:color w:val="auto"/>
          <w:szCs w:val="28"/>
          <w:highlight w:val="none"/>
        </w:rPr>
      </w:pP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六、责任书份数</w:t>
      </w:r>
    </w:p>
    <w:p>
      <w:pPr>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本责任书一式二份，发包人承包人各执一份，具有同等效力。</w:t>
      </w:r>
    </w:p>
    <w:p>
      <w:pPr>
        <w:spacing w:line="360" w:lineRule="auto"/>
        <w:ind w:left="6510" w:hanging="6510" w:hangingChars="31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w:t>
      </w:r>
      <w:r>
        <w:rPr>
          <w:rFonts w:hint="eastAsia" w:cs="Arial"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highlight w:val="none"/>
        </w:rPr>
        <w:t>（公章）承包人：</w:t>
      </w:r>
      <w:r>
        <w:rPr>
          <w:rFonts w:hint="eastAsia" w:ascii="宋体" w:hAnsi="宋体"/>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（公章）</w:t>
      </w:r>
      <w:r>
        <w:rPr>
          <w:rFonts w:asciiTheme="minorEastAsia" w:hAnsiTheme="minorEastAsia" w:eastAsiaTheme="minorEastAsia"/>
          <w:color w:val="auto"/>
          <w:highlight w:val="none"/>
        </w:rPr>
        <w:t xml:space="preserve"> </w:t>
      </w:r>
    </w:p>
    <w:p>
      <w:pPr>
        <w:spacing w:line="360" w:lineRule="auto"/>
        <w:ind w:left="5670" w:hanging="5670" w:hangingChars="27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法定地址：</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法定地址：</w:t>
      </w:r>
      <w:r>
        <w:rPr>
          <w:rFonts w:hint="eastAsia" w:ascii="宋体" w:hAnsi="宋体" w:cs="宋体"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法定代表人或其</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法定代表人或其</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委托代理人：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（签字）</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电话：</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电话：</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传真：</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传真：</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电子邮箱：</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电子邮箱：</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开户银行：</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开户银行：</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帐号：</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帐号：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邮政编码：</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邮政编码：</w:t>
      </w:r>
      <w:r>
        <w:rPr>
          <w:rFonts w:asciiTheme="minorEastAsia" w:hAnsiTheme="minorEastAsia" w:eastAsiaTheme="minorEastAsia"/>
          <w:color w:val="auto"/>
          <w:highlight w:val="none"/>
          <w:u w:val="single"/>
        </w:rPr>
        <w:t xml:space="preserve">     </w:t>
      </w:r>
      <w:r>
        <w:rPr>
          <w:rFonts w:hint="eastAsia" w:ascii="宋体" w:hAnsi="宋体" w:cs="宋体" w:eastAsiaTheme="minorEastAsia"/>
          <w:color w:val="auto"/>
          <w:spacing w:val="2"/>
          <w:sz w:val="20"/>
          <w:szCs w:val="20"/>
          <w:highlight w:val="none"/>
          <w:u w:val="single"/>
          <w:lang w:val="en-US" w:eastAsia="zh-CN"/>
        </w:rPr>
        <w:t xml:space="preserve">        </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p>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监督单位：</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（盖章）</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监督单位：</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（盖章）</w:t>
      </w:r>
    </w:p>
    <w:p>
      <w:pPr>
        <w:rPr>
          <w:rFonts w:asciiTheme="minorEastAsia" w:hAnsiTheme="minorEastAsia" w:eastAsiaTheme="minorEastAsia"/>
          <w:color w:val="auto"/>
          <w:sz w:val="24"/>
          <w:szCs w:val="20"/>
          <w:highlight w:val="none"/>
        </w:rPr>
      </w:pPr>
      <w:bookmarkStart w:id="754" w:name="_Toc4999997"/>
      <w:r>
        <w:rPr>
          <w:rFonts w:asciiTheme="minorEastAsia" w:hAnsiTheme="minorEastAsia" w:eastAsiaTheme="minorEastAsia"/>
          <w:color w:val="auto"/>
          <w:sz w:val="24"/>
          <w:szCs w:val="20"/>
          <w:highlight w:val="none"/>
        </w:rPr>
        <w:br w:type="page"/>
      </w:r>
    </w:p>
    <w:p>
      <w:pPr>
        <w:keepNext/>
        <w:keepLines/>
        <w:spacing w:before="156" w:beforeLines="50" w:after="156" w:afterLines="50" w:line="360" w:lineRule="auto"/>
        <w:outlineLvl w:val="1"/>
        <w:rPr>
          <w:rFonts w:asciiTheme="minorEastAsia" w:hAnsiTheme="minorEastAsia" w:eastAsiaTheme="minorEastAsia"/>
          <w:color w:val="auto"/>
          <w:sz w:val="24"/>
          <w:szCs w:val="20"/>
          <w:highlight w:val="none"/>
        </w:rPr>
      </w:pPr>
      <w:r>
        <w:rPr>
          <w:rFonts w:asciiTheme="minorEastAsia" w:hAnsiTheme="minorEastAsia" w:eastAsiaTheme="minorEastAsia"/>
          <w:color w:val="auto"/>
          <w:sz w:val="24"/>
          <w:szCs w:val="20"/>
          <w:highlight w:val="none"/>
        </w:rPr>
        <w:t>附件</w:t>
      </w:r>
      <w:r>
        <w:rPr>
          <w:rFonts w:hint="eastAsia" w:asciiTheme="minorEastAsia" w:hAnsiTheme="minorEastAsia" w:eastAsiaTheme="minorEastAsia"/>
          <w:color w:val="auto"/>
          <w:sz w:val="24"/>
          <w:szCs w:val="20"/>
          <w:highlight w:val="none"/>
        </w:rPr>
        <w:t>九：</w:t>
      </w:r>
      <w:r>
        <w:rPr>
          <w:rFonts w:hint="eastAsia" w:asciiTheme="minorEastAsia" w:hAnsiTheme="minorEastAsia" w:eastAsiaTheme="minorEastAsia"/>
          <w:color w:val="auto"/>
          <w:szCs w:val="20"/>
          <w:highlight w:val="none"/>
        </w:rPr>
        <w:t>安全生产、消防保卫、文明施工协议</w:t>
      </w:r>
      <w:bookmarkEnd w:id="754"/>
    </w:p>
    <w:p>
      <w:pPr>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安全生产、消防保卫、文明施工协议</w:t>
      </w:r>
    </w:p>
    <w:p>
      <w:pPr>
        <w:spacing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发包人：</w:t>
      </w:r>
      <w:r>
        <w:rPr>
          <w:rFonts w:asciiTheme="minorEastAsia" w:hAnsiTheme="minorEastAsia" w:eastAsiaTheme="minorEastAsia"/>
          <w:color w:val="auto"/>
          <w:highlight w:val="none"/>
          <w:u w:val="single"/>
        </w:rPr>
        <w:t xml:space="preserve">           </w:t>
      </w:r>
      <w:r>
        <w:rPr>
          <w:rFonts w:hint="eastAsia" w:ascii="宋体" w:hAnsi="宋体" w:cs="宋体"/>
          <w:color w:val="auto"/>
          <w:spacing w:val="10"/>
          <w:sz w:val="23"/>
          <w:szCs w:val="23"/>
          <w:highlight w:val="none"/>
          <w:u w:val="single"/>
          <w:lang w:val="en-US" w:eastAsia="zh-CN"/>
        </w:rPr>
        <w:t xml:space="preserve">                          </w:t>
      </w:r>
      <w:r>
        <w:rPr>
          <w:rFonts w:hint="eastAsia" w:ascii="宋体" w:hAnsi="宋体" w:cs="宋体"/>
          <w:color w:val="auto"/>
          <w:spacing w:val="10"/>
          <w:sz w:val="23"/>
          <w:szCs w:val="23"/>
          <w:highlight w:val="none"/>
          <w:u w:val="single"/>
        </w:rPr>
        <w:t xml:space="preserve">        </w:t>
      </w:r>
      <w:r>
        <w:rPr>
          <w:rFonts w:asciiTheme="minorEastAsia" w:hAnsiTheme="minorEastAsia" w:eastAsiaTheme="minorEastAsia"/>
          <w:color w:val="auto"/>
          <w:highlight w:val="none"/>
          <w:u w:val="single"/>
        </w:rPr>
        <w:t xml:space="preserve">                   </w:t>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承包人：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lang w:val="en-US" w:eastAsia="zh-CN"/>
        </w:rPr>
        <w:t xml:space="preserve">                                            </w:t>
      </w:r>
      <w:r>
        <w:rPr>
          <w:rFonts w:hint="eastAsia" w:ascii="宋体" w:hAnsi="宋体" w:cs="宋体"/>
          <w:color w:val="auto"/>
          <w:spacing w:val="10"/>
          <w:sz w:val="23"/>
          <w:szCs w:val="23"/>
          <w:highlight w:val="none"/>
          <w:u w:val="single"/>
        </w:rPr>
        <w:t xml:space="preserve"> </w:t>
      </w:r>
      <w:r>
        <w:rPr>
          <w:rFonts w:asciiTheme="minorEastAsia" w:hAnsiTheme="minorEastAsia" w:eastAsiaTheme="minorEastAsia"/>
          <w:color w:val="auto"/>
          <w:highlight w:val="none"/>
          <w:u w:val="single"/>
        </w:rPr>
        <w:t xml:space="preserve">                </w:t>
      </w:r>
    </w:p>
    <w:p>
      <w:pPr>
        <w:spacing w:line="400" w:lineRule="exact"/>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p>
    <w:p>
      <w:pPr>
        <w:spacing w:line="360" w:lineRule="auto"/>
        <w:ind w:firstLine="420" w:firstLineChars="200"/>
        <w:rPr>
          <w:rFonts w:asciiTheme="minorEastAsia" w:hAnsiTheme="minorEastAsia" w:eastAsiaTheme="minorEastAsia"/>
          <w:bCs/>
          <w:color w:val="auto"/>
          <w:highlight w:val="none"/>
          <w:u w:val="single"/>
        </w:rPr>
      </w:pPr>
      <w:r>
        <w:rPr>
          <w:rFonts w:hint="eastAsia" w:asciiTheme="minorEastAsia" w:hAnsiTheme="minorEastAsia" w:eastAsiaTheme="minorEastAsia"/>
          <w:color w:val="auto"/>
          <w:highlight w:val="none"/>
        </w:rPr>
        <w:t>为贯彻执行国务院“安全第一、预防为主”的方针，根据《中华人民共和国建筑法》、《中华人民共和国安全生产法》、《建设工程安全生产管理条例》和其它国家、地方行业主管部门颁布实施的有关安全生产的法律、法规、标准、规范及规定，明确双方的安全生产责任，确保施工安全，双方就承包人在</w:t>
      </w:r>
      <w:r>
        <w:rPr>
          <w:rFonts w:hint="eastAsia" w:asciiTheme="minorEastAsia" w:hAnsiTheme="minorEastAsia" w:eastAsiaTheme="minorEastAsia"/>
          <w:bCs/>
          <w:color w:val="auto"/>
          <w:highlight w:val="none"/>
          <w:u w:val="single"/>
          <w:lang w:val="en-US" w:eastAsia="zh-CN"/>
        </w:rPr>
        <w:t xml:space="preserve">         </w:t>
      </w:r>
      <w:r>
        <w:rPr>
          <w:rFonts w:hint="eastAsia" w:asciiTheme="minorEastAsia" w:hAnsiTheme="minorEastAsia" w:eastAsiaTheme="minorEastAsia"/>
          <w:bCs/>
          <w:color w:val="auto"/>
          <w:highlight w:val="none"/>
          <w:u w:val="single"/>
        </w:rPr>
        <w:t xml:space="preserve"> </w:t>
      </w:r>
      <w:r>
        <w:rPr>
          <w:rFonts w:hint="eastAsia" w:asciiTheme="minorEastAsia" w:hAnsiTheme="minorEastAsia" w:eastAsiaTheme="minorEastAsia"/>
          <w:color w:val="auto"/>
          <w:highlight w:val="none"/>
        </w:rPr>
        <w:t>进行</w:t>
      </w:r>
      <w:r>
        <w:rPr>
          <w:rFonts w:hint="eastAsia" w:asciiTheme="minorEastAsia" w:hAnsiTheme="minorEastAsia" w:eastAsiaTheme="minorEastAsia"/>
          <w:bCs/>
          <w:color w:val="auto"/>
          <w:highlight w:val="none"/>
          <w:u w:val="single"/>
        </w:rPr>
        <w:t xml:space="preserve"> </w:t>
      </w:r>
      <w:r>
        <w:rPr>
          <w:rFonts w:hint="eastAsia" w:ascii="宋体" w:hAnsi="宋体" w:cs="宋体"/>
          <w:color w:val="auto"/>
          <w:spacing w:val="10"/>
          <w:sz w:val="23"/>
          <w:szCs w:val="23"/>
          <w:highlight w:val="none"/>
          <w:u w:val="single"/>
          <w:lang w:val="en-US" w:eastAsia="zh-CN"/>
        </w:rPr>
        <w:t xml:space="preserve">        </w:t>
      </w:r>
      <w:r>
        <w:rPr>
          <w:rFonts w:hint="eastAsia" w:asciiTheme="minorEastAsia" w:hAnsiTheme="minorEastAsia" w:eastAsiaTheme="minorEastAsia"/>
          <w:bCs/>
          <w:color w:val="auto"/>
          <w:highlight w:val="none"/>
          <w:u w:val="single"/>
        </w:rPr>
        <w:t xml:space="preserve"> </w:t>
      </w:r>
      <w:r>
        <w:rPr>
          <w:rFonts w:hint="eastAsia" w:asciiTheme="minorEastAsia" w:hAnsiTheme="minorEastAsia" w:eastAsiaTheme="minorEastAsia"/>
          <w:color w:val="auto"/>
          <w:highlight w:val="none"/>
        </w:rPr>
        <w:t>项目</w:t>
      </w:r>
      <w:r>
        <w:rPr>
          <w:rFonts w:hint="eastAsia" w:ascii="宋体" w:hAnsi="宋体" w:cs="宋体"/>
          <w:color w:val="auto"/>
          <w:spacing w:val="10"/>
          <w:sz w:val="23"/>
          <w:szCs w:val="23"/>
          <w:highlight w:val="none"/>
          <w:u w:val="single"/>
        </w:rPr>
        <w:t xml:space="preserve"> </w:t>
      </w:r>
      <w:r>
        <w:rPr>
          <w:rFonts w:hint="eastAsia" w:ascii="宋体" w:hAnsi="宋体" w:cs="宋体" w:eastAsiaTheme="minorEastAsia"/>
          <w:color w:val="auto"/>
          <w:spacing w:val="10"/>
          <w:sz w:val="23"/>
          <w:szCs w:val="23"/>
          <w:highlight w:val="none"/>
          <w:u w:val="single"/>
          <w:lang w:val="en-US" w:eastAsia="zh-CN"/>
        </w:rPr>
        <w:t xml:space="preserve">        </w:t>
      </w:r>
      <w:r>
        <w:rPr>
          <w:rFonts w:hint="eastAsia" w:asciiTheme="minorEastAsia" w:hAnsiTheme="minorEastAsia" w:eastAsiaTheme="minorEastAsia"/>
          <w:color w:val="auto"/>
          <w:highlight w:val="none"/>
        </w:rPr>
        <w:t>施工期间的安全、消防、保卫以及文明施工等方面事宜，签订本协议。</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一、发包人、承包人双方共同明确的安全责任目标</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1、杜绝责任伤亡事故；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2、杜绝机械事故及急性中毒事故；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3、杜绝火灾事故及火灾伤亡事故；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4、一般事故频率力争为零。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二、安全生产方面</w:t>
      </w:r>
    </w:p>
    <w:p>
      <w:pPr>
        <w:spacing w:line="360" w:lineRule="auto"/>
        <w:ind w:firstLine="315" w:firstLineChars="15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（一）发包人权利和义务</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1、发包人对承包人承包范围内的安全生产活动进行监督、检查。对检查中发现的隐患有权责令整改、停工整顿或要求乙方支付违约金。对于发现违章指挥、违章操作的，应当立即制止，依法查处和纠正。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的机械设备、脚手架等设施在搭设、安装完毕提交使用前，由发包人委托的监理单位按规定检查、验收，并做好验收及交付使用的书面手续，严禁承包人在未经验收或验收不合格的情况下投入使用，否则由此发生的后果概由承包人负责。</w:t>
      </w:r>
    </w:p>
    <w:p>
      <w:pPr>
        <w:spacing w:line="360" w:lineRule="auto"/>
        <w:ind w:firstLine="359" w:firstLineChars="171"/>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3、发包人按规定对施工现场发生的生产安全事故进行上报；</w:t>
      </w:r>
    </w:p>
    <w:p>
      <w:pPr>
        <w:tabs>
          <w:tab w:val="left" w:pos="0"/>
        </w:tabs>
        <w:spacing w:line="360" w:lineRule="auto"/>
        <w:ind w:firstLine="359" w:firstLineChars="171"/>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4、发包人有义务对承包人发生生产安全事故时提供协助救援服务；</w:t>
      </w:r>
    </w:p>
    <w:p>
      <w:pPr>
        <w:tabs>
          <w:tab w:val="left" w:pos="0"/>
        </w:tabs>
        <w:spacing w:line="360" w:lineRule="auto"/>
        <w:ind w:firstLine="359" w:firstLineChars="171"/>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5、发包人有义务对承包人开展的安全生产活动提供必要的帮助；</w:t>
      </w:r>
    </w:p>
    <w:p>
      <w:pPr>
        <w:spacing w:line="360" w:lineRule="auto"/>
        <w:ind w:firstLine="359" w:firstLineChars="171"/>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6、发包人可要求承包人立刻撤走任何现场被发包人认为是没有适当遵守政府相关部门及地方当局发布的安全条例和指令的人员。</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（二）承包人权利和义务</w:t>
      </w:r>
    </w:p>
    <w:p>
      <w:pPr>
        <w:tabs>
          <w:tab w:val="left" w:pos="18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1、承包人须认真贯彻国家、地方政府和上级劳动保护、安全生产主管部门颁发的有关安全生产、消防工作的法规、制度、方针、政策、严格执行有关劳动保护法规、条例、规定。</w:t>
      </w:r>
    </w:p>
    <w:p>
      <w:pPr>
        <w:tabs>
          <w:tab w:val="left" w:pos="0"/>
        </w:tabs>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须建立健全施工现场安全生产保证体系，设立安全生产管理机构，包括主抓安全生产的领导，配备专职安全员。制定施工现场安全管理制度，对施工现场的安全生产负总责。定期布置、实施、检查、评价、总结工程的安全生产情况。</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负责编制的施工组织设计中应制定安全技术措施方案和现场临时用电方案，对达到一定规模的危险性较大的分部分项工程、起重吊装工程、脚手架工程等或其他危险性较大的编制专项施工方案并监督实施。工程施工前专职安全员应当对施工方案中有关安全施工的技术要求向施工人员进行书面交底。</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4、承包人须负责对其管理人员、施工人员进行入场三级教育培训管理，并具体负责经理部级安全教育培训工作，并对施工队（班组）级安全教育进行监督、管理。</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5、承包人须严格遵守</w:t>
      </w:r>
      <w:r>
        <w:rPr>
          <w:rFonts w:hint="eastAsia" w:asciiTheme="minorEastAsia" w:hAnsiTheme="minorEastAsia" w:eastAsiaTheme="minorEastAsia"/>
          <w:color w:val="auto"/>
          <w:highlight w:val="none"/>
          <w:u w:val="single"/>
        </w:rPr>
        <w:t>《北京市人民政府关于外地建筑企业来京施工管理暂行规定》</w:t>
      </w:r>
      <w:r>
        <w:rPr>
          <w:rFonts w:hint="eastAsia" w:asciiTheme="minorEastAsia" w:hAnsiTheme="minorEastAsia" w:eastAsiaTheme="minorEastAsia"/>
          <w:color w:val="auto"/>
          <w:highlight w:val="none"/>
        </w:rPr>
        <w:t>（1988年7月1日京政发第61号发布，根据1997年12月31日京政发第12号令修改），</w:t>
      </w:r>
      <w:r>
        <w:rPr>
          <w:rFonts w:hint="eastAsia" w:asciiTheme="minorEastAsia" w:hAnsiTheme="minorEastAsia" w:eastAsiaTheme="minorEastAsia"/>
          <w:color w:val="auto"/>
          <w:highlight w:val="none"/>
          <w:u w:val="single"/>
        </w:rPr>
        <w:t>《北京市建设工程劳务管理若干规定》</w:t>
      </w:r>
      <w:r>
        <w:rPr>
          <w:rFonts w:hint="eastAsia" w:asciiTheme="minorEastAsia" w:hAnsiTheme="minorEastAsia" w:eastAsiaTheme="minorEastAsia"/>
          <w:color w:val="auto"/>
          <w:highlight w:val="none"/>
        </w:rPr>
        <w:t>（京建法[2004]121号，</w:t>
      </w:r>
      <w:r>
        <w:rPr>
          <w:rFonts w:hint="eastAsia" w:asciiTheme="minorEastAsia" w:hAnsiTheme="minorEastAsia" w:eastAsiaTheme="minorEastAsia"/>
          <w:color w:val="auto"/>
          <w:highlight w:val="none"/>
          <w:u w:val="single"/>
        </w:rPr>
        <w:t>《北京市外地来京人员卫生防疫管理规定》</w:t>
      </w:r>
      <w:r>
        <w:rPr>
          <w:rFonts w:hint="eastAsia" w:asciiTheme="minorEastAsia" w:hAnsiTheme="minorEastAsia" w:eastAsiaTheme="minorEastAsia"/>
          <w:color w:val="auto"/>
          <w:highlight w:val="none"/>
        </w:rPr>
        <w:t>以及其它关于外地来京施工企业管理的相关的法律、法规及条例。任何违反上述条例造成的案件、事故、事件等的经济责任及法律责任均由承包人承担，因此造成的发包人方的经济损失由承包人承担。</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6、发包人须持有北京市劳动局核发</w:t>
      </w:r>
      <w:r>
        <w:rPr>
          <w:rFonts w:hint="eastAsia" w:asciiTheme="minorEastAsia" w:hAnsiTheme="minorEastAsia" w:eastAsiaTheme="minorEastAsia"/>
          <w:color w:val="auto"/>
          <w:highlight w:val="none"/>
          <w:u w:val="single"/>
        </w:rPr>
        <w:t>安全生产许可证</w:t>
      </w:r>
      <w:r>
        <w:rPr>
          <w:rFonts w:hint="eastAsia" w:asciiTheme="minorEastAsia" w:hAnsiTheme="minorEastAsia" w:eastAsiaTheme="minorEastAsia"/>
          <w:color w:val="auto"/>
          <w:highlight w:val="none"/>
        </w:rPr>
        <w:t>[需在规定的有效期内]。并按发包人要求提供</w:t>
      </w:r>
      <w:r>
        <w:rPr>
          <w:rFonts w:hint="eastAsia" w:asciiTheme="minorEastAsia" w:hAnsiTheme="minorEastAsia" w:eastAsiaTheme="minorEastAsia"/>
          <w:color w:val="auto"/>
          <w:highlight w:val="none"/>
          <w:u w:val="single"/>
        </w:rPr>
        <w:t>企业法人营业执照</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u w:val="single"/>
        </w:rPr>
        <w:t>施工单位资质证书</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u w:val="single"/>
        </w:rPr>
        <w:t>安全生产许可证</w:t>
      </w:r>
      <w:r>
        <w:rPr>
          <w:rFonts w:hint="eastAsia" w:asciiTheme="minorEastAsia" w:hAnsiTheme="minorEastAsia" w:eastAsiaTheme="minorEastAsia"/>
          <w:color w:val="auto"/>
          <w:highlight w:val="none"/>
        </w:rPr>
        <w:t>等有效的复印件，复印件应字迹清晰，容易辨认，并加盖单位公章[不得对复印件再次复印]。</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承包人熟悉并能自觉遵守、执行《北京市外地来京人员卫生防疫管理规定》、《北京市&lt;建设工程施工现场管理规定&gt;实施细则》、《北京市建设工现场管理电安全技术规范》及其它中华人民共和国国家政府（含地方政府）、行业主管部门颁布实施的有关安全生产的法律、法规、规范、标准及各项规定。能积极参加各种有关促进安全生产的各项活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8、承包人必须制定并执行下列安全管理制度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（1）安全技术管理制度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①  承包人必须执行施工组织设计和安全技术方案。承包人单项作业安全防护措施，需报发包人审批，改变原方案必须重新报批。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②  承包人须执行安全技术交底制度和班长班前安全讲话制度，并跟班检查管理。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（2）承包人必须执行安全教育培训持证上岗制度</w:t>
      </w:r>
    </w:p>
    <w:p>
      <w:pPr>
        <w:spacing w:line="360" w:lineRule="auto"/>
        <w:ind w:left="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①  承包人项目经理、主管生产经理、技术负责人、工长等施工管理人员须接受培训，考试合格后方可上岗。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②  承包人一般工人入场一律接受三级安全教育，并负责对本单位施工人员进行施工队（班组）级安全教育培训，考试合格方准进入施工现场。如果乙方的人员需要变化，必须提出计划报告发包人，对变化的人员按规定进行教育、考核后方可上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③  承包人的特种作业人员的配置必须满足施工需要，并持有有效证件（原籍地、市级劳动部门签发），经考核合格者换领北京市劳动局核发的特种作业操作证，持证上岗。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④  承包人工人变换施工现场必须实施转场教育。</w:t>
      </w:r>
    </w:p>
    <w:p>
      <w:pPr>
        <w:spacing w:line="360" w:lineRule="auto"/>
        <w:ind w:left="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⑤  承包人必须执行周一安全活动一小时制度。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（3）承包人必须执行安全生产检查制度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①  承包人必须接受总包方或发包人上级主管部门组织的各种安全生产检查。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②  承包人必须接受政府行业主管部门及劳动部门的安全生产检查。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③  承包人必须自行建立安全生产定期检查制度并严格贯彻实施。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④  承包人必须设专职安全人员实施日常检查制度及工长、班长跟班检查制度和班组自检制度。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⑤  承包人必须严格执行检查整改消项制度。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（4）承包人必须执行安全防护设施、设备验收制度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①  承包人必须自带施工用机械设备必须是国家正规厂家产品，机械性能良好、安全防护装置灵敏可靠。</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②  承包人的中小型机械设备和一般防护设施执行自检后报监理验收。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③  承包人的大型防护设施和大型机械设备须接受专职部门的专业验收。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④  承包人必须按规定提供设备技术数据，防护装置技术特性，设备履历档案及防护设施支搭（安装）方案。其方案必须满足发包人所在地政府相关规定。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⑤  承包人须执行验收表和施工变化后的交接检验收制度。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（5）承包人必须执行重要劳动防护用品认定厂家、认定产品的采购制度。凡重要的劳动防护用品必须按发包人指定厂家购买。如：安全帽、安全网、漏电保护电箱、五芯电缆、脚手架等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（6）承包人必须执行个人劳动防护用品定期定量供应制度。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（7）承包人必须预防和治理职业伤害与中毒事故。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（8）承包人必须严肃执行员工因工伤亡报告制度。</w:t>
      </w:r>
    </w:p>
    <w:p>
      <w:pPr>
        <w:spacing w:line="360" w:lineRule="auto"/>
        <w:ind w:left="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①  承包人员工在施工现场于工作时间内从事施工过程中所发生的伤害事 故为工伤事故。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②  如果发生事故，在事故发生后2小时内，承包人通知发包人代表报告事故的详情；若发生死亡或重大事故，承包人应立即通知发包人代表并上报政府有关部门，同时采取相应的措施，组织合力抢救伤员，保护事故现场。如因抢救伤员必须移动现场设备、设施者要做出记录或拍照。</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③  承包人要积极配合发包人及发包人上级部门、政府部门对事故的调查和现场勘查，不得提供伪证，不准隐瞒不报。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④  承包人须承担因为承包人的原因造成的安全事故的经济责任及法律责任。</w:t>
      </w:r>
    </w:p>
    <w:p>
      <w:pPr>
        <w:spacing w:line="360" w:lineRule="auto"/>
        <w:ind w:left="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⑤  如果发生伤亡事故，无论事故的责任者为何人，承包人须做好事故的善后处理工作。发包人不直接对伤亡者及其家属。承包人应当承担因为承包人事故的善后处理不当而发生的影响发包人工作的事件给发包人及其他承包商造成的经济损失及相关的法律责任。</w:t>
      </w:r>
    </w:p>
    <w:p>
      <w:pPr>
        <w:tabs>
          <w:tab w:val="left" w:pos="540"/>
        </w:tabs>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承包人必须教育并约束员工严格遵守施工现场安全管理规定，对遵章守纪者给予表扬，对违章作业，违章指挥，违反劳动纪律和规章制度者给予处罚。本分包工程必须贯彻执行安全生产的各种规范、标准。严格执行发包人的“项目管理手册”。</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承包人要对所有工程范围内工作人员的安全负责。承包人必须采取一切严密的、符合安全标准的预防措施确保所有工作场所安全不存在妨碍工人安全和卫生的危险，并保证建筑工地的所有人员或附近的人员免遭工地可能发生的一切危险。</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10、施工工地上在工人可能经过的每一个工作场所和任何其它地方均应提供充足和适用的照明，需要时提供手体式照明设备。</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11、施工现场和工人操作面，必须严格按国家、政府规定的安全生产、文明施工标准搞好防护预防工作，保证工人有安全可靠卫生的工作环境，严禁违章作业、违章指挥。</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12、承包人应提供和实施配戴有效的安全帽，若有必要还需配戴面罩、眼罩、护耳、安全带及其它人身防护设备。</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13、承包人应在合同签定之后15天内，呈送安全防范方案详述将要采取的安全措施以报监理人、发包人批准。但此批准并不减轻承包人的安全责任。</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14、承包人应按规定每30人（低于30人按照30人计算）配备至少一名专职安全员负责安全检查、 安全方案和措施并执行。</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15、承包人施工时应穿戴整齐，文明施工，绝不允许发生偷窥、偷盗等现象，如有发现，施工单位立即退出施工，并赔偿发包人所有损失。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三、消防保卫方面</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必须认真遵守国家的有关法律、法规及建设部、北京市政府、北京市建委颁发的有关治安、消防、交通安全管理规定。承包人应严格按总包方消防保卫制度及发包人施工现场消防保卫的特殊要求组织施工，并接受发包人的安全检查；对发包人所签发的隐患整改通知，承包人在发包人指定的期限内立即整改完毕，逾期不改或整改不符合发包人的要求，甲发包人有权按规定对承包人进行经济处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2、承包人需配备足够的专/兼职保卫人员负责本单位保卫工作。加强施工现场防火、防电保护，配备相应的器材及各种警告、警示标志。</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凡由于承包人管理及自身防范措施不力或承包人工人责任造成的案件、火灾、交通事故（含施工现场内）等灾害事故，事故经济责任、事故法律责任及事故善后处理由承包人独自承担，因此给发包人造成的经济损失由承包人负责赔偿，发包人可对其进行经济处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4、承包人应加强对现场及其人员管理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（1）严格遵守《北京市建设工程施工现场管理办法》相关规定；</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（2）承包人必须遵守现场安全文明施工的规定，在设施投入、现场布置、人员管理等方面要符合发包人的要求，在施工过程中，对全体施工人员的服装、安全帽等进行统一管理。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（3）承包人应采取一切合理的措施，防止其劳务人员发生任何违法暴乱或妨害治安的行为，保持和平安定并且保护工程周围人员和财产不受上述行为的危害，由此造成的一切损失和费用均由承包人自己负责。</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（4）承包人应建立工地章程，订立在工地执行工作时需遵守的各项制度，工地章程应包括以下几方面的规章，但不限于此。</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a 保安；</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b 施工安全；</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c 门卫制度；</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d 卫生；</w:t>
      </w:r>
    </w:p>
    <w:p>
      <w:pPr>
        <w:tabs>
          <w:tab w:val="left" w:pos="0"/>
        </w:tabs>
        <w:spacing w:line="360" w:lineRule="auto"/>
        <w:ind w:left="-2" w:leftChars="-1"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e 防火、其它保护临近的规章；</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在现场的人员中，应配足合格的安全员，专门处理安全和防止全部劳务人员发生事故方面的问题，此人应有权发出指令及采取防止事故发生的预防措施，因发生事故而造成的一切费用，均由责任方承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（6）承包人应自费采取适当的预防措施，以保证其劳务人员的安全。在整个合同期间自始至终在工人住处确保配有医务人员和急救设备等，并且采取适当的安排以预防传染病，并提供所有的福利及卫生条件。</w:t>
      </w:r>
    </w:p>
    <w:p>
      <w:pPr>
        <w:spacing w:line="360" w:lineRule="auto"/>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（7）承包人应配足合格的质量检查人员，并指定专门的质量负责人进行整个施工现场的质量管理和检查工作，配备足够的质量检测工具。</w:t>
      </w:r>
    </w:p>
    <w:p>
      <w:pPr>
        <w:spacing w:line="360" w:lineRule="auto"/>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（8）承包人应加强对施工现场和库房的管理，严禁无关人员入内。</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四、违约责任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1、因为承包人疏于管理、违反操作规程、违反相关法律法规、违反合同约定或施工不当，造成的施工现场人员伤亡、财产损失和其它责任事故，由承包人承担责任。</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对于因承包人原因造成的事故责任，发包人有权视情节严重处以工程总价2%-3%的违约金。对于法律规定发包人承担连带责任的，发包人有权向承包人追偿，追偿费用包括相应的赔偿费用、诉讼费用金及律师费用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五、文明施工方面</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1、施工时间：</w:t>
      </w:r>
      <w:r>
        <w:rPr>
          <w:rFonts w:hint="eastAsia" w:asciiTheme="minorEastAsia" w:hAnsiTheme="minorEastAsia" w:eastAsiaTheme="minorEastAsia"/>
          <w:color w:val="auto"/>
          <w:highlight w:val="none"/>
          <w:u w:val="single"/>
        </w:rPr>
        <w:t>早7：00至中午11：30，中午13：00至晚18：30，夜间施工按北京市规定要求不超过22：00。</w:t>
      </w:r>
      <w:r>
        <w:rPr>
          <w:rFonts w:hint="eastAsia" w:asciiTheme="minorEastAsia" w:hAnsiTheme="minorEastAsia" w:eastAsiaTheme="minorEastAsia"/>
          <w:color w:val="auto"/>
          <w:highlight w:val="none"/>
        </w:rPr>
        <w:t>施工过程中，应提前通知物业单位和居民扰民施工时间，做好宣传工作，取得居民的理解和支持。</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承包人施工中对于施工现场周边绿地、树木、楼顶的防水层以及居民室外财物包括汽车、空调室外机等设备设施要进行防护，由于施工造成损坏，承包人负责进行修复或赔偿。承包人如需移动或拆除设施要提前取得发包人、物业单位和居民同意。</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施工期间材料应堆放在发包人指定位置，不得随意堆放建筑材料，并做好防尘防砂措施；施工期间应保持施工现场整洁、卫生，产生的生活和建筑垃圾应及时清理。由承包人随意堆放建筑材料所引起的安全事故、人员伤害和财产损失均由承包人负全责。</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承包人在施工期间应加强对工人的管理，严禁随地大小便，注意语言文明，禁止员工之间或与外单位、学校人员发生矛盾和冲突，要加强对工人组织性和纪律性的教育，当遇到居民询问要态度良好，文明礼貌。</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5、承包人应严格要求施工队伍文明施工，如在平时施工时，发包人、监理单位巡视现场发现不文明施工的情况，对承包人将处以200元/次的违约金。</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不文明施工的情况包括但不限于以下行为：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1）随地大小便。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2）在施工现场抽烟，或现场发现烟头。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3）剩饭剩菜随地乱倒。</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4）现场施工人员不带安全帽。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5）进入施工现场着装不整。</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6）浪费水电。</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7）施工现场不整洁或作业面脏乱。</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8）建筑材料随意堆放。</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6、若承包人出现本款所列的行为，发包人有权视情节严重程度对承包人处以每次200元的违约金。</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1）承包人各工作人员未保持其留给发包人、监理的联系方式畅通有效，导致发包人、监理无法在需要的时候与之取得联系。</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2）发包人、监理确认发现的工程质量问题或安全隐患已发生24小时，而承包人无足够证据证明在发包人、监理发现此问题前已经发现该问题并已给予恰当的处理。</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3）承包人对发包人、监理要求回文的文件未回文或回文延期的。</w:t>
      </w:r>
    </w:p>
    <w:p>
      <w:pPr>
        <w:spacing w:line="360" w:lineRule="auto"/>
        <w:ind w:firstLine="411" w:firstLineChars="196"/>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4）对在每周的监理例会上提出的问题未进行跟进处理，导致问题重复发生。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六、其他</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1、协议书的份数</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本协议书正本一式贰份，具有同等效力，由发包人、承包人双方各执一份，本协议书副本五份，发包人、承包人双方各执贰份，监理单位执一份。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七、有效期</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本施工协议之有效期至承包人所有施工完毕并通过验收。</w:t>
      </w:r>
    </w:p>
    <w:p>
      <w:pPr>
        <w:spacing w:line="360" w:lineRule="auto"/>
        <w:ind w:left="5460" w:leftChars="200" w:hanging="5040" w:hangingChars="24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发包人：</w:t>
      </w:r>
      <w:r>
        <w:rPr>
          <w:rFonts w:hint="eastAsia" w:ascii="宋体" w:hAnsi="宋体" w:cs="宋体"/>
          <w:color w:val="auto"/>
          <w:spacing w:val="10"/>
          <w:sz w:val="23"/>
          <w:szCs w:val="23"/>
          <w:highlight w:val="none"/>
          <w:u w:val="single"/>
          <w:lang w:val="en-US" w:eastAsia="zh-CN"/>
        </w:rPr>
        <w:t xml:space="preserve">                      </w:t>
      </w:r>
      <w:r>
        <w:rPr>
          <w:rFonts w:hint="eastAsia" w:asciiTheme="minorEastAsia" w:hAnsiTheme="minorEastAsia" w:eastAsiaTheme="minorEastAsia"/>
          <w:color w:val="auto"/>
          <w:highlight w:val="none"/>
        </w:rPr>
        <w:t>（公章）承包人：</w:t>
      </w:r>
      <w:r>
        <w:rPr>
          <w:rFonts w:hint="eastAsia" w:ascii="宋体" w:hAnsi="宋体" w:cs="宋体"/>
          <w:color w:val="auto"/>
          <w:spacing w:val="10"/>
          <w:sz w:val="23"/>
          <w:szCs w:val="23"/>
          <w:highlight w:val="none"/>
          <w:u w:val="single"/>
          <w:lang w:val="en-US" w:eastAsia="zh-CN"/>
        </w:rPr>
        <w:t xml:space="preserve">             </w:t>
      </w:r>
      <w:r>
        <w:rPr>
          <w:rFonts w:hint="eastAsia" w:asciiTheme="minorEastAsia" w:hAnsiTheme="minorEastAsia" w:eastAsiaTheme="minorEastAsia"/>
          <w:color w:val="auto"/>
          <w:highlight w:val="none"/>
        </w:rPr>
        <w:t>（公章）</w:t>
      </w:r>
    </w:p>
    <w:p>
      <w:pPr>
        <w:tabs>
          <w:tab w:val="left" w:pos="4275"/>
        </w:tabs>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法定地址：                                     法定地址：</w:t>
      </w:r>
    </w:p>
    <w:p>
      <w:pPr>
        <w:tabs>
          <w:tab w:val="left" w:pos="4275"/>
        </w:tabs>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法定代表人或其                                 法定代表人或其</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委托代理人：（签字）                            委托代理人：（签字）</w:t>
      </w:r>
    </w:p>
    <w:p>
      <w:pPr>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签订日期：                                     签订日期：</w:t>
      </w:r>
      <w:r>
        <w:rPr>
          <w:rFonts w:asciiTheme="minorEastAsia" w:hAnsiTheme="minorEastAsia" w:eastAsiaTheme="minorEastAsia"/>
          <w:color w:val="auto"/>
          <w:highlight w:val="none"/>
        </w:rPr>
        <w:t xml:space="preserve"> </w:t>
      </w:r>
    </w:p>
    <w:p>
      <w:pPr>
        <w:rPr>
          <w:color w:val="auto"/>
          <w:highlight w:val="none"/>
        </w:rPr>
      </w:pPr>
    </w:p>
    <w:p>
      <w:pPr>
        <w:spacing w:line="360" w:lineRule="auto"/>
        <w:textAlignment w:val="baseline"/>
        <w:rPr>
          <w:color w:val="auto"/>
          <w:sz w:val="20"/>
          <w:highlight w:val="none"/>
        </w:rPr>
      </w:pPr>
    </w:p>
    <w:p>
      <w:pPr>
        <w:spacing w:line="360" w:lineRule="auto"/>
        <w:textAlignment w:val="baseline"/>
        <w:rPr>
          <w:color w:val="auto"/>
          <w:sz w:val="20"/>
          <w:highlight w:val="none"/>
        </w:rPr>
      </w:pPr>
    </w:p>
    <w:p>
      <w:pPr>
        <w:spacing w:line="360" w:lineRule="auto"/>
        <w:textAlignment w:val="baseline"/>
        <w:rPr>
          <w:color w:val="auto"/>
          <w:sz w:val="20"/>
          <w:highlight w:val="none"/>
        </w:rPr>
      </w:pPr>
    </w:p>
    <w:p>
      <w:pPr>
        <w:spacing w:line="360" w:lineRule="auto"/>
        <w:textAlignment w:val="baseline"/>
        <w:rPr>
          <w:color w:val="auto"/>
          <w:sz w:val="20"/>
          <w:highlight w:val="none"/>
        </w:rPr>
      </w:pPr>
    </w:p>
    <w:p>
      <w:pPr>
        <w:spacing w:line="360" w:lineRule="auto"/>
        <w:textAlignment w:val="baseline"/>
        <w:rPr>
          <w:color w:val="auto"/>
          <w:sz w:val="20"/>
          <w:highlight w:val="none"/>
        </w:rPr>
      </w:pPr>
    </w:p>
    <w:p>
      <w:pPr>
        <w:spacing w:line="360" w:lineRule="auto"/>
        <w:textAlignment w:val="baseline"/>
        <w:rPr>
          <w:color w:val="auto"/>
          <w:sz w:val="20"/>
          <w:highlight w:val="none"/>
        </w:rPr>
      </w:pPr>
    </w:p>
    <w:p>
      <w:pPr>
        <w:spacing w:line="360" w:lineRule="auto"/>
        <w:textAlignment w:val="baseline"/>
        <w:rPr>
          <w:color w:val="auto"/>
          <w:sz w:val="20"/>
          <w:highlight w:val="none"/>
        </w:rPr>
      </w:pPr>
    </w:p>
    <w:p>
      <w:pPr>
        <w:spacing w:line="360" w:lineRule="auto"/>
        <w:jc w:val="center"/>
        <w:rPr>
          <w:b/>
          <w:color w:val="auto"/>
          <w:sz w:val="36"/>
          <w:highlight w:val="none"/>
        </w:rPr>
      </w:pPr>
    </w:p>
    <w:p>
      <w:pPr>
        <w:spacing w:line="360" w:lineRule="auto"/>
        <w:jc w:val="center"/>
        <w:rPr>
          <w:b/>
          <w:color w:val="auto"/>
          <w:sz w:val="36"/>
          <w:highlight w:val="none"/>
        </w:rPr>
      </w:pPr>
    </w:p>
    <w:p>
      <w:pPr>
        <w:spacing w:line="360" w:lineRule="auto"/>
        <w:jc w:val="center"/>
        <w:rPr>
          <w:b/>
          <w:color w:val="auto"/>
          <w:sz w:val="36"/>
          <w:highlight w:val="none"/>
        </w:rPr>
      </w:pPr>
    </w:p>
    <w:p>
      <w:pPr>
        <w:spacing w:line="360" w:lineRule="auto"/>
        <w:jc w:val="center"/>
        <w:outlineLvl w:val="0"/>
        <w:rPr>
          <w:rFonts w:hint="eastAsia" w:ascii="宋体" w:hAnsi="宋体" w:cs="宋体"/>
          <w:b/>
          <w:color w:val="auto"/>
          <w:sz w:val="36"/>
          <w:szCs w:val="36"/>
          <w:highlight w:val="none"/>
        </w:rPr>
      </w:pPr>
      <w:bookmarkStart w:id="755" w:name="_Toc97371947"/>
    </w:p>
    <w:p>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第六章   响应文件格式</w:t>
      </w:r>
      <w:bookmarkEnd w:id="755"/>
    </w:p>
    <w:p>
      <w:pPr>
        <w:widowControl/>
        <w:spacing w:line="360" w:lineRule="auto"/>
        <w:jc w:val="left"/>
        <w:rPr>
          <w:rFonts w:ascii="宋体" w:hAnsi="宋体" w:cs="宋体"/>
          <w:b/>
          <w:color w:val="auto"/>
          <w:sz w:val="24"/>
          <w:highlight w:val="none"/>
        </w:rPr>
      </w:pPr>
    </w:p>
    <w:p>
      <w:pPr>
        <w:widowControl/>
        <w:spacing w:line="360" w:lineRule="auto"/>
        <w:jc w:val="left"/>
        <w:rPr>
          <w:rFonts w:ascii="宋体" w:hAnsi="宋体" w:cs="宋体"/>
          <w:b/>
          <w:color w:val="auto"/>
          <w:sz w:val="24"/>
          <w:highlight w:val="none"/>
        </w:rPr>
      </w:pPr>
    </w:p>
    <w:p>
      <w:pPr>
        <w:tabs>
          <w:tab w:val="left" w:pos="900"/>
          <w:tab w:val="left" w:pos="1980"/>
        </w:tabs>
        <w:snapToGrid w:val="0"/>
        <w:spacing w:line="360" w:lineRule="auto"/>
        <w:ind w:left="142"/>
        <w:rPr>
          <w:rFonts w:ascii="宋体" w:hAnsi="宋体" w:cs="宋体"/>
          <w:b/>
          <w:color w:val="auto"/>
          <w:kern w:val="0"/>
          <w:sz w:val="24"/>
          <w:highlight w:val="none"/>
        </w:rPr>
      </w:pPr>
      <w:r>
        <w:rPr>
          <w:rFonts w:hint="eastAsia" w:ascii="宋体" w:hAnsi="宋体" w:cs="宋体"/>
          <w:b/>
          <w:color w:val="auto"/>
          <w:kern w:val="0"/>
          <w:sz w:val="24"/>
          <w:highlight w:val="none"/>
        </w:rPr>
        <w:t>供应商编制文件须知</w:t>
      </w:r>
    </w:p>
    <w:p>
      <w:pPr>
        <w:tabs>
          <w:tab w:val="left" w:pos="900"/>
          <w:tab w:val="left" w:pos="1980"/>
        </w:tabs>
        <w:snapToGrid w:val="0"/>
        <w:spacing w:line="360" w:lineRule="auto"/>
        <w:ind w:left="142"/>
        <w:rPr>
          <w:rFonts w:ascii="宋体" w:hAnsi="宋体" w:cs="宋体"/>
          <w:color w:val="auto"/>
          <w:sz w:val="24"/>
          <w:highlight w:val="none"/>
        </w:rPr>
      </w:pPr>
      <w:r>
        <w:rPr>
          <w:rFonts w:hint="eastAsia" w:ascii="宋体" w:hAnsi="宋体" w:cs="宋体"/>
          <w:color w:val="auto"/>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color w:val="auto"/>
          <w:kern w:val="0"/>
          <w:sz w:val="24"/>
          <w:highlight w:val="none"/>
        </w:rPr>
      </w:pPr>
      <w:r>
        <w:rPr>
          <w:rFonts w:hint="eastAsia" w:ascii="宋体" w:hAnsi="宋体" w:cs="宋体"/>
          <w:color w:val="auto"/>
          <w:sz w:val="24"/>
          <w:highlight w:val="none"/>
        </w:rPr>
        <w:t>2、</w:t>
      </w:r>
      <w:r>
        <w:rPr>
          <w:rFonts w:hint="eastAsia" w:ascii="宋体" w:hAnsi="宋体" w:cs="宋体"/>
          <w:color w:val="auto"/>
          <w:kern w:val="0"/>
          <w:sz w:val="24"/>
          <w:highlight w:val="none"/>
        </w:rPr>
        <w:t>对于竞争性磋商文件中标记了“实质性格式”文件的，供应商</w:t>
      </w:r>
      <w:r>
        <w:rPr>
          <w:rFonts w:hint="eastAsia" w:ascii="宋体" w:hAnsi="宋体" w:cs="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kern w:val="0"/>
          <w:sz w:val="24"/>
          <w:highlight w:val="none"/>
        </w:rPr>
        <w:t>否则响应无效</w:t>
      </w:r>
      <w:r>
        <w:rPr>
          <w:rFonts w:hint="eastAsia" w:ascii="宋体" w:hAnsi="宋体" w:cs="宋体"/>
          <w:color w:val="auto"/>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ascii="宋体" w:hAnsi="宋体" w:cs="宋体"/>
          <w:color w:val="auto"/>
          <w:sz w:val="24"/>
          <w:highlight w:val="none"/>
        </w:rPr>
      </w:pPr>
      <w:r>
        <w:rPr>
          <w:rFonts w:hint="eastAsia" w:ascii="宋体" w:hAnsi="宋体" w:cs="宋体"/>
          <w:color w:val="auto"/>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color w:val="auto"/>
          <w:sz w:val="24"/>
          <w:highlight w:val="none"/>
        </w:rPr>
      </w:pPr>
    </w:p>
    <w:p>
      <w:pPr>
        <w:widowControl/>
        <w:jc w:val="left"/>
        <w:rPr>
          <w:rFonts w:ascii="宋体" w:hAnsi="宋体" w:cs="宋体"/>
          <w:color w:val="auto"/>
          <w:sz w:val="24"/>
          <w:highlight w:val="none"/>
        </w:rPr>
      </w:pPr>
      <w:r>
        <w:rPr>
          <w:rFonts w:hint="eastAsia" w:ascii="宋体" w:hAnsi="宋体" w:cs="宋体"/>
          <w:color w:val="auto"/>
          <w:sz w:val="24"/>
          <w:highlight w:val="none"/>
        </w:rPr>
        <w:br w:type="page"/>
      </w:r>
    </w:p>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Pr>
        <w:rPr>
          <w:rFonts w:ascii="宋体" w:hAnsi="宋体" w:cs="宋体"/>
          <w:b/>
          <w:color w:val="auto"/>
          <w:spacing w:val="20"/>
          <w:szCs w:val="21"/>
          <w:highlight w:val="none"/>
        </w:rPr>
      </w:pPr>
    </w:p>
    <w:p>
      <w:pPr>
        <w:rPr>
          <w:rFonts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pPr>
        <w:jc w:val="center"/>
        <w:rPr>
          <w:rFonts w:ascii="宋体" w:hAnsi="宋体" w:cs="宋体"/>
          <w:color w:val="auto"/>
          <w:szCs w:val="21"/>
          <w:highlight w:val="none"/>
        </w:rPr>
      </w:pPr>
    </w:p>
    <w:p>
      <w:pPr>
        <w:jc w:val="center"/>
        <w:outlineLvl w:val="0"/>
        <w:rPr>
          <w:rFonts w:ascii="宋体" w:hAnsi="宋体" w:cs="宋体"/>
          <w:b/>
          <w:color w:val="auto"/>
          <w:spacing w:val="60"/>
          <w:sz w:val="84"/>
          <w:szCs w:val="84"/>
          <w:highlight w:val="none"/>
        </w:rPr>
      </w:pPr>
    </w:p>
    <w:p>
      <w:pPr>
        <w:jc w:val="center"/>
        <w:outlineLvl w:val="0"/>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响 应 文 件</w:t>
      </w:r>
    </w:p>
    <w:p>
      <w:pPr>
        <w:jc w:val="center"/>
        <w:rPr>
          <w:rFonts w:ascii="宋体" w:hAnsi="宋体" w:cs="宋体"/>
          <w:b/>
          <w:color w:val="auto"/>
          <w:spacing w:val="60"/>
          <w:sz w:val="52"/>
          <w:szCs w:val="52"/>
          <w:highlight w:val="none"/>
        </w:rPr>
      </w:pPr>
    </w:p>
    <w:p>
      <w:pPr>
        <w:ind w:firstLine="542" w:firstLineChars="150"/>
        <w:rPr>
          <w:rFonts w:ascii="宋体" w:hAnsi="宋体" w:cs="宋体"/>
          <w:b/>
          <w:color w:val="auto"/>
          <w:spacing w:val="20"/>
          <w:sz w:val="32"/>
          <w:szCs w:val="32"/>
          <w:highlight w:val="none"/>
        </w:rPr>
      </w:pPr>
    </w:p>
    <w:p>
      <w:pPr>
        <w:ind w:firstLine="542" w:firstLineChars="150"/>
        <w:rPr>
          <w:rFonts w:ascii="宋体" w:hAnsi="宋体" w:cs="宋体"/>
          <w:b/>
          <w:color w:val="auto"/>
          <w:spacing w:val="20"/>
          <w:sz w:val="32"/>
          <w:szCs w:val="32"/>
          <w:highlight w:val="none"/>
        </w:rPr>
      </w:pPr>
    </w:p>
    <w:p>
      <w:pPr>
        <w:ind w:firstLine="542" w:firstLineChars="150"/>
        <w:outlineLvl w:val="0"/>
        <w:rPr>
          <w:rFonts w:ascii="宋体" w:hAnsi="宋体" w:cs="宋体"/>
          <w:b/>
          <w:color w:val="auto"/>
          <w:spacing w:val="20"/>
          <w:sz w:val="32"/>
          <w:szCs w:val="32"/>
          <w:highlight w:val="none"/>
        </w:rPr>
      </w:pPr>
      <w:r>
        <w:rPr>
          <w:rFonts w:hint="eastAsia" w:ascii="宋体" w:hAnsi="宋体" w:cs="宋体"/>
          <w:b/>
          <w:color w:val="auto"/>
          <w:spacing w:val="20"/>
          <w:sz w:val="32"/>
          <w:szCs w:val="32"/>
          <w:highlight w:val="none"/>
        </w:rPr>
        <w:t>项目名称:</w:t>
      </w:r>
    </w:p>
    <w:p>
      <w:pPr>
        <w:ind w:firstLine="542" w:firstLineChars="150"/>
        <w:outlineLvl w:val="0"/>
        <w:rPr>
          <w:rFonts w:ascii="宋体" w:hAnsi="宋体" w:cs="宋体"/>
          <w:b/>
          <w:color w:val="auto"/>
          <w:spacing w:val="20"/>
          <w:sz w:val="32"/>
          <w:szCs w:val="32"/>
          <w:highlight w:val="none"/>
        </w:rPr>
      </w:pPr>
      <w:r>
        <w:rPr>
          <w:rFonts w:hint="eastAsia" w:ascii="宋体" w:hAnsi="宋体" w:cs="宋体"/>
          <w:b/>
          <w:color w:val="auto"/>
          <w:spacing w:val="20"/>
          <w:sz w:val="32"/>
          <w:szCs w:val="32"/>
          <w:highlight w:val="none"/>
        </w:rPr>
        <w:t>项目编号：</w:t>
      </w:r>
    </w:p>
    <w:p>
      <w:pPr>
        <w:ind w:firstLine="542" w:firstLineChars="150"/>
        <w:rPr>
          <w:rFonts w:ascii="宋体" w:hAnsi="宋体" w:cs="宋体"/>
          <w:b/>
          <w:color w:val="auto"/>
          <w:spacing w:val="20"/>
          <w:sz w:val="32"/>
          <w:szCs w:val="32"/>
          <w:highlight w:val="none"/>
        </w:rPr>
      </w:pPr>
    </w:p>
    <w:p>
      <w:pPr>
        <w:ind w:firstLine="542" w:firstLineChars="150"/>
        <w:rPr>
          <w:rFonts w:ascii="宋体" w:hAnsi="宋体" w:cs="宋体"/>
          <w:b/>
          <w:color w:val="auto"/>
          <w:spacing w:val="20"/>
          <w:sz w:val="32"/>
          <w:szCs w:val="32"/>
          <w:highlight w:val="none"/>
        </w:rPr>
      </w:pPr>
    </w:p>
    <w:p>
      <w:pPr>
        <w:jc w:val="center"/>
        <w:rPr>
          <w:rFonts w:ascii="宋体" w:hAnsi="宋体" w:cs="宋体"/>
          <w:b/>
          <w:color w:val="auto"/>
          <w:sz w:val="32"/>
          <w:szCs w:val="32"/>
          <w:highlight w:val="none"/>
        </w:rPr>
      </w:pPr>
    </w:p>
    <w:p>
      <w:pPr>
        <w:jc w:val="center"/>
        <w:rPr>
          <w:rFonts w:ascii="宋体" w:hAnsi="宋体" w:cs="宋体"/>
          <w:b/>
          <w:color w:val="auto"/>
          <w:sz w:val="32"/>
          <w:szCs w:val="32"/>
          <w:highlight w:val="none"/>
        </w:rPr>
      </w:pPr>
    </w:p>
    <w:p>
      <w:pPr>
        <w:jc w:val="center"/>
        <w:rPr>
          <w:rFonts w:ascii="宋体" w:hAnsi="宋体" w:cs="宋体"/>
          <w:b/>
          <w:color w:val="auto"/>
          <w:sz w:val="32"/>
          <w:szCs w:val="32"/>
          <w:highlight w:val="none"/>
        </w:rPr>
      </w:pPr>
    </w:p>
    <w:p>
      <w:pPr>
        <w:jc w:val="center"/>
        <w:rPr>
          <w:rFonts w:ascii="宋体" w:hAnsi="宋体" w:cs="宋体"/>
          <w:b/>
          <w:color w:val="auto"/>
          <w:spacing w:val="20"/>
          <w:sz w:val="32"/>
          <w:szCs w:val="32"/>
          <w:highlight w:val="none"/>
        </w:rPr>
      </w:pPr>
    </w:p>
    <w:p>
      <w:pPr>
        <w:jc w:val="center"/>
        <w:rPr>
          <w:rFonts w:ascii="宋体" w:hAnsi="宋体" w:cs="宋体"/>
          <w:b/>
          <w:color w:val="auto"/>
          <w:spacing w:val="20"/>
          <w:sz w:val="32"/>
          <w:szCs w:val="32"/>
          <w:highlight w:val="none"/>
        </w:rPr>
      </w:pPr>
    </w:p>
    <w:p>
      <w:pPr>
        <w:jc w:val="center"/>
        <w:rPr>
          <w:rFonts w:ascii="宋体" w:hAnsi="宋体" w:cs="宋体"/>
          <w:b/>
          <w:color w:val="auto"/>
          <w:spacing w:val="20"/>
          <w:sz w:val="32"/>
          <w:szCs w:val="32"/>
          <w:highlight w:val="none"/>
        </w:rPr>
      </w:pPr>
    </w:p>
    <w:p>
      <w:pPr>
        <w:spacing w:line="360" w:lineRule="auto"/>
        <w:ind w:firstLine="723" w:firstLineChars="200"/>
        <w:jc w:val="left"/>
        <w:outlineLvl w:val="0"/>
        <w:rPr>
          <w:rFonts w:ascii="宋体" w:hAnsi="宋体" w:cs="宋体"/>
          <w:b/>
          <w:color w:val="auto"/>
          <w:spacing w:val="20"/>
          <w:sz w:val="32"/>
          <w:szCs w:val="32"/>
          <w:highlight w:val="none"/>
        </w:rPr>
      </w:pPr>
      <w:r>
        <w:rPr>
          <w:rFonts w:hint="eastAsia" w:ascii="宋体" w:hAnsi="宋体" w:cs="宋体"/>
          <w:b/>
          <w:color w:val="auto"/>
          <w:spacing w:val="20"/>
          <w:sz w:val="32"/>
          <w:szCs w:val="32"/>
          <w:highlight w:val="none"/>
        </w:rPr>
        <w:t>供应商名称：</w:t>
      </w:r>
    </w:p>
    <w:p>
      <w:pPr>
        <w:jc w:val="center"/>
        <w:rPr>
          <w:rFonts w:ascii="宋体" w:hAnsi="宋体" w:cs="宋体"/>
          <w:b/>
          <w:color w:val="auto"/>
          <w:sz w:val="32"/>
          <w:szCs w:val="32"/>
          <w:highlight w:val="none"/>
        </w:rPr>
      </w:pPr>
    </w:p>
    <w:p>
      <w:pPr>
        <w:rPr>
          <w:rFonts w:ascii="宋体" w:hAnsi="宋体" w:cs="宋体"/>
          <w:b/>
          <w:color w:val="auto"/>
          <w:highlight w:val="none"/>
        </w:rPr>
      </w:pPr>
      <w:r>
        <w:rPr>
          <w:rFonts w:hint="eastAsia" w:ascii="宋体" w:hAnsi="宋体" w:cs="宋体"/>
          <w:b/>
          <w:color w:val="auto"/>
          <w:spacing w:val="20"/>
          <w:sz w:val="32"/>
          <w:szCs w:val="32"/>
          <w:highlight w:val="none"/>
        </w:rPr>
        <w:br w:type="page"/>
      </w:r>
    </w:p>
    <w:p>
      <w:pPr>
        <w:tabs>
          <w:tab w:val="left" w:pos="360"/>
        </w:tabs>
        <w:snapToGrid w:val="0"/>
        <w:spacing w:line="360" w:lineRule="auto"/>
        <w:outlineLvl w:val="0"/>
        <w:rPr>
          <w:rFonts w:ascii="宋体" w:hAnsi="宋体" w:cs="宋体"/>
          <w:color w:val="auto"/>
          <w:sz w:val="24"/>
          <w:highlight w:val="none"/>
        </w:rPr>
      </w:pPr>
      <w:r>
        <w:rPr>
          <w:rFonts w:hint="eastAsia" w:ascii="宋体" w:hAnsi="宋体" w:cs="宋体"/>
          <w:color w:val="auto"/>
          <w:sz w:val="24"/>
          <w:highlight w:val="none"/>
        </w:rPr>
        <w:t>1 满足《中华人民共和国政府采购法》第二十二条规定及法律法规的其他规定</w:t>
      </w:r>
    </w:p>
    <w:p>
      <w:pPr>
        <w:spacing w:line="360" w:lineRule="auto"/>
        <w:outlineLvl w:val="1"/>
        <w:rPr>
          <w:rFonts w:ascii="宋体" w:hAnsi="宋体" w:cs="宋体"/>
          <w:color w:val="auto"/>
          <w:sz w:val="24"/>
          <w:highlight w:val="none"/>
        </w:rPr>
      </w:pPr>
      <w:r>
        <w:rPr>
          <w:rFonts w:hint="eastAsia" w:ascii="宋体" w:hAnsi="宋体" w:cs="宋体"/>
          <w:color w:val="auto"/>
          <w:sz w:val="24"/>
          <w:highlight w:val="none"/>
        </w:rPr>
        <w:t>1-1营业执照等证明文件</w:t>
      </w:r>
    </w:p>
    <w:p>
      <w:pPr>
        <w:tabs>
          <w:tab w:val="left" w:pos="1080"/>
        </w:tabs>
        <w:snapToGrid w:val="0"/>
        <w:rPr>
          <w:rFonts w:ascii="宋体" w:hAnsi="宋体" w:cs="宋体"/>
          <w:color w:val="auto"/>
          <w:sz w:val="24"/>
          <w:highlight w:val="none"/>
        </w:rPr>
      </w:pPr>
    </w:p>
    <w:p>
      <w:pPr>
        <w:widowControl/>
        <w:jc w:val="left"/>
        <w:rPr>
          <w:rFonts w:ascii="宋体" w:hAnsi="宋体" w:cs="宋体"/>
          <w:color w:val="auto"/>
          <w:sz w:val="24"/>
          <w:szCs w:val="20"/>
          <w:highlight w:val="none"/>
        </w:rPr>
      </w:pPr>
      <w:r>
        <w:rPr>
          <w:rFonts w:hint="eastAsia" w:ascii="宋体" w:hAnsi="宋体" w:cs="宋体"/>
          <w:color w:val="auto"/>
          <w:sz w:val="24"/>
          <w:highlight w:val="none"/>
        </w:rPr>
        <w:br w:type="page"/>
      </w:r>
    </w:p>
    <w:p>
      <w:pPr>
        <w:pStyle w:val="5"/>
        <w:rPr>
          <w:rFonts w:hAnsi="宋体" w:cs="宋体"/>
          <w:b w:val="0"/>
          <w:bCs/>
          <w:color w:val="auto"/>
          <w:szCs w:val="24"/>
          <w:highlight w:val="none"/>
          <w:u w:val="none"/>
        </w:rPr>
      </w:pPr>
      <w:r>
        <w:rPr>
          <w:rFonts w:hint="eastAsia" w:hAnsi="宋体" w:cs="宋体"/>
          <w:b w:val="0"/>
          <w:color w:val="auto"/>
          <w:szCs w:val="24"/>
          <w:highlight w:val="none"/>
          <w:u w:val="none"/>
        </w:rPr>
        <w:t>1-2 供应商资格声明书（实质性格式）</w:t>
      </w:r>
    </w:p>
    <w:p>
      <w:pPr>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供应商资格声明书</w:t>
      </w:r>
    </w:p>
    <w:p>
      <w:pPr>
        <w:tabs>
          <w:tab w:val="left" w:pos="5580"/>
        </w:tabs>
        <w:spacing w:line="360" w:lineRule="auto"/>
        <w:rPr>
          <w:rFonts w:ascii="宋体" w:hAnsi="宋体" w:cs="宋体"/>
          <w:color w:val="auto"/>
          <w:sz w:val="24"/>
          <w:highlight w:val="none"/>
        </w:rPr>
      </w:pP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采购人或采购代理机构</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在参与本次项目磋商中，我单位承诺：</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具有良好的商业信誉和健全的财务会计制度；</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具有履行合同所必需的设备和专业技术能力；</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有依法缴纳税收和社会保障资金的良好记录；</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3"/>
        </w:numPr>
        <w:spacing w:line="360" w:lineRule="auto"/>
        <w:ind w:left="1134"/>
        <w:rPr>
          <w:rFonts w:ascii="宋体" w:hAnsi="宋体" w:cs="宋体"/>
          <w:color w:val="auto"/>
          <w:sz w:val="24"/>
          <w:szCs w:val="22"/>
          <w:highlight w:val="none"/>
        </w:rPr>
      </w:pPr>
      <w:r>
        <w:rPr>
          <w:rFonts w:hint="eastAsia" w:ascii="宋体" w:hAnsi="宋体" w:cs="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4574"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单位名称</w:t>
            </w:r>
          </w:p>
        </w:tc>
        <w:tc>
          <w:tcPr>
            <w:tcW w:w="2976"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1</w:t>
            </w:r>
          </w:p>
        </w:tc>
        <w:tc>
          <w:tcPr>
            <w:tcW w:w="4574" w:type="dxa"/>
            <w:vAlign w:val="center"/>
          </w:tcPr>
          <w:p>
            <w:pPr>
              <w:jc w:val="center"/>
              <w:rPr>
                <w:rFonts w:ascii="宋体" w:hAnsi="宋体" w:cs="宋体"/>
                <w:color w:val="auto"/>
                <w:sz w:val="24"/>
                <w:highlight w:val="none"/>
              </w:rPr>
            </w:pPr>
          </w:p>
        </w:tc>
        <w:tc>
          <w:tcPr>
            <w:tcW w:w="2976" w:type="dxa"/>
            <w:vAlign w:val="center"/>
          </w:tcPr>
          <w:p>
            <w:pPr>
              <w:jc w:val="center"/>
              <w:rPr>
                <w:rFonts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2</w:t>
            </w:r>
          </w:p>
        </w:tc>
        <w:tc>
          <w:tcPr>
            <w:tcW w:w="4574" w:type="dxa"/>
            <w:vAlign w:val="center"/>
          </w:tcPr>
          <w:p>
            <w:pPr>
              <w:jc w:val="center"/>
              <w:rPr>
                <w:rFonts w:ascii="宋体" w:hAnsi="宋体" w:cs="宋体"/>
                <w:color w:val="auto"/>
                <w:sz w:val="24"/>
                <w:highlight w:val="none"/>
              </w:rPr>
            </w:pPr>
          </w:p>
        </w:tc>
        <w:tc>
          <w:tcPr>
            <w:tcW w:w="2976" w:type="dxa"/>
            <w:vAlign w:val="center"/>
          </w:tcPr>
          <w:p>
            <w:pPr>
              <w:jc w:val="center"/>
              <w:rPr>
                <w:rFonts w:ascii="宋体" w:hAnsi="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w:t>
            </w:r>
          </w:p>
        </w:tc>
        <w:tc>
          <w:tcPr>
            <w:tcW w:w="4574" w:type="dxa"/>
            <w:vAlign w:val="center"/>
          </w:tcPr>
          <w:p>
            <w:pPr>
              <w:jc w:val="center"/>
              <w:rPr>
                <w:rFonts w:ascii="宋体" w:hAnsi="宋体" w:cs="宋体"/>
                <w:color w:val="auto"/>
                <w:sz w:val="24"/>
                <w:highlight w:val="none"/>
              </w:rPr>
            </w:pPr>
          </w:p>
        </w:tc>
        <w:tc>
          <w:tcPr>
            <w:tcW w:w="2976" w:type="dxa"/>
            <w:vAlign w:val="center"/>
          </w:tcPr>
          <w:p>
            <w:pPr>
              <w:jc w:val="center"/>
              <w:rPr>
                <w:rFonts w:ascii="宋体" w:hAnsi="宋体" w:cs="宋体"/>
                <w:color w:val="auto"/>
                <w:sz w:val="24"/>
                <w:highlight w:val="none"/>
              </w:rPr>
            </w:pPr>
          </w:p>
        </w:tc>
      </w:tr>
    </w:tbl>
    <w:p>
      <w:pPr>
        <w:rPr>
          <w:rFonts w:ascii="宋体" w:hAnsi="宋体" w:cs="宋体"/>
          <w:color w:val="auto"/>
          <w:highlight w:val="none"/>
        </w:rPr>
      </w:pPr>
    </w:p>
    <w:p>
      <w:pPr>
        <w:ind w:firstLine="480" w:firstLineChars="200"/>
        <w:rPr>
          <w:rFonts w:ascii="宋体" w:hAnsi="宋体" w:cs="宋体"/>
          <w:color w:val="auto"/>
          <w:sz w:val="24"/>
          <w:szCs w:val="22"/>
          <w:highlight w:val="none"/>
        </w:rPr>
      </w:pPr>
      <w:r>
        <w:rPr>
          <w:rFonts w:hint="eastAsia" w:ascii="宋体" w:hAnsi="宋体" w:cs="宋体"/>
          <w:color w:val="auto"/>
          <w:sz w:val="24"/>
          <w:highlight w:val="none"/>
        </w:rPr>
        <w:t>上述声明真实有效，否则我方负全部责任。</w:t>
      </w:r>
    </w:p>
    <w:p>
      <w:pPr>
        <w:spacing w:line="360" w:lineRule="auto"/>
        <w:rPr>
          <w:rFonts w:ascii="宋体" w:hAnsi="宋体" w:cs="宋体"/>
          <w:color w:val="auto"/>
          <w:sz w:val="24"/>
          <w:highlight w:val="none"/>
        </w:rPr>
      </w:pPr>
    </w:p>
    <w:p>
      <w:pPr>
        <w:autoSpaceDE w:val="0"/>
        <w:autoSpaceDN w:val="0"/>
        <w:adjustRightInd w:val="0"/>
        <w:snapToGrid w:val="0"/>
        <w:spacing w:before="25" w:after="25" w:line="360" w:lineRule="auto"/>
        <w:ind w:right="360"/>
        <w:jc w:val="right"/>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highlight w:val="none"/>
        </w:rPr>
        <w:t>______</w:t>
      </w:r>
    </w:p>
    <w:p>
      <w:pPr>
        <w:spacing w:line="360" w:lineRule="auto"/>
        <w:ind w:right="360" w:firstLine="480"/>
        <w:jc w:val="right"/>
        <w:rPr>
          <w:rFonts w:ascii="宋体" w:hAnsi="宋体" w:cs="宋体"/>
          <w:color w:val="auto"/>
          <w:sz w:val="24"/>
          <w:highlight w:val="none"/>
        </w:rPr>
      </w:pPr>
      <w:r>
        <w:rPr>
          <w:rFonts w:hint="eastAsia" w:ascii="宋体" w:hAnsi="宋体" w:cs="宋体"/>
          <w:color w:val="auto"/>
          <w:sz w:val="24"/>
          <w:szCs w:val="20"/>
          <w:highlight w:val="none"/>
        </w:rPr>
        <w:t xml:space="preserve">日期：____年____月____日   </w:t>
      </w:r>
    </w:p>
    <w:p>
      <w:pPr>
        <w:spacing w:line="360" w:lineRule="auto"/>
        <w:rPr>
          <w:rFonts w:ascii="宋体" w:hAnsi="宋体" w:cs="宋体"/>
          <w:color w:val="auto"/>
          <w:sz w:val="24"/>
          <w:highlight w:val="none"/>
        </w:rPr>
      </w:pPr>
      <w:r>
        <w:rPr>
          <w:rFonts w:hint="eastAsia" w:ascii="宋体" w:hAnsi="宋体" w:cs="宋体"/>
          <w:color w:val="auto"/>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color w:val="auto"/>
          <w:sz w:val="24"/>
          <w:highlight w:val="none"/>
        </w:rPr>
      </w:pPr>
    </w:p>
    <w:p>
      <w:pPr>
        <w:spacing w:line="360" w:lineRule="auto"/>
        <w:rPr>
          <w:rFonts w:ascii="宋体" w:hAnsi="宋体" w:cs="宋体"/>
          <w:color w:val="auto"/>
          <w:sz w:val="24"/>
          <w:highlight w:val="none"/>
        </w:rPr>
      </w:pPr>
      <w:r>
        <w:rPr>
          <w:rFonts w:hint="eastAsia" w:ascii="宋体" w:hAnsi="宋体" w:cs="宋体"/>
          <w:color w:val="auto"/>
          <w:sz w:val="24"/>
          <w:highlight w:val="none"/>
        </w:rPr>
        <w:t>1-3服务人员清单及相关证书（复印件加盖供应商公章）</w:t>
      </w:r>
    </w:p>
    <w:p>
      <w:pPr>
        <w:spacing w:line="360" w:lineRule="auto"/>
        <w:jc w:val="center"/>
        <w:rPr>
          <w:rFonts w:ascii="宋体" w:hAnsi="宋体" w:cs="宋体"/>
          <w:b/>
          <w:color w:val="auto"/>
          <w:sz w:val="32"/>
          <w:highlight w:val="none"/>
        </w:rPr>
      </w:pPr>
      <w:r>
        <w:rPr>
          <w:rFonts w:hint="eastAsia" w:ascii="宋体" w:hAnsi="宋体" w:cs="宋体"/>
          <w:b/>
          <w:color w:val="auto"/>
          <w:sz w:val="32"/>
          <w:highlight w:val="none"/>
        </w:rPr>
        <w:t>团队人员明细表</w:t>
      </w:r>
    </w:p>
    <w:tbl>
      <w:tblPr>
        <w:tblStyle w:val="45"/>
        <w:tblW w:w="7373"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64"/>
        <w:gridCol w:w="1223"/>
        <w:gridCol w:w="1713"/>
        <w:gridCol w:w="297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63" w:hRule="atLeast"/>
          <w:jc w:val="center"/>
        </w:trPr>
        <w:tc>
          <w:tcPr>
            <w:tcW w:w="1464" w:type="dxa"/>
            <w:tcBorders>
              <w:top w:val="single" w:color="auto" w:sz="8" w:space="0"/>
            </w:tcBorders>
            <w:vAlign w:val="center"/>
          </w:tcPr>
          <w:p>
            <w:pPr>
              <w:jc w:val="center"/>
              <w:rPr>
                <w:rFonts w:ascii="宋体" w:hAnsi="宋体" w:cs="宋体"/>
                <w:color w:val="auto"/>
                <w:highlight w:val="none"/>
              </w:rPr>
            </w:pPr>
            <w:r>
              <w:rPr>
                <w:rFonts w:hint="eastAsia" w:ascii="宋体" w:hAnsi="宋体" w:cs="宋体"/>
                <w:color w:val="auto"/>
                <w:highlight w:val="none"/>
              </w:rPr>
              <w:t>姓名</w:t>
            </w:r>
          </w:p>
        </w:tc>
        <w:tc>
          <w:tcPr>
            <w:tcW w:w="1223" w:type="dxa"/>
            <w:tcBorders>
              <w:top w:val="single" w:color="auto" w:sz="8" w:space="0"/>
            </w:tcBorders>
            <w:vAlign w:val="center"/>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专业</w:t>
            </w:r>
          </w:p>
        </w:tc>
        <w:tc>
          <w:tcPr>
            <w:tcW w:w="1713" w:type="dxa"/>
            <w:tcBorders>
              <w:top w:val="single" w:color="auto" w:sz="8" w:space="0"/>
            </w:tcBorders>
            <w:vAlign w:val="center"/>
          </w:tcPr>
          <w:p>
            <w:pPr>
              <w:jc w:val="center"/>
              <w:rPr>
                <w:rFonts w:ascii="宋体" w:hAnsi="宋体" w:cs="宋体"/>
                <w:color w:val="auto"/>
                <w:highlight w:val="none"/>
              </w:rPr>
            </w:pPr>
            <w:r>
              <w:rPr>
                <w:rFonts w:hint="eastAsia" w:ascii="宋体" w:hAnsi="宋体" w:cs="宋体"/>
                <w:color w:val="auto"/>
                <w:highlight w:val="none"/>
              </w:rPr>
              <w:t>职称</w:t>
            </w:r>
          </w:p>
        </w:tc>
        <w:tc>
          <w:tcPr>
            <w:tcW w:w="2973" w:type="dxa"/>
            <w:tcBorders>
              <w:top w:val="single" w:color="auto" w:sz="8" w:space="0"/>
            </w:tcBorders>
            <w:vAlign w:val="center"/>
          </w:tcPr>
          <w:p>
            <w:pPr>
              <w:jc w:val="center"/>
              <w:rPr>
                <w:rFonts w:ascii="宋体" w:hAnsi="宋体" w:cs="宋体"/>
                <w:color w:val="auto"/>
                <w:highlight w:val="none"/>
              </w:rPr>
            </w:pPr>
            <w:r>
              <w:rPr>
                <w:rFonts w:hint="eastAsia" w:ascii="宋体" w:hAnsi="宋体" w:cs="宋体"/>
                <w:color w:val="auto"/>
                <w:highlight w:val="none"/>
              </w:rPr>
              <w:t>拟在本</w:t>
            </w:r>
            <w:r>
              <w:rPr>
                <w:rFonts w:hint="eastAsia" w:ascii="宋体" w:hAnsi="宋体" w:cs="宋体"/>
                <w:color w:val="auto"/>
                <w:highlight w:val="none"/>
                <w:lang w:eastAsia="zh-CN"/>
              </w:rPr>
              <w:t>项目</w:t>
            </w:r>
            <w:r>
              <w:rPr>
                <w:rFonts w:hint="eastAsia" w:ascii="宋体" w:hAnsi="宋体" w:cs="宋体"/>
                <w:color w:val="auto"/>
                <w:highlight w:val="none"/>
              </w:rPr>
              <w:t>中</w:t>
            </w:r>
          </w:p>
          <w:p>
            <w:pPr>
              <w:jc w:val="center"/>
              <w:rPr>
                <w:rFonts w:ascii="宋体" w:hAnsi="宋体" w:cs="宋体"/>
                <w:color w:val="auto"/>
                <w:highlight w:val="none"/>
              </w:rPr>
            </w:pPr>
            <w:r>
              <w:rPr>
                <w:rFonts w:hint="eastAsia" w:ascii="宋体" w:hAnsi="宋体" w:cs="宋体"/>
                <w:color w:val="auto"/>
                <w:highlight w:val="none"/>
              </w:rPr>
              <w:t>担任的工作或岗位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1464" w:type="dxa"/>
            <w:vAlign w:val="center"/>
          </w:tcPr>
          <w:p>
            <w:pPr>
              <w:jc w:val="center"/>
              <w:rPr>
                <w:rFonts w:ascii="宋体" w:hAnsi="宋体" w:cs="宋体"/>
                <w:color w:val="auto"/>
                <w:highlight w:val="none"/>
              </w:rPr>
            </w:pPr>
          </w:p>
        </w:tc>
        <w:tc>
          <w:tcPr>
            <w:tcW w:w="1223" w:type="dxa"/>
            <w:vAlign w:val="center"/>
          </w:tcPr>
          <w:p>
            <w:pPr>
              <w:jc w:val="center"/>
              <w:rPr>
                <w:rFonts w:ascii="宋体" w:hAnsi="宋体" w:cs="宋体"/>
                <w:color w:val="auto"/>
                <w:highlight w:val="none"/>
              </w:rPr>
            </w:pPr>
          </w:p>
        </w:tc>
        <w:tc>
          <w:tcPr>
            <w:tcW w:w="1713" w:type="dxa"/>
            <w:vAlign w:val="center"/>
          </w:tcPr>
          <w:p>
            <w:pPr>
              <w:jc w:val="center"/>
              <w:rPr>
                <w:rFonts w:ascii="宋体" w:hAnsi="宋体" w:cs="宋体"/>
                <w:color w:val="auto"/>
                <w:highlight w:val="none"/>
              </w:rPr>
            </w:pPr>
          </w:p>
        </w:tc>
        <w:tc>
          <w:tcPr>
            <w:tcW w:w="2973" w:type="dxa"/>
            <w:vAlign w:val="center"/>
          </w:tcPr>
          <w:p>
            <w:pPr>
              <w:jc w:val="center"/>
              <w:rPr>
                <w:rFonts w:ascii="宋体" w:hAnsi="宋体" w:cs="宋体"/>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59" w:hRule="atLeast"/>
          <w:jc w:val="center"/>
        </w:trPr>
        <w:tc>
          <w:tcPr>
            <w:tcW w:w="1464" w:type="dxa"/>
            <w:tcBorders>
              <w:bottom w:val="single" w:color="auto" w:sz="8" w:space="0"/>
            </w:tcBorders>
            <w:vAlign w:val="center"/>
          </w:tcPr>
          <w:p>
            <w:pPr>
              <w:jc w:val="center"/>
              <w:rPr>
                <w:rFonts w:ascii="宋体" w:hAnsi="宋体" w:cs="宋体"/>
                <w:color w:val="auto"/>
                <w:highlight w:val="none"/>
              </w:rPr>
            </w:pPr>
          </w:p>
        </w:tc>
        <w:tc>
          <w:tcPr>
            <w:tcW w:w="1223" w:type="dxa"/>
            <w:tcBorders>
              <w:bottom w:val="single" w:color="auto" w:sz="8" w:space="0"/>
            </w:tcBorders>
            <w:vAlign w:val="center"/>
          </w:tcPr>
          <w:p>
            <w:pPr>
              <w:jc w:val="center"/>
              <w:rPr>
                <w:rFonts w:ascii="宋体" w:hAnsi="宋体" w:cs="宋体"/>
                <w:color w:val="auto"/>
                <w:highlight w:val="none"/>
              </w:rPr>
            </w:pPr>
          </w:p>
        </w:tc>
        <w:tc>
          <w:tcPr>
            <w:tcW w:w="1713" w:type="dxa"/>
            <w:tcBorders>
              <w:bottom w:val="single" w:color="auto" w:sz="8" w:space="0"/>
            </w:tcBorders>
            <w:vAlign w:val="center"/>
          </w:tcPr>
          <w:p>
            <w:pPr>
              <w:jc w:val="center"/>
              <w:rPr>
                <w:rFonts w:ascii="宋体" w:hAnsi="宋体" w:cs="宋体"/>
                <w:color w:val="auto"/>
                <w:highlight w:val="none"/>
              </w:rPr>
            </w:pPr>
          </w:p>
        </w:tc>
        <w:tc>
          <w:tcPr>
            <w:tcW w:w="2973" w:type="dxa"/>
            <w:tcBorders>
              <w:bottom w:val="single" w:color="auto" w:sz="8" w:space="0"/>
            </w:tcBorders>
            <w:vAlign w:val="center"/>
          </w:tcPr>
          <w:p>
            <w:pPr>
              <w:jc w:val="center"/>
              <w:rPr>
                <w:rFonts w:ascii="宋体" w:hAnsi="宋体" w:cs="宋体"/>
                <w:color w:val="auto"/>
                <w:highlight w:val="none"/>
              </w:rPr>
            </w:pPr>
          </w:p>
        </w:tc>
      </w:tr>
    </w:tbl>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此表后附团队人员身份证、相关证书（如有）加盖公章。</w:t>
      </w:r>
    </w:p>
    <w:p>
      <w:pPr>
        <w:spacing w:line="360" w:lineRule="auto"/>
        <w:ind w:firstLine="2880" w:firstLineChars="1200"/>
        <w:rPr>
          <w:rFonts w:ascii="宋体" w:hAnsi="宋体" w:cs="宋体"/>
          <w:color w:val="auto"/>
          <w:sz w:val="24"/>
          <w:highlight w:val="none"/>
        </w:rPr>
      </w:pPr>
    </w:p>
    <w:p>
      <w:pPr>
        <w:spacing w:line="360" w:lineRule="auto"/>
        <w:ind w:firstLine="2880" w:firstLineChars="1200"/>
        <w:rPr>
          <w:rFonts w:ascii="宋体" w:hAnsi="宋体" w:cs="宋体"/>
          <w:color w:val="auto"/>
          <w:sz w:val="24"/>
          <w:highlight w:val="none"/>
        </w:rPr>
      </w:pPr>
    </w:p>
    <w:p>
      <w:pPr>
        <w:spacing w:line="360" w:lineRule="auto"/>
        <w:ind w:firstLine="2880" w:firstLineChars="1200"/>
        <w:rPr>
          <w:rFonts w:ascii="宋体" w:hAnsi="宋体" w:cs="宋体"/>
          <w:color w:val="auto"/>
          <w:sz w:val="24"/>
          <w:highlight w:val="none"/>
        </w:rPr>
      </w:pPr>
    </w:p>
    <w:p>
      <w:pPr>
        <w:spacing w:line="360" w:lineRule="auto"/>
        <w:ind w:firstLine="2880" w:firstLineChars="1200"/>
        <w:rPr>
          <w:rFonts w:ascii="宋体" w:hAnsi="宋体" w:cs="宋体"/>
          <w:color w:val="auto"/>
          <w:sz w:val="24"/>
          <w:highlight w:val="none"/>
        </w:rPr>
      </w:pPr>
    </w:p>
    <w:p>
      <w:pPr>
        <w:spacing w:line="360" w:lineRule="auto"/>
        <w:ind w:firstLine="2880" w:firstLineChars="1200"/>
        <w:rPr>
          <w:rFonts w:ascii="宋体" w:hAnsi="宋体" w:cs="宋体"/>
          <w:color w:val="auto"/>
          <w:sz w:val="24"/>
          <w:highlight w:val="none"/>
        </w:rPr>
      </w:pPr>
    </w:p>
    <w:p>
      <w:pPr>
        <w:spacing w:line="360" w:lineRule="auto"/>
        <w:ind w:firstLine="2880" w:firstLineChars="1200"/>
        <w:rPr>
          <w:rFonts w:ascii="宋体" w:hAnsi="宋体" w:cs="宋体"/>
          <w:color w:val="auto"/>
          <w:sz w:val="24"/>
          <w:highlight w:val="none"/>
        </w:rPr>
      </w:pPr>
      <w:r>
        <w:rPr>
          <w:rFonts w:hint="eastAsia" w:ascii="宋体" w:hAnsi="宋体" w:cs="宋体"/>
          <w:color w:val="auto"/>
          <w:sz w:val="24"/>
          <w:highlight w:val="none"/>
        </w:rPr>
        <w:t>供应商全称：</w:t>
      </w:r>
      <w:r>
        <w:rPr>
          <w:rFonts w:hint="eastAsia" w:ascii="宋体" w:hAnsi="宋体" w:cs="宋体"/>
          <w:color w:val="auto"/>
          <w:sz w:val="24"/>
          <w:highlight w:val="none"/>
          <w:u w:val="single"/>
        </w:rPr>
        <w:t xml:space="preserve">                  （加盖单位公章） </w:t>
      </w:r>
    </w:p>
    <w:p>
      <w:pPr>
        <w:spacing w:line="360" w:lineRule="auto"/>
        <w:ind w:firstLine="2880" w:firstLineChars="1200"/>
        <w:rPr>
          <w:rFonts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Style w:val="31"/>
        <w:rPr>
          <w:color w:val="auto"/>
          <w:highlight w:val="none"/>
        </w:rPr>
        <w:sectPr>
          <w:headerReference r:id="rId128" w:type="default"/>
          <w:footerReference r:id="rId129" w:type="default"/>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0"/>
        <w:rPr>
          <w:rFonts w:ascii="宋体" w:hAnsi="宋体" w:cs="宋体"/>
          <w:color w:val="auto"/>
          <w:sz w:val="24"/>
          <w:highlight w:val="none"/>
        </w:rPr>
      </w:pPr>
      <w:r>
        <w:rPr>
          <w:rFonts w:hint="eastAsia" w:ascii="宋体" w:hAnsi="宋体" w:cs="宋体"/>
          <w:color w:val="auto"/>
          <w:sz w:val="24"/>
          <w:highlight w:val="none"/>
        </w:rPr>
        <w:t>2 落实政府采购政策需满足的资格要求（如有）</w:t>
      </w:r>
    </w:p>
    <w:p>
      <w:pPr>
        <w:spacing w:line="360" w:lineRule="auto"/>
        <w:outlineLvl w:val="1"/>
        <w:rPr>
          <w:rFonts w:ascii="宋体" w:hAnsi="宋体" w:cs="宋体"/>
          <w:color w:val="auto"/>
          <w:sz w:val="24"/>
          <w:szCs w:val="20"/>
          <w:highlight w:val="none"/>
        </w:rPr>
      </w:pPr>
      <w:r>
        <w:rPr>
          <w:rFonts w:hint="eastAsia" w:ascii="宋体" w:hAnsi="宋体" w:cs="宋体"/>
          <w:color w:val="auto"/>
          <w:sz w:val="24"/>
          <w:szCs w:val="20"/>
          <w:highlight w:val="none"/>
        </w:rPr>
        <w:t>2-1中小企业声明函</w:t>
      </w:r>
    </w:p>
    <w:p>
      <w:pPr>
        <w:tabs>
          <w:tab w:val="left" w:pos="5580"/>
        </w:tabs>
        <w:spacing w:line="360" w:lineRule="auto"/>
        <w:rPr>
          <w:rFonts w:ascii="宋体" w:hAnsi="宋体" w:cs="宋体"/>
          <w:color w:val="auto"/>
          <w:sz w:val="24"/>
          <w:highlight w:val="none"/>
        </w:rPr>
      </w:pP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说明：</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（1）如本项目（包）不专门面向中小企业预留采购份额，供应商非必须提供；当小微企业拟享受中小企业扶持政策时，仍应提供《中小企业声明函》，否则不得享受相关中小企业扶持政策。</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（2）如本项目（包）专门面向中小/小微企业采购，须提供《中小企业声明函》（实质性格式）。</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（4）其他</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3）对于多标的的采购项目，供应商应充分、准确地了解所投产品制造企业信息。对相关情况了解不清楚的，不建议填报本声明函。</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rFonts w:ascii="宋体" w:hAnsi="宋体" w:cs="宋体"/>
          <w:color w:val="auto"/>
          <w:sz w:val="24"/>
          <w:highlight w:val="none"/>
        </w:rPr>
      </w:pPr>
    </w:p>
    <w:p>
      <w:pPr>
        <w:widowControl/>
        <w:jc w:val="left"/>
        <w:rPr>
          <w:rFonts w:ascii="宋体" w:hAnsi="宋体" w:cs="宋体"/>
          <w:color w:val="auto"/>
          <w:sz w:val="24"/>
          <w:highlight w:val="none"/>
        </w:rPr>
      </w:pPr>
      <w:r>
        <w:rPr>
          <w:rFonts w:hint="eastAsia" w:ascii="宋体" w:hAnsi="宋体" w:cs="宋体"/>
          <w:color w:val="auto"/>
          <w:sz w:val="24"/>
          <w:highlight w:val="none"/>
        </w:rPr>
        <w:br w:type="page"/>
      </w:r>
    </w:p>
    <w:p>
      <w:pPr>
        <w:spacing w:before="240" w:beforeLines="100" w:after="240" w:afterLines="100" w:line="360" w:lineRule="auto"/>
        <w:jc w:val="center"/>
        <w:outlineLvl w:val="0"/>
        <w:rPr>
          <w:rFonts w:ascii="宋体" w:hAnsi="宋体" w:cs="宋体"/>
          <w:b/>
          <w:bCs/>
          <w:color w:val="auto"/>
          <w:sz w:val="36"/>
          <w:szCs w:val="36"/>
          <w:highlight w:val="none"/>
        </w:rPr>
      </w:pPr>
      <w:r>
        <w:rPr>
          <w:rFonts w:hint="eastAsia" w:ascii="宋体" w:hAnsi="宋体" w:cs="宋体"/>
          <w:b/>
          <w:bCs/>
          <w:color w:val="auto"/>
          <w:sz w:val="36"/>
          <w:szCs w:val="36"/>
          <w:highlight w:val="none"/>
        </w:rPr>
        <w:t>中小企业声明函（工程、服务）格式</w:t>
      </w:r>
    </w:p>
    <w:p>
      <w:pPr>
        <w:spacing w:line="36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1.</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行业；承建（承接）企业为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，从业人员______人，营业收入为______万元，资产总额为______万元</w:t>
      </w:r>
      <w:r>
        <w:rPr>
          <w:rFonts w:hint="eastAsia" w:ascii="宋体" w:hAnsi="宋体" w:cs="宋体"/>
          <w:color w:val="auto"/>
          <w:spacing w:val="6"/>
          <w:sz w:val="24"/>
          <w:highlight w:val="none"/>
          <w:vertAlign w:val="superscript"/>
        </w:rPr>
        <w:t>1</w:t>
      </w:r>
      <w:r>
        <w:rPr>
          <w:rFonts w:hint="eastAsia" w:ascii="宋体" w:hAnsi="宋体" w:cs="宋体"/>
          <w:color w:val="auto"/>
          <w:spacing w:val="6"/>
          <w:sz w:val="24"/>
          <w:highlight w:val="none"/>
        </w:rPr>
        <w:t>，属于（中型企业、小型企业、微型企业）；</w:t>
      </w:r>
    </w:p>
    <w:p>
      <w:pPr>
        <w:spacing w:line="36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2.</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行业；承建（承接）企业为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，从业人员______人，营业收入为______万元，资产总额为______万元，属于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pPr>
        <w:spacing w:line="360" w:lineRule="auto"/>
        <w:ind w:firstLine="504"/>
        <w:rPr>
          <w:rFonts w:ascii="宋体" w:hAnsi="宋体" w:cs="宋体"/>
          <w:color w:val="auto"/>
          <w:spacing w:val="6"/>
          <w:sz w:val="24"/>
          <w:highlight w:val="none"/>
        </w:rPr>
      </w:pPr>
    </w:p>
    <w:p>
      <w:pPr>
        <w:spacing w:line="36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w:t>
      </w:r>
    </w:p>
    <w:p>
      <w:pPr>
        <w:spacing w:line="36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color w:val="auto"/>
          <w:spacing w:val="6"/>
          <w:sz w:val="24"/>
          <w:highlight w:val="none"/>
        </w:rPr>
      </w:pPr>
      <w:r>
        <w:rPr>
          <w:rFonts w:hint="eastAsia" w:ascii="宋体" w:hAnsi="宋体" w:cs="宋体"/>
          <w:color w:val="auto"/>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auto"/>
          <w:sz w:val="24"/>
          <w:highlight w:val="none"/>
        </w:rPr>
      </w:pPr>
    </w:p>
    <w:p>
      <w:pPr>
        <w:spacing w:line="360" w:lineRule="auto"/>
        <w:ind w:right="360" w:firstLine="480"/>
        <w:jc w:val="right"/>
        <w:rPr>
          <w:rFonts w:ascii="宋体" w:hAnsi="宋体" w:cs="宋体"/>
          <w:color w:val="auto"/>
          <w:sz w:val="24"/>
          <w:highlight w:val="none"/>
        </w:rPr>
      </w:pPr>
      <w:r>
        <w:rPr>
          <w:rFonts w:hint="eastAsia" w:ascii="宋体" w:hAnsi="宋体" w:cs="宋体"/>
          <w:color w:val="auto"/>
          <w:sz w:val="24"/>
          <w:highlight w:val="none"/>
        </w:rPr>
        <w:t>企业名称（盖章）：________</w:t>
      </w:r>
    </w:p>
    <w:p>
      <w:pPr>
        <w:spacing w:line="360" w:lineRule="auto"/>
        <w:ind w:right="360" w:firstLine="480"/>
        <w:jc w:val="right"/>
        <w:rPr>
          <w:rFonts w:ascii="宋体" w:hAnsi="宋体" w:cs="宋体"/>
          <w:color w:val="auto"/>
          <w:sz w:val="24"/>
          <w:highlight w:val="none"/>
        </w:rPr>
      </w:pPr>
      <w:r>
        <w:rPr>
          <w:rFonts w:hint="eastAsia" w:ascii="宋体" w:hAnsi="宋体" w:cs="宋体"/>
          <w:color w:val="auto"/>
          <w:sz w:val="24"/>
          <w:highlight w:val="none"/>
        </w:rPr>
        <w:t>日 期：________</w:t>
      </w:r>
    </w:p>
    <w:p>
      <w:pPr>
        <w:spacing w:line="360" w:lineRule="auto"/>
        <w:ind w:right="360" w:firstLine="480"/>
        <w:jc w:val="right"/>
        <w:rPr>
          <w:rFonts w:ascii="宋体" w:hAnsi="宋体" w:cs="宋体"/>
          <w:color w:val="auto"/>
          <w:sz w:val="24"/>
          <w:highlight w:val="none"/>
        </w:rPr>
      </w:pPr>
    </w:p>
    <w:p>
      <w:pPr>
        <w:spacing w:line="360" w:lineRule="auto"/>
        <w:ind w:right="360" w:firstLine="480"/>
        <w:jc w:val="right"/>
        <w:rPr>
          <w:rFonts w:ascii="宋体" w:hAnsi="宋体" w:cs="宋体"/>
          <w:color w:val="auto"/>
          <w:sz w:val="24"/>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adjustRightInd w:val="0"/>
              <w:snapToGrid w:val="0"/>
              <w:jc w:val="left"/>
              <w:rPr>
                <w:rFonts w:ascii="宋体" w:hAnsi="宋体" w:cs="宋体"/>
                <w:color w:val="auto"/>
                <w:szCs w:val="21"/>
                <w:highlight w:val="none"/>
              </w:rPr>
            </w:pPr>
            <w:r>
              <w:rPr>
                <w:rFonts w:hint="eastAsia" w:ascii="宋体" w:hAnsi="宋体" w:cs="宋体"/>
                <w:color w:val="auto"/>
                <w:szCs w:val="21"/>
                <w:highlight w:val="none"/>
                <w:vertAlign w:val="superscript"/>
              </w:rPr>
              <w:t>1</w:t>
            </w:r>
            <w:r>
              <w:rPr>
                <w:rFonts w:hint="eastAsia" w:ascii="宋体" w:hAnsi="宋体" w:cs="宋体"/>
                <w:color w:val="auto"/>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color w:val="auto"/>
          <w:sz w:val="24"/>
          <w:highlight w:val="none"/>
        </w:rPr>
      </w:pPr>
    </w:p>
    <w:p>
      <w:pPr>
        <w:spacing w:line="360" w:lineRule="auto"/>
        <w:ind w:right="360" w:firstLine="480"/>
        <w:jc w:val="right"/>
        <w:rPr>
          <w:rFonts w:ascii="宋体" w:hAnsi="宋体" w:cs="宋体"/>
          <w:color w:val="auto"/>
          <w:sz w:val="24"/>
          <w:highlight w:val="none"/>
        </w:rPr>
      </w:pPr>
    </w:p>
    <w:p>
      <w:pPr>
        <w:spacing w:line="360" w:lineRule="auto"/>
        <w:ind w:right="360" w:firstLine="480"/>
        <w:jc w:val="right"/>
        <w:rPr>
          <w:rFonts w:ascii="宋体" w:hAnsi="宋体" w:cs="宋体"/>
          <w:color w:val="auto"/>
          <w:sz w:val="24"/>
          <w:highlight w:val="none"/>
        </w:rPr>
      </w:pPr>
    </w:p>
    <w:p>
      <w:pPr>
        <w:spacing w:line="360" w:lineRule="auto"/>
        <w:rPr>
          <w:rFonts w:ascii="宋体" w:hAnsi="宋体" w:cs="宋体"/>
          <w:b/>
          <w:bCs/>
          <w:color w:val="auto"/>
          <w:sz w:val="36"/>
          <w:szCs w:val="36"/>
          <w:highlight w:val="none"/>
        </w:rPr>
        <w:sectPr>
          <w:headerReference r:id="rId131" w:type="first"/>
          <w:footerReference r:id="rId133" w:type="first"/>
          <w:headerReference r:id="rId130" w:type="even"/>
          <w:footerReference r:id="rId132" w:type="even"/>
          <w:pgSz w:w="11907" w:h="16840"/>
          <w:pgMar w:top="1418" w:right="1134" w:bottom="1418" w:left="1701" w:header="851" w:footer="851" w:gutter="0"/>
          <w:cols w:space="720" w:num="1"/>
          <w:docGrid w:linePitch="462" w:charSpace="0"/>
        </w:sectPr>
      </w:pPr>
      <w:r>
        <w:rPr>
          <w:rFonts w:hint="eastAsia" w:ascii="宋体" w:hAnsi="宋体" w:cs="宋体"/>
          <w:color w:val="auto"/>
          <w:sz w:val="24"/>
          <w:szCs w:val="20"/>
          <w:highlight w:val="none"/>
        </w:rPr>
        <w:br w:type="page"/>
      </w:r>
    </w:p>
    <w:p>
      <w:pPr>
        <w:spacing w:before="240" w:beforeLines="100" w:after="240" w:afterLines="100" w:line="360" w:lineRule="auto"/>
        <w:jc w:val="center"/>
        <w:outlineLvl w:val="0"/>
        <w:rPr>
          <w:rFonts w:ascii="宋体" w:hAnsi="宋体" w:cs="宋体"/>
          <w:b/>
          <w:color w:val="auto"/>
          <w:sz w:val="36"/>
          <w:szCs w:val="36"/>
          <w:highlight w:val="none"/>
        </w:rPr>
      </w:pPr>
      <w:r>
        <w:rPr>
          <w:rFonts w:hint="eastAsia" w:ascii="宋体" w:hAnsi="宋体" w:cs="宋体"/>
          <w:b/>
          <w:bCs/>
          <w:color w:val="auto"/>
          <w:sz w:val="36"/>
          <w:szCs w:val="36"/>
          <w:highlight w:val="none"/>
        </w:rPr>
        <w:t>残疾人福利性单位声明函格式</w:t>
      </w:r>
    </w:p>
    <w:p>
      <w:pPr>
        <w:spacing w:line="588" w:lineRule="exact"/>
        <w:ind w:firstLine="504"/>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 141</w:t>
      </w:r>
      <w:r>
        <w:rPr>
          <w:rFonts w:hint="eastAsia" w:ascii="宋体" w:hAnsi="宋体" w:cs="宋体"/>
          <w:color w:val="auto"/>
          <w:spacing w:val="6"/>
          <w:sz w:val="24"/>
          <w:highlight w:val="none"/>
        </w:rPr>
        <w:t>号）的规定，本单位</w:t>
      </w:r>
      <w:r>
        <w:rPr>
          <w:rFonts w:hint="eastAsia" w:ascii="宋体" w:hAnsi="宋体" w:cs="宋体"/>
          <w:b/>
          <w:color w:val="auto"/>
          <w:sz w:val="24"/>
          <w:highlight w:val="none"/>
        </w:rPr>
        <w:t>（请进行勾选）</w:t>
      </w:r>
      <w:r>
        <w:rPr>
          <w:rFonts w:hint="eastAsia" w:ascii="宋体" w:hAnsi="宋体" w:cs="宋体"/>
          <w:color w:val="auto"/>
          <w:spacing w:val="6"/>
          <w:sz w:val="24"/>
          <w:highlight w:val="none"/>
        </w:rPr>
        <w:t>：</w:t>
      </w:r>
    </w:p>
    <w:p>
      <w:pPr>
        <w:spacing w:line="588" w:lineRule="exact"/>
        <w:ind w:firstLine="482"/>
        <w:rPr>
          <w:rFonts w:ascii="宋体" w:hAnsi="宋体" w:cs="宋体"/>
          <w:b/>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不属于符合条件的残疾人福利性单位。</w:t>
      </w:r>
    </w:p>
    <w:p>
      <w:pPr>
        <w:spacing w:line="588" w:lineRule="exact"/>
        <w:ind w:firstLine="482"/>
        <w:rPr>
          <w:rFonts w:ascii="宋体" w:hAnsi="宋体" w:cs="宋体"/>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属于符合条件的残疾人福利性单位，</w:t>
      </w:r>
      <w:r>
        <w:rPr>
          <w:rFonts w:hint="eastAsia" w:ascii="宋体" w:hAnsi="宋体" w:cs="宋体"/>
          <w:color w:val="auto"/>
          <w:spacing w:val="6"/>
          <w:sz w:val="24"/>
          <w:highlight w:val="none"/>
        </w:rPr>
        <w:t>且本单位参加</w:t>
      </w:r>
      <w:r>
        <w:rPr>
          <w:rFonts w:hint="eastAsia" w:ascii="宋体" w:hAnsi="宋体" w:cs="宋体"/>
          <w:color w:val="auto"/>
          <w:sz w:val="24"/>
          <w:highlight w:val="none"/>
        </w:rPr>
        <w:t>______</w:t>
      </w:r>
      <w:r>
        <w:rPr>
          <w:rFonts w:hint="eastAsia" w:ascii="宋体" w:hAnsi="宋体" w:cs="宋体"/>
          <w:color w:val="auto"/>
          <w:spacing w:val="6"/>
          <w:sz w:val="24"/>
          <w:highlight w:val="none"/>
        </w:rPr>
        <w:t>单位的</w:t>
      </w:r>
      <w:r>
        <w:rPr>
          <w:rFonts w:hint="eastAsia" w:ascii="宋体" w:hAnsi="宋体" w:cs="宋体"/>
          <w:color w:val="auto"/>
          <w:sz w:val="24"/>
          <w:highlight w:val="none"/>
        </w:rPr>
        <w:t>______</w:t>
      </w:r>
      <w:r>
        <w:rPr>
          <w:rFonts w:hint="eastAsia" w:ascii="宋体" w:hAnsi="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color w:val="auto"/>
          <w:spacing w:val="6"/>
          <w:sz w:val="24"/>
          <w:highlight w:val="none"/>
        </w:rPr>
      </w:pPr>
      <w:r>
        <w:rPr>
          <w:rFonts w:hint="eastAsia" w:ascii="宋体" w:hAnsi="宋体" w:cs="宋体"/>
          <w:b/>
          <w:color w:val="auto"/>
          <w:spacing w:val="6"/>
          <w:sz w:val="24"/>
          <w:highlight w:val="none"/>
        </w:rPr>
        <w:t>本单位对上述声明的真实性负责。如有虚假，将依法承担相应责任。</w:t>
      </w:r>
    </w:p>
    <w:p>
      <w:pPr>
        <w:spacing w:line="588" w:lineRule="exact"/>
        <w:ind w:firstLine="504" w:firstLineChars="200"/>
        <w:rPr>
          <w:rFonts w:ascii="宋体" w:hAnsi="宋体" w:cs="宋体"/>
          <w:color w:val="auto"/>
          <w:spacing w:val="6"/>
          <w:sz w:val="24"/>
          <w:highlight w:val="none"/>
        </w:rPr>
      </w:pPr>
    </w:p>
    <w:p>
      <w:pPr>
        <w:spacing w:line="588" w:lineRule="exact"/>
        <w:ind w:firstLine="504" w:firstLineChars="200"/>
        <w:rPr>
          <w:rFonts w:ascii="宋体" w:hAnsi="宋体" w:cs="宋体"/>
          <w:color w:val="auto"/>
          <w:spacing w:val="6"/>
          <w:sz w:val="24"/>
          <w:highlight w:val="none"/>
        </w:rPr>
      </w:pPr>
    </w:p>
    <w:p>
      <w:pPr>
        <w:tabs>
          <w:tab w:val="left" w:pos="4860"/>
        </w:tabs>
        <w:spacing w:line="588" w:lineRule="exact"/>
        <w:ind w:right="1560" w:firstLine="504" w:firstLineChars="200"/>
        <w:jc w:val="right"/>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rPr>
          <w:rFonts w:hint="eastAsia" w:ascii="宋体" w:hAnsi="宋体" w:cs="宋体"/>
          <w:color w:val="auto"/>
          <w:sz w:val="24"/>
          <w:highlight w:val="none"/>
        </w:rPr>
        <w:t>______</w:t>
      </w:r>
    </w:p>
    <w:p>
      <w:pPr>
        <w:tabs>
          <w:tab w:val="left" w:pos="4860"/>
        </w:tabs>
        <w:spacing w:line="588" w:lineRule="exact"/>
        <w:ind w:right="1560" w:firstLine="504" w:firstLineChars="200"/>
        <w:jc w:val="right"/>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rPr>
          <w:rFonts w:hint="eastAsia" w:ascii="宋体" w:hAnsi="宋体" w:cs="宋体"/>
          <w:color w:val="auto"/>
          <w:sz w:val="24"/>
          <w:highlight w:val="none"/>
        </w:rPr>
        <w:t>______</w:t>
      </w:r>
    </w:p>
    <w:p>
      <w:pPr>
        <w:widowControl/>
        <w:jc w:val="left"/>
        <w:rPr>
          <w:rFonts w:ascii="宋体" w:hAnsi="宋体" w:cs="宋体"/>
          <w:color w:val="auto"/>
          <w:sz w:val="24"/>
          <w:szCs w:val="20"/>
          <w:highlight w:val="none"/>
        </w:rPr>
      </w:pPr>
      <w:r>
        <w:rPr>
          <w:rFonts w:hint="eastAsia" w:ascii="宋体" w:hAnsi="宋体" w:cs="宋体"/>
          <w:color w:val="auto"/>
          <w:sz w:val="24"/>
          <w:szCs w:val="20"/>
          <w:highlight w:val="none"/>
        </w:rPr>
        <w:br w:type="page"/>
      </w:r>
    </w:p>
    <w:p>
      <w:pPr>
        <w:spacing w:line="360" w:lineRule="auto"/>
        <w:outlineLvl w:val="0"/>
        <w:rPr>
          <w:rFonts w:ascii="宋体" w:hAnsi="宋体" w:cs="宋体"/>
          <w:color w:val="auto"/>
          <w:sz w:val="24"/>
          <w:szCs w:val="20"/>
          <w:highlight w:val="none"/>
        </w:rPr>
      </w:pPr>
      <w:r>
        <w:rPr>
          <w:rFonts w:hint="eastAsia" w:ascii="宋体" w:hAnsi="宋体" w:cs="宋体"/>
          <w:color w:val="auto"/>
          <w:sz w:val="24"/>
          <w:szCs w:val="20"/>
          <w:highlight w:val="none"/>
        </w:rPr>
        <w:t xml:space="preserve">2-2 </w:t>
      </w:r>
      <w:r>
        <w:rPr>
          <w:rFonts w:hint="eastAsia" w:ascii="宋体" w:hAnsi="宋体" w:cs="宋体"/>
          <w:color w:val="auto"/>
          <w:sz w:val="24"/>
          <w:highlight w:val="none"/>
        </w:rPr>
        <w:t>其它落实政府采购政策的资格要求</w:t>
      </w:r>
      <w:r>
        <w:rPr>
          <w:rFonts w:hint="eastAsia" w:ascii="宋体" w:hAnsi="宋体" w:cs="宋体"/>
          <w:color w:val="auto"/>
          <w:sz w:val="24"/>
          <w:szCs w:val="20"/>
          <w:highlight w:val="none"/>
        </w:rPr>
        <w:t>（如有）</w:t>
      </w:r>
    </w:p>
    <w:p>
      <w:pPr>
        <w:widowControl/>
        <w:jc w:val="left"/>
        <w:rPr>
          <w:rFonts w:ascii="宋体" w:hAnsi="宋体" w:cs="宋体"/>
          <w:color w:val="auto"/>
          <w:sz w:val="24"/>
          <w:highlight w:val="none"/>
        </w:rPr>
      </w:pPr>
    </w:p>
    <w:p>
      <w:pPr>
        <w:widowControl/>
        <w:jc w:val="left"/>
        <w:rPr>
          <w:rFonts w:ascii="宋体" w:hAnsi="宋体" w:cs="宋体"/>
          <w:color w:val="auto"/>
          <w:sz w:val="24"/>
          <w:highlight w:val="none"/>
        </w:rPr>
      </w:pPr>
      <w:r>
        <w:rPr>
          <w:rFonts w:hint="eastAsia" w:ascii="宋体" w:hAnsi="宋体" w:cs="宋体"/>
          <w:color w:val="auto"/>
          <w:sz w:val="24"/>
          <w:highlight w:val="none"/>
        </w:rPr>
        <w:br w:type="page"/>
      </w:r>
    </w:p>
    <w:p>
      <w:pPr>
        <w:widowControl/>
        <w:jc w:val="left"/>
        <w:rPr>
          <w:rFonts w:ascii="宋体" w:hAnsi="宋体" w:cs="宋体"/>
          <w:color w:val="auto"/>
          <w:sz w:val="24"/>
          <w:highlight w:val="none"/>
        </w:rPr>
      </w:pPr>
      <w:bookmarkStart w:id="756" w:name="_Hlt520343392"/>
      <w:bookmarkEnd w:id="756"/>
      <w:bookmarkStart w:id="757" w:name="_Hlt520274065"/>
      <w:bookmarkEnd w:id="757"/>
      <w:bookmarkStart w:id="758" w:name="_Hlt520274393"/>
      <w:bookmarkEnd w:id="758"/>
      <w:bookmarkStart w:id="759" w:name="_Hlt520271212"/>
      <w:bookmarkEnd w:id="759"/>
      <w:bookmarkStart w:id="760" w:name="_Hlt520273711"/>
      <w:bookmarkEnd w:id="760"/>
      <w:bookmarkStart w:id="761" w:name="_Hlt520355504"/>
      <w:bookmarkEnd w:id="761"/>
      <w:bookmarkStart w:id="762" w:name="_Hlt520274407"/>
      <w:bookmarkEnd w:id="762"/>
      <w:bookmarkStart w:id="763" w:name="_Hlt520350918"/>
      <w:bookmarkEnd w:id="763"/>
      <w:bookmarkStart w:id="764" w:name="_Hlt520274121"/>
      <w:bookmarkEnd w:id="764"/>
      <w:bookmarkStart w:id="765" w:name="_Hlt520343000"/>
      <w:bookmarkEnd w:id="765"/>
      <w:bookmarkStart w:id="766" w:name="_Toc226309801"/>
      <w:bookmarkStart w:id="767" w:name="_Toc150480795"/>
      <w:bookmarkStart w:id="768" w:name="_Toc305158825"/>
      <w:bookmarkStart w:id="769" w:name="_Toc226965830"/>
      <w:bookmarkStart w:id="770" w:name="_Ref467988705"/>
      <w:bookmarkStart w:id="771" w:name="_Toc305158899"/>
      <w:bookmarkStart w:id="772" w:name="_Toc265228395"/>
      <w:bookmarkStart w:id="773" w:name="_Toc150774762"/>
      <w:bookmarkStart w:id="774" w:name="_Toc195842922"/>
      <w:bookmarkStart w:id="775" w:name="_Toc127151557"/>
      <w:bookmarkStart w:id="776" w:name="_Toc520356218"/>
      <w:bookmarkStart w:id="777" w:name="_Toc226965747"/>
      <w:bookmarkStart w:id="778" w:name="_Toc264969247"/>
      <w:bookmarkStart w:id="779" w:name="_Toc226337253"/>
      <w:bookmarkStart w:id="780" w:name="_Toc480942350"/>
      <w:bookmarkStart w:id="781" w:name="_Toc142311059"/>
      <w:r>
        <w:rPr>
          <w:rFonts w:hint="eastAsia" w:ascii="宋体" w:hAnsi="宋体" w:cs="宋体"/>
          <w:color w:val="auto"/>
          <w:sz w:val="24"/>
          <w:highlight w:val="none"/>
        </w:rPr>
        <w:t>3 响应书</w:t>
      </w:r>
    </w:p>
    <w:p>
      <w:pPr>
        <w:tabs>
          <w:tab w:val="left" w:pos="5580"/>
        </w:tabs>
        <w:spacing w:line="360" w:lineRule="auto"/>
        <w:rPr>
          <w:rFonts w:ascii="宋体" w:hAnsi="宋体" w:cs="宋体"/>
          <w:color w:val="auto"/>
          <w:sz w:val="24"/>
          <w:highlight w:val="none"/>
        </w:rPr>
      </w:pPr>
    </w:p>
    <w:p>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响应书</w:t>
      </w: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（采购人或采购代理机构）</w:t>
      </w:r>
    </w:p>
    <w:p>
      <w:pPr>
        <w:tabs>
          <w:tab w:val="left" w:pos="5580"/>
        </w:tabs>
        <w:spacing w:line="360" w:lineRule="auto"/>
        <w:rPr>
          <w:rFonts w:ascii="宋体" w:hAnsi="宋体" w:cs="宋体"/>
          <w:color w:val="auto"/>
          <w:sz w:val="24"/>
          <w:szCs w:val="20"/>
          <w:highlight w:val="none"/>
        </w:rPr>
      </w:pPr>
    </w:p>
    <w:p>
      <w:pPr>
        <w:tabs>
          <w:tab w:val="left" w:pos="5580"/>
        </w:tabs>
        <w:spacing w:line="360" w:lineRule="auto"/>
        <w:ind w:firstLine="408"/>
        <w:rPr>
          <w:rFonts w:ascii="宋体" w:hAnsi="宋体" w:cs="宋体"/>
          <w:color w:val="auto"/>
          <w:sz w:val="24"/>
          <w:szCs w:val="20"/>
          <w:highlight w:val="none"/>
        </w:rPr>
      </w:pPr>
      <w:r>
        <w:rPr>
          <w:rFonts w:hint="eastAsia" w:ascii="宋体" w:hAnsi="宋体" w:cs="宋体"/>
          <w:color w:val="auto"/>
          <w:sz w:val="24"/>
          <w:szCs w:val="20"/>
          <w:highlight w:val="none"/>
        </w:rPr>
        <w:t>我方参加你方就</w:t>
      </w:r>
      <w:r>
        <w:rPr>
          <w:rFonts w:hint="eastAsia" w:ascii="宋体" w:hAnsi="宋体" w:cs="宋体"/>
          <w:color w:val="auto"/>
          <w:sz w:val="24"/>
          <w:highlight w:val="none"/>
        </w:rPr>
        <w:t>______</w:t>
      </w:r>
      <w:r>
        <w:rPr>
          <w:rFonts w:hint="eastAsia" w:ascii="宋体" w:hAnsi="宋体" w:cs="宋体"/>
          <w:color w:val="auto"/>
          <w:sz w:val="24"/>
          <w:szCs w:val="20"/>
          <w:highlight w:val="none"/>
        </w:rPr>
        <w:t>（项目名称，项目编号）组织的采购活动，并对此项目进行磋商。</w:t>
      </w:r>
    </w:p>
    <w:p>
      <w:pPr>
        <w:tabs>
          <w:tab w:val="left" w:pos="5580"/>
        </w:tabs>
        <w:spacing w:line="360" w:lineRule="auto"/>
        <w:ind w:firstLine="408"/>
        <w:outlineLvl w:val="0"/>
        <w:rPr>
          <w:rFonts w:ascii="宋体" w:hAnsi="宋体" w:cs="宋体"/>
          <w:color w:val="auto"/>
          <w:sz w:val="24"/>
          <w:szCs w:val="20"/>
          <w:highlight w:val="none"/>
        </w:rPr>
      </w:pPr>
      <w:r>
        <w:rPr>
          <w:rFonts w:hint="eastAsia" w:ascii="宋体" w:hAnsi="宋体" w:cs="宋体"/>
          <w:color w:val="auto"/>
          <w:sz w:val="24"/>
          <w:szCs w:val="20"/>
          <w:highlight w:val="none"/>
        </w:rPr>
        <w:t>1. 我方</w:t>
      </w:r>
      <w:r>
        <w:rPr>
          <w:rFonts w:hint="eastAsia" w:ascii="宋体" w:hAnsi="宋体" w:cs="宋体"/>
          <w:color w:val="auto"/>
          <w:sz w:val="24"/>
          <w:highlight w:val="none"/>
        </w:rPr>
        <w:t>已详细审查全部竞争性磋商文件</w:t>
      </w:r>
      <w:r>
        <w:rPr>
          <w:rFonts w:hint="eastAsia" w:ascii="宋体" w:hAnsi="宋体" w:cs="宋体"/>
          <w:color w:val="auto"/>
          <w:sz w:val="24"/>
          <w:szCs w:val="20"/>
          <w:highlight w:val="none"/>
        </w:rPr>
        <w:t>，自愿参与磋商并承诺如下：</w:t>
      </w:r>
    </w:p>
    <w:p>
      <w:pPr>
        <w:tabs>
          <w:tab w:val="left" w:pos="720"/>
          <w:tab w:val="left" w:pos="900"/>
        </w:tabs>
        <w:spacing w:line="360" w:lineRule="auto"/>
        <w:ind w:left="360" w:firstLine="72" w:firstLineChars="30"/>
        <w:rPr>
          <w:rFonts w:ascii="宋体" w:hAnsi="宋体" w:cs="宋体"/>
          <w:color w:val="auto"/>
          <w:sz w:val="24"/>
          <w:szCs w:val="20"/>
          <w:highlight w:val="none"/>
        </w:rPr>
      </w:pPr>
      <w:r>
        <w:rPr>
          <w:rFonts w:hint="eastAsia" w:ascii="宋体" w:hAnsi="宋体" w:cs="宋体"/>
          <w:color w:val="auto"/>
          <w:sz w:val="24"/>
          <w:szCs w:val="20"/>
          <w:highlight w:val="none"/>
        </w:rPr>
        <w:t>（1）本响应有效期为自提交响应文件的截止之日起</w:t>
      </w:r>
      <w:r>
        <w:rPr>
          <w:rFonts w:hint="eastAsia" w:ascii="宋体" w:hAnsi="宋体" w:cs="宋体"/>
          <w:color w:val="auto"/>
          <w:sz w:val="24"/>
          <w:highlight w:val="none"/>
        </w:rPr>
        <w:t>______</w:t>
      </w:r>
      <w:r>
        <w:rPr>
          <w:rFonts w:hint="eastAsia" w:ascii="宋体" w:hAnsi="宋体" w:cs="宋体"/>
          <w:color w:val="auto"/>
          <w:sz w:val="24"/>
          <w:szCs w:val="20"/>
          <w:highlight w:val="none"/>
        </w:rPr>
        <w:t>个日历日。</w:t>
      </w:r>
    </w:p>
    <w:p>
      <w:pPr>
        <w:tabs>
          <w:tab w:val="left" w:pos="720"/>
          <w:tab w:val="left" w:pos="900"/>
        </w:tabs>
        <w:spacing w:line="360" w:lineRule="auto"/>
        <w:ind w:left="360" w:firstLine="72" w:firstLineChars="30"/>
        <w:rPr>
          <w:rFonts w:ascii="宋体" w:hAnsi="宋体" w:cs="宋体"/>
          <w:color w:val="auto"/>
          <w:sz w:val="24"/>
          <w:szCs w:val="20"/>
          <w:highlight w:val="none"/>
        </w:rPr>
      </w:pPr>
      <w:r>
        <w:rPr>
          <w:rFonts w:hint="eastAsia" w:ascii="宋体" w:hAnsi="宋体" w:cs="宋体"/>
          <w:color w:val="auto"/>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ascii="宋体" w:hAnsi="宋体" w:cs="宋体"/>
          <w:color w:val="auto"/>
          <w:sz w:val="24"/>
          <w:szCs w:val="20"/>
          <w:highlight w:val="none"/>
        </w:rPr>
      </w:pPr>
      <w:r>
        <w:rPr>
          <w:rFonts w:hint="eastAsia" w:ascii="宋体" w:hAnsi="宋体" w:cs="宋体"/>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auto"/>
          <w:sz w:val="24"/>
          <w:highlight w:val="none"/>
        </w:rPr>
      </w:pPr>
      <w:r>
        <w:rPr>
          <w:rFonts w:hint="eastAsia" w:ascii="宋体" w:hAnsi="宋体" w:cs="宋体"/>
          <w:color w:val="auto"/>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outlineLvl w:val="0"/>
        <w:rPr>
          <w:rFonts w:ascii="宋体" w:hAnsi="宋体" w:cs="宋体"/>
          <w:color w:val="auto"/>
          <w:sz w:val="24"/>
          <w:highlight w:val="none"/>
        </w:rPr>
      </w:pPr>
      <w:r>
        <w:rPr>
          <w:rFonts w:hint="eastAsia" w:ascii="宋体" w:hAnsi="宋体" w:cs="宋体"/>
          <w:color w:val="auto"/>
          <w:sz w:val="24"/>
          <w:highlight w:val="none"/>
        </w:rPr>
        <w:t>2. 其他补充条款（如有）：______。</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与本磋商有关的一切正式往来信函请寄：</w:t>
      </w:r>
    </w:p>
    <w:p>
      <w:pPr>
        <w:tabs>
          <w:tab w:val="left" w:pos="5580"/>
        </w:tabs>
        <w:spacing w:line="360" w:lineRule="auto"/>
        <w:ind w:left="420"/>
        <w:rPr>
          <w:rFonts w:ascii="宋体" w:hAnsi="宋体" w:cs="宋体"/>
          <w:color w:val="auto"/>
          <w:sz w:val="24"/>
          <w:szCs w:val="20"/>
          <w:highlight w:val="none"/>
        </w:rPr>
      </w:pPr>
    </w:p>
    <w:p>
      <w:pPr>
        <w:tabs>
          <w:tab w:val="left" w:pos="5580"/>
        </w:tabs>
        <w:spacing w:line="360" w:lineRule="auto"/>
        <w:ind w:left="420"/>
        <w:rPr>
          <w:rFonts w:ascii="宋体" w:hAnsi="宋体" w:cs="宋体"/>
          <w:color w:val="auto"/>
          <w:sz w:val="24"/>
          <w:szCs w:val="20"/>
          <w:highlight w:val="none"/>
        </w:rPr>
      </w:pPr>
      <w:r>
        <w:rPr>
          <w:rFonts w:hint="eastAsia" w:ascii="宋体" w:hAnsi="宋体" w:cs="宋体"/>
          <w:color w:val="auto"/>
          <w:sz w:val="24"/>
          <w:szCs w:val="20"/>
          <w:highlight w:val="none"/>
        </w:rPr>
        <w:t>地址</w:t>
      </w:r>
      <w:r>
        <w:rPr>
          <w:rFonts w:hint="eastAsia" w:ascii="宋体" w:hAnsi="宋体" w:cs="宋体"/>
          <w:bCs/>
          <w:color w:val="auto"/>
          <w:sz w:val="24"/>
          <w:highlight w:val="none"/>
        </w:rPr>
        <w:t>_________________________</w:t>
      </w:r>
      <w:r>
        <w:rPr>
          <w:rFonts w:hint="eastAsia" w:ascii="宋体" w:hAnsi="宋体" w:cs="宋体"/>
          <w:color w:val="auto"/>
          <w:sz w:val="24"/>
          <w:szCs w:val="20"/>
          <w:highlight w:val="none"/>
        </w:rPr>
        <w:t xml:space="preserve">      传   真</w:t>
      </w:r>
      <w:r>
        <w:rPr>
          <w:rFonts w:hint="eastAsia" w:ascii="宋体" w:hAnsi="宋体" w:cs="宋体"/>
          <w:bCs/>
          <w:color w:val="auto"/>
          <w:sz w:val="24"/>
          <w:highlight w:val="none"/>
        </w:rPr>
        <w:t>_________________________</w:t>
      </w:r>
    </w:p>
    <w:p>
      <w:pPr>
        <w:tabs>
          <w:tab w:val="left" w:pos="5580"/>
        </w:tabs>
        <w:spacing w:line="360" w:lineRule="auto"/>
        <w:ind w:left="420"/>
        <w:rPr>
          <w:rFonts w:ascii="宋体" w:hAnsi="宋体" w:cs="宋体"/>
          <w:color w:val="auto"/>
          <w:sz w:val="24"/>
          <w:szCs w:val="20"/>
          <w:highlight w:val="none"/>
        </w:rPr>
      </w:pPr>
      <w:r>
        <w:rPr>
          <w:rFonts w:hint="eastAsia" w:ascii="宋体" w:hAnsi="宋体" w:cs="宋体"/>
          <w:color w:val="auto"/>
          <w:sz w:val="24"/>
          <w:szCs w:val="20"/>
          <w:highlight w:val="none"/>
        </w:rPr>
        <w:t>电话</w:t>
      </w:r>
      <w:r>
        <w:rPr>
          <w:rFonts w:hint="eastAsia" w:ascii="宋体" w:hAnsi="宋体" w:cs="宋体"/>
          <w:bCs/>
          <w:color w:val="auto"/>
          <w:sz w:val="24"/>
          <w:highlight w:val="none"/>
        </w:rPr>
        <w:t>_________________________</w:t>
      </w:r>
      <w:r>
        <w:rPr>
          <w:rFonts w:hint="eastAsia" w:ascii="宋体" w:hAnsi="宋体" w:cs="宋体"/>
          <w:color w:val="auto"/>
          <w:sz w:val="24"/>
          <w:szCs w:val="20"/>
          <w:highlight w:val="none"/>
        </w:rPr>
        <w:t xml:space="preserve">      电子函件</w:t>
      </w:r>
      <w:r>
        <w:rPr>
          <w:rFonts w:hint="eastAsia" w:ascii="宋体" w:hAnsi="宋体" w:cs="宋体"/>
          <w:bCs/>
          <w:color w:val="auto"/>
          <w:sz w:val="24"/>
          <w:highlight w:val="none"/>
        </w:rPr>
        <w:t>_________________________</w:t>
      </w:r>
    </w:p>
    <w:p>
      <w:pPr>
        <w:tabs>
          <w:tab w:val="left" w:pos="5580"/>
        </w:tabs>
        <w:spacing w:line="360" w:lineRule="auto"/>
        <w:ind w:left="420"/>
        <w:rPr>
          <w:rFonts w:ascii="宋体" w:hAnsi="宋体" w:cs="宋体"/>
          <w:color w:val="auto"/>
          <w:sz w:val="24"/>
          <w:szCs w:val="20"/>
          <w:highlight w:val="none"/>
        </w:rPr>
      </w:pPr>
    </w:p>
    <w:p>
      <w:pPr>
        <w:tabs>
          <w:tab w:val="left" w:pos="5580"/>
        </w:tabs>
        <w:spacing w:line="360" w:lineRule="auto"/>
        <w:ind w:left="420"/>
        <w:rPr>
          <w:rFonts w:ascii="宋体" w:hAnsi="宋体" w:cs="宋体"/>
          <w:color w:val="auto"/>
          <w:sz w:val="24"/>
          <w:szCs w:val="20"/>
          <w:highlight w:val="none"/>
        </w:rPr>
      </w:pPr>
    </w:p>
    <w:p>
      <w:pPr>
        <w:tabs>
          <w:tab w:val="left" w:pos="5580"/>
        </w:tabs>
        <w:spacing w:line="360" w:lineRule="auto"/>
        <w:ind w:left="420"/>
        <w:rPr>
          <w:rFonts w:ascii="宋体" w:hAnsi="宋体" w:cs="宋体"/>
          <w:color w:val="auto"/>
          <w:sz w:val="24"/>
          <w:szCs w:val="20"/>
          <w:highlight w:val="none"/>
        </w:rPr>
      </w:pPr>
    </w:p>
    <w:p>
      <w:pPr>
        <w:autoSpaceDE w:val="0"/>
        <w:autoSpaceDN w:val="0"/>
        <w:adjustRightInd w:val="0"/>
        <w:snapToGrid w:val="0"/>
        <w:spacing w:before="25" w:after="25" w:line="360" w:lineRule="auto"/>
        <w:ind w:right="360" w:firstLine="360" w:firstLineChars="150"/>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highlight w:val="none"/>
        </w:rPr>
        <w:t>______</w:t>
      </w:r>
    </w:p>
    <w:p>
      <w:pPr>
        <w:tabs>
          <w:tab w:val="left" w:pos="5580"/>
        </w:tabs>
        <w:spacing w:line="360" w:lineRule="auto"/>
        <w:ind w:firstLine="360" w:firstLineChars="150"/>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日期：____年____月____日  </w:t>
      </w:r>
    </w:p>
    <w:p>
      <w:pPr>
        <w:tabs>
          <w:tab w:val="left" w:pos="5580"/>
        </w:tabs>
        <w:spacing w:line="360" w:lineRule="auto"/>
        <w:ind w:left="420"/>
        <w:jc w:val="left"/>
        <w:rPr>
          <w:rFonts w:ascii="宋体" w:hAnsi="宋体" w:cs="宋体"/>
          <w:color w:val="auto"/>
          <w:sz w:val="24"/>
          <w:szCs w:val="20"/>
          <w:highlight w:val="none"/>
        </w:rPr>
      </w:pPr>
    </w:p>
    <w:p>
      <w:pPr>
        <w:widowControl/>
        <w:jc w:val="left"/>
        <w:rPr>
          <w:rFonts w:ascii="宋体" w:hAnsi="宋体" w:cs="宋体"/>
          <w:b/>
          <w:color w:val="auto"/>
          <w:sz w:val="24"/>
          <w:szCs w:val="20"/>
          <w:highlight w:val="none"/>
        </w:rPr>
      </w:pPr>
      <w:r>
        <w:rPr>
          <w:rFonts w:hint="eastAsia" w:ascii="宋体" w:hAnsi="宋体" w:cs="宋体"/>
          <w:b/>
          <w:color w:val="auto"/>
          <w:sz w:val="24"/>
          <w:szCs w:val="20"/>
          <w:highlight w:val="none"/>
        </w:rPr>
        <w:br w:type="page"/>
      </w:r>
    </w:p>
    <w:p>
      <w:p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4授权委托书</w:t>
      </w:r>
    </w:p>
    <w:p>
      <w:pPr>
        <w:autoSpaceDE w:val="0"/>
        <w:autoSpaceDN w:val="0"/>
        <w:adjustRightInd w:val="0"/>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授权委托书</w:t>
      </w:r>
    </w:p>
    <w:p>
      <w:pPr>
        <w:spacing w:line="360" w:lineRule="auto"/>
        <w:ind w:firstLine="420"/>
        <w:rPr>
          <w:rFonts w:ascii="宋体" w:hAnsi="宋体" w:cs="宋体"/>
          <w:color w:val="auto"/>
          <w:sz w:val="24"/>
          <w:szCs w:val="20"/>
          <w:highlight w:val="none"/>
        </w:rPr>
      </w:pPr>
      <w:r>
        <w:rPr>
          <w:rFonts w:hint="eastAsia" w:ascii="宋体" w:hAnsi="宋体" w:cs="宋体"/>
          <w:color w:val="auto"/>
          <w:sz w:val="24"/>
          <w:szCs w:val="20"/>
          <w:highlight w:val="none"/>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ascii="宋体" w:hAnsi="宋体" w:cs="宋体"/>
          <w:color w:val="auto"/>
          <w:sz w:val="24"/>
          <w:szCs w:val="20"/>
          <w:highlight w:val="none"/>
        </w:rPr>
      </w:pPr>
      <w:r>
        <w:rPr>
          <w:rFonts w:hint="eastAsia" w:ascii="宋体" w:hAnsi="宋体" w:cs="宋体"/>
          <w:color w:val="auto"/>
          <w:sz w:val="24"/>
          <w:szCs w:val="20"/>
          <w:highlight w:val="none"/>
        </w:rPr>
        <w:t>委托期限：自本授权委托书签署之日起至响应有效期届满之日止。</w:t>
      </w:r>
    </w:p>
    <w:p>
      <w:pPr>
        <w:spacing w:line="360" w:lineRule="auto"/>
        <w:ind w:firstLine="420"/>
        <w:rPr>
          <w:rFonts w:ascii="宋体" w:hAnsi="宋体" w:cs="宋体"/>
          <w:color w:val="auto"/>
          <w:sz w:val="24"/>
          <w:szCs w:val="20"/>
          <w:highlight w:val="none"/>
        </w:rPr>
      </w:pPr>
      <w:r>
        <w:rPr>
          <w:rFonts w:hint="eastAsia" w:ascii="宋体" w:hAnsi="宋体" w:cs="宋体"/>
          <w:color w:val="auto"/>
          <w:sz w:val="24"/>
          <w:szCs w:val="20"/>
          <w:highlight w:val="none"/>
        </w:rPr>
        <w:t>代理人无转委托权。</w:t>
      </w:r>
      <w:r>
        <w:rPr>
          <w:rFonts w:hint="eastAsia" w:ascii="宋体" w:hAnsi="宋体" w:cs="宋体"/>
          <w:color w:val="auto"/>
          <w:sz w:val="24"/>
          <w:szCs w:val="20"/>
          <w:highlight w:val="none"/>
        </w:rPr>
        <w:c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szCs w:val="20"/>
          <w:highlight w:val="none"/>
        </w:rPr>
        <w:t>______________</w:t>
      </w:r>
    </w:p>
    <w:p>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法定代表人（单位负责人）（签字或盖章）：______________</w:t>
      </w:r>
    </w:p>
    <w:p>
      <w:pPr>
        <w:autoSpaceDE w:val="0"/>
        <w:autoSpaceDN w:val="0"/>
        <w:adjustRightInd w:val="0"/>
        <w:snapToGrid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委托代理人（签字</w:t>
      </w:r>
      <w:r>
        <w:rPr>
          <w:rFonts w:hint="eastAsia" w:ascii="宋体" w:hAnsi="宋体" w:cs="宋体"/>
          <w:color w:val="auto"/>
          <w:sz w:val="24"/>
          <w:szCs w:val="20"/>
          <w:highlight w:val="none"/>
        </w:rPr>
        <w:t>/签章</w:t>
      </w:r>
      <w:r>
        <w:rPr>
          <w:rFonts w:hint="eastAsia" w:ascii="宋体" w:hAnsi="宋体" w:cs="宋体"/>
          <w:color w:val="auto"/>
          <w:sz w:val="24"/>
          <w:highlight w:val="none"/>
        </w:rPr>
        <w:t>）：</w:t>
      </w:r>
      <w:r>
        <w:rPr>
          <w:rFonts w:hint="eastAsia" w:ascii="宋体" w:hAnsi="宋体" w:cs="宋体"/>
          <w:color w:val="auto"/>
          <w:sz w:val="24"/>
          <w:szCs w:val="20"/>
          <w:highlight w:val="none"/>
        </w:rPr>
        <w:t>______________</w:t>
      </w:r>
      <w:r>
        <w:rPr>
          <w:rFonts w:hint="eastAsia" w:ascii="宋体" w:hAnsi="宋体" w:cs="宋体"/>
          <w:color w:val="auto"/>
          <w:sz w:val="24"/>
          <w:highlight w:val="none"/>
          <w:lang w:val="zh-CN"/>
        </w:rPr>
        <w:t xml:space="preserve">        </w:t>
      </w:r>
    </w:p>
    <w:p>
      <w:pPr>
        <w:autoSpaceDE w:val="0"/>
        <w:autoSpaceDN w:val="0"/>
        <w:adjustRightInd w:val="0"/>
        <w:snapToGrid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日期：</w:t>
      </w:r>
      <w:r>
        <w:rPr>
          <w:rFonts w:hint="eastAsia" w:ascii="宋体" w:hAnsi="宋体" w:cs="宋体"/>
          <w:color w:val="auto"/>
          <w:sz w:val="24"/>
          <w:szCs w:val="20"/>
          <w:highlight w:val="none"/>
        </w:rPr>
        <w:t>____</w:t>
      </w:r>
      <w:r>
        <w:rPr>
          <w:rFonts w:hint="eastAsia" w:ascii="宋体" w:hAnsi="宋体" w:cs="宋体"/>
          <w:color w:val="auto"/>
          <w:sz w:val="24"/>
          <w:highlight w:val="none"/>
        </w:rPr>
        <w:t>年</w:t>
      </w:r>
      <w:r>
        <w:rPr>
          <w:rFonts w:hint="eastAsia" w:ascii="宋体" w:hAnsi="宋体" w:cs="宋体"/>
          <w:color w:val="auto"/>
          <w:sz w:val="24"/>
          <w:szCs w:val="20"/>
          <w:highlight w:val="none"/>
        </w:rPr>
        <w:t>____</w:t>
      </w:r>
      <w:r>
        <w:rPr>
          <w:rFonts w:hint="eastAsia" w:ascii="宋体" w:hAnsi="宋体" w:cs="宋体"/>
          <w:color w:val="auto"/>
          <w:sz w:val="24"/>
          <w:highlight w:val="none"/>
        </w:rPr>
        <w:t>月</w:t>
      </w:r>
      <w:r>
        <w:rPr>
          <w:rFonts w:hint="eastAsia" w:ascii="宋体" w:hAnsi="宋体" w:cs="宋体"/>
          <w:color w:val="auto"/>
          <w:sz w:val="24"/>
          <w:szCs w:val="20"/>
          <w:highlight w:val="none"/>
        </w:rPr>
        <w:t>____</w:t>
      </w:r>
      <w:r>
        <w:rPr>
          <w:rFonts w:hint="eastAsia" w:ascii="宋体" w:hAnsi="宋体" w:cs="宋体"/>
          <w:color w:val="auto"/>
          <w:sz w:val="24"/>
          <w:highlight w:val="none"/>
        </w:rPr>
        <w:t>日</w:t>
      </w:r>
    </w:p>
    <w:p>
      <w:pPr>
        <w:tabs>
          <w:tab w:val="left" w:pos="5580"/>
        </w:tabs>
        <w:spacing w:line="360" w:lineRule="auto"/>
        <w:ind w:firstLine="480" w:firstLineChars="200"/>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法定代表人（单位负责人）有效期内的身份证</w:t>
      </w:r>
      <w:r>
        <w:rPr>
          <w:rFonts w:hint="eastAsia" w:ascii="宋体" w:hAnsi="宋体" w:cs="宋体"/>
          <w:b/>
          <w:color w:val="auto"/>
          <w:sz w:val="24"/>
          <w:szCs w:val="20"/>
          <w:highlight w:val="none"/>
        </w:rPr>
        <w:t>正反面</w:t>
      </w:r>
      <w:r>
        <w:rPr>
          <w:rFonts w:hint="eastAsia" w:ascii="宋体" w:hAnsi="宋体" w:cs="宋体"/>
          <w:color w:val="auto"/>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tc>
        <w:tc>
          <w:tcPr>
            <w:tcW w:w="4536" w:type="dxa"/>
          </w:tcPr>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tc>
      </w:tr>
    </w:tbl>
    <w:p>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委托代理人有效期内的身份证</w:t>
      </w:r>
      <w:r>
        <w:rPr>
          <w:rFonts w:hint="eastAsia" w:ascii="宋体" w:hAnsi="宋体" w:cs="宋体"/>
          <w:b/>
          <w:color w:val="auto"/>
          <w:sz w:val="24"/>
          <w:szCs w:val="20"/>
          <w:highlight w:val="none"/>
        </w:rPr>
        <w:t>正反面</w:t>
      </w:r>
      <w:r>
        <w:rPr>
          <w:rFonts w:hint="eastAsia" w:ascii="宋体" w:hAnsi="宋体" w:cs="宋体"/>
          <w:color w:val="auto"/>
          <w:sz w:val="24"/>
          <w:szCs w:val="20"/>
          <w:highlight w:val="none"/>
        </w:rPr>
        <w:t>电子件：</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tc>
        <w:tc>
          <w:tcPr>
            <w:tcW w:w="4536" w:type="dxa"/>
          </w:tcPr>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tc>
      </w:tr>
    </w:tbl>
    <w:p>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说明：</w:t>
      </w:r>
    </w:p>
    <w:p>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3.供应商为自然人的情形，可不提供本《授权委托书》。</w:t>
      </w:r>
    </w:p>
    <w:p>
      <w:pPr>
        <w:widowControl/>
        <w:jc w:val="left"/>
        <w:rPr>
          <w:rFonts w:ascii="宋体" w:hAnsi="宋体" w:cs="宋体"/>
          <w:color w:val="auto"/>
          <w:sz w:val="30"/>
          <w:szCs w:val="30"/>
          <w:highlight w:val="none"/>
        </w:rPr>
      </w:pPr>
      <w:r>
        <w:rPr>
          <w:rFonts w:hint="eastAsia" w:ascii="宋体" w:hAnsi="宋体" w:cs="宋体"/>
          <w:color w:val="auto"/>
          <w:sz w:val="30"/>
          <w:szCs w:val="30"/>
          <w:highlight w:val="none"/>
        </w:rPr>
        <w:br w:type="page"/>
      </w:r>
    </w:p>
    <w:p>
      <w:pPr>
        <w:autoSpaceDE w:val="0"/>
        <w:autoSpaceDN w:val="0"/>
        <w:adjustRightInd w:val="0"/>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附：法定代表人（单位负责人）身份证明</w:t>
      </w:r>
    </w:p>
    <w:p>
      <w:pPr>
        <w:kinsoku w:val="0"/>
        <w:overflowPunct w:val="0"/>
        <w:spacing w:line="200" w:lineRule="exact"/>
        <w:rPr>
          <w:rFonts w:ascii="宋体" w:hAnsi="宋体" w:cs="宋体"/>
          <w:color w:val="auto"/>
          <w:sz w:val="20"/>
          <w:szCs w:val="20"/>
          <w:highlight w:val="none"/>
        </w:rPr>
      </w:pPr>
    </w:p>
    <w:p>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szCs w:val="20"/>
          <w:highlight w:val="none"/>
        </w:rPr>
        <w:t>____</w:t>
      </w:r>
      <w:r>
        <w:rPr>
          <w:rFonts w:hint="eastAsia" w:ascii="宋体" w:hAnsi="宋体" w:cs="宋体"/>
          <w:color w:val="auto"/>
          <w:sz w:val="24"/>
          <w:highlight w:val="non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cs="宋体"/>
          <w:color w:val="auto"/>
          <w:highlight w:val="none"/>
        </w:rPr>
      </w:pPr>
      <w:r>
        <w:rPr>
          <w:rFonts w:hint="eastAsia" w:cs="宋体"/>
          <w:color w:val="auto"/>
          <w:highlight w:val="none"/>
        </w:rPr>
        <w:t>兹证明，</w:t>
      </w:r>
    </w:p>
    <w:p>
      <w:pPr>
        <w:pStyle w:val="18"/>
        <w:tabs>
          <w:tab w:val="left" w:pos="1690"/>
          <w:tab w:val="left" w:pos="3400"/>
          <w:tab w:val="left" w:pos="5110"/>
          <w:tab w:val="left" w:pos="6821"/>
        </w:tabs>
        <w:kinsoku w:val="0"/>
        <w:overflowPunct w:val="0"/>
        <w:spacing w:line="335" w:lineRule="exact"/>
        <w:rPr>
          <w:rFonts w:cs="宋体"/>
          <w:color w:val="auto"/>
          <w:highlight w:val="none"/>
        </w:rPr>
      </w:pPr>
      <w:r>
        <w:rPr>
          <w:rFonts w:hint="eastAsia" w:cs="宋体"/>
          <w:color w:val="auto"/>
          <w:highlight w:val="none"/>
        </w:rPr>
        <w:t>姓名：</w:t>
      </w:r>
      <w:r>
        <w:rPr>
          <w:rFonts w:hint="eastAsia" w:cs="宋体"/>
          <w:color w:val="auto"/>
          <w:szCs w:val="20"/>
          <w:highlight w:val="none"/>
        </w:rPr>
        <w:t>____</w:t>
      </w:r>
      <w:r>
        <w:rPr>
          <w:rFonts w:hint="eastAsia" w:cs="宋体"/>
          <w:color w:val="auto"/>
          <w:highlight w:val="none"/>
        </w:rPr>
        <w:t>性别：</w:t>
      </w:r>
      <w:r>
        <w:rPr>
          <w:rFonts w:hint="eastAsia" w:cs="宋体"/>
          <w:color w:val="auto"/>
          <w:szCs w:val="20"/>
          <w:highlight w:val="none"/>
        </w:rPr>
        <w:t>____</w:t>
      </w:r>
      <w:r>
        <w:rPr>
          <w:rFonts w:hint="eastAsia" w:cs="宋体"/>
          <w:color w:val="auto"/>
          <w:highlight w:val="none"/>
        </w:rPr>
        <w:t>年龄：</w:t>
      </w:r>
      <w:r>
        <w:rPr>
          <w:rFonts w:hint="eastAsia" w:cs="宋体"/>
          <w:color w:val="auto"/>
          <w:szCs w:val="20"/>
          <w:highlight w:val="none"/>
        </w:rPr>
        <w:t>____</w:t>
      </w:r>
      <w:r>
        <w:rPr>
          <w:rFonts w:hint="eastAsia" w:cs="宋体"/>
          <w:color w:val="auto"/>
          <w:highlight w:val="none"/>
        </w:rPr>
        <w:t>职务：</w:t>
      </w:r>
      <w:r>
        <w:rPr>
          <w:rFonts w:hint="eastAsia" w:cs="宋体"/>
          <w:color w:val="auto"/>
          <w:szCs w:val="20"/>
          <w:highlight w:val="none"/>
        </w:rPr>
        <w:t>____</w:t>
      </w:r>
    </w:p>
    <w:p>
      <w:pPr>
        <w:pStyle w:val="18"/>
        <w:tabs>
          <w:tab w:val="left" w:pos="2412"/>
          <w:tab w:val="left" w:pos="3883"/>
          <w:tab w:val="left" w:pos="5352"/>
          <w:tab w:val="left" w:pos="6821"/>
        </w:tabs>
        <w:kinsoku w:val="0"/>
        <w:overflowPunct w:val="0"/>
        <w:spacing w:line="335" w:lineRule="exact"/>
        <w:rPr>
          <w:rFonts w:cs="宋体"/>
          <w:color w:val="auto"/>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cs="宋体"/>
          <w:color w:val="auto"/>
          <w:highlight w:val="none"/>
        </w:rPr>
      </w:pPr>
      <w:r>
        <w:rPr>
          <w:rFonts w:hint="eastAsia" w:cs="宋体"/>
          <w:color w:val="auto"/>
          <w:highlight w:val="none"/>
        </w:rPr>
        <w:t>系</w:t>
      </w:r>
      <w:r>
        <w:rPr>
          <w:rFonts w:hint="eastAsia" w:cs="宋体"/>
          <w:color w:val="auto"/>
          <w:szCs w:val="20"/>
          <w:highlight w:val="none"/>
        </w:rPr>
        <w:t>__________</w:t>
      </w:r>
      <w:r>
        <w:rPr>
          <w:rFonts w:hint="eastAsia" w:cs="宋体"/>
          <w:color w:val="auto"/>
          <w:highlight w:val="none"/>
        </w:rPr>
        <w:t>（供应商名称）的法定代表人（单位负责人）。</w:t>
      </w:r>
    </w:p>
    <w:p>
      <w:pPr>
        <w:pStyle w:val="18"/>
        <w:tabs>
          <w:tab w:val="left" w:pos="2412"/>
          <w:tab w:val="left" w:pos="3883"/>
          <w:tab w:val="left" w:pos="5352"/>
          <w:tab w:val="left" w:pos="6821"/>
        </w:tabs>
        <w:kinsoku w:val="0"/>
        <w:overflowPunct w:val="0"/>
        <w:spacing w:line="335" w:lineRule="exact"/>
        <w:rPr>
          <w:rFonts w:cs="宋体"/>
          <w:color w:val="auto"/>
          <w:highlight w:val="none"/>
        </w:rPr>
      </w:pPr>
    </w:p>
    <w:p>
      <w:pPr>
        <w:pStyle w:val="18"/>
        <w:tabs>
          <w:tab w:val="left" w:pos="2412"/>
          <w:tab w:val="left" w:pos="3883"/>
          <w:tab w:val="left" w:pos="5352"/>
          <w:tab w:val="left" w:pos="6821"/>
        </w:tabs>
        <w:kinsoku w:val="0"/>
        <w:overflowPunct w:val="0"/>
        <w:spacing w:line="335" w:lineRule="exact"/>
        <w:rPr>
          <w:rFonts w:cs="宋体"/>
          <w:color w:val="auto"/>
          <w:highlight w:val="none"/>
        </w:rPr>
      </w:pPr>
    </w:p>
    <w:p>
      <w:pPr>
        <w:pStyle w:val="18"/>
        <w:tabs>
          <w:tab w:val="left" w:pos="2412"/>
          <w:tab w:val="left" w:pos="3883"/>
          <w:tab w:val="left" w:pos="5352"/>
          <w:tab w:val="left" w:pos="6821"/>
        </w:tabs>
        <w:kinsoku w:val="0"/>
        <w:overflowPunct w:val="0"/>
        <w:spacing w:line="335" w:lineRule="exact"/>
        <w:rPr>
          <w:rFonts w:cs="宋体"/>
          <w:color w:val="auto"/>
          <w:highlight w:val="none"/>
        </w:rPr>
      </w:pPr>
    </w:p>
    <w:p>
      <w:pPr>
        <w:pStyle w:val="18"/>
        <w:kinsoku w:val="0"/>
        <w:overflowPunct w:val="0"/>
        <w:spacing w:line="583" w:lineRule="auto"/>
        <w:ind w:right="-46"/>
        <w:rPr>
          <w:rFonts w:cs="宋体"/>
          <w:color w:val="auto"/>
          <w:spacing w:val="-3"/>
          <w:highlight w:val="none"/>
        </w:rPr>
      </w:pPr>
      <w:r>
        <w:rPr>
          <w:rFonts w:hint="eastAsia" w:cs="宋体"/>
          <w:color w:val="auto"/>
          <w:highlight w:val="none"/>
        </w:rPr>
        <w:t>附：</w:t>
      </w:r>
      <w:r>
        <w:rPr>
          <w:rFonts w:hint="eastAsia" w:cs="宋体"/>
          <w:color w:val="auto"/>
          <w:spacing w:val="-3"/>
          <w:highlight w:val="none"/>
        </w:rPr>
        <w:t>法</w:t>
      </w:r>
      <w:r>
        <w:rPr>
          <w:rFonts w:hint="eastAsia" w:cs="宋体"/>
          <w:color w:val="auto"/>
          <w:highlight w:val="none"/>
        </w:rPr>
        <w:t>定</w:t>
      </w:r>
      <w:r>
        <w:rPr>
          <w:rFonts w:hint="eastAsia" w:cs="宋体"/>
          <w:color w:val="auto"/>
          <w:spacing w:val="-3"/>
          <w:highlight w:val="none"/>
        </w:rPr>
        <w:t>代</w:t>
      </w:r>
      <w:r>
        <w:rPr>
          <w:rFonts w:hint="eastAsia" w:cs="宋体"/>
          <w:color w:val="auto"/>
          <w:highlight w:val="none"/>
        </w:rPr>
        <w:t>表</w:t>
      </w:r>
      <w:r>
        <w:rPr>
          <w:rFonts w:hint="eastAsia" w:cs="宋体"/>
          <w:color w:val="auto"/>
          <w:spacing w:val="-3"/>
          <w:highlight w:val="none"/>
        </w:rPr>
        <w:t>人</w:t>
      </w:r>
      <w:r>
        <w:rPr>
          <w:rFonts w:hint="eastAsia" w:cs="宋体"/>
          <w:color w:val="auto"/>
          <w:highlight w:val="none"/>
        </w:rPr>
        <w:t>（</w:t>
      </w:r>
      <w:r>
        <w:rPr>
          <w:rFonts w:hint="eastAsia" w:cs="宋体"/>
          <w:color w:val="auto"/>
          <w:spacing w:val="-3"/>
          <w:highlight w:val="none"/>
        </w:rPr>
        <w:t>单</w:t>
      </w:r>
      <w:r>
        <w:rPr>
          <w:rFonts w:hint="eastAsia" w:cs="宋体"/>
          <w:color w:val="auto"/>
          <w:highlight w:val="none"/>
        </w:rPr>
        <w:t>位</w:t>
      </w:r>
      <w:r>
        <w:rPr>
          <w:rFonts w:hint="eastAsia" w:cs="宋体"/>
          <w:color w:val="auto"/>
          <w:spacing w:val="-3"/>
          <w:highlight w:val="none"/>
        </w:rPr>
        <w:t>负</w:t>
      </w:r>
      <w:r>
        <w:rPr>
          <w:rFonts w:hint="eastAsia" w:cs="宋体"/>
          <w:color w:val="auto"/>
          <w:highlight w:val="none"/>
        </w:rPr>
        <w:t>责人</w:t>
      </w:r>
      <w:r>
        <w:rPr>
          <w:rFonts w:hint="eastAsia" w:cs="宋体"/>
          <w:color w:val="auto"/>
          <w:spacing w:val="-3"/>
          <w:highlight w:val="none"/>
        </w:rPr>
        <w:t>）有效期内的身份证正反面电子件。</w:t>
      </w:r>
    </w:p>
    <w:tbl>
      <w:tblPr>
        <w:tblStyle w:val="45"/>
        <w:tblW w:w="89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6"/>
        <w:gridCol w:w="46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316" w:type="dxa"/>
          </w:tcPr>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tc>
        <w:tc>
          <w:tcPr>
            <w:tcW w:w="4680" w:type="dxa"/>
          </w:tcPr>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p>
            <w:pPr>
              <w:tabs>
                <w:tab w:val="left" w:pos="5580"/>
              </w:tabs>
              <w:spacing w:line="360" w:lineRule="auto"/>
              <w:jc w:val="left"/>
              <w:rPr>
                <w:rFonts w:ascii="宋体" w:hAnsi="宋体" w:cs="宋体"/>
                <w:color w:val="auto"/>
                <w:sz w:val="24"/>
                <w:szCs w:val="20"/>
                <w:highlight w:val="none"/>
              </w:rPr>
            </w:pPr>
          </w:p>
        </w:tc>
      </w:tr>
    </w:tbl>
    <w:p>
      <w:pPr>
        <w:pStyle w:val="18"/>
        <w:kinsoku w:val="0"/>
        <w:overflowPunct w:val="0"/>
        <w:spacing w:line="583" w:lineRule="auto"/>
        <w:ind w:right="4305"/>
        <w:rPr>
          <w:rFonts w:cs="宋体"/>
          <w:color w:val="auto"/>
          <w:spacing w:val="-3"/>
          <w:highlight w:val="none"/>
        </w:rPr>
      </w:pPr>
    </w:p>
    <w:p>
      <w:pPr>
        <w:pStyle w:val="18"/>
        <w:kinsoku w:val="0"/>
        <w:overflowPunct w:val="0"/>
        <w:spacing w:line="583" w:lineRule="auto"/>
        <w:ind w:right="4305"/>
        <w:rPr>
          <w:rFonts w:cs="宋体"/>
          <w:color w:val="auto"/>
          <w:spacing w:val="-3"/>
          <w:highlight w:val="none"/>
        </w:rPr>
      </w:pPr>
    </w:p>
    <w:p>
      <w:pPr>
        <w:pStyle w:val="18"/>
        <w:kinsoku w:val="0"/>
        <w:overflowPunct w:val="0"/>
        <w:spacing w:line="583" w:lineRule="auto"/>
        <w:ind w:right="4305"/>
        <w:rPr>
          <w:rFonts w:cs="宋体"/>
          <w:color w:val="auto"/>
          <w:spacing w:val="-3"/>
          <w:highlight w:val="none"/>
        </w:rPr>
      </w:pPr>
    </w:p>
    <w:p>
      <w:pPr>
        <w:autoSpaceDE w:val="0"/>
        <w:autoSpaceDN w:val="0"/>
        <w:adjustRightInd w:val="0"/>
        <w:snapToGrid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highlight w:val="none"/>
        </w:rPr>
        <w:t>______</w:t>
      </w:r>
    </w:p>
    <w:p>
      <w:pPr>
        <w:autoSpaceDE w:val="0"/>
        <w:autoSpaceDN w:val="0"/>
        <w:adjustRightInd w:val="0"/>
        <w:snapToGrid w:val="0"/>
        <w:spacing w:line="360" w:lineRule="auto"/>
        <w:rPr>
          <w:rFonts w:ascii="宋体" w:hAnsi="宋体" w:cs="宋体"/>
          <w:color w:val="auto"/>
          <w:sz w:val="24"/>
          <w:highlight w:val="none"/>
          <w:lang w:val="zh-CN"/>
        </w:rPr>
      </w:pPr>
      <w:r>
        <w:rPr>
          <w:rFonts w:hint="eastAsia" w:ascii="宋体" w:hAnsi="宋体" w:cs="宋体"/>
          <w:color w:val="auto"/>
          <w:spacing w:val="-3"/>
          <w:sz w:val="24"/>
          <w:highlight w:val="none"/>
        </w:rPr>
        <w:t>法定代表人（</w:t>
      </w:r>
      <w:r>
        <w:rPr>
          <w:rFonts w:hint="eastAsia" w:ascii="宋体" w:hAnsi="宋体" w:cs="宋体"/>
          <w:color w:val="auto"/>
          <w:sz w:val="24"/>
          <w:highlight w:val="none"/>
        </w:rPr>
        <w:t>单位负责人</w:t>
      </w:r>
      <w:r>
        <w:rPr>
          <w:rFonts w:hint="eastAsia" w:ascii="宋体" w:hAnsi="宋体" w:cs="宋体"/>
          <w:color w:val="auto"/>
          <w:spacing w:val="-3"/>
          <w:sz w:val="24"/>
          <w:highlight w:val="none"/>
        </w:rPr>
        <w:t>）（</w:t>
      </w:r>
      <w:r>
        <w:rPr>
          <w:rFonts w:hint="eastAsia" w:ascii="宋体" w:hAnsi="宋体" w:cs="宋体"/>
          <w:color w:val="auto"/>
          <w:sz w:val="24"/>
          <w:szCs w:val="20"/>
          <w:highlight w:val="none"/>
        </w:rPr>
        <w:t>签字或盖章）</w:t>
      </w:r>
      <w:r>
        <w:rPr>
          <w:rFonts w:hint="eastAsia" w:ascii="宋体" w:hAnsi="宋体" w:cs="宋体"/>
          <w:color w:val="auto"/>
          <w:spacing w:val="-3"/>
          <w:sz w:val="24"/>
          <w:highlight w:val="none"/>
        </w:rPr>
        <w:t>）：</w:t>
      </w:r>
      <w:r>
        <w:rPr>
          <w:rFonts w:hint="eastAsia" w:ascii="宋体" w:hAnsi="宋体" w:cs="宋体"/>
          <w:color w:val="auto"/>
          <w:sz w:val="24"/>
          <w:highlight w:val="none"/>
        </w:rPr>
        <w:t>______</w:t>
      </w:r>
    </w:p>
    <w:p>
      <w:pPr>
        <w:autoSpaceDE w:val="0"/>
        <w:autoSpaceDN w:val="0"/>
        <w:adjustRightInd w:val="0"/>
        <w:snapToGrid w:val="0"/>
        <w:spacing w:line="360" w:lineRule="auto"/>
        <w:rPr>
          <w:rFonts w:ascii="宋体" w:hAnsi="宋体" w:cs="宋体"/>
          <w:color w:val="auto"/>
          <w:sz w:val="24"/>
          <w:highlight w:val="none"/>
          <w:lang w:val="zh-CN"/>
        </w:rPr>
      </w:pPr>
      <w:r>
        <w:rPr>
          <w:rFonts w:hint="eastAsia" w:ascii="宋体" w:hAnsi="宋体" w:cs="宋体"/>
          <w:color w:val="auto"/>
          <w:sz w:val="24"/>
          <w:highlight w:val="none"/>
        </w:rPr>
        <w:t>日期：</w:t>
      </w:r>
      <w:r>
        <w:rPr>
          <w:rFonts w:hint="eastAsia" w:ascii="宋体" w:hAnsi="宋体" w:cs="宋体"/>
          <w:color w:val="auto"/>
          <w:sz w:val="24"/>
          <w:szCs w:val="20"/>
          <w:highlight w:val="none"/>
        </w:rPr>
        <w:t>____年____月____日</w:t>
      </w:r>
    </w:p>
    <w:p>
      <w:pPr>
        <w:widowControl/>
        <w:jc w:val="left"/>
        <w:rPr>
          <w:rFonts w:ascii="宋体" w:hAnsi="宋体" w:cs="宋体"/>
          <w:i/>
          <w:color w:val="auto"/>
          <w:sz w:val="24"/>
          <w:szCs w:val="20"/>
          <w:highlight w:val="none"/>
          <w:u w:val="single"/>
        </w:rPr>
      </w:pPr>
    </w:p>
    <w:p>
      <w:pPr>
        <w:rPr>
          <w:rFonts w:hint="eastAsia" w:ascii="宋体" w:hAnsi="宋体" w:cs="宋体"/>
          <w:color w:val="auto"/>
          <w:sz w:val="24"/>
          <w:szCs w:val="20"/>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5 报价一览表</w:t>
      </w:r>
    </w:p>
    <w:p>
      <w:pPr>
        <w:tabs>
          <w:tab w:val="left" w:pos="360"/>
        </w:tabs>
        <w:snapToGrid w:val="0"/>
        <w:spacing w:line="360" w:lineRule="auto"/>
        <w:rPr>
          <w:rFonts w:ascii="宋体" w:hAnsi="宋体" w:cs="宋体"/>
          <w:color w:val="auto"/>
          <w:sz w:val="24"/>
          <w:highlight w:val="none"/>
        </w:rPr>
      </w:pPr>
    </w:p>
    <w:p>
      <w:pPr>
        <w:spacing w:line="360" w:lineRule="exact"/>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报价一览表</w:t>
      </w:r>
    </w:p>
    <w:p>
      <w:pPr>
        <w:tabs>
          <w:tab w:val="left" w:pos="1800"/>
          <w:tab w:val="left" w:pos="5580"/>
        </w:tabs>
        <w:spacing w:line="360" w:lineRule="auto"/>
        <w:jc w:val="left"/>
        <w:rPr>
          <w:rFonts w:ascii="宋体" w:hAnsi="宋体" w:cs="宋体"/>
          <w:color w:val="auto"/>
          <w:sz w:val="24"/>
          <w:highlight w:val="none"/>
        </w:rPr>
      </w:pPr>
    </w:p>
    <w:p>
      <w:pPr>
        <w:tabs>
          <w:tab w:val="left" w:pos="1800"/>
          <w:tab w:val="left" w:pos="5580"/>
        </w:tabs>
        <w:spacing w:line="360" w:lineRule="auto"/>
        <w:ind w:firstLine="240" w:firstLineChars="100"/>
        <w:jc w:val="left"/>
        <w:rPr>
          <w:rFonts w:hint="eastAsia" w:ascii="宋体" w:hAnsi="宋体" w:cs="宋体"/>
          <w:color w:val="auto"/>
          <w:sz w:val="24"/>
          <w:szCs w:val="20"/>
          <w:highlight w:val="none"/>
        </w:rPr>
      </w:pPr>
      <w:r>
        <w:rPr>
          <w:rFonts w:hint="eastAsia" w:ascii="宋体" w:hAnsi="宋体" w:cs="宋体"/>
          <w:color w:val="auto"/>
          <w:sz w:val="24"/>
          <w:highlight w:val="none"/>
        </w:rPr>
        <w:t>项目编号：___________     项目名称：___________</w:t>
      </w:r>
    </w:p>
    <w:tbl>
      <w:tblPr>
        <w:tblStyle w:val="251"/>
        <w:tblW w:w="13480" w:type="dxa"/>
        <w:tblInd w:w="4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4987"/>
        <w:gridCol w:w="3929"/>
        <w:gridCol w:w="37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814" w:type="dxa"/>
            <w:vMerge w:val="restart"/>
            <w:tcBorders>
              <w:bottom w:val="nil"/>
            </w:tcBorders>
            <w:vAlign w:val="top"/>
          </w:tcPr>
          <w:p>
            <w:pPr>
              <w:pStyle w:val="265"/>
              <w:autoSpaceDE w:val="0"/>
              <w:autoSpaceDN w:val="0"/>
              <w:spacing w:line="410" w:lineRule="auto"/>
            </w:pPr>
          </w:p>
          <w:p>
            <w:pPr>
              <w:autoSpaceDE w:val="0"/>
              <w:autoSpaceDN w:val="0"/>
              <w:spacing w:before="78" w:line="222" w:lineRule="auto"/>
              <w:ind w:left="174"/>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包号</w:t>
            </w:r>
          </w:p>
        </w:tc>
        <w:tc>
          <w:tcPr>
            <w:tcW w:w="4987" w:type="dxa"/>
            <w:vMerge w:val="restart"/>
            <w:tcBorders>
              <w:bottom w:val="nil"/>
            </w:tcBorders>
            <w:vAlign w:val="top"/>
          </w:tcPr>
          <w:p>
            <w:pPr>
              <w:pStyle w:val="265"/>
              <w:autoSpaceDE w:val="0"/>
              <w:autoSpaceDN w:val="0"/>
              <w:spacing w:line="411" w:lineRule="auto"/>
            </w:pPr>
          </w:p>
          <w:p>
            <w:pPr>
              <w:autoSpaceDE w:val="0"/>
              <w:autoSpaceDN w:val="0"/>
              <w:spacing w:before="78" w:line="219" w:lineRule="auto"/>
              <w:ind w:left="1006"/>
              <w:rPr>
                <w:rFonts w:ascii="宋体" w:hAnsi="宋体" w:eastAsia="宋体" w:cs="宋体"/>
                <w:sz w:val="24"/>
                <w:szCs w:val="24"/>
              </w:rPr>
            </w:pPr>
            <w:r>
              <w:rPr>
                <w:rFonts w:ascii="宋体" w:hAnsi="宋体" w:eastAsia="宋体" w:cs="宋体"/>
                <w:spacing w:val="-1"/>
                <w:sz w:val="24"/>
                <w:szCs w:val="24"/>
                <w14:textOutline w14:w="1537" w14:cap="flat" w14:cmpd="sng">
                  <w14:solidFill>
                    <w14:srgbClr w14:val="000000"/>
                  </w14:solidFill>
                  <w14:prstDash w14:val="solid"/>
                  <w14:miter w14:val="0"/>
                </w14:textOutline>
              </w:rPr>
              <w:t>供应商名称</w:t>
            </w:r>
          </w:p>
        </w:tc>
        <w:tc>
          <w:tcPr>
            <w:tcW w:w="7679" w:type="dxa"/>
            <w:gridSpan w:val="2"/>
            <w:vAlign w:val="top"/>
          </w:tcPr>
          <w:p>
            <w:pPr>
              <w:autoSpaceDE w:val="0"/>
              <w:autoSpaceDN w:val="0"/>
              <w:spacing w:before="150" w:line="219" w:lineRule="auto"/>
              <w:ind w:left="1844" w:firstLine="1652" w:firstLineChars="700"/>
              <w:jc w:val="both"/>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814" w:type="dxa"/>
            <w:vMerge w:val="continue"/>
            <w:tcBorders>
              <w:top w:val="nil"/>
            </w:tcBorders>
            <w:vAlign w:val="top"/>
          </w:tcPr>
          <w:p>
            <w:pPr>
              <w:pStyle w:val="265"/>
              <w:autoSpaceDE w:val="0"/>
              <w:autoSpaceDN w:val="0"/>
            </w:pPr>
          </w:p>
        </w:tc>
        <w:tc>
          <w:tcPr>
            <w:tcW w:w="4987" w:type="dxa"/>
            <w:vMerge w:val="continue"/>
            <w:tcBorders>
              <w:top w:val="nil"/>
            </w:tcBorders>
            <w:vAlign w:val="top"/>
          </w:tcPr>
          <w:p>
            <w:pPr>
              <w:pStyle w:val="265"/>
              <w:autoSpaceDE w:val="0"/>
              <w:autoSpaceDN w:val="0"/>
            </w:pPr>
          </w:p>
        </w:tc>
        <w:tc>
          <w:tcPr>
            <w:tcW w:w="3929" w:type="dxa"/>
            <w:vAlign w:val="top"/>
          </w:tcPr>
          <w:p>
            <w:pPr>
              <w:autoSpaceDE w:val="0"/>
              <w:autoSpaceDN w:val="0"/>
              <w:spacing w:before="217" w:line="221" w:lineRule="auto"/>
              <w:ind w:left="783"/>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大写</w:t>
            </w:r>
          </w:p>
        </w:tc>
        <w:tc>
          <w:tcPr>
            <w:tcW w:w="3750" w:type="dxa"/>
            <w:vAlign w:val="top"/>
          </w:tcPr>
          <w:p>
            <w:pPr>
              <w:autoSpaceDE w:val="0"/>
              <w:autoSpaceDN w:val="0"/>
              <w:spacing w:before="217" w:line="222" w:lineRule="auto"/>
              <w:ind w:left="840"/>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814" w:type="dxa"/>
            <w:vAlign w:val="top"/>
          </w:tcPr>
          <w:p>
            <w:pPr>
              <w:pStyle w:val="265"/>
              <w:autoSpaceDE w:val="0"/>
              <w:autoSpaceDN w:val="0"/>
            </w:pPr>
          </w:p>
        </w:tc>
        <w:tc>
          <w:tcPr>
            <w:tcW w:w="4987" w:type="dxa"/>
            <w:vAlign w:val="top"/>
          </w:tcPr>
          <w:p>
            <w:pPr>
              <w:pStyle w:val="265"/>
              <w:autoSpaceDE w:val="0"/>
              <w:autoSpaceDN w:val="0"/>
            </w:pPr>
          </w:p>
        </w:tc>
        <w:tc>
          <w:tcPr>
            <w:tcW w:w="3929" w:type="dxa"/>
            <w:vAlign w:val="top"/>
          </w:tcPr>
          <w:p>
            <w:pPr>
              <w:pStyle w:val="265"/>
              <w:autoSpaceDE w:val="0"/>
              <w:autoSpaceDN w:val="0"/>
            </w:pPr>
          </w:p>
        </w:tc>
        <w:tc>
          <w:tcPr>
            <w:tcW w:w="3750" w:type="dxa"/>
            <w:vAlign w:val="top"/>
          </w:tcPr>
          <w:p>
            <w:pPr>
              <w:pStyle w:val="265"/>
              <w:autoSpaceDE w:val="0"/>
              <w:autoSpaceDN w:val="0"/>
            </w:pPr>
          </w:p>
        </w:tc>
      </w:tr>
    </w:tbl>
    <w:p>
      <w:pPr>
        <w:rPr>
          <w:rFonts w:hint="eastAsia" w:ascii="宋体" w:hAnsi="宋体" w:cs="宋体"/>
          <w:b/>
          <w:bCs/>
          <w:color w:val="auto"/>
          <w:sz w:val="24"/>
          <w:szCs w:val="20"/>
          <w:highlight w:val="none"/>
        </w:rPr>
      </w:pPr>
    </w:p>
    <w:p>
      <w:pPr>
        <w:pStyle w:val="18"/>
        <w:spacing w:before="316"/>
        <w:ind w:left="9" w:firstLine="696" w:firstLineChars="300"/>
        <w:rPr>
          <w:sz w:val="24"/>
          <w:szCs w:val="24"/>
        </w:rPr>
      </w:pPr>
      <w:r>
        <w:rPr>
          <w:spacing w:val="-4"/>
          <w:sz w:val="24"/>
          <w:szCs w:val="24"/>
        </w:rPr>
        <w:t xml:space="preserve">注： </w:t>
      </w:r>
      <w:r>
        <w:rPr>
          <w:rFonts w:ascii="Arial" w:hAnsi="Arial" w:eastAsia="Arial" w:cs="Arial"/>
          <w:spacing w:val="-4"/>
          <w:sz w:val="24"/>
          <w:szCs w:val="24"/>
        </w:rPr>
        <w:t>1.</w:t>
      </w:r>
      <w:r>
        <w:rPr>
          <w:spacing w:val="-4"/>
          <w:sz w:val="24"/>
          <w:szCs w:val="24"/>
        </w:rPr>
        <w:t>此表中，每包的报价应和《分项报价表》中的总价相一致。</w:t>
      </w:r>
    </w:p>
    <w:p>
      <w:pPr>
        <w:ind w:firstLine="1416" w:firstLineChars="600"/>
        <w:rPr>
          <w:rFonts w:ascii="Times New Roman" w:hAnsi="Times New Roman" w:eastAsia="宋体" w:cs="Times New Roman"/>
          <w:color w:val="auto"/>
          <w:kern w:val="2"/>
          <w:sz w:val="21"/>
          <w:szCs w:val="24"/>
          <w:highlight w:val="none"/>
          <w:lang w:val="en-US" w:eastAsia="zh-CN" w:bidi="ar-SA"/>
        </w:rPr>
      </w:pPr>
      <w:r>
        <w:rPr>
          <w:rFonts w:ascii="Arial" w:hAnsi="Arial" w:eastAsia="Arial" w:cs="Arial"/>
          <w:spacing w:val="-2"/>
          <w:sz w:val="24"/>
          <w:szCs w:val="24"/>
        </w:rPr>
        <w:t>2.</w:t>
      </w:r>
      <w:r>
        <w:rPr>
          <w:spacing w:val="-2"/>
          <w:sz w:val="24"/>
          <w:szCs w:val="24"/>
        </w:rPr>
        <w:t>本表必须按包分别填写</w:t>
      </w:r>
    </w:p>
    <w:p>
      <w:pPr>
        <w:rPr>
          <w:color w:val="auto"/>
          <w:highlight w:val="none"/>
          <w:lang w:val="en-US" w:eastAsia="zh-CN"/>
        </w:rPr>
      </w:pPr>
    </w:p>
    <w:p>
      <w:pPr>
        <w:rPr>
          <w:color w:val="auto"/>
          <w:highlight w:val="none"/>
          <w:lang w:val="en-US" w:eastAsia="zh-CN"/>
        </w:rPr>
      </w:pPr>
    </w:p>
    <w:p>
      <w:pPr>
        <w:rPr>
          <w:color w:val="auto"/>
          <w:highlight w:val="none"/>
          <w:lang w:val="en-US" w:eastAsia="zh-CN"/>
        </w:rPr>
      </w:pPr>
    </w:p>
    <w:p>
      <w:pPr>
        <w:rPr>
          <w:color w:val="auto"/>
          <w:highlight w:val="none"/>
          <w:lang w:val="en-US" w:eastAsia="zh-CN"/>
        </w:rPr>
      </w:pPr>
    </w:p>
    <w:p>
      <w:pPr>
        <w:autoSpaceDE w:val="0"/>
        <w:autoSpaceDN w:val="0"/>
        <w:adjustRightInd w:val="0"/>
        <w:snapToGrid w:val="0"/>
        <w:spacing w:before="25" w:after="25" w:line="360" w:lineRule="auto"/>
        <w:jc w:val="right"/>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highlight w:val="none"/>
        </w:rPr>
        <w:t>___________</w:t>
      </w:r>
    </w:p>
    <w:p>
      <w:pPr>
        <w:autoSpaceDE w:val="0"/>
        <w:autoSpaceDN w:val="0"/>
        <w:adjustRightInd w:val="0"/>
        <w:snapToGrid w:val="0"/>
        <w:spacing w:line="360" w:lineRule="auto"/>
        <w:jc w:val="right"/>
        <w:rPr>
          <w:rFonts w:ascii="宋体" w:hAnsi="宋体" w:cs="宋体"/>
          <w:color w:val="auto"/>
          <w:sz w:val="24"/>
          <w:highlight w:val="none"/>
          <w:lang w:val="zh-CN"/>
        </w:rPr>
      </w:pPr>
      <w:r>
        <w:rPr>
          <w:rFonts w:hint="eastAsia" w:ascii="宋体" w:hAnsi="宋体" w:cs="宋体"/>
          <w:color w:val="auto"/>
          <w:sz w:val="24"/>
          <w:highlight w:val="none"/>
        </w:rPr>
        <w:t>日期：</w:t>
      </w:r>
      <w:r>
        <w:rPr>
          <w:rFonts w:hint="eastAsia" w:ascii="宋体" w:hAnsi="宋体" w:cs="宋体"/>
          <w:color w:val="auto"/>
          <w:sz w:val="24"/>
          <w:szCs w:val="20"/>
          <w:highlight w:val="none"/>
        </w:rPr>
        <w:t>____年____月____日</w:t>
      </w:r>
    </w:p>
    <w:p>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  </w:t>
      </w:r>
    </w:p>
    <w:p>
      <w:pPr>
        <w:tabs>
          <w:tab w:val="left" w:pos="935"/>
        </w:tabs>
        <w:jc w:val="left"/>
        <w:rPr>
          <w:color w:val="auto"/>
          <w:highlight w:val="none"/>
          <w:lang w:val="en-US" w:eastAsia="zh-CN"/>
        </w:rPr>
        <w:sectPr>
          <w:pgSz w:w="16840" w:h="11907" w:orient="landscape"/>
          <w:pgMar w:top="1701" w:right="1418" w:bottom="1134" w:left="1418" w:header="851" w:footer="851" w:gutter="0"/>
          <w:cols w:space="720" w:num="1"/>
          <w:docGrid w:linePitch="462" w:charSpace="0"/>
        </w:sectPr>
      </w:pP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Pr>
        <w:tabs>
          <w:tab w:val="left" w:pos="360"/>
        </w:tabs>
        <w:snapToGrid w:val="0"/>
        <w:spacing w:line="360" w:lineRule="auto"/>
        <w:rPr>
          <w:rFonts w:ascii="宋体" w:hAnsi="宋体" w:cs="宋体"/>
          <w:color w:val="auto"/>
          <w:sz w:val="24"/>
          <w:szCs w:val="20"/>
          <w:highlight w:val="none"/>
        </w:rPr>
      </w:pPr>
      <w:bookmarkStart w:id="782" w:name="_Toc226337258"/>
      <w:bookmarkStart w:id="783" w:name="_Toc226309806"/>
      <w:bookmarkStart w:id="784" w:name="_Toc264969252"/>
      <w:bookmarkStart w:id="785" w:name="_Toc265228400"/>
      <w:bookmarkStart w:id="786" w:name="_Toc226965835"/>
      <w:bookmarkStart w:id="787" w:name="_Toc195842927"/>
      <w:bookmarkStart w:id="788" w:name="_Toc150480798"/>
      <w:bookmarkStart w:id="789" w:name="_Toc305158904"/>
      <w:bookmarkStart w:id="790" w:name="_Toc127151562"/>
      <w:bookmarkStart w:id="791" w:name="_Toc226965752"/>
      <w:bookmarkStart w:id="792" w:name="_Toc305158830"/>
      <w:bookmarkStart w:id="793" w:name="_Toc142311062"/>
      <w:bookmarkStart w:id="794" w:name="_Toc150774765"/>
      <w:bookmarkStart w:id="795" w:name="_Toc264969251"/>
      <w:bookmarkStart w:id="796" w:name="_Toc127151561"/>
      <w:bookmarkStart w:id="797" w:name="_Toc150774764"/>
      <w:bookmarkStart w:id="798" w:name="_Toc265228399"/>
      <w:bookmarkStart w:id="799" w:name="_Toc226337257"/>
      <w:bookmarkStart w:id="800" w:name="_Toc305158903"/>
      <w:bookmarkStart w:id="801" w:name="_Toc305158829"/>
      <w:bookmarkStart w:id="802" w:name="_Toc226309805"/>
      <w:bookmarkStart w:id="803" w:name="_Toc195842926"/>
      <w:bookmarkStart w:id="804" w:name="_Toc226965751"/>
      <w:bookmarkStart w:id="805" w:name="_Toc142311061"/>
      <w:bookmarkStart w:id="806" w:name="_Toc150480797"/>
      <w:bookmarkStart w:id="807" w:name="_Toc226965834"/>
      <w:r>
        <w:rPr>
          <w:rFonts w:hint="eastAsia" w:ascii="宋体" w:hAnsi="宋体" w:cs="宋体"/>
          <w:color w:val="auto"/>
          <w:sz w:val="24"/>
          <w:highlight w:val="none"/>
        </w:rPr>
        <w:t>6  合同条款偏离表</w:t>
      </w:r>
      <w:bookmarkEnd w:id="782"/>
      <w:bookmarkEnd w:id="783"/>
      <w:bookmarkEnd w:id="784"/>
      <w:bookmarkEnd w:id="785"/>
      <w:bookmarkEnd w:id="786"/>
      <w:bookmarkEnd w:id="787"/>
      <w:bookmarkEnd w:id="788"/>
      <w:bookmarkEnd w:id="789"/>
      <w:bookmarkEnd w:id="790"/>
      <w:bookmarkEnd w:id="791"/>
      <w:bookmarkEnd w:id="792"/>
      <w:bookmarkEnd w:id="793"/>
      <w:bookmarkEnd w:id="794"/>
    </w:p>
    <w:p>
      <w:pPr>
        <w:spacing w:line="360" w:lineRule="auto"/>
        <w:rPr>
          <w:rFonts w:ascii="宋体" w:hAnsi="宋体" w:cs="宋体"/>
          <w:color w:val="auto"/>
          <w:sz w:val="24"/>
          <w:szCs w:val="20"/>
          <w:highlight w:val="none"/>
        </w:rPr>
      </w:pPr>
    </w:p>
    <w:p>
      <w:pPr>
        <w:tabs>
          <w:tab w:val="left" w:pos="2775"/>
          <w:tab w:val="center" w:pos="4153"/>
        </w:tabs>
        <w:autoSpaceDE w:val="0"/>
        <w:autoSpaceDN w:val="0"/>
        <w:adjustRightInd w:val="0"/>
        <w:spacing w:line="360" w:lineRule="auto"/>
        <w:jc w:val="left"/>
        <w:outlineLvl w:val="1"/>
        <w:rPr>
          <w:rFonts w:ascii="宋体" w:hAnsi="宋体" w:cs="宋体"/>
          <w:b/>
          <w:color w:val="auto"/>
          <w:sz w:val="36"/>
          <w:szCs w:val="36"/>
          <w:highlight w:val="none"/>
        </w:rPr>
      </w:pPr>
      <w:r>
        <w:rPr>
          <w:rFonts w:hint="eastAsia" w:ascii="宋体" w:hAnsi="宋体" w:cs="宋体"/>
          <w:color w:val="auto"/>
          <w:sz w:val="36"/>
          <w:szCs w:val="36"/>
          <w:highlight w:val="none"/>
        </w:rPr>
        <w:tab/>
      </w:r>
      <w:r>
        <w:rPr>
          <w:rFonts w:hint="eastAsia" w:ascii="宋体" w:hAnsi="宋体" w:cs="宋体"/>
          <w:b/>
          <w:color w:val="auto"/>
          <w:sz w:val="36"/>
          <w:szCs w:val="36"/>
          <w:highlight w:val="none"/>
        </w:rPr>
        <w:tab/>
      </w:r>
      <w:r>
        <w:rPr>
          <w:rFonts w:hint="eastAsia" w:ascii="宋体" w:hAnsi="宋体" w:cs="宋体"/>
          <w:b/>
          <w:color w:val="auto"/>
          <w:sz w:val="36"/>
          <w:szCs w:val="36"/>
          <w:highlight w:val="none"/>
        </w:rPr>
        <w:t>合同条款偏离表</w:t>
      </w:r>
    </w:p>
    <w:p>
      <w:pPr>
        <w:spacing w:line="360" w:lineRule="auto"/>
        <w:rPr>
          <w:rFonts w:ascii="宋体" w:hAnsi="宋体" w:cs="宋体"/>
          <w:color w:val="auto"/>
          <w:sz w:val="24"/>
          <w:szCs w:val="20"/>
          <w:highlight w:val="none"/>
        </w:rPr>
      </w:pPr>
    </w:p>
    <w:p>
      <w:pPr>
        <w:tabs>
          <w:tab w:val="left" w:pos="1800"/>
          <w:tab w:val="left" w:pos="558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项目编号：_______________     项目名称：_______________</w:t>
      </w:r>
    </w:p>
    <w:tbl>
      <w:tblPr>
        <w:tblStyle w:val="45"/>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ascii="宋体" w:hAnsi="宋体" w:cs="宋体"/>
                <w:b/>
                <w:color w:val="auto"/>
                <w:sz w:val="24"/>
                <w:highlight w:val="none"/>
              </w:rPr>
            </w:pPr>
            <w:r>
              <w:rPr>
                <w:rFonts w:hint="eastAsia" w:ascii="宋体" w:hAnsi="宋体" w:cs="宋体"/>
                <w:b/>
                <w:color w:val="auto"/>
                <w:sz w:val="24"/>
                <w:highlight w:val="none"/>
              </w:rPr>
              <w:t>对本项目合同条款的偏离情况（请进行勾选）：</w:t>
            </w:r>
          </w:p>
          <w:p>
            <w:pPr>
              <w:adjustRightInd w:val="0"/>
              <w:snapToGrid w:val="0"/>
              <w:jc w:val="left"/>
              <w:rPr>
                <w:rFonts w:ascii="宋体" w:hAnsi="宋体" w:cs="宋体"/>
                <w:b/>
                <w:color w:val="auto"/>
                <w:sz w:val="24"/>
                <w:highlight w:val="none"/>
              </w:rPr>
            </w:pPr>
            <w:r>
              <w:rPr>
                <w:rFonts w:hint="eastAsia" w:ascii="宋体" w:hAnsi="宋体" w:cs="宋体"/>
                <w:b/>
                <w:color w:val="auto"/>
                <w:sz w:val="24"/>
                <w:highlight w:val="none"/>
              </w:rPr>
              <w:t>□无偏离</w:t>
            </w:r>
            <w:r>
              <w:rPr>
                <w:rFonts w:hint="eastAsia" w:ascii="宋体" w:hAnsi="宋体" w:cs="宋体"/>
                <w:color w:val="auto"/>
                <w:sz w:val="24"/>
                <w:highlight w:val="none"/>
              </w:rPr>
              <w:t>（</w:t>
            </w:r>
            <w:r>
              <w:rPr>
                <w:rFonts w:hint="eastAsia" w:ascii="宋体" w:hAnsi="宋体" w:cs="宋体"/>
                <w:color w:val="auto"/>
                <w:sz w:val="24"/>
                <w:szCs w:val="21"/>
                <w:highlight w:val="none"/>
              </w:rPr>
              <w:t>如无偏离，仅勾选无偏离即可</w:t>
            </w:r>
            <w:r>
              <w:rPr>
                <w:rFonts w:hint="eastAsia" w:ascii="宋体" w:hAnsi="宋体" w:cs="宋体"/>
                <w:color w:val="auto"/>
                <w:sz w:val="24"/>
                <w:highlight w:val="none"/>
              </w:rPr>
              <w:t>）</w:t>
            </w:r>
          </w:p>
          <w:p>
            <w:pPr>
              <w:adjustRightInd w:val="0"/>
              <w:snapToGrid w:val="0"/>
              <w:jc w:val="left"/>
              <w:rPr>
                <w:rFonts w:ascii="宋体" w:hAnsi="宋体" w:cs="宋体"/>
                <w:color w:val="auto"/>
                <w:sz w:val="24"/>
                <w:highlight w:val="none"/>
              </w:rPr>
            </w:pPr>
            <w:r>
              <w:rPr>
                <w:rFonts w:hint="eastAsia" w:ascii="宋体" w:hAnsi="宋体" w:cs="宋体"/>
                <w:b/>
                <w:color w:val="auto"/>
                <w:sz w:val="24"/>
                <w:highlight w:val="none"/>
              </w:rPr>
              <w:t>□有偏离</w:t>
            </w:r>
            <w:r>
              <w:rPr>
                <w:rFonts w:hint="eastAsia" w:ascii="宋体" w:hAnsi="宋体" w:cs="宋体"/>
                <w:color w:val="auto"/>
                <w:sz w:val="24"/>
                <w:highlight w:val="none"/>
              </w:rPr>
              <w:t>（</w:t>
            </w:r>
            <w:r>
              <w:rPr>
                <w:rFonts w:hint="eastAsia" w:ascii="宋体" w:hAnsi="宋体" w:cs="宋体"/>
                <w:color w:val="auto"/>
                <w:sz w:val="24"/>
                <w:szCs w:val="21"/>
                <w:highlight w:val="none"/>
              </w:rPr>
              <w:t>如有负偏离，</w:t>
            </w:r>
            <w:r>
              <w:rPr>
                <w:rFonts w:hint="eastAsia" w:ascii="宋体" w:hAnsi="宋体" w:cs="宋体"/>
                <w:color w:val="auto"/>
                <w:sz w:val="24"/>
                <w:highlight w:val="none"/>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1290"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szCs w:val="21"/>
                <w:highlight w:val="none"/>
              </w:rPr>
              <w:t>竞争性磋商文件</w:t>
            </w:r>
            <w:r>
              <w:rPr>
                <w:rFonts w:hint="eastAsia" w:ascii="宋体" w:hAnsi="宋体" w:cs="宋体"/>
                <w:color w:val="auto"/>
                <w:sz w:val="24"/>
                <w:highlight w:val="none"/>
              </w:rPr>
              <w:t>条目号</w:t>
            </w:r>
          </w:p>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（页码）</w:t>
            </w:r>
          </w:p>
        </w:tc>
        <w:tc>
          <w:tcPr>
            <w:tcW w:w="1980"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szCs w:val="21"/>
                <w:highlight w:val="none"/>
              </w:rPr>
              <w:t>竞争性磋商文件</w:t>
            </w:r>
            <w:r>
              <w:rPr>
                <w:rFonts w:hint="eastAsia" w:ascii="宋体" w:hAnsi="宋体" w:cs="宋体"/>
                <w:color w:val="auto"/>
                <w:sz w:val="24"/>
                <w:highlight w:val="none"/>
              </w:rPr>
              <w:t>要求</w:t>
            </w:r>
          </w:p>
        </w:tc>
        <w:tc>
          <w:tcPr>
            <w:tcW w:w="1981"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响应文件内容</w:t>
            </w:r>
          </w:p>
        </w:tc>
        <w:tc>
          <w:tcPr>
            <w:tcW w:w="2427"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偏离情况</w:t>
            </w:r>
          </w:p>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（据实填写）</w:t>
            </w:r>
          </w:p>
        </w:tc>
        <w:tc>
          <w:tcPr>
            <w:tcW w:w="783"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宋体" w:hAnsi="宋体" w:cs="宋体"/>
                <w:color w:val="auto"/>
                <w:sz w:val="24"/>
                <w:highlight w:val="none"/>
              </w:rPr>
            </w:pPr>
          </w:p>
        </w:tc>
        <w:tc>
          <w:tcPr>
            <w:tcW w:w="1290" w:type="dxa"/>
            <w:vAlign w:val="center"/>
          </w:tcPr>
          <w:p>
            <w:pPr>
              <w:adjustRightInd w:val="0"/>
              <w:snapToGrid w:val="0"/>
              <w:jc w:val="center"/>
              <w:rPr>
                <w:rFonts w:ascii="宋体" w:hAnsi="宋体" w:cs="宋体"/>
                <w:color w:val="auto"/>
                <w:sz w:val="24"/>
                <w:highlight w:val="none"/>
              </w:rPr>
            </w:pPr>
          </w:p>
        </w:tc>
        <w:tc>
          <w:tcPr>
            <w:tcW w:w="1980" w:type="dxa"/>
            <w:vAlign w:val="center"/>
          </w:tcPr>
          <w:p>
            <w:pPr>
              <w:adjustRightInd w:val="0"/>
              <w:snapToGrid w:val="0"/>
              <w:jc w:val="center"/>
              <w:rPr>
                <w:rFonts w:ascii="宋体" w:hAnsi="宋体" w:cs="宋体"/>
                <w:color w:val="auto"/>
                <w:sz w:val="24"/>
                <w:highlight w:val="none"/>
              </w:rPr>
            </w:pPr>
          </w:p>
        </w:tc>
        <w:tc>
          <w:tcPr>
            <w:tcW w:w="1981" w:type="dxa"/>
            <w:vAlign w:val="center"/>
          </w:tcPr>
          <w:p>
            <w:pPr>
              <w:adjustRightInd w:val="0"/>
              <w:snapToGrid w:val="0"/>
              <w:jc w:val="center"/>
              <w:rPr>
                <w:rFonts w:ascii="宋体" w:hAnsi="宋体" w:cs="宋体"/>
                <w:color w:val="auto"/>
                <w:sz w:val="24"/>
                <w:highlight w:val="none"/>
              </w:rPr>
            </w:pPr>
          </w:p>
        </w:tc>
        <w:tc>
          <w:tcPr>
            <w:tcW w:w="2427" w:type="dxa"/>
            <w:vAlign w:val="center"/>
          </w:tcPr>
          <w:p>
            <w:pPr>
              <w:adjustRightInd w:val="0"/>
              <w:snapToGrid w:val="0"/>
              <w:jc w:val="center"/>
              <w:rPr>
                <w:rFonts w:ascii="宋体" w:hAnsi="宋体" w:cs="宋体"/>
                <w:color w:val="auto"/>
                <w:sz w:val="24"/>
                <w:highlight w:val="none"/>
              </w:rPr>
            </w:pPr>
          </w:p>
        </w:tc>
        <w:tc>
          <w:tcPr>
            <w:tcW w:w="783"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宋体" w:hAnsi="宋体" w:cs="宋体"/>
                <w:color w:val="auto"/>
                <w:sz w:val="24"/>
                <w:highlight w:val="none"/>
              </w:rPr>
            </w:pPr>
          </w:p>
        </w:tc>
        <w:tc>
          <w:tcPr>
            <w:tcW w:w="1290" w:type="dxa"/>
            <w:vAlign w:val="center"/>
          </w:tcPr>
          <w:p>
            <w:pPr>
              <w:adjustRightInd w:val="0"/>
              <w:snapToGrid w:val="0"/>
              <w:jc w:val="center"/>
              <w:rPr>
                <w:rFonts w:ascii="宋体" w:hAnsi="宋体" w:cs="宋体"/>
                <w:color w:val="auto"/>
                <w:sz w:val="24"/>
                <w:highlight w:val="none"/>
              </w:rPr>
            </w:pPr>
          </w:p>
        </w:tc>
        <w:tc>
          <w:tcPr>
            <w:tcW w:w="1980" w:type="dxa"/>
            <w:vAlign w:val="center"/>
          </w:tcPr>
          <w:p>
            <w:pPr>
              <w:adjustRightInd w:val="0"/>
              <w:snapToGrid w:val="0"/>
              <w:jc w:val="center"/>
              <w:rPr>
                <w:rFonts w:ascii="宋体" w:hAnsi="宋体" w:cs="宋体"/>
                <w:color w:val="auto"/>
                <w:sz w:val="24"/>
                <w:highlight w:val="none"/>
              </w:rPr>
            </w:pPr>
          </w:p>
        </w:tc>
        <w:tc>
          <w:tcPr>
            <w:tcW w:w="1981" w:type="dxa"/>
            <w:vAlign w:val="center"/>
          </w:tcPr>
          <w:p>
            <w:pPr>
              <w:adjustRightInd w:val="0"/>
              <w:snapToGrid w:val="0"/>
              <w:jc w:val="center"/>
              <w:rPr>
                <w:rFonts w:ascii="宋体" w:hAnsi="宋体" w:cs="宋体"/>
                <w:color w:val="auto"/>
                <w:sz w:val="24"/>
                <w:highlight w:val="none"/>
              </w:rPr>
            </w:pPr>
          </w:p>
        </w:tc>
        <w:tc>
          <w:tcPr>
            <w:tcW w:w="2427" w:type="dxa"/>
            <w:vAlign w:val="center"/>
          </w:tcPr>
          <w:p>
            <w:pPr>
              <w:adjustRightInd w:val="0"/>
              <w:snapToGrid w:val="0"/>
              <w:jc w:val="center"/>
              <w:rPr>
                <w:rFonts w:ascii="宋体" w:hAnsi="宋体" w:cs="宋体"/>
                <w:color w:val="auto"/>
                <w:sz w:val="24"/>
                <w:highlight w:val="none"/>
              </w:rPr>
            </w:pPr>
          </w:p>
        </w:tc>
        <w:tc>
          <w:tcPr>
            <w:tcW w:w="783"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宋体" w:hAnsi="宋体" w:cs="宋体"/>
                <w:color w:val="auto"/>
                <w:sz w:val="24"/>
                <w:highlight w:val="none"/>
              </w:rPr>
            </w:pPr>
          </w:p>
        </w:tc>
        <w:tc>
          <w:tcPr>
            <w:tcW w:w="1290" w:type="dxa"/>
            <w:vAlign w:val="center"/>
          </w:tcPr>
          <w:p>
            <w:pPr>
              <w:adjustRightInd w:val="0"/>
              <w:snapToGrid w:val="0"/>
              <w:jc w:val="center"/>
              <w:rPr>
                <w:rFonts w:ascii="宋体" w:hAnsi="宋体" w:cs="宋体"/>
                <w:color w:val="auto"/>
                <w:sz w:val="24"/>
                <w:highlight w:val="none"/>
              </w:rPr>
            </w:pPr>
          </w:p>
        </w:tc>
        <w:tc>
          <w:tcPr>
            <w:tcW w:w="1980" w:type="dxa"/>
            <w:vAlign w:val="center"/>
          </w:tcPr>
          <w:p>
            <w:pPr>
              <w:adjustRightInd w:val="0"/>
              <w:snapToGrid w:val="0"/>
              <w:jc w:val="center"/>
              <w:rPr>
                <w:rFonts w:ascii="宋体" w:hAnsi="宋体" w:cs="宋体"/>
                <w:color w:val="auto"/>
                <w:sz w:val="24"/>
                <w:highlight w:val="none"/>
              </w:rPr>
            </w:pPr>
          </w:p>
        </w:tc>
        <w:tc>
          <w:tcPr>
            <w:tcW w:w="1981" w:type="dxa"/>
            <w:vAlign w:val="center"/>
          </w:tcPr>
          <w:p>
            <w:pPr>
              <w:adjustRightInd w:val="0"/>
              <w:snapToGrid w:val="0"/>
              <w:jc w:val="center"/>
              <w:rPr>
                <w:rFonts w:ascii="宋体" w:hAnsi="宋体" w:cs="宋体"/>
                <w:color w:val="auto"/>
                <w:sz w:val="24"/>
                <w:highlight w:val="none"/>
              </w:rPr>
            </w:pPr>
          </w:p>
        </w:tc>
        <w:tc>
          <w:tcPr>
            <w:tcW w:w="2427" w:type="dxa"/>
            <w:vAlign w:val="center"/>
          </w:tcPr>
          <w:p>
            <w:pPr>
              <w:adjustRightInd w:val="0"/>
              <w:snapToGrid w:val="0"/>
              <w:jc w:val="center"/>
              <w:rPr>
                <w:rFonts w:ascii="宋体" w:hAnsi="宋体" w:cs="宋体"/>
                <w:color w:val="auto"/>
                <w:sz w:val="24"/>
                <w:highlight w:val="none"/>
              </w:rPr>
            </w:pPr>
          </w:p>
        </w:tc>
        <w:tc>
          <w:tcPr>
            <w:tcW w:w="783"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rFonts w:ascii="宋体" w:hAnsi="宋体" w:cs="宋体"/>
                <w:color w:val="auto"/>
                <w:sz w:val="24"/>
                <w:highlight w:val="none"/>
              </w:rPr>
            </w:pPr>
          </w:p>
        </w:tc>
        <w:tc>
          <w:tcPr>
            <w:tcW w:w="1290" w:type="dxa"/>
            <w:vAlign w:val="center"/>
          </w:tcPr>
          <w:p>
            <w:pPr>
              <w:adjustRightInd w:val="0"/>
              <w:snapToGrid w:val="0"/>
              <w:jc w:val="center"/>
              <w:rPr>
                <w:rFonts w:ascii="宋体" w:hAnsi="宋体" w:cs="宋体"/>
                <w:color w:val="auto"/>
                <w:sz w:val="24"/>
                <w:highlight w:val="none"/>
              </w:rPr>
            </w:pPr>
          </w:p>
        </w:tc>
        <w:tc>
          <w:tcPr>
            <w:tcW w:w="1980" w:type="dxa"/>
            <w:vAlign w:val="center"/>
          </w:tcPr>
          <w:p>
            <w:pPr>
              <w:adjustRightInd w:val="0"/>
              <w:snapToGrid w:val="0"/>
              <w:jc w:val="center"/>
              <w:rPr>
                <w:rFonts w:ascii="宋体" w:hAnsi="宋体" w:cs="宋体"/>
                <w:color w:val="auto"/>
                <w:sz w:val="24"/>
                <w:highlight w:val="none"/>
              </w:rPr>
            </w:pPr>
          </w:p>
        </w:tc>
        <w:tc>
          <w:tcPr>
            <w:tcW w:w="1981" w:type="dxa"/>
            <w:vAlign w:val="center"/>
          </w:tcPr>
          <w:p>
            <w:pPr>
              <w:adjustRightInd w:val="0"/>
              <w:snapToGrid w:val="0"/>
              <w:jc w:val="center"/>
              <w:rPr>
                <w:rFonts w:ascii="宋体" w:hAnsi="宋体" w:cs="宋体"/>
                <w:color w:val="auto"/>
                <w:sz w:val="24"/>
                <w:highlight w:val="none"/>
              </w:rPr>
            </w:pPr>
          </w:p>
        </w:tc>
        <w:tc>
          <w:tcPr>
            <w:tcW w:w="2427" w:type="dxa"/>
            <w:vAlign w:val="center"/>
          </w:tcPr>
          <w:p>
            <w:pPr>
              <w:adjustRightInd w:val="0"/>
              <w:snapToGrid w:val="0"/>
              <w:jc w:val="center"/>
              <w:rPr>
                <w:rFonts w:ascii="宋体" w:hAnsi="宋体" w:cs="宋体"/>
                <w:color w:val="auto"/>
                <w:sz w:val="24"/>
                <w:highlight w:val="none"/>
              </w:rPr>
            </w:pPr>
          </w:p>
        </w:tc>
        <w:tc>
          <w:tcPr>
            <w:tcW w:w="783" w:type="dxa"/>
            <w:vAlign w:val="center"/>
          </w:tcPr>
          <w:p>
            <w:pPr>
              <w:adjustRightInd w:val="0"/>
              <w:snapToGrid w:val="0"/>
              <w:jc w:val="center"/>
              <w:rPr>
                <w:rFonts w:ascii="宋体" w:hAnsi="宋体" w:cs="宋体"/>
                <w:color w:val="auto"/>
                <w:sz w:val="24"/>
                <w:highlight w:val="none"/>
              </w:rPr>
            </w:pPr>
          </w:p>
        </w:tc>
      </w:tr>
    </w:tbl>
    <w:p>
      <w:pPr>
        <w:tabs>
          <w:tab w:val="left" w:pos="1800"/>
          <w:tab w:val="left" w:pos="5580"/>
        </w:tabs>
        <w:jc w:val="left"/>
        <w:rPr>
          <w:rFonts w:ascii="宋体" w:hAnsi="宋体" w:cs="宋体"/>
          <w:color w:val="auto"/>
          <w:sz w:val="24"/>
          <w:highlight w:val="none"/>
        </w:rPr>
      </w:pPr>
    </w:p>
    <w:p>
      <w:pPr>
        <w:tabs>
          <w:tab w:val="left" w:pos="1800"/>
          <w:tab w:val="left" w:pos="5580"/>
        </w:tabs>
        <w:jc w:val="left"/>
        <w:rPr>
          <w:rFonts w:ascii="宋体" w:hAnsi="宋体" w:cs="宋体"/>
          <w:color w:val="auto"/>
          <w:sz w:val="24"/>
          <w:highlight w:val="none"/>
        </w:rPr>
      </w:pPr>
      <w:r>
        <w:rPr>
          <w:rFonts w:hint="eastAsia" w:ascii="宋体" w:hAnsi="宋体" w:cs="宋体"/>
          <w:color w:val="auto"/>
          <w:sz w:val="24"/>
          <w:highlight w:val="none"/>
        </w:rPr>
        <w:t>注：</w:t>
      </w:r>
    </w:p>
    <w:p>
      <w:pPr>
        <w:tabs>
          <w:tab w:val="left" w:pos="1800"/>
          <w:tab w:val="left" w:pos="5580"/>
        </w:tabs>
        <w:jc w:val="left"/>
        <w:rPr>
          <w:rFonts w:ascii="宋体" w:hAnsi="宋体" w:cs="宋体"/>
          <w:color w:val="auto"/>
          <w:sz w:val="24"/>
          <w:highlight w:val="none"/>
        </w:rPr>
      </w:pPr>
      <w:r>
        <w:rPr>
          <w:rFonts w:hint="eastAsia" w:ascii="宋体" w:hAnsi="宋体" w:cs="宋体"/>
          <w:color w:val="auto"/>
          <w:sz w:val="24"/>
          <w:highlight w:val="none"/>
        </w:rPr>
        <w:t>1. 对合同条款中的所有要求，除本表所列明的所有偏离外，均视作供应商已对之理解和响应。</w:t>
      </w:r>
    </w:p>
    <w:p>
      <w:pPr>
        <w:tabs>
          <w:tab w:val="left" w:pos="1800"/>
          <w:tab w:val="left" w:pos="5580"/>
        </w:tabs>
        <w:jc w:val="left"/>
        <w:rPr>
          <w:rFonts w:ascii="宋体" w:hAnsi="宋体" w:cs="宋体"/>
          <w:color w:val="auto"/>
          <w:sz w:val="24"/>
          <w:highlight w:val="none"/>
        </w:rPr>
      </w:pPr>
      <w:r>
        <w:rPr>
          <w:rFonts w:hint="eastAsia" w:ascii="宋体" w:hAnsi="宋体" w:cs="宋体"/>
          <w:color w:val="auto"/>
          <w:sz w:val="24"/>
          <w:highlight w:val="none"/>
        </w:rPr>
        <w:t>2. “偏离情况”列应据实填写“正偏离”或“负偏离”。</w:t>
      </w:r>
    </w:p>
    <w:p>
      <w:pPr>
        <w:spacing w:line="360" w:lineRule="auto"/>
        <w:rPr>
          <w:rFonts w:ascii="宋体" w:hAnsi="宋体" w:cs="宋体"/>
          <w:color w:val="auto"/>
          <w:sz w:val="24"/>
          <w:szCs w:val="20"/>
          <w:highlight w:val="none"/>
        </w:rPr>
      </w:pPr>
    </w:p>
    <w:p>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highlight w:val="none"/>
        </w:rPr>
        <w:t>_______________</w:t>
      </w:r>
    </w:p>
    <w:p>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日期：____年____月____日    </w:t>
      </w:r>
    </w:p>
    <w:p>
      <w:pPr>
        <w:tabs>
          <w:tab w:val="left" w:pos="360"/>
        </w:tabs>
        <w:snapToGrid w:val="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br w:type="page"/>
      </w:r>
      <w:bookmarkEnd w:id="795"/>
      <w:bookmarkEnd w:id="796"/>
      <w:bookmarkEnd w:id="797"/>
      <w:bookmarkEnd w:id="798"/>
      <w:bookmarkEnd w:id="799"/>
      <w:bookmarkEnd w:id="800"/>
      <w:bookmarkEnd w:id="801"/>
      <w:bookmarkEnd w:id="802"/>
      <w:bookmarkEnd w:id="803"/>
      <w:bookmarkEnd w:id="804"/>
      <w:bookmarkEnd w:id="805"/>
      <w:bookmarkEnd w:id="806"/>
      <w:bookmarkEnd w:id="807"/>
      <w:r>
        <w:rPr>
          <w:rFonts w:hint="eastAsia" w:ascii="宋体" w:hAnsi="宋体" w:cs="宋体"/>
          <w:color w:val="auto"/>
          <w:sz w:val="24"/>
          <w:highlight w:val="none"/>
        </w:rPr>
        <w:t>7 采购需求偏离表</w:t>
      </w:r>
    </w:p>
    <w:p>
      <w:pPr>
        <w:autoSpaceDE w:val="0"/>
        <w:autoSpaceDN w:val="0"/>
        <w:adjustRightInd w:val="0"/>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项目编号：_______________     项目名称：_______________</w:t>
      </w:r>
    </w:p>
    <w:tbl>
      <w:tblPr>
        <w:tblStyle w:val="45"/>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82"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竞争性磋商文件条目号(页码)</w:t>
            </w:r>
          </w:p>
        </w:tc>
        <w:tc>
          <w:tcPr>
            <w:tcW w:w="2384"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竞争性磋商文件要求</w:t>
            </w:r>
          </w:p>
        </w:tc>
        <w:tc>
          <w:tcPr>
            <w:tcW w:w="2126"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响应内容</w:t>
            </w:r>
          </w:p>
        </w:tc>
        <w:tc>
          <w:tcPr>
            <w:tcW w:w="1875"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偏离情况</w:t>
            </w:r>
          </w:p>
          <w:p>
            <w:pPr>
              <w:adjustRightInd w:val="0"/>
              <w:snapToGrid w:val="0"/>
              <w:jc w:val="center"/>
              <w:rPr>
                <w:rFonts w:ascii="宋体" w:hAnsi="宋体" w:cs="宋体"/>
                <w:color w:val="auto"/>
                <w:sz w:val="24"/>
                <w:highlight w:val="none"/>
              </w:rPr>
            </w:pPr>
            <w:r>
              <w:rPr>
                <w:rFonts w:hint="eastAsia" w:ascii="宋体" w:hAnsi="宋体" w:cs="宋体"/>
                <w:color w:val="auto"/>
                <w:sz w:val="24"/>
                <w:szCs w:val="21"/>
                <w:highlight w:val="none"/>
              </w:rPr>
              <w:t>（据实填写）</w:t>
            </w:r>
          </w:p>
        </w:tc>
        <w:tc>
          <w:tcPr>
            <w:tcW w:w="1009" w:type="dxa"/>
            <w:vAlign w:val="center"/>
          </w:tcPr>
          <w:p>
            <w:pPr>
              <w:adjustRightInd w:val="0"/>
              <w:snapToGrid w:val="0"/>
              <w:jc w:val="center"/>
              <w:rPr>
                <w:rFonts w:ascii="宋体" w:hAnsi="宋体" w:cs="宋体"/>
                <w:color w:val="auto"/>
                <w:sz w:val="24"/>
                <w:highlight w:val="none"/>
              </w:rPr>
            </w:pPr>
            <w:r>
              <w:rPr>
                <w:rFonts w:hint="eastAsia" w:ascii="宋体" w:hAnsi="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highlight w:val="none"/>
              </w:rPr>
            </w:pPr>
          </w:p>
        </w:tc>
        <w:tc>
          <w:tcPr>
            <w:tcW w:w="1482" w:type="dxa"/>
            <w:vAlign w:val="center"/>
          </w:tcPr>
          <w:p>
            <w:pPr>
              <w:adjustRightInd w:val="0"/>
              <w:snapToGrid w:val="0"/>
              <w:jc w:val="center"/>
              <w:rPr>
                <w:rFonts w:ascii="宋体" w:hAnsi="宋体" w:cs="宋体"/>
                <w:color w:val="auto"/>
                <w:sz w:val="24"/>
                <w:highlight w:val="none"/>
              </w:rPr>
            </w:pPr>
          </w:p>
        </w:tc>
        <w:tc>
          <w:tcPr>
            <w:tcW w:w="2384" w:type="dxa"/>
            <w:vAlign w:val="center"/>
          </w:tcPr>
          <w:p>
            <w:pPr>
              <w:adjustRightInd w:val="0"/>
              <w:snapToGrid w:val="0"/>
              <w:jc w:val="center"/>
              <w:rPr>
                <w:rFonts w:ascii="宋体" w:hAnsi="宋体" w:cs="宋体"/>
                <w:color w:val="auto"/>
                <w:sz w:val="24"/>
                <w:highlight w:val="none"/>
              </w:rPr>
            </w:pPr>
          </w:p>
        </w:tc>
        <w:tc>
          <w:tcPr>
            <w:tcW w:w="2126" w:type="dxa"/>
            <w:vAlign w:val="center"/>
          </w:tcPr>
          <w:p>
            <w:pPr>
              <w:adjustRightInd w:val="0"/>
              <w:snapToGrid w:val="0"/>
              <w:jc w:val="center"/>
              <w:rPr>
                <w:rFonts w:ascii="宋体" w:hAnsi="宋体" w:cs="宋体"/>
                <w:color w:val="auto"/>
                <w:sz w:val="24"/>
                <w:highlight w:val="none"/>
              </w:rPr>
            </w:pPr>
          </w:p>
        </w:tc>
        <w:tc>
          <w:tcPr>
            <w:tcW w:w="1875" w:type="dxa"/>
            <w:vAlign w:val="center"/>
          </w:tcPr>
          <w:p>
            <w:pPr>
              <w:adjustRightInd w:val="0"/>
              <w:snapToGrid w:val="0"/>
              <w:jc w:val="center"/>
              <w:rPr>
                <w:rFonts w:ascii="宋体" w:hAnsi="宋体" w:cs="宋体"/>
                <w:color w:val="auto"/>
                <w:sz w:val="24"/>
                <w:highlight w:val="none"/>
              </w:rPr>
            </w:pPr>
          </w:p>
        </w:tc>
        <w:tc>
          <w:tcPr>
            <w:tcW w:w="1009"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highlight w:val="none"/>
              </w:rPr>
            </w:pPr>
          </w:p>
        </w:tc>
        <w:tc>
          <w:tcPr>
            <w:tcW w:w="1482" w:type="dxa"/>
            <w:vAlign w:val="center"/>
          </w:tcPr>
          <w:p>
            <w:pPr>
              <w:adjustRightInd w:val="0"/>
              <w:snapToGrid w:val="0"/>
              <w:jc w:val="center"/>
              <w:rPr>
                <w:rFonts w:ascii="宋体" w:hAnsi="宋体" w:cs="宋体"/>
                <w:color w:val="auto"/>
                <w:sz w:val="24"/>
                <w:highlight w:val="none"/>
              </w:rPr>
            </w:pPr>
          </w:p>
        </w:tc>
        <w:tc>
          <w:tcPr>
            <w:tcW w:w="2384" w:type="dxa"/>
            <w:vAlign w:val="center"/>
          </w:tcPr>
          <w:p>
            <w:pPr>
              <w:adjustRightInd w:val="0"/>
              <w:snapToGrid w:val="0"/>
              <w:jc w:val="center"/>
              <w:rPr>
                <w:rFonts w:ascii="宋体" w:hAnsi="宋体" w:cs="宋体"/>
                <w:color w:val="auto"/>
                <w:sz w:val="24"/>
                <w:highlight w:val="none"/>
              </w:rPr>
            </w:pPr>
          </w:p>
        </w:tc>
        <w:tc>
          <w:tcPr>
            <w:tcW w:w="2126" w:type="dxa"/>
            <w:vAlign w:val="center"/>
          </w:tcPr>
          <w:p>
            <w:pPr>
              <w:adjustRightInd w:val="0"/>
              <w:snapToGrid w:val="0"/>
              <w:jc w:val="center"/>
              <w:rPr>
                <w:rFonts w:ascii="宋体" w:hAnsi="宋体" w:cs="宋体"/>
                <w:color w:val="auto"/>
                <w:sz w:val="24"/>
                <w:highlight w:val="none"/>
              </w:rPr>
            </w:pPr>
          </w:p>
        </w:tc>
        <w:tc>
          <w:tcPr>
            <w:tcW w:w="1875" w:type="dxa"/>
            <w:vAlign w:val="center"/>
          </w:tcPr>
          <w:p>
            <w:pPr>
              <w:adjustRightInd w:val="0"/>
              <w:snapToGrid w:val="0"/>
              <w:jc w:val="center"/>
              <w:rPr>
                <w:rFonts w:ascii="宋体" w:hAnsi="宋体" w:cs="宋体"/>
                <w:color w:val="auto"/>
                <w:sz w:val="24"/>
                <w:highlight w:val="none"/>
              </w:rPr>
            </w:pPr>
          </w:p>
        </w:tc>
        <w:tc>
          <w:tcPr>
            <w:tcW w:w="1009"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highlight w:val="none"/>
              </w:rPr>
            </w:pPr>
          </w:p>
        </w:tc>
        <w:tc>
          <w:tcPr>
            <w:tcW w:w="1482" w:type="dxa"/>
            <w:vAlign w:val="center"/>
          </w:tcPr>
          <w:p>
            <w:pPr>
              <w:adjustRightInd w:val="0"/>
              <w:snapToGrid w:val="0"/>
              <w:jc w:val="center"/>
              <w:rPr>
                <w:rFonts w:ascii="宋体" w:hAnsi="宋体" w:cs="宋体"/>
                <w:color w:val="auto"/>
                <w:sz w:val="24"/>
                <w:highlight w:val="none"/>
              </w:rPr>
            </w:pPr>
          </w:p>
        </w:tc>
        <w:tc>
          <w:tcPr>
            <w:tcW w:w="2384" w:type="dxa"/>
            <w:vAlign w:val="center"/>
          </w:tcPr>
          <w:p>
            <w:pPr>
              <w:adjustRightInd w:val="0"/>
              <w:snapToGrid w:val="0"/>
              <w:jc w:val="center"/>
              <w:rPr>
                <w:rFonts w:ascii="宋体" w:hAnsi="宋体" w:cs="宋体"/>
                <w:color w:val="auto"/>
                <w:sz w:val="24"/>
                <w:highlight w:val="none"/>
              </w:rPr>
            </w:pPr>
          </w:p>
        </w:tc>
        <w:tc>
          <w:tcPr>
            <w:tcW w:w="2126" w:type="dxa"/>
            <w:vAlign w:val="center"/>
          </w:tcPr>
          <w:p>
            <w:pPr>
              <w:adjustRightInd w:val="0"/>
              <w:snapToGrid w:val="0"/>
              <w:jc w:val="center"/>
              <w:rPr>
                <w:rFonts w:ascii="宋体" w:hAnsi="宋体" w:cs="宋体"/>
                <w:color w:val="auto"/>
                <w:sz w:val="24"/>
                <w:highlight w:val="none"/>
              </w:rPr>
            </w:pPr>
          </w:p>
        </w:tc>
        <w:tc>
          <w:tcPr>
            <w:tcW w:w="1875" w:type="dxa"/>
            <w:vAlign w:val="center"/>
          </w:tcPr>
          <w:p>
            <w:pPr>
              <w:adjustRightInd w:val="0"/>
              <w:snapToGrid w:val="0"/>
              <w:jc w:val="center"/>
              <w:rPr>
                <w:rFonts w:ascii="宋体" w:hAnsi="宋体" w:cs="宋体"/>
                <w:color w:val="auto"/>
                <w:sz w:val="24"/>
                <w:highlight w:val="none"/>
              </w:rPr>
            </w:pPr>
          </w:p>
        </w:tc>
        <w:tc>
          <w:tcPr>
            <w:tcW w:w="1009"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highlight w:val="none"/>
              </w:rPr>
            </w:pPr>
          </w:p>
        </w:tc>
        <w:tc>
          <w:tcPr>
            <w:tcW w:w="1482" w:type="dxa"/>
            <w:vAlign w:val="center"/>
          </w:tcPr>
          <w:p>
            <w:pPr>
              <w:adjustRightInd w:val="0"/>
              <w:snapToGrid w:val="0"/>
              <w:jc w:val="center"/>
              <w:rPr>
                <w:rFonts w:ascii="宋体" w:hAnsi="宋体" w:cs="宋体"/>
                <w:color w:val="auto"/>
                <w:sz w:val="24"/>
                <w:highlight w:val="none"/>
              </w:rPr>
            </w:pPr>
          </w:p>
        </w:tc>
        <w:tc>
          <w:tcPr>
            <w:tcW w:w="2384" w:type="dxa"/>
            <w:vAlign w:val="center"/>
          </w:tcPr>
          <w:p>
            <w:pPr>
              <w:adjustRightInd w:val="0"/>
              <w:snapToGrid w:val="0"/>
              <w:jc w:val="center"/>
              <w:rPr>
                <w:rFonts w:ascii="宋体" w:hAnsi="宋体" w:cs="宋体"/>
                <w:color w:val="auto"/>
                <w:sz w:val="24"/>
                <w:highlight w:val="none"/>
              </w:rPr>
            </w:pPr>
          </w:p>
        </w:tc>
        <w:tc>
          <w:tcPr>
            <w:tcW w:w="2126" w:type="dxa"/>
            <w:vAlign w:val="center"/>
          </w:tcPr>
          <w:p>
            <w:pPr>
              <w:adjustRightInd w:val="0"/>
              <w:snapToGrid w:val="0"/>
              <w:jc w:val="center"/>
              <w:rPr>
                <w:rFonts w:ascii="宋体" w:hAnsi="宋体" w:cs="宋体"/>
                <w:color w:val="auto"/>
                <w:sz w:val="24"/>
                <w:highlight w:val="none"/>
              </w:rPr>
            </w:pPr>
          </w:p>
        </w:tc>
        <w:tc>
          <w:tcPr>
            <w:tcW w:w="1875" w:type="dxa"/>
            <w:vAlign w:val="center"/>
          </w:tcPr>
          <w:p>
            <w:pPr>
              <w:adjustRightInd w:val="0"/>
              <w:snapToGrid w:val="0"/>
              <w:jc w:val="center"/>
              <w:rPr>
                <w:rFonts w:ascii="宋体" w:hAnsi="宋体" w:cs="宋体"/>
                <w:color w:val="auto"/>
                <w:sz w:val="24"/>
                <w:highlight w:val="none"/>
              </w:rPr>
            </w:pPr>
          </w:p>
        </w:tc>
        <w:tc>
          <w:tcPr>
            <w:tcW w:w="1009"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highlight w:val="none"/>
              </w:rPr>
            </w:pPr>
          </w:p>
        </w:tc>
        <w:tc>
          <w:tcPr>
            <w:tcW w:w="1482" w:type="dxa"/>
            <w:vAlign w:val="center"/>
          </w:tcPr>
          <w:p>
            <w:pPr>
              <w:adjustRightInd w:val="0"/>
              <w:snapToGrid w:val="0"/>
              <w:jc w:val="center"/>
              <w:rPr>
                <w:rFonts w:ascii="宋体" w:hAnsi="宋体" w:cs="宋体"/>
                <w:color w:val="auto"/>
                <w:sz w:val="24"/>
                <w:highlight w:val="none"/>
              </w:rPr>
            </w:pPr>
          </w:p>
        </w:tc>
        <w:tc>
          <w:tcPr>
            <w:tcW w:w="2384" w:type="dxa"/>
            <w:vAlign w:val="center"/>
          </w:tcPr>
          <w:p>
            <w:pPr>
              <w:adjustRightInd w:val="0"/>
              <w:snapToGrid w:val="0"/>
              <w:jc w:val="center"/>
              <w:rPr>
                <w:rFonts w:ascii="宋体" w:hAnsi="宋体" w:cs="宋体"/>
                <w:color w:val="auto"/>
                <w:sz w:val="24"/>
                <w:highlight w:val="none"/>
              </w:rPr>
            </w:pPr>
          </w:p>
        </w:tc>
        <w:tc>
          <w:tcPr>
            <w:tcW w:w="2126" w:type="dxa"/>
            <w:vAlign w:val="center"/>
          </w:tcPr>
          <w:p>
            <w:pPr>
              <w:adjustRightInd w:val="0"/>
              <w:snapToGrid w:val="0"/>
              <w:jc w:val="center"/>
              <w:rPr>
                <w:rFonts w:ascii="宋体" w:hAnsi="宋体" w:cs="宋体"/>
                <w:color w:val="auto"/>
                <w:sz w:val="24"/>
                <w:highlight w:val="none"/>
              </w:rPr>
            </w:pPr>
          </w:p>
        </w:tc>
        <w:tc>
          <w:tcPr>
            <w:tcW w:w="1875" w:type="dxa"/>
            <w:vAlign w:val="center"/>
          </w:tcPr>
          <w:p>
            <w:pPr>
              <w:adjustRightInd w:val="0"/>
              <w:snapToGrid w:val="0"/>
              <w:jc w:val="center"/>
              <w:rPr>
                <w:rFonts w:ascii="宋体" w:hAnsi="宋体" w:cs="宋体"/>
                <w:color w:val="auto"/>
                <w:sz w:val="24"/>
                <w:highlight w:val="none"/>
              </w:rPr>
            </w:pPr>
          </w:p>
        </w:tc>
        <w:tc>
          <w:tcPr>
            <w:tcW w:w="1009" w:type="dxa"/>
            <w:vAlign w:val="center"/>
          </w:tcPr>
          <w:p>
            <w:pPr>
              <w:adjustRightInd w:val="0"/>
              <w:snapToGrid w:val="0"/>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宋体" w:hAnsi="宋体" w:cs="宋体"/>
                <w:color w:val="auto"/>
                <w:sz w:val="24"/>
                <w:highlight w:val="none"/>
              </w:rPr>
            </w:pPr>
          </w:p>
        </w:tc>
        <w:tc>
          <w:tcPr>
            <w:tcW w:w="1482" w:type="dxa"/>
            <w:vAlign w:val="center"/>
          </w:tcPr>
          <w:p>
            <w:pPr>
              <w:adjustRightInd w:val="0"/>
              <w:snapToGrid w:val="0"/>
              <w:jc w:val="center"/>
              <w:rPr>
                <w:rFonts w:ascii="宋体" w:hAnsi="宋体" w:cs="宋体"/>
                <w:color w:val="auto"/>
                <w:sz w:val="24"/>
                <w:highlight w:val="none"/>
              </w:rPr>
            </w:pPr>
          </w:p>
        </w:tc>
        <w:tc>
          <w:tcPr>
            <w:tcW w:w="2384" w:type="dxa"/>
            <w:vAlign w:val="center"/>
          </w:tcPr>
          <w:p>
            <w:pPr>
              <w:adjustRightInd w:val="0"/>
              <w:snapToGrid w:val="0"/>
              <w:jc w:val="center"/>
              <w:rPr>
                <w:rFonts w:ascii="宋体" w:hAnsi="宋体" w:cs="宋体"/>
                <w:color w:val="auto"/>
                <w:sz w:val="24"/>
                <w:highlight w:val="none"/>
              </w:rPr>
            </w:pPr>
          </w:p>
        </w:tc>
        <w:tc>
          <w:tcPr>
            <w:tcW w:w="2126" w:type="dxa"/>
            <w:vAlign w:val="center"/>
          </w:tcPr>
          <w:p>
            <w:pPr>
              <w:adjustRightInd w:val="0"/>
              <w:snapToGrid w:val="0"/>
              <w:jc w:val="center"/>
              <w:rPr>
                <w:rFonts w:ascii="宋体" w:hAnsi="宋体" w:cs="宋体"/>
                <w:color w:val="auto"/>
                <w:sz w:val="24"/>
                <w:highlight w:val="none"/>
              </w:rPr>
            </w:pPr>
          </w:p>
        </w:tc>
        <w:tc>
          <w:tcPr>
            <w:tcW w:w="1875" w:type="dxa"/>
            <w:vAlign w:val="center"/>
          </w:tcPr>
          <w:p>
            <w:pPr>
              <w:adjustRightInd w:val="0"/>
              <w:snapToGrid w:val="0"/>
              <w:jc w:val="center"/>
              <w:rPr>
                <w:rFonts w:ascii="宋体" w:hAnsi="宋体" w:cs="宋体"/>
                <w:color w:val="auto"/>
                <w:sz w:val="24"/>
                <w:highlight w:val="none"/>
              </w:rPr>
            </w:pPr>
          </w:p>
        </w:tc>
        <w:tc>
          <w:tcPr>
            <w:tcW w:w="1009" w:type="dxa"/>
            <w:vAlign w:val="center"/>
          </w:tcPr>
          <w:p>
            <w:pPr>
              <w:adjustRightInd w:val="0"/>
              <w:snapToGrid w:val="0"/>
              <w:jc w:val="center"/>
              <w:rPr>
                <w:rFonts w:ascii="宋体" w:hAnsi="宋体" w:cs="宋体"/>
                <w:color w:val="auto"/>
                <w:sz w:val="24"/>
                <w:highlight w:val="none"/>
              </w:rPr>
            </w:pPr>
          </w:p>
        </w:tc>
      </w:tr>
    </w:tbl>
    <w:p>
      <w:pPr>
        <w:tabs>
          <w:tab w:val="left" w:pos="1800"/>
          <w:tab w:val="left" w:pos="5580"/>
        </w:tabs>
        <w:jc w:val="left"/>
        <w:rPr>
          <w:rFonts w:ascii="宋体" w:hAnsi="宋体" w:cs="宋体"/>
          <w:color w:val="auto"/>
          <w:sz w:val="24"/>
          <w:highlight w:val="none"/>
        </w:rPr>
      </w:pPr>
      <w:r>
        <w:rPr>
          <w:rFonts w:hint="eastAsia" w:ascii="宋体" w:hAnsi="宋体" w:cs="宋体"/>
          <w:color w:val="auto"/>
          <w:sz w:val="24"/>
          <w:highlight w:val="none"/>
        </w:rPr>
        <w:t>注：</w:t>
      </w:r>
    </w:p>
    <w:p>
      <w:pPr>
        <w:tabs>
          <w:tab w:val="left" w:pos="1800"/>
          <w:tab w:val="left" w:pos="5580"/>
        </w:tabs>
        <w:jc w:val="left"/>
        <w:rPr>
          <w:rFonts w:ascii="宋体" w:hAnsi="宋体" w:cs="宋体"/>
          <w:color w:val="auto"/>
          <w:sz w:val="24"/>
          <w:highlight w:val="none"/>
        </w:rPr>
      </w:pPr>
      <w:r>
        <w:rPr>
          <w:rFonts w:hint="eastAsia" w:ascii="宋体" w:hAnsi="宋体" w:cs="宋体"/>
          <w:color w:val="auto"/>
          <w:sz w:val="24"/>
          <w:highlight w:val="none"/>
        </w:rPr>
        <w:t>1. 对竞争性磋商文件中的所有商务、技术要求，除本表所列明的所有偏离外，均视作供应商已对之理解和响应。此表中若无任何文字说明，内容为空白的</w:t>
      </w:r>
      <w:r>
        <w:rPr>
          <w:rFonts w:hint="eastAsia" w:ascii="宋体" w:hAnsi="宋体" w:cs="宋体"/>
          <w:b/>
          <w:color w:val="auto"/>
          <w:sz w:val="24"/>
          <w:highlight w:val="none"/>
        </w:rPr>
        <w:t>响应无效</w:t>
      </w:r>
      <w:r>
        <w:rPr>
          <w:rFonts w:hint="eastAsia" w:ascii="宋体" w:hAnsi="宋体" w:cs="宋体"/>
          <w:color w:val="auto"/>
          <w:sz w:val="24"/>
          <w:highlight w:val="none"/>
        </w:rPr>
        <w:t>。</w:t>
      </w:r>
    </w:p>
    <w:p>
      <w:pPr>
        <w:tabs>
          <w:tab w:val="left" w:pos="1800"/>
          <w:tab w:val="left" w:pos="5580"/>
        </w:tabs>
        <w:jc w:val="left"/>
        <w:rPr>
          <w:rFonts w:ascii="宋体" w:hAnsi="宋体" w:cs="宋体"/>
          <w:color w:val="auto"/>
          <w:sz w:val="24"/>
          <w:highlight w:val="none"/>
        </w:rPr>
      </w:pPr>
      <w:r>
        <w:rPr>
          <w:rFonts w:hint="eastAsia" w:ascii="宋体" w:hAnsi="宋体" w:cs="宋体"/>
          <w:color w:val="auto"/>
          <w:sz w:val="24"/>
          <w:highlight w:val="none"/>
        </w:rPr>
        <w:t>2.“偏离情况”列应据实填写“无偏离”、“正偏离”或“负偏离”。</w:t>
      </w:r>
    </w:p>
    <w:p>
      <w:pPr>
        <w:tabs>
          <w:tab w:val="left" w:pos="1800"/>
          <w:tab w:val="left" w:pos="5580"/>
        </w:tabs>
        <w:jc w:val="left"/>
        <w:rPr>
          <w:rFonts w:ascii="宋体" w:hAnsi="宋体" w:cs="宋体"/>
          <w:color w:val="auto"/>
          <w:sz w:val="24"/>
          <w:highlight w:val="none"/>
        </w:rPr>
      </w:pPr>
    </w:p>
    <w:p>
      <w:pPr>
        <w:rPr>
          <w:rFonts w:ascii="宋体" w:hAnsi="宋体" w:cs="宋体"/>
          <w:color w:val="auto"/>
          <w:sz w:val="24"/>
          <w:szCs w:val="20"/>
          <w:highlight w:val="none"/>
        </w:rPr>
      </w:pPr>
    </w:p>
    <w:p>
      <w:pPr>
        <w:autoSpaceDE w:val="0"/>
        <w:autoSpaceDN w:val="0"/>
        <w:adjustRightInd w:val="0"/>
        <w:snapToGrid w:val="0"/>
        <w:spacing w:before="25" w:after="25" w:line="360" w:lineRule="auto"/>
        <w:ind w:right="360"/>
        <w:jc w:val="left"/>
        <w:rPr>
          <w:rFonts w:ascii="宋体" w:hAnsi="宋体" w:cs="宋体"/>
          <w:color w:val="auto"/>
          <w:sz w:val="24"/>
          <w:highlight w:val="none"/>
          <w:lang w:val="zh-CN"/>
        </w:rPr>
      </w:pPr>
      <w:r>
        <w:rPr>
          <w:rFonts w:hint="eastAsia" w:ascii="宋体" w:hAnsi="宋体" w:cs="宋体"/>
          <w:color w:val="auto"/>
          <w:sz w:val="24"/>
          <w:highlight w:val="none"/>
        </w:rPr>
        <w:t>供应商名称（加盖公章）</w:t>
      </w:r>
      <w:r>
        <w:rPr>
          <w:rFonts w:hint="eastAsia" w:ascii="宋体" w:hAnsi="宋体" w:cs="宋体"/>
          <w:color w:val="auto"/>
          <w:sz w:val="24"/>
          <w:highlight w:val="none"/>
          <w:lang w:val="zh-CN"/>
        </w:rPr>
        <w:t>：</w:t>
      </w:r>
      <w:r>
        <w:rPr>
          <w:rFonts w:hint="eastAsia" w:ascii="宋体" w:hAnsi="宋体" w:cs="宋体"/>
          <w:color w:val="auto"/>
          <w:sz w:val="24"/>
          <w:highlight w:val="none"/>
        </w:rPr>
        <w:t>______</w:t>
      </w:r>
    </w:p>
    <w:p>
      <w:pPr>
        <w:autoSpaceDE w:val="0"/>
        <w:autoSpaceDN w:val="0"/>
        <w:adjustRightInd w:val="0"/>
        <w:snapToGrid w:val="0"/>
        <w:spacing w:before="25" w:after="25" w:line="360" w:lineRule="auto"/>
        <w:ind w:right="36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日期：____年____月____日 </w:t>
      </w:r>
    </w:p>
    <w:p>
      <w:p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szCs w:val="20"/>
          <w:highlight w:val="none"/>
        </w:rPr>
        <w:br w:type="page"/>
      </w:r>
    </w:p>
    <w:p>
      <w:pPr>
        <w:tabs>
          <w:tab w:val="left" w:pos="360"/>
        </w:tabs>
        <w:snapToGrid w:val="0"/>
        <w:spacing w:line="360" w:lineRule="auto"/>
        <w:rPr>
          <w:rFonts w:ascii="宋体" w:hAnsi="宋体" w:cs="宋体"/>
          <w:color w:val="auto"/>
          <w:sz w:val="24"/>
          <w:szCs w:val="20"/>
          <w:highlight w:val="none"/>
        </w:rPr>
      </w:pPr>
      <w:r>
        <w:rPr>
          <w:rFonts w:hint="eastAsia" w:ascii="宋体" w:hAnsi="宋体" w:cs="宋体"/>
          <w:color w:val="auto"/>
          <w:sz w:val="24"/>
          <w:highlight w:val="none"/>
        </w:rPr>
        <w:t>8 竞争性磋商文件要求提供或供应商认为应附的其他材料</w:t>
      </w:r>
    </w:p>
    <w:p>
      <w:pPr>
        <w:widowControl/>
        <w:jc w:val="left"/>
        <w:rPr>
          <w:rFonts w:ascii="宋体" w:hAnsi="宋体" w:cs="宋体"/>
          <w:b/>
          <w:color w:val="auto"/>
          <w:sz w:val="36"/>
          <w:szCs w:val="36"/>
          <w:highlight w:val="none"/>
        </w:rPr>
      </w:pPr>
    </w:p>
    <w:p>
      <w:pPr>
        <w:widowControl/>
        <w:jc w:val="left"/>
        <w:rPr>
          <w:rFonts w:ascii="宋体" w:hAnsi="宋体" w:cs="宋体"/>
          <w:b/>
          <w:color w:val="auto"/>
          <w:sz w:val="36"/>
          <w:szCs w:val="36"/>
          <w:highlight w:val="none"/>
        </w:rPr>
      </w:pPr>
      <w:r>
        <w:rPr>
          <w:rFonts w:hint="eastAsia" w:ascii="宋体" w:hAnsi="宋体" w:cs="宋体"/>
          <w:b/>
          <w:color w:val="auto"/>
          <w:sz w:val="36"/>
          <w:szCs w:val="36"/>
          <w:highlight w:val="none"/>
        </w:rPr>
        <w:br w:type="page"/>
      </w:r>
    </w:p>
    <w:p>
      <w:pPr>
        <w:tabs>
          <w:tab w:val="left" w:pos="360"/>
        </w:tabs>
        <w:snapToGrid w:val="0"/>
        <w:spacing w:line="360" w:lineRule="auto"/>
        <w:rPr>
          <w:rFonts w:ascii="宋体" w:hAnsi="宋体" w:cs="宋体"/>
          <w:color w:val="auto"/>
          <w:sz w:val="24"/>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 </w:t>
      </w:r>
      <w:bookmarkStart w:id="808" w:name="_GoBack"/>
      <w:r>
        <w:rPr>
          <w:rFonts w:hint="eastAsia" w:ascii="宋体" w:hAnsi="宋体" w:cs="宋体"/>
          <w:color w:val="auto"/>
          <w:sz w:val="24"/>
          <w:highlight w:val="none"/>
        </w:rPr>
        <w:t>最后报价一览表（实质性格式，磋商后提交）</w:t>
      </w:r>
    </w:p>
    <w:bookmarkEnd w:id="808"/>
    <w:p>
      <w:pPr>
        <w:widowControl/>
        <w:jc w:val="left"/>
        <w:rPr>
          <w:rFonts w:ascii="宋体" w:hAnsi="宋体" w:cs="宋体"/>
          <w:color w:val="auto"/>
          <w:kern w:val="0"/>
          <w:sz w:val="24"/>
          <w:szCs w:val="20"/>
          <w:highlight w:val="none"/>
        </w:rPr>
      </w:pPr>
    </w:p>
    <w:p>
      <w:pPr>
        <w:tabs>
          <w:tab w:val="left" w:pos="1800"/>
          <w:tab w:val="left" w:pos="5580"/>
        </w:tabs>
        <w:spacing w:line="360" w:lineRule="auto"/>
        <w:jc w:val="left"/>
        <w:rPr>
          <w:rFonts w:ascii="宋体" w:hAnsi="宋体" w:cs="宋体"/>
          <w:color w:val="auto"/>
          <w:sz w:val="24"/>
          <w:highlight w:val="none"/>
        </w:rPr>
      </w:pPr>
    </w:p>
    <w:p>
      <w:pPr>
        <w:spacing w:line="500" w:lineRule="exact"/>
        <w:ind w:firstLine="720"/>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最后报价一览表</w:t>
      </w:r>
    </w:p>
    <w:p>
      <w:pPr>
        <w:tabs>
          <w:tab w:val="left" w:pos="1800"/>
          <w:tab w:val="left" w:pos="5580"/>
        </w:tabs>
        <w:spacing w:line="360" w:lineRule="auto"/>
        <w:jc w:val="left"/>
        <w:rPr>
          <w:rFonts w:ascii="宋体" w:hAnsi="宋体" w:cs="宋体"/>
          <w:color w:val="auto"/>
          <w:sz w:val="24"/>
          <w:highlight w:val="none"/>
        </w:rPr>
      </w:pPr>
    </w:p>
    <w:tbl>
      <w:tblPr>
        <w:tblStyle w:val="45"/>
        <w:tblW w:w="8894" w:type="dxa"/>
        <w:jc w:val="center"/>
        <w:tblInd w:w="0" w:type="dxa"/>
        <w:tblLayout w:type="fixed"/>
        <w:tblCellMar>
          <w:top w:w="0" w:type="dxa"/>
          <w:left w:w="108" w:type="dxa"/>
          <w:bottom w:w="0" w:type="dxa"/>
          <w:right w:w="108" w:type="dxa"/>
        </w:tblCellMar>
      </w:tblPr>
      <w:tblGrid>
        <w:gridCol w:w="1335"/>
        <w:gridCol w:w="1335"/>
        <w:gridCol w:w="6224"/>
      </w:tblGrid>
      <w:tr>
        <w:tblPrEx>
          <w:tblLayout w:type="fixed"/>
          <w:tblCellMar>
            <w:top w:w="0" w:type="dxa"/>
            <w:left w:w="108" w:type="dxa"/>
            <w:bottom w:w="0" w:type="dxa"/>
            <w:right w:w="108" w:type="dxa"/>
          </w:tblCellMar>
        </w:tblPrEx>
        <w:trPr>
          <w:trHeight w:val="800" w:hRule="atLeast"/>
          <w:jc w:val="center"/>
        </w:trPr>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项目编号</w:t>
            </w:r>
          </w:p>
        </w:tc>
        <w:tc>
          <w:tcPr>
            <w:tcW w:w="6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8"/>
                <w:szCs w:val="28"/>
                <w:highlight w:val="none"/>
              </w:rPr>
            </w:pPr>
          </w:p>
        </w:tc>
      </w:tr>
      <w:tr>
        <w:tblPrEx>
          <w:tblLayout w:type="fixed"/>
          <w:tblCellMar>
            <w:top w:w="0" w:type="dxa"/>
            <w:left w:w="108" w:type="dxa"/>
            <w:bottom w:w="0" w:type="dxa"/>
            <w:right w:w="108" w:type="dxa"/>
          </w:tblCellMar>
        </w:tblPrEx>
        <w:trPr>
          <w:trHeight w:val="800" w:hRule="atLeast"/>
          <w:jc w:val="center"/>
        </w:trPr>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项目名称</w:t>
            </w:r>
          </w:p>
        </w:tc>
        <w:tc>
          <w:tcPr>
            <w:tcW w:w="6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8"/>
                <w:szCs w:val="28"/>
                <w:highlight w:val="none"/>
              </w:rPr>
            </w:pPr>
          </w:p>
        </w:tc>
      </w:tr>
      <w:tr>
        <w:tblPrEx>
          <w:tblLayout w:type="fixed"/>
          <w:tblCellMar>
            <w:top w:w="0" w:type="dxa"/>
            <w:left w:w="108" w:type="dxa"/>
            <w:bottom w:w="0" w:type="dxa"/>
            <w:right w:w="108" w:type="dxa"/>
          </w:tblCellMar>
        </w:tblPrEx>
        <w:trPr>
          <w:trHeight w:val="800" w:hRule="atLeast"/>
          <w:jc w:val="center"/>
        </w:trPr>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供应商名称</w:t>
            </w:r>
          </w:p>
        </w:tc>
        <w:tc>
          <w:tcPr>
            <w:tcW w:w="6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8"/>
                <w:szCs w:val="28"/>
                <w:highlight w:val="none"/>
              </w:rPr>
            </w:pPr>
          </w:p>
        </w:tc>
      </w:tr>
      <w:tr>
        <w:tblPrEx>
          <w:tblLayout w:type="fixed"/>
          <w:tblCellMar>
            <w:top w:w="0" w:type="dxa"/>
            <w:left w:w="108" w:type="dxa"/>
            <w:bottom w:w="0" w:type="dxa"/>
            <w:right w:w="108" w:type="dxa"/>
          </w:tblCellMar>
        </w:tblPrEx>
        <w:trPr>
          <w:trHeight w:val="800" w:hRule="atLeast"/>
          <w:jc w:val="center"/>
        </w:trPr>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最后  报价</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小写</w:t>
            </w:r>
          </w:p>
        </w:tc>
        <w:tc>
          <w:tcPr>
            <w:tcW w:w="6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 xml:space="preserve">                        </w:t>
            </w:r>
          </w:p>
        </w:tc>
      </w:tr>
      <w:tr>
        <w:tblPrEx>
          <w:tblLayout w:type="fixed"/>
          <w:tblCellMar>
            <w:top w:w="0" w:type="dxa"/>
            <w:left w:w="108" w:type="dxa"/>
            <w:bottom w:w="0" w:type="dxa"/>
            <w:right w:w="108" w:type="dxa"/>
          </w:tblCellMar>
        </w:tblPrEx>
        <w:trPr>
          <w:trHeight w:val="800" w:hRule="atLeast"/>
          <w:jc w:val="center"/>
        </w:trPr>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8"/>
                <w:szCs w:val="28"/>
                <w:highlight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kern w:val="0"/>
                <w:sz w:val="28"/>
                <w:szCs w:val="28"/>
                <w:highlight w:val="none"/>
                <w:lang w:bidi="ar"/>
              </w:rPr>
              <w:t>大写</w:t>
            </w:r>
          </w:p>
        </w:tc>
        <w:tc>
          <w:tcPr>
            <w:tcW w:w="6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8"/>
                <w:szCs w:val="28"/>
                <w:highlight w:val="none"/>
              </w:rPr>
            </w:pPr>
          </w:p>
        </w:tc>
      </w:tr>
      <w:tr>
        <w:tblPrEx>
          <w:tblLayout w:type="fixed"/>
          <w:tblCellMar>
            <w:top w:w="0" w:type="dxa"/>
            <w:left w:w="108" w:type="dxa"/>
            <w:bottom w:w="0" w:type="dxa"/>
            <w:right w:w="108" w:type="dxa"/>
          </w:tblCellMar>
        </w:tblPrEx>
        <w:trPr>
          <w:trHeight w:val="800" w:hRule="atLeast"/>
          <w:jc w:val="center"/>
        </w:trPr>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8"/>
                <w:szCs w:val="28"/>
                <w:highlight w:val="none"/>
              </w:rPr>
            </w:pPr>
            <w:r>
              <w:rPr>
                <w:rFonts w:hint="eastAsia" w:ascii="宋体" w:hAnsi="宋体" w:cs="宋体"/>
                <w:color w:val="auto"/>
                <w:sz w:val="28"/>
                <w:szCs w:val="28"/>
                <w:highlight w:val="none"/>
              </w:rPr>
              <w:t>其他声明：</w:t>
            </w:r>
          </w:p>
        </w:tc>
        <w:tc>
          <w:tcPr>
            <w:tcW w:w="6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8"/>
                <w:szCs w:val="28"/>
                <w:highlight w:val="none"/>
              </w:rPr>
            </w:pPr>
          </w:p>
        </w:tc>
      </w:tr>
    </w:tbl>
    <w:p>
      <w:pPr>
        <w:autoSpaceDE w:val="0"/>
        <w:autoSpaceDN w:val="0"/>
        <w:adjustRightInd w:val="0"/>
        <w:jc w:val="left"/>
        <w:rPr>
          <w:rFonts w:ascii="宋体" w:hAnsi="宋体" w:cs="宋体"/>
          <w:color w:val="auto"/>
          <w:kern w:val="0"/>
          <w:sz w:val="24"/>
          <w:highlight w:val="none"/>
        </w:rPr>
      </w:pPr>
    </w:p>
    <w:p>
      <w:pPr>
        <w:autoSpaceDE w:val="0"/>
        <w:autoSpaceDN w:val="0"/>
        <w:adjustRightInd w:val="0"/>
        <w:jc w:val="left"/>
        <w:rPr>
          <w:rFonts w:ascii="宋体" w:hAnsi="宋体" w:cs="宋体"/>
          <w:color w:val="auto"/>
          <w:kern w:val="0"/>
          <w:sz w:val="24"/>
          <w:highlight w:val="none"/>
        </w:rPr>
      </w:pPr>
    </w:p>
    <w:p>
      <w:pPr>
        <w:autoSpaceDE w:val="0"/>
        <w:autoSpaceDN w:val="0"/>
        <w:adjustRightInd w:val="0"/>
        <w:jc w:val="left"/>
        <w:rPr>
          <w:rFonts w:ascii="宋体" w:hAnsi="宋体" w:cs="宋体"/>
          <w:color w:val="auto"/>
          <w:kern w:val="0"/>
          <w:sz w:val="24"/>
          <w:highlight w:val="none"/>
        </w:rPr>
      </w:pPr>
    </w:p>
    <w:p>
      <w:pPr>
        <w:autoSpaceDE w:val="0"/>
        <w:autoSpaceDN w:val="0"/>
        <w:adjustRightInd w:val="0"/>
        <w:jc w:val="left"/>
        <w:rPr>
          <w:rFonts w:ascii="宋体" w:hAnsi="宋体" w:cs="宋体"/>
          <w:color w:val="auto"/>
          <w:kern w:val="0"/>
          <w:sz w:val="24"/>
          <w:highlight w:val="none"/>
        </w:rPr>
      </w:pPr>
    </w:p>
    <w:p>
      <w:pPr>
        <w:autoSpaceDE w:val="0"/>
        <w:autoSpaceDN w:val="0"/>
        <w:adjustRightInd w:val="0"/>
        <w:jc w:val="left"/>
        <w:rPr>
          <w:rFonts w:ascii="宋体" w:hAnsi="宋体" w:cs="宋体"/>
          <w:color w:val="auto"/>
          <w:kern w:val="0"/>
          <w:sz w:val="24"/>
          <w:highlight w:val="none"/>
        </w:rPr>
      </w:pPr>
    </w:p>
    <w:p>
      <w:pPr>
        <w:autoSpaceDE w:val="0"/>
        <w:autoSpaceDN w:val="0"/>
        <w:adjustRightInd w:val="0"/>
        <w:jc w:val="left"/>
        <w:rPr>
          <w:rFonts w:ascii="宋体" w:hAnsi="宋体" w:cs="宋体"/>
          <w:color w:val="auto"/>
          <w:kern w:val="0"/>
          <w:sz w:val="24"/>
          <w:highlight w:val="none"/>
        </w:rPr>
      </w:pPr>
    </w:p>
    <w:p>
      <w:pPr>
        <w:autoSpaceDE w:val="0"/>
        <w:autoSpaceDN w:val="0"/>
        <w:adjustRightInd w:val="0"/>
        <w:jc w:val="left"/>
        <w:rPr>
          <w:rFonts w:ascii="宋体" w:hAnsi="宋体" w:cs="宋体"/>
          <w:color w:val="auto"/>
          <w:kern w:val="0"/>
          <w:sz w:val="24"/>
          <w:highlight w:val="none"/>
        </w:rPr>
      </w:pPr>
    </w:p>
    <w:p>
      <w:pPr>
        <w:autoSpaceDE w:val="0"/>
        <w:autoSpaceDN w:val="0"/>
        <w:adjustRightInd w:val="0"/>
        <w:snapToGrid w:val="0"/>
        <w:spacing w:before="25" w:after="25" w:line="360" w:lineRule="auto"/>
        <w:rPr>
          <w:rFonts w:ascii="宋体" w:hAnsi="宋体" w:cs="宋体"/>
          <w:color w:val="auto"/>
          <w:sz w:val="24"/>
          <w:highlight w:val="none"/>
          <w:lang w:val="zh-CN"/>
        </w:rPr>
      </w:pPr>
    </w:p>
    <w:p>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p>
    <w:p>
      <w:pPr>
        <w:autoSpaceDE w:val="0"/>
        <w:autoSpaceDN w:val="0"/>
        <w:adjustRightInd w:val="0"/>
        <w:snapToGrid w:val="0"/>
        <w:spacing w:before="25" w:after="25" w:line="360" w:lineRule="auto"/>
        <w:jc w:val="right"/>
        <w:rPr>
          <w:rFonts w:ascii="宋体" w:hAnsi="宋体" w:cs="宋体"/>
          <w:color w:val="auto"/>
          <w:sz w:val="24"/>
          <w:highlight w:val="none"/>
          <w:lang w:val="zh-CN"/>
        </w:rPr>
      </w:pPr>
      <w:r>
        <w:rPr>
          <w:rFonts w:hint="eastAsia" w:ascii="宋体" w:hAnsi="宋体" w:cs="宋体"/>
          <w:color w:val="auto"/>
          <w:sz w:val="24"/>
          <w:highlight w:val="none"/>
        </w:rPr>
        <w:t>供应商授权代表签字</w:t>
      </w:r>
      <w:r>
        <w:rPr>
          <w:rFonts w:hint="eastAsia" w:ascii="宋体" w:hAnsi="宋体" w:cs="宋体"/>
          <w:color w:val="auto"/>
          <w:sz w:val="24"/>
          <w:highlight w:val="none"/>
          <w:lang w:val="zh-CN"/>
        </w:rPr>
        <w:t xml:space="preserve">：___________ </w:t>
      </w:r>
    </w:p>
    <w:p>
      <w:pPr>
        <w:widowControl/>
        <w:jc w:val="right"/>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日期：____年____月____日   </w:t>
      </w:r>
    </w:p>
    <w:p>
      <w:pPr>
        <w:pStyle w:val="31"/>
        <w:rPr>
          <w:color w:val="auto"/>
          <w:highlight w:val="none"/>
        </w:rPr>
      </w:pPr>
    </w:p>
    <w:p>
      <w:pPr>
        <w:pStyle w:val="31"/>
        <w:rPr>
          <w:color w:val="auto"/>
          <w:highlight w:val="none"/>
        </w:rPr>
      </w:pPr>
    </w:p>
    <w:p>
      <w:pPr>
        <w:rPr>
          <w:rFonts w:hint="eastAsia" w:eastAsia="宋体"/>
          <w:color w:val="auto"/>
          <w:highlight w:val="none"/>
          <w:lang w:val="en-US" w:eastAsia="zh-CN"/>
        </w:rPr>
      </w:pPr>
    </w:p>
    <w:p>
      <w:pPr>
        <w:rPr>
          <w:rFonts w:hint="eastAsia" w:eastAsia="宋体"/>
          <w:color w:val="auto"/>
          <w:highlight w:val="none"/>
          <w:lang w:val="en-US" w:eastAsia="zh-CN"/>
        </w:rPr>
      </w:pPr>
    </w:p>
    <w:p>
      <w:pPr>
        <w:rPr>
          <w:rFonts w:hint="eastAsia" w:eastAsia="宋体"/>
          <w:color w:val="auto"/>
          <w:highlight w:val="none"/>
          <w:lang w:val="en-US" w:eastAsia="zh-CN"/>
        </w:rPr>
      </w:pPr>
    </w:p>
    <w:p>
      <w:pPr>
        <w:rPr>
          <w:color w:val="auto"/>
          <w:highlight w:val="none"/>
        </w:rPr>
      </w:pPr>
    </w:p>
    <w:p>
      <w:pPr>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Century Gothic">
    <w:altName w:val="Segoe Print"/>
    <w:panose1 w:val="020B0502020202020204"/>
    <w:charset w:val="00"/>
    <w:family w:val="swiss"/>
    <w:pitch w:val="default"/>
    <w:sig w:usb0="00000000" w:usb1="00000000" w:usb2="00000000" w:usb3="00000000" w:csb0="0000009F" w:csb1="00000000"/>
  </w:font>
  <w:font w:name="新宋体">
    <w:panose1 w:val="02010609030101010101"/>
    <w:charset w:val="86"/>
    <w:family w:val="modern"/>
    <w:pitch w:val="default"/>
    <w:sig w:usb0="00000203" w:usb1="288F0000" w:usb2="00000006" w:usb3="00000000" w:csb0="00040001" w:csb1="00000000"/>
  </w:font>
  <w:font w:name="ËÎÌå">
    <w:altName w:val="Times New Roman"/>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sdtContent>
                        </w:sdt>
                        <w:p>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hlWFeEAIAAAcEAAAOAAAAAAAAAAEAIAAA&#10;AB8BAABkcnMvZTJvRG9jLnhtbFBLBQYAAAAABgAGAFkBAAChBQAAAAA=&#10;">
              <v:fill on="f" focussize="0,0"/>
              <v:stroke on="f" weight="0.5pt"/>
              <v:imagedata o:title=""/>
              <o:lock v:ext="edit" aspectratio="f"/>
              <v:textbox inset="0mm,0mm,0mm,0mm" style="mso-fit-shape-to-text:t;">
                <w:txbxContent>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sdtContent>
                  </w:sdt>
                  <w:p>
                    <w:pPr>
                      <w:pStyle w:val="4"/>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p>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6MNYPAgAABwQAAA4AAABkcnMvZTJvRG9jLnhtbK1TzY7TMBC+I/EO&#10;lu80aVFX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vJ7m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Nn6MNYPAgAABwQAAA4AAAAAAAAAAQAgAAAA&#10;HwEAAGRycy9lMm9Eb2MueG1sUEsFBgAAAAAGAAYAWQEAAKAFAAAAAA==&#10;">
              <v:fill on="f" focussize="0,0"/>
              <v:stroke on="f" weight="0.5pt"/>
              <v:imagedata o:title=""/>
              <o:lock v:ext="edit" aspectratio="f"/>
              <v:textbox inset="0mm,0mm,0mm,0mm" style="mso-fit-shape-to-text:t;">
                <w:txbxContent>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p>
                    <w:pPr>
                      <w:pStyle w:val="4"/>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pPr>
                          <w:r>
                            <w:fldChar w:fldCharType="begin"/>
                          </w:r>
                          <w:r>
                            <w:instrText xml:space="preserve">PAGE   \* MERGEFORMAT</w:instrText>
                          </w:r>
                          <w:r>
                            <w:fldChar w:fldCharType="separate"/>
                          </w:r>
                          <w:r>
                            <w:rPr>
                              <w:lang w:val="zh-CN"/>
                            </w:rPr>
                            <w:t>276</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&#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UEyylQ4CAAAHBAAADgAAAAAAAAABACAAAAAf&#10;AQAAZHJzL2Uyb0RvYy54bWxQSwUGAAAAAAYABgBZAQAAnwUAAAAA&#10;">
              <v:fill on="f" focussize="0,0"/>
              <v:stroke on="f" weight="0.5pt"/>
              <v:imagedata o:title=""/>
              <o:lock v:ext="edit" aspectratio="f"/>
              <v:textbox inset="0mm,0mm,0mm,0mm" style="mso-fit-shape-to-text:t;">
                <w:txbxContent>
                  <w:p>
                    <w:pPr>
                      <w:pStyle w:val="29"/>
                      <w:jc w:val="center"/>
                    </w:pPr>
                    <w:r>
                      <w:fldChar w:fldCharType="begin"/>
                    </w:r>
                    <w:r>
                      <w:instrText xml:space="preserve">PAGE   \* MERGEFORMAT</w:instrText>
                    </w:r>
                    <w:r>
                      <w:fldChar w:fldCharType="separate"/>
                    </w:r>
                    <w:r>
                      <w:rPr>
                        <w:lang w:val="zh-CN"/>
                      </w:rPr>
                      <w:t>276</w:t>
                    </w:r>
                    <w:r>
                      <w:rPr>
                        <w:lang w:val="zh-CN"/>
                      </w:rPr>
                      <w:fldChar w:fldCharType="end"/>
                    </w:r>
                  </w:p>
                </w:txbxContent>
              </v:textbox>
            </v:shape>
          </w:pict>
        </mc:Fallback>
      </mc:AlternateContent>
    </w:r>
  </w:p>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5"/>
      <w:rPr>
        <w:rFonts w:eastAsia="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posOffset>2638425</wp:posOffset>
              </wp:positionH>
              <wp:positionV relativeFrom="paragraph">
                <wp:posOffset>4445</wp:posOffset>
              </wp:positionV>
              <wp:extent cx="161925"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619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7.75pt;margin-top:0.35pt;height:144pt;width:12.75pt;mso-position-horizontal-relative:margin;z-index:251659264;mso-width-relative:page;mso-height-relative:page;" filled="f" stroked="f" coordsize="21600,21600" o:gfxdata="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aLGafXAAAACAEAAA8AAAAA&#10;AAAAAQAgAAAAIgAAAGRycy9kb3ducmV2LnhtbFBLAQIUABQAAAAIAIdO4kCs0Kc/FQIAAAoEAAAO&#10;AAAAAAAAAAEAIAAAACYBAABkcnMvZTJvRG9jLnhtbFBLBQYAAAAABgAGAFkBAACt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4"/>
      <w:rPr>
        <w:rFonts w:eastAsia="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AlBIrC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5"/>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NSdmC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4"/>
      <w:rPr>
        <w:rFonts w:eastAsia="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BfIGfcPAgAACQ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5"/>
      <w:rPr>
        <w:rFonts w:eastAsia="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hUq3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4"/>
      <w:rPr>
        <w:rFonts w:eastAsia="Times New Roman"/>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XXUAQ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AD111A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5"/>
      <w:rPr>
        <w:rFonts w:eastAsia="Times New Roman"/>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aDgAQ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rmg4A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0"/>
      <w:rPr>
        <w:rFonts w:eastAsia="Times New Roman"/>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NM+8AR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U0z7wB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1"/>
      <w:rPr>
        <w:rFonts w:eastAsia="Times New Roman"/>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sBqIARAgAACQQAAA4AAABkcnMvZTJvRG9jLnhtbK1TzY7TMBC+I/EO&#10;lu80aVcs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A3V5RoprCj0/dvpx+/Tj+/EvhAUGv9DHkbi8zQvTUdFj34PZxx&#10;7q5yKn4xEUEcVB8v9IouEB4vTSfTaY4QR2z4AX72eN06H94Jo0g0Cuqwv0QrO6x96FOHlFhNm1Uj&#10;Zdqh1KQt6PXV6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wGogB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0"/>
      <w:rPr>
        <w:rFonts w:eastAsia="Times New Roman"/>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4udhm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1"/>
      <w:rPr>
        <w:rFonts w:eastAsia="Times New Roman"/>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qMtoRAgAACQQAAA4AAABkcnMvZTJvRG9jLnhtbK1TzY7TMBC+I/EO&#10;lu80adEu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A3V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Sqoy2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0"/>
      <w:rPr>
        <w:rFonts w:eastAsia="Times New Roman"/>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yfMca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firstLine="8151"/>
      <w:rPr>
        <w:rFonts w:eastAsia="Times New Roman"/>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GjGUW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0"/>
      <w:rPr>
        <w:rFonts w:eastAsia="Times New Roman"/>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VC8R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gLBULx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firstLine="8151"/>
      <w:rPr>
        <w:rFonts w:eastAsia="Times New Roman"/>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KP0Hbx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0"/>
      <w:rPr>
        <w:rFonts w:eastAsia="Times New Roman"/>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Nht8lAPAgAACQ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1"/>
      <w:rPr>
        <w:rFonts w:eastAsia="Times New Roman"/>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AgoRAPAgAACQ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9"/>
      <w:rPr>
        <w:rFonts w:eastAsia="Times New Roman"/>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I9lTQ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7B5ARAgAACQQAAA4AAABkcnMvZTJvRG9jLnhtbK1TzY7TMBC+I/EO&#10;lu80aVes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OryjRTGFHpx/fTz9/n359I/CBoNb6GfI2Fpmhe2c6LHrwezjj&#10;3F3lVPxiIoI4qD5e6BVdIDxemk6m0xwhjtjwA/zs6bp1PrwXRpFoFNRhf4lWdlj70KcOKbGaNqtG&#10;yrRDqUlb0Ourt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ILsHkB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9"/>
      <w:rPr>
        <w:rFonts w:eastAsia="Times New Roman"/>
        <w:sz w:val="17"/>
        <w:szCs w:val="17"/>
      </w:rPr>
    </w:pPr>
    <w:r>
      <w:rPr>
        <w:sz w:val="17"/>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ldzooRAgAACQQAAA4AAABkcnMvZTJvRG9jLnhtbK1TzY7TMBC+I/EO&#10;lu80aYFV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OV3Oi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Qnco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Ory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kRCdy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9"/>
      <w:rPr>
        <w:rFonts w:eastAsia="Times New Roman"/>
        <w:sz w:val="17"/>
        <w:szCs w:val="17"/>
      </w:rPr>
    </w:pPr>
    <w:r>
      <w:rPr>
        <w:sz w:val="17"/>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pxmgK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GLO0oRAgAACQ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wYs7S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9"/>
      <w:rPr>
        <w:rFonts w:eastAsia="Times New Roman"/>
        <w:sz w:val="17"/>
        <w:szCs w:val="17"/>
      </w:rPr>
    </w:pPr>
    <w:r>
      <w:rPr>
        <w:sz w:val="17"/>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FsK+z8PAgAACQ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NHqH8RAgAACQ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80eofx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9"/>
      <w:rPr>
        <w:rFonts w:eastAsia="Times New Roman"/>
        <w:sz w:val="17"/>
        <w:szCs w:val="17"/>
      </w:rPr>
    </w:pPr>
    <w:r>
      <w:rPr>
        <w:sz w:val="17"/>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8Vv4gQAgAACQ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BPFb+I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Y7MgQAgAACQ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nWOzI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GQgRAgAACQ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H44ZCB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9"/>
      <w:rPr>
        <w:rFonts w:eastAsia="Times New Roman"/>
        <w:sz w:val="17"/>
        <w:szCs w:val="17"/>
      </w:rPr>
    </w:pPr>
    <w:r>
      <w:rPr>
        <w:sz w:val="17"/>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DSkgRAgAACQQAAA4AAABkcnMvZTJvRG9jLnhtbK1TzY7TMBC+I/EO&#10;lu80aVesSt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A3V5RoprCj0/dvpx+/Tj+/EvhAUGv9DHkbi8zQvTUdFj34PZxx&#10;7q5yKn4xEUEcVB8v9IouEB4vTSfTaY4QR2z4AX72eN06H94Jo0g0Cuqwv0QrO6x96FOHlFhNm1Uj&#10;Zdqh1KQt6PXV6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t8NKSB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riWDU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9"/>
      <w:rPr>
        <w:rFonts w:eastAsia="Times New Roman"/>
        <w:sz w:val="17"/>
        <w:szCs w:val="17"/>
      </w:rPr>
    </w:pPr>
    <w:r>
      <w:rPr>
        <w:sz w:val="17"/>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o0BIRAgAACQQAAA4AAABkcnMvZTJvRG9jLnhtbK1TzY7TMBC+I/EO&#10;lu80adGuSt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A3V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BmjQE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viXSEAIAAAk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firstLine="8149"/>
      <w:rPr>
        <w:rFonts w:eastAsia="Times New Roman"/>
        <w:sz w:val="17"/>
        <w:szCs w:val="17"/>
      </w:rPr>
    </w:pPr>
    <w:r>
      <w:rPr>
        <w:sz w:val="17"/>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VvN2kh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xytucRAgAACQ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zHK25x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3" w:lineRule="auto"/>
      <w:ind w:firstLine="8149"/>
      <w:rPr>
        <w:rFonts w:eastAsia="Times New Roman"/>
        <w:sz w:val="17"/>
        <w:szCs w:val="17"/>
      </w:rPr>
    </w:pPr>
    <w:r>
      <w:rPr>
        <w:sz w:val="17"/>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ZD/lpxECAAAJ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neeoP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CYneeoPAgAACw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49"/>
      <w:rPr>
        <w:rFonts w:eastAsia="Times New Roman"/>
        <w:sz w:val="17"/>
        <w:szCs w:val="17"/>
      </w:rPr>
    </w:pPr>
    <w:r>
      <w:rPr>
        <w:sz w:val="17"/>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h4VbcP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h4VbcPAgAACw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2"/>
      <w:rPr>
        <w:rFonts w:eastAsia="Times New Roman"/>
        <w:sz w:val="17"/>
        <w:szCs w:val="17"/>
      </w:rPr>
    </w:pPr>
    <w:r>
      <w:rPr>
        <w:sz w:val="17"/>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AD4eH/EAIAAAs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3"/>
      <w:rPr>
        <w:rFonts w:eastAsia="Times New Roman"/>
        <w:sz w:val="17"/>
        <w:szCs w:val="17"/>
      </w:rPr>
    </w:pPr>
    <w:r>
      <w:rPr>
        <w:sz w:val="17"/>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2+zaIRAgAACw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7b7Noh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 name="文本框 1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SiG4Q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V0ohuEAIAAAs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3"/>
      <w:rPr>
        <w:rFonts w:eastAsia="Times New Roman"/>
        <w:sz w:val="17"/>
        <w:szCs w:val="17"/>
      </w:rPr>
    </w:pPr>
    <w:r>
      <w:rPr>
        <w:sz w:val="17"/>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NpDMRAgAACw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e42kMx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22"/>
      <w:rPr>
        <w:rFonts w:eastAsia="Times New Roman"/>
        <w:sz w:val="17"/>
        <w:szCs w:val="17"/>
      </w:rPr>
    </w:pPr>
    <w:r>
      <w:rPr>
        <w:sz w:val="17"/>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bElq0P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AbElq0PAgAACw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3"/>
      <w:rPr>
        <w:rFonts w:eastAsia="Times New Roman"/>
        <w:sz w:val="17"/>
        <w:szCs w:val="17"/>
      </w:rPr>
    </w:pPr>
    <w:r>
      <w:rPr>
        <w:sz w:val="17"/>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ibuvAP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OibuvAPAgAACw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zhcQ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ae84XEAIAAAs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k4koRAgAACwQAAA4AAABkcnMvZTJvRG9jLnhtbK1TzY7TMBC+I/EO&#10;lu80aVes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NCTiSh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VgIRAgAACwQAAA4AAABkcnMvZTJvRG9jLnhtbK1TzY7TMBC+I/EO&#10;lu80aYFV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71WAh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iel8RAgAACw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EeJ6Xx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IwIOuB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rPr>
        <w:rFonts w:eastAsia="Times New Roman"/>
        <w:sz w:val="17"/>
        <w:szCs w:val="17"/>
      </w:rPr>
    </w:pPr>
    <w:r>
      <w:rPr>
        <w:sz w:val="17"/>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dIuURAgAACwQAAA4AAABkcnMvZTJvRG9jLnhtbK1TzY7TMBC+I/EO&#10;lu80aRFL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zV0i5R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18"/>
      <w:rPr>
        <w:rFonts w:eastAsia="Times New Roman"/>
        <w:sz w:val="17"/>
        <w:szCs w:val="17"/>
      </w:rPr>
    </w:pPr>
    <w:r>
      <w:rPr>
        <w:sz w:val="17"/>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UxZykQ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1MWcpEAIAAAs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tuS3QRAgAACwQAAA4AAABkcnMvZTJvRG9jLnhtbK1TzY7TMBC+I/EO&#10;lu80aRGrUj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W25LdB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hpmUP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GbhpmUPAgAACw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150"/>
      <w:rPr>
        <w:rFonts w:eastAsia="Times New Roman"/>
        <w:sz w:val="17"/>
        <w:szCs w:val="17"/>
      </w:rPr>
    </w:pPr>
    <w:r>
      <w:rPr>
        <w:sz w:val="17"/>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jgP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Ii+ijgPAgAACw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32"/>
      <w:rPr>
        <w:rFonts w:eastAsia="Times New Roman"/>
        <w:sz w:val="17"/>
        <w:szCs w:val="17"/>
      </w:rPr>
    </w:pPr>
    <w:r>
      <w:rPr>
        <w:sz w:val="17"/>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e/t8QAgAAC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6Xv7fEAIAAAsEAAAOAAAAAAAAAAEAIAAA&#10;AB8BAABkcnMvZTJvRG9jLnhtbFBLBQYAAAAABgAGAFkBAACh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075"/>
      <w:rPr>
        <w:rFonts w:eastAsia="Times New Roman"/>
        <w:sz w:val="17"/>
        <w:szCs w:val="17"/>
      </w:rPr>
    </w:pPr>
    <w:r>
      <w:rPr>
        <w:sz w:val="17"/>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QB0oIRAgAACwQAAA4AAABkcnMvZTJvRG9jLnhtbK1TzY7TMBC+I/EO&#10;lu80aVes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VAHSgh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32"/>
      <w:rPr>
        <w:rFonts w:eastAsia="Times New Roman"/>
        <w:sz w:val="17"/>
        <w:szCs w:val="17"/>
      </w:rPr>
    </w:pPr>
    <w:r>
      <w:rPr>
        <w:sz w:val="17"/>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n5hmyh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firstLine="8075"/>
      <w:rPr>
        <w:rFonts w:eastAsia="Times New Roman"/>
        <w:sz w:val="17"/>
        <w:szCs w:val="17"/>
      </w:rPr>
    </w:pPr>
    <w:r>
      <w:rPr>
        <w:sz w:val="17"/>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HHSpcRAgAACw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ccdKlxECAAALBAAADgAAAAAAAAABACAA&#10;AAAfAQAAZHJzL2Uyb0RvYy54bWxQSwUGAAAAAAYABgBZAQAAog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left="840"/>
      <w:jc w:val="center"/>
    </w:pPr>
    <w:r>
      <w:fldChar w:fldCharType="begin"/>
    </w:r>
    <w:r>
      <w:instrText xml:space="preserve">PAGE   \* MERGEFORMAT</w:instrText>
    </w:r>
    <w:r>
      <w:fldChar w:fldCharType="separate"/>
    </w:r>
    <w:r>
      <w:rPr>
        <w:lang w:val="zh-CN"/>
      </w:rPr>
      <w:t>74</w:t>
    </w:r>
    <w:r>
      <w:fldChar w:fldCharType="end"/>
    </w:r>
  </w:p>
  <w:p>
    <w:pPr>
      <w:pStyle w:val="29"/>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 PAGE   \* MERGEFORMAT </w:instrText>
    </w:r>
    <w:r>
      <w:fldChar w:fldCharType="separate"/>
    </w:r>
    <w:r>
      <w:rPr>
        <w:lang w:val="zh-CN"/>
      </w:rPr>
      <w:t>76</w:t>
    </w:r>
    <w:r>
      <w:rPr>
        <w:lang w:val="zh-CN"/>
      </w:rPr>
      <w:fldChar w:fldCharType="end"/>
    </w:r>
  </w:p>
  <w:p>
    <w:pPr>
      <w:pStyle w:val="29"/>
      <w:tabs>
        <w:tab w:val="left" w:pos="4668"/>
        <w:tab w:val="clear" w:pos="4153"/>
        <w:tab w:val="clear" w:pos="8306"/>
      </w:tabs>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Vx3wPAgAACQ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OJVx3wPAgAACQQAAA4AAAAAAAAAAQAgAAAA&#10;HwEAAGRycy9lMm9Eb2MueG1sUEsFBgAAAAAGAAYAWQEAAKA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29"/>
      <w:ind w:right="360"/>
    </w:pPr>
  </w:p>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4" w:line="57" w:lineRule="exact"/>
      <w:ind w:firstLine="11"/>
      <w:textAlignment w:val="center"/>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both"/>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C5E8432"/>
    <w:multiLevelType w:val="singleLevel"/>
    <w:tmpl w:val="0C5E8432"/>
    <w:lvl w:ilvl="0" w:tentative="0">
      <w:start w:val="2"/>
      <w:numFmt w:val="chineseCounting"/>
      <w:suff w:val="nothing"/>
      <w:lvlText w:val="%1、"/>
      <w:lvlJc w:val="left"/>
      <w:rPr>
        <w:rFonts w:hint="eastAsia"/>
      </w:rPr>
    </w:lvl>
  </w:abstractNum>
  <w:abstractNum w:abstractNumId="9">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zcwNWE3ZWJmMDllOTdiMjQ1MjcyYzgxZjU5YmZkMT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37D7E"/>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4A6"/>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6"/>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3FFE"/>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78C"/>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394"/>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764"/>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9F"/>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10D"/>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61"/>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74B"/>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1E4B"/>
    <w:rsid w:val="00772046"/>
    <w:rsid w:val="007723D6"/>
    <w:rsid w:val="0077248E"/>
    <w:rsid w:val="007726BB"/>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04"/>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795"/>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87F"/>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0EB0"/>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DE1"/>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57C18"/>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3A9"/>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170"/>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2D7B"/>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E5"/>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73"/>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63F"/>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310"/>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4E"/>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23"/>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42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AD7"/>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28"/>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8D6"/>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71"/>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8B35F6"/>
    <w:rsid w:val="02690C80"/>
    <w:rsid w:val="027547C6"/>
    <w:rsid w:val="029A1B3E"/>
    <w:rsid w:val="02B025AD"/>
    <w:rsid w:val="02CB5E08"/>
    <w:rsid w:val="03157416"/>
    <w:rsid w:val="035418BB"/>
    <w:rsid w:val="03742DF3"/>
    <w:rsid w:val="03B1713F"/>
    <w:rsid w:val="03CE185D"/>
    <w:rsid w:val="03DC2D25"/>
    <w:rsid w:val="03E81A07"/>
    <w:rsid w:val="040C5A1F"/>
    <w:rsid w:val="0442423B"/>
    <w:rsid w:val="045F646F"/>
    <w:rsid w:val="04673CA2"/>
    <w:rsid w:val="046F3597"/>
    <w:rsid w:val="0492430B"/>
    <w:rsid w:val="04C44C50"/>
    <w:rsid w:val="04F04F9E"/>
    <w:rsid w:val="05177476"/>
    <w:rsid w:val="057E38C8"/>
    <w:rsid w:val="058C6737"/>
    <w:rsid w:val="05997E8B"/>
    <w:rsid w:val="060D22FF"/>
    <w:rsid w:val="061B6879"/>
    <w:rsid w:val="064413A2"/>
    <w:rsid w:val="064F49ED"/>
    <w:rsid w:val="06A30058"/>
    <w:rsid w:val="06A30B95"/>
    <w:rsid w:val="06AC1E40"/>
    <w:rsid w:val="06B62CBE"/>
    <w:rsid w:val="06C23F97"/>
    <w:rsid w:val="06E11AE9"/>
    <w:rsid w:val="06E72E78"/>
    <w:rsid w:val="07095F41"/>
    <w:rsid w:val="072A7934"/>
    <w:rsid w:val="073360BD"/>
    <w:rsid w:val="0757624F"/>
    <w:rsid w:val="07797F74"/>
    <w:rsid w:val="08266E3B"/>
    <w:rsid w:val="08533AA5"/>
    <w:rsid w:val="0861695D"/>
    <w:rsid w:val="08A74FB5"/>
    <w:rsid w:val="08AC7F4A"/>
    <w:rsid w:val="08CE4F6C"/>
    <w:rsid w:val="08D56C75"/>
    <w:rsid w:val="08D613F6"/>
    <w:rsid w:val="090A4B07"/>
    <w:rsid w:val="093C56FD"/>
    <w:rsid w:val="09590EAC"/>
    <w:rsid w:val="099E50DA"/>
    <w:rsid w:val="09C85660"/>
    <w:rsid w:val="09F45FD8"/>
    <w:rsid w:val="0A0A1357"/>
    <w:rsid w:val="0A0F1FE2"/>
    <w:rsid w:val="0A782765"/>
    <w:rsid w:val="0A9B46A5"/>
    <w:rsid w:val="0ABB08A3"/>
    <w:rsid w:val="0B1D50BA"/>
    <w:rsid w:val="0B660C1A"/>
    <w:rsid w:val="0B893E96"/>
    <w:rsid w:val="0BFC20FF"/>
    <w:rsid w:val="0C1E0AFD"/>
    <w:rsid w:val="0C417305"/>
    <w:rsid w:val="0C5D60B6"/>
    <w:rsid w:val="0CAD06C0"/>
    <w:rsid w:val="0CBB673B"/>
    <w:rsid w:val="0CC55A09"/>
    <w:rsid w:val="0CC61477"/>
    <w:rsid w:val="0CED2886"/>
    <w:rsid w:val="0D902ADD"/>
    <w:rsid w:val="0DE912D5"/>
    <w:rsid w:val="0E236E8B"/>
    <w:rsid w:val="0E2F12C0"/>
    <w:rsid w:val="0E625C06"/>
    <w:rsid w:val="0E8E0462"/>
    <w:rsid w:val="0ED62150"/>
    <w:rsid w:val="0F1113DA"/>
    <w:rsid w:val="0F6E4084"/>
    <w:rsid w:val="0FB42B24"/>
    <w:rsid w:val="0FD33264"/>
    <w:rsid w:val="0FDA0B8C"/>
    <w:rsid w:val="0FFA7511"/>
    <w:rsid w:val="10072360"/>
    <w:rsid w:val="105A632A"/>
    <w:rsid w:val="1074701A"/>
    <w:rsid w:val="10A775EC"/>
    <w:rsid w:val="10E35E8B"/>
    <w:rsid w:val="112076B2"/>
    <w:rsid w:val="112E6273"/>
    <w:rsid w:val="11A42091"/>
    <w:rsid w:val="11D34725"/>
    <w:rsid w:val="11DA0C20"/>
    <w:rsid w:val="11DA1F57"/>
    <w:rsid w:val="12011292"/>
    <w:rsid w:val="1213588E"/>
    <w:rsid w:val="12437AFC"/>
    <w:rsid w:val="124F64A1"/>
    <w:rsid w:val="125521F7"/>
    <w:rsid w:val="127D190F"/>
    <w:rsid w:val="128B22CA"/>
    <w:rsid w:val="128D3A7B"/>
    <w:rsid w:val="12900868"/>
    <w:rsid w:val="129739A4"/>
    <w:rsid w:val="12CB6F7B"/>
    <w:rsid w:val="12D41FF2"/>
    <w:rsid w:val="12DB2EA6"/>
    <w:rsid w:val="134F0723"/>
    <w:rsid w:val="13FC6ECE"/>
    <w:rsid w:val="14136D41"/>
    <w:rsid w:val="142C636E"/>
    <w:rsid w:val="1451500A"/>
    <w:rsid w:val="14ED4AFE"/>
    <w:rsid w:val="14F275B8"/>
    <w:rsid w:val="15647A05"/>
    <w:rsid w:val="15B2033F"/>
    <w:rsid w:val="15E50ECA"/>
    <w:rsid w:val="16085984"/>
    <w:rsid w:val="163D1C50"/>
    <w:rsid w:val="166E2C6E"/>
    <w:rsid w:val="16C4329F"/>
    <w:rsid w:val="16D601B0"/>
    <w:rsid w:val="173366C5"/>
    <w:rsid w:val="175B44A5"/>
    <w:rsid w:val="17767AC1"/>
    <w:rsid w:val="17A10E21"/>
    <w:rsid w:val="17F93E0B"/>
    <w:rsid w:val="18020307"/>
    <w:rsid w:val="18097657"/>
    <w:rsid w:val="18375A0D"/>
    <w:rsid w:val="183A72AB"/>
    <w:rsid w:val="183D0B4A"/>
    <w:rsid w:val="184453B9"/>
    <w:rsid w:val="184D0B2B"/>
    <w:rsid w:val="18B232E6"/>
    <w:rsid w:val="18DF60A5"/>
    <w:rsid w:val="18E95427"/>
    <w:rsid w:val="190C4FDE"/>
    <w:rsid w:val="19121984"/>
    <w:rsid w:val="1986426C"/>
    <w:rsid w:val="19866CCD"/>
    <w:rsid w:val="19B63AB3"/>
    <w:rsid w:val="19C77E55"/>
    <w:rsid w:val="19EC4A9D"/>
    <w:rsid w:val="19F84818"/>
    <w:rsid w:val="1A06581A"/>
    <w:rsid w:val="1A0E6983"/>
    <w:rsid w:val="1A6B32A1"/>
    <w:rsid w:val="1AF851FC"/>
    <w:rsid w:val="1B1F6C2C"/>
    <w:rsid w:val="1B266756"/>
    <w:rsid w:val="1B3B1CB8"/>
    <w:rsid w:val="1B6C1877"/>
    <w:rsid w:val="1BC451B0"/>
    <w:rsid w:val="1BE107B4"/>
    <w:rsid w:val="1C27298C"/>
    <w:rsid w:val="1C455CA5"/>
    <w:rsid w:val="1C4A679B"/>
    <w:rsid w:val="1C691419"/>
    <w:rsid w:val="1C8054A9"/>
    <w:rsid w:val="1CB27E45"/>
    <w:rsid w:val="1D244FDC"/>
    <w:rsid w:val="1D2C69D2"/>
    <w:rsid w:val="1D7F4B17"/>
    <w:rsid w:val="1D951428"/>
    <w:rsid w:val="1D9929CB"/>
    <w:rsid w:val="1DB4548B"/>
    <w:rsid w:val="1DC555EB"/>
    <w:rsid w:val="1E0A3BC4"/>
    <w:rsid w:val="1E1660C5"/>
    <w:rsid w:val="1E1C04D7"/>
    <w:rsid w:val="1E2D1B44"/>
    <w:rsid w:val="1E2E1551"/>
    <w:rsid w:val="1E3976A3"/>
    <w:rsid w:val="1E4A3ACE"/>
    <w:rsid w:val="1ECC4BF7"/>
    <w:rsid w:val="1ECE4BF1"/>
    <w:rsid w:val="1EEA0BE1"/>
    <w:rsid w:val="1F214D11"/>
    <w:rsid w:val="1F2B3FC4"/>
    <w:rsid w:val="1F49388E"/>
    <w:rsid w:val="1F66307C"/>
    <w:rsid w:val="1F6A2246"/>
    <w:rsid w:val="1FE04BDC"/>
    <w:rsid w:val="1FE43FA1"/>
    <w:rsid w:val="1FF819A2"/>
    <w:rsid w:val="1FFE59C3"/>
    <w:rsid w:val="20262ED3"/>
    <w:rsid w:val="20337402"/>
    <w:rsid w:val="20A51982"/>
    <w:rsid w:val="20AF1106"/>
    <w:rsid w:val="20F428C6"/>
    <w:rsid w:val="210C6DF7"/>
    <w:rsid w:val="2129185F"/>
    <w:rsid w:val="212B00D9"/>
    <w:rsid w:val="214E3DC8"/>
    <w:rsid w:val="218029FD"/>
    <w:rsid w:val="21FF01E2"/>
    <w:rsid w:val="220A542B"/>
    <w:rsid w:val="22525B39"/>
    <w:rsid w:val="2254540E"/>
    <w:rsid w:val="22D4654E"/>
    <w:rsid w:val="22F60B11"/>
    <w:rsid w:val="2366364A"/>
    <w:rsid w:val="239E00B4"/>
    <w:rsid w:val="23AD6F94"/>
    <w:rsid w:val="23C06F33"/>
    <w:rsid w:val="245F12E5"/>
    <w:rsid w:val="249B0CBF"/>
    <w:rsid w:val="24E534BB"/>
    <w:rsid w:val="251C7FB5"/>
    <w:rsid w:val="251E74A4"/>
    <w:rsid w:val="254A4FF5"/>
    <w:rsid w:val="263537A8"/>
    <w:rsid w:val="265D1703"/>
    <w:rsid w:val="26634C2F"/>
    <w:rsid w:val="268B33C8"/>
    <w:rsid w:val="26A01C06"/>
    <w:rsid w:val="26BE7460"/>
    <w:rsid w:val="26D476A3"/>
    <w:rsid w:val="273F1C9D"/>
    <w:rsid w:val="277B0E0D"/>
    <w:rsid w:val="27843CE5"/>
    <w:rsid w:val="27BB755F"/>
    <w:rsid w:val="27FA25B3"/>
    <w:rsid w:val="280F3DC6"/>
    <w:rsid w:val="282E7AD6"/>
    <w:rsid w:val="28751FE0"/>
    <w:rsid w:val="28A845B8"/>
    <w:rsid w:val="28CD7782"/>
    <w:rsid w:val="28E62B38"/>
    <w:rsid w:val="28EA087A"/>
    <w:rsid w:val="290E30C2"/>
    <w:rsid w:val="2914146A"/>
    <w:rsid w:val="29273941"/>
    <w:rsid w:val="29565F0F"/>
    <w:rsid w:val="295D3BDE"/>
    <w:rsid w:val="29733C5A"/>
    <w:rsid w:val="298D54D2"/>
    <w:rsid w:val="299D3B3E"/>
    <w:rsid w:val="29C53FA5"/>
    <w:rsid w:val="29EC2C90"/>
    <w:rsid w:val="2A1B01DB"/>
    <w:rsid w:val="2A334AB0"/>
    <w:rsid w:val="2A81520E"/>
    <w:rsid w:val="2A846AAC"/>
    <w:rsid w:val="2A847660"/>
    <w:rsid w:val="2ADC0696"/>
    <w:rsid w:val="2B426034"/>
    <w:rsid w:val="2B4D3342"/>
    <w:rsid w:val="2B620B9B"/>
    <w:rsid w:val="2B9549D8"/>
    <w:rsid w:val="2BAE2033"/>
    <w:rsid w:val="2BBD4024"/>
    <w:rsid w:val="2BE414A3"/>
    <w:rsid w:val="2BFF1DC6"/>
    <w:rsid w:val="2C0D35FC"/>
    <w:rsid w:val="2C477D91"/>
    <w:rsid w:val="2C7650BF"/>
    <w:rsid w:val="2C90798A"/>
    <w:rsid w:val="2D2500D2"/>
    <w:rsid w:val="2D372986"/>
    <w:rsid w:val="2D641430"/>
    <w:rsid w:val="2D945258"/>
    <w:rsid w:val="2DB32EA9"/>
    <w:rsid w:val="2E1633E4"/>
    <w:rsid w:val="2E263961"/>
    <w:rsid w:val="2EA778B0"/>
    <w:rsid w:val="2F000DF7"/>
    <w:rsid w:val="2F0B0AFA"/>
    <w:rsid w:val="2F0F3ECE"/>
    <w:rsid w:val="2F3B5F8E"/>
    <w:rsid w:val="2F48454C"/>
    <w:rsid w:val="2F6C2594"/>
    <w:rsid w:val="2F7C0DD6"/>
    <w:rsid w:val="2FBB484E"/>
    <w:rsid w:val="2FF633C2"/>
    <w:rsid w:val="2FFC28F5"/>
    <w:rsid w:val="30717AD3"/>
    <w:rsid w:val="30BB25ED"/>
    <w:rsid w:val="30E5006B"/>
    <w:rsid w:val="313B4368"/>
    <w:rsid w:val="31406D5C"/>
    <w:rsid w:val="31552F50"/>
    <w:rsid w:val="31935C8D"/>
    <w:rsid w:val="31994BEB"/>
    <w:rsid w:val="31AB7622"/>
    <w:rsid w:val="31BC5716"/>
    <w:rsid w:val="31C12F46"/>
    <w:rsid w:val="31DA7F07"/>
    <w:rsid w:val="32087FC3"/>
    <w:rsid w:val="32891103"/>
    <w:rsid w:val="32946BEA"/>
    <w:rsid w:val="32C11B5B"/>
    <w:rsid w:val="32C231D6"/>
    <w:rsid w:val="32EB653A"/>
    <w:rsid w:val="32F472B3"/>
    <w:rsid w:val="333A1CF2"/>
    <w:rsid w:val="33487C23"/>
    <w:rsid w:val="338218DD"/>
    <w:rsid w:val="33FB1B8D"/>
    <w:rsid w:val="34050C5E"/>
    <w:rsid w:val="340D549F"/>
    <w:rsid w:val="34577483"/>
    <w:rsid w:val="34681E15"/>
    <w:rsid w:val="34A1149E"/>
    <w:rsid w:val="34BF29C7"/>
    <w:rsid w:val="34CD16FA"/>
    <w:rsid w:val="34D6387E"/>
    <w:rsid w:val="35094B0E"/>
    <w:rsid w:val="359207AA"/>
    <w:rsid w:val="35A64E0A"/>
    <w:rsid w:val="35AF455B"/>
    <w:rsid w:val="35C90364"/>
    <w:rsid w:val="35E4175E"/>
    <w:rsid w:val="3619279E"/>
    <w:rsid w:val="365B2DB7"/>
    <w:rsid w:val="36B16022"/>
    <w:rsid w:val="36B9188B"/>
    <w:rsid w:val="36DC6F53"/>
    <w:rsid w:val="36DD710B"/>
    <w:rsid w:val="37040B1B"/>
    <w:rsid w:val="371371EE"/>
    <w:rsid w:val="373F4FD4"/>
    <w:rsid w:val="37904CE2"/>
    <w:rsid w:val="37910923"/>
    <w:rsid w:val="37E47648"/>
    <w:rsid w:val="37F17146"/>
    <w:rsid w:val="387B4A7B"/>
    <w:rsid w:val="389B749B"/>
    <w:rsid w:val="38B627C0"/>
    <w:rsid w:val="38BF587F"/>
    <w:rsid w:val="38C22C79"/>
    <w:rsid w:val="38EE16CA"/>
    <w:rsid w:val="391D4354"/>
    <w:rsid w:val="396A732A"/>
    <w:rsid w:val="398114C3"/>
    <w:rsid w:val="3984660E"/>
    <w:rsid w:val="39E81075"/>
    <w:rsid w:val="39EB155E"/>
    <w:rsid w:val="3A352E83"/>
    <w:rsid w:val="3A89770A"/>
    <w:rsid w:val="3A96500E"/>
    <w:rsid w:val="3AA60379"/>
    <w:rsid w:val="3B130C19"/>
    <w:rsid w:val="3B3A6339"/>
    <w:rsid w:val="3B8951FA"/>
    <w:rsid w:val="3B9D352A"/>
    <w:rsid w:val="3BCB6780"/>
    <w:rsid w:val="3BCE5F6B"/>
    <w:rsid w:val="3BEA779D"/>
    <w:rsid w:val="3C193D2C"/>
    <w:rsid w:val="3C26032F"/>
    <w:rsid w:val="3C5F1237"/>
    <w:rsid w:val="3CA0795C"/>
    <w:rsid w:val="3CAE261A"/>
    <w:rsid w:val="3CC12488"/>
    <w:rsid w:val="3CF916A4"/>
    <w:rsid w:val="3D136199"/>
    <w:rsid w:val="3D266161"/>
    <w:rsid w:val="3D2832C7"/>
    <w:rsid w:val="3D453E79"/>
    <w:rsid w:val="3DA51A4B"/>
    <w:rsid w:val="3DBD1E3F"/>
    <w:rsid w:val="3DDC331E"/>
    <w:rsid w:val="3E171C2C"/>
    <w:rsid w:val="3ED22666"/>
    <w:rsid w:val="3EFF2A29"/>
    <w:rsid w:val="3F110963"/>
    <w:rsid w:val="3F302EB1"/>
    <w:rsid w:val="3F577E93"/>
    <w:rsid w:val="3F8073EA"/>
    <w:rsid w:val="3F830C89"/>
    <w:rsid w:val="3FBE46F0"/>
    <w:rsid w:val="3FCC6AD3"/>
    <w:rsid w:val="3FE461CC"/>
    <w:rsid w:val="3FF5F3AE"/>
    <w:rsid w:val="40173EFB"/>
    <w:rsid w:val="40692574"/>
    <w:rsid w:val="407C1F00"/>
    <w:rsid w:val="407F3B46"/>
    <w:rsid w:val="409E6A5C"/>
    <w:rsid w:val="412D35A2"/>
    <w:rsid w:val="412F06F1"/>
    <w:rsid w:val="413541A3"/>
    <w:rsid w:val="41447381"/>
    <w:rsid w:val="416C29D4"/>
    <w:rsid w:val="419933E5"/>
    <w:rsid w:val="419B49AF"/>
    <w:rsid w:val="41EC3FD2"/>
    <w:rsid w:val="4202058A"/>
    <w:rsid w:val="429D02B3"/>
    <w:rsid w:val="42AE426E"/>
    <w:rsid w:val="42CD0A98"/>
    <w:rsid w:val="42ED123B"/>
    <w:rsid w:val="431510D6"/>
    <w:rsid w:val="43195B8C"/>
    <w:rsid w:val="431A0C09"/>
    <w:rsid w:val="431E79A6"/>
    <w:rsid w:val="436626F3"/>
    <w:rsid w:val="437B05F4"/>
    <w:rsid w:val="437D60A7"/>
    <w:rsid w:val="43884669"/>
    <w:rsid w:val="43EC3781"/>
    <w:rsid w:val="43F23DAE"/>
    <w:rsid w:val="43F5021A"/>
    <w:rsid w:val="44112D07"/>
    <w:rsid w:val="442D7B80"/>
    <w:rsid w:val="44507CD3"/>
    <w:rsid w:val="448A6025"/>
    <w:rsid w:val="449B1E09"/>
    <w:rsid w:val="44A26C23"/>
    <w:rsid w:val="44B15012"/>
    <w:rsid w:val="44B60D42"/>
    <w:rsid w:val="44CF0CF9"/>
    <w:rsid w:val="44F87A23"/>
    <w:rsid w:val="44FE14DD"/>
    <w:rsid w:val="45303024"/>
    <w:rsid w:val="45576E3F"/>
    <w:rsid w:val="45833790"/>
    <w:rsid w:val="46234015"/>
    <w:rsid w:val="468C2B19"/>
    <w:rsid w:val="46927165"/>
    <w:rsid w:val="46AF40C3"/>
    <w:rsid w:val="46C76837"/>
    <w:rsid w:val="46E93AC7"/>
    <w:rsid w:val="47032C79"/>
    <w:rsid w:val="474A5E03"/>
    <w:rsid w:val="478A52AA"/>
    <w:rsid w:val="47E02FFC"/>
    <w:rsid w:val="47EB386F"/>
    <w:rsid w:val="47EF335F"/>
    <w:rsid w:val="480E2158"/>
    <w:rsid w:val="480F1C53"/>
    <w:rsid w:val="483416BA"/>
    <w:rsid w:val="48416579"/>
    <w:rsid w:val="48653621"/>
    <w:rsid w:val="48661039"/>
    <w:rsid w:val="48C90054"/>
    <w:rsid w:val="48CD319E"/>
    <w:rsid w:val="4968161B"/>
    <w:rsid w:val="496B2EB9"/>
    <w:rsid w:val="49B840D9"/>
    <w:rsid w:val="49CE4453"/>
    <w:rsid w:val="49D17EE3"/>
    <w:rsid w:val="4A4C1A28"/>
    <w:rsid w:val="4A775F03"/>
    <w:rsid w:val="4A7F4E6E"/>
    <w:rsid w:val="4B1B0C0A"/>
    <w:rsid w:val="4B477A12"/>
    <w:rsid w:val="4B65373A"/>
    <w:rsid w:val="4BA11667"/>
    <w:rsid w:val="4BA2457E"/>
    <w:rsid w:val="4BA97CC9"/>
    <w:rsid w:val="4BB8307D"/>
    <w:rsid w:val="4BF41B64"/>
    <w:rsid w:val="4C290B15"/>
    <w:rsid w:val="4C383CAE"/>
    <w:rsid w:val="4C79769B"/>
    <w:rsid w:val="4CBF1B88"/>
    <w:rsid w:val="4CD174D7"/>
    <w:rsid w:val="4D00163A"/>
    <w:rsid w:val="4D295F72"/>
    <w:rsid w:val="4D5123C6"/>
    <w:rsid w:val="4DB57993"/>
    <w:rsid w:val="4DB97EEB"/>
    <w:rsid w:val="4DED4259"/>
    <w:rsid w:val="4E191136"/>
    <w:rsid w:val="4E4E74AE"/>
    <w:rsid w:val="4E577EB0"/>
    <w:rsid w:val="4E74636C"/>
    <w:rsid w:val="4E956FBF"/>
    <w:rsid w:val="4EC254A2"/>
    <w:rsid w:val="4ECE0172"/>
    <w:rsid w:val="4EF66B9D"/>
    <w:rsid w:val="4F0F5BE3"/>
    <w:rsid w:val="4F15273B"/>
    <w:rsid w:val="4F152E07"/>
    <w:rsid w:val="4F2A1121"/>
    <w:rsid w:val="4F6E2E2B"/>
    <w:rsid w:val="4FD0007D"/>
    <w:rsid w:val="4FD45ABF"/>
    <w:rsid w:val="4FE742EB"/>
    <w:rsid w:val="4FF20D54"/>
    <w:rsid w:val="4FF85CD0"/>
    <w:rsid w:val="50566671"/>
    <w:rsid w:val="50645114"/>
    <w:rsid w:val="509C7DFC"/>
    <w:rsid w:val="50BE7306"/>
    <w:rsid w:val="51085492"/>
    <w:rsid w:val="513B5867"/>
    <w:rsid w:val="51710957"/>
    <w:rsid w:val="519C4A77"/>
    <w:rsid w:val="51B318A1"/>
    <w:rsid w:val="51B51EE2"/>
    <w:rsid w:val="51E27A91"/>
    <w:rsid w:val="523302EC"/>
    <w:rsid w:val="52422029"/>
    <w:rsid w:val="527E5A0B"/>
    <w:rsid w:val="52862A40"/>
    <w:rsid w:val="52AA6F11"/>
    <w:rsid w:val="52D715BF"/>
    <w:rsid w:val="52E9262A"/>
    <w:rsid w:val="52F04997"/>
    <w:rsid w:val="531622F4"/>
    <w:rsid w:val="531D4760"/>
    <w:rsid w:val="53374CC4"/>
    <w:rsid w:val="533B56AA"/>
    <w:rsid w:val="539A4AC7"/>
    <w:rsid w:val="53BF77E5"/>
    <w:rsid w:val="53C35B0F"/>
    <w:rsid w:val="53D63625"/>
    <w:rsid w:val="53DA1367"/>
    <w:rsid w:val="5415414D"/>
    <w:rsid w:val="545C1D7C"/>
    <w:rsid w:val="546E7350"/>
    <w:rsid w:val="547634EC"/>
    <w:rsid w:val="54C64942"/>
    <w:rsid w:val="55040901"/>
    <w:rsid w:val="553F1CE4"/>
    <w:rsid w:val="55411085"/>
    <w:rsid w:val="555D3FFE"/>
    <w:rsid w:val="55797544"/>
    <w:rsid w:val="55E24503"/>
    <w:rsid w:val="55E5390A"/>
    <w:rsid w:val="560C332E"/>
    <w:rsid w:val="561A5A4B"/>
    <w:rsid w:val="561D19DF"/>
    <w:rsid w:val="56233DA9"/>
    <w:rsid w:val="5636666D"/>
    <w:rsid w:val="56B20379"/>
    <w:rsid w:val="56B45709"/>
    <w:rsid w:val="56DB5C94"/>
    <w:rsid w:val="56DC71A4"/>
    <w:rsid w:val="56DF05DE"/>
    <w:rsid w:val="56EB5639"/>
    <w:rsid w:val="57315742"/>
    <w:rsid w:val="573B4C53"/>
    <w:rsid w:val="57553FF5"/>
    <w:rsid w:val="57901198"/>
    <w:rsid w:val="57966F07"/>
    <w:rsid w:val="57CD67F4"/>
    <w:rsid w:val="57EE3094"/>
    <w:rsid w:val="57FC6189"/>
    <w:rsid w:val="58DF11CE"/>
    <w:rsid w:val="58EF6BCB"/>
    <w:rsid w:val="58F23613"/>
    <w:rsid w:val="58F55EA9"/>
    <w:rsid w:val="590B0E4E"/>
    <w:rsid w:val="593E4146"/>
    <w:rsid w:val="59592D2E"/>
    <w:rsid w:val="59835FFD"/>
    <w:rsid w:val="59A57392"/>
    <w:rsid w:val="59F31452"/>
    <w:rsid w:val="5A227E3C"/>
    <w:rsid w:val="5A2E41BB"/>
    <w:rsid w:val="5A4804EC"/>
    <w:rsid w:val="5A513A05"/>
    <w:rsid w:val="5A8C25E3"/>
    <w:rsid w:val="5B127639"/>
    <w:rsid w:val="5B1C2265"/>
    <w:rsid w:val="5B8018A2"/>
    <w:rsid w:val="5BC546AB"/>
    <w:rsid w:val="5BD120B1"/>
    <w:rsid w:val="5C7B120D"/>
    <w:rsid w:val="5C884170"/>
    <w:rsid w:val="5C9102D5"/>
    <w:rsid w:val="5CC22ECF"/>
    <w:rsid w:val="5CF35248"/>
    <w:rsid w:val="5D0A5AAA"/>
    <w:rsid w:val="5D2929FA"/>
    <w:rsid w:val="5D342CE5"/>
    <w:rsid w:val="5D387AB8"/>
    <w:rsid w:val="5D3D3571"/>
    <w:rsid w:val="5D485048"/>
    <w:rsid w:val="5D504621"/>
    <w:rsid w:val="5D666485"/>
    <w:rsid w:val="5D8F31C2"/>
    <w:rsid w:val="5E3B2A02"/>
    <w:rsid w:val="5E690276"/>
    <w:rsid w:val="5E783C56"/>
    <w:rsid w:val="5EA031AD"/>
    <w:rsid w:val="5EE906B0"/>
    <w:rsid w:val="5EEE4E5A"/>
    <w:rsid w:val="5F073306"/>
    <w:rsid w:val="5F5F73B9"/>
    <w:rsid w:val="5F893C41"/>
    <w:rsid w:val="5FAE7D8E"/>
    <w:rsid w:val="5FD42B3D"/>
    <w:rsid w:val="5FF26B2F"/>
    <w:rsid w:val="5FF43065"/>
    <w:rsid w:val="602D6CC3"/>
    <w:rsid w:val="608C7851"/>
    <w:rsid w:val="60922EF6"/>
    <w:rsid w:val="60AD42DC"/>
    <w:rsid w:val="6109328C"/>
    <w:rsid w:val="61246925"/>
    <w:rsid w:val="61294FF4"/>
    <w:rsid w:val="615E35D8"/>
    <w:rsid w:val="6163685A"/>
    <w:rsid w:val="616D5DE7"/>
    <w:rsid w:val="61BD6519"/>
    <w:rsid w:val="61C378C7"/>
    <w:rsid w:val="61E11342"/>
    <w:rsid w:val="620A72BB"/>
    <w:rsid w:val="62145A44"/>
    <w:rsid w:val="62333FAD"/>
    <w:rsid w:val="62360719"/>
    <w:rsid w:val="62397BA1"/>
    <w:rsid w:val="62445450"/>
    <w:rsid w:val="62476747"/>
    <w:rsid w:val="624F6BBE"/>
    <w:rsid w:val="62566D61"/>
    <w:rsid w:val="62DE0BFE"/>
    <w:rsid w:val="632A1297"/>
    <w:rsid w:val="634B193A"/>
    <w:rsid w:val="63AE011A"/>
    <w:rsid w:val="63AE1C47"/>
    <w:rsid w:val="640752EA"/>
    <w:rsid w:val="64234664"/>
    <w:rsid w:val="64591E34"/>
    <w:rsid w:val="646A2293"/>
    <w:rsid w:val="647262C2"/>
    <w:rsid w:val="648B6A6E"/>
    <w:rsid w:val="64966BE4"/>
    <w:rsid w:val="64A168F5"/>
    <w:rsid w:val="64A532CB"/>
    <w:rsid w:val="64DA48A7"/>
    <w:rsid w:val="64E169FC"/>
    <w:rsid w:val="64E8582E"/>
    <w:rsid w:val="65335425"/>
    <w:rsid w:val="65766A16"/>
    <w:rsid w:val="65B03CD6"/>
    <w:rsid w:val="65B14044"/>
    <w:rsid w:val="65B806E9"/>
    <w:rsid w:val="65D521B4"/>
    <w:rsid w:val="66001DC6"/>
    <w:rsid w:val="66293A88"/>
    <w:rsid w:val="665705F5"/>
    <w:rsid w:val="665D1EAA"/>
    <w:rsid w:val="66F71169"/>
    <w:rsid w:val="672C55DE"/>
    <w:rsid w:val="67851192"/>
    <w:rsid w:val="67E97973"/>
    <w:rsid w:val="67F4151D"/>
    <w:rsid w:val="681303CE"/>
    <w:rsid w:val="68296F1D"/>
    <w:rsid w:val="6838144E"/>
    <w:rsid w:val="6849391D"/>
    <w:rsid w:val="686D4100"/>
    <w:rsid w:val="686E288F"/>
    <w:rsid w:val="68727968"/>
    <w:rsid w:val="68A4599C"/>
    <w:rsid w:val="68AA7398"/>
    <w:rsid w:val="68F8619E"/>
    <w:rsid w:val="69190E35"/>
    <w:rsid w:val="695D4175"/>
    <w:rsid w:val="696E5294"/>
    <w:rsid w:val="696F5C56"/>
    <w:rsid w:val="698711F2"/>
    <w:rsid w:val="69B144C0"/>
    <w:rsid w:val="69D9075E"/>
    <w:rsid w:val="69EB091B"/>
    <w:rsid w:val="69FC7DAF"/>
    <w:rsid w:val="6A190E9F"/>
    <w:rsid w:val="6A204084"/>
    <w:rsid w:val="6A7C7395"/>
    <w:rsid w:val="6A8D7CFB"/>
    <w:rsid w:val="6A911B68"/>
    <w:rsid w:val="6ABA44E6"/>
    <w:rsid w:val="6AE0505D"/>
    <w:rsid w:val="6B3D24B0"/>
    <w:rsid w:val="6B4E646B"/>
    <w:rsid w:val="6B8A4FC9"/>
    <w:rsid w:val="6B9619C2"/>
    <w:rsid w:val="6BB93DB1"/>
    <w:rsid w:val="6C156F89"/>
    <w:rsid w:val="6C382C77"/>
    <w:rsid w:val="6CC06065"/>
    <w:rsid w:val="6CDE55CC"/>
    <w:rsid w:val="6CE171C8"/>
    <w:rsid w:val="6CF44DF0"/>
    <w:rsid w:val="6D1B05CF"/>
    <w:rsid w:val="6D1B5580"/>
    <w:rsid w:val="6D543AE1"/>
    <w:rsid w:val="6D6F6026"/>
    <w:rsid w:val="6DAA3701"/>
    <w:rsid w:val="6DB10229"/>
    <w:rsid w:val="6DC42A14"/>
    <w:rsid w:val="6DCD73EF"/>
    <w:rsid w:val="6E496836"/>
    <w:rsid w:val="6EDE6EE4"/>
    <w:rsid w:val="6EDF387E"/>
    <w:rsid w:val="6F1475C7"/>
    <w:rsid w:val="6F1F1ECC"/>
    <w:rsid w:val="6F2008C5"/>
    <w:rsid w:val="6F2D0A52"/>
    <w:rsid w:val="6F2F65B3"/>
    <w:rsid w:val="6F773AB6"/>
    <w:rsid w:val="6FB2689C"/>
    <w:rsid w:val="6FEC0000"/>
    <w:rsid w:val="6FEC1DAE"/>
    <w:rsid w:val="702F1075"/>
    <w:rsid w:val="70575BA3"/>
    <w:rsid w:val="70726114"/>
    <w:rsid w:val="70816532"/>
    <w:rsid w:val="708C5F3C"/>
    <w:rsid w:val="709C6C1C"/>
    <w:rsid w:val="70DF3E63"/>
    <w:rsid w:val="70E662ED"/>
    <w:rsid w:val="70EE5829"/>
    <w:rsid w:val="70FB380C"/>
    <w:rsid w:val="711E068D"/>
    <w:rsid w:val="71294617"/>
    <w:rsid w:val="712F4D0B"/>
    <w:rsid w:val="714748FA"/>
    <w:rsid w:val="71505F55"/>
    <w:rsid w:val="71CD79BE"/>
    <w:rsid w:val="72426F53"/>
    <w:rsid w:val="72482E58"/>
    <w:rsid w:val="729B26B4"/>
    <w:rsid w:val="72E651DB"/>
    <w:rsid w:val="72F34086"/>
    <w:rsid w:val="72FD5719"/>
    <w:rsid w:val="731A33F4"/>
    <w:rsid w:val="73527862"/>
    <w:rsid w:val="73702CF6"/>
    <w:rsid w:val="73780291"/>
    <w:rsid w:val="737A5923"/>
    <w:rsid w:val="73976467"/>
    <w:rsid w:val="739A66D7"/>
    <w:rsid w:val="73D70FC8"/>
    <w:rsid w:val="73D9057D"/>
    <w:rsid w:val="73DC3026"/>
    <w:rsid w:val="73EF3D7E"/>
    <w:rsid w:val="74021175"/>
    <w:rsid w:val="740B77E1"/>
    <w:rsid w:val="742C597A"/>
    <w:rsid w:val="74473C4C"/>
    <w:rsid w:val="7480766C"/>
    <w:rsid w:val="750106CF"/>
    <w:rsid w:val="750758DC"/>
    <w:rsid w:val="75106DEC"/>
    <w:rsid w:val="75241FEA"/>
    <w:rsid w:val="754D7793"/>
    <w:rsid w:val="755519F9"/>
    <w:rsid w:val="755D4CA3"/>
    <w:rsid w:val="75DD3240"/>
    <w:rsid w:val="764741E2"/>
    <w:rsid w:val="76AE3A09"/>
    <w:rsid w:val="76BB24DB"/>
    <w:rsid w:val="76CE1328"/>
    <w:rsid w:val="77387FCF"/>
    <w:rsid w:val="775F37AE"/>
    <w:rsid w:val="77980C32"/>
    <w:rsid w:val="779813AE"/>
    <w:rsid w:val="779F1CDF"/>
    <w:rsid w:val="77A33D83"/>
    <w:rsid w:val="77DE24DF"/>
    <w:rsid w:val="782B3690"/>
    <w:rsid w:val="783C262C"/>
    <w:rsid w:val="788C4C68"/>
    <w:rsid w:val="78AA0A59"/>
    <w:rsid w:val="792C76C0"/>
    <w:rsid w:val="798A36E0"/>
    <w:rsid w:val="79A47B9E"/>
    <w:rsid w:val="79AC7C55"/>
    <w:rsid w:val="7A112D9B"/>
    <w:rsid w:val="7A2111EE"/>
    <w:rsid w:val="7A3739F2"/>
    <w:rsid w:val="7A89759D"/>
    <w:rsid w:val="7ABA652F"/>
    <w:rsid w:val="7ACB27BB"/>
    <w:rsid w:val="7ADE49EA"/>
    <w:rsid w:val="7AE01A4E"/>
    <w:rsid w:val="7B2A7C2F"/>
    <w:rsid w:val="7B3A2568"/>
    <w:rsid w:val="7B5D2A79"/>
    <w:rsid w:val="7B7C78BF"/>
    <w:rsid w:val="7BC2430B"/>
    <w:rsid w:val="7C223C67"/>
    <w:rsid w:val="7C906552"/>
    <w:rsid w:val="7D1A2EB0"/>
    <w:rsid w:val="7D221406"/>
    <w:rsid w:val="7D6A6A08"/>
    <w:rsid w:val="7D91325F"/>
    <w:rsid w:val="7DD55F04"/>
    <w:rsid w:val="7DE95376"/>
    <w:rsid w:val="7DF369FE"/>
    <w:rsid w:val="7DF92DFC"/>
    <w:rsid w:val="7E07040C"/>
    <w:rsid w:val="7E1A78D3"/>
    <w:rsid w:val="7E54178D"/>
    <w:rsid w:val="7EAA17B2"/>
    <w:rsid w:val="7F481844"/>
    <w:rsid w:val="7F973542"/>
    <w:rsid w:val="7FA813C2"/>
    <w:rsid w:val="7FC56178"/>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Layout w:type="fixed"/>
      <w:tblCellMar>
        <w:top w:w="0" w:type="dxa"/>
        <w:left w:w="108" w:type="dxa"/>
        <w:bottom w:w="0" w:type="dxa"/>
        <w:right w:w="108" w:type="dxa"/>
      </w:tblCellMar>
    </w:tblPr>
  </w:style>
  <w:style w:type="paragraph" w:styleId="4">
    <w:name w:val="Normal Indent"/>
    <w:basedOn w:val="1"/>
    <w:link w:val="6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table of authorities"/>
    <w:basedOn w:val="1"/>
    <w:next w:val="1"/>
    <w:qFormat/>
    <w:uiPriority w:val="0"/>
    <w:pPr>
      <w:ind w:left="420" w:leftChars="200"/>
    </w:pPr>
    <w:rPr>
      <w:szCs w:val="20"/>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9"/>
    <w:qFormat/>
    <w:uiPriority w:val="0"/>
    <w:pPr>
      <w:shd w:val="clear" w:color="auto" w:fill="000080"/>
    </w:pPr>
  </w:style>
  <w:style w:type="paragraph" w:styleId="16">
    <w:name w:val="annotation text"/>
    <w:basedOn w:val="1"/>
    <w:link w:val="185"/>
    <w:qFormat/>
    <w:uiPriority w:val="99"/>
    <w:pPr>
      <w:jc w:val="left"/>
    </w:pPr>
  </w:style>
  <w:style w:type="paragraph" w:styleId="17">
    <w:name w:val="Body Text 3"/>
    <w:basedOn w:val="1"/>
    <w:link w:val="240"/>
    <w:qFormat/>
    <w:uiPriority w:val="0"/>
    <w:pPr>
      <w:spacing w:after="120"/>
    </w:pPr>
    <w:rPr>
      <w:sz w:val="16"/>
      <w:szCs w:val="16"/>
    </w:rPr>
  </w:style>
  <w:style w:type="paragraph" w:styleId="18">
    <w:name w:val="Body Text"/>
    <w:basedOn w:val="1"/>
    <w:link w:val="241"/>
    <w:qFormat/>
    <w:uiPriority w:val="0"/>
    <w:pPr>
      <w:tabs>
        <w:tab w:val="left" w:pos="567"/>
      </w:tabs>
      <w:spacing w:before="120" w:line="22" w:lineRule="atLeast"/>
    </w:pPr>
    <w:rPr>
      <w:rFonts w:ascii="宋体" w:hAnsi="宋体"/>
      <w:sz w:val="24"/>
    </w:rPr>
  </w:style>
  <w:style w:type="paragraph" w:styleId="19">
    <w:name w:val="Body Text Indent"/>
    <w:basedOn w:val="1"/>
    <w:next w:val="1"/>
    <w:link w:val="70"/>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5"/>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2"/>
    <w:qFormat/>
    <w:uiPriority w:val="0"/>
    <w:pPr>
      <w:ind w:left="100" w:leftChars="2500"/>
    </w:pPr>
    <w:rPr>
      <w:rFonts w:ascii="仿宋_GB2312" w:hAnsi="宋体" w:eastAsia="仿宋_GB2312"/>
      <w:color w:val="000000"/>
      <w:sz w:val="24"/>
    </w:rPr>
  </w:style>
  <w:style w:type="paragraph" w:styleId="27">
    <w:name w:val="Body Text Indent 2"/>
    <w:basedOn w:val="1"/>
    <w:link w:val="243"/>
    <w:qFormat/>
    <w:uiPriority w:val="0"/>
    <w:pPr>
      <w:ind w:firstLine="480" w:firstLineChars="200"/>
    </w:pPr>
    <w:rPr>
      <w:rFonts w:ascii="仿宋_GB2312" w:eastAsia="仿宋_GB2312"/>
      <w:sz w:val="24"/>
    </w:rPr>
  </w:style>
  <w:style w:type="paragraph" w:styleId="28">
    <w:name w:val="Balloon Text"/>
    <w:basedOn w:val="1"/>
    <w:link w:val="244"/>
    <w:qFormat/>
    <w:uiPriority w:val="0"/>
    <w:rPr>
      <w:sz w:val="18"/>
      <w:szCs w:val="18"/>
    </w:rPr>
  </w:style>
  <w:style w:type="paragraph" w:styleId="29">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Body Text 2"/>
    <w:basedOn w:val="1"/>
    <w:qFormat/>
    <w:uiPriority w:val="0"/>
    <w:pPr>
      <w:jc w:val="center"/>
    </w:pPr>
    <w:rPr>
      <w:b/>
      <w:bCs/>
      <w:sz w:val="72"/>
    </w:rPr>
  </w:style>
  <w:style w:type="paragraph" w:styleId="38">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next w:val="1"/>
    <w:link w:val="191"/>
    <w:qFormat/>
    <w:uiPriority w:val="0"/>
    <w:pPr>
      <w:jc w:val="center"/>
      <w:outlineLvl w:val="0"/>
    </w:pPr>
    <w:rPr>
      <w:b/>
      <w:sz w:val="32"/>
      <w:szCs w:val="20"/>
    </w:rPr>
  </w:style>
  <w:style w:type="paragraph" w:styleId="42">
    <w:name w:val="annotation subject"/>
    <w:basedOn w:val="16"/>
    <w:next w:val="16"/>
    <w:link w:val="247"/>
    <w:qFormat/>
    <w:uiPriority w:val="0"/>
    <w:rPr>
      <w:b/>
      <w:bCs/>
    </w:rPr>
  </w:style>
  <w:style w:type="paragraph" w:styleId="43">
    <w:name w:val="Body Text First Indent"/>
    <w:basedOn w:val="18"/>
    <w:next w:val="1"/>
    <w:qFormat/>
    <w:uiPriority w:val="99"/>
    <w:pPr>
      <w:autoSpaceDE w:val="0"/>
      <w:autoSpaceDN w:val="0"/>
      <w:adjustRightInd w:val="0"/>
      <w:spacing w:after="120"/>
      <w:ind w:left="1418" w:hanging="567"/>
      <w:jc w:val="left"/>
    </w:pPr>
    <w:rPr>
      <w:rFonts w:eastAsia="PMingLiU"/>
      <w:lang w:eastAsia="zh-TW"/>
    </w:rPr>
  </w:style>
  <w:style w:type="paragraph" w:styleId="44">
    <w:name w:val="Body Text First Indent 2"/>
    <w:basedOn w:val="19"/>
    <w:next w:val="1"/>
    <w:link w:val="248"/>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NavPane"/>
    <w:basedOn w:val="1"/>
    <w:qFormat/>
    <w:locked/>
    <w:uiPriority w:val="0"/>
    <w:pPr>
      <w:shd w:val="clear" w:color="auto" w:fill="000080"/>
      <w:textAlignment w:val="baseline"/>
    </w:pPr>
    <w:rPr>
      <w:rFonts w:ascii="Calibri" w:hAnsi="Calibri"/>
    </w:rPr>
  </w:style>
  <w:style w:type="character" w:customStyle="1" w:styleId="57">
    <w:name w:val="标题 2 字符"/>
    <w:link w:val="3"/>
    <w:qFormat/>
    <w:uiPriority w:val="0"/>
    <w:rPr>
      <w:rFonts w:ascii="Arial" w:hAnsi="Arial" w:eastAsia="黑体"/>
      <w:b/>
      <w:sz w:val="30"/>
      <w:lang w:val="en-US" w:eastAsia="zh-CN" w:bidi="ar-SA"/>
    </w:rPr>
  </w:style>
  <w:style w:type="character" w:customStyle="1" w:styleId="58">
    <w:name w:val="标题 3 字符"/>
    <w:link w:val="5"/>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8"/>
    <w:qFormat/>
    <w:uiPriority w:val="0"/>
  </w:style>
  <w:style w:type="character" w:customStyle="1" w:styleId="64">
    <w:name w:val="locality"/>
    <w:basedOn w:val="48"/>
    <w:qFormat/>
    <w:uiPriority w:val="0"/>
  </w:style>
  <w:style w:type="character" w:customStyle="1" w:styleId="65">
    <w:name w:val="正文缩进 字符"/>
    <w:link w:val="4"/>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8"/>
    <w:qFormat/>
    <w:uiPriority w:val="0"/>
  </w:style>
  <w:style w:type="character" w:customStyle="1" w:styleId="70">
    <w:name w:val="正文文本缩进 字符"/>
    <w:link w:val="19"/>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表段落 字符"/>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字符"/>
    <w:link w:val="30"/>
    <w:qFormat/>
    <w:uiPriority w:val="99"/>
    <w:rPr>
      <w:rFonts w:eastAsia="宋体"/>
      <w:kern w:val="2"/>
      <w:sz w:val="18"/>
      <w:szCs w:val="18"/>
      <w:lang w:val="en-US" w:eastAsia="zh-CN" w:bidi="ar-SA"/>
    </w:rPr>
  </w:style>
  <w:style w:type="character" w:customStyle="1" w:styleId="80">
    <w:name w:val="chanpin拷贝"/>
    <w:basedOn w:val="48"/>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2"/>
      </w:numPr>
    </w:pPr>
  </w:style>
  <w:style w:type="paragraph" w:customStyle="1" w:styleId="91">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5"/>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1"/>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5"/>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6"/>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字符"/>
    <w:link w:val="29"/>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字符1"/>
    <w:link w:val="16"/>
    <w:qFormat/>
    <w:uiPriority w:val="99"/>
    <w:rPr>
      <w:kern w:val="2"/>
      <w:sz w:val="21"/>
      <w:szCs w:val="24"/>
    </w:rPr>
  </w:style>
  <w:style w:type="paragraph" w:customStyle="1" w:styleId="186">
    <w:name w:val="标题1-附件"/>
    <w:basedOn w:val="2"/>
    <w:qFormat/>
    <w:uiPriority w:val="0"/>
    <w:pPr>
      <w:jc w:val="left"/>
    </w:pPr>
    <w:rPr>
      <w:sz w:val="24"/>
      <w:szCs w:val="24"/>
    </w:rPr>
  </w:style>
  <w:style w:type="paragraph" w:customStyle="1" w:styleId="187">
    <w:name w:val="正文小标题"/>
    <w:basedOn w:val="1"/>
    <w:next w:val="4"/>
    <w:link w:val="1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4"/>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字符"/>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8"/>
    <w:link w:val="24"/>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字符"/>
    <w:basedOn w:val="48"/>
    <w:link w:val="2"/>
    <w:qFormat/>
    <w:uiPriority w:val="0"/>
    <w:rPr>
      <w:rFonts w:ascii="宋体"/>
      <w:b/>
      <w:kern w:val="44"/>
      <w:sz w:val="32"/>
    </w:rPr>
  </w:style>
  <w:style w:type="character" w:customStyle="1" w:styleId="233">
    <w:name w:val="标题 4 字符"/>
    <w:basedOn w:val="48"/>
    <w:link w:val="6"/>
    <w:qFormat/>
    <w:uiPriority w:val="0"/>
    <w:rPr>
      <w:rFonts w:ascii="Arial" w:hAnsi="Arial" w:eastAsia="黑体"/>
      <w:b/>
      <w:sz w:val="28"/>
    </w:rPr>
  </w:style>
  <w:style w:type="character" w:customStyle="1" w:styleId="234">
    <w:name w:val="标题 5 字符"/>
    <w:basedOn w:val="48"/>
    <w:link w:val="7"/>
    <w:qFormat/>
    <w:uiPriority w:val="0"/>
    <w:rPr>
      <w:b/>
      <w:sz w:val="28"/>
    </w:rPr>
  </w:style>
  <w:style w:type="character" w:customStyle="1" w:styleId="235">
    <w:name w:val="标题 6 字符"/>
    <w:basedOn w:val="48"/>
    <w:link w:val="8"/>
    <w:qFormat/>
    <w:uiPriority w:val="0"/>
    <w:rPr>
      <w:rFonts w:ascii="Arial" w:hAnsi="Arial" w:eastAsia="黑体"/>
      <w:b/>
      <w:sz w:val="24"/>
    </w:rPr>
  </w:style>
  <w:style w:type="character" w:customStyle="1" w:styleId="236">
    <w:name w:val="标题 7 字符"/>
    <w:basedOn w:val="48"/>
    <w:link w:val="9"/>
    <w:qFormat/>
    <w:uiPriority w:val="0"/>
    <w:rPr>
      <w:b/>
      <w:sz w:val="24"/>
    </w:rPr>
  </w:style>
  <w:style w:type="character" w:customStyle="1" w:styleId="237">
    <w:name w:val="标题 8 字符"/>
    <w:basedOn w:val="48"/>
    <w:link w:val="10"/>
    <w:qFormat/>
    <w:uiPriority w:val="0"/>
    <w:rPr>
      <w:rFonts w:ascii="Arial" w:hAnsi="Arial" w:eastAsia="黑体"/>
      <w:sz w:val="24"/>
    </w:rPr>
  </w:style>
  <w:style w:type="character" w:customStyle="1" w:styleId="238">
    <w:name w:val="标题 9 字符"/>
    <w:basedOn w:val="48"/>
    <w:link w:val="11"/>
    <w:qFormat/>
    <w:uiPriority w:val="0"/>
    <w:rPr>
      <w:rFonts w:ascii="Arial" w:hAnsi="Arial" w:eastAsia="黑体"/>
      <w:sz w:val="21"/>
    </w:rPr>
  </w:style>
  <w:style w:type="character" w:customStyle="1" w:styleId="239">
    <w:name w:val="文档结构图 字符"/>
    <w:basedOn w:val="48"/>
    <w:link w:val="15"/>
    <w:qFormat/>
    <w:uiPriority w:val="0"/>
    <w:rPr>
      <w:kern w:val="2"/>
      <w:sz w:val="21"/>
      <w:szCs w:val="24"/>
      <w:shd w:val="clear" w:color="auto" w:fill="000080"/>
    </w:rPr>
  </w:style>
  <w:style w:type="character" w:customStyle="1" w:styleId="240">
    <w:name w:val="正文文本 3 字符"/>
    <w:basedOn w:val="48"/>
    <w:link w:val="17"/>
    <w:qFormat/>
    <w:uiPriority w:val="0"/>
    <w:rPr>
      <w:kern w:val="2"/>
      <w:sz w:val="16"/>
      <w:szCs w:val="16"/>
    </w:rPr>
  </w:style>
  <w:style w:type="character" w:customStyle="1" w:styleId="241">
    <w:name w:val="正文文本 字符"/>
    <w:basedOn w:val="48"/>
    <w:link w:val="18"/>
    <w:qFormat/>
    <w:uiPriority w:val="0"/>
    <w:rPr>
      <w:rFonts w:ascii="宋体" w:hAnsi="宋体"/>
      <w:kern w:val="2"/>
      <w:sz w:val="24"/>
      <w:szCs w:val="24"/>
    </w:rPr>
  </w:style>
  <w:style w:type="character" w:customStyle="1" w:styleId="242">
    <w:name w:val="日期 字符"/>
    <w:basedOn w:val="48"/>
    <w:link w:val="26"/>
    <w:qFormat/>
    <w:uiPriority w:val="0"/>
    <w:rPr>
      <w:rFonts w:ascii="仿宋_GB2312" w:hAnsi="宋体" w:eastAsia="仿宋_GB2312"/>
      <w:color w:val="000000"/>
      <w:kern w:val="2"/>
      <w:sz w:val="24"/>
      <w:szCs w:val="24"/>
    </w:rPr>
  </w:style>
  <w:style w:type="character" w:customStyle="1" w:styleId="243">
    <w:name w:val="正文文本缩进 2 字符"/>
    <w:basedOn w:val="48"/>
    <w:link w:val="27"/>
    <w:qFormat/>
    <w:uiPriority w:val="0"/>
    <w:rPr>
      <w:rFonts w:ascii="仿宋_GB2312" w:eastAsia="仿宋_GB2312"/>
      <w:kern w:val="2"/>
      <w:sz w:val="24"/>
      <w:szCs w:val="24"/>
    </w:rPr>
  </w:style>
  <w:style w:type="character" w:customStyle="1" w:styleId="244">
    <w:name w:val="批注框文本 字符"/>
    <w:basedOn w:val="48"/>
    <w:link w:val="28"/>
    <w:qFormat/>
    <w:uiPriority w:val="0"/>
    <w:rPr>
      <w:kern w:val="2"/>
      <w:sz w:val="18"/>
      <w:szCs w:val="18"/>
    </w:rPr>
  </w:style>
  <w:style w:type="character" w:customStyle="1" w:styleId="245">
    <w:name w:val="正文文本缩进 3 字符"/>
    <w:basedOn w:val="48"/>
    <w:link w:val="34"/>
    <w:qFormat/>
    <w:uiPriority w:val="0"/>
    <w:rPr>
      <w:rFonts w:ascii="宋体"/>
      <w:sz w:val="24"/>
    </w:rPr>
  </w:style>
  <w:style w:type="character" w:customStyle="1" w:styleId="246">
    <w:name w:val="HTML 预设格式 字符"/>
    <w:basedOn w:val="48"/>
    <w:link w:val="38"/>
    <w:qFormat/>
    <w:uiPriority w:val="0"/>
    <w:rPr>
      <w:rFonts w:ascii="宋体" w:hAnsi="宋体" w:cs="宋体"/>
      <w:sz w:val="24"/>
      <w:szCs w:val="24"/>
    </w:rPr>
  </w:style>
  <w:style w:type="character" w:customStyle="1" w:styleId="247">
    <w:name w:val="批注主题 字符"/>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8">
    <w:name w:val="正文文本首行缩进 2 字符"/>
    <w:basedOn w:val="70"/>
    <w:link w:val="44"/>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1">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Layout w:type="fixed"/>
      <w:tblCellMar>
        <w:top w:w="0" w:type="dxa"/>
        <w:left w:w="0" w:type="dxa"/>
        <w:bottom w:w="0" w:type="dxa"/>
        <w:right w:w="0" w:type="dxa"/>
      </w:tblCellMar>
    </w:tblPr>
  </w:style>
  <w:style w:type="paragraph" w:customStyle="1" w:styleId="252">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53">
    <w:name w:val="！正文"/>
    <w:basedOn w:val="1"/>
    <w:qFormat/>
    <w:uiPriority w:val="0"/>
    <w:pPr>
      <w:spacing w:beforeLines="50" w:line="360" w:lineRule="auto"/>
      <w:ind w:firstLine="200" w:firstLineChars="200"/>
      <w:jc w:val="left"/>
    </w:pPr>
    <w:rPr>
      <w:kern w:val="0"/>
      <w:sz w:val="24"/>
      <w:szCs w:val="28"/>
    </w:rPr>
  </w:style>
  <w:style w:type="paragraph" w:customStyle="1" w:styleId="254">
    <w:name w:val="样式 标题 3 + (中文) 黑体 小四 非加粗 段前: 7.8 磅 段后: 0 磅 行距: 固定值 20 磅"/>
    <w:basedOn w:val="5"/>
    <w:qFormat/>
    <w:uiPriority w:val="0"/>
    <w:pPr>
      <w:spacing w:before="0" w:after="0" w:line="400" w:lineRule="exact"/>
    </w:pPr>
    <w:rPr>
      <w:rFonts w:eastAsia="黑体"/>
      <w:b w:val="0"/>
    </w:rPr>
  </w:style>
  <w:style w:type="character" w:customStyle="1" w:styleId="255">
    <w:name w:val="font11"/>
    <w:basedOn w:val="48"/>
    <w:qFormat/>
    <w:uiPriority w:val="0"/>
    <w:rPr>
      <w:rFonts w:ascii="Arial" w:hAnsi="Arial" w:cs="Arial"/>
      <w:color w:val="000000"/>
      <w:sz w:val="20"/>
      <w:szCs w:val="20"/>
      <w:u w:val="none"/>
    </w:rPr>
  </w:style>
  <w:style w:type="character" w:customStyle="1" w:styleId="256">
    <w:name w:val="font21"/>
    <w:basedOn w:val="48"/>
    <w:qFormat/>
    <w:uiPriority w:val="0"/>
    <w:rPr>
      <w:rFonts w:hint="eastAsia" w:ascii="新宋体" w:hAnsi="新宋体" w:eastAsia="新宋体" w:cs="新宋体"/>
      <w:color w:val="000000"/>
      <w:sz w:val="20"/>
      <w:szCs w:val="20"/>
      <w:u w:val="none"/>
    </w:rPr>
  </w:style>
  <w:style w:type="character" w:customStyle="1" w:styleId="257">
    <w:name w:val="font31"/>
    <w:basedOn w:val="48"/>
    <w:qFormat/>
    <w:uiPriority w:val="0"/>
    <w:rPr>
      <w:rFonts w:hint="eastAsia" w:ascii="宋体" w:hAnsi="宋体" w:eastAsia="宋体" w:cs="宋体"/>
      <w:color w:val="000000"/>
      <w:sz w:val="20"/>
      <w:szCs w:val="20"/>
      <w:u w:val="none"/>
    </w:rPr>
  </w:style>
  <w:style w:type="character" w:customStyle="1" w:styleId="258">
    <w:name w:val="font61"/>
    <w:basedOn w:val="48"/>
    <w:qFormat/>
    <w:uiPriority w:val="0"/>
    <w:rPr>
      <w:rFonts w:hint="default" w:ascii="ËÎÌå" w:hAnsi="ËÎÌå" w:eastAsia="ËÎÌå" w:cs="ËÎÌå"/>
      <w:color w:val="000000"/>
      <w:sz w:val="20"/>
      <w:szCs w:val="20"/>
      <w:u w:val="none"/>
    </w:rPr>
  </w:style>
  <w:style w:type="character" w:customStyle="1" w:styleId="259">
    <w:name w:val="font01"/>
    <w:basedOn w:val="48"/>
    <w:qFormat/>
    <w:uiPriority w:val="0"/>
    <w:rPr>
      <w:rFonts w:hint="default" w:ascii="Times New Roman" w:hAnsi="Times New Roman" w:cs="Times New Roman"/>
      <w:color w:val="000000"/>
      <w:sz w:val="20"/>
      <w:szCs w:val="20"/>
      <w:u w:val="none"/>
    </w:rPr>
  </w:style>
  <w:style w:type="paragraph" w:customStyle="1" w:styleId="260">
    <w:name w:val="列出段落3"/>
    <w:basedOn w:val="1"/>
    <w:qFormat/>
    <w:uiPriority w:val="99"/>
    <w:pPr>
      <w:ind w:firstLine="420" w:firstLineChars="200"/>
    </w:pPr>
    <w:rPr>
      <w:szCs w:val="21"/>
    </w:rPr>
  </w:style>
  <w:style w:type="paragraph" w:customStyle="1" w:styleId="261">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262">
    <w:name w:val="NormalCharacter"/>
    <w:qFormat/>
    <w:uiPriority w:val="0"/>
    <w:rPr>
      <w:rFonts w:ascii="Times New Roman" w:hAnsi="Times New Roman" w:eastAsia="宋体" w:cs="Times New Roman"/>
      <w:kern w:val="2"/>
      <w:sz w:val="21"/>
      <w:szCs w:val="24"/>
      <w:lang w:val="en-US" w:eastAsia="zh-CN" w:bidi="ar-SA"/>
    </w:rPr>
  </w:style>
  <w:style w:type="paragraph" w:customStyle="1" w:styleId="263">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64">
    <w:name w:val="Char Char12"/>
    <w:qFormat/>
    <w:uiPriority w:val="0"/>
    <w:rPr>
      <w:rFonts w:ascii="Times New Roman" w:hAnsi="Times New Roman" w:eastAsia="黑体" w:cs="Times New Roman"/>
      <w:kern w:val="0"/>
      <w:sz w:val="30"/>
      <w:szCs w:val="20"/>
      <w:lang w:bidi="ar-SA"/>
    </w:rPr>
  </w:style>
  <w:style w:type="paragraph" w:customStyle="1" w:styleId="265">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50.xml"/><Relationship Id="rId98" Type="http://schemas.openxmlformats.org/officeDocument/2006/relationships/header" Target="header47.xml"/><Relationship Id="rId97" Type="http://schemas.openxmlformats.org/officeDocument/2006/relationships/footer" Target="footer49.xml"/><Relationship Id="rId96" Type="http://schemas.openxmlformats.org/officeDocument/2006/relationships/header" Target="header46.xml"/><Relationship Id="rId95" Type="http://schemas.openxmlformats.org/officeDocument/2006/relationships/footer" Target="footer48.xml"/><Relationship Id="rId94" Type="http://schemas.openxmlformats.org/officeDocument/2006/relationships/header" Target="header45.xml"/><Relationship Id="rId93" Type="http://schemas.openxmlformats.org/officeDocument/2006/relationships/footer" Target="footer47.xml"/><Relationship Id="rId92" Type="http://schemas.openxmlformats.org/officeDocument/2006/relationships/header" Target="header44.xml"/><Relationship Id="rId91" Type="http://schemas.openxmlformats.org/officeDocument/2006/relationships/footer" Target="footer46.xml"/><Relationship Id="rId90" Type="http://schemas.openxmlformats.org/officeDocument/2006/relationships/header" Target="header43.xml"/><Relationship Id="rId9" Type="http://schemas.openxmlformats.org/officeDocument/2006/relationships/footer" Target="footer5.xml"/><Relationship Id="rId89" Type="http://schemas.openxmlformats.org/officeDocument/2006/relationships/footer" Target="footer45.xml"/><Relationship Id="rId88" Type="http://schemas.openxmlformats.org/officeDocument/2006/relationships/header" Target="header42.xml"/><Relationship Id="rId87" Type="http://schemas.openxmlformats.org/officeDocument/2006/relationships/footer" Target="footer44.xml"/><Relationship Id="rId86" Type="http://schemas.openxmlformats.org/officeDocument/2006/relationships/header" Target="header41.xml"/><Relationship Id="rId85" Type="http://schemas.openxmlformats.org/officeDocument/2006/relationships/footer" Target="footer43.xml"/><Relationship Id="rId84" Type="http://schemas.openxmlformats.org/officeDocument/2006/relationships/header" Target="header40.xml"/><Relationship Id="rId83" Type="http://schemas.openxmlformats.org/officeDocument/2006/relationships/footer" Target="footer42.xml"/><Relationship Id="rId82" Type="http://schemas.openxmlformats.org/officeDocument/2006/relationships/header" Target="header39.xml"/><Relationship Id="rId81" Type="http://schemas.openxmlformats.org/officeDocument/2006/relationships/footer" Target="footer41.xml"/><Relationship Id="rId80" Type="http://schemas.openxmlformats.org/officeDocument/2006/relationships/header" Target="header38.xml"/><Relationship Id="rId8" Type="http://schemas.openxmlformats.org/officeDocument/2006/relationships/footer" Target="footer4.xml"/><Relationship Id="rId79" Type="http://schemas.openxmlformats.org/officeDocument/2006/relationships/footer" Target="footer40.xml"/><Relationship Id="rId78" Type="http://schemas.openxmlformats.org/officeDocument/2006/relationships/header" Target="header37.xml"/><Relationship Id="rId77" Type="http://schemas.openxmlformats.org/officeDocument/2006/relationships/footer" Target="footer39.xml"/><Relationship Id="rId76" Type="http://schemas.openxmlformats.org/officeDocument/2006/relationships/header" Target="header36.xml"/><Relationship Id="rId75" Type="http://schemas.openxmlformats.org/officeDocument/2006/relationships/footer" Target="footer38.xml"/><Relationship Id="rId74" Type="http://schemas.openxmlformats.org/officeDocument/2006/relationships/header" Target="header35.xml"/><Relationship Id="rId73" Type="http://schemas.openxmlformats.org/officeDocument/2006/relationships/footer" Target="footer37.xml"/><Relationship Id="rId72" Type="http://schemas.openxmlformats.org/officeDocument/2006/relationships/header" Target="header34.xml"/><Relationship Id="rId71" Type="http://schemas.openxmlformats.org/officeDocument/2006/relationships/footer" Target="footer36.xml"/><Relationship Id="rId70" Type="http://schemas.openxmlformats.org/officeDocument/2006/relationships/header" Target="header33.xml"/><Relationship Id="rId7" Type="http://schemas.openxmlformats.org/officeDocument/2006/relationships/footer" Target="footer3.xml"/><Relationship Id="rId69" Type="http://schemas.openxmlformats.org/officeDocument/2006/relationships/footer" Target="footer35.xml"/><Relationship Id="rId68" Type="http://schemas.openxmlformats.org/officeDocument/2006/relationships/header" Target="header32.xml"/><Relationship Id="rId67" Type="http://schemas.openxmlformats.org/officeDocument/2006/relationships/footer" Target="footer34.xml"/><Relationship Id="rId66" Type="http://schemas.openxmlformats.org/officeDocument/2006/relationships/header" Target="header31.xml"/><Relationship Id="rId65" Type="http://schemas.openxmlformats.org/officeDocument/2006/relationships/footer" Target="footer33.xml"/><Relationship Id="rId64" Type="http://schemas.openxmlformats.org/officeDocument/2006/relationships/header" Target="header30.xml"/><Relationship Id="rId63" Type="http://schemas.openxmlformats.org/officeDocument/2006/relationships/footer" Target="footer32.xml"/><Relationship Id="rId62" Type="http://schemas.openxmlformats.org/officeDocument/2006/relationships/header" Target="header29.xml"/><Relationship Id="rId61" Type="http://schemas.openxmlformats.org/officeDocument/2006/relationships/footer" Target="footer31.xml"/><Relationship Id="rId60" Type="http://schemas.openxmlformats.org/officeDocument/2006/relationships/header" Target="header28.xml"/><Relationship Id="rId6" Type="http://schemas.openxmlformats.org/officeDocument/2006/relationships/footer" Target="footer2.xml"/><Relationship Id="rId59" Type="http://schemas.openxmlformats.org/officeDocument/2006/relationships/footer" Target="footer30.xml"/><Relationship Id="rId58" Type="http://schemas.openxmlformats.org/officeDocument/2006/relationships/header" Target="header27.xml"/><Relationship Id="rId57" Type="http://schemas.openxmlformats.org/officeDocument/2006/relationships/footer" Target="footer29.xml"/><Relationship Id="rId56" Type="http://schemas.openxmlformats.org/officeDocument/2006/relationships/header" Target="header26.xml"/><Relationship Id="rId55" Type="http://schemas.openxmlformats.org/officeDocument/2006/relationships/footer" Target="footer28.xml"/><Relationship Id="rId54" Type="http://schemas.openxmlformats.org/officeDocument/2006/relationships/header" Target="header25.xml"/><Relationship Id="rId53" Type="http://schemas.openxmlformats.org/officeDocument/2006/relationships/footer" Target="footer27.xml"/><Relationship Id="rId52" Type="http://schemas.openxmlformats.org/officeDocument/2006/relationships/header" Target="header24.xml"/><Relationship Id="rId51" Type="http://schemas.openxmlformats.org/officeDocument/2006/relationships/footer" Target="footer26.xml"/><Relationship Id="rId50" Type="http://schemas.openxmlformats.org/officeDocument/2006/relationships/header" Target="header23.xml"/><Relationship Id="rId5" Type="http://schemas.openxmlformats.org/officeDocument/2006/relationships/footer" Target="footer1.xml"/><Relationship Id="rId49" Type="http://schemas.openxmlformats.org/officeDocument/2006/relationships/footer" Target="footer25.xml"/><Relationship Id="rId48" Type="http://schemas.openxmlformats.org/officeDocument/2006/relationships/header" Target="header22.xml"/><Relationship Id="rId47" Type="http://schemas.openxmlformats.org/officeDocument/2006/relationships/footer" Target="footer24.xml"/><Relationship Id="rId46" Type="http://schemas.openxmlformats.org/officeDocument/2006/relationships/header" Target="header21.xml"/><Relationship Id="rId45" Type="http://schemas.openxmlformats.org/officeDocument/2006/relationships/footer" Target="footer23.xml"/><Relationship Id="rId44" Type="http://schemas.openxmlformats.org/officeDocument/2006/relationships/header" Target="header20.xml"/><Relationship Id="rId43" Type="http://schemas.openxmlformats.org/officeDocument/2006/relationships/footer" Target="footer22.xml"/><Relationship Id="rId42" Type="http://schemas.openxmlformats.org/officeDocument/2006/relationships/header" Target="header19.xml"/><Relationship Id="rId41" Type="http://schemas.openxmlformats.org/officeDocument/2006/relationships/footer" Target="footer21.xml"/><Relationship Id="rId40" Type="http://schemas.openxmlformats.org/officeDocument/2006/relationships/header" Target="header18.xml"/><Relationship Id="rId4" Type="http://schemas.openxmlformats.org/officeDocument/2006/relationships/header" Target="header2.xml"/><Relationship Id="rId39" Type="http://schemas.openxmlformats.org/officeDocument/2006/relationships/footer" Target="footer20.xml"/><Relationship Id="rId38" Type="http://schemas.openxmlformats.org/officeDocument/2006/relationships/header" Target="header17.xml"/><Relationship Id="rId37" Type="http://schemas.openxmlformats.org/officeDocument/2006/relationships/footer" Target="footer19.xml"/><Relationship Id="rId36" Type="http://schemas.openxmlformats.org/officeDocument/2006/relationships/header" Target="header16.xml"/><Relationship Id="rId35" Type="http://schemas.openxmlformats.org/officeDocument/2006/relationships/footer" Target="footer18.xml"/><Relationship Id="rId34" Type="http://schemas.openxmlformats.org/officeDocument/2006/relationships/header" Target="header15.xml"/><Relationship Id="rId33" Type="http://schemas.openxmlformats.org/officeDocument/2006/relationships/footer" Target="footer17.xml"/><Relationship Id="rId32" Type="http://schemas.openxmlformats.org/officeDocument/2006/relationships/header" Target="header14.xml"/><Relationship Id="rId31" Type="http://schemas.openxmlformats.org/officeDocument/2006/relationships/footer" Target="footer16.xml"/><Relationship Id="rId30" Type="http://schemas.openxmlformats.org/officeDocument/2006/relationships/header" Target="header13.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header" Target="header12.xml"/><Relationship Id="rId27" Type="http://schemas.openxmlformats.org/officeDocument/2006/relationships/footer" Target="footer14.xml"/><Relationship Id="rId26" Type="http://schemas.openxmlformats.org/officeDocument/2006/relationships/header" Target="header11.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3" Type="http://schemas.openxmlformats.org/officeDocument/2006/relationships/fontTable" Target="fontTable.xml"/><Relationship Id="rId152" Type="http://schemas.openxmlformats.org/officeDocument/2006/relationships/numbering" Target="numbering.xml"/><Relationship Id="rId151" Type="http://schemas.openxmlformats.org/officeDocument/2006/relationships/customXml" Target="../customXml/item1.xml"/><Relationship Id="rId150" Type="http://schemas.openxmlformats.org/officeDocument/2006/relationships/image" Target="media/image16.png"/><Relationship Id="rId15" Type="http://schemas.openxmlformats.org/officeDocument/2006/relationships/footer" Target="footer8.xml"/><Relationship Id="rId149" Type="http://schemas.openxmlformats.org/officeDocument/2006/relationships/image" Target="media/image15.png"/><Relationship Id="rId148" Type="http://schemas.openxmlformats.org/officeDocument/2006/relationships/image" Target="media/image14.png"/><Relationship Id="rId147" Type="http://schemas.openxmlformats.org/officeDocument/2006/relationships/image" Target="media/image13.png"/><Relationship Id="rId146" Type="http://schemas.openxmlformats.org/officeDocument/2006/relationships/image" Target="media/image12.png"/><Relationship Id="rId145" Type="http://schemas.openxmlformats.org/officeDocument/2006/relationships/image" Target="media/image11.png"/><Relationship Id="rId144" Type="http://schemas.openxmlformats.org/officeDocument/2006/relationships/image" Target="media/image10.png"/><Relationship Id="rId143" Type="http://schemas.openxmlformats.org/officeDocument/2006/relationships/image" Target="media/image9.png"/><Relationship Id="rId142" Type="http://schemas.openxmlformats.org/officeDocument/2006/relationships/image" Target="media/image8.png"/><Relationship Id="rId141" Type="http://schemas.openxmlformats.org/officeDocument/2006/relationships/image" Target="media/image7.png"/><Relationship Id="rId140" Type="http://schemas.openxmlformats.org/officeDocument/2006/relationships/image" Target="media/image6.png"/><Relationship Id="rId14" Type="http://schemas.openxmlformats.org/officeDocument/2006/relationships/header" Target="header5.xml"/><Relationship Id="rId139" Type="http://schemas.openxmlformats.org/officeDocument/2006/relationships/image" Target="media/image5.png"/><Relationship Id="rId138" Type="http://schemas.openxmlformats.org/officeDocument/2006/relationships/image" Target="media/image4.png"/><Relationship Id="rId137" Type="http://schemas.openxmlformats.org/officeDocument/2006/relationships/image" Target="media/image3.png"/><Relationship Id="rId136" Type="http://schemas.openxmlformats.org/officeDocument/2006/relationships/image" Target="media/image2.png"/><Relationship Id="rId135" Type="http://schemas.openxmlformats.org/officeDocument/2006/relationships/image" Target="media/image1.png"/><Relationship Id="rId134" Type="http://schemas.openxmlformats.org/officeDocument/2006/relationships/theme" Target="theme/theme1.xml"/><Relationship Id="rId133" Type="http://schemas.openxmlformats.org/officeDocument/2006/relationships/footer" Target="footer68.xml"/><Relationship Id="rId132" Type="http://schemas.openxmlformats.org/officeDocument/2006/relationships/footer" Target="footer67.xml"/><Relationship Id="rId131" Type="http://schemas.openxmlformats.org/officeDocument/2006/relationships/header" Target="header63.xml"/><Relationship Id="rId130" Type="http://schemas.openxmlformats.org/officeDocument/2006/relationships/header" Target="header62.xml"/><Relationship Id="rId13" Type="http://schemas.openxmlformats.org/officeDocument/2006/relationships/footer" Target="footer7.xml"/><Relationship Id="rId129" Type="http://schemas.openxmlformats.org/officeDocument/2006/relationships/footer" Target="footer66.xml"/><Relationship Id="rId128" Type="http://schemas.openxmlformats.org/officeDocument/2006/relationships/header" Target="header61.xml"/><Relationship Id="rId127" Type="http://schemas.openxmlformats.org/officeDocument/2006/relationships/footer" Target="footer65.xml"/><Relationship Id="rId126" Type="http://schemas.openxmlformats.org/officeDocument/2006/relationships/footer" Target="footer64.xml"/><Relationship Id="rId125" Type="http://schemas.openxmlformats.org/officeDocument/2006/relationships/footer" Target="footer63.xml"/><Relationship Id="rId124" Type="http://schemas.openxmlformats.org/officeDocument/2006/relationships/header" Target="header60.xml"/><Relationship Id="rId123" Type="http://schemas.openxmlformats.org/officeDocument/2006/relationships/footer" Target="footer62.xml"/><Relationship Id="rId122" Type="http://schemas.openxmlformats.org/officeDocument/2006/relationships/header" Target="header59.xml"/><Relationship Id="rId121" Type="http://schemas.openxmlformats.org/officeDocument/2006/relationships/footer" Target="footer61.xml"/><Relationship Id="rId120" Type="http://schemas.openxmlformats.org/officeDocument/2006/relationships/header" Target="header58.xml"/><Relationship Id="rId12" Type="http://schemas.openxmlformats.org/officeDocument/2006/relationships/header" Target="header4.xml"/><Relationship Id="rId119" Type="http://schemas.openxmlformats.org/officeDocument/2006/relationships/footer" Target="footer60.xml"/><Relationship Id="rId118" Type="http://schemas.openxmlformats.org/officeDocument/2006/relationships/header" Target="header57.xml"/><Relationship Id="rId117" Type="http://schemas.openxmlformats.org/officeDocument/2006/relationships/footer" Target="footer59.xml"/><Relationship Id="rId116" Type="http://schemas.openxmlformats.org/officeDocument/2006/relationships/header" Target="header56.xml"/><Relationship Id="rId115" Type="http://schemas.openxmlformats.org/officeDocument/2006/relationships/footer" Target="footer58.xml"/><Relationship Id="rId114" Type="http://schemas.openxmlformats.org/officeDocument/2006/relationships/header" Target="header55.xml"/><Relationship Id="rId113" Type="http://schemas.openxmlformats.org/officeDocument/2006/relationships/footer" Target="footer57.xml"/><Relationship Id="rId112" Type="http://schemas.openxmlformats.org/officeDocument/2006/relationships/header" Target="header54.xml"/><Relationship Id="rId111" Type="http://schemas.openxmlformats.org/officeDocument/2006/relationships/footer" Target="footer56.xml"/><Relationship Id="rId110" Type="http://schemas.openxmlformats.org/officeDocument/2006/relationships/header" Target="header53.xml"/><Relationship Id="rId11" Type="http://schemas.openxmlformats.org/officeDocument/2006/relationships/footer" Target="footer6.xml"/><Relationship Id="rId109" Type="http://schemas.openxmlformats.org/officeDocument/2006/relationships/footer" Target="footer55.xml"/><Relationship Id="rId108" Type="http://schemas.openxmlformats.org/officeDocument/2006/relationships/header" Target="header52.xml"/><Relationship Id="rId107" Type="http://schemas.openxmlformats.org/officeDocument/2006/relationships/footer" Target="footer54.xml"/><Relationship Id="rId106" Type="http://schemas.openxmlformats.org/officeDocument/2006/relationships/header" Target="header51.xml"/><Relationship Id="rId105" Type="http://schemas.openxmlformats.org/officeDocument/2006/relationships/footer" Target="footer53.xml"/><Relationship Id="rId104" Type="http://schemas.openxmlformats.org/officeDocument/2006/relationships/header" Target="header50.xml"/><Relationship Id="rId103" Type="http://schemas.openxmlformats.org/officeDocument/2006/relationships/footer" Target="footer52.xml"/><Relationship Id="rId102" Type="http://schemas.openxmlformats.org/officeDocument/2006/relationships/header" Target="header49.xml"/><Relationship Id="rId101" Type="http://schemas.openxmlformats.org/officeDocument/2006/relationships/footer" Target="footer51.xml"/><Relationship Id="rId100" Type="http://schemas.openxmlformats.org/officeDocument/2006/relationships/header" Target="header48.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46</Pages>
  <Words>3484</Words>
  <Characters>19862</Characters>
  <Lines>165</Lines>
  <Paragraphs>46</Paragraphs>
  <TotalTime>82</TotalTime>
  <ScaleCrop>false</ScaleCrop>
  <LinksUpToDate>false</LinksUpToDate>
  <CharactersWithSpaces>23300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2023-11-01T01:27:00Z</dcterms:created>
  <dc:creator>Yin Hao</dc:creator>
  <cp:lastModifiedBy>sfs</cp:lastModifiedBy>
  <cp:lastPrinted>2023-08-29T03:06:00Z</cp:lastPrinted>
  <dcterms:modified xsi:type="dcterms:W3CDTF">2023-12-08T03:42:16Z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B196972313054D4789BB25DBD05B5736</vt:lpwstr>
  </property>
</Properties>
</file>