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95" w:line="219" w:lineRule="auto"/>
        <w:ind w:left="1775"/>
        <w:outlineLvl w:val="0"/>
        <w:rPr>
          <w:rFonts w:ascii="宋体" w:hAnsi="宋体" w:cs="宋体"/>
          <w:spacing w:val="-2"/>
          <w:sz w:val="60"/>
          <w:szCs w:val="60"/>
        </w:rPr>
      </w:pPr>
    </w:p>
    <w:p>
      <w:pPr>
        <w:spacing w:before="195" w:line="219" w:lineRule="auto"/>
        <w:ind w:left="1775"/>
        <w:outlineLvl w:val="0"/>
        <w:rPr>
          <w:rFonts w:ascii="宋体" w:hAnsi="宋体" w:cs="宋体"/>
          <w:spacing w:val="-2"/>
          <w:sz w:val="60"/>
          <w:szCs w:val="60"/>
        </w:rPr>
      </w:pPr>
    </w:p>
    <w:p>
      <w:pPr>
        <w:spacing w:before="195" w:line="219" w:lineRule="auto"/>
        <w:ind w:left="1775"/>
        <w:outlineLvl w:val="0"/>
        <w:rPr>
          <w:rFonts w:ascii="宋体" w:hAnsi="宋体" w:cs="宋体"/>
          <w:spacing w:val="-2"/>
          <w:sz w:val="60"/>
          <w:szCs w:val="60"/>
        </w:rPr>
      </w:pPr>
    </w:p>
    <w:p>
      <w:pPr>
        <w:spacing w:before="195" w:line="219" w:lineRule="auto"/>
        <w:ind w:left="1775"/>
        <w:outlineLvl w:val="0"/>
        <w:rPr>
          <w:rFonts w:ascii="宋体" w:hAnsi="宋体" w:cs="宋体"/>
          <w:sz w:val="60"/>
          <w:szCs w:val="60"/>
        </w:rPr>
      </w:pPr>
      <w:bookmarkStart w:id="0" w:name="_Toc229"/>
      <w:r>
        <w:rPr>
          <w:rFonts w:ascii="宋体" w:hAnsi="宋体" w:cs="宋体"/>
          <w:spacing w:val="-2"/>
          <w:sz w:val="60"/>
          <w:szCs w:val="60"/>
        </w:rPr>
        <w:t>北京市政府采购项目</w:t>
      </w:r>
      <w:bookmarkEnd w:id="0"/>
    </w:p>
    <w:p>
      <w:pPr>
        <w:spacing w:before="65" w:line="219" w:lineRule="auto"/>
        <w:ind w:left="1170" w:firstLine="1196" w:firstLineChars="200"/>
        <w:rPr>
          <w:rFonts w:ascii="宋体" w:hAnsi="宋体" w:cs="宋体"/>
          <w:sz w:val="60"/>
          <w:szCs w:val="60"/>
        </w:rPr>
      </w:pPr>
      <w:r>
        <w:rPr>
          <w:rFonts w:ascii="宋体" w:hAnsi="宋体" w:cs="宋体"/>
          <w:spacing w:val="-1"/>
          <w:sz w:val="60"/>
          <w:szCs w:val="60"/>
        </w:rPr>
        <w:t>竞争性磋商文件</w:t>
      </w:r>
    </w:p>
    <w:p>
      <w:pPr>
        <w:spacing w:line="248" w:lineRule="auto"/>
        <w:rPr>
          <w:rFonts w:ascii="Arial"/>
        </w:rPr>
      </w:pPr>
    </w:p>
    <w:p>
      <w:pPr>
        <w:spacing w:line="248" w:lineRule="auto"/>
        <w:rPr>
          <w:rFonts w:ascii="Arial"/>
        </w:rPr>
      </w:pPr>
    </w:p>
    <w:p>
      <w:pPr>
        <w:spacing w:line="248"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before="270" w:line="699" w:lineRule="exact"/>
        <w:ind w:left="866"/>
        <w:rPr>
          <w:rFonts w:ascii="宋体" w:hAnsi="宋体" w:cs="宋体"/>
          <w:spacing w:val="-17"/>
          <w:sz w:val="36"/>
          <w:szCs w:val="36"/>
        </w:rPr>
      </w:pPr>
      <w:r>
        <w:rPr>
          <w:rFonts w:ascii="宋体" w:hAnsi="宋体" w:cs="宋体"/>
          <w:spacing w:val="-17"/>
          <w:sz w:val="36"/>
          <w:szCs w:val="36"/>
        </w:rPr>
        <w:t>项目名称：北京市残疾人服务示范中心安防和楼控系统维保项目</w:t>
      </w:r>
    </w:p>
    <w:p>
      <w:pPr>
        <w:spacing w:before="270" w:line="699" w:lineRule="exact"/>
        <w:ind w:left="866"/>
        <w:rPr>
          <w:rFonts w:ascii="宋体" w:hAnsi="宋体" w:cs="宋体"/>
          <w:sz w:val="36"/>
          <w:szCs w:val="36"/>
        </w:rPr>
      </w:pPr>
      <w:r>
        <w:rPr>
          <w:rFonts w:ascii="宋体" w:hAnsi="宋体" w:cs="宋体"/>
          <w:spacing w:val="-7"/>
          <w:position w:val="25"/>
          <w:sz w:val="36"/>
          <w:szCs w:val="36"/>
        </w:rPr>
        <w:t>项目编号</w:t>
      </w:r>
      <w:r>
        <w:rPr>
          <w:rFonts w:ascii="Arial" w:hAnsi="Arial" w:eastAsia="Arial" w:cs="Arial"/>
          <w:spacing w:val="-7"/>
          <w:position w:val="25"/>
          <w:sz w:val="36"/>
          <w:szCs w:val="36"/>
        </w:rPr>
        <w:t>/</w:t>
      </w:r>
      <w:r>
        <w:rPr>
          <w:rFonts w:ascii="宋体" w:hAnsi="宋体" w:cs="宋体"/>
          <w:spacing w:val="-7"/>
          <w:position w:val="25"/>
          <w:sz w:val="36"/>
          <w:szCs w:val="36"/>
        </w:rPr>
        <w:t>包号：</w:t>
      </w:r>
      <w:r>
        <w:rPr>
          <w:rFonts w:hint="eastAsia" w:ascii="宋体" w:hAnsi="宋体" w:cs="宋体"/>
          <w:spacing w:val="-7"/>
          <w:position w:val="25"/>
          <w:sz w:val="36"/>
          <w:szCs w:val="36"/>
        </w:rPr>
        <w:t>BIDR24-062</w:t>
      </w:r>
    </w:p>
    <w:p>
      <w:pPr>
        <w:spacing w:before="270" w:line="699" w:lineRule="exact"/>
        <w:ind w:left="866"/>
        <w:rPr>
          <w:rFonts w:ascii="宋体" w:hAnsi="宋体" w:cs="宋体"/>
          <w:spacing w:val="-7"/>
          <w:position w:val="25"/>
          <w:sz w:val="36"/>
          <w:szCs w:val="36"/>
        </w:rPr>
      </w:pPr>
      <w:r>
        <w:rPr>
          <w:rFonts w:ascii="宋体" w:hAnsi="宋体" w:cs="宋体"/>
          <w:spacing w:val="-7"/>
          <w:position w:val="25"/>
          <w:sz w:val="36"/>
          <w:szCs w:val="36"/>
        </w:rPr>
        <w:t>采 购 人：北京市残疾人服务示范中心</w:t>
      </w:r>
    </w:p>
    <w:p>
      <w:pPr>
        <w:spacing w:before="270" w:line="699" w:lineRule="exact"/>
        <w:ind w:left="866"/>
        <w:rPr>
          <w:rFonts w:ascii="宋体" w:hAnsi="宋体" w:cs="宋体"/>
          <w:spacing w:val="-7"/>
          <w:position w:val="25"/>
          <w:sz w:val="36"/>
          <w:szCs w:val="36"/>
        </w:rPr>
        <w:sectPr>
          <w:footerReference r:id="rId6" w:type="first"/>
          <w:headerReference r:id="rId3" w:type="default"/>
          <w:footerReference r:id="rId4" w:type="default"/>
          <w:footerReference r:id="rId5" w:type="even"/>
          <w:type w:val="nextColumn"/>
          <w:pgSz w:w="11907" w:h="16840"/>
          <w:pgMar w:top="1418" w:right="1134" w:bottom="1418" w:left="1701" w:header="851" w:footer="851" w:gutter="0"/>
          <w:pgNumType w:start="1"/>
          <w:cols w:space="720" w:num="1"/>
          <w:titlePg/>
          <w:docGrid w:linePitch="462" w:charSpace="0"/>
        </w:sectPr>
      </w:pPr>
      <w:r>
        <w:rPr>
          <w:rFonts w:ascii="宋体" w:hAnsi="宋体" w:cs="宋体"/>
          <w:spacing w:val="-7"/>
          <w:position w:val="25"/>
          <w:sz w:val="36"/>
          <w:szCs w:val="36"/>
        </w:rPr>
        <w:t xml:space="preserve">采购代理机构：北京市工业设计研究院有限公司 </w:t>
      </w:r>
    </w:p>
    <w:p>
      <w:pPr>
        <w:widowControl/>
        <w:jc w:val="left"/>
        <w:rPr>
          <w:color w:val="000000"/>
          <w:kern w:val="0"/>
          <w:sz w:val="24"/>
        </w:rPr>
      </w:pPr>
    </w:p>
    <w:p>
      <w:pPr>
        <w:pStyle w:val="183"/>
        <w:spacing w:line="360" w:lineRule="auto"/>
        <w:rPr>
          <w:rFonts w:ascii="Times New Roman" w:hAnsi="Times New Roman" w:cs="Times New Roman"/>
        </w:rPr>
      </w:pPr>
    </w:p>
    <w:p>
      <w:pPr>
        <w:spacing w:line="360" w:lineRule="auto"/>
        <w:jc w:val="center"/>
        <w:outlineLvl w:val="0"/>
        <w:rPr>
          <w:b/>
          <w:sz w:val="36"/>
          <w:szCs w:val="36"/>
        </w:rPr>
      </w:pPr>
      <w:bookmarkStart w:id="1" w:name="_Toc30301"/>
      <w:r>
        <w:rPr>
          <w:rFonts w:hint="eastAsia"/>
          <w:b/>
          <w:sz w:val="36"/>
          <w:szCs w:val="36"/>
        </w:rPr>
        <w:t>目</w:t>
      </w:r>
      <w:r>
        <w:rPr>
          <w:b/>
          <w:sz w:val="36"/>
          <w:szCs w:val="36"/>
        </w:rPr>
        <w:t xml:space="preserve">      </w:t>
      </w:r>
      <w:r>
        <w:rPr>
          <w:rFonts w:hint="eastAsia"/>
          <w:b/>
          <w:sz w:val="36"/>
          <w:szCs w:val="36"/>
        </w:rPr>
        <w:t>录</w:t>
      </w:r>
      <w:bookmarkEnd w:id="1"/>
    </w:p>
    <w:p/>
    <w:p/>
    <w:p/>
    <w:p/>
    <w:p>
      <w:pPr>
        <w:pStyle w:val="31"/>
        <w:tabs>
          <w:tab w:val="right" w:leader="dot" w:pos="9072"/>
          <w:tab w:val="clear" w:pos="1050"/>
          <w:tab w:val="clear" w:pos="8937"/>
        </w:tabs>
        <w:spacing w:line="480" w:lineRule="auto"/>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"_Toc20157" </w:instrText>
      </w:r>
      <w:r>
        <w:fldChar w:fldCharType="separate"/>
      </w:r>
      <w:r>
        <w:rPr>
          <w:szCs w:val="36"/>
        </w:rPr>
        <w:t>第一章   采购邀请</w:t>
      </w:r>
      <w:r>
        <w:tab/>
      </w:r>
      <w:r>
        <w:fldChar w:fldCharType="begin"/>
      </w:r>
      <w:r>
        <w:instrText xml:space="preserve"> PAGEREF _Toc20157 \h </w:instrText>
      </w:r>
      <w:r>
        <w:fldChar w:fldCharType="separate"/>
      </w:r>
      <w:r>
        <w:t>1</w:t>
      </w:r>
      <w:r>
        <w:fldChar w:fldCharType="end"/>
      </w:r>
      <w:r>
        <w:fldChar w:fldCharType="end"/>
      </w:r>
    </w:p>
    <w:p>
      <w:pPr>
        <w:pStyle w:val="31"/>
        <w:tabs>
          <w:tab w:val="right" w:leader="dot" w:pos="9072"/>
          <w:tab w:val="clear" w:pos="1050"/>
          <w:tab w:val="clear" w:pos="8937"/>
        </w:tabs>
        <w:spacing w:line="480" w:lineRule="auto"/>
      </w:pPr>
      <w:r>
        <w:fldChar w:fldCharType="begin"/>
      </w:r>
      <w:r>
        <w:instrText xml:space="preserve"> HYPERLINK \l "_Toc19887" </w:instrText>
      </w:r>
      <w:r>
        <w:fldChar w:fldCharType="separate"/>
      </w:r>
      <w:r>
        <w:rPr>
          <w:szCs w:val="36"/>
        </w:rPr>
        <w:t>第二章   供应商须知</w:t>
      </w:r>
      <w:r>
        <w:tab/>
      </w:r>
      <w:r>
        <w:fldChar w:fldCharType="begin"/>
      </w:r>
      <w:r>
        <w:instrText xml:space="preserve"> PAGEREF _Toc19887 \h </w:instrText>
      </w:r>
      <w:r>
        <w:fldChar w:fldCharType="separate"/>
      </w:r>
      <w:r>
        <w:t>5</w:t>
      </w:r>
      <w:r>
        <w:fldChar w:fldCharType="end"/>
      </w:r>
      <w:r>
        <w:fldChar w:fldCharType="end"/>
      </w:r>
    </w:p>
    <w:p>
      <w:pPr>
        <w:pStyle w:val="31"/>
        <w:tabs>
          <w:tab w:val="right" w:leader="dot" w:pos="9072"/>
          <w:tab w:val="clear" w:pos="1050"/>
          <w:tab w:val="clear" w:pos="8937"/>
        </w:tabs>
        <w:spacing w:line="480" w:lineRule="auto"/>
      </w:pPr>
      <w:r>
        <w:fldChar w:fldCharType="begin"/>
      </w:r>
      <w:r>
        <w:instrText xml:space="preserve"> HYPERLINK \l "_Toc24914" </w:instrText>
      </w:r>
      <w:r>
        <w:fldChar w:fldCharType="separate"/>
      </w:r>
      <w:r>
        <w:rPr>
          <w:szCs w:val="36"/>
        </w:rPr>
        <w:t>第三章   评审方法和评审标准</w:t>
      </w:r>
      <w:r>
        <w:tab/>
      </w:r>
      <w:r>
        <w:fldChar w:fldCharType="begin"/>
      </w:r>
      <w:r>
        <w:instrText xml:space="preserve"> PAGEREF _Toc24914 \h </w:instrText>
      </w:r>
      <w:r>
        <w:fldChar w:fldCharType="separate"/>
      </w:r>
      <w:r>
        <w:t>20</w:t>
      </w:r>
      <w:r>
        <w:fldChar w:fldCharType="end"/>
      </w:r>
      <w:r>
        <w:fldChar w:fldCharType="end"/>
      </w:r>
    </w:p>
    <w:p>
      <w:pPr>
        <w:pStyle w:val="31"/>
        <w:tabs>
          <w:tab w:val="right" w:leader="dot" w:pos="9072"/>
          <w:tab w:val="clear" w:pos="1050"/>
          <w:tab w:val="clear" w:pos="8937"/>
        </w:tabs>
        <w:spacing w:line="480" w:lineRule="auto"/>
      </w:pPr>
      <w:r>
        <w:fldChar w:fldCharType="begin"/>
      </w:r>
      <w:r>
        <w:instrText xml:space="preserve"> HYPERLINK \l "_Toc15087" </w:instrText>
      </w:r>
      <w:r>
        <w:fldChar w:fldCharType="separate"/>
      </w:r>
      <w:r>
        <w:rPr>
          <w:rFonts w:hint="eastAsia"/>
          <w:szCs w:val="36"/>
        </w:rPr>
        <w:t xml:space="preserve">第四章   </w:t>
      </w:r>
      <w:r>
        <w:rPr>
          <w:szCs w:val="36"/>
        </w:rPr>
        <w:t>采购需求</w:t>
      </w:r>
      <w:r>
        <w:tab/>
      </w:r>
      <w:r>
        <w:fldChar w:fldCharType="begin"/>
      </w:r>
      <w:r>
        <w:instrText xml:space="preserve"> PAGEREF _Toc15087 \h </w:instrText>
      </w:r>
      <w:r>
        <w:fldChar w:fldCharType="separate"/>
      </w:r>
      <w:r>
        <w:t>32</w:t>
      </w:r>
      <w:r>
        <w:fldChar w:fldCharType="end"/>
      </w:r>
      <w:r>
        <w:fldChar w:fldCharType="end"/>
      </w:r>
    </w:p>
    <w:p>
      <w:pPr>
        <w:pStyle w:val="31"/>
        <w:tabs>
          <w:tab w:val="right" w:leader="dot" w:pos="9072"/>
          <w:tab w:val="clear" w:pos="1050"/>
          <w:tab w:val="clear" w:pos="8937"/>
        </w:tabs>
        <w:spacing w:line="480" w:lineRule="auto"/>
      </w:pPr>
      <w:r>
        <w:fldChar w:fldCharType="begin"/>
      </w:r>
      <w:r>
        <w:instrText xml:space="preserve"> HYPERLINK \l "_Toc24247" </w:instrText>
      </w:r>
      <w:r>
        <w:fldChar w:fldCharType="separate"/>
      </w:r>
      <w:r>
        <w:rPr>
          <w:szCs w:val="36"/>
        </w:rPr>
        <w:t>第五章   合同草案条款</w:t>
      </w:r>
      <w:r>
        <w:tab/>
      </w:r>
      <w:r>
        <w:fldChar w:fldCharType="begin"/>
      </w:r>
      <w:r>
        <w:instrText xml:space="preserve"> PAGEREF _Toc24247 \h </w:instrText>
      </w:r>
      <w:r>
        <w:fldChar w:fldCharType="separate"/>
      </w:r>
      <w:r>
        <w:t>67</w:t>
      </w:r>
      <w:r>
        <w:fldChar w:fldCharType="end"/>
      </w:r>
      <w:r>
        <w:fldChar w:fldCharType="end"/>
      </w:r>
    </w:p>
    <w:p>
      <w:pPr>
        <w:pStyle w:val="31"/>
        <w:tabs>
          <w:tab w:val="right" w:leader="dot" w:pos="9072"/>
          <w:tab w:val="clear" w:pos="1050"/>
          <w:tab w:val="clear" w:pos="8937"/>
        </w:tabs>
        <w:spacing w:line="480" w:lineRule="auto"/>
      </w:pPr>
      <w:r>
        <w:fldChar w:fldCharType="begin"/>
      </w:r>
      <w:r>
        <w:instrText xml:space="preserve"> HYPERLINK \l "_Toc22260" </w:instrText>
      </w:r>
      <w:r>
        <w:fldChar w:fldCharType="separate"/>
      </w:r>
      <w:r>
        <w:rPr>
          <w:szCs w:val="36"/>
        </w:rPr>
        <w:t>第六章   响应文件格式</w:t>
      </w:r>
      <w:r>
        <w:tab/>
      </w:r>
      <w:r>
        <w:fldChar w:fldCharType="begin"/>
      </w:r>
      <w:r>
        <w:instrText xml:space="preserve"> PAGEREF _Toc22260 \h </w:instrText>
      </w:r>
      <w:r>
        <w:fldChar w:fldCharType="separate"/>
      </w:r>
      <w:r>
        <w:t>79</w:t>
      </w:r>
      <w:r>
        <w:fldChar w:fldCharType="end"/>
      </w:r>
      <w:r>
        <w:fldChar w:fldCharType="end"/>
      </w:r>
    </w:p>
    <w:p>
      <w:pPr>
        <w:pStyle w:val="31"/>
        <w:spacing w:line="360" w:lineRule="auto"/>
        <w:rPr>
          <w:rFonts w:ascii="Times New Roman" w:hAnsi="Times New Roman"/>
          <w:b w:val="0"/>
        </w:rPr>
      </w:pPr>
      <w:r>
        <w:rPr>
          <w:rFonts w:ascii="Times New Roman" w:hAnsi="Times New Roman"/>
        </w:rPr>
        <w:fldChar w:fldCharType="end"/>
      </w:r>
    </w:p>
    <w:p>
      <w:pPr>
        <w:pStyle w:val="31"/>
        <w:spacing w:line="360" w:lineRule="auto"/>
        <w:rPr>
          <w:b w:val="0"/>
          <w:sz w:val="36"/>
          <w:szCs w:val="36"/>
        </w:rPr>
      </w:pPr>
    </w:p>
    <w:p>
      <w:pPr>
        <w:spacing w:line="360" w:lineRule="auto"/>
        <w:jc w:val="center"/>
        <w:outlineLvl w:val="0"/>
        <w:rPr>
          <w:b/>
          <w:sz w:val="36"/>
          <w:szCs w:val="36"/>
        </w:rPr>
        <w:sectPr>
          <w:footerReference r:id="rId8" w:type="first"/>
          <w:footerReference r:id="rId7" w:type="default"/>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rPr>
      </w:pPr>
      <w:bookmarkStart w:id="2" w:name="_Toc20157"/>
      <w:r>
        <w:rPr>
          <w:b/>
          <w:sz w:val="36"/>
          <w:szCs w:val="36"/>
        </w:rPr>
        <w:t>第一章   采购邀请</w:t>
      </w:r>
      <w:bookmarkEnd w:id="2"/>
      <w:bookmarkStart w:id="3" w:name="_Toc28359002"/>
      <w:bookmarkStart w:id="4" w:name="_Toc35393621"/>
      <w:bookmarkStart w:id="5" w:name="_Toc35393790"/>
      <w:bookmarkStart w:id="6" w:name="_Toc28359079"/>
      <w:bookmarkStart w:id="7" w:name="_Hlk24379207"/>
    </w:p>
    <w:p>
      <w:pPr>
        <w:spacing w:line="360" w:lineRule="auto"/>
        <w:ind w:firstLine="480" w:firstLineChars="200"/>
        <w:rPr>
          <w:sz w:val="24"/>
        </w:rPr>
      </w:pPr>
    </w:p>
    <w:p>
      <w:pPr>
        <w:pStyle w:val="5"/>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bookmarkEnd w:id="3"/>
      <w:bookmarkEnd w:id="4"/>
      <w:bookmarkEnd w:id="5"/>
      <w:bookmarkEnd w:id="6"/>
    </w:p>
    <w:p>
      <w:pPr>
        <w:spacing w:line="360" w:lineRule="auto"/>
        <w:ind w:firstLine="480" w:firstLineChars="200"/>
        <w:rPr>
          <w:sz w:val="24"/>
        </w:rPr>
      </w:pPr>
      <w:r>
        <w:rPr>
          <w:sz w:val="24"/>
        </w:rPr>
        <w:t>1.项目编号：</w:t>
      </w:r>
      <w:r>
        <w:rPr>
          <w:rFonts w:hint="eastAsia"/>
          <w:sz w:val="24"/>
        </w:rPr>
        <w:t>BIDR24-062</w:t>
      </w:r>
      <w:r>
        <w:rPr>
          <w:rFonts w:hint="eastAsia" w:ascii="宋体" w:hAnsi="宋体" w:cs="宋体"/>
          <w:sz w:val="24"/>
        </w:rPr>
        <w:t xml:space="preserve"> </w:t>
      </w:r>
    </w:p>
    <w:p>
      <w:pPr>
        <w:spacing w:line="360" w:lineRule="auto"/>
        <w:ind w:firstLine="480" w:firstLineChars="200"/>
        <w:rPr>
          <w:sz w:val="24"/>
        </w:rPr>
      </w:pPr>
      <w:r>
        <w:rPr>
          <w:sz w:val="24"/>
        </w:rPr>
        <w:t>2.项目名称：北京市残疾人服务示范中心安防和楼控系统维保项目</w:t>
      </w:r>
    </w:p>
    <w:p>
      <w:pPr>
        <w:spacing w:line="360" w:lineRule="auto"/>
        <w:ind w:firstLine="480" w:firstLineChars="200"/>
        <w:rPr>
          <w:sz w:val="24"/>
        </w:rPr>
      </w:pPr>
      <w:r>
        <w:rPr>
          <w:sz w:val="24"/>
        </w:rPr>
        <w:t>3.采购方式：竞争性磋商</w:t>
      </w:r>
    </w:p>
    <w:bookmarkEnd w:id="7"/>
    <w:p>
      <w:pPr>
        <w:spacing w:line="360" w:lineRule="auto"/>
        <w:ind w:firstLine="480" w:firstLineChars="200"/>
        <w:rPr>
          <w:sz w:val="24"/>
        </w:rPr>
      </w:pPr>
      <w:r>
        <w:rPr>
          <w:sz w:val="24"/>
        </w:rPr>
        <w:t>4.项目预算</w:t>
      </w:r>
      <w:r>
        <w:rPr>
          <w:rFonts w:hint="eastAsia"/>
          <w:sz w:val="24"/>
        </w:rPr>
        <w:t>总</w:t>
      </w:r>
      <w:r>
        <w:rPr>
          <w:sz w:val="24"/>
        </w:rPr>
        <w:t>金额：</w:t>
      </w:r>
      <w:r>
        <w:rPr>
          <w:rFonts w:hint="eastAsia"/>
          <w:sz w:val="24"/>
        </w:rPr>
        <w:t>18.643</w:t>
      </w:r>
      <w:r>
        <w:rPr>
          <w:sz w:val="24"/>
        </w:rPr>
        <w:t>万元</w:t>
      </w:r>
      <w:r>
        <w:rPr>
          <w:rFonts w:hint="eastAsia"/>
          <w:sz w:val="24"/>
        </w:rPr>
        <w:t>，</w:t>
      </w:r>
      <w:r>
        <w:rPr>
          <w:rFonts w:hint="eastAsia" w:ascii="宋体" w:hAnsi="宋体"/>
          <w:sz w:val="24"/>
        </w:rPr>
        <w:t>供应商的最终磋商报价不能超过预算金额，否则其磋商响应将被拒绝。</w:t>
      </w:r>
    </w:p>
    <w:p>
      <w:pPr>
        <w:spacing w:line="360" w:lineRule="auto"/>
        <w:ind w:firstLine="480" w:firstLineChars="200"/>
        <w:rPr>
          <w:sz w:val="24"/>
        </w:rPr>
      </w:pPr>
      <w:r>
        <w:rPr>
          <w:sz w:val="24"/>
        </w:rPr>
        <w:t>5.采购需求：</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3230"/>
        <w:gridCol w:w="2408"/>
        <w:gridCol w:w="2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pPr>
              <w:jc w:val="center"/>
              <w:rPr>
                <w:rFonts w:ascii="宋体" w:hAnsi="宋体"/>
                <w:bCs/>
                <w:sz w:val="24"/>
              </w:rPr>
            </w:pPr>
            <w:r>
              <w:rPr>
                <w:rFonts w:ascii="宋体" w:hAnsi="宋体"/>
                <w:bCs/>
                <w:sz w:val="24"/>
              </w:rPr>
              <w:t>包号</w:t>
            </w:r>
          </w:p>
        </w:tc>
        <w:tc>
          <w:tcPr>
            <w:tcW w:w="1738" w:type="pct"/>
            <w:vAlign w:val="center"/>
          </w:tcPr>
          <w:p>
            <w:pPr>
              <w:jc w:val="center"/>
              <w:rPr>
                <w:rFonts w:ascii="宋体" w:hAnsi="宋体"/>
                <w:bCs/>
                <w:sz w:val="24"/>
              </w:rPr>
            </w:pPr>
            <w:r>
              <w:rPr>
                <w:rFonts w:ascii="宋体" w:hAnsi="宋体"/>
                <w:bCs/>
                <w:sz w:val="24"/>
              </w:rPr>
              <w:t>标的名称</w:t>
            </w:r>
          </w:p>
        </w:tc>
        <w:tc>
          <w:tcPr>
            <w:tcW w:w="1296" w:type="pct"/>
            <w:vAlign w:val="center"/>
          </w:tcPr>
          <w:p>
            <w:pPr>
              <w:jc w:val="center"/>
              <w:rPr>
                <w:rFonts w:ascii="宋体" w:hAnsi="宋体"/>
                <w:bCs/>
                <w:sz w:val="24"/>
              </w:rPr>
            </w:pPr>
            <w:r>
              <w:rPr>
                <w:rFonts w:ascii="宋体" w:hAnsi="宋体"/>
                <w:bCs/>
                <w:sz w:val="24"/>
              </w:rPr>
              <w:t>采购包预算金额</w:t>
            </w:r>
          </w:p>
          <w:p>
            <w:pPr>
              <w:jc w:val="center"/>
              <w:rPr>
                <w:rFonts w:ascii="宋体" w:hAnsi="宋体"/>
                <w:bCs/>
                <w:sz w:val="24"/>
              </w:rPr>
            </w:pPr>
            <w:r>
              <w:rPr>
                <w:rFonts w:ascii="宋体" w:hAnsi="宋体"/>
                <w:bCs/>
                <w:sz w:val="24"/>
              </w:rPr>
              <w:t>（万元）</w:t>
            </w:r>
          </w:p>
        </w:tc>
        <w:tc>
          <w:tcPr>
            <w:tcW w:w="1584" w:type="pct"/>
            <w:vAlign w:val="center"/>
          </w:tcPr>
          <w:p>
            <w:pPr>
              <w:jc w:val="center"/>
              <w:rPr>
                <w:rFonts w:ascii="宋体" w:hAnsi="宋体"/>
                <w:sz w:val="24"/>
              </w:rPr>
            </w:pPr>
            <w:r>
              <w:rPr>
                <w:rFonts w:ascii="宋体" w:hAnsi="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380" w:type="pct"/>
            <w:vAlign w:val="center"/>
          </w:tcPr>
          <w:p>
            <w:pPr>
              <w:jc w:val="center"/>
              <w:rPr>
                <w:rFonts w:ascii="宋体" w:hAnsi="宋体"/>
                <w:bCs/>
                <w:sz w:val="24"/>
              </w:rPr>
            </w:pPr>
            <w:r>
              <w:rPr>
                <w:rFonts w:hint="eastAsia" w:ascii="宋体" w:hAnsi="宋体"/>
                <w:bCs/>
                <w:sz w:val="24"/>
              </w:rPr>
              <w:t>0</w:t>
            </w:r>
            <w:r>
              <w:rPr>
                <w:rFonts w:ascii="宋体" w:hAnsi="宋体"/>
                <w:bCs/>
                <w:sz w:val="24"/>
              </w:rPr>
              <w:t>1</w:t>
            </w:r>
          </w:p>
        </w:tc>
        <w:tc>
          <w:tcPr>
            <w:tcW w:w="1738" w:type="pct"/>
            <w:vAlign w:val="center"/>
          </w:tcPr>
          <w:p>
            <w:pPr>
              <w:widowControl/>
              <w:jc w:val="center"/>
              <w:textAlignment w:val="center"/>
              <w:rPr>
                <w:rFonts w:ascii="宋体" w:hAnsi="宋体" w:cs="宋体"/>
                <w:color w:val="000000"/>
                <w:sz w:val="24"/>
              </w:rPr>
            </w:pPr>
            <w:r>
              <w:rPr>
                <w:rFonts w:ascii="宋体" w:hAnsi="宋体" w:cs="宋体"/>
                <w:color w:val="000000"/>
                <w:sz w:val="24"/>
              </w:rPr>
              <w:t>北京市残疾人服务示范中心安防和楼控系统维保项目</w:t>
            </w:r>
          </w:p>
        </w:tc>
        <w:tc>
          <w:tcPr>
            <w:tcW w:w="1296" w:type="pct"/>
            <w:vAlign w:val="center"/>
          </w:tcPr>
          <w:p>
            <w:pPr>
              <w:widowControl/>
              <w:spacing w:line="360" w:lineRule="auto"/>
              <w:jc w:val="center"/>
              <w:rPr>
                <w:rFonts w:ascii="宋体" w:hAnsi="宋体" w:cs="Arial"/>
                <w:kern w:val="0"/>
                <w:sz w:val="24"/>
              </w:rPr>
            </w:pPr>
            <w:r>
              <w:rPr>
                <w:rFonts w:ascii="宋体" w:hAnsi="宋体" w:cs="Arial"/>
                <w:kern w:val="0"/>
                <w:sz w:val="24"/>
              </w:rPr>
              <w:t>18.643</w:t>
            </w:r>
          </w:p>
        </w:tc>
        <w:tc>
          <w:tcPr>
            <w:tcW w:w="1584" w:type="pct"/>
            <w:vAlign w:val="center"/>
          </w:tcPr>
          <w:p>
            <w:pPr>
              <w:rPr>
                <w:rFonts w:ascii="宋体" w:hAnsi="宋体"/>
                <w:sz w:val="24"/>
              </w:rPr>
            </w:pPr>
            <w:r>
              <w:rPr>
                <w:rFonts w:hint="eastAsia" w:ascii="宋体" w:hAnsi="宋体"/>
                <w:kern w:val="0"/>
                <w:sz w:val="24"/>
              </w:rPr>
              <w:t>北京市残疾人服务示范中心安防和楼控系统维保服务，详见“第四章”采购需求。</w:t>
            </w:r>
          </w:p>
        </w:tc>
      </w:tr>
    </w:tbl>
    <w:p>
      <w:pPr>
        <w:spacing w:line="360" w:lineRule="auto"/>
        <w:ind w:firstLine="480" w:firstLineChars="200"/>
        <w:rPr>
          <w:sz w:val="24"/>
        </w:rPr>
      </w:pPr>
      <w:r>
        <w:rPr>
          <w:rFonts w:hint="eastAsia"/>
          <w:sz w:val="24"/>
        </w:rPr>
        <w:t>6.</w:t>
      </w:r>
      <w:r>
        <w:rPr>
          <w:sz w:val="24"/>
        </w:rPr>
        <w:t>合同履行期限：</w:t>
      </w:r>
      <w:r>
        <w:rPr>
          <w:rFonts w:hint="eastAsia"/>
          <w:sz w:val="24"/>
        </w:rPr>
        <w:t>1年。</w:t>
      </w:r>
    </w:p>
    <w:p>
      <w:pPr>
        <w:spacing w:line="360" w:lineRule="auto"/>
        <w:ind w:firstLine="480" w:firstLineChars="200"/>
        <w:rPr>
          <w:sz w:val="24"/>
        </w:rPr>
      </w:pPr>
      <w:r>
        <w:rPr>
          <w:sz w:val="24"/>
        </w:rPr>
        <w:t>7.本项目是否接受联合体：</w:t>
      </w:r>
      <w:r>
        <w:t>□</w:t>
      </w:r>
      <w:r>
        <w:rPr>
          <w:sz w:val="24"/>
        </w:rPr>
        <w:t xml:space="preserve">是  </w:t>
      </w:r>
      <w:r>
        <w:rPr>
          <w:rFonts w:ascii="宋体" w:hAnsi="宋体"/>
          <w:sz w:val="24"/>
        </w:rPr>
        <w:t>■</w:t>
      </w:r>
      <w:r>
        <w:rPr>
          <w:sz w:val="24"/>
        </w:rPr>
        <w:t>否。</w:t>
      </w:r>
    </w:p>
    <w:p>
      <w:pPr>
        <w:spacing w:line="360" w:lineRule="auto"/>
        <w:ind w:firstLine="480" w:firstLineChars="200"/>
        <w:rPr>
          <w:sz w:val="24"/>
        </w:rPr>
      </w:pPr>
    </w:p>
    <w:p>
      <w:pPr>
        <w:pStyle w:val="5"/>
        <w:spacing w:before="0" w:line="360" w:lineRule="auto"/>
        <w:jc w:val="left"/>
        <w:rPr>
          <w:rFonts w:ascii="Times New Roman" w:hAnsi="Times New Roman" w:eastAsia="宋体"/>
          <w:sz w:val="24"/>
          <w:szCs w:val="24"/>
        </w:rPr>
      </w:pPr>
      <w:bookmarkStart w:id="8" w:name="_Toc35393622"/>
      <w:bookmarkStart w:id="9" w:name="_Toc35393791"/>
      <w:bookmarkStart w:id="10" w:name="_Toc28359080"/>
      <w:bookmarkStart w:id="11" w:name="_Toc28359003"/>
      <w:r>
        <w:rPr>
          <w:rFonts w:ascii="Times New Roman" w:hAnsi="Times New Roman" w:eastAsia="宋体"/>
          <w:sz w:val="24"/>
          <w:szCs w:val="24"/>
        </w:rPr>
        <w:t>二、申请人的资格要求（须同时满足）</w:t>
      </w:r>
      <w:bookmarkEnd w:id="8"/>
      <w:bookmarkEnd w:id="9"/>
      <w:bookmarkEnd w:id="10"/>
      <w:bookmarkEnd w:id="11"/>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2" w:name="_Toc28359081"/>
      <w:bookmarkStart w:id="13"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20" w:firstLineChars="200"/>
        <w:rPr>
          <w:sz w:val="24"/>
        </w:rPr>
      </w:pPr>
      <w:r>
        <w:t>□</w:t>
      </w:r>
      <w:r>
        <w:rPr>
          <w:sz w:val="24"/>
        </w:rPr>
        <w:t>本项目不专门面向中小企业预留采购份额。</w:t>
      </w:r>
    </w:p>
    <w:p>
      <w:pPr>
        <w:spacing w:line="360" w:lineRule="auto"/>
        <w:ind w:firstLine="480" w:firstLineChars="200"/>
        <w:rPr>
          <w:sz w:val="24"/>
        </w:rPr>
      </w:pPr>
      <w:r>
        <w:rPr>
          <w:rFonts w:ascii="宋体" w:hAnsi="宋体"/>
          <w:sz w:val="24"/>
        </w:rPr>
        <w:t>■</w:t>
      </w:r>
      <w:r>
        <w:rPr>
          <w:sz w:val="24"/>
        </w:rPr>
        <w:t xml:space="preserve">本项目专门面向  </w:t>
      </w:r>
      <w:r>
        <w:t>□</w:t>
      </w:r>
      <w:r>
        <w:rPr>
          <w:sz w:val="24"/>
        </w:rPr>
        <w:t>中小</w:t>
      </w:r>
      <w:r>
        <w:rPr>
          <w:rFonts w:ascii="宋体" w:hAnsi="宋体"/>
          <w:sz w:val="24"/>
        </w:rPr>
        <w:t>■</w:t>
      </w:r>
      <w:r>
        <w:rPr>
          <w:sz w:val="24"/>
        </w:rPr>
        <w:t>小微企业  采购。即：提供的货物全部由符合政策要求的中小/小微企业制造、服务全部由符合政策要求的中小/小微企业承接。</w:t>
      </w:r>
    </w:p>
    <w:p>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rFonts w:ascii="宋体" w:hAnsi="宋体"/>
          <w:sz w:val="24"/>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t>□</w:t>
      </w: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u w:val="single"/>
        </w:rPr>
      </w:pPr>
      <w:r>
        <w:rPr>
          <w:sz w:val="24"/>
        </w:rPr>
        <w:t>3.</w:t>
      </w:r>
      <w:r>
        <w:rPr>
          <w:rFonts w:hint="eastAsia"/>
          <w:sz w:val="24"/>
        </w:rPr>
        <w:t>2</w:t>
      </w:r>
      <w:r>
        <w:rPr>
          <w:sz w:val="24"/>
        </w:rPr>
        <w:t>其他特定资格要求：</w:t>
      </w:r>
      <w:r>
        <w:rPr>
          <w:rFonts w:hint="eastAsia"/>
          <w:sz w:val="24"/>
          <w:u w:val="single"/>
        </w:rPr>
        <w:t xml:space="preserve"> / </w:t>
      </w:r>
      <w:r>
        <w:rPr>
          <w:sz w:val="24"/>
        </w:rPr>
        <w:t>。</w:t>
      </w:r>
    </w:p>
    <w:p>
      <w:pPr>
        <w:spacing w:line="360" w:lineRule="auto"/>
        <w:ind w:firstLine="480" w:firstLineChars="200"/>
        <w:rPr>
          <w:i/>
          <w:iCs/>
          <w:sz w:val="24"/>
          <w:u w:val="single"/>
        </w:rPr>
      </w:pPr>
    </w:p>
    <w:bookmarkEnd w:id="12"/>
    <w:bookmarkEnd w:id="13"/>
    <w:p>
      <w:pPr>
        <w:pStyle w:val="5"/>
        <w:widowControl/>
        <w:spacing w:before="0" w:line="360" w:lineRule="auto"/>
        <w:jc w:val="left"/>
        <w:rPr>
          <w:rFonts w:ascii="Times New Roman" w:hAnsi="Times New Roman" w:eastAsia="宋体"/>
          <w:sz w:val="24"/>
          <w:szCs w:val="24"/>
        </w:rPr>
      </w:pPr>
      <w:bookmarkStart w:id="14" w:name="_Toc35393792"/>
      <w:bookmarkStart w:id="15" w:name="_Toc35393623"/>
      <w:r>
        <w:rPr>
          <w:rFonts w:ascii="Times New Roman" w:hAnsi="Times New Roman" w:eastAsia="宋体"/>
          <w:sz w:val="24"/>
          <w:szCs w:val="24"/>
        </w:rPr>
        <w:t>三、获取采购文件</w:t>
      </w:r>
      <w:bookmarkEnd w:id="14"/>
      <w:bookmarkEnd w:id="15"/>
    </w:p>
    <w:p>
      <w:pPr>
        <w:adjustRightInd w:val="0"/>
        <w:snapToGrid w:val="0"/>
        <w:spacing w:line="360" w:lineRule="auto"/>
        <w:ind w:firstLine="480" w:firstLineChars="200"/>
        <w:rPr>
          <w:sz w:val="24"/>
          <w:lang w:bidi="ar"/>
        </w:rPr>
      </w:pPr>
      <w:r>
        <w:rPr>
          <w:sz w:val="24"/>
          <w:lang w:bidi="ar"/>
        </w:rPr>
        <w:t>1.时间：</w:t>
      </w:r>
      <w:r>
        <w:rPr>
          <w:rFonts w:hint="eastAsia"/>
          <w:sz w:val="24"/>
        </w:rPr>
        <w:t>2024</w:t>
      </w:r>
      <w:r>
        <w:rPr>
          <w:sz w:val="24"/>
          <w:lang w:bidi="ar"/>
        </w:rPr>
        <w:t>年</w:t>
      </w:r>
      <w:r>
        <w:rPr>
          <w:rFonts w:hint="eastAsia"/>
          <w:sz w:val="24"/>
          <w:lang w:val="en-US" w:eastAsia="zh-CN" w:bidi="ar"/>
        </w:rPr>
        <w:t>11</w:t>
      </w:r>
      <w:r>
        <w:rPr>
          <w:sz w:val="24"/>
          <w:lang w:bidi="ar"/>
        </w:rPr>
        <w:t>月</w:t>
      </w:r>
      <w:r>
        <w:rPr>
          <w:rFonts w:hint="eastAsia"/>
          <w:sz w:val="24"/>
          <w:lang w:val="en-US" w:eastAsia="zh-CN" w:bidi="ar"/>
        </w:rPr>
        <w:t>1</w:t>
      </w:r>
      <w:r>
        <w:rPr>
          <w:sz w:val="24"/>
          <w:lang w:bidi="ar"/>
        </w:rPr>
        <w:t>日至</w:t>
      </w:r>
      <w:r>
        <w:rPr>
          <w:rFonts w:hint="eastAsia"/>
          <w:sz w:val="24"/>
        </w:rPr>
        <w:t>2024</w:t>
      </w:r>
      <w:r>
        <w:rPr>
          <w:sz w:val="24"/>
          <w:lang w:bidi="ar"/>
        </w:rPr>
        <w:t>年</w:t>
      </w:r>
      <w:r>
        <w:rPr>
          <w:rFonts w:hint="eastAsia"/>
          <w:sz w:val="24"/>
          <w:lang w:val="en-US" w:eastAsia="zh-CN" w:bidi="ar"/>
        </w:rPr>
        <w:t>11</w:t>
      </w:r>
      <w:r>
        <w:rPr>
          <w:sz w:val="24"/>
          <w:lang w:bidi="ar"/>
        </w:rPr>
        <w:t>月</w:t>
      </w:r>
      <w:r>
        <w:rPr>
          <w:rFonts w:hint="eastAsia"/>
          <w:sz w:val="24"/>
          <w:lang w:val="en-US" w:eastAsia="zh-CN" w:bidi="ar"/>
        </w:rPr>
        <w:t>8</w:t>
      </w:r>
      <w:r>
        <w:rPr>
          <w:sz w:val="24"/>
          <w:lang w:bidi="ar"/>
        </w:rPr>
        <w:t>日，</w:t>
      </w:r>
      <w:r>
        <w:rPr>
          <w:rFonts w:ascii="宋体" w:hAnsi="宋体"/>
          <w:sz w:val="24"/>
        </w:rPr>
        <w:t>每天上午</w:t>
      </w:r>
      <w:r>
        <w:rPr>
          <w:rFonts w:hint="eastAsia" w:ascii="宋体" w:hAnsi="宋体"/>
          <w:sz w:val="24"/>
        </w:rPr>
        <w:t>9时30分</w:t>
      </w:r>
      <w:r>
        <w:rPr>
          <w:rFonts w:ascii="宋体" w:hAnsi="宋体"/>
          <w:sz w:val="24"/>
        </w:rPr>
        <w:t>至</w:t>
      </w:r>
      <w:r>
        <w:rPr>
          <w:rFonts w:hint="eastAsia" w:ascii="宋体" w:hAnsi="宋体"/>
          <w:sz w:val="24"/>
        </w:rPr>
        <w:t>11时30分</w:t>
      </w:r>
      <w:r>
        <w:rPr>
          <w:rFonts w:ascii="宋体" w:hAnsi="宋体"/>
          <w:sz w:val="24"/>
        </w:rPr>
        <w:t>，下午</w:t>
      </w:r>
      <w:r>
        <w:rPr>
          <w:rFonts w:hint="eastAsia" w:ascii="宋体" w:hAnsi="宋体"/>
          <w:sz w:val="24"/>
        </w:rPr>
        <w:t>13时30分至16时30分</w:t>
      </w:r>
      <w:r>
        <w:rPr>
          <w:sz w:val="24"/>
          <w:lang w:bidi="ar"/>
        </w:rPr>
        <w:t>（北京时间，法定节假日除外）。</w:t>
      </w:r>
    </w:p>
    <w:p>
      <w:pPr>
        <w:spacing w:line="360" w:lineRule="auto"/>
        <w:ind w:firstLine="540"/>
        <w:rPr>
          <w:rFonts w:ascii="宋体" w:hAnsi="宋体" w:cs="宋体"/>
          <w:sz w:val="24"/>
          <w:u w:val="single"/>
        </w:rPr>
      </w:pPr>
      <w:bookmarkStart w:id="16" w:name="_Toc35393624"/>
      <w:bookmarkStart w:id="17" w:name="_Toc28359005"/>
      <w:bookmarkStart w:id="18" w:name="_Toc35393793"/>
      <w:bookmarkStart w:id="19" w:name="_Toc28359082"/>
      <w:r>
        <w:rPr>
          <w:rFonts w:hint="eastAsia" w:ascii="宋体" w:hAnsi="宋体" w:cs="宋体"/>
          <w:sz w:val="24"/>
        </w:rPr>
        <w:t>2.地点：北京市西城区广安门外大街甲275号6层605室。</w:t>
      </w:r>
    </w:p>
    <w:p>
      <w:pPr>
        <w:spacing w:line="360" w:lineRule="auto"/>
        <w:ind w:firstLine="540"/>
        <w:rPr>
          <w:rFonts w:ascii="宋体" w:hAnsi="宋体" w:cs="宋体"/>
          <w:sz w:val="24"/>
        </w:rPr>
      </w:pPr>
      <w:r>
        <w:rPr>
          <w:rFonts w:hint="eastAsia" w:ascii="宋体" w:hAnsi="宋体" w:cs="宋体"/>
          <w:sz w:val="24"/>
        </w:rPr>
        <w:t>3.磋商文件售价：200元/包，售后不退。</w:t>
      </w:r>
    </w:p>
    <w:p>
      <w:pPr>
        <w:spacing w:line="360" w:lineRule="auto"/>
        <w:ind w:firstLine="540"/>
        <w:rPr>
          <w:rFonts w:ascii="宋体" w:hAnsi="宋体" w:cs="宋体"/>
          <w:sz w:val="24"/>
        </w:rPr>
      </w:pPr>
      <w:r>
        <w:rPr>
          <w:rFonts w:hint="eastAsia" w:ascii="宋体" w:hAnsi="宋体" w:cs="宋体"/>
          <w:sz w:val="24"/>
        </w:rPr>
        <w:t>4.获取方式：现场购买或电汇购买</w:t>
      </w:r>
    </w:p>
    <w:p>
      <w:pPr>
        <w:spacing w:line="360" w:lineRule="auto"/>
        <w:ind w:firstLine="540"/>
        <w:rPr>
          <w:rFonts w:ascii="宋体" w:hAnsi="宋体" w:cs="宋体"/>
          <w:sz w:val="24"/>
        </w:rPr>
      </w:pPr>
      <w:r>
        <w:rPr>
          <w:rFonts w:hint="eastAsia" w:ascii="宋体" w:hAnsi="宋体" w:cs="宋体"/>
          <w:sz w:val="24"/>
        </w:rPr>
        <w:t>供应商如电汇购买标书，请将电汇底单及以下表格发邮件至wangsiyu@biecc.com.cn，邮件主题请统一填写：购买标书信息+项目编号。发完邮件后请打采购邀请中的电话确认。若电汇、网银或邮购，标书款必须于</w:t>
      </w:r>
      <w:r>
        <w:rPr>
          <w:rFonts w:hint="eastAsia"/>
          <w:sz w:val="24"/>
        </w:rPr>
        <w:t>2024</w:t>
      </w:r>
      <w:r>
        <w:rPr>
          <w:sz w:val="24"/>
          <w:lang w:bidi="ar"/>
        </w:rPr>
        <w:t>年</w:t>
      </w:r>
      <w:r>
        <w:rPr>
          <w:rFonts w:hint="eastAsia"/>
          <w:sz w:val="24"/>
          <w:lang w:val="en-US" w:eastAsia="zh-CN" w:bidi="ar"/>
        </w:rPr>
        <w:t>11</w:t>
      </w:r>
      <w:r>
        <w:rPr>
          <w:sz w:val="24"/>
          <w:lang w:bidi="ar"/>
        </w:rPr>
        <w:t>月</w:t>
      </w:r>
      <w:r>
        <w:rPr>
          <w:rFonts w:hint="eastAsia"/>
          <w:sz w:val="24"/>
          <w:lang w:val="en-US" w:eastAsia="zh-CN" w:bidi="ar"/>
        </w:rPr>
        <w:t>8</w:t>
      </w:r>
      <w:r>
        <w:rPr>
          <w:sz w:val="24"/>
          <w:lang w:bidi="ar"/>
        </w:rPr>
        <w:t>日</w:t>
      </w:r>
      <w:r>
        <w:rPr>
          <w:rFonts w:hint="eastAsia" w:ascii="宋体" w:hAnsi="宋体" w:cs="宋体"/>
          <w:sz w:val="24"/>
        </w:rPr>
        <w:t>16:30前到账。付款请务必备注“项目编号+包号+用途”，例：</w:t>
      </w:r>
      <w:r>
        <w:rPr>
          <w:rFonts w:ascii="宋体" w:hAnsi="宋体" w:cs="宋体"/>
          <w:sz w:val="24"/>
        </w:rPr>
        <w:t>BIDR2</w:t>
      </w:r>
      <w:r>
        <w:rPr>
          <w:rFonts w:hint="eastAsia" w:ascii="宋体" w:hAnsi="宋体" w:cs="宋体"/>
          <w:sz w:val="24"/>
        </w:rPr>
        <w:t>4</w:t>
      </w:r>
      <w:r>
        <w:rPr>
          <w:rFonts w:ascii="宋体" w:hAnsi="宋体" w:cs="宋体"/>
          <w:sz w:val="24"/>
        </w:rPr>
        <w:t>-0</w:t>
      </w:r>
      <w:r>
        <w:rPr>
          <w:rFonts w:hint="eastAsia" w:ascii="宋体" w:hAnsi="宋体" w:cs="宋体"/>
          <w:sz w:val="24"/>
        </w:rPr>
        <w:t>62 标书款。</w:t>
      </w:r>
    </w:p>
    <w:p>
      <w:pPr>
        <w:spacing w:line="360" w:lineRule="auto"/>
        <w:ind w:firstLine="540"/>
        <w:rPr>
          <w:rFonts w:ascii="宋体" w:hAnsi="宋体" w:cs="宋体"/>
          <w:sz w:val="24"/>
        </w:rPr>
      </w:pPr>
      <w:r>
        <w:rPr>
          <w:rFonts w:hint="eastAsia" w:ascii="宋体" w:hAnsi="宋体" w:cs="宋体"/>
          <w:sz w:val="24"/>
        </w:rPr>
        <w:t>若需邮寄纸质版磋商文件，须加付邮费100元人民币。电子版磋商文件在报名成功后以电子邮件形式发送。</w:t>
      </w:r>
    </w:p>
    <w:tbl>
      <w:tblPr>
        <w:tblStyle w:val="45"/>
        <w:tblW w:w="7371"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2268" w:type="dxa"/>
            <w:vAlign w:val="center"/>
          </w:tcPr>
          <w:p>
            <w:pPr>
              <w:spacing w:line="360" w:lineRule="auto"/>
              <w:rPr>
                <w:rFonts w:ascii="宋体" w:hAnsi="宋体"/>
                <w:sz w:val="24"/>
              </w:rPr>
            </w:pPr>
            <w:r>
              <w:rPr>
                <w:rFonts w:ascii="宋体" w:hAnsi="宋体"/>
                <w:sz w:val="24"/>
              </w:rPr>
              <w:t>项目编号</w:t>
            </w:r>
          </w:p>
        </w:tc>
        <w:tc>
          <w:tcPr>
            <w:tcW w:w="5103"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68" w:type="dxa"/>
            <w:vAlign w:val="center"/>
          </w:tcPr>
          <w:p>
            <w:pPr>
              <w:spacing w:line="360" w:lineRule="auto"/>
              <w:rPr>
                <w:rFonts w:ascii="宋体" w:hAnsi="宋体"/>
                <w:sz w:val="24"/>
              </w:rPr>
            </w:pPr>
            <w:r>
              <w:rPr>
                <w:rFonts w:ascii="宋体" w:hAnsi="宋体"/>
                <w:sz w:val="24"/>
              </w:rPr>
              <w:t>包号（有就写）</w:t>
            </w:r>
          </w:p>
        </w:tc>
        <w:tc>
          <w:tcPr>
            <w:tcW w:w="5103"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2268" w:type="dxa"/>
            <w:vAlign w:val="center"/>
          </w:tcPr>
          <w:p>
            <w:pPr>
              <w:spacing w:line="360" w:lineRule="auto"/>
              <w:rPr>
                <w:rFonts w:ascii="宋体" w:hAnsi="宋体"/>
                <w:sz w:val="24"/>
              </w:rPr>
            </w:pPr>
            <w:r>
              <w:rPr>
                <w:rFonts w:ascii="宋体" w:hAnsi="宋体"/>
                <w:sz w:val="24"/>
              </w:rPr>
              <w:t>公司名称</w:t>
            </w:r>
          </w:p>
        </w:tc>
        <w:tc>
          <w:tcPr>
            <w:tcW w:w="5103"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ascii="宋体" w:hAnsi="宋体"/>
                <w:sz w:val="24"/>
              </w:rPr>
            </w:pPr>
            <w:r>
              <w:rPr>
                <w:rFonts w:ascii="宋体" w:hAnsi="宋体"/>
                <w:sz w:val="24"/>
              </w:rPr>
              <w:t>纳税人识别号</w:t>
            </w:r>
          </w:p>
        </w:tc>
        <w:tc>
          <w:tcPr>
            <w:tcW w:w="5103"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68" w:type="dxa"/>
            <w:vAlign w:val="center"/>
          </w:tcPr>
          <w:p>
            <w:pPr>
              <w:spacing w:line="360" w:lineRule="auto"/>
              <w:rPr>
                <w:rFonts w:ascii="宋体" w:hAnsi="宋体"/>
                <w:sz w:val="24"/>
              </w:rPr>
            </w:pPr>
            <w:r>
              <w:rPr>
                <w:rFonts w:ascii="宋体" w:hAnsi="宋体"/>
                <w:sz w:val="24"/>
              </w:rPr>
              <w:t>公司地址</w:t>
            </w:r>
          </w:p>
        </w:tc>
        <w:tc>
          <w:tcPr>
            <w:tcW w:w="5103"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68" w:type="dxa"/>
            <w:vAlign w:val="center"/>
          </w:tcPr>
          <w:p>
            <w:pPr>
              <w:spacing w:line="360" w:lineRule="auto"/>
              <w:rPr>
                <w:rFonts w:ascii="宋体" w:hAnsi="宋体"/>
                <w:sz w:val="24"/>
              </w:rPr>
            </w:pPr>
            <w:r>
              <w:rPr>
                <w:rFonts w:ascii="宋体" w:hAnsi="宋体"/>
                <w:sz w:val="24"/>
              </w:rPr>
              <w:t>联系人</w:t>
            </w:r>
          </w:p>
        </w:tc>
        <w:tc>
          <w:tcPr>
            <w:tcW w:w="5103"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ascii="宋体" w:hAnsi="宋体"/>
                <w:sz w:val="24"/>
              </w:rPr>
            </w:pPr>
            <w:r>
              <w:rPr>
                <w:rFonts w:ascii="宋体" w:hAnsi="宋体"/>
                <w:sz w:val="24"/>
              </w:rPr>
              <w:t>联系电话</w:t>
            </w:r>
          </w:p>
        </w:tc>
        <w:tc>
          <w:tcPr>
            <w:tcW w:w="5103" w:type="dxa"/>
            <w:vAlign w:val="center"/>
          </w:tcPr>
          <w:p>
            <w:pPr>
              <w:spacing w:line="360" w:lineRule="auto"/>
              <w:rPr>
                <w:rFonts w:ascii="宋体" w:hAnsi="宋体"/>
                <w:sz w:val="24"/>
              </w:rPr>
            </w:pPr>
          </w:p>
        </w:tc>
      </w:tr>
    </w:tbl>
    <w:p>
      <w:pPr>
        <w:pStyle w:val="5"/>
        <w:widowControl/>
        <w:spacing w:before="0" w:line="360" w:lineRule="auto"/>
        <w:jc w:val="left"/>
        <w:rPr>
          <w:rFonts w:ascii="Times New Roman" w:hAnsi="Times New Roman" w:eastAsia="宋体"/>
          <w:sz w:val="24"/>
          <w:szCs w:val="24"/>
        </w:rPr>
      </w:pPr>
    </w:p>
    <w:p>
      <w:pPr>
        <w:pStyle w:val="5"/>
        <w:widowControl/>
        <w:spacing w:before="0" w:line="360" w:lineRule="auto"/>
        <w:jc w:val="left"/>
        <w:rPr>
          <w:rFonts w:ascii="Times New Roman" w:hAnsi="Times New Roman" w:eastAsia="宋体"/>
          <w:sz w:val="24"/>
          <w:szCs w:val="24"/>
        </w:rPr>
      </w:pPr>
      <w:r>
        <w:rPr>
          <w:rFonts w:ascii="Times New Roman" w:hAnsi="Times New Roman" w:eastAsia="宋体"/>
          <w:sz w:val="24"/>
          <w:szCs w:val="24"/>
        </w:rPr>
        <w:t>四、</w:t>
      </w:r>
      <w:bookmarkEnd w:id="16"/>
      <w:bookmarkEnd w:id="17"/>
      <w:bookmarkEnd w:id="18"/>
      <w:bookmarkEnd w:id="19"/>
      <w:r>
        <w:rPr>
          <w:rFonts w:ascii="Times New Roman" w:hAnsi="Times New Roman" w:eastAsia="宋体"/>
          <w:sz w:val="24"/>
          <w:szCs w:val="24"/>
        </w:rPr>
        <w:t>响应文件提交</w:t>
      </w:r>
    </w:p>
    <w:p>
      <w:pPr>
        <w:spacing w:line="360" w:lineRule="auto"/>
        <w:ind w:firstLine="480" w:firstLineChars="200"/>
        <w:rPr>
          <w:bCs/>
          <w:sz w:val="24"/>
          <w:u w:val="single"/>
        </w:rPr>
      </w:pPr>
      <w:r>
        <w:rPr>
          <w:sz w:val="24"/>
          <w:lang w:bidi="ar"/>
        </w:rPr>
        <w:t>截止时间：</w:t>
      </w:r>
      <w:r>
        <w:rPr>
          <w:rFonts w:hint="eastAsia"/>
          <w:sz w:val="24"/>
        </w:rPr>
        <w:t>2024</w:t>
      </w:r>
      <w:r>
        <w:rPr>
          <w:sz w:val="24"/>
          <w:lang w:bidi="ar"/>
        </w:rPr>
        <w:t>年</w:t>
      </w:r>
      <w:r>
        <w:rPr>
          <w:rFonts w:hint="eastAsia"/>
          <w:sz w:val="24"/>
          <w:lang w:val="en-US" w:eastAsia="zh-CN" w:bidi="ar"/>
        </w:rPr>
        <w:t>11</w:t>
      </w:r>
      <w:r>
        <w:rPr>
          <w:sz w:val="24"/>
          <w:lang w:bidi="ar"/>
        </w:rPr>
        <w:t>月</w:t>
      </w:r>
      <w:r>
        <w:rPr>
          <w:rFonts w:hint="eastAsia"/>
          <w:sz w:val="24"/>
          <w:lang w:val="en-US" w:eastAsia="zh-CN" w:bidi="ar"/>
        </w:rPr>
        <w:t>12</w:t>
      </w:r>
      <w:r>
        <w:rPr>
          <w:sz w:val="24"/>
          <w:lang w:bidi="ar"/>
        </w:rPr>
        <w:t>日</w:t>
      </w:r>
      <w:r>
        <w:rPr>
          <w:rFonts w:hint="eastAsia"/>
          <w:sz w:val="24"/>
          <w:lang w:bidi="ar"/>
        </w:rPr>
        <w:t>上午</w:t>
      </w:r>
      <w:r>
        <w:rPr>
          <w:rFonts w:hint="eastAsia"/>
          <w:sz w:val="24"/>
        </w:rPr>
        <w:t>09</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ascii="宋体" w:hAnsi="宋体"/>
          <w:sz w:val="24"/>
          <w:lang w:bidi="ar"/>
        </w:rPr>
        <w:t>北京市西城区广安门外大街甲275号</w:t>
      </w:r>
      <w:r>
        <w:rPr>
          <w:rFonts w:hint="eastAsia" w:ascii="宋体" w:hAnsi="宋体"/>
          <w:sz w:val="24"/>
          <w:lang w:val="en-US" w:eastAsia="zh-CN" w:bidi="ar"/>
        </w:rPr>
        <w:t>6</w:t>
      </w:r>
      <w:r>
        <w:rPr>
          <w:rFonts w:hint="eastAsia" w:ascii="宋体" w:hAnsi="宋体"/>
          <w:sz w:val="24"/>
          <w:lang w:bidi="ar"/>
        </w:rPr>
        <w:t>层</w:t>
      </w:r>
      <w:r>
        <w:rPr>
          <w:rFonts w:hint="eastAsia" w:ascii="宋体" w:hAnsi="宋体"/>
          <w:sz w:val="24"/>
          <w:lang w:val="en-US" w:eastAsia="zh-CN" w:bidi="ar"/>
        </w:rPr>
        <w:t>602</w:t>
      </w:r>
      <w:r>
        <w:rPr>
          <w:rFonts w:hint="eastAsia" w:ascii="宋体" w:hAnsi="宋体"/>
          <w:sz w:val="24"/>
          <w:lang w:bidi="ar"/>
        </w:rPr>
        <w:t>会议室</w:t>
      </w:r>
      <w:r>
        <w:rPr>
          <w:rFonts w:ascii="宋体" w:hAnsi="宋体"/>
          <w:sz w:val="24"/>
          <w:lang w:val="zh-TW"/>
        </w:rPr>
        <w:t>。</w:t>
      </w:r>
    </w:p>
    <w:p>
      <w:pPr>
        <w:spacing w:line="360" w:lineRule="auto"/>
        <w:ind w:firstLine="480" w:firstLineChars="200"/>
        <w:rPr>
          <w:sz w:val="24"/>
          <w:highlight w:val="yellow"/>
          <w:lang w:val="zh-TW" w:bidi="ar"/>
        </w:rPr>
      </w:pPr>
    </w:p>
    <w:p>
      <w:pPr>
        <w:pStyle w:val="5"/>
        <w:spacing w:before="0" w:line="360" w:lineRule="auto"/>
        <w:jc w:val="left"/>
        <w:rPr>
          <w:rFonts w:ascii="Times New Roman" w:hAnsi="Times New Roman" w:eastAsia="宋体"/>
          <w:sz w:val="24"/>
          <w:szCs w:val="24"/>
        </w:rPr>
      </w:pPr>
      <w:r>
        <w:rPr>
          <w:rFonts w:ascii="Times New Roman" w:hAnsi="Times New Roman" w:eastAsia="宋体"/>
          <w:sz w:val="24"/>
          <w:szCs w:val="24"/>
        </w:rPr>
        <w:t>五、开启</w:t>
      </w:r>
    </w:p>
    <w:p>
      <w:pPr>
        <w:spacing w:line="360" w:lineRule="auto"/>
        <w:ind w:firstLine="480" w:firstLineChars="200"/>
        <w:rPr>
          <w:bCs/>
          <w:sz w:val="24"/>
          <w:u w:val="single"/>
        </w:rPr>
      </w:pPr>
      <w:r>
        <w:rPr>
          <w:sz w:val="24"/>
          <w:lang w:bidi="ar"/>
        </w:rPr>
        <w:t>时间：</w:t>
      </w:r>
      <w:r>
        <w:rPr>
          <w:rFonts w:hint="eastAsia"/>
          <w:sz w:val="24"/>
        </w:rPr>
        <w:t>2024</w:t>
      </w:r>
      <w:r>
        <w:rPr>
          <w:sz w:val="24"/>
          <w:lang w:bidi="ar"/>
        </w:rPr>
        <w:t>年</w:t>
      </w:r>
      <w:r>
        <w:rPr>
          <w:rFonts w:hint="eastAsia"/>
          <w:sz w:val="24"/>
          <w:lang w:val="en-US" w:eastAsia="zh-CN" w:bidi="ar"/>
        </w:rPr>
        <w:t>11</w:t>
      </w:r>
      <w:r>
        <w:rPr>
          <w:sz w:val="24"/>
          <w:lang w:bidi="ar"/>
        </w:rPr>
        <w:t>月</w:t>
      </w:r>
      <w:r>
        <w:rPr>
          <w:rFonts w:hint="eastAsia"/>
          <w:sz w:val="24"/>
          <w:lang w:val="en-US" w:eastAsia="zh-CN" w:bidi="ar"/>
        </w:rPr>
        <w:t>12</w:t>
      </w:r>
      <w:r>
        <w:rPr>
          <w:sz w:val="24"/>
          <w:lang w:bidi="ar"/>
        </w:rPr>
        <w:t>日</w:t>
      </w:r>
      <w:r>
        <w:rPr>
          <w:rFonts w:hint="eastAsia"/>
          <w:sz w:val="24"/>
          <w:lang w:bidi="ar"/>
        </w:rPr>
        <w:t>上午</w:t>
      </w:r>
      <w:r>
        <w:rPr>
          <w:rFonts w:hint="eastAsia"/>
          <w:sz w:val="24"/>
        </w:rPr>
        <w:t>09</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ascii="宋体" w:hAnsi="宋体"/>
          <w:sz w:val="24"/>
          <w:lang w:bidi="ar"/>
        </w:rPr>
        <w:t>北京市西城区广安门外大街甲275号</w:t>
      </w:r>
      <w:r>
        <w:rPr>
          <w:rFonts w:hint="eastAsia" w:ascii="宋体" w:hAnsi="宋体"/>
          <w:sz w:val="24"/>
          <w:lang w:val="en-US" w:eastAsia="zh-CN" w:bidi="ar"/>
        </w:rPr>
        <w:t>6</w:t>
      </w:r>
      <w:r>
        <w:rPr>
          <w:rFonts w:hint="eastAsia" w:ascii="宋体" w:hAnsi="宋体"/>
          <w:sz w:val="24"/>
          <w:lang w:bidi="ar"/>
        </w:rPr>
        <w:t>层</w:t>
      </w:r>
      <w:r>
        <w:rPr>
          <w:rFonts w:hint="eastAsia" w:ascii="宋体" w:hAnsi="宋体"/>
          <w:sz w:val="24"/>
          <w:lang w:val="en-US" w:eastAsia="zh-CN" w:bidi="ar"/>
        </w:rPr>
        <w:t>602</w:t>
      </w:r>
      <w:r>
        <w:rPr>
          <w:rFonts w:hint="eastAsia" w:ascii="宋体" w:hAnsi="宋体"/>
          <w:sz w:val="24"/>
          <w:lang w:bidi="ar"/>
        </w:rPr>
        <w:t>会议室</w:t>
      </w:r>
      <w:r>
        <w:rPr>
          <w:rFonts w:ascii="宋体" w:hAnsi="宋体"/>
          <w:sz w:val="24"/>
          <w:lang w:val="zh-TW"/>
        </w:rPr>
        <w:t>。</w:t>
      </w:r>
    </w:p>
    <w:p>
      <w:pPr>
        <w:spacing w:line="360" w:lineRule="auto"/>
        <w:ind w:firstLine="480" w:firstLineChars="200"/>
        <w:rPr>
          <w:bCs/>
          <w:sz w:val="24"/>
          <w:u w:val="single"/>
        </w:rPr>
      </w:pPr>
    </w:p>
    <w:p>
      <w:pPr>
        <w:pStyle w:val="5"/>
        <w:spacing w:before="0" w:line="360" w:lineRule="auto"/>
        <w:jc w:val="left"/>
        <w:rPr>
          <w:rFonts w:ascii="Times New Roman" w:hAnsi="Times New Roman" w:eastAsia="宋体"/>
          <w:sz w:val="24"/>
          <w:szCs w:val="24"/>
        </w:rPr>
      </w:pPr>
      <w:bookmarkStart w:id="20" w:name="_Toc28359007"/>
      <w:bookmarkStart w:id="21" w:name="_Toc35393794"/>
      <w:bookmarkStart w:id="22" w:name="_Toc35393625"/>
      <w:bookmarkStart w:id="23" w:name="_Toc28359084"/>
      <w:r>
        <w:rPr>
          <w:rFonts w:ascii="Times New Roman" w:hAnsi="Times New Roman" w:eastAsia="宋体"/>
          <w:sz w:val="24"/>
          <w:szCs w:val="24"/>
        </w:rPr>
        <w:t>六、公告期限</w:t>
      </w:r>
      <w:bookmarkEnd w:id="20"/>
      <w:bookmarkEnd w:id="21"/>
      <w:bookmarkEnd w:id="22"/>
      <w:bookmarkEnd w:id="23"/>
    </w:p>
    <w:p>
      <w:pPr>
        <w:spacing w:line="360" w:lineRule="auto"/>
        <w:ind w:firstLine="480" w:firstLineChars="200"/>
        <w:rPr>
          <w:kern w:val="0"/>
          <w:sz w:val="24"/>
        </w:rPr>
      </w:pPr>
      <w:r>
        <w:rPr>
          <w:kern w:val="0"/>
          <w:sz w:val="24"/>
        </w:rPr>
        <w:t>自本公告发布之日起3个工作日。</w:t>
      </w:r>
    </w:p>
    <w:p>
      <w:pPr>
        <w:spacing w:line="360" w:lineRule="auto"/>
        <w:ind w:firstLine="480" w:firstLineChars="200"/>
        <w:rPr>
          <w:kern w:val="0"/>
          <w:sz w:val="24"/>
        </w:rPr>
      </w:pPr>
    </w:p>
    <w:p>
      <w:pPr>
        <w:pStyle w:val="5"/>
        <w:spacing w:before="0" w:line="360" w:lineRule="auto"/>
        <w:jc w:val="left"/>
        <w:rPr>
          <w:rFonts w:ascii="Times New Roman" w:hAnsi="Times New Roman" w:eastAsia="宋体"/>
          <w:sz w:val="24"/>
          <w:szCs w:val="24"/>
        </w:rPr>
      </w:pPr>
      <w:bookmarkStart w:id="24" w:name="_Toc35393795"/>
      <w:bookmarkStart w:id="25" w:name="_Toc35393626"/>
      <w:r>
        <w:rPr>
          <w:rFonts w:ascii="Times New Roman" w:hAnsi="Times New Roman" w:eastAsia="宋体"/>
          <w:sz w:val="24"/>
          <w:szCs w:val="24"/>
        </w:rPr>
        <w:t>七、其他补充事宜</w:t>
      </w:r>
      <w:bookmarkEnd w:id="24"/>
      <w:bookmarkEnd w:id="25"/>
    </w:p>
    <w:p>
      <w:pPr>
        <w:spacing w:line="360" w:lineRule="auto"/>
        <w:ind w:firstLine="480" w:firstLineChars="200"/>
        <w:rPr>
          <w:rFonts w:ascii="宋体" w:hAnsi="宋体" w:cs="宋体"/>
          <w:sz w:val="24"/>
        </w:rPr>
      </w:pPr>
      <w:r>
        <w:rPr>
          <w:rFonts w:hint="eastAsia" w:ascii="宋体" w:hAnsi="宋体" w:cs="宋体"/>
          <w:sz w:val="24"/>
        </w:rPr>
        <w:t>1.本项目需要落实的政府采购政策：</w:t>
      </w:r>
      <w:r>
        <w:rPr>
          <w:rFonts w:hint="eastAsia" w:ascii="宋体" w:hAnsi="宋体" w:cs="宋体"/>
          <w:sz w:val="24"/>
          <w:u w:val="single"/>
        </w:rPr>
        <w:t>促进中小企业、监狱企业、残疾人福利性单位发展</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2.本项目的采购公告仅在中国政府采购网(www.ccgp.gov.cn)、北京市政府采购网(www.ccgp-beijing.gov.cn)上发布。</w:t>
      </w:r>
    </w:p>
    <w:p>
      <w:pPr>
        <w:spacing w:line="360" w:lineRule="auto"/>
        <w:ind w:firstLine="480" w:firstLineChars="200"/>
        <w:rPr>
          <w:rFonts w:ascii="宋体" w:hAnsi="宋体" w:cs="宋体"/>
          <w:sz w:val="24"/>
        </w:rPr>
      </w:pPr>
      <w:r>
        <w:rPr>
          <w:rFonts w:hint="eastAsia" w:ascii="宋体" w:hAnsi="宋体" w:cs="宋体"/>
          <w:sz w:val="24"/>
        </w:rPr>
        <w:t>3.本项目评审方法和标准：综合评分法，总分100分。</w:t>
      </w:r>
    </w:p>
    <w:p>
      <w:pPr>
        <w:spacing w:line="360" w:lineRule="auto"/>
        <w:ind w:firstLine="480" w:firstLineChars="200"/>
        <w:rPr>
          <w:rFonts w:ascii="宋体" w:hAnsi="宋体"/>
          <w:sz w:val="24"/>
        </w:rPr>
      </w:pPr>
      <w:r>
        <w:rPr>
          <w:rFonts w:hint="eastAsia" w:ascii="宋体" w:hAnsi="宋体" w:cs="宋体"/>
          <w:sz w:val="24"/>
        </w:rPr>
        <w:t>4.响应文件</w:t>
      </w:r>
      <w:r>
        <w:rPr>
          <w:rFonts w:hint="eastAsia" w:ascii="宋体" w:hAnsi="宋体"/>
          <w:sz w:val="24"/>
        </w:rPr>
        <w:t>请于提交当日（提交响应文件截止时间之前）递交至提交地点，逾期递交的文件恕不接受。</w:t>
      </w:r>
    </w:p>
    <w:p>
      <w:pPr>
        <w:spacing w:line="360" w:lineRule="auto"/>
        <w:ind w:firstLine="480" w:firstLineChars="200"/>
        <w:rPr>
          <w:rFonts w:ascii="宋体" w:hAnsi="宋体"/>
          <w:sz w:val="24"/>
        </w:rPr>
      </w:pPr>
      <w:r>
        <w:rPr>
          <w:rFonts w:hint="eastAsia" w:ascii="宋体" w:hAnsi="宋体"/>
          <w:sz w:val="24"/>
        </w:rPr>
        <w:t>5.届时请供应商派委托代理人参加磋商活动，且需携带本人身份证。</w:t>
      </w:r>
    </w:p>
    <w:p>
      <w:pPr>
        <w:spacing w:line="360" w:lineRule="auto"/>
        <w:ind w:firstLine="480" w:firstLineChars="200"/>
        <w:rPr>
          <w:rFonts w:ascii="宋体" w:hAnsi="宋体"/>
          <w:sz w:val="24"/>
        </w:rPr>
      </w:pPr>
      <w:r>
        <w:rPr>
          <w:rFonts w:hint="eastAsia" w:ascii="宋体" w:hAnsi="宋体"/>
          <w:sz w:val="24"/>
        </w:rPr>
        <w:t>6.如本公告内容和磋商文件内容不一致，以磋商文件为准。</w:t>
      </w:r>
    </w:p>
    <w:p>
      <w:pPr>
        <w:spacing w:line="360" w:lineRule="auto"/>
        <w:ind w:firstLine="480" w:firstLineChars="200"/>
        <w:rPr>
          <w:rFonts w:ascii="宋体" w:hAnsi="宋体"/>
          <w:sz w:val="24"/>
        </w:rPr>
      </w:pPr>
      <w:r>
        <w:rPr>
          <w:rFonts w:hint="eastAsia" w:ascii="宋体" w:hAnsi="宋体"/>
          <w:sz w:val="24"/>
        </w:rPr>
        <w:t>7.最终响应文件提交截止时间和开启时间为同一时间，最终报价提交截止时间和开启时间也为同一时间，由磋商小组根据磋商情况现场确定。最终响应文件和最终报价提交、开启地点同首次响应文件提交、开启地点。</w:t>
      </w:r>
    </w:p>
    <w:p>
      <w:pPr>
        <w:spacing w:line="360" w:lineRule="auto"/>
        <w:ind w:firstLine="420"/>
        <w:rPr>
          <w:sz w:val="24"/>
        </w:rPr>
      </w:pPr>
      <w:r>
        <w:rPr>
          <w:rFonts w:hint="eastAsia"/>
          <w:sz w:val="24"/>
        </w:rPr>
        <w:t>8</w:t>
      </w:r>
      <w:r>
        <w:rPr>
          <w:rFonts w:hint="eastAsia"/>
          <w:sz w:val="24"/>
          <w:lang w:eastAsia="zh-TW"/>
        </w:rPr>
        <w:t>.收款单位：北京市工业设计研究院有限公司；</w:t>
      </w:r>
    </w:p>
    <w:p>
      <w:pPr>
        <w:spacing w:line="360" w:lineRule="auto"/>
        <w:ind w:firstLine="480" w:firstLineChars="200"/>
        <w:rPr>
          <w:sz w:val="24"/>
          <w:lang w:eastAsia="zh-TW"/>
        </w:rPr>
      </w:pPr>
      <w:r>
        <w:rPr>
          <w:rFonts w:hint="eastAsia"/>
          <w:sz w:val="24"/>
          <w:lang w:eastAsia="zh-TW"/>
        </w:rPr>
        <w:t xml:space="preserve">开户行：中国银行北京莲花河支行； </w:t>
      </w:r>
    </w:p>
    <w:p>
      <w:pPr>
        <w:spacing w:line="360" w:lineRule="auto"/>
        <w:ind w:firstLine="480" w:firstLineChars="200"/>
        <w:rPr>
          <w:rFonts w:ascii="宋体" w:hAnsi="宋体"/>
          <w:color w:val="000000"/>
          <w:sz w:val="24"/>
        </w:rPr>
      </w:pPr>
      <w:r>
        <w:rPr>
          <w:rFonts w:hint="eastAsia"/>
          <w:sz w:val="24"/>
          <w:lang w:eastAsia="zh-TW"/>
        </w:rPr>
        <w:t>账号：</w:t>
      </w:r>
      <w:r>
        <w:rPr>
          <w:sz w:val="24"/>
          <w:lang w:eastAsia="zh-TW"/>
        </w:rPr>
        <w:t>335064872347</w:t>
      </w:r>
      <w:r>
        <w:rPr>
          <w:rFonts w:hint="eastAsia"/>
          <w:sz w:val="24"/>
          <w:lang w:eastAsia="zh-TW"/>
        </w:rPr>
        <w:t>。</w:t>
      </w:r>
    </w:p>
    <w:p>
      <w:pPr>
        <w:spacing w:line="360" w:lineRule="auto"/>
        <w:ind w:firstLine="480" w:firstLineChars="200"/>
        <w:rPr>
          <w:sz w:val="24"/>
        </w:rPr>
      </w:pPr>
    </w:p>
    <w:p>
      <w:pPr>
        <w:pStyle w:val="5"/>
        <w:spacing w:before="0" w:line="360" w:lineRule="auto"/>
        <w:jc w:val="left"/>
        <w:rPr>
          <w:rFonts w:ascii="Times New Roman" w:hAnsi="Times New Roman" w:eastAsia="宋体"/>
          <w:sz w:val="24"/>
          <w:szCs w:val="24"/>
        </w:rPr>
      </w:pPr>
      <w:bookmarkStart w:id="26" w:name="_Toc28359008"/>
      <w:bookmarkStart w:id="27" w:name="_Toc35393627"/>
      <w:bookmarkStart w:id="28" w:name="_Toc35393796"/>
      <w:bookmarkStart w:id="29" w:name="_Toc28359085"/>
      <w:r>
        <w:rPr>
          <w:rFonts w:ascii="Times New Roman" w:hAnsi="Times New Roman" w:eastAsia="宋体"/>
          <w:sz w:val="24"/>
          <w:szCs w:val="24"/>
        </w:rPr>
        <w:t>八、对本</w:t>
      </w:r>
      <w:r>
        <w:rPr>
          <w:rFonts w:hint="eastAsia" w:ascii="Times New Roman" w:hAnsi="Times New Roman" w:eastAsia="宋体"/>
          <w:sz w:val="24"/>
          <w:szCs w:val="24"/>
        </w:rPr>
        <w:t>次采购</w:t>
      </w:r>
      <w:r>
        <w:rPr>
          <w:rFonts w:ascii="Times New Roman" w:hAnsi="Times New Roman" w:eastAsia="宋体"/>
          <w:sz w:val="24"/>
          <w:szCs w:val="24"/>
        </w:rPr>
        <w:t>提出询问，请按以下方式联系。</w:t>
      </w:r>
      <w:bookmarkEnd w:id="26"/>
      <w:bookmarkEnd w:id="27"/>
      <w:bookmarkEnd w:id="28"/>
      <w:bookmarkEnd w:id="29"/>
    </w:p>
    <w:p>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pPr>
        <w:spacing w:line="360" w:lineRule="auto"/>
        <w:ind w:left="1079" w:leftChars="371" w:hanging="300" w:hangingChars="125"/>
        <w:jc w:val="left"/>
        <w:rPr>
          <w:rFonts w:ascii="宋体" w:hAnsi="宋体" w:cs="宋体"/>
          <w:sz w:val="24"/>
          <w:u w:val="single"/>
        </w:rPr>
      </w:pPr>
      <w:bookmarkStart w:id="30" w:name="_Toc28359009"/>
      <w:bookmarkStart w:id="31" w:name="_Toc28359086"/>
      <w:r>
        <w:rPr>
          <w:rFonts w:hint="eastAsia" w:ascii="宋体" w:hAnsi="宋体" w:cs="宋体"/>
          <w:sz w:val="24"/>
        </w:rPr>
        <w:t>名    称：</w:t>
      </w:r>
      <w:r>
        <w:rPr>
          <w:rFonts w:hint="eastAsia" w:ascii="宋体" w:hAnsi="宋体" w:cs="宋体"/>
          <w:sz w:val="24"/>
          <w:u w:val="single"/>
        </w:rPr>
        <w:t>北京市残疾人服务示范中心</w:t>
      </w:r>
    </w:p>
    <w:p>
      <w:pPr>
        <w:spacing w:line="360" w:lineRule="auto"/>
        <w:ind w:left="1079" w:leftChars="371" w:hanging="300" w:hangingChars="125"/>
        <w:jc w:val="left"/>
        <w:rPr>
          <w:rFonts w:ascii="宋体" w:hAnsi="宋体" w:cs="宋体"/>
          <w:sz w:val="24"/>
        </w:rPr>
      </w:pPr>
      <w:r>
        <w:rPr>
          <w:rFonts w:hint="eastAsia" w:ascii="宋体" w:hAnsi="宋体" w:cs="宋体"/>
          <w:sz w:val="24"/>
        </w:rPr>
        <w:t>地    址：</w:t>
      </w:r>
      <w:r>
        <w:rPr>
          <w:rFonts w:hint="eastAsia" w:ascii="宋体" w:hAnsi="宋体" w:cs="宋体"/>
          <w:sz w:val="24"/>
          <w:u w:val="single"/>
        </w:rPr>
        <w:t>北京市丰台区莲花池南里23号汇爱大厦</w:t>
      </w:r>
    </w:p>
    <w:p>
      <w:pPr>
        <w:spacing w:line="360" w:lineRule="auto"/>
        <w:ind w:left="1079" w:leftChars="371" w:hanging="300" w:hangingChars="125"/>
        <w:jc w:val="left"/>
        <w:rPr>
          <w:rFonts w:ascii="宋体" w:hAnsi="宋体" w:cs="宋体"/>
          <w:sz w:val="24"/>
          <w:u w:val="single"/>
        </w:rPr>
      </w:pPr>
      <w:r>
        <w:rPr>
          <w:rFonts w:hint="eastAsia" w:ascii="宋体" w:hAnsi="宋体" w:cs="宋体"/>
          <w:sz w:val="24"/>
        </w:rPr>
        <w:t>联系方式：</w:t>
      </w:r>
      <w:r>
        <w:rPr>
          <w:rFonts w:hint="eastAsia" w:ascii="宋体" w:hAnsi="宋体" w:cs="宋体"/>
          <w:sz w:val="24"/>
          <w:u w:val="single"/>
        </w:rPr>
        <w:t>王老师，010-83771835</w:t>
      </w:r>
    </w:p>
    <w:p>
      <w:pPr>
        <w:spacing w:line="360" w:lineRule="auto"/>
        <w:ind w:left="1080" w:leftChars="371" w:hanging="301" w:hangingChars="125"/>
        <w:jc w:val="left"/>
        <w:rPr>
          <w:rFonts w:ascii="宋体" w:hAnsi="宋体" w:cs="宋体"/>
          <w:b/>
          <w:sz w:val="24"/>
        </w:rPr>
      </w:pPr>
      <w:r>
        <w:rPr>
          <w:rFonts w:hint="eastAsia" w:ascii="宋体" w:hAnsi="宋体" w:cs="宋体"/>
          <w:b/>
          <w:sz w:val="24"/>
        </w:rPr>
        <w:t>2.采购代理机构信息</w:t>
      </w:r>
      <w:bookmarkEnd w:id="30"/>
      <w:bookmarkEnd w:id="31"/>
    </w:p>
    <w:p>
      <w:pPr>
        <w:spacing w:line="360" w:lineRule="auto"/>
        <w:ind w:left="1076" w:leftChars="371" w:hanging="297" w:hangingChars="124"/>
        <w:rPr>
          <w:rFonts w:ascii="宋体" w:hAnsi="宋体" w:cs="宋体"/>
          <w:sz w:val="24"/>
        </w:rPr>
      </w:pPr>
      <w:bookmarkStart w:id="32" w:name="_Toc28359087"/>
      <w:bookmarkStart w:id="33" w:name="_Toc28359010"/>
      <w:r>
        <w:rPr>
          <w:rFonts w:hint="eastAsia" w:ascii="宋体" w:hAnsi="宋体" w:cs="宋体"/>
          <w:sz w:val="24"/>
        </w:rPr>
        <w:t>名    称：</w:t>
      </w:r>
      <w:r>
        <w:rPr>
          <w:rFonts w:hint="eastAsia" w:ascii="宋体" w:hAnsi="宋体" w:cs="宋体"/>
          <w:sz w:val="24"/>
          <w:u w:val="single"/>
        </w:rPr>
        <w:t>北京市工业设计研究院有限公司</w:t>
      </w:r>
    </w:p>
    <w:p>
      <w:pPr>
        <w:spacing w:line="360" w:lineRule="auto"/>
        <w:ind w:left="1076" w:leftChars="371" w:hanging="297" w:hangingChars="124"/>
        <w:rPr>
          <w:rFonts w:ascii="宋体" w:hAnsi="宋体" w:cs="宋体"/>
          <w:sz w:val="24"/>
        </w:rPr>
      </w:pPr>
      <w:r>
        <w:rPr>
          <w:rFonts w:hint="eastAsia" w:ascii="宋体" w:hAnsi="宋体" w:cs="宋体"/>
          <w:sz w:val="24"/>
        </w:rPr>
        <w:t>地    址：</w:t>
      </w:r>
      <w:r>
        <w:rPr>
          <w:rFonts w:hint="eastAsia" w:ascii="宋体" w:hAnsi="宋体" w:cs="宋体"/>
          <w:sz w:val="24"/>
          <w:u w:val="single"/>
        </w:rPr>
        <w:t>北京市西城区广安门外大街甲275号</w:t>
      </w:r>
    </w:p>
    <w:p>
      <w:pPr>
        <w:spacing w:line="360" w:lineRule="auto"/>
        <w:ind w:left="1076" w:leftChars="371" w:hanging="297" w:hangingChars="124"/>
        <w:rPr>
          <w:rFonts w:ascii="宋体" w:hAnsi="宋体" w:cs="宋体"/>
          <w:sz w:val="24"/>
        </w:rPr>
      </w:pPr>
      <w:r>
        <w:rPr>
          <w:rFonts w:hint="eastAsia" w:ascii="宋体" w:hAnsi="宋体" w:cs="宋体"/>
          <w:sz w:val="24"/>
        </w:rPr>
        <w:t>联系方式：</w:t>
      </w:r>
      <w:r>
        <w:rPr>
          <w:rFonts w:hint="eastAsia" w:ascii="宋体" w:hAnsi="宋体" w:cs="宋体"/>
          <w:sz w:val="24"/>
          <w:u w:val="single"/>
        </w:rPr>
        <w:t>王老师，010-63256361转6177</w:t>
      </w:r>
      <w:r>
        <w:rPr>
          <w:rFonts w:hint="eastAsia" w:ascii="宋体" w:hAnsi="宋体" w:cs="宋体"/>
          <w:sz w:val="24"/>
        </w:rPr>
        <w:t xml:space="preserve">  </w:t>
      </w:r>
    </w:p>
    <w:p>
      <w:pPr>
        <w:spacing w:line="360" w:lineRule="auto"/>
        <w:ind w:left="1078" w:leftChars="371" w:hanging="299" w:hangingChars="124"/>
        <w:rPr>
          <w:rFonts w:ascii="宋体" w:hAnsi="宋体" w:cs="宋体"/>
          <w:b/>
          <w:sz w:val="24"/>
          <w:u w:val="single"/>
        </w:rPr>
      </w:pPr>
      <w:r>
        <w:rPr>
          <w:rFonts w:hint="eastAsia" w:ascii="宋体" w:hAnsi="宋体" w:cs="宋体"/>
          <w:b/>
          <w:sz w:val="24"/>
        </w:rPr>
        <w:t>3.项目联系方式</w:t>
      </w:r>
      <w:bookmarkEnd w:id="32"/>
      <w:bookmarkEnd w:id="33"/>
    </w:p>
    <w:p>
      <w:pPr>
        <w:pStyle w:val="24"/>
        <w:spacing w:line="360" w:lineRule="auto"/>
        <w:ind w:left="1076" w:leftChars="371" w:hanging="297" w:hangingChars="124"/>
        <w:rPr>
          <w:rFonts w:hint="default" w:hAnsi="宋体" w:cs="宋体"/>
          <w:sz w:val="24"/>
          <w:szCs w:val="24"/>
          <w:u w:val="single"/>
        </w:rPr>
      </w:pPr>
      <w:r>
        <w:rPr>
          <w:rFonts w:hAnsi="宋体" w:cs="宋体"/>
          <w:sz w:val="24"/>
          <w:szCs w:val="24"/>
        </w:rPr>
        <w:t>项目联系人：</w:t>
      </w:r>
      <w:r>
        <w:rPr>
          <w:rFonts w:hAnsi="宋体" w:cs="宋体"/>
          <w:sz w:val="24"/>
          <w:u w:val="single"/>
        </w:rPr>
        <w:t>王老师</w:t>
      </w:r>
    </w:p>
    <w:p>
      <w:pPr>
        <w:pStyle w:val="24"/>
        <w:spacing w:line="360" w:lineRule="auto"/>
        <w:ind w:left="1076" w:leftChars="371" w:hanging="297" w:hangingChars="124"/>
        <w:rPr>
          <w:rFonts w:hint="default" w:hAnsi="宋体" w:cs="宋体"/>
          <w:sz w:val="24"/>
          <w:szCs w:val="24"/>
        </w:rPr>
      </w:pPr>
      <w:r>
        <w:rPr>
          <w:rFonts w:hAnsi="宋体" w:cs="宋体"/>
          <w:sz w:val="24"/>
          <w:szCs w:val="24"/>
        </w:rPr>
        <w:t>电      话：</w:t>
      </w:r>
      <w:r>
        <w:rPr>
          <w:rFonts w:hAnsi="宋体" w:cs="宋体"/>
          <w:sz w:val="24"/>
          <w:u w:val="single"/>
        </w:rPr>
        <w:t>010-63256361转6177</w:t>
      </w:r>
      <w:r>
        <w:rPr>
          <w:rFonts w:hAnsi="宋体" w:cs="宋体"/>
          <w:sz w:val="24"/>
          <w:szCs w:val="24"/>
        </w:rPr>
        <w:t xml:space="preserve"> </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4" w:name="_Toc305158928"/>
      <w:bookmarkStart w:id="35" w:name="_Toc353873938"/>
      <w:bookmarkStart w:id="36" w:name="_Toc127151777"/>
      <w:bookmarkStart w:id="37" w:name="_Toc265228423"/>
      <w:bookmarkStart w:id="38" w:name="_Toc264969275"/>
      <w:bookmarkStart w:id="39" w:name="_Toc150774783"/>
      <w:bookmarkStart w:id="40" w:name="_Toc305158854"/>
      <w:bookmarkStart w:id="41" w:name="_Toc353825548"/>
      <w:bookmarkStart w:id="42" w:name="_Toc127161488"/>
      <w:bookmarkStart w:id="43" w:name="_Toc19887"/>
      <w:bookmarkStart w:id="44" w:name="_Toc512937850"/>
      <w:bookmarkStart w:id="45" w:name="_Toc195842950"/>
      <w:bookmarkStart w:id="46" w:name="_Toc226965856"/>
      <w:r>
        <w:rPr>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5"/>
        <w:tabs>
          <w:tab w:val="center" w:pos="4592"/>
          <w:tab w:val="left" w:pos="7860"/>
        </w:tabs>
        <w:spacing w:before="0" w:line="360" w:lineRule="auto"/>
        <w:rPr>
          <w:rFonts w:ascii="Times New Roman" w:hAnsi="Times New Roman" w:eastAsia="宋体"/>
          <w:b w:val="0"/>
          <w:sz w:val="28"/>
        </w:rPr>
      </w:pPr>
      <w:bookmarkStart w:id="47" w:name="_Toc150480757"/>
      <w:bookmarkStart w:id="48" w:name="_Toc127151720"/>
      <w:bookmarkStart w:id="49" w:name="_Toc164608633"/>
      <w:bookmarkStart w:id="50" w:name="_Toc151190146"/>
      <w:bookmarkStart w:id="51" w:name="_Toc151193617"/>
      <w:bookmarkStart w:id="52" w:name="_Toc150509270"/>
      <w:bookmarkStart w:id="53" w:name="_Toc226309763"/>
      <w:bookmarkStart w:id="54" w:name="_Toc151193761"/>
      <w:bookmarkStart w:id="55" w:name="_Toc226337215"/>
      <w:bookmarkStart w:id="56" w:name="_Toc195842884"/>
      <w:bookmarkStart w:id="57" w:name="_Toc151193907"/>
      <w:bookmarkStart w:id="58" w:name="_Toc149720812"/>
      <w:bookmarkStart w:id="59" w:name="_Toc150774724"/>
      <w:bookmarkStart w:id="60" w:name="_Toc164229360"/>
      <w:bookmarkStart w:id="61" w:name="_Toc520356144"/>
      <w:bookmarkStart w:id="62" w:name="_Toc142311021"/>
      <w:bookmarkStart w:id="63" w:name="_Toc164351613"/>
      <w:bookmarkStart w:id="64" w:name="_Toc127151519"/>
      <w:bookmarkStart w:id="65" w:name="_Toc151193833"/>
      <w:bookmarkStart w:id="66" w:name="_Toc226965709"/>
      <w:bookmarkStart w:id="67" w:name="_Toc151193689"/>
      <w:bookmarkStart w:id="68" w:name="_Toc127161433"/>
      <w:bookmarkStart w:id="69" w:name="_Toc226965792"/>
      <w:bookmarkStart w:id="70" w:name="_Toc164229214"/>
      <w:bookmarkStart w:id="71" w:name="_Toc150774619"/>
      <w:bookmarkStart w:id="72" w:name="_Toc164608788"/>
      <w:r>
        <w:rPr>
          <w:rFonts w:ascii="Times New Roman" w:hAnsi="Times New Roman" w:eastAsia="宋体"/>
          <w:sz w:val="28"/>
        </w:rPr>
        <w:t>供应商须知资料表</w:t>
      </w:r>
    </w:p>
    <w:p>
      <w:pPr>
        <w:jc w:val="center"/>
        <w:rPr>
          <w:b/>
          <w:sz w:val="28"/>
          <w:szCs w:val="28"/>
        </w:rPr>
      </w:pPr>
    </w:p>
    <w:p>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45"/>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6767"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6767" w:type="dxa"/>
            <w:vAlign w:val="center"/>
          </w:tcPr>
          <w:p>
            <w:pPr>
              <w:jc w:val="left"/>
              <w:rPr>
                <w:sz w:val="24"/>
              </w:rPr>
            </w:pPr>
            <w:r>
              <w:rPr>
                <w:sz w:val="24"/>
              </w:rPr>
              <w:t>项目属性：</w:t>
            </w:r>
          </w:p>
          <w:p>
            <w:pPr>
              <w:jc w:val="left"/>
              <w:rPr>
                <w:sz w:val="24"/>
              </w:rPr>
            </w:pPr>
            <w:r>
              <w:rPr>
                <w:rFonts w:hint="eastAsia"/>
                <w:sz w:val="24"/>
              </w:rPr>
              <w:t>■</w:t>
            </w:r>
            <w:r>
              <w:rPr>
                <w:sz w:val="24"/>
              </w:rPr>
              <w:t>服务</w:t>
            </w:r>
          </w:p>
          <w:p>
            <w:pPr>
              <w:jc w:val="left"/>
              <w:rPr>
                <w:sz w:val="24"/>
              </w:rPr>
            </w:pPr>
            <w:r>
              <w:rPr>
                <w:sz w:val="36"/>
                <w:szCs w:val="44"/>
              </w:rPr>
              <w:t>□</w:t>
            </w:r>
            <w:r>
              <w:rPr>
                <w:sz w:val="24"/>
              </w:rPr>
              <w:t>货物</w:t>
            </w:r>
          </w:p>
          <w:p>
            <w:pPr>
              <w:jc w:val="left"/>
              <w:rPr>
                <w:sz w:val="24"/>
                <w:u w:val="single"/>
              </w:rPr>
            </w:pPr>
            <w:r>
              <w:rPr>
                <w:sz w:val="36"/>
                <w:szCs w:val="4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6767" w:type="dxa"/>
            <w:vAlign w:val="center"/>
          </w:tcPr>
          <w:p>
            <w:pPr>
              <w:jc w:val="left"/>
              <w:rPr>
                <w:sz w:val="24"/>
              </w:rPr>
            </w:pPr>
            <w:r>
              <w:rPr>
                <w:sz w:val="24"/>
              </w:rPr>
              <w:t>是否属于科研仪器设备采购项目：</w:t>
            </w:r>
          </w:p>
          <w:p>
            <w:pPr>
              <w:jc w:val="left"/>
              <w:rPr>
                <w:sz w:val="24"/>
              </w:rPr>
            </w:pPr>
            <w:r>
              <w:rPr>
                <w:sz w:val="36"/>
                <w:szCs w:val="44"/>
              </w:rPr>
              <w:t>□</w:t>
            </w:r>
            <w:r>
              <w:rPr>
                <w:sz w:val="24"/>
              </w:rPr>
              <w:t>是</w:t>
            </w:r>
          </w:p>
          <w:p>
            <w:pPr>
              <w:jc w:val="left"/>
              <w:rPr>
                <w:sz w:val="24"/>
              </w:rPr>
            </w:pPr>
            <w:r>
              <w:rPr>
                <w:rFonts w:hint="eastAsia"/>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6767" w:type="dxa"/>
            <w:vAlign w:val="center"/>
          </w:tcPr>
          <w:p>
            <w:pPr>
              <w:jc w:val="left"/>
              <w:rPr>
                <w:sz w:val="24"/>
              </w:rPr>
            </w:pPr>
            <w:r>
              <w:rPr>
                <w:rFonts w:hint="eastAsia"/>
                <w:sz w:val="24"/>
              </w:rPr>
              <w:t>■</w:t>
            </w:r>
            <w:r>
              <w:rPr>
                <w:sz w:val="24"/>
              </w:rPr>
              <w:t>不组织</w:t>
            </w:r>
          </w:p>
          <w:p>
            <w:pPr>
              <w:jc w:val="left"/>
              <w:rPr>
                <w:bCs/>
                <w:sz w:val="24"/>
              </w:rPr>
            </w:pPr>
            <w:r>
              <w:rPr>
                <w:sz w:val="36"/>
                <w:szCs w:val="44"/>
              </w:rP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24"/>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磋商前答疑会</w:t>
            </w:r>
          </w:p>
        </w:tc>
        <w:tc>
          <w:tcPr>
            <w:tcW w:w="6767" w:type="dxa"/>
            <w:vAlign w:val="center"/>
          </w:tcPr>
          <w:p>
            <w:pPr>
              <w:jc w:val="left"/>
              <w:rPr>
                <w:sz w:val="24"/>
              </w:rPr>
            </w:pPr>
            <w:r>
              <w:rPr>
                <w:rFonts w:hint="eastAsia"/>
                <w:sz w:val="24"/>
              </w:rPr>
              <w:t>■</w:t>
            </w:r>
            <w:r>
              <w:rPr>
                <w:sz w:val="24"/>
              </w:rPr>
              <w:t>不召开</w:t>
            </w:r>
          </w:p>
          <w:p>
            <w:pPr>
              <w:jc w:val="left"/>
              <w:rPr>
                <w:sz w:val="24"/>
              </w:rPr>
            </w:pPr>
            <w:r>
              <w:rPr>
                <w:sz w:val="36"/>
                <w:szCs w:val="44"/>
              </w:rP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pPr>
              <w:jc w:val="center"/>
              <w:rPr>
                <w:sz w:val="24"/>
              </w:rPr>
            </w:pPr>
            <w:r>
              <w:rPr>
                <w:sz w:val="24"/>
              </w:rPr>
              <w:t>标的所属行业</w:t>
            </w:r>
          </w:p>
        </w:tc>
        <w:tc>
          <w:tcPr>
            <w:tcW w:w="6767" w:type="dxa"/>
            <w:vAlign w:val="center"/>
          </w:tcPr>
          <w:p>
            <w:pPr>
              <w:jc w:val="left"/>
              <w:rPr>
                <w:sz w:val="24"/>
              </w:rPr>
            </w:pPr>
            <w:r>
              <w:rPr>
                <w:sz w:val="24"/>
              </w:rPr>
              <w:t>本项目采购标的对应的中小企业划分标准所属行业：</w:t>
            </w:r>
          </w:p>
          <w:tbl>
            <w:tblPr>
              <w:tblStyle w:val="45"/>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631"/>
              <w:gridCol w:w="3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1"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包号</w:t>
                  </w:r>
                </w:p>
              </w:tc>
              <w:tc>
                <w:tcPr>
                  <w:tcW w:w="1962"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495"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1"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01</w:t>
                  </w:r>
                </w:p>
              </w:tc>
              <w:tc>
                <w:tcPr>
                  <w:tcW w:w="19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bCs/>
                      <w:sz w:val="24"/>
                    </w:rPr>
                  </w:pPr>
                  <w:r>
                    <w:rPr>
                      <w:bCs/>
                      <w:sz w:val="24"/>
                    </w:rPr>
                    <w:t>北京市残疾人服务示范中心安防和楼控系统维保项目</w:t>
                  </w:r>
                </w:p>
              </w:tc>
              <w:tc>
                <w:tcPr>
                  <w:tcW w:w="2495" w:type="pct"/>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ascii="宋体" w:hAnsi="宋体" w:cs="宋体"/>
                      <w:sz w:val="24"/>
                    </w:rPr>
                    <w:t>其他未列明行业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pPr>
              <w:jc w:val="center"/>
              <w:rPr>
                <w:sz w:val="24"/>
              </w:rPr>
            </w:pPr>
            <w:r>
              <w:rPr>
                <w:sz w:val="24"/>
              </w:rPr>
              <w:t>报价</w:t>
            </w:r>
          </w:p>
        </w:tc>
        <w:tc>
          <w:tcPr>
            <w:tcW w:w="6767" w:type="dxa"/>
            <w:vAlign w:val="center"/>
          </w:tcPr>
          <w:p>
            <w:pPr>
              <w:jc w:val="left"/>
              <w:rPr>
                <w:sz w:val="24"/>
              </w:rPr>
            </w:pPr>
            <w:r>
              <w:rPr>
                <w:sz w:val="24"/>
              </w:rPr>
              <w:t>报价的特殊规定：</w:t>
            </w:r>
          </w:p>
          <w:p>
            <w:pPr>
              <w:jc w:val="left"/>
              <w:rPr>
                <w:sz w:val="24"/>
              </w:rPr>
            </w:pPr>
            <w:r>
              <w:rPr>
                <w:rFonts w:hint="eastAsia"/>
                <w:sz w:val="24"/>
              </w:rPr>
              <w:t>■</w:t>
            </w:r>
            <w:r>
              <w:rPr>
                <w:sz w:val="24"/>
              </w:rPr>
              <w:t>无</w:t>
            </w:r>
          </w:p>
          <w:p>
            <w:pPr>
              <w:jc w:val="left"/>
              <w:rPr>
                <w:sz w:val="24"/>
              </w:rPr>
            </w:pPr>
            <w:r>
              <w:rPr>
                <w:sz w:val="36"/>
                <w:szCs w:val="44"/>
              </w:rP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pPr>
              <w:jc w:val="center"/>
              <w:rPr>
                <w:sz w:val="24"/>
              </w:rPr>
            </w:pPr>
            <w:r>
              <w:rPr>
                <w:sz w:val="24"/>
              </w:rPr>
              <w:t>磋商保证金</w:t>
            </w:r>
          </w:p>
        </w:tc>
        <w:tc>
          <w:tcPr>
            <w:tcW w:w="6767" w:type="dxa"/>
            <w:vAlign w:val="center"/>
          </w:tcPr>
          <w:p>
            <w:pPr>
              <w:pStyle w:val="24"/>
              <w:adjustRightInd w:val="0"/>
              <w:snapToGrid w:val="0"/>
              <w:rPr>
                <w:rFonts w:hint="default" w:ascii="Times New Roman" w:hAnsi="Times New Roman"/>
                <w:sz w:val="24"/>
                <w:szCs w:val="24"/>
              </w:rPr>
            </w:pPr>
            <w:r>
              <w:rPr>
                <w:rFonts w:hint="default" w:ascii="Times New Roman" w:hAnsi="Times New Roman"/>
                <w:sz w:val="24"/>
                <w:szCs w:val="24"/>
              </w:rPr>
              <w:t>磋商保证金金额：</w:t>
            </w:r>
            <w:r>
              <w:rPr>
                <w:rFonts w:ascii="Times New Roman" w:hAnsi="Times New Roman"/>
                <w:sz w:val="24"/>
                <w:szCs w:val="24"/>
                <w:u w:val="single"/>
              </w:rPr>
              <w:t>本项目不收取保证金</w:t>
            </w:r>
            <w:r>
              <w:rPr>
                <w:rFonts w:hint="default" w:hAnsi="宋体"/>
                <w:sz w:val="24"/>
                <w:szCs w:val="24"/>
              </w:rPr>
              <w:t>。</w:t>
            </w:r>
          </w:p>
          <w:p>
            <w:pPr>
              <w:jc w:val="left"/>
              <w:rPr>
                <w:sz w:val="24"/>
              </w:rPr>
            </w:pPr>
            <w:r>
              <w:rPr>
                <w:sz w:val="24"/>
              </w:rPr>
              <w:t>磋商保证金收受人信息：</w:t>
            </w:r>
          </w:p>
          <w:p>
            <w:pPr>
              <w:jc w:val="left"/>
              <w:rPr>
                <w:sz w:val="24"/>
              </w:rPr>
            </w:pPr>
            <w:r>
              <w:rPr>
                <w:rFonts w:hint="eastAsia"/>
                <w:sz w:val="24"/>
                <w:lang w:eastAsia="zh-TW"/>
              </w:rPr>
              <w:t>收款单位：北京市工业设计研究院有限公司；</w:t>
            </w:r>
          </w:p>
          <w:p>
            <w:pPr>
              <w:jc w:val="left"/>
              <w:rPr>
                <w:sz w:val="24"/>
                <w:lang w:eastAsia="zh-TW"/>
              </w:rPr>
            </w:pPr>
            <w:r>
              <w:rPr>
                <w:rFonts w:hint="eastAsia"/>
                <w:sz w:val="24"/>
                <w:lang w:eastAsia="zh-TW"/>
              </w:rPr>
              <w:t xml:space="preserve">开户行：中国银行北京莲花河支行； </w:t>
            </w:r>
          </w:p>
          <w:p>
            <w:pPr>
              <w:jc w:val="left"/>
              <w:rPr>
                <w:sz w:val="24"/>
              </w:rPr>
            </w:pPr>
            <w:r>
              <w:rPr>
                <w:rFonts w:hint="eastAsia"/>
                <w:sz w:val="24"/>
                <w:lang w:eastAsia="zh-TW"/>
              </w:rPr>
              <w:t>账号：</w:t>
            </w:r>
            <w:r>
              <w:rPr>
                <w:sz w:val="24"/>
                <w:lang w:eastAsia="zh-TW"/>
              </w:rPr>
              <w:t>335064872347</w:t>
            </w:r>
            <w:r>
              <w:rPr>
                <w:rFonts w:hint="eastAsia"/>
                <w:sz w:val="24"/>
                <w:lang w:eastAsia="zh-TW"/>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pPr>
              <w:jc w:val="center"/>
              <w:rPr>
                <w:sz w:val="24"/>
              </w:rPr>
            </w:pPr>
          </w:p>
        </w:tc>
        <w:tc>
          <w:tcPr>
            <w:tcW w:w="6767" w:type="dxa"/>
            <w:vAlign w:val="center"/>
          </w:tcPr>
          <w:p>
            <w:pPr>
              <w:jc w:val="left"/>
              <w:rPr>
                <w:sz w:val="24"/>
              </w:rPr>
            </w:pPr>
            <w:r>
              <w:rPr>
                <w:sz w:val="24"/>
              </w:rPr>
              <w:t>磋商保证金不予退还的其他情形：</w:t>
            </w:r>
          </w:p>
          <w:p>
            <w:pPr>
              <w:jc w:val="left"/>
              <w:rPr>
                <w:sz w:val="24"/>
              </w:rPr>
            </w:pPr>
            <w:r>
              <w:rPr>
                <w:sz w:val="36"/>
                <w:szCs w:val="44"/>
              </w:rPr>
              <w:t>□</w:t>
            </w:r>
            <w:r>
              <w:rPr>
                <w:sz w:val="24"/>
              </w:rPr>
              <w:t>无</w:t>
            </w:r>
          </w:p>
          <w:p>
            <w:pPr>
              <w:pStyle w:val="24"/>
              <w:adjustRightInd w:val="0"/>
              <w:snapToGrid w:val="0"/>
              <w:rPr>
                <w:rFonts w:hint="default" w:ascii="Times New Roman" w:hAnsi="Times New Roman"/>
                <w:sz w:val="24"/>
              </w:rPr>
            </w:pPr>
            <w:r>
              <w:rPr>
                <w:b/>
                <w:color w:val="000000"/>
                <w:sz w:val="24"/>
              </w:rPr>
              <w:t>■</w:t>
            </w:r>
            <w:r>
              <w:rPr>
                <w:rFonts w:hint="default" w:ascii="Times New Roman" w:hAnsi="Times New Roman"/>
                <w:sz w:val="24"/>
              </w:rPr>
              <w:t>有，具体情形：</w:t>
            </w:r>
          </w:p>
          <w:p>
            <w:pPr>
              <w:pStyle w:val="24"/>
              <w:adjustRightInd w:val="0"/>
              <w:snapToGrid w:val="0"/>
              <w:rPr>
                <w:rFonts w:hint="default" w:hAnsi="宋体"/>
                <w:sz w:val="24"/>
              </w:rPr>
            </w:pPr>
            <w:r>
              <w:rPr>
                <w:rFonts w:hAnsi="宋体"/>
                <w:sz w:val="24"/>
              </w:rPr>
              <w:t>1.磋商有效期内供应商撤销投标文件的；</w:t>
            </w:r>
          </w:p>
          <w:p>
            <w:pPr>
              <w:pStyle w:val="24"/>
              <w:adjustRightInd w:val="0"/>
              <w:snapToGrid w:val="0"/>
              <w:rPr>
                <w:rFonts w:hint="default" w:hAnsi="宋体"/>
                <w:sz w:val="24"/>
              </w:rPr>
            </w:pPr>
            <w:r>
              <w:rPr>
                <w:rFonts w:hAnsi="宋体"/>
                <w:sz w:val="24"/>
              </w:rPr>
              <w:t>2.供应商在投标文件中提供任何虚假材料的；</w:t>
            </w:r>
          </w:p>
          <w:p>
            <w:pPr>
              <w:pStyle w:val="24"/>
              <w:adjustRightInd w:val="0"/>
              <w:snapToGrid w:val="0"/>
              <w:rPr>
                <w:rFonts w:hint="default" w:hAnsi="宋体"/>
                <w:sz w:val="24"/>
              </w:rPr>
            </w:pPr>
            <w:r>
              <w:rPr>
                <w:rFonts w:hAnsi="宋体"/>
                <w:sz w:val="24"/>
              </w:rPr>
              <w:t>3.成交人不按本须知的规定与采购人签订合同的；</w:t>
            </w:r>
          </w:p>
          <w:p>
            <w:pPr>
              <w:pStyle w:val="24"/>
              <w:adjustRightInd w:val="0"/>
              <w:snapToGrid w:val="0"/>
              <w:rPr>
                <w:rFonts w:hint="default" w:hAnsi="宋体"/>
                <w:sz w:val="24"/>
              </w:rPr>
            </w:pPr>
            <w:r>
              <w:rPr>
                <w:rFonts w:hAnsi="宋体"/>
                <w:sz w:val="24"/>
              </w:rPr>
              <w:t>4.成交人将成交项目转让给他人，或者在磋商文件中未说明，且未经采购人同意，将成交项目分包给他人的；</w:t>
            </w:r>
          </w:p>
          <w:p>
            <w:pPr>
              <w:pStyle w:val="24"/>
              <w:adjustRightInd w:val="0"/>
              <w:snapToGrid w:val="0"/>
              <w:rPr>
                <w:rFonts w:hint="default" w:ascii="Times New Roman" w:hAnsi="Times New Roman"/>
                <w:sz w:val="24"/>
                <w:szCs w:val="24"/>
              </w:rPr>
            </w:pPr>
            <w:r>
              <w:rPr>
                <w:rFonts w:hAnsi="宋体"/>
                <w:sz w:val="24"/>
              </w:rPr>
              <w:t>5.成交人拒绝履行合同义务的。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pPr>
              <w:jc w:val="center"/>
              <w:rPr>
                <w:sz w:val="24"/>
              </w:rPr>
            </w:pPr>
            <w:r>
              <w:rPr>
                <w:sz w:val="24"/>
              </w:rPr>
              <w:t>响应有效期</w:t>
            </w:r>
          </w:p>
        </w:tc>
        <w:tc>
          <w:tcPr>
            <w:tcW w:w="6767" w:type="dxa"/>
            <w:vAlign w:val="center"/>
          </w:tcPr>
          <w:p>
            <w:pPr>
              <w:jc w:val="left"/>
              <w:rPr>
                <w:sz w:val="24"/>
              </w:rPr>
            </w:pPr>
            <w:r>
              <w:rPr>
                <w:sz w:val="24"/>
              </w:rPr>
              <w:t>自响应文件提交截止之日起算_</w:t>
            </w:r>
            <w:r>
              <w:rPr>
                <w:rFonts w:hint="eastAsia"/>
                <w:sz w:val="24"/>
                <w:u w:val="single"/>
              </w:rPr>
              <w:t>90</w:t>
            </w:r>
            <w:r>
              <w:rPr>
                <w:sz w:val="24"/>
              </w:rPr>
              <w:t>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pPr>
              <w:jc w:val="center"/>
              <w:rPr>
                <w:sz w:val="24"/>
              </w:rPr>
            </w:pPr>
            <w:r>
              <w:rPr>
                <w:rFonts w:hint="eastAsia" w:ascii="宋体" w:hAnsi="宋体" w:cs="宋体"/>
                <w:sz w:val="24"/>
              </w:rPr>
              <w:t>确定成交供应 商</w:t>
            </w:r>
          </w:p>
        </w:tc>
        <w:tc>
          <w:tcPr>
            <w:tcW w:w="6767" w:type="dxa"/>
            <w:vAlign w:val="center"/>
          </w:tcPr>
          <w:p>
            <w:pPr>
              <w:pStyle w:val="24"/>
              <w:adjustRightInd w:val="0"/>
              <w:snapToGrid w:val="0"/>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pPr>
              <w:pStyle w:val="24"/>
              <w:adjustRightInd w:val="0"/>
              <w:snapToGrid w:val="0"/>
              <w:rPr>
                <w:rFonts w:hint="default" w:ascii="Times New Roman" w:hAnsi="Times New Roman"/>
                <w:sz w:val="24"/>
              </w:rPr>
            </w:pPr>
            <w:r>
              <w:rPr>
                <w:b/>
                <w:color w:val="000000"/>
                <w:sz w:val="24"/>
              </w:rPr>
              <w:t>■</w:t>
            </w:r>
            <w:r>
              <w:rPr>
                <w:rFonts w:hint="default" w:ascii="Times New Roman" w:hAnsi="Times New Roman"/>
                <w:sz w:val="24"/>
              </w:rPr>
              <w:t>否</w:t>
            </w:r>
          </w:p>
          <w:p>
            <w:pPr>
              <w:jc w:val="left"/>
              <w:rPr>
                <w:sz w:val="24"/>
              </w:rPr>
            </w:pPr>
            <w:r>
              <w:rPr>
                <w:sz w:val="36"/>
                <w:szCs w:val="44"/>
              </w:rPr>
              <w:t>□</w:t>
            </w:r>
            <w:r>
              <w:rPr>
                <w:sz w:val="24"/>
              </w:rPr>
              <w:t>是</w:t>
            </w:r>
          </w:p>
          <w:p>
            <w:pPr>
              <w:jc w:val="left"/>
              <w:rPr>
                <w:sz w:val="24"/>
                <w:u w:val="single"/>
              </w:rPr>
            </w:pPr>
            <w:r>
              <w:rPr>
                <w:sz w:val="24"/>
              </w:rPr>
              <w:t>成交候选人并列的，按照以下方式确定成交供应商：_______。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pPr>
              <w:jc w:val="center"/>
              <w:rPr>
                <w:sz w:val="24"/>
              </w:rPr>
            </w:pPr>
            <w:r>
              <w:rPr>
                <w:sz w:val="24"/>
              </w:rPr>
              <w:t>分包</w:t>
            </w:r>
          </w:p>
        </w:tc>
        <w:tc>
          <w:tcPr>
            <w:tcW w:w="6767" w:type="dxa"/>
            <w:vAlign w:val="center"/>
          </w:tcPr>
          <w:p>
            <w:pPr>
              <w:jc w:val="left"/>
              <w:rPr>
                <w:sz w:val="24"/>
              </w:rPr>
            </w:pPr>
            <w:r>
              <w:rPr>
                <w:sz w:val="24"/>
              </w:rPr>
              <w:t xml:space="preserve">本项目是否允许分包： </w:t>
            </w:r>
          </w:p>
          <w:p>
            <w:pPr>
              <w:jc w:val="left"/>
              <w:rPr>
                <w:sz w:val="24"/>
              </w:rPr>
            </w:pPr>
            <w:r>
              <w:rPr>
                <w:rFonts w:hint="eastAsia"/>
                <w:sz w:val="24"/>
              </w:rPr>
              <w:t>■</w:t>
            </w:r>
            <w:r>
              <w:rPr>
                <w:sz w:val="24"/>
              </w:rPr>
              <w:t>不允许</w:t>
            </w:r>
          </w:p>
          <w:p>
            <w:pPr>
              <w:jc w:val="left"/>
              <w:rPr>
                <w:sz w:val="24"/>
              </w:rPr>
            </w:pPr>
            <w:r>
              <w:rPr>
                <w:sz w:val="36"/>
                <w:szCs w:val="44"/>
              </w:rPr>
              <w:t>□</w:t>
            </w:r>
            <w:r>
              <w:rPr>
                <w:sz w:val="24"/>
              </w:rPr>
              <w:t>允许，具体要求：_______。</w:t>
            </w:r>
          </w:p>
          <w:p>
            <w:pPr>
              <w:jc w:val="left"/>
              <w:rPr>
                <w:sz w:val="24"/>
              </w:rPr>
            </w:pPr>
            <w:r>
              <w:rPr>
                <w:sz w:val="24"/>
              </w:rPr>
              <w:t>（1）可以分包履行的具体内容：_______；</w:t>
            </w:r>
          </w:p>
          <w:p>
            <w:pPr>
              <w:jc w:val="left"/>
              <w:rPr>
                <w:sz w:val="24"/>
              </w:rPr>
            </w:pPr>
            <w:r>
              <w:rPr>
                <w:sz w:val="24"/>
              </w:rPr>
              <w:t>（2）允许分包的金额或者比例：_______；</w:t>
            </w:r>
          </w:p>
          <w:p>
            <w:pPr>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pPr>
              <w:jc w:val="center"/>
              <w:rPr>
                <w:sz w:val="24"/>
              </w:rPr>
            </w:pPr>
            <w:r>
              <w:rPr>
                <w:sz w:val="24"/>
              </w:rPr>
              <w:t>询问</w:t>
            </w:r>
          </w:p>
        </w:tc>
        <w:tc>
          <w:tcPr>
            <w:tcW w:w="6767" w:type="dxa"/>
            <w:vAlign w:val="center"/>
          </w:tcPr>
          <w:p>
            <w:pPr>
              <w:jc w:val="left"/>
              <w:rPr>
                <w:sz w:val="24"/>
              </w:rPr>
            </w:pPr>
            <w:r>
              <w:rPr>
                <w:sz w:val="24"/>
              </w:rPr>
              <w:t>询问送达形式：</w:t>
            </w:r>
            <w:r>
              <w:rPr>
                <w:rFonts w:hint="eastAsia" w:ascii="宋体" w:hAnsi="宋体"/>
                <w:sz w:val="24"/>
                <w:u w:val="single"/>
              </w:rPr>
              <w:t>书面形式</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pPr>
              <w:jc w:val="center"/>
              <w:rPr>
                <w:sz w:val="24"/>
              </w:rPr>
            </w:pPr>
            <w:r>
              <w:rPr>
                <w:sz w:val="24"/>
              </w:rPr>
              <w:t>联系方式</w:t>
            </w:r>
          </w:p>
        </w:tc>
        <w:tc>
          <w:tcPr>
            <w:tcW w:w="6767" w:type="dxa"/>
            <w:vAlign w:val="center"/>
          </w:tcPr>
          <w:p>
            <w:pPr>
              <w:jc w:val="left"/>
              <w:rPr>
                <w:sz w:val="24"/>
              </w:rPr>
            </w:pPr>
            <w:r>
              <w:rPr>
                <w:sz w:val="24"/>
              </w:rPr>
              <w:t>接收询问和质疑的联系方式</w:t>
            </w:r>
          </w:p>
          <w:p>
            <w:pPr>
              <w:jc w:val="left"/>
              <w:rPr>
                <w:rFonts w:ascii="宋体" w:hAnsi="宋体"/>
                <w:sz w:val="24"/>
              </w:rPr>
            </w:pPr>
            <w:r>
              <w:rPr>
                <w:sz w:val="24"/>
              </w:rPr>
              <w:t>联系部门：</w:t>
            </w:r>
            <w:r>
              <w:rPr>
                <w:rFonts w:hint="eastAsia" w:ascii="宋体" w:hAnsi="宋体"/>
                <w:sz w:val="24"/>
                <w:u w:val="single"/>
              </w:rPr>
              <w:t>北京市工业设计研究院有限公司</w:t>
            </w:r>
            <w:r>
              <w:rPr>
                <w:rFonts w:ascii="宋体" w:hAnsi="宋体"/>
                <w:sz w:val="24"/>
              </w:rPr>
              <w:t>；</w:t>
            </w:r>
          </w:p>
          <w:p>
            <w:pPr>
              <w:jc w:val="left"/>
              <w:rPr>
                <w:rFonts w:ascii="宋体" w:hAnsi="宋体"/>
                <w:sz w:val="24"/>
              </w:rPr>
            </w:pPr>
            <w:r>
              <w:rPr>
                <w:rFonts w:ascii="宋体" w:hAnsi="宋体"/>
                <w:sz w:val="24"/>
              </w:rPr>
              <w:t>联系电话：</w:t>
            </w:r>
            <w:r>
              <w:rPr>
                <w:rFonts w:hint="eastAsia" w:ascii="宋体" w:hAnsi="宋体"/>
                <w:sz w:val="24"/>
                <w:u w:val="single"/>
              </w:rPr>
              <w:t>王老师，010-</w:t>
            </w:r>
            <w:r>
              <w:rPr>
                <w:rFonts w:ascii="宋体" w:hAnsi="宋体"/>
                <w:sz w:val="24"/>
                <w:u w:val="single"/>
              </w:rPr>
              <w:t>63256361</w:t>
            </w:r>
            <w:r>
              <w:rPr>
                <w:rFonts w:hint="eastAsia" w:ascii="宋体" w:hAnsi="宋体"/>
                <w:sz w:val="24"/>
                <w:u w:val="single"/>
              </w:rPr>
              <w:t>转6</w:t>
            </w:r>
            <w:r>
              <w:rPr>
                <w:rFonts w:ascii="宋体" w:hAnsi="宋体"/>
                <w:sz w:val="24"/>
                <w:u w:val="single"/>
              </w:rPr>
              <w:t>17</w:t>
            </w:r>
            <w:r>
              <w:rPr>
                <w:rFonts w:hint="eastAsia" w:ascii="宋体" w:hAnsi="宋体"/>
                <w:sz w:val="24"/>
                <w:u w:val="single"/>
              </w:rPr>
              <w:t>7</w:t>
            </w:r>
            <w:r>
              <w:rPr>
                <w:rFonts w:ascii="宋体" w:hAnsi="宋体"/>
                <w:sz w:val="24"/>
              </w:rPr>
              <w:t>；</w:t>
            </w:r>
          </w:p>
          <w:p>
            <w:pPr>
              <w:jc w:val="left"/>
              <w:rPr>
                <w:sz w:val="24"/>
              </w:rPr>
            </w:pPr>
            <w:r>
              <w:rPr>
                <w:rFonts w:ascii="宋体" w:hAnsi="宋体"/>
                <w:sz w:val="24"/>
              </w:rPr>
              <w:t>通讯地址：</w:t>
            </w:r>
            <w:r>
              <w:rPr>
                <w:rFonts w:hint="eastAsia" w:ascii="宋体" w:hAnsi="宋体"/>
                <w:sz w:val="24"/>
                <w:u w:val="single"/>
              </w:rPr>
              <w:t>北京市西城区广安门外大街甲275号</w:t>
            </w:r>
            <w:r>
              <w:rPr>
                <w:rFonts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pPr>
              <w:jc w:val="center"/>
              <w:rPr>
                <w:sz w:val="24"/>
              </w:rPr>
            </w:pPr>
            <w:r>
              <w:rPr>
                <w:sz w:val="24"/>
              </w:rPr>
              <w:t>代理费</w:t>
            </w:r>
          </w:p>
        </w:tc>
        <w:tc>
          <w:tcPr>
            <w:tcW w:w="6767" w:type="dxa"/>
            <w:vAlign w:val="center"/>
          </w:tcPr>
          <w:p>
            <w:pPr>
              <w:jc w:val="left"/>
              <w:rPr>
                <w:sz w:val="24"/>
              </w:rPr>
            </w:pPr>
            <w:r>
              <w:rPr>
                <w:sz w:val="24"/>
              </w:rPr>
              <w:t>收费对象：</w:t>
            </w:r>
          </w:p>
          <w:p>
            <w:pPr>
              <w:jc w:val="left"/>
              <w:rPr>
                <w:sz w:val="24"/>
              </w:rPr>
            </w:pPr>
            <w:r>
              <w:rPr>
                <w:sz w:val="36"/>
                <w:szCs w:val="44"/>
              </w:rPr>
              <w:t>□</w:t>
            </w:r>
            <w:r>
              <w:rPr>
                <w:sz w:val="24"/>
              </w:rPr>
              <w:t>采购人</w:t>
            </w:r>
          </w:p>
          <w:p>
            <w:pPr>
              <w:jc w:val="left"/>
              <w:rPr>
                <w:sz w:val="24"/>
              </w:rPr>
            </w:pPr>
            <w:r>
              <w:rPr>
                <w:rFonts w:hint="eastAsia"/>
                <w:sz w:val="24"/>
              </w:rPr>
              <w:t>■</w:t>
            </w:r>
            <w:r>
              <w:rPr>
                <w:sz w:val="24"/>
              </w:rPr>
              <w:t>成交供应商</w:t>
            </w:r>
          </w:p>
          <w:p>
            <w:pPr>
              <w:jc w:val="left"/>
              <w:rPr>
                <w:sz w:val="24"/>
                <w:u w:val="single"/>
              </w:rPr>
            </w:pPr>
            <w:r>
              <w:rPr>
                <w:sz w:val="24"/>
              </w:rPr>
              <w:t>收费标准：</w:t>
            </w:r>
            <w:r>
              <w:rPr>
                <w:rFonts w:hint="eastAsia" w:ascii="宋体" w:hAnsi="宋体"/>
                <w:sz w:val="24"/>
                <w:u w:val="single"/>
              </w:rPr>
              <w:t>按原《招标代理服务收费管理暂行办法》（计价格[2002]1980号）和《关于招标代理服务收费有关问题的通知》（发改办价格[2003]857号）执行，按成交金额差额定率累进法计算</w:t>
            </w:r>
            <w:r>
              <w:rPr>
                <w:rFonts w:hint="eastAsia" w:ascii="宋体" w:hAnsi="宋体"/>
                <w:sz w:val="24"/>
                <w:u w:val="single"/>
                <w:lang w:eastAsia="zh-CN"/>
              </w:rPr>
              <w:t>，</w:t>
            </w:r>
            <w:r>
              <w:rPr>
                <w:rFonts w:hint="eastAsia" w:ascii="宋体" w:hAnsi="宋体"/>
                <w:sz w:val="24"/>
                <w:u w:val="single"/>
              </w:rPr>
              <w:t>并且招标代理服务费不低于3500元</w:t>
            </w:r>
            <w:r>
              <w:rPr>
                <w:rFonts w:hint="eastAsia" w:ascii="宋体" w:hAnsi="宋体"/>
                <w:sz w:val="24"/>
                <w:u w:val="single"/>
              </w:rPr>
              <w:t>。</w:t>
            </w:r>
            <w:bookmarkStart w:id="749" w:name="_GoBack"/>
            <w:bookmarkEnd w:id="749"/>
          </w:p>
          <w:p>
            <w:pPr>
              <w:jc w:val="left"/>
              <w:rPr>
                <w:sz w:val="24"/>
              </w:rPr>
            </w:pPr>
            <w:r>
              <w:rPr>
                <w:sz w:val="24"/>
              </w:rPr>
              <w:t>缴纳时间：</w:t>
            </w:r>
            <w:r>
              <w:rPr>
                <w:rFonts w:hint="eastAsia" w:ascii="宋体" w:hAnsi="宋体"/>
                <w:sz w:val="24"/>
                <w:u w:val="single"/>
              </w:rPr>
              <w:t>本项目的成交供应商应在成交通知书发出后五个工作日内一次性向招标代理机构支付招标代理服务费</w:t>
            </w:r>
            <w:r>
              <w:rPr>
                <w:sz w:val="24"/>
              </w:rPr>
              <w:t>。</w:t>
            </w:r>
          </w:p>
        </w:tc>
      </w:tr>
    </w:tbl>
    <w:p>
      <w:pPr>
        <w:tabs>
          <w:tab w:val="left" w:pos="5580"/>
        </w:tabs>
        <w:adjustRightInd w:val="0"/>
        <w:spacing w:line="360" w:lineRule="auto"/>
        <w:jc w:val="distribute"/>
        <w:rPr>
          <w:sz w:val="24"/>
        </w:rPr>
        <w:sectPr>
          <w:headerReference r:id="rId10" w:type="first"/>
          <w:footerReference r:id="rId12" w:type="first"/>
          <w:headerReference r:id="rId9" w:type="default"/>
          <w:footerReference r:id="rId11"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b/>
          <w:sz w:val="28"/>
          <w:szCs w:val="28"/>
        </w:rPr>
      </w:pPr>
      <w:r>
        <w:rPr>
          <w:b/>
          <w:sz w:val="28"/>
          <w:szCs w:val="28"/>
        </w:rPr>
        <w:t>供应商须知</w:t>
      </w:r>
    </w:p>
    <w:p>
      <w:pPr>
        <w:pStyle w:val="5"/>
        <w:tabs>
          <w:tab w:val="center" w:pos="4592"/>
          <w:tab w:val="left" w:pos="7860"/>
        </w:tabs>
        <w:spacing w:before="0" w:line="360" w:lineRule="auto"/>
        <w:jc w:val="left"/>
        <w:rPr>
          <w:rFonts w:ascii="Times New Roman" w:hAnsi="Times New Roman" w:eastAsia="宋体"/>
          <w:sz w:val="28"/>
        </w:rPr>
      </w:pPr>
      <w:bookmarkStart w:id="73" w:name="_Toc127151518"/>
      <w:bookmarkStart w:id="74" w:name="_Toc520356143"/>
      <w:r>
        <w:rPr>
          <w:rFonts w:ascii="Times New Roman" w:hAnsi="Times New Roman" w:eastAsia="宋体"/>
          <w:sz w:val="28"/>
        </w:rPr>
        <w:tab/>
      </w:r>
      <w:bookmarkStart w:id="75" w:name="_Toc226309762"/>
      <w:bookmarkStart w:id="76" w:name="_Toc305158786"/>
      <w:bookmarkStart w:id="77" w:name="_Toc151193906"/>
      <w:bookmarkStart w:id="78" w:name="_Toc150480756"/>
      <w:bookmarkStart w:id="79" w:name="_Toc195842883"/>
      <w:bookmarkStart w:id="80" w:name="_Toc151193616"/>
      <w:bookmarkStart w:id="81" w:name="_Toc151193688"/>
      <w:bookmarkStart w:id="82" w:name="_Toc265228356"/>
      <w:bookmarkStart w:id="83" w:name="_Toc150509269"/>
      <w:bookmarkStart w:id="84" w:name="_Toc226965791"/>
      <w:bookmarkStart w:id="85" w:name="_Toc305158860"/>
      <w:bookmarkStart w:id="86" w:name="_Toc150774723"/>
      <w:bookmarkStart w:id="87" w:name="_Toc151193832"/>
      <w:bookmarkStart w:id="88" w:name="_Toc226337214"/>
      <w:bookmarkStart w:id="89" w:name="_Toc264969208"/>
      <w:bookmarkStart w:id="90" w:name="_Toc142311020"/>
      <w:bookmarkStart w:id="91" w:name="_Toc151193760"/>
      <w:bookmarkStart w:id="92" w:name="_Toc226965708"/>
      <w:bookmarkStart w:id="93" w:name="_Toc150774618"/>
      <w:bookmarkStart w:id="94" w:name="_Toc151190145"/>
      <w:r>
        <w:rPr>
          <w:rFonts w:ascii="Times New Roman" w:hAnsi="Times New Roman" w:eastAsia="宋体"/>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95" w:name="_Toc305158861"/>
      <w:bookmarkStart w:id="96" w:name="_Toc305158787"/>
      <w:bookmarkStart w:id="97" w:name="_Toc264969209"/>
      <w:bookmarkStart w:id="98" w:name="_Toc265228357"/>
      <w:r>
        <w:rPr>
          <w:sz w:val="24"/>
        </w:rPr>
        <w:t>采购人、采购代理机构、供应商</w:t>
      </w:r>
      <w:bookmarkEnd w:id="95"/>
      <w:bookmarkEnd w:id="96"/>
      <w:bookmarkEnd w:id="97"/>
      <w:bookmarkEnd w:id="98"/>
      <w:r>
        <w:rPr>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99" w:name="_Toc265228358"/>
      <w:bookmarkStart w:id="100" w:name="_Toc150509271"/>
      <w:bookmarkStart w:id="101" w:name="_Toc305158862"/>
      <w:bookmarkStart w:id="102" w:name="_Toc150480758"/>
      <w:bookmarkStart w:id="103" w:name="_Toc151190147"/>
      <w:bookmarkStart w:id="104" w:name="_Toc164608789"/>
      <w:bookmarkStart w:id="105" w:name="_Toc127161434"/>
      <w:bookmarkStart w:id="106" w:name="_Toc164229361"/>
      <w:bookmarkStart w:id="107" w:name="_Toc164608634"/>
      <w:bookmarkStart w:id="108" w:name="_Toc264969210"/>
      <w:bookmarkStart w:id="109" w:name="_Toc164351614"/>
      <w:bookmarkStart w:id="110" w:name="_Toc226309764"/>
      <w:bookmarkStart w:id="111" w:name="_Toc150774620"/>
      <w:bookmarkStart w:id="112" w:name="_Toc305158788"/>
      <w:bookmarkStart w:id="113" w:name="_Toc151193762"/>
      <w:bookmarkStart w:id="114" w:name="_Toc195842885"/>
      <w:bookmarkStart w:id="115" w:name="_Toc226337216"/>
      <w:bookmarkStart w:id="116" w:name="_Toc150774725"/>
      <w:bookmarkStart w:id="117" w:name="_Toc151193908"/>
      <w:bookmarkStart w:id="118" w:name="_Toc151193690"/>
      <w:bookmarkStart w:id="119" w:name="_Toc127151721"/>
      <w:bookmarkStart w:id="120" w:name="_Toc226965710"/>
      <w:bookmarkStart w:id="121" w:name="_Toc151193618"/>
      <w:bookmarkStart w:id="122" w:name="_Toc164229215"/>
      <w:bookmarkStart w:id="123" w:name="_Toc142311022"/>
      <w:bookmarkStart w:id="124" w:name="_Toc149720813"/>
      <w:bookmarkStart w:id="125" w:name="_Toc127151520"/>
      <w:bookmarkStart w:id="126" w:name="_Toc151193834"/>
      <w:bookmarkStart w:id="127" w:name="_Toc226965793"/>
      <w:r>
        <w:rPr>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sz w:val="24"/>
        </w:rPr>
        <w:t>、项目属性、科研仪器设备采购</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项目属性见《供应商须知资料表》。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pPr>
        <w:numPr>
          <w:ilvl w:val="0"/>
          <w:numId w:val="8"/>
        </w:numPr>
        <w:tabs>
          <w:tab w:val="left" w:pos="360"/>
        </w:tabs>
        <w:snapToGrid w:val="0"/>
        <w:spacing w:line="360" w:lineRule="auto"/>
        <w:ind w:left="357" w:hanging="357"/>
        <w:outlineLvl w:val="1"/>
        <w:rPr>
          <w:sz w:val="24"/>
        </w:rPr>
      </w:pPr>
      <w:r>
        <w:rPr>
          <w:sz w:val="24"/>
        </w:rPr>
        <w:t>现场考察、磋商前答疑会</w:t>
      </w:r>
    </w:p>
    <w:p>
      <w:pPr>
        <w:numPr>
          <w:ilvl w:val="1"/>
          <w:numId w:val="8"/>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8" w:name="_Toc150509273"/>
      <w:bookmarkStart w:id="129" w:name="_Toc265228360"/>
      <w:bookmarkStart w:id="130" w:name="_Toc226965712"/>
      <w:bookmarkStart w:id="131" w:name="_Toc150774622"/>
      <w:bookmarkStart w:id="132" w:name="_Toc151193764"/>
      <w:bookmarkStart w:id="133" w:name="_Toc151193692"/>
      <w:bookmarkStart w:id="134" w:name="_Toc150480760"/>
      <w:bookmarkStart w:id="135" w:name="_Toc142311024"/>
      <w:bookmarkStart w:id="136" w:name="_Toc150774727"/>
      <w:bookmarkStart w:id="137" w:name="_Toc520356146"/>
      <w:bookmarkStart w:id="138" w:name="_Toc226337218"/>
      <w:bookmarkStart w:id="139" w:name="_Toc305158790"/>
      <w:bookmarkStart w:id="140" w:name="_Toc151193910"/>
      <w:bookmarkStart w:id="141" w:name="_Toc195842887"/>
      <w:bookmarkStart w:id="142" w:name="_Toc305158864"/>
      <w:bookmarkStart w:id="143" w:name="_Toc226309766"/>
      <w:bookmarkStart w:id="144" w:name="_Toc151190149"/>
      <w:bookmarkStart w:id="145" w:name="_Toc151193620"/>
      <w:bookmarkStart w:id="146" w:name="_Toc127151522"/>
      <w:bookmarkStart w:id="147" w:name="_Toc226965795"/>
      <w:bookmarkStart w:id="148" w:name="_Toc151193836"/>
      <w:bookmarkStart w:id="149" w:name="_Toc264969212"/>
    </w:p>
    <w:p>
      <w:pPr>
        <w:numPr>
          <w:ilvl w:val="1"/>
          <w:numId w:val="8"/>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260"/>
          <w:tab w:val="left" w:pos="2014"/>
          <w:tab w:val="clear" w:pos="1589"/>
        </w:tabs>
        <w:snapToGrid w:val="0"/>
        <w:spacing w:line="360" w:lineRule="auto"/>
        <w:ind w:left="1268" w:hanging="700"/>
        <w:rPr>
          <w:sz w:val="24"/>
        </w:rPr>
      </w:pPr>
      <w:r>
        <w:rPr>
          <w:rFonts w:hint="eastAsia"/>
          <w:sz w:val="24"/>
        </w:rPr>
        <w:t>采购本国货物、工程和服务</w:t>
      </w:r>
    </w:p>
    <w:p>
      <w:pPr>
        <w:numPr>
          <w:ilvl w:val="2"/>
          <w:numId w:val="8"/>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pPr>
        <w:numPr>
          <w:ilvl w:val="2"/>
          <w:numId w:val="8"/>
        </w:numPr>
        <w:tabs>
          <w:tab w:val="left" w:pos="1080"/>
          <w:tab w:val="left" w:pos="2014"/>
          <w:tab w:val="clear" w:pos="1980"/>
        </w:tabs>
        <w:snapToGrid w:val="0"/>
        <w:spacing w:line="360" w:lineRule="auto"/>
        <w:rPr>
          <w:sz w:val="24"/>
        </w:rPr>
      </w:pPr>
      <w:r>
        <w:rPr>
          <w:rFonts w:hint="eastAsia"/>
          <w:sz w:val="24"/>
        </w:rPr>
        <w:t>本项目如接受非本国货物、工程、服务参与投标， 则具体要求见第四章《采购需求》。</w:t>
      </w:r>
    </w:p>
    <w:p>
      <w:pPr>
        <w:numPr>
          <w:ilvl w:val="2"/>
          <w:numId w:val="8"/>
        </w:numPr>
        <w:tabs>
          <w:tab w:val="left" w:pos="1080"/>
          <w:tab w:val="left" w:pos="1900"/>
          <w:tab w:val="clear" w:pos="1980"/>
        </w:tabs>
        <w:snapToGrid w:val="0"/>
        <w:spacing w:line="360" w:lineRule="auto"/>
        <w:rPr>
          <w:sz w:val="24"/>
        </w:rPr>
      </w:pPr>
      <w:r>
        <w:rPr>
          <w:rFonts w:hint="eastAsia"/>
          <w:sz w:val="24"/>
        </w:rPr>
        <w:t>进口产品指通过中国海关报关验放进入中国境内且产自关境外的产</w:t>
      </w:r>
    </w:p>
    <w:p>
      <w:pPr>
        <w:tabs>
          <w:tab w:val="left" w:pos="1080"/>
          <w:tab w:val="left" w:pos="2014"/>
        </w:tabs>
        <w:snapToGrid w:val="0"/>
        <w:spacing w:line="360" w:lineRule="auto"/>
        <w:ind w:left="1080" w:firstLine="818" w:firstLineChars="341"/>
        <w:rPr>
          <w:sz w:val="24"/>
        </w:rPr>
      </w:pPr>
      <w:r>
        <w:rPr>
          <w:rFonts w:hint="eastAsia"/>
          <w:sz w:val="24"/>
        </w:rPr>
        <w:t>品，包括已经进入中国境内的进口产品。关于进口产品的相关规定依</w:t>
      </w:r>
    </w:p>
    <w:p>
      <w:pPr>
        <w:tabs>
          <w:tab w:val="left" w:pos="1900"/>
          <w:tab w:val="left" w:pos="2014"/>
        </w:tabs>
        <w:snapToGrid w:val="0"/>
        <w:spacing w:line="360" w:lineRule="auto"/>
        <w:ind w:left="1900"/>
        <w:rPr>
          <w:sz w:val="24"/>
        </w:rPr>
      </w:pPr>
      <w:r>
        <w:rPr>
          <w:rFonts w:hint="eastAsia"/>
          <w:sz w:val="24"/>
        </w:rPr>
        <w:t>据《政府采购进口产品管理办法》（财库〔2007〕119 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rPr>
        <w:t>《关于进一 步加大政府采购支持中小企业力度的通知》（财库〔2022〕</w:t>
      </w:r>
    </w:p>
    <w:p>
      <w:pPr>
        <w:tabs>
          <w:tab w:val="left" w:pos="1980"/>
          <w:tab w:val="left" w:pos="2035"/>
          <w:tab w:val="left" w:pos="2885"/>
          <w:tab w:val="left" w:pos="2977"/>
        </w:tabs>
        <w:snapToGrid w:val="0"/>
        <w:spacing w:line="360" w:lineRule="auto"/>
        <w:ind w:left="2946" w:leftChars="1401" w:hanging="4" w:hangingChars="2"/>
        <w:rPr>
          <w:color w:val="000000"/>
          <w:sz w:val="24"/>
        </w:rPr>
      </w:pPr>
      <w:r>
        <w:rPr>
          <w:rFonts w:hint="eastAsia"/>
          <w:color w:val="000000"/>
          <w:sz w:val="24"/>
        </w:rPr>
        <w:t>19 号）、《政府采购促进中小企业发展管理办法》（财库〔2020〕46 号）、《关于印发中小企业划型标准规定的通知》</w:t>
      </w:r>
    </w:p>
    <w:p>
      <w:pPr>
        <w:tabs>
          <w:tab w:val="left" w:pos="1980"/>
          <w:tab w:val="left" w:pos="2035"/>
          <w:tab w:val="left" w:pos="2885"/>
          <w:tab w:val="left" w:pos="2977"/>
        </w:tabs>
        <w:snapToGrid w:val="0"/>
        <w:spacing w:line="360" w:lineRule="auto"/>
        <w:ind w:left="1985" w:firstLine="952" w:firstLineChars="397"/>
        <w:rPr>
          <w:color w:val="000000"/>
          <w:sz w:val="24"/>
        </w:rPr>
      </w:pPr>
      <w:r>
        <w:rPr>
          <w:rFonts w:hint="eastAsia"/>
          <w:color w:val="000000"/>
          <w:sz w:val="24"/>
        </w:rPr>
        <w:t>（工信部联企业〔2011〕300号）。</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w:t>
      </w: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w:t>
      </w:r>
      <w:r>
        <w:rPr>
          <w:sz w:val="24"/>
        </w:rPr>
        <w:t>残疾人福利</w:t>
      </w:r>
      <w:r>
        <w:rPr>
          <w:rFonts w:hint="eastAsia"/>
          <w:sz w:val="24"/>
        </w:rPr>
        <w:t>性</w:t>
      </w:r>
      <w:r>
        <w:rPr>
          <w:sz w:val="24"/>
        </w:rPr>
        <w:t>单位定义：享受政府采购支持政策的残疾人福利性单位应当同时满足以下条件：</w:t>
      </w:r>
    </w:p>
    <w:p>
      <w:pPr>
        <w:pStyle w:val="99"/>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人（含10人）；</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本项目是否专门面向中小企业预留采购份额见第一章《采购邀请》。</w:t>
      </w:r>
    </w:p>
    <w:p>
      <w:pPr>
        <w:numPr>
          <w:ilvl w:val="2"/>
          <w:numId w:val="8"/>
        </w:numPr>
        <w:snapToGrid w:val="0"/>
        <w:spacing w:line="360" w:lineRule="auto"/>
        <w:rPr>
          <w:sz w:val="24"/>
        </w:rPr>
      </w:pPr>
      <w:r>
        <w:rPr>
          <w:sz w:val="24"/>
        </w:rPr>
        <w:t>采购标的对应的中小企业划分标准所属行业见《供应商须知资料表》。</w:t>
      </w:r>
    </w:p>
    <w:p>
      <w:pPr>
        <w:numPr>
          <w:ilvl w:val="2"/>
          <w:numId w:val="8"/>
        </w:numPr>
        <w:snapToGrid w:val="0"/>
        <w:spacing w:line="360" w:lineRule="auto"/>
        <w:rPr>
          <w:sz w:val="24"/>
        </w:rPr>
      </w:pPr>
      <w:r>
        <w:rPr>
          <w:sz w:val="24"/>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响应无效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260"/>
          <w:tab w:val="clear" w:pos="1589"/>
        </w:tabs>
        <w:snapToGrid w:val="0"/>
        <w:spacing w:line="360" w:lineRule="auto"/>
        <w:rPr>
          <w:sz w:val="24"/>
        </w:rPr>
      </w:pPr>
      <w:r>
        <w:rPr>
          <w:rFonts w:hint="eastAsia"/>
          <w:sz w:val="24"/>
        </w:rPr>
        <w:t>网络安全专用产品</w:t>
      </w:r>
    </w:p>
    <w:p>
      <w:pPr>
        <w:numPr>
          <w:ilvl w:val="2"/>
          <w:numId w:val="8"/>
        </w:numPr>
        <w:tabs>
          <w:tab w:val="left" w:pos="2014"/>
        </w:tabs>
        <w:snapToGrid w:val="0"/>
        <w:spacing w:line="360" w:lineRule="auto"/>
        <w:rPr>
          <w:sz w:val="24"/>
        </w:rPr>
      </w:pPr>
      <w:r>
        <w:rPr>
          <w:rFonts w:hint="eastAsia"/>
          <w:sz w:val="24"/>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r>
        <w:rPr>
          <w:sz w:val="24"/>
        </w:rPr>
        <w:t>。</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pPr>
        <w:numPr>
          <w:ilvl w:val="1"/>
          <w:numId w:val="8"/>
        </w:numPr>
        <w:tabs>
          <w:tab w:val="left" w:pos="1080"/>
          <w:tab w:val="left" w:pos="2014"/>
        </w:tabs>
        <w:snapToGrid w:val="0"/>
        <w:spacing w:line="360" w:lineRule="auto"/>
        <w:ind w:left="1080" w:hanging="720"/>
        <w:rPr>
          <w:sz w:val="24"/>
        </w:rPr>
      </w:pPr>
      <w:r>
        <w:rPr>
          <w:rFonts w:hint="eastAsia"/>
          <w:sz w:val="24"/>
        </w:rPr>
        <w:t>采购需求标准</w:t>
      </w:r>
    </w:p>
    <w:p>
      <w:pPr>
        <w:numPr>
          <w:ilvl w:val="2"/>
          <w:numId w:val="8"/>
        </w:numPr>
        <w:tabs>
          <w:tab w:val="clear" w:pos="1980"/>
        </w:tabs>
        <w:snapToGrid w:val="0"/>
        <w:spacing w:line="360" w:lineRule="auto"/>
        <w:rPr>
          <w:sz w:val="24"/>
        </w:rPr>
      </w:pPr>
      <w:r>
        <w:rPr>
          <w:rFonts w:hint="eastAsia"/>
          <w:sz w:val="24"/>
        </w:rPr>
        <w:t xml:space="preserve">   商品包装、快递包装政府采购需求标准（试行）</w:t>
      </w:r>
    </w:p>
    <w:p>
      <w:pPr>
        <w:tabs>
          <w:tab w:val="left" w:pos="1480"/>
        </w:tabs>
        <w:snapToGrid w:val="0"/>
        <w:spacing w:line="360" w:lineRule="auto"/>
        <w:ind w:left="2094" w:leftChars="997"/>
        <w:rPr>
          <w:sz w:val="24"/>
        </w:rPr>
      </w:pPr>
      <w:r>
        <w:rPr>
          <w:rFonts w:hint="eastAsia"/>
          <w:sz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pPr>
        <w:snapToGrid w:val="0"/>
        <w:spacing w:line="360" w:lineRule="auto"/>
        <w:ind w:left="1080"/>
        <w:rPr>
          <w:sz w:val="24"/>
        </w:rPr>
      </w:pPr>
      <w:r>
        <w:rPr>
          <w:rFonts w:hint="eastAsia"/>
          <w:sz w:val="24"/>
        </w:rPr>
        <w:t>4.7.2    绿色数据中心政府采购需求标准（试行）</w:t>
      </w:r>
    </w:p>
    <w:p>
      <w:pPr>
        <w:tabs>
          <w:tab w:val="left" w:pos="2100"/>
        </w:tabs>
        <w:snapToGrid w:val="0"/>
        <w:spacing w:line="360" w:lineRule="auto"/>
        <w:ind w:left="2100"/>
        <w:rPr>
          <w:sz w:val="24"/>
        </w:rPr>
      </w:pPr>
      <w:r>
        <w:rPr>
          <w:rFonts w:hint="eastAsia"/>
          <w:sz w:val="24"/>
        </w:rPr>
        <w:t>为加快数据中心绿色转型，根据财政部生态环境部工业和信息化部关于印发《绿色数据中心政府采购需求标准（试行）》的通知（财库〔2023〕7号），本项目如涉及绿色数据中心，则具体要求见第四章《采购需求》。</w:t>
      </w:r>
    </w:p>
    <w:p>
      <w:pPr>
        <w:numPr>
          <w:ilvl w:val="0"/>
          <w:numId w:val="8"/>
        </w:numPr>
        <w:tabs>
          <w:tab w:val="left" w:pos="360"/>
        </w:tabs>
        <w:snapToGrid w:val="0"/>
        <w:spacing w:line="360" w:lineRule="auto"/>
        <w:ind w:left="357" w:hanging="357"/>
        <w:outlineLvl w:val="1"/>
        <w:rPr>
          <w:sz w:val="24"/>
        </w:rPr>
      </w:pPr>
      <w:r>
        <w:rPr>
          <w:sz w:val="24"/>
        </w:rPr>
        <w:t>响应费用</w:t>
      </w:r>
    </w:p>
    <w:p>
      <w:pPr>
        <w:numPr>
          <w:ilvl w:val="1"/>
          <w:numId w:val="8"/>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sz w:val="28"/>
        </w:rPr>
      </w:pPr>
      <w:bookmarkStart w:id="150" w:name="_1.8_计量单位"/>
      <w:bookmarkEnd w:id="150"/>
    </w:p>
    <w:p>
      <w:pPr>
        <w:pStyle w:val="5"/>
        <w:spacing w:before="0" w:line="360" w:lineRule="auto"/>
        <w:rPr>
          <w:rFonts w:ascii="Times New Roman" w:hAnsi="Times New Roman" w:eastAsia="宋体"/>
          <w:sz w:val="28"/>
        </w:rPr>
      </w:pPr>
      <w:r>
        <w:rPr>
          <w:rFonts w:ascii="Times New Roman" w:hAnsi="Times New Roman" w:eastAsia="宋体"/>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numPr>
          <w:ilvl w:val="0"/>
          <w:numId w:val="8"/>
        </w:numPr>
        <w:tabs>
          <w:tab w:val="left" w:pos="360"/>
        </w:tabs>
        <w:snapToGrid w:val="0"/>
        <w:spacing w:line="360" w:lineRule="auto"/>
        <w:ind w:left="357" w:hanging="357"/>
        <w:outlineLvl w:val="1"/>
        <w:rPr>
          <w:sz w:val="24"/>
        </w:rPr>
      </w:pPr>
      <w:bookmarkStart w:id="151" w:name="_Toc226337219"/>
      <w:bookmarkStart w:id="152" w:name="_Toc142311025"/>
      <w:bookmarkStart w:id="153" w:name="_Toc127151724"/>
      <w:bookmarkStart w:id="154" w:name="_Toc195842888"/>
      <w:bookmarkStart w:id="155" w:name="_Toc164229364"/>
      <w:bookmarkStart w:id="156" w:name="_Toc226965713"/>
      <w:bookmarkStart w:id="157" w:name="_Toc164351617"/>
      <w:bookmarkStart w:id="158" w:name="_Toc305158791"/>
      <w:bookmarkStart w:id="159" w:name="_Toc150774728"/>
      <w:bookmarkStart w:id="160" w:name="_Toc151190150"/>
      <w:bookmarkStart w:id="161" w:name="_Toc151193765"/>
      <w:bookmarkStart w:id="162" w:name="_Toc149720816"/>
      <w:bookmarkStart w:id="163" w:name="_Toc520356147"/>
      <w:bookmarkStart w:id="164" w:name="_Toc151193621"/>
      <w:bookmarkStart w:id="165" w:name="_Toc127151523"/>
      <w:bookmarkStart w:id="166" w:name="_Toc164608637"/>
      <w:bookmarkStart w:id="167" w:name="_Toc226309767"/>
      <w:bookmarkStart w:id="168" w:name="_Toc305158865"/>
      <w:bookmarkStart w:id="169" w:name="_Toc226965796"/>
      <w:bookmarkStart w:id="170" w:name="_Toc150774623"/>
      <w:bookmarkStart w:id="171" w:name="_Toc150509274"/>
      <w:bookmarkStart w:id="172" w:name="_Toc151193693"/>
      <w:bookmarkStart w:id="173" w:name="_Toc265228361"/>
      <w:bookmarkStart w:id="174" w:name="_Toc151193837"/>
      <w:bookmarkStart w:id="175" w:name="_Toc150480761"/>
      <w:bookmarkStart w:id="176" w:name="_Toc127161437"/>
      <w:bookmarkStart w:id="177" w:name="_Toc151193911"/>
      <w:bookmarkStart w:id="178" w:name="_Toc264969213"/>
      <w:bookmarkStart w:id="179" w:name="_Toc164608792"/>
      <w:bookmarkStart w:id="180" w:name="_Toc164229218"/>
      <w:r>
        <w:rPr>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sz w:val="24"/>
        </w:rPr>
        <w:t>成</w:t>
      </w:r>
    </w:p>
    <w:p>
      <w:pPr>
        <w:numPr>
          <w:ilvl w:val="1"/>
          <w:numId w:val="8"/>
        </w:numPr>
        <w:tabs>
          <w:tab w:val="left" w:pos="1080"/>
          <w:tab w:val="left" w:pos="2014"/>
        </w:tabs>
        <w:snapToGrid w:val="0"/>
        <w:spacing w:line="360" w:lineRule="auto"/>
        <w:ind w:left="1080" w:hanging="720"/>
        <w:rPr>
          <w:sz w:val="24"/>
        </w:rPr>
      </w:pPr>
      <w:r>
        <w:rPr>
          <w:sz w:val="24"/>
        </w:rPr>
        <w:t>竞争性磋商文件包括以下部分：</w:t>
      </w:r>
    </w:p>
    <w:p>
      <w:pPr>
        <w:numPr>
          <w:ilvl w:val="0"/>
          <w:numId w:val="10"/>
        </w:numPr>
        <w:tabs>
          <w:tab w:val="left" w:pos="1980"/>
          <w:tab w:val="left" w:pos="2520"/>
        </w:tabs>
        <w:snapToGrid w:val="0"/>
        <w:spacing w:line="360" w:lineRule="auto"/>
        <w:ind w:left="1440" w:firstLine="5"/>
        <w:rPr>
          <w:sz w:val="24"/>
        </w:rPr>
      </w:pPr>
      <w:r>
        <w:rPr>
          <w:sz w:val="24"/>
        </w:rPr>
        <w:t>采购邀请</w:t>
      </w:r>
    </w:p>
    <w:p>
      <w:pPr>
        <w:numPr>
          <w:ilvl w:val="0"/>
          <w:numId w:val="10"/>
        </w:numPr>
        <w:tabs>
          <w:tab w:val="left" w:pos="1980"/>
          <w:tab w:val="left" w:pos="2520"/>
        </w:tabs>
        <w:snapToGrid w:val="0"/>
        <w:spacing w:line="360" w:lineRule="auto"/>
        <w:ind w:left="1440" w:firstLine="5"/>
        <w:rPr>
          <w:sz w:val="24"/>
        </w:rPr>
      </w:pPr>
      <w:r>
        <w:rPr>
          <w:sz w:val="24"/>
        </w:rPr>
        <w:t>供应商须知</w:t>
      </w:r>
    </w:p>
    <w:p>
      <w:pPr>
        <w:numPr>
          <w:ilvl w:val="0"/>
          <w:numId w:val="10"/>
        </w:numPr>
        <w:tabs>
          <w:tab w:val="left" w:pos="1980"/>
          <w:tab w:val="left" w:pos="2520"/>
        </w:tabs>
        <w:snapToGrid w:val="0"/>
        <w:spacing w:line="360" w:lineRule="auto"/>
        <w:ind w:left="1440" w:firstLine="5"/>
        <w:rPr>
          <w:sz w:val="24"/>
        </w:rPr>
      </w:pPr>
      <w:r>
        <w:rPr>
          <w:sz w:val="24"/>
        </w:rPr>
        <w:t>评审方法和评审标准</w:t>
      </w:r>
    </w:p>
    <w:p>
      <w:pPr>
        <w:numPr>
          <w:ilvl w:val="0"/>
          <w:numId w:val="10"/>
        </w:numPr>
        <w:tabs>
          <w:tab w:val="left" w:pos="1980"/>
          <w:tab w:val="left" w:pos="2520"/>
        </w:tabs>
        <w:snapToGrid w:val="0"/>
        <w:spacing w:line="360" w:lineRule="auto"/>
        <w:ind w:left="1440" w:firstLine="5"/>
        <w:rPr>
          <w:sz w:val="24"/>
        </w:rPr>
      </w:pPr>
      <w:r>
        <w:rPr>
          <w:sz w:val="24"/>
        </w:rPr>
        <w:t>采购需求</w:t>
      </w:r>
    </w:p>
    <w:p>
      <w:pPr>
        <w:numPr>
          <w:ilvl w:val="0"/>
          <w:numId w:val="10"/>
        </w:numPr>
        <w:tabs>
          <w:tab w:val="left" w:pos="1980"/>
          <w:tab w:val="left" w:pos="2520"/>
        </w:tabs>
        <w:snapToGrid w:val="0"/>
        <w:spacing w:line="360" w:lineRule="auto"/>
        <w:ind w:left="1440" w:firstLine="5"/>
        <w:rPr>
          <w:sz w:val="24"/>
        </w:rPr>
      </w:pPr>
      <w:r>
        <w:rPr>
          <w:sz w:val="24"/>
        </w:rPr>
        <w:t>合同草案条款</w:t>
      </w:r>
    </w:p>
    <w:p>
      <w:pPr>
        <w:numPr>
          <w:ilvl w:val="0"/>
          <w:numId w:val="10"/>
        </w:numPr>
        <w:tabs>
          <w:tab w:val="left" w:pos="1980"/>
          <w:tab w:val="left" w:pos="2520"/>
        </w:tabs>
        <w:snapToGrid w:val="0"/>
        <w:spacing w:line="360" w:lineRule="auto"/>
        <w:ind w:left="1440" w:firstLine="5"/>
        <w:rPr>
          <w:sz w:val="24"/>
        </w:rPr>
      </w:pPr>
      <w:r>
        <w:rPr>
          <w:sz w:val="24"/>
        </w:rPr>
        <w:t>响应文件格式</w:t>
      </w:r>
    </w:p>
    <w:p>
      <w:pPr>
        <w:numPr>
          <w:ilvl w:val="1"/>
          <w:numId w:val="8"/>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对竞争性磋商文件的澄清或修改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w:t>
      </w:r>
      <w:r>
        <w:rPr>
          <w:rFonts w:hint="eastAsia"/>
          <w:sz w:val="24"/>
        </w:rPr>
        <w:t>、</w:t>
      </w:r>
      <w:r>
        <w:rPr>
          <w:sz w:val="24"/>
        </w:rPr>
        <w:t>采购代理机构</w:t>
      </w:r>
      <w:r>
        <w:rPr>
          <w:spacing w:val="3"/>
          <w:sz w:val="24"/>
        </w:rPr>
        <w:t>或者磋商</w:t>
      </w:r>
      <w:r>
        <w:rPr>
          <w:spacing w:val="2"/>
          <w:sz w:val="24"/>
        </w:rPr>
        <w:t>小组</w:t>
      </w:r>
      <w:r>
        <w:rPr>
          <w:sz w:val="24"/>
        </w:rPr>
        <w:t>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sz w:val="24"/>
        </w:rPr>
        <w:t>，以书面形式通知所有</w:t>
      </w:r>
    </w:p>
    <w:p>
      <w:pPr>
        <w:tabs>
          <w:tab w:val="left" w:pos="1080"/>
          <w:tab w:val="left" w:pos="1561"/>
          <w:tab w:val="left" w:pos="2014"/>
        </w:tabs>
        <w:snapToGrid w:val="0"/>
        <w:spacing w:line="360" w:lineRule="auto"/>
        <w:ind w:firstLine="960" w:firstLineChars="400"/>
        <w:rPr>
          <w:sz w:val="24"/>
        </w:rPr>
      </w:pPr>
      <w:r>
        <w:rPr>
          <w:rFonts w:hint="eastAsia"/>
          <w:sz w:val="24"/>
        </w:rPr>
        <w:t>获取磋商文件的供应商</w:t>
      </w:r>
      <w:r>
        <w:rPr>
          <w:sz w:val="24"/>
        </w:rPr>
        <w:t>；不足上述时间的，将顺延提交响应文件截止时间。</w:t>
      </w:r>
    </w:p>
    <w:p>
      <w:pPr>
        <w:tabs>
          <w:tab w:val="left" w:pos="1080"/>
          <w:tab w:val="left" w:pos="1561"/>
        </w:tabs>
        <w:snapToGrid w:val="0"/>
        <w:spacing w:line="360" w:lineRule="auto"/>
        <w:ind w:left="1080"/>
        <w:rPr>
          <w:sz w:val="28"/>
        </w:rPr>
      </w:pPr>
      <w:bookmarkStart w:id="181" w:name="_Toc516367020"/>
      <w:bookmarkStart w:id="182" w:name="_Toc142311028"/>
      <w:bookmarkStart w:id="183" w:name="_Toc226965799"/>
      <w:bookmarkStart w:id="184" w:name="_Toc265228364"/>
      <w:bookmarkStart w:id="185" w:name="_Toc151193840"/>
      <w:bookmarkStart w:id="186" w:name="_Toc305158794"/>
      <w:bookmarkStart w:id="187" w:name="_Toc150774626"/>
      <w:bookmarkStart w:id="188" w:name="_Toc264969216"/>
      <w:bookmarkStart w:id="189" w:name="_Toc520356150"/>
      <w:bookmarkStart w:id="190" w:name="_Toc226337222"/>
      <w:bookmarkStart w:id="191" w:name="_Toc127151526"/>
      <w:bookmarkStart w:id="192" w:name="_Toc226309770"/>
      <w:bookmarkStart w:id="193" w:name="_Toc195842891"/>
      <w:bookmarkStart w:id="194" w:name="_Toc151193696"/>
      <w:bookmarkStart w:id="195" w:name="_Toc151193624"/>
      <w:bookmarkStart w:id="196" w:name="_Toc150509277"/>
      <w:bookmarkStart w:id="197" w:name="_Toc151190153"/>
      <w:bookmarkStart w:id="198" w:name="_Toc226965716"/>
      <w:bookmarkStart w:id="199" w:name="_Toc305158868"/>
      <w:bookmarkStart w:id="200" w:name="_Toc151193768"/>
      <w:bookmarkStart w:id="201" w:name="_Toc150480764"/>
      <w:bookmarkStart w:id="202" w:name="_Toc151193914"/>
      <w:bookmarkStart w:id="203" w:name="_Toc150774731"/>
    </w:p>
    <w:p>
      <w:pPr>
        <w:pStyle w:val="5"/>
        <w:spacing w:before="0" w:line="360" w:lineRule="auto"/>
        <w:rPr>
          <w:rFonts w:ascii="Times New Roman" w:hAnsi="Times New Roman" w:eastAsia="宋体"/>
          <w:sz w:val="28"/>
        </w:rPr>
      </w:pPr>
      <w:r>
        <w:rPr>
          <w:rFonts w:ascii="Times New Roman" w:hAnsi="Times New Roman" w:eastAsia="宋体"/>
          <w:sz w:val="28"/>
        </w:rPr>
        <w:t>三   响应文件</w:t>
      </w:r>
      <w:bookmarkEnd w:id="181"/>
      <w:r>
        <w:rPr>
          <w:rFonts w:ascii="Times New Roman" w:hAnsi="Times New Roman" w:eastAsia="宋体"/>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numPr>
          <w:ilvl w:val="0"/>
          <w:numId w:val="8"/>
        </w:numPr>
        <w:tabs>
          <w:tab w:val="left" w:pos="360"/>
        </w:tabs>
        <w:snapToGrid w:val="0"/>
        <w:spacing w:line="360" w:lineRule="auto"/>
        <w:ind w:left="357" w:hanging="357"/>
        <w:outlineLvl w:val="1"/>
        <w:rPr>
          <w:sz w:val="24"/>
        </w:rPr>
      </w:pPr>
      <w:bookmarkStart w:id="204" w:name="_Toc150774732"/>
      <w:bookmarkStart w:id="205" w:name="_Toc226965717"/>
      <w:bookmarkStart w:id="206" w:name="_Toc516367021"/>
      <w:bookmarkStart w:id="207" w:name="_Toc195842892"/>
      <w:bookmarkStart w:id="208" w:name="_Toc164351621"/>
      <w:bookmarkStart w:id="209" w:name="_Toc264969217"/>
      <w:bookmarkStart w:id="210" w:name="_Toc151190154"/>
      <w:bookmarkStart w:id="211" w:name="_Toc305158795"/>
      <w:bookmarkStart w:id="212" w:name="_Toc151193915"/>
      <w:bookmarkStart w:id="213" w:name="_Toc226337223"/>
      <w:bookmarkStart w:id="214" w:name="_Toc164608796"/>
      <w:bookmarkStart w:id="215" w:name="_Toc127151527"/>
      <w:bookmarkStart w:id="216" w:name="_Toc226309771"/>
      <w:bookmarkStart w:id="217" w:name="_Toc151193625"/>
      <w:bookmarkStart w:id="218" w:name="_Toc151193769"/>
      <w:bookmarkStart w:id="219" w:name="_Toc150480765"/>
      <w:bookmarkStart w:id="220" w:name="_Toc127151728"/>
      <w:bookmarkStart w:id="221" w:name="_Toc127161441"/>
      <w:bookmarkStart w:id="222" w:name="_Toc149720820"/>
      <w:bookmarkStart w:id="223" w:name="_Toc150774627"/>
      <w:bookmarkStart w:id="224" w:name="_Toc164229368"/>
      <w:bookmarkStart w:id="225" w:name="_Toc226965800"/>
      <w:bookmarkStart w:id="226" w:name="_Toc151193841"/>
      <w:bookmarkStart w:id="227" w:name="_Toc164229222"/>
      <w:bookmarkStart w:id="228" w:name="_Toc265228365"/>
      <w:bookmarkStart w:id="229" w:name="_Toc150509278"/>
      <w:bookmarkStart w:id="230" w:name="_Toc305158869"/>
      <w:bookmarkStart w:id="231" w:name="_Toc151193697"/>
      <w:bookmarkStart w:id="232" w:name="_Toc164608641"/>
      <w:bookmarkStart w:id="233" w:name="_Toc520356151"/>
      <w:bookmarkStart w:id="234" w:name="_Toc142311029"/>
      <w:r>
        <w:rPr>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sz w:val="24"/>
        </w:rPr>
        <w:t>及磋商语言</w:t>
      </w:r>
    </w:p>
    <w:p>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w:t>
      </w:r>
      <w:r>
        <w:rPr>
          <w:rFonts w:hint="eastAsia"/>
          <w:sz w:val="24"/>
        </w:rPr>
        <w:t>参与</w:t>
      </w:r>
      <w:r>
        <w:rPr>
          <w:sz w:val="24"/>
        </w:rPr>
        <w:t>采购包对应第四章《采购需求》所列的全部内容进行响应，不得将一个采购包中的内容拆</w:t>
      </w:r>
      <w:r>
        <w:rPr>
          <w:rFonts w:hint="eastAsia"/>
          <w:sz w:val="24"/>
        </w:rPr>
        <w:t>分</w:t>
      </w:r>
      <w:r>
        <w:rPr>
          <w:sz w:val="24"/>
        </w:rPr>
        <w:t>响应，</w:t>
      </w:r>
      <w:r>
        <w:rPr>
          <w:rFonts w:hint="eastAsia"/>
          <w:sz w:val="24"/>
        </w:rPr>
        <w:t>否则其对该采购包的响应将被认定为</w:t>
      </w:r>
      <w:r>
        <w:rPr>
          <w:rFonts w:hint="eastAsia"/>
          <w:b/>
          <w:bCs/>
          <w:sz w:val="24"/>
        </w:rPr>
        <w:t>无效响应</w:t>
      </w:r>
      <w:r>
        <w:rPr>
          <w:sz w:val="24"/>
        </w:rPr>
        <w:t>。</w:t>
      </w:r>
    </w:p>
    <w:p>
      <w:pPr>
        <w:numPr>
          <w:ilvl w:val="1"/>
          <w:numId w:val="8"/>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sz w:val="24"/>
        </w:rPr>
      </w:pPr>
      <w:bookmarkStart w:id="235" w:name="_Ref467306195"/>
      <w:bookmarkStart w:id="236" w:name="_Ref467306676"/>
      <w:bookmarkStart w:id="237" w:name="_Toc516367022"/>
      <w:bookmarkStart w:id="238" w:name="_Toc151193626"/>
      <w:bookmarkStart w:id="239" w:name="_Toc265228366"/>
      <w:bookmarkStart w:id="240" w:name="_Toc127151528"/>
      <w:bookmarkStart w:id="241" w:name="_Toc142311030"/>
      <w:bookmarkStart w:id="242" w:name="_Toc150774628"/>
      <w:bookmarkStart w:id="243" w:name="_Toc226965801"/>
      <w:bookmarkStart w:id="244" w:name="_Toc164351622"/>
      <w:bookmarkStart w:id="245" w:name="_Toc150774733"/>
      <w:bookmarkStart w:id="246" w:name="_Toc305158870"/>
      <w:bookmarkStart w:id="247" w:name="_Toc164229223"/>
      <w:bookmarkStart w:id="248" w:name="_Toc151193842"/>
      <w:bookmarkStart w:id="249" w:name="_Toc150509279"/>
      <w:bookmarkStart w:id="250" w:name="_Toc226965718"/>
      <w:bookmarkStart w:id="251" w:name="_Toc127151729"/>
      <w:bookmarkStart w:id="252" w:name="_Toc520356152"/>
      <w:bookmarkStart w:id="253" w:name="_Toc150480766"/>
      <w:bookmarkStart w:id="254" w:name="_Toc164608642"/>
      <w:bookmarkStart w:id="255" w:name="_Toc164229369"/>
      <w:bookmarkStart w:id="256" w:name="_Toc164608797"/>
      <w:bookmarkStart w:id="257" w:name="_Toc226337224"/>
      <w:bookmarkStart w:id="258" w:name="_Toc151193770"/>
      <w:bookmarkStart w:id="259" w:name="_Toc151190155"/>
      <w:bookmarkStart w:id="260" w:name="_Toc305158796"/>
      <w:bookmarkStart w:id="261" w:name="_Toc149720821"/>
      <w:bookmarkStart w:id="262" w:name="_Toc264969218"/>
      <w:bookmarkStart w:id="263" w:name="_Toc127161442"/>
      <w:bookmarkStart w:id="264" w:name="_Toc195842893"/>
      <w:bookmarkStart w:id="265" w:name="_Toc226309772"/>
      <w:bookmarkStart w:id="266" w:name="_Toc151193916"/>
      <w:bookmarkStart w:id="267" w:name="_Toc151193698"/>
      <w:r>
        <w:rPr>
          <w:sz w:val="24"/>
        </w:rPr>
        <w:t>响应文件</w:t>
      </w:r>
      <w:bookmarkEnd w:id="235"/>
      <w:bookmarkEnd w:id="236"/>
      <w:bookmarkEnd w:id="237"/>
      <w:r>
        <w:rPr>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numPr>
          <w:ilvl w:val="1"/>
          <w:numId w:val="8"/>
        </w:numPr>
        <w:tabs>
          <w:tab w:val="left" w:pos="1080"/>
          <w:tab w:val="left" w:pos="2014"/>
        </w:tabs>
        <w:snapToGrid w:val="0"/>
        <w:spacing w:line="360" w:lineRule="auto"/>
        <w:ind w:left="1077" w:hanging="720"/>
        <w:rPr>
          <w:sz w:val="24"/>
        </w:rPr>
      </w:pPr>
      <w:bookmarkStart w:id="268"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pPr>
        <w:numPr>
          <w:ilvl w:val="1"/>
          <w:numId w:val="8"/>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sz w:val="24"/>
        </w:rPr>
      </w:pPr>
      <w:r>
        <w:rPr>
          <w:sz w:val="24"/>
        </w:rPr>
        <w:t>第三章《评审方法和评审标准》中涉及的证明文件。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68"/>
    </w:p>
    <w:p>
      <w:pPr>
        <w:numPr>
          <w:ilvl w:val="0"/>
          <w:numId w:val="8"/>
        </w:numPr>
        <w:tabs>
          <w:tab w:val="left" w:pos="360"/>
        </w:tabs>
        <w:snapToGrid w:val="0"/>
        <w:spacing w:line="360" w:lineRule="auto"/>
        <w:ind w:left="357" w:hanging="357"/>
        <w:outlineLvl w:val="1"/>
        <w:rPr>
          <w:sz w:val="24"/>
        </w:rPr>
      </w:pPr>
      <w:bookmarkStart w:id="269" w:name="_Toc127151731"/>
      <w:bookmarkStart w:id="270" w:name="_Toc164351624"/>
      <w:bookmarkStart w:id="271" w:name="_Toc195842895"/>
      <w:bookmarkStart w:id="272" w:name="_Toc127151530"/>
      <w:bookmarkStart w:id="273" w:name="_Toc151190157"/>
      <w:bookmarkStart w:id="274" w:name="_Toc164229225"/>
      <w:bookmarkStart w:id="275" w:name="_Toc149720823"/>
      <w:bookmarkStart w:id="276" w:name="_Toc151193844"/>
      <w:bookmarkStart w:id="277" w:name="_Toc142311032"/>
      <w:bookmarkStart w:id="278" w:name="_Toc164608799"/>
      <w:bookmarkStart w:id="279" w:name="_Toc164608644"/>
      <w:bookmarkStart w:id="280" w:name="_Toc520356155"/>
      <w:bookmarkStart w:id="281" w:name="_Toc127161444"/>
      <w:bookmarkStart w:id="282" w:name="_Toc151193772"/>
      <w:bookmarkStart w:id="283" w:name="_Toc150509281"/>
      <w:bookmarkStart w:id="284" w:name="_Toc150774735"/>
      <w:bookmarkStart w:id="285" w:name="_Toc164229371"/>
      <w:bookmarkStart w:id="286" w:name="_Toc151193628"/>
      <w:bookmarkStart w:id="287" w:name="_Toc151193700"/>
      <w:bookmarkStart w:id="288" w:name="_Toc151193918"/>
      <w:bookmarkStart w:id="289" w:name="_Toc150774630"/>
      <w:bookmarkStart w:id="290" w:name="_Toc150480768"/>
      <w:r>
        <w:rPr>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numPr>
          <w:ilvl w:val="1"/>
          <w:numId w:val="8"/>
        </w:numPr>
        <w:tabs>
          <w:tab w:val="left" w:pos="1080"/>
          <w:tab w:val="left" w:pos="2014"/>
        </w:tabs>
        <w:snapToGrid w:val="0"/>
        <w:spacing w:line="360" w:lineRule="auto"/>
        <w:ind w:left="1077" w:hanging="720"/>
        <w:rPr>
          <w:sz w:val="24"/>
        </w:rPr>
      </w:pPr>
      <w:r>
        <w:rPr>
          <w:sz w:val="24"/>
        </w:rPr>
        <w:t>所有响应均以人民币报价。</w:t>
      </w:r>
    </w:p>
    <w:p>
      <w:pPr>
        <w:numPr>
          <w:ilvl w:val="1"/>
          <w:numId w:val="8"/>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numPr>
          <w:ilvl w:val="2"/>
          <w:numId w:val="8"/>
        </w:numPr>
        <w:snapToGrid w:val="0"/>
        <w:spacing w:line="360" w:lineRule="auto"/>
        <w:rPr>
          <w:sz w:val="24"/>
        </w:rPr>
      </w:pPr>
      <w:r>
        <w:rPr>
          <w:rFonts w:hint="eastAsia"/>
          <w:sz w:val="24"/>
        </w:rPr>
        <w:t>响应</w:t>
      </w:r>
      <w:r>
        <w:rPr>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sz w:val="24"/>
        </w:rPr>
        <w:t>；</w:t>
      </w:r>
    </w:p>
    <w:p>
      <w:pPr>
        <w:numPr>
          <w:ilvl w:val="2"/>
          <w:numId w:val="8"/>
        </w:numPr>
        <w:snapToGrid w:val="0"/>
        <w:spacing w:line="360" w:lineRule="auto"/>
        <w:rPr>
          <w:sz w:val="24"/>
        </w:rPr>
      </w:pPr>
      <w:r>
        <w:rPr>
          <w:sz w:val="24"/>
        </w:rPr>
        <w:t>按照竞争性磋商文件要求完成本项</w:t>
      </w:r>
      <w:r>
        <w:rPr>
          <w:rFonts w:hint="eastAsia"/>
          <w:sz w:val="24"/>
        </w:rPr>
        <w:t>目的全部相关费用。</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pPr>
        <w:numPr>
          <w:ilvl w:val="0"/>
          <w:numId w:val="8"/>
        </w:numPr>
        <w:tabs>
          <w:tab w:val="left" w:pos="360"/>
        </w:tabs>
        <w:snapToGrid w:val="0"/>
        <w:spacing w:line="360" w:lineRule="auto"/>
        <w:ind w:left="357" w:hanging="357"/>
        <w:outlineLvl w:val="1"/>
        <w:rPr>
          <w:sz w:val="24"/>
        </w:rPr>
      </w:pPr>
      <w:r>
        <w:rPr>
          <w:sz w:val="24"/>
        </w:rPr>
        <w:t>磋商保证金</w:t>
      </w:r>
    </w:p>
    <w:p>
      <w:pPr>
        <w:numPr>
          <w:ilvl w:val="1"/>
          <w:numId w:val="8"/>
        </w:numPr>
        <w:tabs>
          <w:tab w:val="left" w:pos="1080"/>
          <w:tab w:val="left" w:pos="2014"/>
        </w:tabs>
        <w:snapToGrid w:val="0"/>
        <w:spacing w:line="360" w:lineRule="auto"/>
        <w:ind w:left="1077" w:hanging="720"/>
        <w:rPr>
          <w:sz w:val="24"/>
        </w:rPr>
      </w:pPr>
      <w:bookmarkStart w:id="291" w:name="_Ref467306302"/>
      <w:r>
        <w:rPr>
          <w:sz w:val="24"/>
        </w:rPr>
        <w:t>供应商应按《供应商须知资料表》中规定的金额及要求交纳磋商保证金</w:t>
      </w:r>
      <w:bookmarkEnd w:id="291"/>
      <w:r>
        <w:rPr>
          <w:sz w:val="24"/>
        </w:rPr>
        <w:t>。</w:t>
      </w:r>
    </w:p>
    <w:p>
      <w:pPr>
        <w:numPr>
          <w:ilvl w:val="1"/>
          <w:numId w:val="8"/>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磋商保证金有效期同响应有效期。</w:t>
      </w:r>
    </w:p>
    <w:p>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pPr>
        <w:numPr>
          <w:ilvl w:val="2"/>
          <w:numId w:val="8"/>
        </w:numPr>
        <w:snapToGrid w:val="0"/>
        <w:spacing w:line="360" w:lineRule="auto"/>
        <w:rPr>
          <w:sz w:val="24"/>
        </w:rPr>
      </w:pPr>
      <w:r>
        <w:rPr>
          <w:sz w:val="24"/>
        </w:rPr>
        <w:t>成交供应商的磋商保证金，在采购合同签订后5个工作日内退还成交供应商；</w:t>
      </w:r>
    </w:p>
    <w:p>
      <w:pPr>
        <w:numPr>
          <w:ilvl w:val="2"/>
          <w:numId w:val="8"/>
        </w:numPr>
        <w:snapToGrid w:val="0"/>
        <w:spacing w:line="360" w:lineRule="auto"/>
        <w:rPr>
          <w:sz w:val="24"/>
        </w:rPr>
      </w:pPr>
      <w:r>
        <w:rPr>
          <w:sz w:val="24"/>
        </w:rPr>
        <w:t>未成交供应商的磋商保证金，在成交通知书发出后5个工作日内退还</w:t>
      </w:r>
      <w:r>
        <w:rPr>
          <w:rFonts w:hint="eastAsia"/>
          <w:sz w:val="24"/>
        </w:rPr>
        <w:t>。</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pPr>
        <w:numPr>
          <w:ilvl w:val="2"/>
          <w:numId w:val="8"/>
        </w:numPr>
        <w:snapToGrid w:val="0"/>
        <w:spacing w:line="360" w:lineRule="auto"/>
        <w:rPr>
          <w:sz w:val="24"/>
        </w:rPr>
      </w:pPr>
      <w:r>
        <w:rPr>
          <w:sz w:val="24"/>
        </w:rPr>
        <w:t>供应商在提交响应文件截止时间后撤回响应文件的；</w:t>
      </w:r>
    </w:p>
    <w:p>
      <w:pPr>
        <w:numPr>
          <w:ilvl w:val="2"/>
          <w:numId w:val="8"/>
        </w:numPr>
        <w:snapToGrid w:val="0"/>
        <w:spacing w:line="360" w:lineRule="auto"/>
        <w:rPr>
          <w:sz w:val="24"/>
        </w:rPr>
      </w:pPr>
      <w:r>
        <w:rPr>
          <w:sz w:val="24"/>
        </w:rPr>
        <w:t>供应商在响应文件中提供虚假材料的；</w:t>
      </w:r>
    </w:p>
    <w:p>
      <w:pPr>
        <w:numPr>
          <w:ilvl w:val="2"/>
          <w:numId w:val="8"/>
        </w:numPr>
        <w:snapToGrid w:val="0"/>
        <w:spacing w:line="360" w:lineRule="auto"/>
        <w:rPr>
          <w:sz w:val="24"/>
        </w:rPr>
      </w:pPr>
      <w:r>
        <w:rPr>
          <w:sz w:val="24"/>
        </w:rPr>
        <w:t>除因不可抗力或磋商文件认可的情形以外，成交供应商不与采购人签订合同的；</w:t>
      </w:r>
    </w:p>
    <w:p>
      <w:pPr>
        <w:numPr>
          <w:ilvl w:val="2"/>
          <w:numId w:val="8"/>
        </w:numPr>
        <w:snapToGrid w:val="0"/>
        <w:spacing w:line="360" w:lineRule="auto"/>
        <w:rPr>
          <w:sz w:val="24"/>
        </w:rPr>
      </w:pPr>
      <w:r>
        <w:rPr>
          <w:sz w:val="24"/>
        </w:rPr>
        <w:t>供应商与采购人、其他供应商或者采购代理机构恶意串通的；</w:t>
      </w:r>
    </w:p>
    <w:p>
      <w:pPr>
        <w:numPr>
          <w:ilvl w:val="2"/>
          <w:numId w:val="8"/>
        </w:numPr>
        <w:snapToGrid w:val="0"/>
        <w:spacing w:line="360" w:lineRule="auto"/>
        <w:rPr>
          <w:sz w:val="24"/>
        </w:rPr>
      </w:pPr>
      <w:r>
        <w:rPr>
          <w:sz w:val="24"/>
        </w:rPr>
        <w:t>《供应商须知资料表》规定的其他情形。</w:t>
      </w:r>
    </w:p>
    <w:p>
      <w:pPr>
        <w:numPr>
          <w:ilvl w:val="0"/>
          <w:numId w:val="8"/>
        </w:numPr>
        <w:tabs>
          <w:tab w:val="left" w:pos="360"/>
        </w:tabs>
        <w:snapToGrid w:val="0"/>
        <w:spacing w:line="360" w:lineRule="auto"/>
        <w:ind w:left="357" w:hanging="357"/>
        <w:outlineLvl w:val="1"/>
        <w:rPr>
          <w:sz w:val="24"/>
        </w:rPr>
      </w:pPr>
      <w:r>
        <w:rPr>
          <w:sz w:val="24"/>
        </w:rPr>
        <w:t>响应有效期</w:t>
      </w:r>
    </w:p>
    <w:p>
      <w:pPr>
        <w:numPr>
          <w:ilvl w:val="1"/>
          <w:numId w:val="8"/>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pPr>
        <w:numPr>
          <w:ilvl w:val="0"/>
          <w:numId w:val="8"/>
        </w:numPr>
        <w:tabs>
          <w:tab w:val="left" w:pos="360"/>
        </w:tabs>
        <w:snapToGrid w:val="0"/>
        <w:spacing w:line="360" w:lineRule="auto"/>
        <w:ind w:left="357" w:hanging="357"/>
        <w:outlineLvl w:val="1"/>
        <w:rPr>
          <w:sz w:val="24"/>
        </w:rPr>
      </w:pPr>
      <w:bookmarkStart w:id="292" w:name="_Toc142311035"/>
      <w:bookmarkStart w:id="293" w:name="_Toc164229374"/>
      <w:bookmarkStart w:id="294" w:name="_Toc150774633"/>
      <w:bookmarkStart w:id="295" w:name="_Toc305158801"/>
      <w:bookmarkStart w:id="296" w:name="_Toc127151734"/>
      <w:bookmarkStart w:id="297" w:name="_Toc195842898"/>
      <w:bookmarkStart w:id="298" w:name="_Toc226965723"/>
      <w:bookmarkStart w:id="299" w:name="_Toc150480771"/>
      <w:bookmarkStart w:id="300" w:name="_Toc265228371"/>
      <w:bookmarkStart w:id="301" w:name="_Toc226337229"/>
      <w:bookmarkStart w:id="302" w:name="_Toc150509284"/>
      <w:bookmarkStart w:id="303" w:name="_Toc151193847"/>
      <w:bookmarkStart w:id="304" w:name="_Toc150774738"/>
      <w:bookmarkStart w:id="305" w:name="_Toc151193775"/>
      <w:bookmarkStart w:id="306" w:name="_Toc151193921"/>
      <w:bookmarkStart w:id="307" w:name="_Toc520356158"/>
      <w:bookmarkStart w:id="308" w:name="_Toc127161447"/>
      <w:bookmarkStart w:id="309" w:name="_Toc305158875"/>
      <w:bookmarkStart w:id="310" w:name="_Toc151193703"/>
      <w:bookmarkStart w:id="311" w:name="_Toc149720826"/>
      <w:bookmarkStart w:id="312" w:name="_Toc264969223"/>
      <w:bookmarkStart w:id="313" w:name="_Toc164608647"/>
      <w:bookmarkStart w:id="314" w:name="_Toc164608802"/>
      <w:bookmarkStart w:id="315" w:name="_Toc226965806"/>
      <w:bookmarkStart w:id="316" w:name="_Toc164229228"/>
      <w:bookmarkStart w:id="317" w:name="_Toc164351627"/>
      <w:bookmarkStart w:id="318" w:name="_Toc226309777"/>
      <w:bookmarkStart w:id="319" w:name="_Toc151190160"/>
      <w:bookmarkStart w:id="320" w:name="_Toc127151533"/>
      <w:bookmarkStart w:id="321" w:name="_Toc151193631"/>
      <w:r>
        <w:rPr>
          <w:sz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sz w:val="24"/>
        </w:rPr>
        <w:t>、盖章</w:t>
      </w:r>
    </w:p>
    <w:p>
      <w:pPr>
        <w:numPr>
          <w:ilvl w:val="1"/>
          <w:numId w:val="8"/>
        </w:numPr>
        <w:tabs>
          <w:tab w:val="left" w:pos="1080"/>
          <w:tab w:val="left" w:pos="2014"/>
        </w:tabs>
        <w:snapToGrid w:val="0"/>
        <w:spacing w:line="360" w:lineRule="auto"/>
        <w:ind w:left="1077" w:hanging="720"/>
        <w:rPr>
          <w:rFonts w:ascii="宋体" w:hAnsi="宋体"/>
          <w:sz w:val="24"/>
        </w:rPr>
      </w:pPr>
      <w:bookmarkStart w:id="322" w:name="_Toc226337230"/>
      <w:bookmarkStart w:id="323" w:name="_Toc150774634"/>
      <w:bookmarkStart w:id="324" w:name="_Toc305158802"/>
      <w:bookmarkStart w:id="325" w:name="_Toc151193922"/>
      <w:bookmarkStart w:id="326" w:name="_Toc520356159"/>
      <w:bookmarkStart w:id="327" w:name="_Toc151193632"/>
      <w:bookmarkStart w:id="328" w:name="_Toc150480772"/>
      <w:bookmarkStart w:id="329" w:name="_Toc150774739"/>
      <w:bookmarkStart w:id="330" w:name="_Toc150509285"/>
      <w:bookmarkStart w:id="331" w:name="_Toc264969224"/>
      <w:bookmarkStart w:id="332" w:name="_Toc151193704"/>
      <w:bookmarkStart w:id="333" w:name="_Toc127151534"/>
      <w:bookmarkStart w:id="334" w:name="_Toc151193776"/>
      <w:bookmarkStart w:id="335" w:name="_Toc226965807"/>
      <w:bookmarkStart w:id="336" w:name="_Toc226965724"/>
      <w:bookmarkStart w:id="337" w:name="_Toc142311036"/>
      <w:bookmarkStart w:id="338" w:name="_Toc265228372"/>
      <w:bookmarkStart w:id="339" w:name="_Toc151193848"/>
      <w:bookmarkStart w:id="340" w:name="_Toc305158876"/>
      <w:bookmarkStart w:id="341" w:name="_Toc195842899"/>
      <w:bookmarkStart w:id="342" w:name="_Toc226309778"/>
      <w:bookmarkStart w:id="343" w:name="_Toc151190161"/>
      <w:r>
        <w:rPr>
          <w:rFonts w:hint="eastAsia" w:ascii="宋体" w:hAnsi="宋体"/>
          <w:sz w:val="24"/>
        </w:rPr>
        <w:t>供应商应准备首次磋商响应文件正本　一　份和副本  二  份，每份首次磋商响应文件须清楚地标明“正本”或“副本”。若正本和副本不符，以正本为准。另外供应商还需提供电子光盘或U盘磋商响应文件1份，电子版磋商响应文件与纸质磋商响应文件内容不符的，以纸质磋商响应文件为准。</w:t>
      </w:r>
    </w:p>
    <w:p>
      <w:pPr>
        <w:numPr>
          <w:ilvl w:val="1"/>
          <w:numId w:val="8"/>
        </w:numPr>
        <w:tabs>
          <w:tab w:val="left" w:pos="1080"/>
          <w:tab w:val="left" w:pos="2014"/>
        </w:tabs>
        <w:snapToGrid w:val="0"/>
        <w:spacing w:line="360" w:lineRule="auto"/>
        <w:ind w:left="1077" w:hanging="720"/>
        <w:rPr>
          <w:rFonts w:ascii="宋体" w:hAnsi="宋体"/>
          <w:sz w:val="24"/>
        </w:rPr>
      </w:pPr>
      <w:r>
        <w:rPr>
          <w:rFonts w:hint="eastAsia" w:ascii="宋体" w:hAnsi="宋体"/>
          <w:sz w:val="24"/>
        </w:rPr>
        <w:t>磋商响应文件的正本须打印或用不褪色墨水书写（采用A4纸），并由供应商的法定代表人或经其正式授权的代表在要求的地方签字、加盖单位印章。授权代表须有书面的“法定代表人授权书”（标准格式附后），并将其附在磋商响应文件中。磋商响应文件的副本可采用正本的复印件（采用A4纸）。</w:t>
      </w:r>
    </w:p>
    <w:p>
      <w:pPr>
        <w:numPr>
          <w:ilvl w:val="1"/>
          <w:numId w:val="8"/>
        </w:numPr>
        <w:tabs>
          <w:tab w:val="left" w:pos="1080"/>
          <w:tab w:val="left" w:pos="2014"/>
        </w:tabs>
        <w:snapToGrid w:val="0"/>
        <w:spacing w:line="360" w:lineRule="auto"/>
        <w:ind w:left="1077" w:hanging="720"/>
        <w:rPr>
          <w:rFonts w:ascii="宋体" w:hAnsi="宋体"/>
          <w:sz w:val="24"/>
        </w:rPr>
      </w:pPr>
      <w:r>
        <w:rPr>
          <w:rFonts w:hint="eastAsia" w:ascii="宋体" w:hAnsi="宋体"/>
          <w:sz w:val="24"/>
        </w:rPr>
        <w:t>任何行间插字、涂改和增删，必须由磋商响应文件签字人签字或加盖公章后才有效。</w:t>
      </w:r>
    </w:p>
    <w:p>
      <w:pPr>
        <w:numPr>
          <w:ilvl w:val="1"/>
          <w:numId w:val="8"/>
        </w:numPr>
        <w:tabs>
          <w:tab w:val="left" w:pos="1080"/>
          <w:tab w:val="left" w:pos="2014"/>
        </w:tabs>
        <w:snapToGrid w:val="0"/>
        <w:spacing w:line="360" w:lineRule="auto"/>
        <w:ind w:left="1077" w:hanging="720"/>
        <w:rPr>
          <w:rFonts w:ascii="宋体" w:hAnsi="宋体"/>
          <w:sz w:val="24"/>
        </w:rPr>
      </w:pPr>
      <w:r>
        <w:rPr>
          <w:rFonts w:hint="eastAsia" w:ascii="宋体" w:hAnsi="宋体"/>
          <w:sz w:val="24"/>
        </w:rPr>
        <w:t>磋商响应文件因字迹潦草或表达不清所引起的后果由供应商负责。</w:t>
      </w:r>
    </w:p>
    <w:p>
      <w:pPr>
        <w:tabs>
          <w:tab w:val="left" w:pos="900"/>
          <w:tab w:val="left" w:pos="1080"/>
        </w:tabs>
        <w:snapToGrid w:val="0"/>
        <w:spacing w:line="360" w:lineRule="auto"/>
        <w:ind w:left="357"/>
      </w:pPr>
    </w:p>
    <w:p>
      <w:pPr>
        <w:pStyle w:val="5"/>
        <w:spacing w:before="0" w:line="360" w:lineRule="auto"/>
        <w:rPr>
          <w:rFonts w:ascii="Times New Roman" w:hAnsi="Times New Roman" w:eastAsia="宋体"/>
          <w:sz w:val="28"/>
        </w:rPr>
      </w:pPr>
      <w:r>
        <w:rPr>
          <w:rFonts w:ascii="Times New Roman" w:hAnsi="Times New Roman" w:eastAsia="宋体"/>
          <w:sz w:val="28"/>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pPr>
        <w:numPr>
          <w:ilvl w:val="0"/>
          <w:numId w:val="8"/>
        </w:numPr>
        <w:tabs>
          <w:tab w:val="left" w:pos="360"/>
        </w:tabs>
        <w:snapToGrid w:val="0"/>
        <w:spacing w:line="360" w:lineRule="auto"/>
        <w:ind w:left="357" w:hanging="357"/>
        <w:outlineLvl w:val="1"/>
        <w:rPr>
          <w:sz w:val="24"/>
        </w:rPr>
      </w:pPr>
      <w:bookmarkStart w:id="344" w:name="_Toc150774740"/>
      <w:bookmarkStart w:id="345" w:name="_Toc150480773"/>
      <w:bookmarkStart w:id="346" w:name="_Toc151193633"/>
      <w:bookmarkStart w:id="347" w:name="_Toc164229230"/>
      <w:bookmarkStart w:id="348" w:name="_Toc127151535"/>
      <w:bookmarkStart w:id="349" w:name="_Toc164608649"/>
      <w:bookmarkStart w:id="350" w:name="_Toc164351629"/>
      <w:bookmarkStart w:id="351" w:name="_Toc151193923"/>
      <w:bookmarkStart w:id="352" w:name="_Toc264969225"/>
      <w:bookmarkStart w:id="353" w:name="_Toc127151736"/>
      <w:bookmarkStart w:id="354" w:name="_Toc127161449"/>
      <w:bookmarkStart w:id="355" w:name="_Toc164229376"/>
      <w:bookmarkStart w:id="356" w:name="_Toc151193849"/>
      <w:bookmarkStart w:id="357" w:name="_Toc305158803"/>
      <w:bookmarkStart w:id="358" w:name="_Toc226309779"/>
      <w:bookmarkStart w:id="359" w:name="_Toc149720828"/>
      <w:bookmarkStart w:id="360" w:name="_Toc151190162"/>
      <w:bookmarkStart w:id="361" w:name="_Toc150509286"/>
      <w:bookmarkStart w:id="362" w:name="_Toc195842900"/>
      <w:bookmarkStart w:id="363" w:name="_Toc265228373"/>
      <w:bookmarkStart w:id="364" w:name="_Toc226337231"/>
      <w:bookmarkStart w:id="365" w:name="_Toc305158877"/>
      <w:bookmarkStart w:id="366" w:name="_Toc164608804"/>
      <w:bookmarkStart w:id="367" w:name="_Toc150774635"/>
      <w:bookmarkStart w:id="368" w:name="_Toc520356160"/>
      <w:bookmarkStart w:id="369" w:name="_Toc142311037"/>
      <w:bookmarkStart w:id="370" w:name="_Toc226965725"/>
      <w:bookmarkStart w:id="371" w:name="_Toc151193705"/>
      <w:bookmarkStart w:id="372" w:name="_Toc151193777"/>
      <w:bookmarkStart w:id="373" w:name="_Toc226965808"/>
      <w:r>
        <w:rPr>
          <w:sz w:val="24"/>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sz w:val="24"/>
        </w:rPr>
        <w:t>提交</w:t>
      </w:r>
    </w:p>
    <w:p>
      <w:pPr>
        <w:numPr>
          <w:ilvl w:val="1"/>
          <w:numId w:val="8"/>
        </w:numPr>
        <w:tabs>
          <w:tab w:val="left" w:pos="1080"/>
          <w:tab w:val="left" w:pos="2014"/>
        </w:tabs>
        <w:snapToGrid w:val="0"/>
        <w:spacing w:line="360" w:lineRule="auto"/>
        <w:ind w:left="1077" w:hanging="720"/>
        <w:rPr>
          <w:rFonts w:ascii="宋体" w:hAnsi="宋体"/>
          <w:sz w:val="24"/>
        </w:rPr>
      </w:pPr>
      <w:bookmarkStart w:id="374" w:name="_Toc164351630"/>
      <w:bookmarkStart w:id="375" w:name="_Toc150774636"/>
      <w:bookmarkStart w:id="376" w:name="_Toc226965726"/>
      <w:bookmarkStart w:id="377" w:name="_Toc164229377"/>
      <w:bookmarkStart w:id="378" w:name="_Toc151193634"/>
      <w:bookmarkStart w:id="379" w:name="_Toc127161450"/>
      <w:bookmarkStart w:id="380" w:name="_Toc127151536"/>
      <w:bookmarkStart w:id="381" w:name="_Toc151193706"/>
      <w:bookmarkStart w:id="382" w:name="_Toc226337232"/>
      <w:bookmarkStart w:id="383" w:name="_Toc305158878"/>
      <w:bookmarkStart w:id="384" w:name="_Toc151190163"/>
      <w:bookmarkStart w:id="385" w:name="_Toc164608805"/>
      <w:bookmarkStart w:id="386" w:name="_Toc226965809"/>
      <w:bookmarkStart w:id="387" w:name="_Toc164229231"/>
      <w:bookmarkStart w:id="388" w:name="_Toc151193924"/>
      <w:bookmarkStart w:id="389" w:name="_Toc149720829"/>
      <w:bookmarkStart w:id="390" w:name="_Toc150774741"/>
      <w:bookmarkStart w:id="391" w:name="_Toc150509287"/>
      <w:bookmarkStart w:id="392" w:name="_Toc195842901"/>
      <w:bookmarkStart w:id="393" w:name="_Toc151193850"/>
      <w:bookmarkStart w:id="394" w:name="_Toc226309780"/>
      <w:bookmarkStart w:id="395" w:name="_Toc264969226"/>
      <w:bookmarkStart w:id="396" w:name="_Toc142311038"/>
      <w:bookmarkStart w:id="397" w:name="_Toc520356161"/>
      <w:bookmarkStart w:id="398" w:name="_Toc265228374"/>
      <w:bookmarkStart w:id="399" w:name="_Toc164608650"/>
      <w:bookmarkStart w:id="400" w:name="_Toc127151737"/>
      <w:bookmarkStart w:id="401" w:name="_Toc151193778"/>
      <w:bookmarkStart w:id="402" w:name="_Toc150480774"/>
      <w:bookmarkStart w:id="403" w:name="_Toc305158804"/>
      <w:r>
        <w:rPr>
          <w:rFonts w:hint="eastAsia" w:ascii="宋体" w:hAnsi="宋体"/>
          <w:sz w:val="24"/>
        </w:rPr>
        <w:t>磋商时，供应商应将磋商响应文件正本密封装在单独的信封中、所有副本一起密封装在单独的信封中，且在信封正面标明“正本”“副本”字样。电子版磋商响应文件可单独密封包装，也可和正本一起封装。</w:t>
      </w:r>
    </w:p>
    <w:p>
      <w:pPr>
        <w:numPr>
          <w:ilvl w:val="1"/>
          <w:numId w:val="8"/>
        </w:numPr>
        <w:tabs>
          <w:tab w:val="left" w:pos="1080"/>
          <w:tab w:val="left" w:pos="2014"/>
        </w:tabs>
        <w:snapToGrid w:val="0"/>
        <w:spacing w:line="360" w:lineRule="auto"/>
        <w:ind w:left="1077" w:hanging="720"/>
        <w:rPr>
          <w:rFonts w:ascii="宋体" w:hAnsi="宋体"/>
          <w:sz w:val="24"/>
        </w:rPr>
      </w:pPr>
      <w:r>
        <w:rPr>
          <w:rFonts w:hint="eastAsia" w:ascii="宋体" w:hAnsi="宋体"/>
          <w:sz w:val="24"/>
        </w:rPr>
        <w:t>所有信封上均应：</w:t>
      </w:r>
    </w:p>
    <w:p>
      <w:pPr>
        <w:tabs>
          <w:tab w:val="left" w:pos="360"/>
        </w:tabs>
        <w:snapToGrid w:val="0"/>
        <w:spacing w:line="360" w:lineRule="auto"/>
        <w:ind w:left="357"/>
        <w:outlineLvl w:val="1"/>
        <w:rPr>
          <w:rFonts w:ascii="宋体" w:hAnsi="宋体"/>
          <w:sz w:val="24"/>
        </w:rPr>
      </w:pPr>
      <w:r>
        <w:rPr>
          <w:rFonts w:hint="eastAsia" w:ascii="宋体" w:hAnsi="宋体"/>
          <w:sz w:val="24"/>
        </w:rPr>
        <w:t>1）清楚标明递交至磋商公告或磋商邀请书中指明的地址。</w:t>
      </w:r>
    </w:p>
    <w:p>
      <w:pPr>
        <w:tabs>
          <w:tab w:val="left" w:pos="360"/>
        </w:tabs>
        <w:snapToGrid w:val="0"/>
        <w:spacing w:line="360" w:lineRule="auto"/>
        <w:ind w:left="357"/>
        <w:outlineLvl w:val="1"/>
        <w:rPr>
          <w:rFonts w:ascii="宋体" w:hAnsi="宋体"/>
          <w:sz w:val="24"/>
        </w:rPr>
      </w:pPr>
      <w:r>
        <w:rPr>
          <w:rFonts w:hint="eastAsia" w:ascii="宋体" w:hAnsi="宋体"/>
          <w:sz w:val="24"/>
        </w:rPr>
        <w:t>2）注明磋商公告或磋商邀请书中指明的项目名称、磋商编号和“在      年   月    日     时之前不得启封”的字样（填入规定的递交首次磋商响应文件日期和时间）。</w:t>
      </w:r>
    </w:p>
    <w:p>
      <w:pPr>
        <w:tabs>
          <w:tab w:val="left" w:pos="360"/>
        </w:tabs>
        <w:snapToGrid w:val="0"/>
        <w:spacing w:line="360" w:lineRule="auto"/>
        <w:ind w:left="357"/>
        <w:outlineLvl w:val="1"/>
        <w:rPr>
          <w:rFonts w:ascii="宋体" w:hAnsi="宋体"/>
          <w:sz w:val="24"/>
        </w:rPr>
      </w:pPr>
      <w:r>
        <w:rPr>
          <w:rFonts w:hint="eastAsia" w:ascii="宋体" w:hAnsi="宋体"/>
          <w:sz w:val="24"/>
        </w:rPr>
        <w:t>3）在信封的封装处加盖供应商公章。</w:t>
      </w:r>
    </w:p>
    <w:p>
      <w:pPr>
        <w:numPr>
          <w:ilvl w:val="1"/>
          <w:numId w:val="8"/>
        </w:numPr>
        <w:tabs>
          <w:tab w:val="left" w:pos="1080"/>
          <w:tab w:val="left" w:pos="2014"/>
        </w:tabs>
        <w:snapToGrid w:val="0"/>
        <w:spacing w:line="360" w:lineRule="auto"/>
        <w:ind w:left="1077" w:hanging="720"/>
        <w:rPr>
          <w:rFonts w:ascii="宋体" w:hAnsi="宋体"/>
          <w:sz w:val="24"/>
        </w:rPr>
      </w:pPr>
      <w:r>
        <w:rPr>
          <w:rFonts w:hint="eastAsia" w:ascii="宋体" w:hAnsi="宋体"/>
          <w:sz w:val="24"/>
        </w:rPr>
        <w:t>所有信封上还应写明供应商名称和地址，以便若其首次磋商响应文件递交截止时间后被宣布为“迟到”磋商响应时，能原封退回。</w:t>
      </w:r>
    </w:p>
    <w:p>
      <w:pPr>
        <w:numPr>
          <w:ilvl w:val="1"/>
          <w:numId w:val="8"/>
        </w:numPr>
        <w:tabs>
          <w:tab w:val="left" w:pos="900"/>
          <w:tab w:val="left" w:pos="1080"/>
          <w:tab w:val="left" w:pos="2014"/>
        </w:tabs>
        <w:snapToGrid w:val="0"/>
        <w:spacing w:line="360" w:lineRule="auto"/>
        <w:ind w:left="1077" w:hanging="720"/>
        <w:rPr>
          <w:rFonts w:ascii="宋体" w:hAnsi="宋体"/>
          <w:sz w:val="24"/>
        </w:rPr>
      </w:pPr>
      <w:r>
        <w:rPr>
          <w:rFonts w:hint="eastAsia" w:ascii="宋体" w:hAnsi="宋体"/>
          <w:sz w:val="24"/>
        </w:rPr>
        <w:t>如果供应商未按上述要求密封及加写标记，采购单位对磋商响应文件的误投或过早启封概不负责。</w:t>
      </w:r>
    </w:p>
    <w:p>
      <w:pPr>
        <w:numPr>
          <w:ilvl w:val="0"/>
          <w:numId w:val="8"/>
        </w:numPr>
        <w:tabs>
          <w:tab w:val="left" w:pos="360"/>
        </w:tabs>
        <w:snapToGrid w:val="0"/>
        <w:spacing w:line="360" w:lineRule="auto"/>
        <w:ind w:left="357" w:hanging="357"/>
        <w:outlineLvl w:val="1"/>
        <w:rPr>
          <w:sz w:val="24"/>
        </w:rPr>
      </w:pPr>
      <w:r>
        <w:rPr>
          <w:sz w:val="24"/>
        </w:rPr>
        <w:t>响应文件</w:t>
      </w:r>
      <w:r>
        <w:rPr>
          <w:rFonts w:hint="eastAsia"/>
          <w:sz w:val="24"/>
        </w:rPr>
        <w:t>提交</w:t>
      </w:r>
      <w:r>
        <w:rPr>
          <w:sz w:val="24"/>
        </w:rPr>
        <w:t>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sz w:val="24"/>
        </w:rPr>
        <w:t>时间</w:t>
      </w:r>
    </w:p>
    <w:p>
      <w:pPr>
        <w:numPr>
          <w:ilvl w:val="1"/>
          <w:numId w:val="8"/>
        </w:numPr>
        <w:tabs>
          <w:tab w:val="left" w:pos="900"/>
          <w:tab w:val="left" w:pos="1080"/>
          <w:tab w:val="left" w:pos="2014"/>
        </w:tabs>
        <w:snapToGrid w:val="0"/>
        <w:spacing w:line="360" w:lineRule="auto"/>
        <w:ind w:left="1077" w:hanging="720"/>
        <w:rPr>
          <w:rFonts w:ascii="宋体" w:hAnsi="宋体"/>
          <w:sz w:val="24"/>
        </w:rPr>
      </w:pPr>
      <w:bookmarkStart w:id="404" w:name="_Toc127151738"/>
      <w:bookmarkStart w:id="405" w:name="_Toc226965727"/>
      <w:bookmarkStart w:id="406" w:name="_Toc150774637"/>
      <w:bookmarkStart w:id="407" w:name="_Toc226309781"/>
      <w:bookmarkStart w:id="408" w:name="_Toc149720830"/>
      <w:bookmarkStart w:id="409" w:name="_Toc142311039"/>
      <w:bookmarkStart w:id="410" w:name="_Toc164229232"/>
      <w:bookmarkStart w:id="411" w:name="_Toc195842902"/>
      <w:bookmarkStart w:id="412" w:name="_Toc151193851"/>
      <w:bookmarkStart w:id="413" w:name="_Toc150774742"/>
      <w:bookmarkStart w:id="414" w:name="_Toc226965810"/>
      <w:bookmarkStart w:id="415" w:name="_Toc305158879"/>
      <w:bookmarkStart w:id="416" w:name="_Toc151190164"/>
      <w:bookmarkStart w:id="417" w:name="_Toc151193925"/>
      <w:bookmarkStart w:id="418" w:name="_Toc264969227"/>
      <w:bookmarkStart w:id="419" w:name="_Toc127151537"/>
      <w:bookmarkStart w:id="420" w:name="_Toc265228375"/>
      <w:bookmarkStart w:id="421" w:name="_Toc151193707"/>
      <w:bookmarkStart w:id="422" w:name="_Toc164608651"/>
      <w:bookmarkStart w:id="423" w:name="_Toc151193635"/>
      <w:bookmarkStart w:id="424" w:name="_Toc305158805"/>
      <w:bookmarkStart w:id="425" w:name="_Toc150509288"/>
      <w:bookmarkStart w:id="426" w:name="_Toc226337233"/>
      <w:bookmarkStart w:id="427" w:name="_Toc164608806"/>
      <w:bookmarkStart w:id="428" w:name="_Toc164351631"/>
      <w:bookmarkStart w:id="429" w:name="_Toc127161451"/>
      <w:bookmarkStart w:id="430" w:name="_Toc164229378"/>
      <w:bookmarkStart w:id="431" w:name="_Toc150480775"/>
      <w:bookmarkStart w:id="432" w:name="_Toc151193779"/>
      <w:bookmarkStart w:id="433" w:name="_Toc520356162"/>
      <w:r>
        <w:rPr>
          <w:rFonts w:hint="eastAsia" w:ascii="宋体" w:hAnsi="宋体"/>
          <w:sz w:val="24"/>
        </w:rPr>
        <w:t>供应商应在磋商邀请中规定的截止日期和时间内，将首次磋商响应文件递交采购单位，递交地点应是磋商邀请书中规定的地址。</w:t>
      </w:r>
    </w:p>
    <w:p>
      <w:pPr>
        <w:numPr>
          <w:ilvl w:val="1"/>
          <w:numId w:val="8"/>
        </w:numPr>
        <w:tabs>
          <w:tab w:val="left" w:pos="900"/>
          <w:tab w:val="left" w:pos="1080"/>
          <w:tab w:val="left" w:pos="2014"/>
        </w:tabs>
        <w:snapToGrid w:val="0"/>
        <w:spacing w:line="360" w:lineRule="auto"/>
        <w:ind w:left="1077" w:hanging="720"/>
        <w:rPr>
          <w:rFonts w:ascii="宋体" w:hAnsi="宋体"/>
          <w:sz w:val="24"/>
        </w:rPr>
      </w:pPr>
      <w:r>
        <w:rPr>
          <w:rFonts w:hint="eastAsia" w:ascii="宋体" w:hAnsi="宋体"/>
          <w:sz w:val="24"/>
        </w:rPr>
        <w:t>采购单位有权按本须知的规定，通过修改磋商文件延长首次磋商响应文件递交截止期。在此情况下，采购单位和供应商受首次磋商响应文件递交截止期制约的所有权利和义务均应延长至新的截止期。</w:t>
      </w:r>
    </w:p>
    <w:p>
      <w:pPr>
        <w:numPr>
          <w:ilvl w:val="1"/>
          <w:numId w:val="8"/>
        </w:numPr>
        <w:tabs>
          <w:tab w:val="left" w:pos="900"/>
          <w:tab w:val="left" w:pos="1080"/>
          <w:tab w:val="left" w:pos="2014"/>
        </w:tabs>
        <w:snapToGrid w:val="0"/>
        <w:spacing w:line="360" w:lineRule="auto"/>
        <w:ind w:left="1077" w:hanging="720"/>
        <w:rPr>
          <w:rFonts w:ascii="宋体" w:hAnsi="宋体"/>
          <w:sz w:val="24"/>
        </w:rPr>
      </w:pPr>
      <w:r>
        <w:rPr>
          <w:rFonts w:hint="eastAsia" w:ascii="宋体" w:hAnsi="宋体"/>
          <w:sz w:val="24"/>
        </w:rPr>
        <w:t>采购单位将拒绝并原封退回在本须知规定的首次磋商响应文件递交截止期后收到的任何磋商响应文件。</w:t>
      </w:r>
    </w:p>
    <w:p>
      <w:pPr>
        <w:numPr>
          <w:ilvl w:val="0"/>
          <w:numId w:val="8"/>
        </w:numPr>
        <w:tabs>
          <w:tab w:val="left" w:pos="360"/>
        </w:tabs>
        <w:snapToGrid w:val="0"/>
        <w:spacing w:line="360" w:lineRule="auto"/>
        <w:ind w:left="357" w:hanging="357"/>
        <w:outlineLvl w:val="1"/>
        <w:rPr>
          <w:sz w:val="24"/>
        </w:rPr>
      </w:pPr>
      <w:r>
        <w:rPr>
          <w:sz w:val="24"/>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提交响应文件截止时间前，供应商可以对所提交的响应文件进行补充、修改或者撤回。磋商保证金</w:t>
      </w:r>
      <w:r>
        <w:rPr>
          <w:rFonts w:hint="eastAsia" w:ascii="宋体" w:hAnsi="宋体"/>
          <w:sz w:val="24"/>
        </w:rPr>
        <w:t>的</w:t>
      </w:r>
      <w:r>
        <w:rPr>
          <w:rFonts w:ascii="宋体" w:hAnsi="宋体"/>
          <w:sz w:val="24"/>
        </w:rPr>
        <w:t>补充、修改或者撤回应</w:t>
      </w:r>
      <w:r>
        <w:rPr>
          <w:rFonts w:hint="eastAsia" w:ascii="宋体" w:hAnsi="宋体"/>
          <w:sz w:val="24"/>
        </w:rPr>
        <w:t>就其</w:t>
      </w:r>
      <w:r>
        <w:rPr>
          <w:rFonts w:ascii="宋体" w:hAnsi="宋体"/>
          <w:sz w:val="24"/>
        </w:rPr>
        <w:t>补充、修改或者撤回</w:t>
      </w:r>
      <w:r>
        <w:rPr>
          <w:rFonts w:hint="eastAsia" w:ascii="宋体" w:hAnsi="宋体"/>
          <w:sz w:val="24"/>
        </w:rPr>
        <w:t>通知</w:t>
      </w:r>
      <w:r>
        <w:rPr>
          <w:rFonts w:ascii="宋体" w:hAnsi="宋体"/>
          <w:sz w:val="24"/>
        </w:rPr>
        <w:t>采购人或采购代理机构。</w:t>
      </w:r>
    </w:p>
    <w:p>
      <w:pPr>
        <w:numPr>
          <w:ilvl w:val="1"/>
          <w:numId w:val="8"/>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5"/>
        <w:spacing w:before="0" w:line="360" w:lineRule="auto"/>
        <w:rPr>
          <w:rFonts w:ascii="Times New Roman" w:hAnsi="Times New Roman" w:eastAsia="宋体"/>
          <w:sz w:val="28"/>
        </w:rPr>
      </w:pPr>
      <w:bookmarkStart w:id="434" w:name="_Toc226309782"/>
      <w:bookmarkStart w:id="435" w:name="_Toc127151538"/>
      <w:bookmarkStart w:id="436" w:name="_Toc151193926"/>
      <w:bookmarkStart w:id="437" w:name="_Toc151190165"/>
      <w:bookmarkStart w:id="438" w:name="_Toc195842903"/>
      <w:bookmarkStart w:id="439" w:name="_Toc150774638"/>
      <w:bookmarkStart w:id="440" w:name="_Toc265228376"/>
      <w:bookmarkStart w:id="441" w:name="_Toc150480776"/>
      <w:bookmarkStart w:id="442" w:name="_Toc150509289"/>
      <w:bookmarkStart w:id="443" w:name="_Toc226337234"/>
      <w:bookmarkStart w:id="444" w:name="_Toc150774743"/>
      <w:bookmarkStart w:id="445" w:name="_Toc305158806"/>
      <w:bookmarkStart w:id="446" w:name="_Toc151193636"/>
      <w:bookmarkStart w:id="447" w:name="_Toc142311040"/>
      <w:bookmarkStart w:id="448" w:name="_Toc151193780"/>
      <w:bookmarkStart w:id="449" w:name="_Toc520356163"/>
      <w:bookmarkStart w:id="450" w:name="_Toc226965728"/>
      <w:bookmarkStart w:id="451" w:name="_Toc264969228"/>
      <w:bookmarkStart w:id="452" w:name="_Toc151193852"/>
      <w:bookmarkStart w:id="453" w:name="_Toc226965811"/>
      <w:bookmarkStart w:id="454" w:name="_Toc305158880"/>
      <w:bookmarkStart w:id="455" w:name="_Toc151193708"/>
      <w:r>
        <w:rPr>
          <w:rFonts w:ascii="Times New Roman" w:hAnsi="Times New Roman" w:eastAsia="宋体"/>
          <w:sz w:val="28"/>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hAnsi="Times New Roman" w:eastAsia="宋体"/>
          <w:sz w:val="28"/>
        </w:rPr>
        <w:t>评审</w:t>
      </w:r>
    </w:p>
    <w:p>
      <w:pPr>
        <w:numPr>
          <w:ilvl w:val="0"/>
          <w:numId w:val="8"/>
        </w:numPr>
        <w:tabs>
          <w:tab w:val="left" w:pos="360"/>
        </w:tabs>
        <w:snapToGrid w:val="0"/>
        <w:spacing w:line="360" w:lineRule="auto"/>
        <w:ind w:left="357" w:hanging="357"/>
        <w:outlineLvl w:val="1"/>
        <w:rPr>
          <w:sz w:val="24"/>
        </w:rPr>
      </w:pPr>
      <w:r>
        <w:rPr>
          <w:sz w:val="24"/>
        </w:rPr>
        <w:t>响应文件的</w:t>
      </w:r>
      <w:r>
        <w:rPr>
          <w:rFonts w:hint="eastAsia"/>
          <w:sz w:val="24"/>
        </w:rPr>
        <w:t>递交与</w:t>
      </w:r>
      <w:r>
        <w:rPr>
          <w:sz w:val="24"/>
        </w:rPr>
        <w:t>开启</w:t>
      </w:r>
    </w:p>
    <w:p>
      <w:pPr>
        <w:numPr>
          <w:ilvl w:val="1"/>
          <w:numId w:val="8"/>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sz w:val="24"/>
        </w:rPr>
      </w:pPr>
      <w:r>
        <w:rPr>
          <w:sz w:val="24"/>
        </w:rPr>
        <w:t>供应商不足3家的，</w:t>
      </w:r>
      <w:r>
        <w:rPr>
          <w:rFonts w:ascii="宋体" w:hAnsi="宋体"/>
          <w:sz w:val="24"/>
        </w:rPr>
        <w:t>响应文件</w:t>
      </w:r>
      <w:r>
        <w:rPr>
          <w:sz w:val="24"/>
        </w:rPr>
        <w:t>不予</w:t>
      </w:r>
      <w:r>
        <w:rPr>
          <w:rFonts w:ascii="宋体" w:hAnsi="宋体"/>
          <w:sz w:val="24"/>
        </w:rPr>
        <w:t>开启</w:t>
      </w:r>
      <w:r>
        <w:rPr>
          <w:sz w:val="24"/>
        </w:rPr>
        <w:t>。</w:t>
      </w:r>
    </w:p>
    <w:p>
      <w:pPr>
        <w:numPr>
          <w:ilvl w:val="1"/>
          <w:numId w:val="8"/>
        </w:numPr>
        <w:tabs>
          <w:tab w:val="left" w:pos="1080"/>
          <w:tab w:val="left" w:pos="2014"/>
        </w:tabs>
        <w:snapToGrid w:val="0"/>
        <w:spacing w:line="360" w:lineRule="auto"/>
        <w:ind w:left="1077" w:hanging="720"/>
        <w:rPr>
          <w:sz w:val="24"/>
        </w:rPr>
      </w:pPr>
      <w:bookmarkStart w:id="456" w:name="_Toc520356165"/>
      <w:r>
        <w:rPr>
          <w:sz w:val="24"/>
        </w:rPr>
        <w:t>本项目不公开报价。</w:t>
      </w:r>
    </w:p>
    <w:bookmarkEnd w:id="456"/>
    <w:p>
      <w:pPr>
        <w:numPr>
          <w:ilvl w:val="0"/>
          <w:numId w:val="8"/>
        </w:numPr>
        <w:tabs>
          <w:tab w:val="left" w:pos="360"/>
        </w:tabs>
        <w:snapToGrid w:val="0"/>
        <w:spacing w:line="360" w:lineRule="auto"/>
        <w:ind w:left="357" w:hanging="357"/>
        <w:outlineLvl w:val="1"/>
        <w:rPr>
          <w:sz w:val="24"/>
        </w:rPr>
      </w:pPr>
      <w:r>
        <w:rPr>
          <w:sz w:val="24"/>
        </w:rPr>
        <w:t>磋商小组</w:t>
      </w:r>
    </w:p>
    <w:p>
      <w:pPr>
        <w:numPr>
          <w:ilvl w:val="1"/>
          <w:numId w:val="8"/>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w:t>
      </w:r>
      <w:r>
        <w:rPr>
          <w:rFonts w:hint="eastAsia"/>
          <w:sz w:val="24"/>
        </w:rPr>
        <w:t>与磋商</w:t>
      </w:r>
      <w:r>
        <w:rPr>
          <w:sz w:val="24"/>
        </w:rPr>
        <w:t>事务，独立履行职责。</w:t>
      </w:r>
      <w:bookmarkStart w:id="457"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bookmarkStart w:id="458" w:name="_Toc520356169"/>
    </w:p>
    <w:p>
      <w:pPr>
        <w:numPr>
          <w:ilvl w:val="0"/>
          <w:numId w:val="8"/>
        </w:numPr>
        <w:tabs>
          <w:tab w:val="left" w:pos="360"/>
        </w:tabs>
        <w:snapToGrid w:val="0"/>
        <w:spacing w:line="360" w:lineRule="auto"/>
        <w:outlineLvl w:val="1"/>
        <w:rPr>
          <w:sz w:val="24"/>
        </w:rPr>
      </w:pPr>
      <w:r>
        <w:rPr>
          <w:sz w:val="24"/>
        </w:rPr>
        <w:t>评审方法和评审标准</w:t>
      </w:r>
    </w:p>
    <w:p>
      <w:pPr>
        <w:numPr>
          <w:ilvl w:val="1"/>
          <w:numId w:val="8"/>
        </w:numPr>
        <w:tabs>
          <w:tab w:val="left" w:pos="1080"/>
          <w:tab w:val="left" w:pos="2014"/>
        </w:tabs>
        <w:snapToGrid w:val="0"/>
        <w:spacing w:line="360" w:lineRule="auto"/>
        <w:ind w:left="1077" w:hanging="720"/>
        <w:rPr>
          <w:sz w:val="24"/>
        </w:rPr>
      </w:pPr>
      <w:r>
        <w:rPr>
          <w:sz w:val="24"/>
        </w:rPr>
        <w:t>见第三章《评审方法和评审标准》。</w:t>
      </w:r>
    </w:p>
    <w:p>
      <w:pPr>
        <w:tabs>
          <w:tab w:val="left" w:pos="360"/>
          <w:tab w:val="left" w:pos="1080"/>
        </w:tabs>
        <w:snapToGrid w:val="0"/>
        <w:spacing w:line="360" w:lineRule="auto"/>
        <w:ind w:left="1080"/>
        <w:rPr>
          <w:sz w:val="24"/>
        </w:rPr>
      </w:pPr>
    </w:p>
    <w:p>
      <w:pPr>
        <w:pStyle w:val="5"/>
        <w:spacing w:before="0" w:line="360" w:lineRule="auto"/>
        <w:rPr>
          <w:rFonts w:ascii="Times New Roman" w:hAnsi="Times New Roman" w:eastAsia="宋体"/>
          <w:sz w:val="28"/>
        </w:rPr>
      </w:pPr>
      <w:bookmarkStart w:id="459" w:name="_Toc195842910"/>
      <w:bookmarkStart w:id="460" w:name="_Toc150509296"/>
      <w:bookmarkStart w:id="461" w:name="_Toc151193715"/>
      <w:bookmarkStart w:id="462" w:name="_Toc305158887"/>
      <w:bookmarkStart w:id="463" w:name="_Toc264969235"/>
      <w:bookmarkStart w:id="464" w:name="_Toc305158813"/>
      <w:bookmarkStart w:id="465" w:name="_Toc151190172"/>
      <w:bookmarkStart w:id="466" w:name="_Toc150480783"/>
      <w:bookmarkStart w:id="467" w:name="_Toc150774750"/>
      <w:bookmarkStart w:id="468" w:name="_Toc127151545"/>
      <w:bookmarkStart w:id="469" w:name="_Toc150774645"/>
      <w:bookmarkStart w:id="470" w:name="_Toc226337241"/>
      <w:bookmarkStart w:id="471" w:name="_Toc151193643"/>
      <w:bookmarkStart w:id="472" w:name="_Toc142311047"/>
      <w:bookmarkStart w:id="473" w:name="_Toc226965735"/>
      <w:bookmarkStart w:id="474" w:name="_Toc151193859"/>
      <w:bookmarkStart w:id="475" w:name="_Toc151193933"/>
      <w:bookmarkStart w:id="476" w:name="_Toc226309789"/>
      <w:bookmarkStart w:id="477" w:name="_Toc265228383"/>
      <w:bookmarkStart w:id="478" w:name="_Toc151193787"/>
      <w:bookmarkStart w:id="479" w:name="_Toc226965818"/>
      <w:r>
        <w:rPr>
          <w:rFonts w:ascii="Times New Roman" w:hAnsi="Times New Roman" w:eastAsia="宋体"/>
          <w:sz w:val="28"/>
        </w:rPr>
        <w:t xml:space="preserve">六   </w:t>
      </w:r>
      <w:bookmarkEnd w:id="458"/>
      <w:r>
        <w:rPr>
          <w:rFonts w:ascii="Times New Roman" w:hAnsi="Times New Roman" w:eastAsia="宋体"/>
          <w:sz w:val="28"/>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ascii="Times New Roman" w:hAnsi="Times New Roman" w:eastAsia="宋体"/>
          <w:sz w:val="28"/>
        </w:rPr>
        <w:t>成交</w:t>
      </w:r>
    </w:p>
    <w:p>
      <w:pPr>
        <w:numPr>
          <w:ilvl w:val="0"/>
          <w:numId w:val="8"/>
        </w:numPr>
        <w:tabs>
          <w:tab w:val="left" w:pos="360"/>
        </w:tabs>
        <w:snapToGrid w:val="0"/>
        <w:spacing w:line="360" w:lineRule="auto"/>
        <w:ind w:left="357" w:hanging="357"/>
        <w:outlineLvl w:val="1"/>
        <w:rPr>
          <w:sz w:val="24"/>
        </w:rPr>
      </w:pPr>
      <w:bookmarkStart w:id="480" w:name="_Toc164608816"/>
      <w:bookmarkStart w:id="481" w:name="_Toc164351641"/>
      <w:bookmarkStart w:id="482" w:name="_Toc151193861"/>
      <w:bookmarkStart w:id="483" w:name="_Toc127151748"/>
      <w:bookmarkStart w:id="484" w:name="_Toc164608661"/>
      <w:bookmarkStart w:id="485" w:name="_Toc151190174"/>
      <w:bookmarkStart w:id="486" w:name="_Toc150509298"/>
      <w:bookmarkStart w:id="487" w:name="_Toc305158889"/>
      <w:bookmarkStart w:id="488" w:name="_Toc226337243"/>
      <w:bookmarkStart w:id="489" w:name="_Toc127161461"/>
      <w:bookmarkStart w:id="490" w:name="_Toc151193935"/>
      <w:bookmarkStart w:id="491" w:name="_Toc195842912"/>
      <w:bookmarkStart w:id="492" w:name="_Toc151193645"/>
      <w:bookmarkStart w:id="493" w:name="_Toc226965737"/>
      <w:bookmarkStart w:id="494" w:name="_Toc164229388"/>
      <w:bookmarkStart w:id="495" w:name="_Toc142311049"/>
      <w:bookmarkStart w:id="496" w:name="_Toc150480785"/>
      <w:bookmarkStart w:id="497" w:name="_Toc305158815"/>
      <w:bookmarkStart w:id="498" w:name="_Toc151193789"/>
      <w:bookmarkStart w:id="499" w:name="_Toc150774647"/>
      <w:bookmarkStart w:id="500" w:name="_Toc164229242"/>
      <w:bookmarkStart w:id="501" w:name="_Toc265228385"/>
      <w:bookmarkStart w:id="502" w:name="_Toc150774752"/>
      <w:bookmarkStart w:id="503" w:name="_Toc226309791"/>
      <w:bookmarkStart w:id="504" w:name="_Toc151193717"/>
      <w:bookmarkStart w:id="505" w:name="_Toc264969237"/>
      <w:bookmarkStart w:id="506" w:name="_Toc127151547"/>
      <w:bookmarkStart w:id="507" w:name="_Toc226965820"/>
      <w:bookmarkStart w:id="508" w:name="_Toc149720840"/>
      <w:r>
        <w:rPr>
          <w:sz w:val="24"/>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numPr>
          <w:ilvl w:val="1"/>
          <w:numId w:val="8"/>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sz w:val="24"/>
        </w:rPr>
      </w:pPr>
      <w:bookmarkStart w:id="509" w:name="_Toc305158817"/>
      <w:bookmarkStart w:id="510" w:name="_Toc305158891"/>
      <w:bookmarkStart w:id="511" w:name="_Toc151193937"/>
      <w:bookmarkStart w:id="512" w:name="_Toc151193719"/>
      <w:bookmarkStart w:id="513" w:name="_Toc226965822"/>
      <w:bookmarkStart w:id="514" w:name="_Toc127151750"/>
      <w:bookmarkStart w:id="515" w:name="_Toc127151549"/>
      <w:bookmarkStart w:id="516" w:name="_Toc142311051"/>
      <w:bookmarkStart w:id="517" w:name="_Toc164608818"/>
      <w:bookmarkStart w:id="518" w:name="_Toc226965739"/>
      <w:bookmarkStart w:id="519" w:name="_Toc226337245"/>
      <w:bookmarkStart w:id="520" w:name="_Toc150774649"/>
      <w:bookmarkStart w:id="521" w:name="_Toc151193791"/>
      <w:bookmarkStart w:id="522" w:name="_Toc150509300"/>
      <w:bookmarkStart w:id="523" w:name="_Toc164229390"/>
      <w:bookmarkStart w:id="524" w:name="_Toc151193647"/>
      <w:bookmarkStart w:id="525" w:name="_Toc226309793"/>
      <w:bookmarkStart w:id="526" w:name="_Toc127161463"/>
      <w:bookmarkStart w:id="527" w:name="_Toc150480787"/>
      <w:bookmarkStart w:id="528" w:name="_Toc150774754"/>
      <w:bookmarkStart w:id="529" w:name="_Toc164351643"/>
      <w:bookmarkStart w:id="530" w:name="_Toc195842914"/>
      <w:bookmarkStart w:id="531" w:name="_Toc164229244"/>
      <w:bookmarkStart w:id="532" w:name="_Toc164608663"/>
      <w:bookmarkStart w:id="533" w:name="_Toc149720842"/>
      <w:bookmarkStart w:id="534" w:name="_Toc265228387"/>
      <w:bookmarkStart w:id="535" w:name="_Toc264969239"/>
      <w:bookmarkStart w:id="536" w:name="_Toc151190176"/>
      <w:bookmarkStart w:id="537" w:name="_Toc151193863"/>
      <w:bookmarkStart w:id="538" w:name="_Ref467306425"/>
      <w:bookmarkStart w:id="539" w:name="_Toc520356176"/>
      <w:bookmarkStart w:id="540" w:name="_Ref467307090"/>
      <w:r>
        <w:rPr>
          <w:sz w:val="24"/>
        </w:rPr>
        <w:t>成交公告与成交通知书</w:t>
      </w:r>
      <w:bookmarkEnd w:id="509"/>
      <w:bookmarkEnd w:id="510"/>
    </w:p>
    <w:p>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numPr>
          <w:ilvl w:val="1"/>
          <w:numId w:val="8"/>
        </w:numPr>
        <w:tabs>
          <w:tab w:val="left" w:pos="1080"/>
          <w:tab w:val="left" w:pos="2014"/>
        </w:tabs>
        <w:snapToGrid w:val="0"/>
        <w:spacing w:line="360" w:lineRule="auto"/>
        <w:ind w:left="1080" w:hanging="720"/>
        <w:rPr>
          <w:sz w:val="24"/>
        </w:rPr>
      </w:pPr>
      <w:r>
        <w:rPr>
          <w:rFonts w:hint="eastAsia"/>
          <w:sz w:val="24"/>
        </w:rPr>
        <w:t>成交通知书对采购人和成交供应商均具有法律效力。成交通知书发出后，采 购人改变成交结果的，或者成交供应商放弃成交项目的， 应当依法承担法律</w:t>
      </w:r>
    </w:p>
    <w:p>
      <w:pPr>
        <w:tabs>
          <w:tab w:val="left" w:pos="1080"/>
          <w:tab w:val="left" w:pos="2014"/>
        </w:tabs>
        <w:snapToGrid w:val="0"/>
        <w:spacing w:line="360" w:lineRule="auto"/>
        <w:ind w:left="360" w:firstLine="720" w:firstLineChars="300"/>
        <w:rPr>
          <w:sz w:val="24"/>
        </w:rPr>
      </w:pPr>
      <w:r>
        <w:rPr>
          <w:rFonts w:hint="eastAsia"/>
          <w:sz w:val="24"/>
        </w:rPr>
        <w:t>责任。</w:t>
      </w:r>
    </w:p>
    <w:p>
      <w:pPr>
        <w:numPr>
          <w:ilvl w:val="0"/>
          <w:numId w:val="8"/>
        </w:numPr>
        <w:tabs>
          <w:tab w:val="left" w:pos="360"/>
        </w:tabs>
        <w:snapToGrid w:val="0"/>
        <w:spacing w:line="360" w:lineRule="auto"/>
        <w:ind w:left="357" w:hanging="357"/>
        <w:outlineLvl w:val="1"/>
        <w:rPr>
          <w:sz w:val="24"/>
        </w:rPr>
      </w:pPr>
      <w:r>
        <w:rPr>
          <w:sz w:val="24"/>
        </w:rPr>
        <w:t>终止</w:t>
      </w:r>
    </w:p>
    <w:p>
      <w:pPr>
        <w:numPr>
          <w:ilvl w:val="1"/>
          <w:numId w:val="8"/>
        </w:numPr>
        <w:tabs>
          <w:tab w:val="left" w:pos="1080"/>
          <w:tab w:val="left" w:pos="2014"/>
        </w:tabs>
        <w:snapToGrid w:val="0"/>
        <w:spacing w:line="360" w:lineRule="auto"/>
        <w:ind w:left="1077" w:hanging="720"/>
        <w:rPr>
          <w:sz w:val="24"/>
        </w:rPr>
      </w:pPr>
      <w:r>
        <w:rPr>
          <w:sz w:val="24"/>
        </w:rPr>
        <w:t>出现下列情形之一的，采购人或采购代理机构将终止竞争性磋商采购活动，发布项目终止公告并说明原因，重新开展采购活动：</w:t>
      </w:r>
    </w:p>
    <w:p>
      <w:pPr>
        <w:numPr>
          <w:ilvl w:val="2"/>
          <w:numId w:val="8"/>
        </w:numPr>
        <w:snapToGrid w:val="0"/>
        <w:spacing w:line="360" w:lineRule="auto"/>
        <w:rPr>
          <w:sz w:val="24"/>
        </w:rPr>
      </w:pPr>
      <w:r>
        <w:rPr>
          <w:sz w:val="24"/>
        </w:rPr>
        <w:t>因情况变化，不再符合规定的竞争性磋商采购方式适用情形的；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Pr>
        <w:numPr>
          <w:ilvl w:val="0"/>
          <w:numId w:val="8"/>
        </w:numPr>
        <w:tabs>
          <w:tab w:val="left" w:pos="360"/>
        </w:tabs>
        <w:snapToGrid w:val="0"/>
        <w:spacing w:line="360" w:lineRule="auto"/>
        <w:ind w:left="357" w:hanging="357"/>
        <w:outlineLvl w:val="1"/>
        <w:rPr>
          <w:sz w:val="24"/>
        </w:rPr>
      </w:pPr>
      <w:bookmarkStart w:id="541" w:name="_Toc164608819"/>
      <w:bookmarkStart w:id="542" w:name="_Ref467307062"/>
      <w:bookmarkStart w:id="543" w:name="_Toc149720843"/>
      <w:bookmarkStart w:id="544" w:name="_Toc142311052"/>
      <w:bookmarkStart w:id="545" w:name="_Toc164229391"/>
      <w:bookmarkStart w:id="546" w:name="_Toc520356175"/>
      <w:bookmarkStart w:id="547" w:name="_Toc264969240"/>
      <w:bookmarkStart w:id="548" w:name="_Ref467307204"/>
      <w:bookmarkStart w:id="549" w:name="_Toc305158818"/>
      <w:bookmarkStart w:id="550" w:name="_Toc151193720"/>
      <w:bookmarkStart w:id="551" w:name="_Toc151193648"/>
      <w:bookmarkStart w:id="552" w:name="_Toc150774650"/>
      <w:bookmarkStart w:id="553" w:name="_Toc226309794"/>
      <w:bookmarkStart w:id="554" w:name="_Toc151193864"/>
      <w:bookmarkStart w:id="555" w:name="_Ref467306978"/>
      <w:bookmarkStart w:id="556" w:name="_Toc127161464"/>
      <w:bookmarkStart w:id="557" w:name="_Toc164608664"/>
      <w:bookmarkStart w:id="558" w:name="_Toc195842915"/>
      <w:bookmarkStart w:id="559" w:name="_Toc226965740"/>
      <w:bookmarkStart w:id="560" w:name="_Toc265228388"/>
      <w:bookmarkStart w:id="561" w:name="_Toc150774755"/>
      <w:bookmarkStart w:id="562" w:name="_Toc150480788"/>
      <w:bookmarkStart w:id="563" w:name="_Toc226965823"/>
      <w:bookmarkStart w:id="564" w:name="_Ref467306377"/>
      <w:bookmarkStart w:id="565" w:name="_Toc305158892"/>
      <w:bookmarkStart w:id="566" w:name="_Toc226337246"/>
      <w:bookmarkStart w:id="567" w:name="_Toc127151550"/>
      <w:bookmarkStart w:id="568" w:name="_Toc164229245"/>
      <w:bookmarkStart w:id="569" w:name="_Toc164351644"/>
      <w:bookmarkStart w:id="570" w:name="_Toc151190177"/>
      <w:bookmarkStart w:id="571" w:name="_Toc151193938"/>
      <w:bookmarkStart w:id="572" w:name="_Toc127151751"/>
      <w:bookmarkStart w:id="573" w:name="_Toc151193792"/>
      <w:bookmarkStart w:id="574" w:name="_Toc150509301"/>
      <w:r>
        <w:rPr>
          <w:sz w:val="24"/>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numPr>
          <w:ilvl w:val="1"/>
          <w:numId w:val="8"/>
        </w:numPr>
        <w:tabs>
          <w:tab w:val="left" w:pos="1080"/>
          <w:tab w:val="left" w:pos="2014"/>
        </w:tabs>
        <w:snapToGrid w:val="0"/>
        <w:spacing w:line="360" w:lineRule="auto"/>
        <w:ind w:left="1077" w:hanging="720"/>
        <w:rPr>
          <w:sz w:val="24"/>
        </w:rPr>
      </w:pPr>
      <w:r>
        <w:rPr>
          <w:sz w:val="24"/>
        </w:rPr>
        <w:t>采购人与成交供应商</w:t>
      </w:r>
      <w:r>
        <w:rPr>
          <w:rFonts w:hint="eastAsia"/>
          <w:sz w:val="24"/>
        </w:rPr>
        <w:t>应当</w:t>
      </w:r>
      <w:r>
        <w:rPr>
          <w:sz w:val="24"/>
        </w:rPr>
        <w:t>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sz w:val="24"/>
        </w:rPr>
      </w:pPr>
      <w:r>
        <w:rPr>
          <w:sz w:val="24"/>
        </w:rPr>
        <w:t>联合体成交的，联合体各方应当共同与采购人签订合同，就</w:t>
      </w:r>
      <w:r>
        <w:rPr>
          <w:rFonts w:hint="eastAsia"/>
          <w:sz w:val="24"/>
        </w:rPr>
        <w:t>采购合同约定的</w:t>
      </w:r>
    </w:p>
    <w:p>
      <w:pPr>
        <w:tabs>
          <w:tab w:val="left" w:pos="1080"/>
          <w:tab w:val="left" w:pos="2014"/>
        </w:tabs>
        <w:snapToGrid w:val="0"/>
        <w:spacing w:line="360" w:lineRule="auto"/>
        <w:ind w:left="357" w:firstLine="720" w:firstLineChars="300"/>
        <w:rPr>
          <w:sz w:val="24"/>
        </w:rPr>
      </w:pPr>
      <w:r>
        <w:rPr>
          <w:rFonts w:hint="eastAsia"/>
          <w:sz w:val="24"/>
        </w:rPr>
        <w:t>事项</w:t>
      </w:r>
      <w:r>
        <w:rPr>
          <w:sz w:val="24"/>
        </w:rPr>
        <w:t>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8"/>
    <w:bookmarkEnd w:id="539"/>
    <w:bookmarkEnd w:id="540"/>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供应商对政府采购活动事项有疑问的，可依法提出询问，并按《供应商须知资料表》载明的形式送达采购人或采购代理机构。</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供应商认为竞争性磋商文件、采购过程、成交结果使自己的权益受到损害的，可以在知道或者应知其权益受到损害之日起7个工作日内，</w:t>
      </w:r>
      <w:r>
        <w:rPr>
          <w:rFonts w:hint="eastAsia"/>
          <w:sz w:val="24"/>
        </w:rPr>
        <w:t>以书面形式向采购人、采购代理机构</w:t>
      </w:r>
      <w:r>
        <w:rPr>
          <w:sz w:val="24"/>
        </w:rPr>
        <w:t>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质疑函须使用财政部制定的范本文件。供应商为自然人的，</w:t>
      </w:r>
      <w:r>
        <w:rPr>
          <w:rFonts w:hint="eastAsia"/>
          <w:sz w:val="24"/>
        </w:rPr>
        <w:t>质疑函</w:t>
      </w:r>
      <w:r>
        <w:rPr>
          <w:sz w:val="24"/>
        </w:rPr>
        <w:t>应当由本人签字；供应商为法人或者其他组织的，</w:t>
      </w:r>
      <w:r>
        <w:rPr>
          <w:rFonts w:hint="eastAsia"/>
          <w:sz w:val="24"/>
        </w:rPr>
        <w:t>质疑函</w:t>
      </w:r>
      <w:r>
        <w:rPr>
          <w:sz w:val="24"/>
        </w:rPr>
        <w:t>应当由法定代表人、主要负责人，或者其授权代表签字或者盖章，并加盖公章。</w:t>
      </w:r>
    </w:p>
    <w:p>
      <w:pPr>
        <w:numPr>
          <w:ilvl w:val="2"/>
          <w:numId w:val="8"/>
        </w:numPr>
        <w:snapToGrid w:val="0"/>
        <w:spacing w:line="360" w:lineRule="auto"/>
        <w:rPr>
          <w:sz w:val="24"/>
        </w:rPr>
      </w:pPr>
      <w:r>
        <w:rPr>
          <w:sz w:val="24"/>
        </w:rPr>
        <w:t>供应商</w:t>
      </w:r>
      <w:r>
        <w:rPr>
          <w:rFonts w:hint="eastAsia"/>
          <w:sz w:val="24"/>
        </w:rPr>
        <w:t>委托代理人进行质疑的，应当随质疑函同时提交供应商签署的授权委托书。授权委托书应当载明代理人的姓名或者名称、代理事项、 具体权限、期限和相关事项。供应商为自然人的，应当由本人签字； 供应商为法人或者其他组织的，应当由法定代表人、主要负责人签字或者盖章，并加盖公章</w:t>
      </w:r>
      <w:r>
        <w:rPr>
          <w:sz w:val="24"/>
        </w:rPr>
        <w:t>。</w:t>
      </w:r>
    </w:p>
    <w:p>
      <w:pPr>
        <w:numPr>
          <w:ilvl w:val="2"/>
          <w:numId w:val="8"/>
        </w:numPr>
        <w:snapToGrid w:val="0"/>
        <w:spacing w:line="360" w:lineRule="auto"/>
        <w:rPr>
          <w:sz w:val="24"/>
        </w:rPr>
      </w:pPr>
      <w:r>
        <w:rPr>
          <w:rFonts w:hint="eastAsia"/>
          <w:sz w:val="24"/>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575" w:name="_Toc150480792"/>
      <w:bookmarkStart w:id="576" w:name="_Toc127151554"/>
      <w:bookmarkStart w:id="577" w:name="_Toc305158896"/>
      <w:bookmarkStart w:id="578" w:name="_Toc353873934"/>
      <w:bookmarkStart w:id="579" w:name="_Toc264969244"/>
      <w:bookmarkStart w:id="580" w:name="_Toc142311056"/>
      <w:bookmarkStart w:id="581" w:name="_Toc226337250"/>
      <w:bookmarkStart w:id="582" w:name="_Toc265228392"/>
      <w:bookmarkStart w:id="583" w:name="_Toc353873664"/>
      <w:bookmarkStart w:id="584" w:name="_Toc353825544"/>
      <w:bookmarkStart w:id="585" w:name="_Toc305158822"/>
      <w:bookmarkStart w:id="586" w:name="_Toc150774759"/>
      <w:bookmarkStart w:id="587" w:name="_Toc226965827"/>
      <w:r>
        <w:rPr>
          <w:sz w:val="24"/>
        </w:rPr>
        <w:br w:type="page"/>
      </w:r>
      <w:bookmarkStart w:id="588" w:name="_Toc24914"/>
      <w:r>
        <w:rPr>
          <w:b/>
          <w:sz w:val="36"/>
          <w:szCs w:val="36"/>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b/>
          <w:sz w:val="36"/>
          <w:szCs w:val="36"/>
        </w:rPr>
        <w:t>评审方法和评审标准</w:t>
      </w:r>
      <w:bookmarkEnd w:id="588"/>
      <w:bookmarkStart w:id="589" w:name="_Toc487900382"/>
    </w:p>
    <w:p>
      <w:pPr>
        <w:pStyle w:val="5"/>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pPr>
        <w:tabs>
          <w:tab w:val="left" w:pos="1080"/>
        </w:tabs>
        <w:snapToGrid w:val="0"/>
        <w:jc w:val="left"/>
        <w:rPr>
          <w:b/>
          <w:sz w:val="24"/>
        </w:rPr>
      </w:pPr>
      <w:r>
        <w:rPr>
          <w:b/>
          <w:sz w:val="24"/>
        </w:rP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p>
      <w:pPr>
        <w:numPr>
          <w:ilvl w:val="0"/>
          <w:numId w:val="11"/>
        </w:numPr>
        <w:tabs>
          <w:tab w:val="left" w:pos="360"/>
        </w:tabs>
        <w:snapToGrid w:val="0"/>
        <w:spacing w:line="360" w:lineRule="auto"/>
        <w:outlineLvl w:val="1"/>
        <w:rPr>
          <w:sz w:val="24"/>
        </w:rPr>
      </w:pPr>
      <w:bookmarkStart w:id="590" w:name="_Toc195842906"/>
      <w:bookmarkStart w:id="591" w:name="_Toc151193783"/>
      <w:bookmarkStart w:id="592" w:name="_Toc164229236"/>
      <w:bookmarkStart w:id="593" w:name="_Toc164229382"/>
      <w:bookmarkStart w:id="594" w:name="_Toc151190168"/>
      <w:bookmarkStart w:id="595" w:name="_Toc264969231"/>
      <w:bookmarkStart w:id="596" w:name="_Toc164351635"/>
      <w:bookmarkStart w:id="597" w:name="_Toc226965731"/>
      <w:bookmarkStart w:id="598" w:name="_Toc226309785"/>
      <w:bookmarkStart w:id="599" w:name="_Toc305158883"/>
      <w:bookmarkStart w:id="600" w:name="_Toc265228379"/>
      <w:bookmarkStart w:id="601" w:name="_Toc149720834"/>
      <w:bookmarkStart w:id="602" w:name="_Toc142311043"/>
      <w:bookmarkStart w:id="603" w:name="_Toc127151742"/>
      <w:bookmarkStart w:id="604" w:name="_Toc151193711"/>
      <w:bookmarkStart w:id="605" w:name="_Toc150480779"/>
      <w:bookmarkStart w:id="606" w:name="_Toc305158809"/>
      <w:bookmarkStart w:id="607" w:name="_Toc164608810"/>
      <w:bookmarkStart w:id="608" w:name="_Toc150509292"/>
      <w:bookmarkStart w:id="609" w:name="_Toc151193639"/>
      <w:bookmarkStart w:id="610" w:name="_Toc127151541"/>
      <w:bookmarkStart w:id="611" w:name="_Toc150774641"/>
      <w:bookmarkStart w:id="612" w:name="_Toc151193855"/>
      <w:bookmarkStart w:id="613" w:name="_Toc226337237"/>
      <w:bookmarkStart w:id="614" w:name="_Toc226965814"/>
      <w:bookmarkStart w:id="615" w:name="_Toc150774746"/>
      <w:bookmarkStart w:id="616" w:name="_Toc127161455"/>
      <w:bookmarkStart w:id="617" w:name="_Toc151193929"/>
      <w:bookmarkStart w:id="618" w:name="_Toc164608655"/>
      <w:bookmarkStart w:id="619" w:name="_Toc353825551"/>
      <w:bookmarkStart w:id="620" w:name="_Toc353873941"/>
      <w:bookmarkStart w:id="621" w:name="_Toc142311057"/>
      <w:bookmarkStart w:id="622" w:name="_Toc265228393"/>
      <w:bookmarkStart w:id="623" w:name="_Toc226337251"/>
      <w:bookmarkStart w:id="624" w:name="_Toc353873665"/>
      <w:bookmarkStart w:id="625" w:name="_Toc305158897"/>
      <w:bookmarkStart w:id="626" w:name="_Toc195842920"/>
      <w:bookmarkStart w:id="627" w:name="_Toc226965828"/>
      <w:bookmarkStart w:id="628" w:name="_Toc150774760"/>
      <w:bookmarkStart w:id="629" w:name="_Toc305158823"/>
      <w:bookmarkStart w:id="630" w:name="_Toc264969245"/>
      <w:bookmarkStart w:id="631" w:name="_Toc127151555"/>
      <w:bookmarkStart w:id="632" w:name="_Toc353825545"/>
      <w:bookmarkStart w:id="633" w:name="_Toc150480793"/>
      <w:bookmarkStart w:id="634" w:name="_Toc353873935"/>
      <w:r>
        <w:rPr>
          <w:sz w:val="24"/>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sz w:val="24"/>
        </w:rPr>
        <w:t>资格</w:t>
      </w:r>
      <w:r>
        <w:rPr>
          <w:rFonts w:hint="eastAsia"/>
          <w:sz w:val="24"/>
        </w:rPr>
        <w:t>审查</w:t>
      </w:r>
      <w:r>
        <w:rPr>
          <w:sz w:val="24"/>
        </w:rPr>
        <w:t>和符合性审查</w:t>
      </w:r>
    </w:p>
    <w:p>
      <w:pPr>
        <w:numPr>
          <w:ilvl w:val="1"/>
          <w:numId w:val="11"/>
        </w:numPr>
        <w:tabs>
          <w:tab w:val="left" w:pos="1080"/>
        </w:tabs>
        <w:snapToGrid w:val="0"/>
        <w:spacing w:line="360" w:lineRule="auto"/>
        <w:ind w:left="1077" w:hanging="720"/>
        <w:rPr>
          <w:sz w:val="24"/>
        </w:rPr>
      </w:pPr>
      <w:r>
        <w:rPr>
          <w:sz w:val="24"/>
        </w:rPr>
        <w:t>磋商小组将根据《资格</w:t>
      </w:r>
      <w:r>
        <w:rPr>
          <w:rFonts w:hint="eastAsia"/>
          <w:sz w:val="24"/>
        </w:rPr>
        <w:t>审查</w:t>
      </w:r>
      <w:r>
        <w:rPr>
          <w:sz w:val="24"/>
        </w:rPr>
        <w:t>要求》和《符合性审查要求》中规定的内容，对供应商进行检查，并形成检查结果。供应商《响应文件》有任何一项不符合《资格</w:t>
      </w:r>
      <w:r>
        <w:rPr>
          <w:rFonts w:hint="eastAsia"/>
          <w:sz w:val="24"/>
        </w:rPr>
        <w:t>审查</w:t>
      </w:r>
      <w:r>
        <w:rPr>
          <w:sz w:val="24"/>
        </w:rPr>
        <w:t>要求》和《符合性审查要求》要求的，视为未实质性响应磋商文件。未实质性响应磋商文件的响应文件按</w:t>
      </w:r>
      <w:r>
        <w:rPr>
          <w:b/>
          <w:sz w:val="24"/>
        </w:rPr>
        <w:t>无效响应</w:t>
      </w:r>
      <w:r>
        <w:rPr>
          <w:sz w:val="24"/>
        </w:rPr>
        <w:t>处理，磋商小组应当告知提交响应文件的供应商。</w:t>
      </w:r>
    </w:p>
    <w:p>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要求》中对格式有要求的，除竞争性磋商文件另有规定外，均为“实质性格式”文件。</w:t>
      </w:r>
    </w:p>
    <w:p>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要求》见下表：</w:t>
      </w:r>
    </w:p>
    <w:p>
      <w:pPr>
        <w:tabs>
          <w:tab w:val="left" w:pos="900"/>
          <w:tab w:val="left" w:pos="1080"/>
        </w:tabs>
        <w:snapToGrid w:val="0"/>
        <w:spacing w:line="360" w:lineRule="auto"/>
        <w:ind w:left="1077" w:firstLine="2650" w:firstLineChars="1100"/>
        <w:rPr>
          <w:b/>
          <w:sz w:val="24"/>
        </w:rPr>
      </w:pPr>
      <w:r>
        <w:rPr>
          <w:rFonts w:hint="eastAsia"/>
          <w:b/>
          <w:sz w:val="24"/>
        </w:rPr>
        <w:t>资格审查</w:t>
      </w:r>
      <w:r>
        <w:rPr>
          <w:b/>
          <w:sz w:val="24"/>
        </w:rPr>
        <w:t>要求</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8"/>
        <w:gridCol w:w="1679"/>
        <w:gridCol w:w="4791"/>
        <w:gridCol w:w="19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88" w:type="pct"/>
            <w:vAlign w:val="center"/>
          </w:tcPr>
          <w:p>
            <w:pPr>
              <w:tabs>
                <w:tab w:val="left" w:pos="1080"/>
              </w:tabs>
              <w:snapToGrid w:val="0"/>
              <w:jc w:val="center"/>
              <w:rPr>
                <w:b/>
                <w:sz w:val="24"/>
              </w:rPr>
            </w:pPr>
            <w:bookmarkStart w:id="635" w:name="_Hlt487972895"/>
            <w:bookmarkEnd w:id="635"/>
            <w:r>
              <w:rPr>
                <w:b/>
                <w:sz w:val="24"/>
              </w:rPr>
              <w:t>序号</w:t>
            </w:r>
          </w:p>
        </w:tc>
        <w:tc>
          <w:tcPr>
            <w:tcW w:w="904" w:type="pct"/>
            <w:vAlign w:val="center"/>
          </w:tcPr>
          <w:p>
            <w:pPr>
              <w:tabs>
                <w:tab w:val="left" w:pos="1080"/>
              </w:tabs>
              <w:snapToGrid w:val="0"/>
              <w:jc w:val="center"/>
              <w:rPr>
                <w:b/>
                <w:sz w:val="24"/>
              </w:rPr>
            </w:pPr>
            <w:r>
              <w:rPr>
                <w:b/>
                <w:sz w:val="24"/>
              </w:rPr>
              <w:t>检查因素</w:t>
            </w:r>
          </w:p>
        </w:tc>
        <w:tc>
          <w:tcPr>
            <w:tcW w:w="2578" w:type="pct"/>
            <w:vAlign w:val="center"/>
          </w:tcPr>
          <w:p>
            <w:pPr>
              <w:tabs>
                <w:tab w:val="left" w:pos="1080"/>
              </w:tabs>
              <w:snapToGrid w:val="0"/>
              <w:jc w:val="center"/>
              <w:rPr>
                <w:b/>
                <w:sz w:val="24"/>
              </w:rPr>
            </w:pPr>
            <w:r>
              <w:rPr>
                <w:b/>
                <w:sz w:val="24"/>
              </w:rPr>
              <w:t>检查内容</w:t>
            </w:r>
          </w:p>
        </w:tc>
        <w:tc>
          <w:tcPr>
            <w:tcW w:w="1028"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w:t>
            </w:r>
          </w:p>
        </w:tc>
        <w:tc>
          <w:tcPr>
            <w:tcW w:w="904" w:type="pct"/>
            <w:vAlign w:val="center"/>
          </w:tcPr>
          <w:p>
            <w:pPr>
              <w:tabs>
                <w:tab w:val="left" w:pos="1080"/>
              </w:tabs>
              <w:snapToGrid w:val="0"/>
              <w:jc w:val="left"/>
              <w:rPr>
                <w:sz w:val="24"/>
              </w:rPr>
            </w:pPr>
            <w:r>
              <w:rPr>
                <w:sz w:val="24"/>
              </w:rPr>
              <w:t>满足《中华人民共和国政府采购法》第二十二条规定</w:t>
            </w:r>
          </w:p>
        </w:tc>
        <w:tc>
          <w:tcPr>
            <w:tcW w:w="2578" w:type="pct"/>
            <w:vAlign w:val="center"/>
          </w:tcPr>
          <w:p>
            <w:pPr>
              <w:tabs>
                <w:tab w:val="left" w:pos="1080"/>
              </w:tabs>
              <w:snapToGrid w:val="0"/>
              <w:jc w:val="left"/>
              <w:rPr>
                <w:sz w:val="24"/>
              </w:rPr>
            </w:pPr>
            <w:r>
              <w:rPr>
                <w:sz w:val="24"/>
              </w:rPr>
              <w:t>具体规定见第一章《采购邀请》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1-1</w:t>
            </w:r>
          </w:p>
        </w:tc>
        <w:tc>
          <w:tcPr>
            <w:tcW w:w="904" w:type="pct"/>
            <w:vAlign w:val="center"/>
          </w:tcPr>
          <w:p>
            <w:pPr>
              <w:tabs>
                <w:tab w:val="left" w:pos="1080"/>
              </w:tabs>
              <w:snapToGrid w:val="0"/>
              <w:jc w:val="left"/>
              <w:rPr>
                <w:sz w:val="24"/>
              </w:rPr>
            </w:pPr>
            <w:r>
              <w:rPr>
                <w:sz w:val="24"/>
              </w:rPr>
              <w:t>营业执照等证明文件</w:t>
            </w:r>
          </w:p>
        </w:tc>
        <w:tc>
          <w:tcPr>
            <w:tcW w:w="2578" w:type="pct"/>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rFonts w:ascii="宋体" w:hAnsi="宋体" w:cs="宋体"/>
                <w:sz w:val="24"/>
              </w:rPr>
            </w:pPr>
            <w:r>
              <w:rPr>
                <w:rFonts w:hint="eastAsia" w:ascii="宋体" w:hAnsi="宋体" w:cs="宋体"/>
                <w:sz w:val="24"/>
              </w:rPr>
              <w:t>供应商是自然人的，应提供有效的自然人身份证明。</w:t>
            </w:r>
          </w:p>
          <w:p>
            <w:pPr>
              <w:tabs>
                <w:tab w:val="left" w:pos="1080"/>
              </w:tabs>
              <w:snapToGrid w:val="0"/>
              <w:jc w:val="left"/>
              <w:rPr>
                <w:color w:val="000000"/>
                <w:sz w:val="24"/>
              </w:rPr>
            </w:pPr>
            <w:r>
              <w:rPr>
                <w:rFonts w:hint="eastAsia" w:ascii="宋体" w:hAnsi="宋体" w:cs="宋体"/>
                <w:sz w:val="24"/>
              </w:rPr>
              <w:t>分支机构参加响应的，应提供该分支机构或</w:t>
            </w:r>
            <w:r>
              <w:rPr>
                <w:rFonts w:hint="eastAsia" w:ascii="宋体" w:hAnsi="宋体" w:cs="宋体"/>
                <w:spacing w:val="11"/>
                <w:sz w:val="24"/>
              </w:rPr>
              <w:t xml:space="preserve"> </w:t>
            </w:r>
            <w:r>
              <w:rPr>
                <w:rFonts w:hint="eastAsia" w:ascii="宋体" w:hAnsi="宋体" w:cs="宋体"/>
                <w:spacing w:val="-6"/>
                <w:sz w:val="24"/>
              </w:rPr>
              <w:t>其所属法人/其他组织的相应证明文件；</w:t>
            </w:r>
            <w:r>
              <w:rPr>
                <w:rFonts w:hint="eastAsia" w:ascii="宋体" w:hAnsi="宋体" w:cs="宋体"/>
                <w:spacing w:val="-62"/>
                <w:sz w:val="24"/>
              </w:rPr>
              <w:t xml:space="preserve"> </w:t>
            </w:r>
            <w:r>
              <w:rPr>
                <w:rFonts w:hint="eastAsia" w:ascii="宋体" w:hAnsi="宋体" w:cs="宋体"/>
                <w:spacing w:val="-6"/>
                <w:sz w:val="24"/>
              </w:rPr>
              <w:t>同时</w:t>
            </w:r>
            <w:r>
              <w:rPr>
                <w:rFonts w:hint="eastAsia" w:ascii="宋体" w:hAnsi="宋体" w:cs="宋体"/>
                <w:sz w:val="24"/>
              </w:rPr>
              <w:t xml:space="preserve"> </w:t>
            </w:r>
            <w:r>
              <w:rPr>
                <w:rFonts w:hint="eastAsia" w:ascii="宋体" w:hAnsi="宋体" w:cs="宋体"/>
                <w:spacing w:val="1"/>
                <w:sz w:val="24"/>
              </w:rPr>
              <w:t>还应</w:t>
            </w:r>
            <w:r>
              <w:rPr>
                <w:rFonts w:hint="eastAsia" w:ascii="宋体" w:hAnsi="宋体" w:cs="宋体"/>
                <w:sz w:val="24"/>
              </w:rPr>
              <w:t>提</w:t>
            </w:r>
            <w:r>
              <w:rPr>
                <w:rFonts w:hint="eastAsia" w:ascii="宋体" w:hAnsi="宋体" w:cs="宋体"/>
                <w:spacing w:val="1"/>
                <w:sz w:val="24"/>
              </w:rPr>
              <w:t>供其所属法人/其他组织出具的授权</w:t>
            </w:r>
            <w:r>
              <w:rPr>
                <w:rFonts w:hint="eastAsia" w:ascii="宋体" w:hAnsi="宋体" w:cs="宋体"/>
                <w:spacing w:val="4"/>
                <w:sz w:val="24"/>
              </w:rPr>
              <w:t xml:space="preserve">  </w:t>
            </w:r>
            <w:r>
              <w:rPr>
                <w:rFonts w:hint="eastAsia" w:ascii="宋体" w:hAnsi="宋体" w:cs="宋体"/>
                <w:spacing w:val="-1"/>
                <w:sz w:val="24"/>
              </w:rPr>
              <w:t>其参与本项目的授权书（格式自拟，须加盖</w:t>
            </w:r>
            <w:r>
              <w:rPr>
                <w:rFonts w:hint="eastAsia" w:ascii="宋体" w:hAnsi="宋体" w:cs="宋体"/>
                <w:spacing w:val="9"/>
                <w:sz w:val="24"/>
              </w:rPr>
              <w:t xml:space="preserve"> </w:t>
            </w:r>
            <w:r>
              <w:rPr>
                <w:rFonts w:hint="eastAsia" w:ascii="宋体" w:hAnsi="宋体" w:cs="宋体"/>
                <w:spacing w:val="-8"/>
                <w:sz w:val="24"/>
              </w:rPr>
              <w:t>其所属法人/其他组织的公章</w:t>
            </w:r>
            <w:r>
              <w:rPr>
                <w:rFonts w:hint="eastAsia" w:ascii="宋体" w:hAnsi="宋体" w:cs="宋体"/>
                <w:spacing w:val="-5"/>
                <w:sz w:val="24"/>
              </w:rPr>
              <w:t>）；</w:t>
            </w:r>
            <w:r>
              <w:rPr>
                <w:rFonts w:hint="eastAsia" w:ascii="宋体" w:hAnsi="宋体" w:cs="宋体"/>
                <w:spacing w:val="-8"/>
                <w:sz w:val="24"/>
              </w:rPr>
              <w:t xml:space="preserve">对于银行、 </w:t>
            </w:r>
            <w:r>
              <w:rPr>
                <w:rFonts w:hint="eastAsia" w:ascii="宋体" w:hAnsi="宋体" w:cs="宋体"/>
                <w:spacing w:val="-1"/>
                <w:sz w:val="24"/>
              </w:rPr>
              <w:t>保险、石油石化、电力、电信等行业的分支</w:t>
            </w:r>
            <w:r>
              <w:rPr>
                <w:rFonts w:hint="eastAsia" w:ascii="宋体" w:hAnsi="宋体" w:cs="宋体"/>
                <w:spacing w:val="2"/>
                <w:sz w:val="24"/>
              </w:rPr>
              <w:t>机构，可以</w:t>
            </w:r>
            <w:r>
              <w:rPr>
                <w:rFonts w:hint="eastAsia" w:ascii="宋体" w:hAnsi="宋体" w:cs="宋体"/>
                <w:sz w:val="24"/>
              </w:rPr>
              <w:t>提</w:t>
            </w:r>
            <w:r>
              <w:rPr>
                <w:rFonts w:hint="eastAsia" w:ascii="宋体" w:hAnsi="宋体" w:cs="宋体"/>
                <w:spacing w:val="2"/>
                <w:sz w:val="24"/>
              </w:rPr>
              <w:t>供上述授权，也可以</w:t>
            </w:r>
            <w:r>
              <w:rPr>
                <w:rFonts w:hint="eastAsia" w:ascii="宋体" w:hAnsi="宋体" w:cs="宋体"/>
                <w:sz w:val="24"/>
              </w:rPr>
              <w:t>提</w:t>
            </w:r>
            <w:r>
              <w:rPr>
                <w:rFonts w:hint="eastAsia" w:ascii="宋体" w:hAnsi="宋体" w:cs="宋体"/>
                <w:spacing w:val="2"/>
                <w:sz w:val="24"/>
              </w:rPr>
              <w:t>供其所</w:t>
            </w:r>
            <w:r>
              <w:rPr>
                <w:rFonts w:hint="eastAsia" w:ascii="宋体" w:hAnsi="宋体" w:cs="宋体"/>
                <w:sz w:val="24"/>
              </w:rPr>
              <w:t>属法人/其他组织的有关文件或制度等能够</w:t>
            </w:r>
            <w:r>
              <w:rPr>
                <w:rFonts w:hint="eastAsia" w:ascii="宋体" w:hAnsi="宋体" w:cs="宋体"/>
                <w:spacing w:val="-2"/>
                <w:sz w:val="24"/>
              </w:rPr>
              <w:t>证明授权其独立开展业务的证明材料。</w:t>
            </w:r>
          </w:p>
        </w:tc>
        <w:tc>
          <w:tcPr>
            <w:tcW w:w="1028" w:type="pct"/>
            <w:vAlign w:val="center"/>
          </w:tcPr>
          <w:p>
            <w:pPr>
              <w:tabs>
                <w:tab w:val="left" w:pos="1080"/>
              </w:tabs>
              <w:snapToGrid w:val="0"/>
              <w:jc w:val="left"/>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1-2</w:t>
            </w:r>
          </w:p>
        </w:tc>
        <w:tc>
          <w:tcPr>
            <w:tcW w:w="904" w:type="pct"/>
            <w:vAlign w:val="center"/>
          </w:tcPr>
          <w:p>
            <w:pPr>
              <w:tabs>
                <w:tab w:val="left" w:pos="1080"/>
              </w:tabs>
              <w:snapToGrid w:val="0"/>
              <w:jc w:val="left"/>
              <w:rPr>
                <w:sz w:val="24"/>
              </w:rPr>
            </w:pPr>
            <w:r>
              <w:rPr>
                <w:sz w:val="24"/>
              </w:rPr>
              <w:t>供应商资格声明书</w:t>
            </w:r>
          </w:p>
        </w:tc>
        <w:tc>
          <w:tcPr>
            <w:tcW w:w="2578" w:type="pct"/>
            <w:vAlign w:val="center"/>
          </w:tcPr>
          <w:p>
            <w:pPr>
              <w:tabs>
                <w:tab w:val="left" w:pos="1080"/>
              </w:tabs>
              <w:snapToGrid w:val="0"/>
              <w:jc w:val="left"/>
              <w:rPr>
                <w:sz w:val="24"/>
              </w:rPr>
            </w:pPr>
            <w:r>
              <w:rPr>
                <w:sz w:val="24"/>
              </w:rPr>
              <w:t>提供了符合竞争性磋商文件要求的《供应商资格声明书》。</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1-3</w:t>
            </w:r>
          </w:p>
        </w:tc>
        <w:tc>
          <w:tcPr>
            <w:tcW w:w="904" w:type="pct"/>
            <w:vAlign w:val="center"/>
          </w:tcPr>
          <w:p>
            <w:pPr>
              <w:tabs>
                <w:tab w:val="left" w:pos="1080"/>
              </w:tabs>
              <w:snapToGrid w:val="0"/>
              <w:rPr>
                <w:sz w:val="24"/>
              </w:rPr>
            </w:pPr>
            <w:r>
              <w:rPr>
                <w:sz w:val="24"/>
              </w:rPr>
              <w:t>供应商信用记录</w:t>
            </w:r>
          </w:p>
        </w:tc>
        <w:tc>
          <w:tcPr>
            <w:tcW w:w="2578"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w:t>
            </w:r>
            <w:r>
              <w:rPr>
                <w:rFonts w:hint="eastAsia"/>
                <w:sz w:val="24"/>
              </w:rPr>
              <w:t>审查</w:t>
            </w:r>
            <w:r>
              <w:rPr>
                <w:sz w:val="24"/>
              </w:rPr>
              <w:t>阶段采购人或采购代理机构的实际查询时间；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rFonts w:hint="eastAsia"/>
                <w:sz w:val="24"/>
              </w:rPr>
              <w:t>1-4</w:t>
            </w:r>
          </w:p>
        </w:tc>
        <w:tc>
          <w:tcPr>
            <w:tcW w:w="904" w:type="pct"/>
          </w:tcPr>
          <w:p>
            <w:pPr>
              <w:spacing w:before="35" w:line="229" w:lineRule="auto"/>
              <w:ind w:left="113" w:right="106"/>
              <w:rPr>
                <w:sz w:val="24"/>
              </w:rPr>
            </w:pPr>
            <w:r>
              <w:rPr>
                <w:rFonts w:ascii="宋体" w:hAnsi="宋体" w:cs="宋体"/>
                <w:spacing w:val="12"/>
                <w:sz w:val="24"/>
              </w:rPr>
              <w:t>法律、行政法规规定的其他</w:t>
            </w:r>
            <w:r>
              <w:rPr>
                <w:rFonts w:ascii="宋体" w:hAnsi="宋体" w:cs="宋体"/>
                <w:spacing w:val="-3"/>
                <w:sz w:val="24"/>
              </w:rPr>
              <w:t>条件</w:t>
            </w:r>
          </w:p>
        </w:tc>
        <w:tc>
          <w:tcPr>
            <w:tcW w:w="2578" w:type="pct"/>
          </w:tcPr>
          <w:p>
            <w:pPr>
              <w:pStyle w:val="252"/>
              <w:spacing w:line="270" w:lineRule="auto"/>
              <w:rPr>
                <w:lang w:eastAsia="zh-CN"/>
              </w:rPr>
            </w:pPr>
          </w:p>
          <w:p>
            <w:pPr>
              <w:spacing w:before="78" w:line="220" w:lineRule="auto"/>
              <w:ind w:left="114"/>
              <w:rPr>
                <w:sz w:val="24"/>
              </w:rPr>
            </w:pPr>
            <w:r>
              <w:rPr>
                <w:rFonts w:ascii="宋体" w:hAnsi="宋体" w:cs="宋体"/>
                <w:spacing w:val="-1"/>
                <w:sz w:val="24"/>
              </w:rPr>
              <w:t>法律、行政法规规定的其他条件</w:t>
            </w:r>
          </w:p>
        </w:tc>
        <w:tc>
          <w:tcPr>
            <w:tcW w:w="1028" w:type="pct"/>
          </w:tcPr>
          <w:p>
            <w:pPr>
              <w:pStyle w:val="252"/>
              <w:spacing w:line="302" w:lineRule="auto"/>
              <w:rPr>
                <w:lang w:eastAsia="zh-CN"/>
              </w:rPr>
            </w:pPr>
          </w:p>
          <w:p>
            <w:pPr>
              <w:pStyle w:val="252"/>
              <w:spacing w:before="69" w:line="215" w:lineRule="auto"/>
              <w:ind w:left="912"/>
              <w:rPr>
                <w:rFonts w:eastAsia="宋体"/>
                <w:sz w:val="24"/>
              </w:rPr>
            </w:pPr>
            <w:r>
              <w:rPr>
                <w:spacing w:val="14"/>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w:t>
            </w:r>
          </w:p>
        </w:tc>
        <w:tc>
          <w:tcPr>
            <w:tcW w:w="904" w:type="pct"/>
            <w:vAlign w:val="center"/>
          </w:tcPr>
          <w:p>
            <w:pPr>
              <w:tabs>
                <w:tab w:val="left" w:pos="1080"/>
              </w:tabs>
              <w:snapToGrid w:val="0"/>
              <w:jc w:val="left"/>
              <w:rPr>
                <w:sz w:val="24"/>
              </w:rPr>
            </w:pPr>
            <w:r>
              <w:rPr>
                <w:sz w:val="24"/>
              </w:rPr>
              <w:t>落实政府采购政策需满足的资格要求</w:t>
            </w:r>
          </w:p>
        </w:tc>
        <w:tc>
          <w:tcPr>
            <w:tcW w:w="2578" w:type="pct"/>
            <w:vAlign w:val="center"/>
          </w:tcPr>
          <w:p>
            <w:pPr>
              <w:tabs>
                <w:tab w:val="left" w:pos="1080"/>
              </w:tabs>
              <w:snapToGrid w:val="0"/>
              <w:jc w:val="left"/>
              <w:rPr>
                <w:sz w:val="24"/>
              </w:rPr>
            </w:pPr>
            <w:r>
              <w:rPr>
                <w:sz w:val="24"/>
              </w:rPr>
              <w:t>具体要求见第一章《采购邀请》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tcPr>
          <w:p>
            <w:pPr>
              <w:pStyle w:val="252"/>
              <w:spacing w:before="139" w:line="201" w:lineRule="auto"/>
              <w:ind w:left="245"/>
              <w:rPr>
                <w:sz w:val="24"/>
                <w:szCs w:val="24"/>
              </w:rPr>
            </w:pPr>
            <w:r>
              <w:rPr>
                <w:spacing w:val="8"/>
                <w:sz w:val="24"/>
                <w:szCs w:val="24"/>
              </w:rPr>
              <w:t>2-1</w:t>
            </w:r>
          </w:p>
        </w:tc>
        <w:tc>
          <w:tcPr>
            <w:tcW w:w="904" w:type="pct"/>
          </w:tcPr>
          <w:p>
            <w:pPr>
              <w:spacing w:before="115" w:line="221" w:lineRule="auto"/>
              <w:ind w:left="135"/>
              <w:rPr>
                <w:rFonts w:ascii="宋体" w:hAnsi="宋体" w:cs="宋体"/>
                <w:sz w:val="24"/>
              </w:rPr>
            </w:pPr>
            <w:r>
              <w:rPr>
                <w:rFonts w:ascii="宋体" w:hAnsi="宋体" w:cs="宋体"/>
                <w:spacing w:val="-5"/>
                <w:sz w:val="24"/>
              </w:rPr>
              <w:t>中小企业政策</w:t>
            </w:r>
          </w:p>
        </w:tc>
        <w:tc>
          <w:tcPr>
            <w:tcW w:w="2578" w:type="pct"/>
          </w:tcPr>
          <w:p>
            <w:pPr>
              <w:spacing w:before="116" w:line="219" w:lineRule="auto"/>
              <w:rPr>
                <w:rFonts w:ascii="宋体" w:hAnsi="宋体" w:cs="宋体"/>
                <w:sz w:val="24"/>
              </w:rPr>
            </w:pPr>
            <w:r>
              <w:rPr>
                <w:rFonts w:ascii="宋体" w:hAnsi="宋体" w:cs="宋体"/>
                <w:spacing w:val="-2"/>
                <w:sz w:val="24"/>
              </w:rPr>
              <w:t>具体要求见第一章《采购邀请》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2-1</w:t>
            </w:r>
            <w:r>
              <w:rPr>
                <w:rFonts w:hint="eastAsia"/>
                <w:sz w:val="24"/>
              </w:rPr>
              <w:t>-1</w:t>
            </w:r>
          </w:p>
        </w:tc>
        <w:tc>
          <w:tcPr>
            <w:tcW w:w="904" w:type="pct"/>
            <w:vAlign w:val="center"/>
          </w:tcPr>
          <w:p>
            <w:pPr>
              <w:tabs>
                <w:tab w:val="left" w:pos="1080"/>
              </w:tabs>
              <w:snapToGrid w:val="0"/>
              <w:jc w:val="left"/>
              <w:rPr>
                <w:sz w:val="24"/>
              </w:rPr>
            </w:pPr>
            <w:r>
              <w:rPr>
                <w:sz w:val="24"/>
              </w:rPr>
              <w:t>中小企业</w:t>
            </w:r>
            <w:r>
              <w:rPr>
                <w:rFonts w:hint="eastAsia"/>
                <w:sz w:val="24"/>
              </w:rPr>
              <w:t>证明文件</w:t>
            </w:r>
          </w:p>
        </w:tc>
        <w:tc>
          <w:tcPr>
            <w:tcW w:w="2578" w:type="pct"/>
            <w:vAlign w:val="center"/>
          </w:tcPr>
          <w:p>
            <w:pPr>
              <w:spacing w:before="40" w:line="204" w:lineRule="auto"/>
              <w:ind w:right="119"/>
              <w:rPr>
                <w:rFonts w:ascii="宋体" w:hAnsi="宋体" w:cs="宋体"/>
                <w:sz w:val="24"/>
              </w:rPr>
            </w:pPr>
            <w:r>
              <w:rPr>
                <w:rFonts w:hint="eastAsia" w:ascii="宋体" w:hAnsi="宋体" w:cs="宋体"/>
                <w:spacing w:val="-2"/>
                <w:sz w:val="24"/>
              </w:rPr>
              <w:t>当本项目（包）涉及预留份额专门面向中小</w:t>
            </w:r>
            <w:r>
              <w:rPr>
                <w:rFonts w:hint="eastAsia" w:ascii="宋体" w:hAnsi="宋体" w:cs="宋体"/>
                <w:spacing w:val="-4"/>
                <w:sz w:val="24"/>
              </w:rPr>
              <w:t>企业采购，提供如下资料：</w:t>
            </w:r>
          </w:p>
          <w:p>
            <w:pPr>
              <w:pStyle w:val="252"/>
              <w:spacing w:before="4" w:line="220" w:lineRule="auto"/>
              <w:ind w:right="119"/>
              <w:rPr>
                <w:rFonts w:ascii="宋体" w:hAnsi="宋体" w:eastAsia="宋体" w:cs="宋体"/>
                <w:sz w:val="24"/>
                <w:szCs w:val="24"/>
                <w:lang w:eastAsia="zh-CN"/>
              </w:rPr>
            </w:pPr>
            <w:r>
              <w:rPr>
                <w:rFonts w:hint="eastAsia" w:ascii="宋体" w:hAnsi="宋体" w:eastAsia="宋体" w:cs="宋体"/>
                <w:spacing w:val="-1"/>
                <w:sz w:val="24"/>
                <w:szCs w:val="24"/>
                <w:lang w:eastAsia="zh-CN"/>
              </w:rPr>
              <w:t>1、供应商单独响应的，应</w:t>
            </w:r>
            <w:r>
              <w:rPr>
                <w:rFonts w:hint="eastAsia" w:ascii="宋体" w:hAnsi="宋体" w:eastAsia="宋体" w:cs="宋体"/>
                <w:spacing w:val="-4"/>
                <w:sz w:val="24"/>
                <w:szCs w:val="24"/>
                <w:lang w:eastAsia="zh-CN"/>
              </w:rPr>
              <w:t>提</w:t>
            </w:r>
            <w:r>
              <w:rPr>
                <w:rFonts w:hint="eastAsia" w:ascii="宋体" w:hAnsi="宋体" w:eastAsia="宋体" w:cs="宋体"/>
                <w:spacing w:val="-1"/>
                <w:sz w:val="24"/>
                <w:szCs w:val="24"/>
                <w:lang w:eastAsia="zh-CN"/>
              </w:rPr>
              <w:t>供《中小企业  声明函》或《残疾人福利性单位声明函》或</w:t>
            </w:r>
            <w:r>
              <w:rPr>
                <w:rFonts w:hint="eastAsia" w:ascii="宋体" w:hAnsi="宋体" w:eastAsia="宋体" w:cs="宋体"/>
                <w:spacing w:val="5"/>
                <w:sz w:val="24"/>
                <w:szCs w:val="24"/>
                <w:lang w:eastAsia="zh-CN"/>
              </w:rPr>
              <w:t xml:space="preserve"> </w:t>
            </w:r>
            <w:r>
              <w:rPr>
                <w:rFonts w:hint="eastAsia" w:ascii="宋体" w:hAnsi="宋体" w:eastAsia="宋体" w:cs="宋体"/>
                <w:spacing w:val="-1"/>
                <w:sz w:val="24"/>
                <w:szCs w:val="24"/>
                <w:lang w:eastAsia="zh-CN"/>
              </w:rPr>
              <w:t>由省级以上监狱管理局、戒毒管理局（含新</w:t>
            </w:r>
            <w:r>
              <w:rPr>
                <w:rFonts w:hint="eastAsia" w:ascii="宋体" w:hAnsi="宋体" w:eastAsia="宋体" w:cs="宋体"/>
                <w:spacing w:val="5"/>
                <w:sz w:val="24"/>
                <w:szCs w:val="24"/>
                <w:lang w:eastAsia="zh-CN"/>
              </w:rPr>
              <w:t xml:space="preserve"> </w:t>
            </w:r>
            <w:r>
              <w:rPr>
                <w:rFonts w:hint="eastAsia" w:ascii="宋体" w:hAnsi="宋体" w:eastAsia="宋体" w:cs="宋体"/>
                <w:spacing w:val="-1"/>
                <w:sz w:val="24"/>
                <w:szCs w:val="24"/>
                <w:lang w:eastAsia="zh-CN"/>
              </w:rPr>
              <w:t>疆生产建设兵团）出具的属于监狱企业的证</w:t>
            </w:r>
            <w:r>
              <w:rPr>
                <w:rFonts w:hint="eastAsia" w:ascii="宋体" w:hAnsi="宋体" w:eastAsia="宋体" w:cs="宋体"/>
                <w:spacing w:val="5"/>
                <w:sz w:val="24"/>
                <w:szCs w:val="24"/>
                <w:lang w:eastAsia="zh-CN"/>
              </w:rPr>
              <w:t xml:space="preserve"> </w:t>
            </w:r>
            <w:r>
              <w:rPr>
                <w:rFonts w:hint="eastAsia" w:ascii="宋体" w:hAnsi="宋体" w:eastAsia="宋体" w:cs="宋体"/>
                <w:spacing w:val="-9"/>
                <w:sz w:val="24"/>
                <w:szCs w:val="24"/>
                <w:lang w:eastAsia="zh-CN"/>
              </w:rPr>
              <w:t>明文件。</w:t>
            </w:r>
          </w:p>
          <w:p>
            <w:pPr>
              <w:pStyle w:val="252"/>
              <w:spacing w:before="24" w:line="235" w:lineRule="auto"/>
              <w:ind w:right="119"/>
              <w:rPr>
                <w:rFonts w:ascii="宋体" w:hAnsi="宋体" w:eastAsia="宋体" w:cs="宋体"/>
                <w:sz w:val="24"/>
                <w:szCs w:val="24"/>
                <w:lang w:eastAsia="zh-CN"/>
              </w:rPr>
            </w:pPr>
            <w:r>
              <w:rPr>
                <w:rFonts w:hint="eastAsia" w:ascii="宋体" w:hAnsi="宋体" w:eastAsia="宋体" w:cs="宋体"/>
                <w:spacing w:val="-1"/>
                <w:sz w:val="24"/>
                <w:szCs w:val="24"/>
                <w:lang w:eastAsia="zh-CN"/>
              </w:rPr>
              <w:t>2、如磋商文件要求以联合体形式参加或者 要求合同分包的，且供应商为联</w:t>
            </w:r>
            <w:r>
              <w:rPr>
                <w:rFonts w:ascii="宋体" w:hAnsi="宋体" w:eastAsia="宋体" w:cs="宋体"/>
                <w:spacing w:val="-1"/>
                <w:sz w:val="24"/>
                <w:szCs w:val="24"/>
                <w:lang w:eastAsia="zh-CN"/>
              </w:rPr>
              <w:t>合体或拟进</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行合同分包的，则联合体中的中小企业、签</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订分包意向协议的中小企业具体情况须在</w:t>
            </w:r>
          </w:p>
          <w:p>
            <w:pPr>
              <w:tabs>
                <w:tab w:val="left" w:pos="1080"/>
              </w:tabs>
              <w:snapToGrid w:val="0"/>
              <w:jc w:val="left"/>
              <w:rPr>
                <w:sz w:val="24"/>
              </w:rPr>
            </w:pPr>
            <w:r>
              <w:rPr>
                <w:rFonts w:ascii="宋体" w:hAnsi="宋体" w:cs="宋体"/>
                <w:spacing w:val="-1"/>
                <w:sz w:val="24"/>
              </w:rPr>
              <w:t>《中小企业声明函》或《残疾人福利性单位</w:t>
            </w:r>
            <w:r>
              <w:rPr>
                <w:rFonts w:ascii="宋体" w:hAnsi="宋体" w:cs="宋体"/>
                <w:spacing w:val="7"/>
                <w:sz w:val="24"/>
              </w:rPr>
              <w:t xml:space="preserve"> </w:t>
            </w:r>
            <w:r>
              <w:rPr>
                <w:rFonts w:ascii="宋体" w:hAnsi="宋体" w:cs="宋体"/>
                <w:spacing w:val="-1"/>
                <w:sz w:val="24"/>
              </w:rPr>
              <w:t>声明函》或由省级以上监狱管理局、戒毒管</w:t>
            </w:r>
            <w:r>
              <w:rPr>
                <w:rFonts w:ascii="宋体" w:hAnsi="宋体" w:cs="宋体"/>
                <w:spacing w:val="7"/>
                <w:sz w:val="24"/>
              </w:rPr>
              <w:t xml:space="preserve"> </w:t>
            </w:r>
            <w:r>
              <w:rPr>
                <w:rFonts w:ascii="宋体" w:hAnsi="宋体" w:cs="宋体"/>
                <w:spacing w:val="-1"/>
                <w:sz w:val="24"/>
              </w:rPr>
              <w:t>理局（含新疆生产建设兵团）出具的属于监</w:t>
            </w:r>
            <w:r>
              <w:rPr>
                <w:rFonts w:ascii="宋体" w:hAnsi="宋体" w:cs="宋体"/>
                <w:spacing w:val="7"/>
                <w:sz w:val="24"/>
              </w:rPr>
              <w:t xml:space="preserve"> </w:t>
            </w:r>
            <w:r>
              <w:rPr>
                <w:rFonts w:ascii="宋体" w:hAnsi="宋体" w:cs="宋体"/>
                <w:spacing w:val="-1"/>
                <w:sz w:val="24"/>
              </w:rPr>
              <w:t>狱企业的证明文件中如实填报，且满足采购</w:t>
            </w:r>
            <w:r>
              <w:rPr>
                <w:rFonts w:ascii="宋体" w:hAnsi="宋体" w:cs="宋体"/>
                <w:spacing w:val="7"/>
                <w:sz w:val="24"/>
              </w:rPr>
              <w:t xml:space="preserve"> </w:t>
            </w:r>
            <w:r>
              <w:rPr>
                <w:rFonts w:ascii="宋体" w:hAnsi="宋体" w:cs="宋体"/>
                <w:spacing w:val="-4"/>
                <w:sz w:val="24"/>
              </w:rPr>
              <w:t>文件关于预留份额的要求。</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2-1-</w:t>
            </w:r>
            <w:r>
              <w:rPr>
                <w:rFonts w:hint="eastAsia"/>
                <w:sz w:val="24"/>
              </w:rPr>
              <w:t>2</w:t>
            </w:r>
          </w:p>
        </w:tc>
        <w:tc>
          <w:tcPr>
            <w:tcW w:w="904" w:type="pct"/>
            <w:vAlign w:val="center"/>
          </w:tcPr>
          <w:p>
            <w:pPr>
              <w:tabs>
                <w:tab w:val="left" w:pos="1080"/>
              </w:tabs>
              <w:snapToGrid w:val="0"/>
              <w:jc w:val="left"/>
              <w:rPr>
                <w:sz w:val="24"/>
              </w:rPr>
            </w:pPr>
            <w:r>
              <w:rPr>
                <w:sz w:val="24"/>
              </w:rPr>
              <w:t>拟分包情况说明及分包意向协议</w:t>
            </w:r>
          </w:p>
        </w:tc>
        <w:tc>
          <w:tcPr>
            <w:tcW w:w="2578" w:type="pct"/>
            <w:vAlign w:val="center"/>
          </w:tcPr>
          <w:p>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2-2</w:t>
            </w:r>
          </w:p>
        </w:tc>
        <w:tc>
          <w:tcPr>
            <w:tcW w:w="904" w:type="pct"/>
            <w:vAlign w:val="center"/>
          </w:tcPr>
          <w:p>
            <w:pPr>
              <w:tabs>
                <w:tab w:val="left" w:pos="1080"/>
              </w:tabs>
              <w:snapToGrid w:val="0"/>
              <w:jc w:val="left"/>
              <w:rPr>
                <w:sz w:val="24"/>
              </w:rPr>
            </w:pPr>
            <w:r>
              <w:rPr>
                <w:sz w:val="24"/>
              </w:rPr>
              <w:t>其它落实政府采购政策的资格要求</w:t>
            </w:r>
          </w:p>
        </w:tc>
        <w:tc>
          <w:tcPr>
            <w:tcW w:w="2578" w:type="pct"/>
            <w:vAlign w:val="center"/>
          </w:tcPr>
          <w:p>
            <w:pPr>
              <w:tabs>
                <w:tab w:val="left" w:pos="1080"/>
              </w:tabs>
              <w:snapToGrid w:val="0"/>
              <w:jc w:val="left"/>
              <w:rPr>
                <w:sz w:val="24"/>
              </w:rPr>
            </w:pPr>
            <w:r>
              <w:rPr>
                <w:sz w:val="24"/>
              </w:rPr>
              <w:t>如有，见第一章《采购邀请》</w:t>
            </w:r>
          </w:p>
        </w:tc>
        <w:tc>
          <w:tcPr>
            <w:tcW w:w="1028" w:type="pct"/>
            <w:vAlign w:val="center"/>
          </w:tcPr>
          <w:p>
            <w:pPr>
              <w:tabs>
                <w:tab w:val="left" w:pos="1080"/>
              </w:tabs>
              <w:snapToGrid w:val="0"/>
              <w:jc w:val="left"/>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w:t>
            </w:r>
          </w:p>
        </w:tc>
        <w:tc>
          <w:tcPr>
            <w:tcW w:w="904" w:type="pct"/>
            <w:vAlign w:val="center"/>
          </w:tcPr>
          <w:p>
            <w:pPr>
              <w:tabs>
                <w:tab w:val="left" w:pos="1080"/>
              </w:tabs>
              <w:snapToGrid w:val="0"/>
              <w:jc w:val="left"/>
              <w:rPr>
                <w:sz w:val="24"/>
              </w:rPr>
            </w:pPr>
            <w:r>
              <w:rPr>
                <w:sz w:val="24"/>
              </w:rPr>
              <w:t>本项目的特定资格要求</w:t>
            </w:r>
          </w:p>
        </w:tc>
        <w:tc>
          <w:tcPr>
            <w:tcW w:w="2578" w:type="pct"/>
            <w:vAlign w:val="center"/>
          </w:tcPr>
          <w:p>
            <w:pPr>
              <w:tabs>
                <w:tab w:val="left" w:pos="1080"/>
              </w:tabs>
              <w:snapToGrid w:val="0"/>
              <w:jc w:val="left"/>
              <w:rPr>
                <w:sz w:val="24"/>
              </w:rPr>
            </w:pPr>
            <w:r>
              <w:rPr>
                <w:sz w:val="24"/>
              </w:rPr>
              <w:t>如有，见第一章《采购邀请》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3-1</w:t>
            </w:r>
          </w:p>
        </w:tc>
        <w:tc>
          <w:tcPr>
            <w:tcW w:w="904" w:type="pct"/>
            <w:vAlign w:val="center"/>
          </w:tcPr>
          <w:p>
            <w:pPr>
              <w:tabs>
                <w:tab w:val="left" w:pos="1080"/>
              </w:tabs>
              <w:snapToGrid w:val="0"/>
              <w:rPr>
                <w:sz w:val="24"/>
              </w:rPr>
            </w:pPr>
            <w:r>
              <w:rPr>
                <w:rFonts w:ascii="宋体" w:hAnsi="宋体" w:cs="宋体"/>
                <w:spacing w:val="12"/>
                <w:sz w:val="24"/>
              </w:rPr>
              <w:t>本项目对于联</w:t>
            </w:r>
            <w:r>
              <w:rPr>
                <w:rFonts w:ascii="宋体" w:hAnsi="宋体" w:cs="宋体"/>
                <w:spacing w:val="-2"/>
                <w:sz w:val="24"/>
              </w:rPr>
              <w:t>合体的要求</w:t>
            </w:r>
          </w:p>
        </w:tc>
        <w:tc>
          <w:tcPr>
            <w:tcW w:w="2578" w:type="pct"/>
            <w:vAlign w:val="center"/>
          </w:tcPr>
          <w:p>
            <w:pPr>
              <w:tabs>
                <w:tab w:val="left" w:pos="1080"/>
              </w:tabs>
              <w:snapToGrid w:val="0"/>
              <w:rPr>
                <w:sz w:val="24"/>
              </w:rPr>
            </w:pPr>
            <w:r>
              <w:rPr>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w:t>
            </w:r>
            <w:r>
              <w:rPr>
                <w:rFonts w:hint="eastAsia"/>
                <w:sz w:val="24"/>
              </w:rPr>
              <w:t>提</w:t>
            </w:r>
            <w:r>
              <w:rPr>
                <w:sz w:val="24"/>
              </w:rPr>
              <w:t>交。</w:t>
            </w:r>
          </w:p>
          <w:p>
            <w:pPr>
              <w:tabs>
                <w:tab w:val="left" w:pos="1080"/>
              </w:tabs>
              <w:snapToGrid w:val="0"/>
              <w:rPr>
                <w:sz w:val="24"/>
              </w:rPr>
            </w:pPr>
            <w:r>
              <w:rPr>
                <w:sz w:val="24"/>
              </w:rPr>
              <w:t>2、联合体各成员单位均须提供本表中序号1-1、1-2的证明文件。</w:t>
            </w:r>
            <w:r>
              <w:rPr>
                <w:rFonts w:ascii="宋体" w:hAnsi="宋体" w:cs="宋体"/>
                <w:spacing w:val="-3"/>
                <w:sz w:val="24"/>
              </w:rPr>
              <w:t>联合体各成员单位均</w:t>
            </w:r>
            <w:r>
              <w:rPr>
                <w:rFonts w:ascii="宋体" w:hAnsi="宋体" w:cs="宋体"/>
                <w:sz w:val="24"/>
              </w:rPr>
              <w:t xml:space="preserve"> 应满足本表</w:t>
            </w:r>
            <w:r>
              <w:rPr>
                <w:rFonts w:ascii="宋体" w:hAnsi="宋体" w:cs="宋体"/>
                <w:spacing w:val="-36"/>
                <w:sz w:val="24"/>
              </w:rPr>
              <w:t xml:space="preserve"> </w:t>
            </w:r>
            <w:r>
              <w:rPr>
                <w:sz w:val="24"/>
              </w:rPr>
              <w:t>3-2</w:t>
            </w:r>
            <w:r>
              <w:rPr>
                <w:rFonts w:ascii="宋体" w:hAnsi="宋体" w:cs="宋体"/>
                <w:sz w:val="24"/>
              </w:rPr>
              <w:t>项规定。</w:t>
            </w:r>
          </w:p>
          <w:p>
            <w:pPr>
              <w:tabs>
                <w:tab w:val="left" w:pos="1080"/>
              </w:tabs>
              <w:snapToGrid w:val="0"/>
              <w:rPr>
                <w:sz w:val="24"/>
              </w:rPr>
            </w:pPr>
            <w:r>
              <w:rPr>
                <w:rFonts w:hint="eastAsia"/>
                <w:sz w:val="24"/>
              </w:rPr>
              <w:t>3、本表序号3-3项规定的其他特定资格要 求中的每一小项要求，联合体各方中至少应 当有一方符合本表中其他资格要求并提供证 明文件。</w:t>
            </w:r>
          </w:p>
          <w:p>
            <w:pPr>
              <w:tabs>
                <w:tab w:val="left" w:pos="1080"/>
              </w:tabs>
              <w:snapToGrid w:val="0"/>
              <w:rPr>
                <w:sz w:val="24"/>
              </w:rPr>
            </w:pPr>
            <w:r>
              <w:rPr>
                <w:rFonts w:hint="eastAsia"/>
                <w:sz w:val="24"/>
              </w:rPr>
              <w:t>4、联合体中有同类资质的供应商按照联合 体分工承担相同工作的， 应当按照资质等级 较低的供应商确定资质等级。</w:t>
            </w:r>
          </w:p>
          <w:p>
            <w:pPr>
              <w:tabs>
                <w:tab w:val="left" w:pos="1080"/>
              </w:tabs>
              <w:snapToGrid w:val="0"/>
              <w:rPr>
                <w:sz w:val="24"/>
              </w:rPr>
            </w:pPr>
            <w:r>
              <w:rPr>
                <w:rFonts w:hint="eastAsia"/>
                <w:sz w:val="24"/>
              </w:rPr>
              <w:t>5、以联合体形式参加政府采购活动的，联 合体各方不得再单独参加或者与其他供应商 另外组成联合体参加同一合同项下的政府采 购活动。</w:t>
            </w:r>
          </w:p>
          <w:p>
            <w:pPr>
              <w:tabs>
                <w:tab w:val="left" w:pos="1080"/>
              </w:tabs>
              <w:snapToGrid w:val="0"/>
              <w:rPr>
                <w:sz w:val="24"/>
              </w:rPr>
            </w:pPr>
            <w:r>
              <w:rPr>
                <w:rFonts w:hint="eastAsia"/>
                <w:sz w:val="24"/>
              </w:rPr>
              <w:t>6、若联合体中任一成员单位中途退出，则 该联合体的</w:t>
            </w:r>
            <w:r>
              <w:rPr>
                <w:rFonts w:hint="eastAsia"/>
                <w:b/>
                <w:bCs/>
                <w:sz w:val="24"/>
              </w:rPr>
              <w:t>响应无效</w:t>
            </w:r>
            <w:r>
              <w:rPr>
                <w:rFonts w:hint="eastAsia"/>
                <w:sz w:val="24"/>
              </w:rPr>
              <w:t>。</w:t>
            </w:r>
          </w:p>
          <w:p>
            <w:pPr>
              <w:tabs>
                <w:tab w:val="left" w:pos="1080"/>
              </w:tabs>
              <w:snapToGrid w:val="0"/>
              <w:rPr>
                <w:sz w:val="24"/>
              </w:rPr>
            </w:pPr>
            <w:r>
              <w:rPr>
                <w:rFonts w:hint="eastAsia"/>
                <w:sz w:val="24"/>
              </w:rPr>
              <w:t>7、本项目不接受联合体响应时，供应商不 得为联合体。</w:t>
            </w:r>
            <w:r>
              <w:rPr>
                <w:sz w:val="24"/>
              </w:rPr>
              <w:t xml:space="preserve"> </w:t>
            </w:r>
          </w:p>
        </w:tc>
        <w:tc>
          <w:tcPr>
            <w:tcW w:w="1028" w:type="pct"/>
            <w:vAlign w:val="center"/>
          </w:tcPr>
          <w:p>
            <w:pPr>
              <w:tabs>
                <w:tab w:val="left" w:pos="1080"/>
              </w:tabs>
              <w:snapToGrid w:val="0"/>
              <w:rPr>
                <w:sz w:val="24"/>
              </w:rPr>
            </w:pPr>
            <w:r>
              <w:rPr>
                <w:rFonts w:hint="eastAsia"/>
                <w:sz w:val="24"/>
              </w:rPr>
              <w:t>提供《联合协议》原件或复印件并加盖公章</w:t>
            </w:r>
          </w:p>
          <w:p>
            <w:pPr>
              <w:tabs>
                <w:tab w:val="left" w:pos="1080"/>
              </w:tabs>
              <w:snapToGrid w:val="0"/>
              <w:rPr>
                <w:sz w:val="24"/>
              </w:rPr>
            </w:pPr>
            <w:r>
              <w:rPr>
                <w:rFonts w:hint="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rFonts w:hint="eastAsia"/>
                <w:sz w:val="24"/>
              </w:rPr>
              <w:t>3-2</w:t>
            </w:r>
          </w:p>
        </w:tc>
        <w:tc>
          <w:tcPr>
            <w:tcW w:w="904" w:type="pct"/>
          </w:tcPr>
          <w:p>
            <w:pPr>
              <w:rPr>
                <w:rFonts w:ascii="宋体" w:hAnsi="宋体" w:cs="宋体"/>
                <w:spacing w:val="12"/>
                <w:sz w:val="24"/>
              </w:rPr>
            </w:pPr>
            <w:r>
              <w:rPr>
                <w:rFonts w:ascii="宋体" w:hAnsi="宋体" w:cs="宋体"/>
                <w:spacing w:val="13"/>
                <w:sz w:val="24"/>
              </w:rPr>
              <w:t>政府购买服务</w:t>
            </w:r>
            <w:r>
              <w:rPr>
                <w:rFonts w:ascii="宋体" w:hAnsi="宋体" w:cs="宋体"/>
                <w:spacing w:val="12"/>
                <w:sz w:val="24"/>
              </w:rPr>
              <w:t>承接主体的要</w:t>
            </w:r>
            <w:r>
              <w:rPr>
                <w:rFonts w:ascii="宋体" w:hAnsi="宋体" w:cs="宋体"/>
                <w:sz w:val="24"/>
              </w:rPr>
              <w:t>求</w:t>
            </w:r>
          </w:p>
        </w:tc>
        <w:tc>
          <w:tcPr>
            <w:tcW w:w="2578" w:type="pct"/>
          </w:tcPr>
          <w:p>
            <w:pPr>
              <w:spacing w:before="38" w:line="228" w:lineRule="auto"/>
              <w:ind w:right="104"/>
            </w:pPr>
            <w:r>
              <w:rPr>
                <w:rFonts w:ascii="宋体" w:hAnsi="宋体" w:cs="宋体"/>
                <w:spacing w:val="-6"/>
                <w:sz w:val="24"/>
              </w:rPr>
              <w:t>如本项目属于政府购买服务，供应商不属于</w:t>
            </w:r>
            <w:r>
              <w:rPr>
                <w:rFonts w:ascii="宋体" w:hAnsi="宋体" w:cs="宋体"/>
                <w:sz w:val="24"/>
              </w:rPr>
              <w:t xml:space="preserve"> 公益一类事业单位、使用事业编制且由财政</w:t>
            </w:r>
            <w:r>
              <w:rPr>
                <w:rFonts w:ascii="宋体" w:hAnsi="宋体" w:cs="宋体"/>
                <w:spacing w:val="2"/>
                <w:sz w:val="24"/>
              </w:rPr>
              <w:t xml:space="preserve"> </w:t>
            </w:r>
            <w:r>
              <w:rPr>
                <w:rFonts w:ascii="宋体" w:hAnsi="宋体" w:cs="宋体"/>
                <w:spacing w:val="-2"/>
                <w:sz w:val="24"/>
              </w:rPr>
              <w:t>拨款保障的群团组织。</w:t>
            </w:r>
          </w:p>
        </w:tc>
        <w:tc>
          <w:tcPr>
            <w:tcW w:w="1028" w:type="pct"/>
            <w:vAlign w:val="center"/>
          </w:tcPr>
          <w:p>
            <w:pPr>
              <w:tabs>
                <w:tab w:val="left" w:pos="1080"/>
              </w:tabs>
              <w:snapToGrid w:val="0"/>
              <w:rPr>
                <w:sz w:val="24"/>
              </w:rPr>
            </w:pPr>
            <w:r>
              <w:rPr>
                <w:rFonts w:ascii="宋体" w:hAnsi="宋体" w:cs="宋体"/>
                <w:sz w:val="24"/>
              </w:rPr>
              <w:t>格式见《响应文</w:t>
            </w:r>
            <w:r>
              <w:rPr>
                <w:rFonts w:ascii="宋体" w:hAnsi="宋体" w:cs="宋体"/>
                <w:spacing w:val="1"/>
                <w:sz w:val="24"/>
              </w:rPr>
              <w:t xml:space="preserve"> </w:t>
            </w:r>
            <w:r>
              <w:rPr>
                <w:rFonts w:ascii="宋体" w:hAnsi="宋体" w:cs="宋体"/>
                <w:spacing w:val="-4"/>
                <w:sz w:val="24"/>
              </w:rPr>
              <w:t>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w:t>
            </w:r>
            <w:r>
              <w:rPr>
                <w:rFonts w:hint="eastAsia"/>
                <w:sz w:val="24"/>
              </w:rPr>
              <w:t>3</w:t>
            </w:r>
          </w:p>
        </w:tc>
        <w:tc>
          <w:tcPr>
            <w:tcW w:w="904" w:type="pct"/>
            <w:vAlign w:val="center"/>
          </w:tcPr>
          <w:p>
            <w:pPr>
              <w:tabs>
                <w:tab w:val="left" w:pos="1080"/>
              </w:tabs>
              <w:snapToGrid w:val="0"/>
              <w:rPr>
                <w:sz w:val="24"/>
              </w:rPr>
            </w:pPr>
            <w:r>
              <w:rPr>
                <w:sz w:val="24"/>
              </w:rPr>
              <w:t>其他特定资格要求</w:t>
            </w:r>
          </w:p>
        </w:tc>
        <w:tc>
          <w:tcPr>
            <w:tcW w:w="2578" w:type="pct"/>
            <w:vAlign w:val="center"/>
          </w:tcPr>
          <w:p>
            <w:pPr>
              <w:tabs>
                <w:tab w:val="left" w:pos="1080"/>
              </w:tabs>
              <w:snapToGrid w:val="0"/>
              <w:rPr>
                <w:sz w:val="24"/>
              </w:rPr>
            </w:pPr>
            <w:r>
              <w:rPr>
                <w:color w:val="000000"/>
                <w:sz w:val="24"/>
              </w:rPr>
              <w:t>如有，见</w:t>
            </w:r>
            <w:r>
              <w:rPr>
                <w:sz w:val="24"/>
              </w:rPr>
              <w:t>第一章《采购邀请》</w:t>
            </w:r>
          </w:p>
        </w:tc>
        <w:tc>
          <w:tcPr>
            <w:tcW w:w="1028" w:type="pct"/>
            <w:vAlign w:val="center"/>
          </w:tcPr>
          <w:p>
            <w:pPr>
              <w:tabs>
                <w:tab w:val="left" w:pos="1080"/>
              </w:tabs>
              <w:snapToGrid w:val="0"/>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4</w:t>
            </w:r>
          </w:p>
        </w:tc>
        <w:tc>
          <w:tcPr>
            <w:tcW w:w="904" w:type="pct"/>
            <w:vAlign w:val="center"/>
          </w:tcPr>
          <w:p>
            <w:pPr>
              <w:tabs>
                <w:tab w:val="left" w:pos="1080"/>
              </w:tabs>
              <w:snapToGrid w:val="0"/>
              <w:rPr>
                <w:sz w:val="24"/>
              </w:rPr>
            </w:pPr>
            <w:r>
              <w:rPr>
                <w:color w:val="000000"/>
                <w:kern w:val="0"/>
                <w:sz w:val="24"/>
              </w:rPr>
              <w:t>磋商保证金</w:t>
            </w:r>
          </w:p>
        </w:tc>
        <w:tc>
          <w:tcPr>
            <w:tcW w:w="2578" w:type="pct"/>
            <w:vAlign w:val="center"/>
          </w:tcPr>
          <w:p>
            <w:pPr>
              <w:tabs>
                <w:tab w:val="left" w:pos="1080"/>
              </w:tabs>
              <w:snapToGrid w:val="0"/>
              <w:rPr>
                <w:color w:val="000000"/>
                <w:sz w:val="24"/>
              </w:rPr>
            </w:pPr>
            <w:r>
              <w:rPr>
                <w:color w:val="000000"/>
                <w:kern w:val="0"/>
                <w:sz w:val="24"/>
              </w:rPr>
              <w:t>按照竞争性磋商文件的要求提交磋商保证金</w:t>
            </w:r>
            <w:r>
              <w:rPr>
                <w:rFonts w:hint="eastAsia"/>
                <w:color w:val="000000"/>
                <w:kern w:val="0"/>
                <w:sz w:val="24"/>
              </w:rPr>
              <w:t>。</w:t>
            </w:r>
          </w:p>
        </w:tc>
        <w:tc>
          <w:tcPr>
            <w:tcW w:w="1028" w:type="pct"/>
            <w:vAlign w:val="center"/>
          </w:tcPr>
          <w:p>
            <w:pPr>
              <w:tabs>
                <w:tab w:val="left" w:pos="1080"/>
              </w:tabs>
              <w:snapToGrid w:val="0"/>
              <w:rPr>
                <w:sz w:val="24"/>
              </w:rPr>
            </w:pPr>
          </w:p>
        </w:tc>
      </w:tr>
    </w:tbl>
    <w:p>
      <w:pPr>
        <w:widowControl/>
        <w:jc w:val="left"/>
        <w:rPr>
          <w:sz w:val="24"/>
        </w:rPr>
      </w:pPr>
      <w:r>
        <w:rPr>
          <w:sz w:val="24"/>
        </w:rPr>
        <w:br w:type="page"/>
      </w:r>
    </w:p>
    <w:p>
      <w:pPr>
        <w:numPr>
          <w:ilvl w:val="1"/>
          <w:numId w:val="11"/>
        </w:numPr>
        <w:tabs>
          <w:tab w:val="left" w:pos="1080"/>
        </w:tabs>
        <w:snapToGrid w:val="0"/>
        <w:spacing w:line="360" w:lineRule="auto"/>
        <w:ind w:left="1077" w:hanging="720"/>
        <w:rPr>
          <w:sz w:val="24"/>
        </w:rPr>
      </w:pPr>
      <w:r>
        <w:rPr>
          <w:sz w:val="24"/>
        </w:rPr>
        <w:t>《符合性审查要求》见下表：</w:t>
      </w:r>
    </w:p>
    <w:p>
      <w:pPr>
        <w:widowControl/>
        <w:spacing w:line="360" w:lineRule="auto"/>
        <w:jc w:val="center"/>
        <w:rPr>
          <w:b/>
          <w:color w:val="000000"/>
          <w:kern w:val="0"/>
          <w:sz w:val="24"/>
        </w:rPr>
      </w:pPr>
      <w:r>
        <w:rPr>
          <w:b/>
          <w:color w:val="000000"/>
          <w:kern w:val="0"/>
          <w:sz w:val="24"/>
        </w:rPr>
        <w:t>符合性审查要求</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693"/>
        <w:gridCol w:w="5483"/>
        <w:gridCol w:w="1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b/>
                <w:color w:val="000000"/>
                <w:kern w:val="0"/>
                <w:sz w:val="24"/>
              </w:rPr>
            </w:pPr>
            <w:r>
              <w:rPr>
                <w:b/>
                <w:color w:val="000000"/>
                <w:kern w:val="0"/>
                <w:sz w:val="24"/>
              </w:rPr>
              <w:t>序号</w:t>
            </w:r>
          </w:p>
        </w:tc>
        <w:tc>
          <w:tcPr>
            <w:tcW w:w="911" w:type="pct"/>
            <w:shd w:val="clear" w:color="000000" w:fill="FFFFFF"/>
            <w:vAlign w:val="center"/>
          </w:tcPr>
          <w:p>
            <w:pPr>
              <w:widowControl/>
              <w:jc w:val="center"/>
              <w:rPr>
                <w:b/>
                <w:color w:val="000000"/>
                <w:kern w:val="0"/>
                <w:sz w:val="24"/>
              </w:rPr>
            </w:pPr>
            <w:r>
              <w:rPr>
                <w:b/>
                <w:sz w:val="24"/>
              </w:rPr>
              <w:t>检查</w:t>
            </w:r>
            <w:r>
              <w:rPr>
                <w:b/>
                <w:color w:val="000000"/>
                <w:kern w:val="0"/>
                <w:sz w:val="24"/>
              </w:rPr>
              <w:t>因素</w:t>
            </w:r>
          </w:p>
        </w:tc>
        <w:tc>
          <w:tcPr>
            <w:tcW w:w="2950" w:type="pct"/>
            <w:shd w:val="clear" w:color="000000" w:fill="FFFFFF"/>
            <w:vAlign w:val="center"/>
          </w:tcPr>
          <w:p>
            <w:pPr>
              <w:widowControl/>
              <w:jc w:val="center"/>
              <w:rPr>
                <w:b/>
                <w:color w:val="000000"/>
                <w:kern w:val="0"/>
                <w:sz w:val="24"/>
              </w:rPr>
            </w:pPr>
            <w:r>
              <w:rPr>
                <w:b/>
                <w:sz w:val="24"/>
              </w:rPr>
              <w:t>检查</w:t>
            </w:r>
            <w:r>
              <w:rPr>
                <w:b/>
                <w:color w:val="000000"/>
                <w:kern w:val="0"/>
                <w:sz w:val="24"/>
              </w:rPr>
              <w:t>内容</w:t>
            </w:r>
          </w:p>
        </w:tc>
        <w:tc>
          <w:tcPr>
            <w:tcW w:w="717" w:type="pct"/>
            <w:shd w:val="clear" w:color="000000" w:fill="FFFFFF"/>
            <w:vAlign w:val="center"/>
          </w:tcPr>
          <w:p>
            <w:pPr>
              <w:widowControl/>
              <w:jc w:val="center"/>
              <w:rPr>
                <w:b/>
                <w:color w:val="000000"/>
                <w:kern w:val="0"/>
                <w:sz w:val="24"/>
              </w:rPr>
            </w:pPr>
            <w:r>
              <w:rPr>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1</w:t>
            </w:r>
          </w:p>
        </w:tc>
        <w:tc>
          <w:tcPr>
            <w:tcW w:w="911"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文件有效期</w:t>
            </w:r>
          </w:p>
        </w:tc>
        <w:tc>
          <w:tcPr>
            <w:tcW w:w="2950"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文件有效期是否符合磋商文件要求</w:t>
            </w:r>
          </w:p>
        </w:tc>
        <w:tc>
          <w:tcPr>
            <w:tcW w:w="717" w:type="pct"/>
            <w:shd w:val="clear" w:color="000000" w:fill="FFFFFF"/>
            <w:vAlign w:val="center"/>
          </w:tcPr>
          <w:p>
            <w:pPr>
              <w:widowControl/>
              <w:jc w:val="center"/>
              <w:rPr>
                <w:rFonts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2</w:t>
            </w:r>
          </w:p>
        </w:tc>
        <w:tc>
          <w:tcPr>
            <w:tcW w:w="911"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文件数量</w:t>
            </w:r>
          </w:p>
        </w:tc>
        <w:tc>
          <w:tcPr>
            <w:tcW w:w="2950"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文件数量是否符合磋商文件要求</w:t>
            </w:r>
          </w:p>
        </w:tc>
        <w:tc>
          <w:tcPr>
            <w:tcW w:w="717" w:type="pct"/>
            <w:shd w:val="clear" w:color="000000" w:fill="FFFFFF"/>
            <w:vAlign w:val="center"/>
          </w:tcPr>
          <w:p>
            <w:pPr>
              <w:widowControl/>
              <w:jc w:val="center"/>
              <w:rPr>
                <w:rFonts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3</w:t>
            </w:r>
          </w:p>
        </w:tc>
        <w:tc>
          <w:tcPr>
            <w:tcW w:w="911"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签字盖章</w:t>
            </w:r>
          </w:p>
        </w:tc>
        <w:tc>
          <w:tcPr>
            <w:tcW w:w="2950"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是否按照磋商文件要求对响应文件进行盖章和签字</w:t>
            </w:r>
          </w:p>
        </w:tc>
        <w:tc>
          <w:tcPr>
            <w:tcW w:w="717" w:type="pct"/>
            <w:shd w:val="clear" w:color="000000" w:fill="FFFFFF"/>
            <w:vAlign w:val="center"/>
          </w:tcPr>
          <w:p>
            <w:pPr>
              <w:widowControl/>
              <w:jc w:val="center"/>
              <w:rPr>
                <w:rFonts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19"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4</w:t>
            </w:r>
          </w:p>
        </w:tc>
        <w:tc>
          <w:tcPr>
            <w:tcW w:w="911"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法定代表人授权委托书</w:t>
            </w:r>
          </w:p>
        </w:tc>
        <w:tc>
          <w:tcPr>
            <w:tcW w:w="2950"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是否按照磋商文件规定，提供符合要求的法定代表人授权委托书</w:t>
            </w:r>
          </w:p>
        </w:tc>
        <w:tc>
          <w:tcPr>
            <w:tcW w:w="717" w:type="pct"/>
            <w:shd w:val="clear" w:color="000000" w:fill="FFFFFF"/>
            <w:vAlign w:val="center"/>
          </w:tcPr>
          <w:p>
            <w:pPr>
              <w:widowControl/>
              <w:jc w:val="center"/>
              <w:rPr>
                <w:rFonts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5</w:t>
            </w:r>
          </w:p>
        </w:tc>
        <w:tc>
          <w:tcPr>
            <w:tcW w:w="911" w:type="pct"/>
            <w:shd w:val="clear" w:color="000000" w:fill="FFFFFF"/>
            <w:vAlign w:val="center"/>
          </w:tcPr>
          <w:p>
            <w:pPr>
              <w:widowControl/>
              <w:jc w:val="center"/>
              <w:rPr>
                <w:rFonts w:ascii="宋体" w:hAnsi="宋体"/>
                <w:color w:val="000000"/>
                <w:kern w:val="0"/>
                <w:sz w:val="24"/>
              </w:rPr>
            </w:pPr>
            <w:r>
              <w:rPr>
                <w:rFonts w:hint="eastAsia" w:ascii="宋体" w:hAnsi="宋体"/>
                <w:color w:val="000000"/>
                <w:kern w:val="0"/>
                <w:sz w:val="24"/>
              </w:rPr>
              <w:t>其它非实质性响应</w:t>
            </w:r>
          </w:p>
        </w:tc>
        <w:tc>
          <w:tcPr>
            <w:tcW w:w="2950" w:type="pct"/>
            <w:shd w:val="clear" w:color="000000" w:fill="FFFFFF"/>
            <w:vAlign w:val="center"/>
          </w:tcPr>
          <w:p>
            <w:pPr>
              <w:widowControl/>
              <w:jc w:val="center"/>
              <w:rPr>
                <w:rFonts w:ascii="宋体" w:hAnsi="宋体"/>
                <w:color w:val="000000"/>
                <w:kern w:val="0"/>
                <w:sz w:val="24"/>
              </w:rPr>
            </w:pPr>
            <w:r>
              <w:rPr>
                <w:rFonts w:ascii="宋体" w:hAnsi="宋体"/>
                <w:color w:val="000000"/>
                <w:kern w:val="0"/>
                <w:sz w:val="24"/>
              </w:rPr>
              <w:t>响应文件是否存在</w:t>
            </w:r>
            <w:r>
              <w:rPr>
                <w:rFonts w:hint="eastAsia" w:ascii="宋体" w:hAnsi="宋体"/>
                <w:color w:val="000000"/>
                <w:kern w:val="0"/>
                <w:sz w:val="24"/>
              </w:rPr>
              <w:t>其它非实质性响应</w:t>
            </w:r>
          </w:p>
        </w:tc>
        <w:tc>
          <w:tcPr>
            <w:tcW w:w="717" w:type="pct"/>
            <w:shd w:val="clear" w:color="000000" w:fill="FFFFFF"/>
            <w:vAlign w:val="center"/>
          </w:tcPr>
          <w:p>
            <w:pPr>
              <w:widowControl/>
              <w:jc w:val="center"/>
              <w:rPr>
                <w:rFonts w:ascii="宋体" w:hAnsi="宋体"/>
                <w:color w:val="000000"/>
                <w:kern w:val="0"/>
                <w:sz w:val="24"/>
              </w:rPr>
            </w:pPr>
            <w:r>
              <w:rPr>
                <w:rFonts w:ascii="宋体" w:hAnsi="宋体"/>
                <w:color w:val="000000"/>
                <w:kern w:val="0"/>
                <w:sz w:val="24"/>
              </w:rPr>
              <w:t>否</w:t>
            </w:r>
          </w:p>
        </w:tc>
      </w:tr>
    </w:tbl>
    <w:p>
      <w:pPr>
        <w:tabs>
          <w:tab w:val="left" w:pos="900"/>
          <w:tab w:val="left" w:pos="1080"/>
          <w:tab w:val="left" w:pos="1589"/>
        </w:tabs>
        <w:snapToGrid w:val="0"/>
        <w:spacing w:line="360" w:lineRule="auto"/>
        <w:rPr>
          <w:sz w:val="24"/>
        </w:rPr>
      </w:pPr>
    </w:p>
    <w:p>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pPr>
        <w:numPr>
          <w:ilvl w:val="1"/>
          <w:numId w:val="11"/>
        </w:numPr>
        <w:tabs>
          <w:tab w:val="left" w:pos="1080"/>
        </w:tabs>
        <w:snapToGrid w:val="0"/>
        <w:spacing w:line="360" w:lineRule="auto"/>
        <w:ind w:left="1077" w:hanging="720"/>
        <w:rPr>
          <w:sz w:val="24"/>
        </w:rPr>
      </w:pPr>
      <w:r>
        <w:rPr>
          <w:sz w:val="24"/>
        </w:rPr>
        <w:t>磋商小组所有成员</w:t>
      </w:r>
      <w:r>
        <w:rPr>
          <w:rFonts w:hint="eastAsia"/>
          <w:sz w:val="24"/>
        </w:rPr>
        <w:t>将</w:t>
      </w:r>
      <w:r>
        <w:rPr>
          <w:sz w:val="24"/>
        </w:rPr>
        <w:t>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w:t>
      </w:r>
      <w:r>
        <w:rPr>
          <w:spacing w:val="2"/>
          <w:sz w:val="24"/>
        </w:rPr>
        <w:t>（若供应商为事业单位或其他组织或分支机构</w:t>
      </w:r>
      <w:r>
        <w:rPr>
          <w:spacing w:val="1"/>
          <w:sz w:val="24"/>
        </w:rPr>
        <w:t>，可为单位</w:t>
      </w:r>
      <w:r>
        <w:rPr>
          <w:sz w:val="24"/>
        </w:rPr>
        <w:t xml:space="preserve"> </w:t>
      </w:r>
      <w:r>
        <w:rPr>
          <w:spacing w:val="2"/>
          <w:sz w:val="24"/>
        </w:rPr>
        <w:t>负责人）</w:t>
      </w:r>
      <w:r>
        <w:rPr>
          <w:kern w:val="0"/>
          <w:sz w:val="24"/>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pPr>
        <w:numPr>
          <w:ilvl w:val="2"/>
          <w:numId w:val="11"/>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pPr>
        <w:numPr>
          <w:ilvl w:val="2"/>
          <w:numId w:val="11"/>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spacing w:val="-11"/>
          <w:sz w:val="24"/>
        </w:rPr>
        <w:t>（若供应商为事业单位或其他组织或分支机构，</w:t>
      </w:r>
      <w:r>
        <w:rPr>
          <w:spacing w:val="-32"/>
          <w:sz w:val="24"/>
        </w:rPr>
        <w:t xml:space="preserve"> </w:t>
      </w:r>
      <w:r>
        <w:rPr>
          <w:spacing w:val="-11"/>
          <w:sz w:val="24"/>
        </w:rPr>
        <w:t>可为单位负责人）</w:t>
      </w:r>
      <w:r>
        <w:rPr>
          <w:sz w:val="24"/>
        </w:rPr>
        <w:t>或其授权代表签字或者加盖公章。由授权代表签字的，应当附授权委托书。供应商为自然人的，应当由本人签字并附身份证明。</w:t>
      </w:r>
      <w:r>
        <w:rPr>
          <w:rFonts w:hint="eastAsia"/>
          <w:sz w:val="24"/>
        </w:rPr>
        <w:t>澄清、说明或者更正文件</w:t>
      </w:r>
      <w:r>
        <w:rPr>
          <w:sz w:val="24"/>
        </w:rPr>
        <w:t>将作为响应文件内容的一部分。</w:t>
      </w:r>
    </w:p>
    <w:p>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pPr>
        <w:numPr>
          <w:ilvl w:val="0"/>
          <w:numId w:val="11"/>
        </w:numPr>
        <w:tabs>
          <w:tab w:val="left" w:pos="360"/>
        </w:tabs>
        <w:snapToGrid w:val="0"/>
        <w:spacing w:line="360" w:lineRule="auto"/>
        <w:outlineLvl w:val="1"/>
        <w:rPr>
          <w:sz w:val="24"/>
        </w:rPr>
      </w:pPr>
      <w:r>
        <w:rPr>
          <w:sz w:val="24"/>
        </w:rPr>
        <w:t>最后报价的算术修正及政策调整</w:t>
      </w:r>
    </w:p>
    <w:p>
      <w:pPr>
        <w:numPr>
          <w:ilvl w:val="1"/>
          <w:numId w:val="11"/>
        </w:numPr>
        <w:tabs>
          <w:tab w:val="left" w:pos="1080"/>
          <w:tab w:val="left" w:pos="1872"/>
        </w:tabs>
        <w:snapToGrid w:val="0"/>
        <w:spacing w:line="360" w:lineRule="auto"/>
        <w:ind w:left="1077" w:hanging="720"/>
        <w:rPr>
          <w:sz w:val="24"/>
        </w:rPr>
      </w:pPr>
      <w:r>
        <w:rPr>
          <w:rFonts w:hint="eastAsia"/>
          <w:sz w:val="24"/>
        </w:rPr>
        <w:t>最后报价须包含竞争性磋商文件全部内容，如最后分项报价表有缺漏视为已含在其他各项报价中，将不对最后报价进行调整。磋商小组有权要求供应商 在评审现场合理的时间内对此进行书面确认，供应商不确认的，视为将一个采购包中的内容拆分响应，其</w:t>
      </w:r>
      <w:r>
        <w:rPr>
          <w:rFonts w:hint="eastAsia"/>
          <w:b/>
          <w:bCs/>
          <w:sz w:val="24"/>
        </w:rPr>
        <w:t>响应无效</w:t>
      </w:r>
      <w:r>
        <w:rPr>
          <w:rFonts w:hint="eastAsia"/>
          <w:sz w:val="24"/>
        </w:rPr>
        <w:t>。</w:t>
      </w:r>
    </w:p>
    <w:p>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pPr>
        <w:tabs>
          <w:tab w:val="left" w:pos="1080"/>
          <w:tab w:val="left" w:pos="1589"/>
          <w:tab w:val="left" w:pos="2035"/>
          <w:tab w:val="left" w:pos="2114"/>
        </w:tabs>
        <w:snapToGrid w:val="0"/>
        <w:spacing w:line="360" w:lineRule="auto"/>
        <w:ind w:left="2035"/>
        <w:rPr>
          <w:sz w:val="24"/>
        </w:rPr>
      </w:pPr>
      <w:r>
        <w:rPr>
          <w:rFonts w:ascii="宋体" w:hAnsi="宋体"/>
          <w:b/>
          <w:sz w:val="24"/>
        </w:rPr>
        <w:t>■</w:t>
      </w:r>
      <w:r>
        <w:rPr>
          <w:sz w:val="24"/>
        </w:rPr>
        <w:t>无，按下述3.2.2-3.2.5项规定修正。</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w:t>
      </w:r>
      <w:r>
        <w:rPr>
          <w:spacing w:val="-11"/>
          <w:sz w:val="24"/>
        </w:rPr>
        <w:t>以总价为准，</w:t>
      </w:r>
      <w:r>
        <w:rPr>
          <w:spacing w:val="-45"/>
          <w:sz w:val="24"/>
        </w:rPr>
        <w:t xml:space="preserve"> </w:t>
      </w:r>
      <w:r>
        <w:rPr>
          <w:spacing w:val="-11"/>
          <w:sz w:val="24"/>
        </w:rPr>
        <w:t>并修改单价</w:t>
      </w:r>
      <w:r>
        <w:rPr>
          <w:color w:val="000000"/>
          <w:sz w:val="24"/>
        </w:rPr>
        <w:t>；</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w:t>
      </w:r>
      <w:r>
        <w:rPr>
          <w:rFonts w:hint="eastAsia"/>
          <w:sz w:val="24"/>
        </w:rPr>
        <w:t>10</w:t>
      </w:r>
      <w:r>
        <w:rPr>
          <w:sz w:val="24"/>
        </w:rPr>
        <w:t>_%的扣除，用扣除后的价格参加评审。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rPr>
        <w:t>6</w:t>
      </w:r>
      <w:r>
        <w:rPr>
          <w:sz w:val="24"/>
        </w:rPr>
        <w:t>_%的扣除，用扣除后的价格参加评审。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w:t>
      </w:r>
      <w:r>
        <w:rPr>
          <w:sz w:val="24"/>
          <w:u w:val="single"/>
        </w:rPr>
        <w:t>___</w:t>
      </w:r>
      <w:r>
        <w:rPr>
          <w:rFonts w:hint="eastAsia"/>
          <w:sz w:val="24"/>
          <w:u w:val="single"/>
        </w:rPr>
        <w:t>/</w:t>
      </w:r>
      <w:r>
        <w:rPr>
          <w:sz w:val="24"/>
          <w:u w:val="single"/>
        </w:rPr>
        <w:t>___</w:t>
      </w:r>
      <w:r>
        <w:rPr>
          <w:sz w:val="24"/>
        </w:rPr>
        <w:t>。</w:t>
      </w:r>
    </w:p>
    <w:p>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pPr>
        <w:numPr>
          <w:ilvl w:val="1"/>
          <w:numId w:val="11"/>
        </w:numPr>
        <w:tabs>
          <w:tab w:val="left" w:pos="1080"/>
        </w:tabs>
        <w:snapToGrid w:val="0"/>
        <w:spacing w:line="360" w:lineRule="auto"/>
        <w:ind w:left="1077" w:hanging="720"/>
        <w:rPr>
          <w:sz w:val="24"/>
        </w:rPr>
      </w:pPr>
      <w:r>
        <w:rPr>
          <w:sz w:val="24"/>
        </w:rPr>
        <w:t>供应商对实质性变动不予确认的；</w:t>
      </w:r>
    </w:p>
    <w:p>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pPr>
        <w:numPr>
          <w:ilvl w:val="1"/>
          <w:numId w:val="11"/>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pPr>
        <w:numPr>
          <w:ilvl w:val="1"/>
          <w:numId w:val="11"/>
        </w:numPr>
        <w:tabs>
          <w:tab w:val="left" w:pos="1080"/>
        </w:tabs>
        <w:snapToGrid w:val="0"/>
        <w:spacing w:line="360" w:lineRule="auto"/>
        <w:ind w:left="1077" w:hanging="720"/>
        <w:rPr>
          <w:rFonts w:ascii="宋体" w:hAnsi="宋体"/>
          <w:sz w:val="24"/>
        </w:rPr>
      </w:pPr>
      <w:r>
        <w:rPr>
          <w:sz w:val="24"/>
        </w:rPr>
        <w:t>其他：</w:t>
      </w:r>
      <w:r>
        <w:rPr>
          <w:rFonts w:hint="eastAsia" w:ascii="宋体" w:hAnsi="宋体"/>
          <w:sz w:val="24"/>
          <w:u w:val="single"/>
        </w:rPr>
        <w:t>未按照按磋商小组的要求签署、盖章的</w:t>
      </w:r>
      <w:r>
        <w:rPr>
          <w:rFonts w:hint="eastAsia" w:ascii="宋体" w:hAnsi="宋体"/>
          <w:sz w:val="24"/>
        </w:rPr>
        <w:t>；</w:t>
      </w:r>
    </w:p>
    <w:p>
      <w:pPr>
        <w:tabs>
          <w:tab w:val="left" w:pos="1080"/>
          <w:tab w:val="left" w:pos="1589"/>
        </w:tabs>
        <w:snapToGrid w:val="0"/>
        <w:spacing w:line="360" w:lineRule="auto"/>
        <w:ind w:left="567" w:leftChars="270" w:firstLine="1200" w:firstLineChars="500"/>
        <w:rPr>
          <w:sz w:val="24"/>
        </w:rPr>
      </w:pPr>
      <w:r>
        <w:rPr>
          <w:rFonts w:ascii="宋体" w:hAnsi="宋体"/>
          <w:sz w:val="24"/>
          <w:u w:val="single"/>
        </w:rPr>
        <w:t>不符合法律、法规和磋商文件中规定的其他实质性要求的</w:t>
      </w:r>
      <w:r>
        <w:rPr>
          <w:rFonts w:ascii="宋体" w:hAnsi="宋体"/>
          <w:sz w:val="24"/>
        </w:rPr>
        <w:t>。</w:t>
      </w:r>
    </w:p>
    <w:bookmarkEnd w:id="619"/>
    <w:bookmarkEnd w:id="620"/>
    <w:p>
      <w:pPr>
        <w:numPr>
          <w:ilvl w:val="0"/>
          <w:numId w:val="11"/>
        </w:numPr>
        <w:tabs>
          <w:tab w:val="left" w:pos="360"/>
        </w:tabs>
        <w:snapToGrid w:val="0"/>
        <w:spacing w:line="360" w:lineRule="auto"/>
        <w:outlineLvl w:val="1"/>
        <w:rPr>
          <w:sz w:val="24"/>
        </w:rPr>
      </w:pPr>
      <w:r>
        <w:rPr>
          <w:sz w:val="24"/>
        </w:rPr>
        <w:t>评审方法和评审标准</w:t>
      </w:r>
    </w:p>
    <w:p>
      <w:pPr>
        <w:numPr>
          <w:ilvl w:val="1"/>
          <w:numId w:val="11"/>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u w:val="single"/>
        </w:rPr>
        <w:t>___</w:t>
      </w:r>
      <w:r>
        <w:rPr>
          <w:rFonts w:hint="eastAsia"/>
          <w:sz w:val="24"/>
          <w:u w:val="single"/>
        </w:rPr>
        <w:t>/</w:t>
      </w:r>
      <w:r>
        <w:rPr>
          <w:sz w:val="24"/>
          <w:u w:val="single"/>
        </w:rPr>
        <w:t>___</w:t>
      </w:r>
      <w:r>
        <w:rPr>
          <w:sz w:val="24"/>
        </w:rPr>
        <w:t>。</w:t>
      </w:r>
    </w:p>
    <w:p>
      <w:pPr>
        <w:numPr>
          <w:ilvl w:val="1"/>
          <w:numId w:val="11"/>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w:t>
      </w:r>
      <w:r>
        <w:rPr>
          <w:sz w:val="24"/>
          <w:u w:val="single"/>
        </w:rPr>
        <w:t>___</w:t>
      </w:r>
      <w:r>
        <w:rPr>
          <w:rFonts w:hint="eastAsia"/>
          <w:sz w:val="24"/>
          <w:u w:val="single"/>
        </w:rPr>
        <w:t>/</w:t>
      </w:r>
      <w:r>
        <w:rPr>
          <w:sz w:val="24"/>
          <w:u w:val="single"/>
        </w:rPr>
        <w:t>___</w:t>
      </w:r>
      <w:r>
        <w:rPr>
          <w:sz w:val="24"/>
        </w:rPr>
        <w:t>。</w:t>
      </w:r>
    </w:p>
    <w:p>
      <w:pPr>
        <w:numPr>
          <w:ilvl w:val="0"/>
          <w:numId w:val="11"/>
        </w:numPr>
        <w:tabs>
          <w:tab w:val="left" w:pos="360"/>
        </w:tabs>
        <w:snapToGrid w:val="0"/>
        <w:spacing w:line="360" w:lineRule="auto"/>
        <w:outlineLvl w:val="1"/>
        <w:rPr>
          <w:sz w:val="24"/>
        </w:rPr>
      </w:pPr>
      <w:r>
        <w:rPr>
          <w:sz w:val="24"/>
        </w:rPr>
        <w:t>确定</w:t>
      </w:r>
      <w:bookmarkStart w:id="636" w:name="_Toc127161460"/>
      <w:bookmarkStart w:id="637" w:name="_Toc127151546"/>
      <w:bookmarkStart w:id="638" w:name="_Toc305158814"/>
      <w:bookmarkStart w:id="639" w:name="_Toc164351640"/>
      <w:bookmarkStart w:id="640" w:name="_Toc226965819"/>
      <w:bookmarkStart w:id="641" w:name="_Toc305158888"/>
      <w:bookmarkStart w:id="642" w:name="_Toc142311048"/>
      <w:bookmarkStart w:id="643" w:name="_Toc265228384"/>
      <w:bookmarkStart w:id="644" w:name="_Toc226965736"/>
      <w:bookmarkStart w:id="645" w:name="_Toc151193788"/>
      <w:bookmarkStart w:id="646" w:name="_Toc151193934"/>
      <w:bookmarkStart w:id="647" w:name="_Toc164229387"/>
      <w:bookmarkStart w:id="648" w:name="_Toc226309790"/>
      <w:bookmarkStart w:id="649" w:name="_Toc226337242"/>
      <w:bookmarkStart w:id="650" w:name="_Ref467307010"/>
      <w:bookmarkStart w:id="651" w:name="_Toc264969236"/>
      <w:bookmarkStart w:id="652" w:name="_Toc164608815"/>
      <w:bookmarkStart w:id="653" w:name="_Toc150509297"/>
      <w:bookmarkStart w:id="654" w:name="_Toc150480784"/>
      <w:bookmarkStart w:id="655" w:name="_Toc151190173"/>
      <w:bookmarkStart w:id="656" w:name="_Toc151193860"/>
      <w:bookmarkStart w:id="657" w:name="_Toc151193716"/>
      <w:bookmarkStart w:id="658" w:name="_Toc520356170"/>
      <w:bookmarkStart w:id="659" w:name="_Toc164229241"/>
      <w:bookmarkStart w:id="660" w:name="_Toc150774751"/>
      <w:bookmarkStart w:id="661" w:name="_Toc151193644"/>
      <w:bookmarkStart w:id="662" w:name="_Toc195842911"/>
      <w:bookmarkStart w:id="663" w:name="_Toc127151747"/>
      <w:bookmarkStart w:id="664" w:name="_Toc149720839"/>
      <w:bookmarkStart w:id="665" w:name="_Toc164608660"/>
      <w:bookmarkStart w:id="666" w:name="_Toc150774646"/>
      <w:r>
        <w:rPr>
          <w:sz w:val="24"/>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11"/>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rPr>
        <w:t>__</w:t>
      </w:r>
      <w:r>
        <w:rPr>
          <w:rFonts w:hint="eastAsia"/>
          <w:sz w:val="24"/>
        </w:rPr>
        <w:t>3</w:t>
      </w:r>
      <w:r>
        <w:rPr>
          <w:sz w:val="24"/>
        </w:rPr>
        <w:t>__名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sz w:val="24"/>
        </w:rPr>
      </w:pPr>
      <w:r>
        <w:rPr>
          <w:sz w:val="24"/>
        </w:rPr>
        <w:t>报告违法行为</w:t>
      </w:r>
    </w:p>
    <w:p>
      <w:pPr>
        <w:widowControl/>
        <w:numPr>
          <w:ilvl w:val="1"/>
          <w:numId w:val="11"/>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pStyle w:val="2"/>
        <w:spacing w:line="240" w:lineRule="auto"/>
        <w:ind w:right="334"/>
        <w:jc w:val="center"/>
        <w:outlineLvl w:val="2"/>
        <w:rPr>
          <w:rFonts w:cs="宋体"/>
        </w:rPr>
      </w:pPr>
      <w:r>
        <w:rPr>
          <w:rFonts w:hint="eastAsia" w:cs="宋体"/>
          <w:b/>
          <w:bCs/>
        </w:rPr>
        <w:t>二、评审标准</w:t>
      </w:r>
    </w:p>
    <w:p>
      <w:pPr>
        <w:rPr>
          <w:rFonts w:ascii="宋体" w:hAnsi="宋体" w:cs="宋体"/>
          <w:sz w:val="20"/>
          <w:szCs w:val="20"/>
        </w:rPr>
      </w:pPr>
    </w:p>
    <w:p/>
    <w:tbl>
      <w:tblPr>
        <w:tblStyle w:val="45"/>
        <w:tblW w:w="9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7515"/>
        <w:gridCol w:w="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707" w:type="dxa"/>
            <w:vAlign w:val="center"/>
          </w:tcPr>
          <w:p>
            <w:pPr>
              <w:tabs>
                <w:tab w:val="left" w:pos="360"/>
                <w:tab w:val="left" w:pos="900"/>
                <w:tab w:val="left" w:pos="1080"/>
                <w:tab w:val="left" w:pos="2014"/>
              </w:tabs>
              <w:snapToGrid w:val="0"/>
              <w:spacing w:line="360" w:lineRule="auto"/>
              <w:jc w:val="center"/>
              <w:rPr>
                <w:rFonts w:ascii="宋体" w:hAnsi="宋体" w:cs="宋体"/>
                <w:b/>
                <w:sz w:val="24"/>
              </w:rPr>
            </w:pPr>
            <w:r>
              <w:rPr>
                <w:rFonts w:hint="eastAsia" w:ascii="宋体" w:hAnsi="宋体" w:cs="宋体"/>
                <w:b/>
                <w:sz w:val="24"/>
              </w:rPr>
              <w:t>序号</w:t>
            </w:r>
          </w:p>
        </w:tc>
        <w:tc>
          <w:tcPr>
            <w:tcW w:w="7515" w:type="dxa"/>
            <w:vAlign w:val="center"/>
          </w:tcPr>
          <w:p>
            <w:pPr>
              <w:tabs>
                <w:tab w:val="left" w:pos="360"/>
                <w:tab w:val="left" w:pos="900"/>
                <w:tab w:val="left" w:pos="1080"/>
                <w:tab w:val="left" w:pos="2014"/>
              </w:tabs>
              <w:snapToGrid w:val="0"/>
              <w:spacing w:line="360" w:lineRule="auto"/>
              <w:jc w:val="center"/>
              <w:rPr>
                <w:rFonts w:ascii="宋体" w:hAnsi="宋体" w:cs="宋体"/>
                <w:b/>
                <w:sz w:val="24"/>
              </w:rPr>
            </w:pPr>
            <w:r>
              <w:rPr>
                <w:rFonts w:hint="eastAsia" w:ascii="宋体" w:hAnsi="宋体" w:cs="宋体"/>
                <w:b/>
                <w:sz w:val="24"/>
              </w:rPr>
              <w:t>评审因素及说明</w:t>
            </w:r>
          </w:p>
        </w:tc>
        <w:tc>
          <w:tcPr>
            <w:tcW w:w="821" w:type="dxa"/>
            <w:vAlign w:val="center"/>
          </w:tcPr>
          <w:p>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043" w:type="dxa"/>
            <w:gridSpan w:val="3"/>
            <w:vAlign w:val="center"/>
          </w:tcPr>
          <w:p>
            <w:pPr>
              <w:tabs>
                <w:tab w:val="left" w:pos="360"/>
                <w:tab w:val="left" w:pos="900"/>
                <w:tab w:val="left" w:pos="1080"/>
                <w:tab w:val="left" w:pos="2014"/>
              </w:tabs>
              <w:snapToGrid w:val="0"/>
              <w:spacing w:line="360" w:lineRule="auto"/>
              <w:jc w:val="center"/>
              <w:rPr>
                <w:rFonts w:ascii="宋体" w:hAnsi="宋体" w:cs="宋体"/>
                <w:b/>
                <w:sz w:val="24"/>
              </w:rPr>
            </w:pPr>
            <w:r>
              <w:rPr>
                <w:rFonts w:hint="eastAsia" w:ascii="宋体" w:hAnsi="宋体" w:cs="宋体"/>
                <w:b/>
                <w:sz w:val="24"/>
              </w:rPr>
              <w:t>一、商务部分（27分）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707"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1.1</w:t>
            </w:r>
          </w:p>
        </w:tc>
        <w:tc>
          <w:tcPr>
            <w:tcW w:w="7515" w:type="dxa"/>
            <w:vAlign w:val="center"/>
          </w:tcPr>
          <w:p>
            <w:pPr>
              <w:widowControl/>
              <w:spacing w:line="360" w:lineRule="auto"/>
              <w:ind w:right="-57" w:rightChars="-27"/>
              <w:rPr>
                <w:rFonts w:ascii="宋体" w:hAnsi="宋体"/>
                <w:kern w:val="0"/>
                <w:sz w:val="24"/>
              </w:rPr>
            </w:pPr>
            <w:r>
              <w:rPr>
                <w:rFonts w:hint="eastAsia" w:ascii="宋体" w:hAnsi="宋体"/>
                <w:b/>
                <w:bCs/>
                <w:kern w:val="0"/>
                <w:sz w:val="24"/>
              </w:rPr>
              <w:t>相关业绩</w:t>
            </w:r>
            <w:r>
              <w:rPr>
                <w:rFonts w:hint="eastAsia" w:ascii="宋体" w:hAnsi="宋体"/>
                <w:kern w:val="0"/>
                <w:sz w:val="24"/>
              </w:rPr>
              <w:t>：</w:t>
            </w:r>
          </w:p>
          <w:p>
            <w:pPr>
              <w:widowControl/>
              <w:spacing w:line="360" w:lineRule="auto"/>
              <w:ind w:right="-57" w:rightChars="-27"/>
              <w:rPr>
                <w:rFonts w:ascii="宋体" w:hAnsi="宋体"/>
                <w:kern w:val="0"/>
                <w:sz w:val="24"/>
              </w:rPr>
            </w:pPr>
            <w:r>
              <w:rPr>
                <w:rFonts w:hint="eastAsia" w:ascii="宋体" w:hAnsi="宋体"/>
                <w:kern w:val="0"/>
                <w:sz w:val="24"/>
              </w:rPr>
              <w:t>自2021年1月1日至今，正在执行或完成的本项目类似案例，每提供一份业绩合同得2分，最高可得14分。</w:t>
            </w:r>
          </w:p>
          <w:p>
            <w:pPr>
              <w:tabs>
                <w:tab w:val="left" w:pos="360"/>
                <w:tab w:val="left" w:pos="900"/>
                <w:tab w:val="left" w:pos="1080"/>
                <w:tab w:val="left" w:pos="2014"/>
              </w:tabs>
              <w:snapToGrid w:val="0"/>
              <w:spacing w:line="360" w:lineRule="auto"/>
              <w:rPr>
                <w:rFonts w:ascii="宋体" w:hAnsi="宋体" w:cs="宋体"/>
                <w:sz w:val="24"/>
              </w:rPr>
            </w:pPr>
            <w:r>
              <w:rPr>
                <w:rFonts w:hint="eastAsia" w:ascii="宋体" w:hAnsi="宋体"/>
                <w:kern w:val="0"/>
                <w:sz w:val="24"/>
              </w:rPr>
              <w:t>注：供应商需提供合同复印件并加盖公章，包括与最终用户签订的合同首页、合同金额所在页、签字盖章页及相关服务内容。</w:t>
            </w:r>
          </w:p>
        </w:tc>
        <w:tc>
          <w:tcPr>
            <w:tcW w:w="821"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707"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1.2</w:t>
            </w:r>
          </w:p>
        </w:tc>
        <w:tc>
          <w:tcPr>
            <w:tcW w:w="7515" w:type="dxa"/>
            <w:vAlign w:val="center"/>
          </w:tcPr>
          <w:p>
            <w:pPr>
              <w:tabs>
                <w:tab w:val="left" w:pos="360"/>
                <w:tab w:val="left" w:pos="900"/>
                <w:tab w:val="left" w:pos="1080"/>
                <w:tab w:val="left" w:pos="2014"/>
              </w:tabs>
              <w:snapToGrid w:val="0"/>
              <w:spacing w:line="360" w:lineRule="auto"/>
              <w:rPr>
                <w:rFonts w:ascii="宋体" w:hAnsi="宋体" w:cs="宋体"/>
                <w:b/>
                <w:iCs/>
                <w:sz w:val="24"/>
              </w:rPr>
            </w:pPr>
            <w:r>
              <w:rPr>
                <w:rFonts w:hint="eastAsia" w:ascii="宋体" w:hAnsi="宋体" w:cs="宋体"/>
                <w:b/>
                <w:iCs/>
                <w:sz w:val="24"/>
              </w:rPr>
              <w:t>团队人员：</w:t>
            </w:r>
          </w:p>
          <w:p>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人员配备齐全，分工合理，岗位职责明确，专业性强，完全满足项目需求的得10分；</w:t>
            </w:r>
          </w:p>
          <w:p>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人员配备较齐全，分工较合理，岗位职责较明确，专业性较强，能基本满足项目需求的得6分；</w:t>
            </w:r>
          </w:p>
          <w:p>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人员配备较差，专业性欠缺，不满足项目需求的得3分；</w:t>
            </w:r>
          </w:p>
          <w:p>
            <w:pPr>
              <w:tabs>
                <w:tab w:val="left" w:pos="360"/>
                <w:tab w:val="left" w:pos="900"/>
                <w:tab w:val="left" w:pos="1080"/>
                <w:tab w:val="left" w:pos="2014"/>
              </w:tabs>
              <w:snapToGrid w:val="0"/>
              <w:spacing w:line="360" w:lineRule="auto"/>
            </w:pPr>
            <w:r>
              <w:rPr>
                <w:rFonts w:hint="eastAsia" w:ascii="宋体" w:hAnsi="宋体" w:cs="宋体"/>
                <w:bCs/>
                <w:iCs/>
                <w:sz w:val="24"/>
              </w:rPr>
              <w:t>未提供得0分。</w:t>
            </w:r>
          </w:p>
        </w:tc>
        <w:tc>
          <w:tcPr>
            <w:tcW w:w="821"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707"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1.3</w:t>
            </w:r>
          </w:p>
        </w:tc>
        <w:tc>
          <w:tcPr>
            <w:tcW w:w="7515" w:type="dxa"/>
            <w:vAlign w:val="center"/>
          </w:tcPr>
          <w:p>
            <w:pPr>
              <w:spacing w:line="360" w:lineRule="auto"/>
              <w:jc w:val="left"/>
              <w:rPr>
                <w:rFonts w:ascii="宋体" w:hAnsi="宋体" w:cs="宋体"/>
                <w:b/>
                <w:bCs/>
                <w:kern w:val="0"/>
                <w:sz w:val="24"/>
              </w:rPr>
            </w:pPr>
            <w:r>
              <w:rPr>
                <w:rFonts w:hint="eastAsia" w:ascii="宋体" w:hAnsi="宋体" w:cs="宋体"/>
                <w:b/>
                <w:bCs/>
                <w:kern w:val="0"/>
                <w:sz w:val="24"/>
              </w:rPr>
              <w:t>企业认证证书：</w:t>
            </w:r>
          </w:p>
          <w:p>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供应商具有有效的以下认证证书，满足一项得1分，最高得3分：</w:t>
            </w:r>
          </w:p>
          <w:p>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①质量管理体系认证</w:t>
            </w:r>
          </w:p>
          <w:p>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②环境管理体系认证</w:t>
            </w:r>
          </w:p>
          <w:p>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③职业健康安全管理体系认证</w:t>
            </w:r>
          </w:p>
          <w:p>
            <w:pPr>
              <w:tabs>
                <w:tab w:val="left" w:pos="360"/>
                <w:tab w:val="left" w:pos="900"/>
                <w:tab w:val="left" w:pos="1080"/>
                <w:tab w:val="left" w:pos="2014"/>
              </w:tabs>
              <w:snapToGrid w:val="0"/>
              <w:spacing w:line="360" w:lineRule="auto"/>
              <w:rPr>
                <w:rFonts w:ascii="宋体" w:hAnsi="宋体" w:cs="宋体"/>
                <w:bCs/>
                <w:iCs/>
                <w:sz w:val="24"/>
              </w:rPr>
            </w:pPr>
            <w:r>
              <w:rPr>
                <w:rFonts w:hint="eastAsia" w:ascii="宋体" w:hAnsi="宋体" w:cs="宋体"/>
                <w:bCs/>
                <w:iCs/>
                <w:sz w:val="24"/>
              </w:rPr>
              <w:t>注：须提供有效证书复印件并加盖供应商公章，否则不予认可。</w:t>
            </w:r>
          </w:p>
        </w:tc>
        <w:tc>
          <w:tcPr>
            <w:tcW w:w="821"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43" w:type="dxa"/>
            <w:gridSpan w:val="3"/>
            <w:vAlign w:val="center"/>
          </w:tcPr>
          <w:p>
            <w:pPr>
              <w:tabs>
                <w:tab w:val="left" w:pos="360"/>
                <w:tab w:val="left" w:pos="900"/>
                <w:tab w:val="left" w:pos="1080"/>
                <w:tab w:val="left" w:pos="2014"/>
              </w:tabs>
              <w:snapToGrid w:val="0"/>
              <w:spacing w:line="360" w:lineRule="auto"/>
              <w:jc w:val="center"/>
              <w:rPr>
                <w:rFonts w:ascii="宋体" w:hAnsi="宋体" w:cs="宋体"/>
                <w:b/>
                <w:sz w:val="24"/>
              </w:rPr>
            </w:pPr>
            <w:r>
              <w:rPr>
                <w:rFonts w:hint="eastAsia" w:ascii="宋体" w:hAnsi="宋体" w:cs="宋体"/>
                <w:b/>
                <w:sz w:val="24"/>
              </w:rPr>
              <w:t>二、技术部分（63分）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7"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2.1</w:t>
            </w:r>
          </w:p>
        </w:tc>
        <w:tc>
          <w:tcPr>
            <w:tcW w:w="7515" w:type="dxa"/>
            <w:vAlign w:val="center"/>
          </w:tcPr>
          <w:p>
            <w:pPr>
              <w:tabs>
                <w:tab w:val="left" w:pos="360"/>
                <w:tab w:val="left" w:pos="900"/>
                <w:tab w:val="left" w:pos="1080"/>
                <w:tab w:val="left" w:pos="2014"/>
              </w:tabs>
              <w:snapToGrid w:val="0"/>
              <w:spacing w:line="360" w:lineRule="auto"/>
              <w:rPr>
                <w:rFonts w:ascii="宋体" w:hAnsi="宋体" w:cs="宋体"/>
                <w:b/>
                <w:bCs/>
                <w:sz w:val="24"/>
              </w:rPr>
            </w:pPr>
            <w:r>
              <w:rPr>
                <w:rFonts w:hint="eastAsia" w:ascii="宋体" w:hAnsi="宋体" w:cs="宋体"/>
                <w:b/>
                <w:bCs/>
                <w:sz w:val="24"/>
              </w:rPr>
              <w:t>对本项目的需求理解：</w:t>
            </w:r>
          </w:p>
          <w:p>
            <w:pPr>
              <w:widowControl/>
              <w:spacing w:line="360" w:lineRule="auto"/>
              <w:ind w:right="-57" w:rightChars="-27"/>
              <w:rPr>
                <w:rFonts w:ascii="宋体" w:hAnsi="宋体"/>
                <w:b/>
                <w:bCs/>
                <w:sz w:val="24"/>
              </w:rPr>
            </w:pPr>
            <w:r>
              <w:rPr>
                <w:rFonts w:hint="eastAsia" w:ascii="宋体" w:hAnsi="宋体" w:cs="宋体"/>
                <w:b/>
                <w:bCs/>
                <w:kern w:val="0"/>
                <w:sz w:val="24"/>
              </w:rPr>
              <w:t>根据本项目要求和实际情况，提出整体项目理解方案。</w:t>
            </w:r>
          </w:p>
          <w:p>
            <w:pPr>
              <w:widowControl/>
              <w:spacing w:line="360" w:lineRule="auto"/>
              <w:ind w:right="-57" w:rightChars="-27"/>
              <w:rPr>
                <w:rFonts w:ascii="宋体" w:hAnsi="宋体" w:cs="宋体"/>
                <w:kern w:val="0"/>
                <w:sz w:val="24"/>
              </w:rPr>
            </w:pPr>
            <w:r>
              <w:rPr>
                <w:rFonts w:hint="eastAsia" w:ascii="宋体" w:hAnsi="宋体" w:cs="宋体"/>
                <w:kern w:val="0"/>
                <w:sz w:val="24"/>
              </w:rPr>
              <w:t>理解全面完整、重点突出、亮点明确，得8分；</w:t>
            </w:r>
          </w:p>
          <w:p>
            <w:pPr>
              <w:widowControl/>
              <w:spacing w:line="360" w:lineRule="auto"/>
              <w:ind w:right="-57" w:rightChars="-27"/>
              <w:rPr>
                <w:rFonts w:ascii="宋体" w:hAnsi="宋体" w:cs="宋体"/>
                <w:kern w:val="0"/>
                <w:sz w:val="24"/>
              </w:rPr>
            </w:pPr>
            <w:r>
              <w:rPr>
                <w:rFonts w:hint="eastAsia" w:ascii="宋体" w:hAnsi="宋体" w:cs="宋体"/>
                <w:kern w:val="0"/>
                <w:sz w:val="24"/>
              </w:rPr>
              <w:t>理解较为全面、重点较为突出、亮点较为明确，得5分；</w:t>
            </w:r>
          </w:p>
          <w:p>
            <w:pPr>
              <w:widowControl/>
              <w:spacing w:line="360" w:lineRule="auto"/>
              <w:ind w:right="-57" w:rightChars="-27"/>
              <w:rPr>
                <w:rFonts w:ascii="宋体" w:hAnsi="宋体" w:cs="宋体"/>
                <w:kern w:val="0"/>
                <w:sz w:val="24"/>
              </w:rPr>
            </w:pPr>
            <w:r>
              <w:rPr>
                <w:rFonts w:hint="eastAsia" w:ascii="宋体" w:hAnsi="宋体" w:cs="宋体"/>
                <w:kern w:val="0"/>
                <w:sz w:val="24"/>
              </w:rPr>
              <w:t>理解不够完整、重点不够突出、亮点不明确，得2分；</w:t>
            </w:r>
          </w:p>
          <w:p>
            <w:pPr>
              <w:pStyle w:val="29"/>
            </w:pPr>
            <w:r>
              <w:rPr>
                <w:rFonts w:hint="eastAsia" w:hAnsi="宋体" w:cs="宋体"/>
                <w:sz w:val="24"/>
              </w:rPr>
              <w:t>未提供不得分。</w:t>
            </w:r>
          </w:p>
        </w:tc>
        <w:tc>
          <w:tcPr>
            <w:tcW w:w="821"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7"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2.2</w:t>
            </w:r>
          </w:p>
        </w:tc>
        <w:tc>
          <w:tcPr>
            <w:tcW w:w="7515" w:type="dxa"/>
            <w:vAlign w:val="center"/>
          </w:tcPr>
          <w:p>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维保服务方案：</w:t>
            </w:r>
          </w:p>
          <w:p>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针对本项目的服务内容和要求，制定本项目维保服务方案。</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服务方案内容详细、针对性强、科学合理、可操作性强的，得20分；</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服务方案内容较详细、针对性较强、较科学合理、可操作性较强，得15分；</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服务方案内容不够详细、针对性不足、科学合理性不强、可操作性不强，得10分；</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服务方案内容明显缺失，不具备针对性、科学合理性和可操作性，得5分；</w:t>
            </w:r>
          </w:p>
          <w:p>
            <w:pPr>
              <w:tabs>
                <w:tab w:val="left" w:pos="360"/>
                <w:tab w:val="left" w:pos="900"/>
                <w:tab w:val="left" w:pos="1080"/>
                <w:tab w:val="left" w:pos="2014"/>
              </w:tabs>
              <w:snapToGrid w:val="0"/>
              <w:spacing w:line="360" w:lineRule="auto"/>
              <w:rPr>
                <w:rFonts w:ascii="宋体" w:hAnsi="宋体" w:cs="宋体"/>
                <w:sz w:val="24"/>
              </w:rPr>
            </w:pPr>
            <w:r>
              <w:rPr>
                <w:rFonts w:hint="eastAsia" w:ascii="宋体" w:hAnsi="宋体" w:cs="宋体"/>
                <w:bCs/>
                <w:sz w:val="24"/>
              </w:rPr>
              <w:t>未提供得0分。</w:t>
            </w:r>
          </w:p>
        </w:tc>
        <w:tc>
          <w:tcPr>
            <w:tcW w:w="821"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7"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2.3</w:t>
            </w:r>
          </w:p>
        </w:tc>
        <w:tc>
          <w:tcPr>
            <w:tcW w:w="7515" w:type="dxa"/>
            <w:vAlign w:val="center"/>
          </w:tcPr>
          <w:p>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维保质量保障措施：</w:t>
            </w:r>
          </w:p>
          <w:p>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根据磋商文件要求，供应商提供维保质量保障措施。</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服务质量、目标和保障措施全面细致、可行性强、针对性强，得15分；</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服务质量、目标和保障措较为全面，可行性、针对性较好，得10分；</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服务质量、目标和保障措施不全面，可行性、针对性一般，得5分；</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未提供得0分。</w:t>
            </w:r>
          </w:p>
        </w:tc>
        <w:tc>
          <w:tcPr>
            <w:tcW w:w="821"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7"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2.4</w:t>
            </w:r>
          </w:p>
        </w:tc>
        <w:tc>
          <w:tcPr>
            <w:tcW w:w="7515" w:type="dxa"/>
            <w:vAlign w:val="center"/>
          </w:tcPr>
          <w:p>
            <w:pPr>
              <w:widowControl/>
              <w:spacing w:line="360" w:lineRule="auto"/>
              <w:ind w:right="-57" w:rightChars="-27"/>
              <w:rPr>
                <w:rFonts w:ascii="宋体" w:hAnsi="宋体" w:cs="宋体"/>
                <w:b/>
                <w:color w:val="000000"/>
                <w:kern w:val="0"/>
                <w:sz w:val="24"/>
              </w:rPr>
            </w:pPr>
            <w:r>
              <w:rPr>
                <w:rFonts w:ascii="宋体" w:hAnsi="宋体" w:cs="宋体"/>
                <w:b/>
                <w:color w:val="000000"/>
                <w:kern w:val="0"/>
                <w:sz w:val="24"/>
              </w:rPr>
              <w:t>服务承诺方案</w:t>
            </w:r>
            <w:r>
              <w:rPr>
                <w:rFonts w:hint="eastAsia" w:ascii="宋体" w:hAnsi="宋体" w:cs="宋体"/>
                <w:b/>
                <w:color w:val="000000"/>
                <w:kern w:val="0"/>
                <w:sz w:val="24"/>
              </w:rPr>
              <w:t>：</w:t>
            </w:r>
          </w:p>
          <w:p>
            <w:pPr>
              <w:widowControl/>
              <w:spacing w:line="360" w:lineRule="auto"/>
              <w:ind w:right="-57" w:rightChars="-27"/>
              <w:rPr>
                <w:rFonts w:ascii="宋体" w:hAnsi="宋体" w:cs="宋体"/>
                <w:b/>
                <w:bCs/>
                <w:color w:val="000000"/>
                <w:kern w:val="0"/>
                <w:sz w:val="24"/>
              </w:rPr>
            </w:pPr>
            <w:r>
              <w:rPr>
                <w:rFonts w:hint="eastAsia" w:ascii="宋体" w:hAnsi="宋体" w:cs="宋体"/>
                <w:b/>
                <w:bCs/>
                <w:color w:val="000000"/>
                <w:kern w:val="0"/>
                <w:sz w:val="24"/>
              </w:rPr>
              <w:t>根据磋商文件的要求，供应商提出相应的服务承诺方案。</w:t>
            </w:r>
          </w:p>
          <w:p>
            <w:pPr>
              <w:widowControl/>
              <w:spacing w:line="360" w:lineRule="auto"/>
              <w:ind w:right="-57" w:rightChars="-27"/>
              <w:rPr>
                <w:rFonts w:ascii="宋体" w:hAnsi="宋体" w:cs="宋体"/>
                <w:color w:val="000000"/>
                <w:kern w:val="0"/>
                <w:sz w:val="24"/>
              </w:rPr>
            </w:pPr>
            <w:r>
              <w:rPr>
                <w:rFonts w:hint="eastAsia" w:ascii="宋体" w:hAnsi="宋体" w:cs="宋体"/>
                <w:color w:val="000000"/>
                <w:kern w:val="0"/>
                <w:sz w:val="24"/>
              </w:rPr>
              <w:t>方案全面完整、重点突出、亮点明确，得</w:t>
            </w:r>
            <w:r>
              <w:rPr>
                <w:rFonts w:ascii="宋体" w:hAnsi="宋体" w:cs="宋体"/>
                <w:color w:val="000000"/>
                <w:kern w:val="0"/>
                <w:sz w:val="24"/>
              </w:rPr>
              <w:t>1</w:t>
            </w:r>
            <w:r>
              <w:rPr>
                <w:rFonts w:hint="eastAsia" w:ascii="宋体" w:hAnsi="宋体" w:cs="宋体"/>
                <w:color w:val="000000"/>
                <w:kern w:val="0"/>
                <w:sz w:val="24"/>
              </w:rPr>
              <w:t>0分；</w:t>
            </w:r>
          </w:p>
          <w:p>
            <w:pPr>
              <w:widowControl/>
              <w:spacing w:line="360" w:lineRule="auto"/>
              <w:ind w:right="-57" w:rightChars="-27"/>
              <w:rPr>
                <w:rFonts w:ascii="宋体" w:hAnsi="宋体" w:cs="宋体"/>
                <w:color w:val="000000"/>
                <w:kern w:val="0"/>
                <w:sz w:val="24"/>
              </w:rPr>
            </w:pPr>
            <w:r>
              <w:rPr>
                <w:rFonts w:hint="eastAsia" w:ascii="宋体" w:hAnsi="宋体" w:cs="宋体"/>
                <w:color w:val="000000"/>
                <w:kern w:val="0"/>
                <w:sz w:val="24"/>
              </w:rPr>
              <w:t>方案较为全面、重点较为突出、亮点较为明确，得6分；</w:t>
            </w:r>
          </w:p>
          <w:p>
            <w:pPr>
              <w:widowControl/>
              <w:spacing w:line="360" w:lineRule="auto"/>
              <w:ind w:right="-57" w:rightChars="-27"/>
              <w:rPr>
                <w:rFonts w:ascii="宋体" w:hAnsi="宋体" w:cs="宋体"/>
                <w:color w:val="000000"/>
                <w:kern w:val="0"/>
                <w:sz w:val="24"/>
              </w:rPr>
            </w:pPr>
            <w:r>
              <w:rPr>
                <w:rFonts w:hint="eastAsia" w:ascii="宋体" w:hAnsi="宋体" w:cs="宋体"/>
                <w:color w:val="000000"/>
                <w:kern w:val="0"/>
                <w:sz w:val="24"/>
              </w:rPr>
              <w:t>方案不完整、重点不突出、亮点不明确，得3分；</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未提供得0分。</w:t>
            </w:r>
          </w:p>
        </w:tc>
        <w:tc>
          <w:tcPr>
            <w:tcW w:w="821"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7"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2.5</w:t>
            </w:r>
          </w:p>
        </w:tc>
        <w:tc>
          <w:tcPr>
            <w:tcW w:w="7515" w:type="dxa"/>
            <w:vAlign w:val="center"/>
          </w:tcPr>
          <w:p>
            <w:pPr>
              <w:tabs>
                <w:tab w:val="left" w:pos="360"/>
                <w:tab w:val="left" w:pos="900"/>
                <w:tab w:val="left" w:pos="1080"/>
                <w:tab w:val="left" w:pos="2014"/>
              </w:tabs>
              <w:snapToGrid w:val="0"/>
              <w:spacing w:line="360" w:lineRule="auto"/>
              <w:rPr>
                <w:rFonts w:ascii="宋体" w:hAnsi="宋体" w:cs="宋体"/>
                <w:b/>
                <w:sz w:val="24"/>
              </w:rPr>
            </w:pPr>
            <w:r>
              <w:rPr>
                <w:rFonts w:hint="eastAsia" w:ascii="宋体" w:hAnsi="宋体" w:cs="宋体"/>
                <w:b/>
                <w:sz w:val="24"/>
              </w:rPr>
              <w:t>应急预案：</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
                <w:sz w:val="24"/>
              </w:rPr>
              <w:t>根据本项目要求提供针对突发情况的应急预案。</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应急预案科学性强、内容完整、考虑周全、针对性强，得10 分；</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应急预案科学性较强、内容较为完整、考虑较周全、针对性一般，得 6分；</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应急预案科学性不显著、内容过于简单、考虑不周全、针对性欠佳，得3分；</w:t>
            </w:r>
          </w:p>
          <w:p>
            <w:pPr>
              <w:tabs>
                <w:tab w:val="left" w:pos="360"/>
                <w:tab w:val="left" w:pos="900"/>
                <w:tab w:val="left" w:pos="1080"/>
                <w:tab w:val="left" w:pos="2014"/>
              </w:tabs>
              <w:snapToGrid w:val="0"/>
              <w:spacing w:line="360" w:lineRule="auto"/>
              <w:rPr>
                <w:rFonts w:ascii="宋体" w:hAnsi="宋体" w:cs="宋体"/>
                <w:bCs/>
                <w:sz w:val="24"/>
              </w:rPr>
            </w:pPr>
            <w:r>
              <w:rPr>
                <w:rFonts w:hint="eastAsia" w:ascii="宋体" w:hAnsi="宋体" w:cs="宋体"/>
                <w:bCs/>
                <w:sz w:val="24"/>
              </w:rPr>
              <w:t>未提供得0分。</w:t>
            </w:r>
          </w:p>
        </w:tc>
        <w:tc>
          <w:tcPr>
            <w:tcW w:w="821" w:type="dxa"/>
            <w:vAlign w:val="center"/>
          </w:tcPr>
          <w:p>
            <w:pPr>
              <w:tabs>
                <w:tab w:val="left" w:pos="360"/>
                <w:tab w:val="left" w:pos="900"/>
                <w:tab w:val="left" w:pos="1080"/>
                <w:tab w:val="left" w:pos="2014"/>
              </w:tabs>
              <w:snapToGrid w:val="0"/>
              <w:spacing w:line="360" w:lineRule="auto"/>
              <w:jc w:val="center"/>
              <w:rPr>
                <w:rFonts w:ascii="宋体" w:hAnsi="宋体" w:cs="宋体"/>
                <w:sz w:val="24"/>
              </w:rPr>
            </w:pPr>
            <w:r>
              <w:rPr>
                <w:rFonts w:hint="eastAsia" w:ascii="宋体" w:hAnsi="宋体" w:cs="宋体"/>
                <w:sz w:val="24"/>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043" w:type="dxa"/>
            <w:gridSpan w:val="3"/>
            <w:vAlign w:val="center"/>
          </w:tcPr>
          <w:p>
            <w:pPr>
              <w:tabs>
                <w:tab w:val="left" w:pos="360"/>
                <w:tab w:val="left" w:pos="900"/>
                <w:tab w:val="left" w:pos="1080"/>
                <w:tab w:val="left" w:pos="2014"/>
              </w:tabs>
              <w:snapToGrid w:val="0"/>
              <w:spacing w:line="360" w:lineRule="auto"/>
              <w:jc w:val="center"/>
              <w:rPr>
                <w:rFonts w:ascii="宋体" w:hAnsi="宋体" w:cs="宋体"/>
                <w:b/>
                <w:sz w:val="24"/>
              </w:rPr>
            </w:pPr>
            <w:r>
              <w:rPr>
                <w:rFonts w:hint="eastAsia" w:ascii="宋体" w:hAnsi="宋体" w:cs="宋体"/>
                <w:b/>
                <w:sz w:val="24"/>
              </w:rPr>
              <w:t>三、价格部分（10分）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707" w:type="dxa"/>
            <w:vAlign w:val="center"/>
          </w:tcPr>
          <w:p>
            <w:pPr>
              <w:widowControl/>
              <w:spacing w:line="360" w:lineRule="auto"/>
              <w:ind w:left="420" w:right="-57" w:rightChars="-27" w:hanging="420"/>
              <w:jc w:val="center"/>
              <w:rPr>
                <w:rFonts w:ascii="宋体" w:hAnsi="宋体" w:cs="宋体"/>
                <w:sz w:val="24"/>
              </w:rPr>
            </w:pPr>
            <w:r>
              <w:rPr>
                <w:rFonts w:hint="eastAsia" w:ascii="宋体" w:hAnsi="宋体" w:cs="宋体"/>
                <w:sz w:val="24"/>
              </w:rPr>
              <w:t>3.1</w:t>
            </w:r>
          </w:p>
        </w:tc>
        <w:tc>
          <w:tcPr>
            <w:tcW w:w="7515" w:type="dxa"/>
            <w:vAlign w:val="center"/>
          </w:tcPr>
          <w:p>
            <w:pPr>
              <w:widowControl/>
              <w:spacing w:line="360" w:lineRule="auto"/>
              <w:ind w:right="-57" w:rightChars="-27"/>
              <w:rPr>
                <w:rFonts w:ascii="宋体" w:hAnsi="宋体" w:cs="宋体"/>
                <w:sz w:val="24"/>
              </w:rPr>
            </w:pPr>
            <w:r>
              <w:rPr>
                <w:rFonts w:hint="eastAsia" w:ascii="宋体" w:hAnsi="宋体" w:cs="宋体"/>
                <w:sz w:val="24"/>
              </w:rPr>
              <w:t>满足磋商文件要求的最后报价最低的供应商的价格为磋商基准价，其价格分为满分。其他供应商的价格分统一按照下列公式计算：</w:t>
            </w:r>
          </w:p>
          <w:p>
            <w:pPr>
              <w:widowControl/>
              <w:spacing w:line="360" w:lineRule="auto"/>
              <w:ind w:right="-57" w:rightChars="-27"/>
              <w:rPr>
                <w:rFonts w:ascii="宋体" w:hAnsi="宋体" w:cs="宋体"/>
                <w:sz w:val="24"/>
              </w:rPr>
            </w:pPr>
            <w:r>
              <w:rPr>
                <w:rFonts w:hint="eastAsia" w:ascii="宋体" w:hAnsi="宋体" w:cs="宋体"/>
                <w:sz w:val="24"/>
              </w:rPr>
              <w:t>磋商报价得分=（磋商基准价/最后报价）×10</w:t>
            </w:r>
          </w:p>
          <w:p>
            <w:pPr>
              <w:widowControl/>
              <w:spacing w:line="360" w:lineRule="auto"/>
              <w:ind w:right="-57" w:rightChars="-27"/>
              <w:rPr>
                <w:rFonts w:ascii="宋体" w:hAnsi="宋体" w:cs="宋体"/>
                <w:sz w:val="24"/>
              </w:rPr>
            </w:pPr>
            <w:r>
              <w:rPr>
                <w:rFonts w:hint="eastAsia" w:ascii="宋体" w:hAnsi="宋体" w:cs="宋体"/>
                <w:sz w:val="24"/>
              </w:rPr>
              <w:t>说明：此处最后报价指经过报价修正，及因落实政府采购政策进行价格调整后的报价，详见第三章《评审方法和评审标准》3.2、3.3。</w:t>
            </w:r>
          </w:p>
        </w:tc>
        <w:tc>
          <w:tcPr>
            <w:tcW w:w="821" w:type="dxa"/>
            <w:vAlign w:val="center"/>
          </w:tcPr>
          <w:p>
            <w:pPr>
              <w:widowControl/>
              <w:spacing w:line="360" w:lineRule="auto"/>
              <w:ind w:left="420" w:right="-57" w:rightChars="-27" w:hanging="420"/>
              <w:jc w:val="center"/>
              <w:rPr>
                <w:rFonts w:ascii="宋体" w:hAnsi="宋体" w:cs="宋体"/>
                <w:sz w:val="24"/>
              </w:rPr>
            </w:pPr>
            <w:r>
              <w:rPr>
                <w:rFonts w:hint="eastAsia" w:ascii="宋体" w:hAnsi="宋体" w:cs="宋体"/>
                <w:sz w:val="24"/>
              </w:rPr>
              <w:t>0-10</w:t>
            </w:r>
          </w:p>
        </w:tc>
      </w:tr>
    </w:tbl>
    <w:p>
      <w:pPr>
        <w:rPr>
          <w:rFonts w:ascii="宋体" w:hAnsi="宋体" w:cs="宋体"/>
          <w:b/>
          <w:sz w:val="24"/>
        </w:rPr>
      </w:pPr>
      <w:r>
        <w:rPr>
          <w:rFonts w:hint="eastAsia" w:ascii="宋体" w:hAnsi="宋体" w:cs="宋体"/>
          <w:b/>
          <w:sz w:val="24"/>
        </w:rPr>
        <w:br w:type="page"/>
      </w:r>
    </w:p>
    <w:p>
      <w:pPr>
        <w:numPr>
          <w:ilvl w:val="0"/>
          <w:numId w:val="12"/>
        </w:numPr>
        <w:spacing w:line="360" w:lineRule="auto"/>
        <w:jc w:val="center"/>
        <w:outlineLvl w:val="0"/>
        <w:rPr>
          <w:b/>
          <w:sz w:val="36"/>
          <w:szCs w:val="36"/>
        </w:rPr>
      </w:pPr>
      <w:r>
        <w:rPr>
          <w:b/>
          <w:sz w:val="36"/>
          <w:szCs w:val="36"/>
        </w:rPr>
        <w:t xml:space="preserve">  </w:t>
      </w:r>
      <w:bookmarkStart w:id="667" w:name="_Toc15087"/>
      <w:r>
        <w:rPr>
          <w:b/>
          <w:sz w:val="36"/>
          <w:szCs w:val="36"/>
        </w:rPr>
        <w:t>采购需求</w:t>
      </w:r>
      <w:bookmarkEnd w:id="667"/>
    </w:p>
    <w:p/>
    <w:p>
      <w:pPr>
        <w:spacing w:line="560" w:lineRule="exact"/>
        <w:ind w:firstLine="482" w:firstLineChars="200"/>
        <w:rPr>
          <w:rFonts w:ascii="宋体" w:hAnsi="宋体" w:cs="宋体"/>
          <w:bCs/>
          <w:sz w:val="24"/>
        </w:rPr>
      </w:pPr>
      <w:r>
        <w:rPr>
          <w:rFonts w:hint="eastAsia" w:ascii="宋体" w:hAnsi="宋体" w:cs="宋体"/>
          <w:b/>
          <w:sz w:val="24"/>
        </w:rPr>
        <w:t>一、执行标准</w:t>
      </w:r>
      <w:r>
        <w:rPr>
          <w:rFonts w:hint="eastAsia" w:ascii="宋体" w:hAnsi="宋体" w:cs="宋体"/>
          <w:bCs/>
          <w:sz w:val="24"/>
        </w:rPr>
        <w:t>：《安全防范系统维护保养规范》（GA/Ｔ1081-2020）。</w:t>
      </w:r>
    </w:p>
    <w:p>
      <w:pPr>
        <w:spacing w:line="560" w:lineRule="exact"/>
        <w:ind w:firstLine="482" w:firstLineChars="200"/>
        <w:rPr>
          <w:rFonts w:ascii="宋体" w:hAnsi="宋体" w:cs="宋体"/>
          <w:bCs/>
          <w:sz w:val="24"/>
        </w:rPr>
      </w:pPr>
      <w:r>
        <w:rPr>
          <w:rFonts w:hint="eastAsia" w:ascii="宋体" w:hAnsi="宋体" w:cs="宋体"/>
          <w:b/>
          <w:sz w:val="24"/>
        </w:rPr>
        <w:t>二、维保范围</w:t>
      </w:r>
      <w:r>
        <w:rPr>
          <w:rFonts w:hint="eastAsia" w:ascii="宋体" w:hAnsi="宋体" w:cs="宋体"/>
          <w:bCs/>
          <w:sz w:val="24"/>
        </w:rPr>
        <w:t>：视频监控系统、门禁系统、停车道闸系统、卫生间SOS报警系统、床头呼叫系统、楼宇空调自控系统、培训活动室音响会议系统、信息发布系统、智能照明及外景照明系统进行维护保养工作。　</w:t>
      </w:r>
    </w:p>
    <w:p>
      <w:pPr>
        <w:spacing w:line="560" w:lineRule="exact"/>
        <w:ind w:firstLine="482" w:firstLineChars="200"/>
        <w:rPr>
          <w:rFonts w:ascii="宋体" w:hAnsi="宋体" w:cs="宋体"/>
          <w:b/>
          <w:sz w:val="24"/>
        </w:rPr>
      </w:pPr>
      <w:r>
        <w:rPr>
          <w:rFonts w:hint="eastAsia" w:ascii="宋体" w:hAnsi="宋体" w:cs="宋体"/>
          <w:b/>
          <w:sz w:val="24"/>
        </w:rPr>
        <w:t>三、维保目标：</w:t>
      </w:r>
    </w:p>
    <w:p>
      <w:pPr>
        <w:spacing w:line="560" w:lineRule="exact"/>
        <w:ind w:firstLine="480" w:firstLineChars="200"/>
        <w:rPr>
          <w:rFonts w:ascii="宋体" w:hAnsi="宋体" w:cs="宋体"/>
          <w:bCs/>
          <w:sz w:val="24"/>
        </w:rPr>
      </w:pPr>
      <w:r>
        <w:rPr>
          <w:rFonts w:hint="eastAsia" w:ascii="宋体" w:hAnsi="宋体" w:cs="宋体"/>
          <w:bCs/>
          <w:sz w:val="24"/>
        </w:rPr>
        <w:t>一是通过运行维护服务的有效管理来提升安防和楼控设施设备的服务效率，协调各业务应用系统的内部运作，改善系统运行状况，提高服务质量。</w:t>
      </w:r>
    </w:p>
    <w:p>
      <w:pPr>
        <w:spacing w:line="560" w:lineRule="exact"/>
        <w:ind w:firstLine="480" w:firstLineChars="200"/>
        <w:rPr>
          <w:rFonts w:ascii="宋体" w:hAnsi="宋体" w:cs="宋体"/>
          <w:bCs/>
          <w:sz w:val="24"/>
        </w:rPr>
      </w:pPr>
      <w:r>
        <w:rPr>
          <w:rFonts w:hint="eastAsia" w:ascii="宋体" w:hAnsi="宋体" w:cs="宋体"/>
          <w:bCs/>
          <w:sz w:val="24"/>
        </w:rPr>
        <w:t>二是结合现有的环境、组织结构、安防和楼控设施设备资源和管理流程的特点，从流程、人员和技术三方面来规划安防和楼控系统。</w:t>
      </w:r>
    </w:p>
    <w:p>
      <w:pPr>
        <w:spacing w:line="560" w:lineRule="exact"/>
        <w:ind w:firstLine="480" w:firstLineChars="200"/>
        <w:rPr>
          <w:rFonts w:ascii="宋体" w:hAnsi="宋体" w:cs="宋体"/>
          <w:bCs/>
          <w:sz w:val="24"/>
        </w:rPr>
      </w:pPr>
      <w:r>
        <w:rPr>
          <w:rFonts w:hint="eastAsia" w:ascii="宋体" w:hAnsi="宋体" w:cs="宋体"/>
          <w:bCs/>
          <w:sz w:val="24"/>
        </w:rPr>
        <w:t>三是对现有的安防和楼控系统基础资源进行监控和管理，及时掌握设施设备现状和配置信息，反映设施设备的可用性情况和健康状况，创建一个可知可控的智能化运行环境，从而保证设施设备的各类业务应用系统的可靠、高效、持续、安全运行。</w:t>
      </w:r>
    </w:p>
    <w:p>
      <w:pPr>
        <w:spacing w:line="560" w:lineRule="exact"/>
        <w:ind w:firstLine="480" w:firstLineChars="200"/>
        <w:rPr>
          <w:rFonts w:ascii="宋体" w:hAnsi="宋体" w:cs="宋体"/>
          <w:bCs/>
          <w:sz w:val="24"/>
        </w:rPr>
      </w:pPr>
      <w:r>
        <w:rPr>
          <w:rFonts w:hint="eastAsia" w:ascii="宋体" w:hAnsi="宋体" w:cs="宋体"/>
          <w:bCs/>
          <w:sz w:val="24"/>
        </w:rPr>
        <w:t>四是安防和楼控设施设备信息统计，对现有的设施设备信息资产情况进行了解，更好的提供系统的运行维护服务。</w:t>
      </w:r>
    </w:p>
    <w:p>
      <w:pPr>
        <w:spacing w:line="560" w:lineRule="exact"/>
        <w:ind w:firstLine="482" w:firstLineChars="200"/>
        <w:rPr>
          <w:rFonts w:ascii="宋体" w:hAnsi="宋体" w:cs="宋体"/>
          <w:b/>
          <w:sz w:val="24"/>
        </w:rPr>
      </w:pPr>
      <w:r>
        <w:rPr>
          <w:rFonts w:hint="eastAsia" w:ascii="宋体" w:hAnsi="宋体" w:cs="宋体"/>
          <w:b/>
          <w:sz w:val="24"/>
        </w:rPr>
        <w:t>四、维保内容：</w:t>
      </w:r>
    </w:p>
    <w:p>
      <w:pPr>
        <w:spacing w:line="560" w:lineRule="exact"/>
        <w:ind w:firstLine="480" w:firstLineChars="200"/>
        <w:rPr>
          <w:rFonts w:ascii="宋体" w:hAnsi="宋体" w:cs="宋体"/>
          <w:bCs/>
          <w:sz w:val="24"/>
        </w:rPr>
      </w:pPr>
      <w:r>
        <w:rPr>
          <w:rFonts w:hint="eastAsia" w:ascii="宋体" w:hAnsi="宋体" w:cs="宋体"/>
          <w:bCs/>
          <w:sz w:val="24"/>
        </w:rPr>
        <w:t>（一）统计记录。包括硬件设备型号、数量、版本等信息统计记录；软件产品型号、版本和补丁等信息统计记录；其它附属设备的统计记录。</w:t>
      </w:r>
    </w:p>
    <w:p>
      <w:pPr>
        <w:spacing w:line="560" w:lineRule="exact"/>
        <w:ind w:firstLine="480" w:firstLineChars="200"/>
        <w:rPr>
          <w:rFonts w:ascii="宋体" w:hAnsi="宋体" w:cs="宋体"/>
          <w:bCs/>
          <w:sz w:val="24"/>
        </w:rPr>
      </w:pPr>
      <w:r>
        <w:rPr>
          <w:rFonts w:hint="eastAsia" w:ascii="宋体" w:hAnsi="宋体" w:cs="宋体"/>
          <w:bCs/>
          <w:sz w:val="24"/>
        </w:rPr>
        <w:t>（二）主机、存储系统的运维。主机、存储设备的日常监控，设备的运行状态监控，故障处理，操作系统维护，补丁升级等内容。</w:t>
      </w:r>
    </w:p>
    <w:p>
      <w:pPr>
        <w:spacing w:line="560" w:lineRule="exact"/>
        <w:ind w:firstLine="480" w:firstLineChars="200"/>
        <w:rPr>
          <w:rFonts w:ascii="宋体" w:hAnsi="宋体" w:cs="宋体"/>
          <w:bCs/>
          <w:sz w:val="24"/>
        </w:rPr>
      </w:pPr>
      <w:r>
        <w:rPr>
          <w:rFonts w:hint="eastAsia" w:ascii="宋体" w:hAnsi="宋体" w:cs="宋体"/>
          <w:bCs/>
          <w:sz w:val="24"/>
        </w:rPr>
        <w:t>（三）各系统的运维服务</w:t>
      </w:r>
    </w:p>
    <w:p>
      <w:pPr>
        <w:spacing w:line="560" w:lineRule="exact"/>
        <w:ind w:firstLine="482" w:firstLineChars="200"/>
        <w:rPr>
          <w:rFonts w:ascii="宋体" w:hAnsi="宋体" w:cs="宋体"/>
          <w:b/>
          <w:sz w:val="24"/>
        </w:rPr>
      </w:pPr>
      <w:r>
        <w:rPr>
          <w:rFonts w:hint="eastAsia" w:ascii="宋体" w:hAnsi="宋体" w:cs="宋体"/>
          <w:b/>
          <w:sz w:val="24"/>
        </w:rPr>
        <w:t>1、视频监控系统</w:t>
      </w:r>
    </w:p>
    <w:p>
      <w:pPr>
        <w:spacing w:line="560" w:lineRule="exact"/>
        <w:ind w:firstLine="480" w:firstLineChars="200"/>
        <w:rPr>
          <w:rFonts w:ascii="宋体" w:hAnsi="宋体" w:cs="宋体"/>
          <w:bCs/>
          <w:sz w:val="24"/>
        </w:rPr>
      </w:pPr>
      <w:r>
        <w:rPr>
          <w:rFonts w:hint="eastAsia" w:ascii="宋体" w:hAnsi="宋体" w:cs="宋体"/>
          <w:bCs/>
          <w:sz w:val="24"/>
        </w:rPr>
        <w:t>（1）监控系统主机检查检测。</w:t>
      </w:r>
    </w:p>
    <w:p>
      <w:pPr>
        <w:spacing w:line="560" w:lineRule="exact"/>
        <w:ind w:firstLine="480" w:firstLineChars="200"/>
        <w:rPr>
          <w:rFonts w:ascii="宋体" w:hAnsi="宋体" w:cs="宋体"/>
          <w:bCs/>
          <w:sz w:val="24"/>
        </w:rPr>
      </w:pPr>
      <w:r>
        <w:rPr>
          <w:rFonts w:hint="eastAsia" w:ascii="宋体" w:hAnsi="宋体" w:cs="宋体"/>
          <w:bCs/>
          <w:sz w:val="24"/>
        </w:rPr>
        <w:t>（2）监控主机过滤网清洁。</w:t>
      </w:r>
    </w:p>
    <w:p>
      <w:pPr>
        <w:spacing w:line="560" w:lineRule="exact"/>
        <w:ind w:firstLine="480" w:firstLineChars="200"/>
        <w:rPr>
          <w:rFonts w:ascii="宋体" w:hAnsi="宋体" w:cs="宋体"/>
          <w:bCs/>
          <w:sz w:val="24"/>
        </w:rPr>
      </w:pPr>
      <w:r>
        <w:rPr>
          <w:rFonts w:hint="eastAsia" w:ascii="宋体" w:hAnsi="宋体" w:cs="宋体"/>
          <w:bCs/>
          <w:sz w:val="24"/>
        </w:rPr>
        <w:t>（3）操作系统检测。</w:t>
      </w:r>
    </w:p>
    <w:p>
      <w:pPr>
        <w:spacing w:line="560" w:lineRule="exact"/>
        <w:ind w:firstLine="480" w:firstLineChars="200"/>
        <w:rPr>
          <w:rFonts w:ascii="宋体" w:hAnsi="宋体" w:cs="宋体"/>
          <w:bCs/>
          <w:sz w:val="24"/>
        </w:rPr>
      </w:pPr>
      <w:r>
        <w:rPr>
          <w:rFonts w:hint="eastAsia" w:ascii="宋体" w:hAnsi="宋体" w:cs="宋体"/>
          <w:bCs/>
          <w:sz w:val="24"/>
        </w:rPr>
        <w:t>（4）维护摄像机与线路。</w:t>
      </w:r>
    </w:p>
    <w:p>
      <w:pPr>
        <w:spacing w:line="560" w:lineRule="exact"/>
        <w:ind w:firstLine="480" w:firstLineChars="200"/>
        <w:rPr>
          <w:rFonts w:ascii="宋体" w:hAnsi="宋体" w:cs="宋体"/>
          <w:bCs/>
          <w:sz w:val="24"/>
        </w:rPr>
      </w:pPr>
      <w:r>
        <w:rPr>
          <w:rFonts w:hint="eastAsia" w:ascii="宋体" w:hAnsi="宋体" w:cs="宋体"/>
          <w:bCs/>
          <w:sz w:val="24"/>
        </w:rPr>
        <w:t>（5）电源与线路、网络接口检测。</w:t>
      </w:r>
    </w:p>
    <w:p>
      <w:pPr>
        <w:spacing w:line="560" w:lineRule="exact"/>
        <w:ind w:firstLine="480" w:firstLineChars="200"/>
        <w:rPr>
          <w:rFonts w:ascii="宋体" w:hAnsi="宋体" w:cs="宋体"/>
          <w:bCs/>
          <w:sz w:val="24"/>
        </w:rPr>
      </w:pPr>
      <w:r>
        <w:rPr>
          <w:rFonts w:hint="eastAsia" w:ascii="宋体" w:hAnsi="宋体" w:cs="宋体"/>
          <w:bCs/>
          <w:sz w:val="24"/>
        </w:rPr>
        <w:t>（6）摄像机镜头检测。</w:t>
      </w:r>
    </w:p>
    <w:p>
      <w:pPr>
        <w:spacing w:line="560" w:lineRule="exact"/>
        <w:ind w:firstLine="480" w:firstLineChars="200"/>
        <w:rPr>
          <w:rFonts w:ascii="宋体" w:hAnsi="宋体" w:cs="宋体"/>
          <w:bCs/>
          <w:sz w:val="24"/>
        </w:rPr>
      </w:pPr>
      <w:r>
        <w:rPr>
          <w:rFonts w:hint="eastAsia" w:ascii="宋体" w:hAnsi="宋体" w:cs="宋体"/>
          <w:bCs/>
          <w:sz w:val="24"/>
        </w:rPr>
        <w:t>（7）视频清晰度调整、视角位置调整。</w:t>
      </w:r>
    </w:p>
    <w:p>
      <w:pPr>
        <w:spacing w:line="560" w:lineRule="exact"/>
        <w:ind w:firstLine="480" w:firstLineChars="200"/>
        <w:rPr>
          <w:rFonts w:ascii="宋体" w:hAnsi="宋体" w:cs="宋体"/>
          <w:bCs/>
          <w:sz w:val="24"/>
        </w:rPr>
      </w:pPr>
      <w:r>
        <w:rPr>
          <w:rFonts w:hint="eastAsia" w:ascii="宋体" w:hAnsi="宋体" w:cs="宋体"/>
          <w:bCs/>
          <w:sz w:val="24"/>
        </w:rPr>
        <w:t>（8）监视器灰尘清理。</w:t>
      </w:r>
    </w:p>
    <w:p>
      <w:pPr>
        <w:spacing w:line="560" w:lineRule="exact"/>
        <w:ind w:firstLine="480" w:firstLineChars="200"/>
        <w:rPr>
          <w:rFonts w:ascii="宋体" w:hAnsi="宋体" w:cs="宋体"/>
          <w:bCs/>
          <w:sz w:val="24"/>
        </w:rPr>
      </w:pPr>
      <w:r>
        <w:rPr>
          <w:rFonts w:hint="eastAsia" w:ascii="宋体" w:hAnsi="宋体" w:cs="宋体"/>
          <w:bCs/>
          <w:sz w:val="24"/>
        </w:rPr>
        <w:t>（9）视频存储主机灰尘清理、检查硬盘中的数据包是否连续、硬盘在工作中的声音是否正常、录像效果检查、设置状态检查。</w:t>
      </w:r>
    </w:p>
    <w:p>
      <w:pPr>
        <w:spacing w:line="560" w:lineRule="exact"/>
        <w:ind w:firstLine="480" w:firstLineChars="200"/>
        <w:rPr>
          <w:rFonts w:ascii="宋体" w:hAnsi="宋体" w:cs="宋体"/>
          <w:bCs/>
          <w:sz w:val="24"/>
        </w:rPr>
      </w:pPr>
      <w:r>
        <w:rPr>
          <w:rFonts w:hint="eastAsia" w:ascii="宋体" w:hAnsi="宋体" w:cs="宋体"/>
          <w:bCs/>
          <w:sz w:val="24"/>
        </w:rPr>
        <w:t>（10）视频矩阵系统灰尘清理。</w:t>
      </w:r>
    </w:p>
    <w:p>
      <w:pPr>
        <w:spacing w:line="560" w:lineRule="exact"/>
        <w:ind w:firstLine="482" w:firstLineChars="200"/>
        <w:rPr>
          <w:rFonts w:ascii="宋体" w:hAnsi="宋体" w:cs="宋体"/>
          <w:b/>
          <w:sz w:val="24"/>
        </w:rPr>
      </w:pPr>
      <w:r>
        <w:rPr>
          <w:rFonts w:hint="eastAsia" w:ascii="宋体" w:hAnsi="宋体" w:cs="宋体"/>
          <w:b/>
          <w:sz w:val="24"/>
        </w:rPr>
        <w:t>2、门禁控制系统</w:t>
      </w:r>
    </w:p>
    <w:p>
      <w:pPr>
        <w:spacing w:line="560" w:lineRule="exact"/>
        <w:ind w:firstLine="480" w:firstLineChars="200"/>
        <w:rPr>
          <w:rFonts w:ascii="宋体" w:hAnsi="宋体" w:cs="宋体"/>
          <w:bCs/>
          <w:sz w:val="24"/>
        </w:rPr>
      </w:pPr>
      <w:r>
        <w:rPr>
          <w:rFonts w:hint="eastAsia" w:ascii="宋体" w:hAnsi="宋体" w:cs="宋体"/>
          <w:bCs/>
          <w:sz w:val="24"/>
        </w:rPr>
        <w:t>（1）控制器与管理主机通讯是否正常。</w:t>
      </w:r>
    </w:p>
    <w:p>
      <w:pPr>
        <w:spacing w:line="560" w:lineRule="exact"/>
        <w:ind w:firstLine="480" w:firstLineChars="200"/>
        <w:rPr>
          <w:rFonts w:ascii="宋体" w:hAnsi="宋体" w:cs="宋体"/>
          <w:bCs/>
          <w:sz w:val="24"/>
        </w:rPr>
      </w:pPr>
      <w:r>
        <w:rPr>
          <w:rFonts w:hint="eastAsia" w:ascii="宋体" w:hAnsi="宋体" w:cs="宋体"/>
          <w:bCs/>
          <w:sz w:val="24"/>
        </w:rPr>
        <w:t>（2）检测读卡器、开门按钮是否正常工作。</w:t>
      </w:r>
    </w:p>
    <w:p>
      <w:pPr>
        <w:spacing w:line="560" w:lineRule="exact"/>
        <w:ind w:firstLine="480" w:firstLineChars="200"/>
        <w:rPr>
          <w:rFonts w:ascii="宋体" w:hAnsi="宋体" w:cs="宋体"/>
          <w:bCs/>
          <w:sz w:val="24"/>
        </w:rPr>
      </w:pPr>
      <w:r>
        <w:rPr>
          <w:rFonts w:hint="eastAsia" w:ascii="宋体" w:hAnsi="宋体" w:cs="宋体"/>
          <w:bCs/>
          <w:sz w:val="24"/>
        </w:rPr>
        <w:t>（3）检测电磁锁稳固情况、管线连接是否松动。</w:t>
      </w:r>
    </w:p>
    <w:p>
      <w:pPr>
        <w:spacing w:line="560" w:lineRule="exact"/>
        <w:ind w:firstLine="482" w:firstLineChars="200"/>
        <w:rPr>
          <w:rFonts w:ascii="宋体" w:hAnsi="宋体" w:cs="宋体"/>
          <w:b/>
          <w:sz w:val="24"/>
        </w:rPr>
      </w:pPr>
      <w:r>
        <w:rPr>
          <w:rFonts w:hint="eastAsia" w:ascii="宋体" w:hAnsi="宋体" w:cs="宋体"/>
          <w:b/>
          <w:sz w:val="24"/>
        </w:rPr>
        <w:t>3、停车道闸系统</w:t>
      </w:r>
    </w:p>
    <w:p>
      <w:pPr>
        <w:spacing w:line="560" w:lineRule="exact"/>
        <w:ind w:firstLine="480" w:firstLineChars="200"/>
        <w:rPr>
          <w:rFonts w:ascii="宋体" w:hAnsi="宋体" w:cs="宋体"/>
          <w:bCs/>
          <w:sz w:val="24"/>
        </w:rPr>
      </w:pPr>
      <w:r>
        <w:rPr>
          <w:rFonts w:hint="eastAsia" w:ascii="宋体" w:hAnsi="宋体" w:cs="宋体"/>
          <w:bCs/>
          <w:sz w:val="24"/>
        </w:rPr>
        <w:t>（1）清理主机过滤网。</w:t>
      </w:r>
    </w:p>
    <w:p>
      <w:pPr>
        <w:spacing w:line="560" w:lineRule="exact"/>
        <w:ind w:firstLine="480" w:firstLineChars="200"/>
        <w:rPr>
          <w:rFonts w:ascii="宋体" w:hAnsi="宋体" w:cs="宋体"/>
          <w:bCs/>
          <w:sz w:val="24"/>
        </w:rPr>
      </w:pPr>
      <w:r>
        <w:rPr>
          <w:rFonts w:hint="eastAsia" w:ascii="宋体" w:hAnsi="宋体" w:cs="宋体"/>
          <w:bCs/>
          <w:sz w:val="24"/>
        </w:rPr>
        <w:t>（2）加添CPU散热油膏。</w:t>
      </w:r>
    </w:p>
    <w:p>
      <w:pPr>
        <w:spacing w:line="560" w:lineRule="exact"/>
        <w:ind w:firstLine="480" w:firstLineChars="200"/>
        <w:rPr>
          <w:rFonts w:ascii="宋体" w:hAnsi="宋体" w:cs="宋体"/>
          <w:bCs/>
          <w:sz w:val="24"/>
        </w:rPr>
      </w:pPr>
      <w:r>
        <w:rPr>
          <w:rFonts w:hint="eastAsia" w:ascii="宋体" w:hAnsi="宋体" w:cs="宋体"/>
          <w:bCs/>
          <w:sz w:val="24"/>
        </w:rPr>
        <w:t>（3）检测操作系统。</w:t>
      </w:r>
    </w:p>
    <w:p>
      <w:pPr>
        <w:spacing w:line="560" w:lineRule="exact"/>
        <w:ind w:firstLine="480" w:firstLineChars="200"/>
        <w:rPr>
          <w:rFonts w:ascii="宋体" w:hAnsi="宋体" w:cs="宋体"/>
          <w:bCs/>
          <w:sz w:val="24"/>
        </w:rPr>
      </w:pPr>
      <w:r>
        <w:rPr>
          <w:rFonts w:hint="eastAsia" w:ascii="宋体" w:hAnsi="宋体" w:cs="宋体"/>
          <w:bCs/>
          <w:sz w:val="24"/>
        </w:rPr>
        <w:t>（4）检测电源电压电阻。</w:t>
      </w:r>
    </w:p>
    <w:p>
      <w:pPr>
        <w:spacing w:line="560" w:lineRule="exact"/>
        <w:ind w:firstLine="480" w:firstLineChars="200"/>
        <w:rPr>
          <w:rFonts w:ascii="宋体" w:hAnsi="宋体" w:cs="宋体"/>
          <w:bCs/>
          <w:sz w:val="24"/>
        </w:rPr>
      </w:pPr>
      <w:r>
        <w:rPr>
          <w:rFonts w:hint="eastAsia" w:ascii="宋体" w:hAnsi="宋体" w:cs="宋体"/>
          <w:bCs/>
          <w:sz w:val="24"/>
        </w:rPr>
        <w:t>（5）硬件设施检查,如连线插座的引线紧固，电压测试等。</w:t>
      </w:r>
    </w:p>
    <w:p>
      <w:pPr>
        <w:spacing w:line="560" w:lineRule="exact"/>
        <w:ind w:firstLine="480" w:firstLineChars="200"/>
        <w:rPr>
          <w:rFonts w:ascii="宋体" w:hAnsi="宋体" w:cs="宋体"/>
          <w:bCs/>
          <w:sz w:val="24"/>
        </w:rPr>
      </w:pPr>
      <w:r>
        <w:rPr>
          <w:rFonts w:hint="eastAsia" w:ascii="宋体" w:hAnsi="宋体" w:cs="宋体"/>
          <w:bCs/>
          <w:sz w:val="24"/>
        </w:rPr>
        <w:t>（6）各出入口栏杆机自动、手动功能检查。</w:t>
      </w:r>
    </w:p>
    <w:p>
      <w:pPr>
        <w:spacing w:line="560" w:lineRule="exact"/>
        <w:ind w:firstLine="480" w:firstLineChars="200"/>
        <w:rPr>
          <w:rFonts w:ascii="宋体" w:hAnsi="宋体" w:cs="宋体"/>
          <w:bCs/>
          <w:sz w:val="24"/>
        </w:rPr>
      </w:pPr>
      <w:r>
        <w:rPr>
          <w:rFonts w:hint="eastAsia" w:ascii="宋体" w:hAnsi="宋体" w:cs="宋体"/>
          <w:bCs/>
          <w:sz w:val="24"/>
        </w:rPr>
        <w:t>（7）传动部分机械润滑、螺丝紧固以及栏杆机与其他系统网络、电路连接测试。</w:t>
      </w:r>
    </w:p>
    <w:p>
      <w:pPr>
        <w:spacing w:line="560" w:lineRule="exact"/>
        <w:ind w:firstLine="480" w:firstLineChars="200"/>
        <w:rPr>
          <w:rFonts w:ascii="宋体" w:hAnsi="宋体" w:cs="宋体"/>
          <w:bCs/>
          <w:sz w:val="24"/>
        </w:rPr>
      </w:pPr>
      <w:r>
        <w:rPr>
          <w:rFonts w:hint="eastAsia" w:ascii="宋体" w:hAnsi="宋体" w:cs="宋体"/>
          <w:bCs/>
          <w:sz w:val="24"/>
        </w:rPr>
        <w:t>（8）出入口网络通讯检查、时钟校正。</w:t>
      </w:r>
    </w:p>
    <w:p>
      <w:pPr>
        <w:spacing w:line="560" w:lineRule="exact"/>
        <w:ind w:firstLine="480" w:firstLineChars="200"/>
        <w:rPr>
          <w:rFonts w:ascii="宋体" w:hAnsi="宋体" w:cs="宋体"/>
          <w:bCs/>
          <w:sz w:val="24"/>
        </w:rPr>
      </w:pPr>
      <w:r>
        <w:rPr>
          <w:rFonts w:hint="eastAsia" w:ascii="宋体" w:hAnsi="宋体" w:cs="宋体"/>
          <w:bCs/>
          <w:sz w:val="24"/>
        </w:rPr>
        <w:t>（9）传感器安全及灵敏度检查。</w:t>
      </w:r>
    </w:p>
    <w:p>
      <w:pPr>
        <w:spacing w:line="560" w:lineRule="exact"/>
        <w:ind w:firstLine="480" w:firstLineChars="200"/>
        <w:rPr>
          <w:rFonts w:ascii="宋体" w:hAnsi="宋体" w:cs="宋体"/>
          <w:bCs/>
          <w:sz w:val="24"/>
        </w:rPr>
      </w:pPr>
      <w:r>
        <w:rPr>
          <w:rFonts w:hint="eastAsia" w:ascii="宋体" w:hAnsi="宋体" w:cs="宋体"/>
          <w:bCs/>
          <w:sz w:val="24"/>
        </w:rPr>
        <w:t>（10）对主机数据库整理，系统养护。</w:t>
      </w:r>
    </w:p>
    <w:p>
      <w:pPr>
        <w:spacing w:line="560" w:lineRule="exact"/>
        <w:ind w:firstLine="480" w:firstLineChars="200"/>
        <w:rPr>
          <w:rFonts w:ascii="宋体" w:hAnsi="宋体" w:cs="宋体"/>
          <w:bCs/>
          <w:sz w:val="24"/>
        </w:rPr>
      </w:pPr>
      <w:r>
        <w:rPr>
          <w:rFonts w:hint="eastAsia" w:ascii="宋体" w:hAnsi="宋体" w:cs="宋体"/>
          <w:bCs/>
          <w:sz w:val="24"/>
        </w:rPr>
        <w:t>（11）对系统线路、网络联接的检测；数据传输功能、联动功能的检测。</w:t>
      </w:r>
    </w:p>
    <w:p>
      <w:pPr>
        <w:spacing w:line="560" w:lineRule="exact"/>
        <w:ind w:firstLine="482" w:firstLineChars="200"/>
        <w:rPr>
          <w:rFonts w:ascii="宋体" w:hAnsi="宋体" w:cs="宋体"/>
          <w:b/>
          <w:sz w:val="24"/>
        </w:rPr>
      </w:pPr>
      <w:r>
        <w:rPr>
          <w:rFonts w:hint="eastAsia" w:ascii="宋体" w:hAnsi="宋体" w:cs="宋体"/>
          <w:b/>
          <w:sz w:val="24"/>
        </w:rPr>
        <w:t>4、卫生间SOS报警系统、床头呼叫系统</w:t>
      </w:r>
    </w:p>
    <w:p>
      <w:pPr>
        <w:spacing w:line="560" w:lineRule="exact"/>
        <w:ind w:firstLine="480" w:firstLineChars="200"/>
        <w:rPr>
          <w:rFonts w:ascii="宋体" w:hAnsi="宋体" w:cs="宋体"/>
          <w:bCs/>
          <w:sz w:val="24"/>
        </w:rPr>
      </w:pPr>
      <w:r>
        <w:rPr>
          <w:rFonts w:hint="eastAsia" w:ascii="宋体" w:hAnsi="宋体" w:cs="宋体"/>
          <w:bCs/>
          <w:sz w:val="24"/>
        </w:rPr>
        <w:t>（1）检查检测系统主机。</w:t>
      </w:r>
    </w:p>
    <w:p>
      <w:pPr>
        <w:spacing w:line="560" w:lineRule="exact"/>
        <w:ind w:firstLine="480" w:firstLineChars="200"/>
        <w:rPr>
          <w:rFonts w:ascii="宋体" w:hAnsi="宋体" w:cs="宋体"/>
          <w:bCs/>
          <w:sz w:val="24"/>
        </w:rPr>
      </w:pPr>
      <w:r>
        <w:rPr>
          <w:rFonts w:hint="eastAsia" w:ascii="宋体" w:hAnsi="宋体" w:cs="宋体"/>
          <w:bCs/>
          <w:sz w:val="24"/>
        </w:rPr>
        <w:t>（2）检查备用电池的工作状态、检查警号及闪灯的工作情况。</w:t>
      </w:r>
    </w:p>
    <w:p>
      <w:pPr>
        <w:spacing w:line="560" w:lineRule="exact"/>
        <w:ind w:firstLine="480" w:firstLineChars="200"/>
        <w:rPr>
          <w:rFonts w:ascii="宋体" w:hAnsi="宋体" w:cs="宋体"/>
          <w:bCs/>
          <w:sz w:val="24"/>
        </w:rPr>
      </w:pPr>
      <w:r>
        <w:rPr>
          <w:rFonts w:hint="eastAsia" w:ascii="宋体" w:hAnsi="宋体" w:cs="宋体"/>
          <w:bCs/>
          <w:sz w:val="24"/>
        </w:rPr>
        <w:t>（3）设备工作是否正常，安装是否牢固。</w:t>
      </w:r>
    </w:p>
    <w:p>
      <w:pPr>
        <w:spacing w:line="560" w:lineRule="exact"/>
        <w:ind w:firstLine="480" w:firstLineChars="200"/>
        <w:rPr>
          <w:rFonts w:ascii="宋体" w:hAnsi="宋体" w:cs="宋体"/>
          <w:bCs/>
          <w:sz w:val="24"/>
        </w:rPr>
      </w:pPr>
      <w:r>
        <w:rPr>
          <w:rFonts w:hint="eastAsia" w:ascii="宋体" w:hAnsi="宋体" w:cs="宋体"/>
          <w:bCs/>
          <w:sz w:val="24"/>
        </w:rPr>
        <w:t>（4）线路是否正常。</w:t>
      </w:r>
    </w:p>
    <w:p>
      <w:pPr>
        <w:spacing w:line="560" w:lineRule="exact"/>
        <w:ind w:firstLine="482" w:firstLineChars="200"/>
        <w:rPr>
          <w:rFonts w:ascii="宋体" w:hAnsi="宋体" w:cs="宋体"/>
          <w:b/>
          <w:sz w:val="24"/>
        </w:rPr>
      </w:pPr>
      <w:r>
        <w:rPr>
          <w:rFonts w:hint="eastAsia" w:ascii="宋体" w:hAnsi="宋体" w:cs="宋体"/>
          <w:b/>
          <w:sz w:val="24"/>
        </w:rPr>
        <w:t>5、楼宇空调自控系统</w:t>
      </w:r>
    </w:p>
    <w:p>
      <w:pPr>
        <w:spacing w:line="560" w:lineRule="exact"/>
        <w:ind w:firstLine="480" w:firstLineChars="200"/>
        <w:rPr>
          <w:rFonts w:ascii="宋体" w:hAnsi="宋体" w:cs="宋体"/>
          <w:bCs/>
          <w:sz w:val="24"/>
        </w:rPr>
      </w:pPr>
      <w:r>
        <w:rPr>
          <w:rFonts w:hint="eastAsia" w:ascii="宋体" w:hAnsi="宋体" w:cs="宋体"/>
          <w:bCs/>
          <w:sz w:val="24"/>
        </w:rPr>
        <w:t>楼控主机</w:t>
      </w:r>
    </w:p>
    <w:p>
      <w:pPr>
        <w:spacing w:line="560" w:lineRule="exact"/>
        <w:ind w:firstLine="480" w:firstLineChars="200"/>
        <w:rPr>
          <w:rFonts w:ascii="宋体" w:hAnsi="宋体" w:cs="宋体"/>
          <w:bCs/>
          <w:sz w:val="24"/>
        </w:rPr>
      </w:pPr>
      <w:r>
        <w:rPr>
          <w:rFonts w:hint="eastAsia" w:ascii="宋体" w:hAnsi="宋体" w:cs="宋体"/>
          <w:bCs/>
          <w:sz w:val="24"/>
        </w:rPr>
        <w:t>（1）清除楼控主机过滤网。</w:t>
      </w:r>
    </w:p>
    <w:p>
      <w:pPr>
        <w:spacing w:line="560" w:lineRule="exact"/>
        <w:ind w:firstLine="480" w:firstLineChars="200"/>
        <w:rPr>
          <w:rFonts w:ascii="宋体" w:hAnsi="宋体" w:cs="宋体"/>
          <w:bCs/>
          <w:sz w:val="24"/>
        </w:rPr>
      </w:pPr>
      <w:r>
        <w:rPr>
          <w:rFonts w:hint="eastAsia" w:ascii="宋体" w:hAnsi="宋体" w:cs="宋体"/>
          <w:bCs/>
          <w:sz w:val="24"/>
        </w:rPr>
        <w:t>（2）加添CPU散热油膏。</w:t>
      </w:r>
    </w:p>
    <w:p>
      <w:pPr>
        <w:spacing w:line="560" w:lineRule="exact"/>
        <w:ind w:firstLine="480" w:firstLineChars="200"/>
        <w:rPr>
          <w:rFonts w:ascii="宋体" w:hAnsi="宋体" w:cs="宋体"/>
          <w:bCs/>
          <w:sz w:val="24"/>
        </w:rPr>
      </w:pPr>
      <w:r>
        <w:rPr>
          <w:rFonts w:hint="eastAsia" w:ascii="宋体" w:hAnsi="宋体" w:cs="宋体"/>
          <w:bCs/>
          <w:sz w:val="24"/>
        </w:rPr>
        <w:t>（3）检测操作系统。</w:t>
      </w:r>
    </w:p>
    <w:p>
      <w:pPr>
        <w:spacing w:line="560" w:lineRule="exact"/>
        <w:ind w:firstLine="480" w:firstLineChars="200"/>
        <w:rPr>
          <w:rFonts w:ascii="宋体" w:hAnsi="宋体" w:cs="宋体"/>
          <w:bCs/>
          <w:sz w:val="24"/>
        </w:rPr>
      </w:pPr>
      <w:r>
        <w:rPr>
          <w:rFonts w:hint="eastAsia" w:ascii="宋体" w:hAnsi="宋体" w:cs="宋体"/>
          <w:bCs/>
          <w:sz w:val="24"/>
        </w:rPr>
        <w:t>（4）检测电源电压电阻。</w:t>
      </w:r>
    </w:p>
    <w:p>
      <w:pPr>
        <w:spacing w:line="560" w:lineRule="exact"/>
        <w:ind w:firstLine="480" w:firstLineChars="200"/>
        <w:rPr>
          <w:rFonts w:ascii="宋体" w:hAnsi="宋体" w:cs="宋体"/>
          <w:bCs/>
          <w:sz w:val="24"/>
        </w:rPr>
      </w:pPr>
      <w:r>
        <w:rPr>
          <w:rFonts w:hint="eastAsia" w:ascii="宋体" w:hAnsi="宋体" w:cs="宋体"/>
          <w:bCs/>
          <w:sz w:val="24"/>
        </w:rPr>
        <w:t>（5）检测楼控软件各点位。</w:t>
      </w:r>
    </w:p>
    <w:p>
      <w:pPr>
        <w:spacing w:line="560" w:lineRule="exact"/>
        <w:ind w:firstLine="480" w:firstLineChars="200"/>
        <w:rPr>
          <w:rFonts w:ascii="宋体" w:hAnsi="宋体" w:cs="宋体"/>
          <w:bCs/>
          <w:sz w:val="24"/>
        </w:rPr>
      </w:pPr>
      <w:r>
        <w:rPr>
          <w:rFonts w:hint="eastAsia" w:ascii="宋体" w:hAnsi="宋体" w:cs="宋体"/>
          <w:bCs/>
          <w:sz w:val="24"/>
        </w:rPr>
        <w:t>（6）检测主机与分机线路传输。</w:t>
      </w:r>
    </w:p>
    <w:p>
      <w:pPr>
        <w:spacing w:line="560" w:lineRule="exact"/>
        <w:ind w:firstLine="480" w:firstLineChars="200"/>
        <w:rPr>
          <w:rFonts w:ascii="宋体" w:hAnsi="宋体" w:cs="宋体"/>
          <w:bCs/>
          <w:sz w:val="24"/>
        </w:rPr>
      </w:pPr>
      <w:r>
        <w:rPr>
          <w:rFonts w:hint="eastAsia" w:ascii="宋体" w:hAnsi="宋体" w:cs="宋体"/>
          <w:bCs/>
          <w:sz w:val="24"/>
        </w:rPr>
        <w:t>现场设备</w:t>
      </w:r>
    </w:p>
    <w:p>
      <w:pPr>
        <w:spacing w:line="560" w:lineRule="exact"/>
        <w:ind w:firstLine="480" w:firstLineChars="200"/>
        <w:rPr>
          <w:rFonts w:ascii="宋体" w:hAnsi="宋体" w:cs="宋体"/>
          <w:bCs/>
          <w:sz w:val="24"/>
        </w:rPr>
      </w:pPr>
      <w:r>
        <w:rPr>
          <w:rFonts w:hint="eastAsia" w:ascii="宋体" w:hAnsi="宋体" w:cs="宋体"/>
          <w:bCs/>
          <w:sz w:val="24"/>
        </w:rPr>
        <w:t>（1）检测模块状态。</w:t>
      </w:r>
    </w:p>
    <w:p>
      <w:pPr>
        <w:spacing w:line="560" w:lineRule="exact"/>
        <w:ind w:firstLine="480" w:firstLineChars="200"/>
        <w:rPr>
          <w:rFonts w:ascii="宋体" w:hAnsi="宋体" w:cs="宋体"/>
          <w:bCs/>
          <w:sz w:val="24"/>
        </w:rPr>
      </w:pPr>
      <w:r>
        <w:rPr>
          <w:rFonts w:hint="eastAsia" w:ascii="宋体" w:hAnsi="宋体" w:cs="宋体"/>
          <w:bCs/>
          <w:sz w:val="24"/>
        </w:rPr>
        <w:t>（2）检测继电器状态。</w:t>
      </w:r>
    </w:p>
    <w:p>
      <w:pPr>
        <w:spacing w:line="560" w:lineRule="exact"/>
        <w:ind w:firstLine="480" w:firstLineChars="200"/>
        <w:rPr>
          <w:rFonts w:ascii="宋体" w:hAnsi="宋体" w:cs="宋体"/>
          <w:bCs/>
          <w:sz w:val="24"/>
        </w:rPr>
      </w:pPr>
      <w:r>
        <w:rPr>
          <w:rFonts w:hint="eastAsia" w:ascii="宋体" w:hAnsi="宋体" w:cs="宋体"/>
          <w:bCs/>
          <w:sz w:val="24"/>
        </w:rPr>
        <w:t>（3）检测点位接线状况。</w:t>
      </w:r>
    </w:p>
    <w:p>
      <w:pPr>
        <w:spacing w:line="560" w:lineRule="exact"/>
        <w:ind w:firstLine="480" w:firstLineChars="200"/>
        <w:rPr>
          <w:rFonts w:ascii="宋体" w:hAnsi="宋体" w:cs="宋体"/>
          <w:bCs/>
          <w:sz w:val="24"/>
        </w:rPr>
      </w:pPr>
      <w:r>
        <w:rPr>
          <w:rFonts w:hint="eastAsia" w:ascii="宋体" w:hAnsi="宋体" w:cs="宋体"/>
          <w:bCs/>
          <w:sz w:val="24"/>
        </w:rPr>
        <w:t>（4）检测强电与弱电是否隔离。</w:t>
      </w:r>
    </w:p>
    <w:p>
      <w:pPr>
        <w:spacing w:line="560" w:lineRule="exact"/>
        <w:ind w:firstLine="480" w:firstLineChars="200"/>
        <w:rPr>
          <w:rFonts w:ascii="宋体" w:hAnsi="宋体" w:cs="宋体"/>
          <w:bCs/>
          <w:sz w:val="24"/>
        </w:rPr>
      </w:pPr>
      <w:r>
        <w:rPr>
          <w:rFonts w:hint="eastAsia" w:ascii="宋体" w:hAnsi="宋体" w:cs="宋体"/>
          <w:bCs/>
          <w:sz w:val="24"/>
        </w:rPr>
        <w:t>（5）检测端子1，2供电电压。</w:t>
      </w:r>
    </w:p>
    <w:p>
      <w:pPr>
        <w:spacing w:line="560" w:lineRule="exact"/>
        <w:ind w:firstLine="480" w:firstLineChars="200"/>
        <w:rPr>
          <w:rFonts w:ascii="宋体" w:hAnsi="宋体" w:cs="宋体"/>
          <w:bCs/>
          <w:sz w:val="24"/>
        </w:rPr>
      </w:pPr>
      <w:r>
        <w:rPr>
          <w:rFonts w:hint="eastAsia" w:ascii="宋体" w:hAnsi="宋体" w:cs="宋体"/>
          <w:bCs/>
          <w:sz w:val="24"/>
        </w:rPr>
        <w:t>（6）检测模块DO点控制端接线无短路断路。</w:t>
      </w:r>
    </w:p>
    <w:p>
      <w:pPr>
        <w:spacing w:line="560" w:lineRule="exact"/>
        <w:ind w:firstLine="480" w:firstLineChars="200"/>
        <w:rPr>
          <w:rFonts w:ascii="宋体" w:hAnsi="宋体" w:cs="宋体"/>
          <w:bCs/>
          <w:sz w:val="24"/>
        </w:rPr>
      </w:pPr>
      <w:r>
        <w:rPr>
          <w:rFonts w:hint="eastAsia" w:ascii="宋体" w:hAnsi="宋体" w:cs="宋体"/>
          <w:bCs/>
          <w:sz w:val="24"/>
        </w:rPr>
        <w:t>（7）检测DO输出控制照明供电电压，线路无短接。</w:t>
      </w:r>
    </w:p>
    <w:p>
      <w:pPr>
        <w:spacing w:line="560" w:lineRule="exact"/>
        <w:ind w:firstLine="480" w:firstLineChars="200"/>
        <w:rPr>
          <w:rFonts w:ascii="宋体" w:hAnsi="宋体" w:cs="宋体"/>
          <w:bCs/>
          <w:sz w:val="24"/>
        </w:rPr>
      </w:pPr>
      <w:r>
        <w:rPr>
          <w:rFonts w:hint="eastAsia" w:ascii="宋体" w:hAnsi="宋体" w:cs="宋体"/>
          <w:bCs/>
          <w:sz w:val="24"/>
        </w:rPr>
        <w:t>（8）检测端子排无短接虚接。</w:t>
      </w:r>
    </w:p>
    <w:p>
      <w:pPr>
        <w:spacing w:line="560" w:lineRule="exact"/>
        <w:ind w:firstLine="480" w:firstLineChars="200"/>
        <w:rPr>
          <w:rFonts w:ascii="宋体" w:hAnsi="宋体" w:cs="宋体"/>
          <w:bCs/>
          <w:sz w:val="24"/>
        </w:rPr>
      </w:pPr>
      <w:r>
        <w:rPr>
          <w:rFonts w:hint="eastAsia" w:ascii="宋体" w:hAnsi="宋体" w:cs="宋体"/>
          <w:bCs/>
          <w:sz w:val="24"/>
        </w:rPr>
        <w:t>（9）检测DDC直接供电，LON模块变压器供电电压。</w:t>
      </w:r>
    </w:p>
    <w:p>
      <w:pPr>
        <w:spacing w:line="560" w:lineRule="exact"/>
        <w:ind w:firstLine="480" w:firstLineChars="200"/>
        <w:rPr>
          <w:rFonts w:ascii="宋体" w:hAnsi="宋体" w:cs="宋体"/>
          <w:bCs/>
          <w:sz w:val="24"/>
        </w:rPr>
      </w:pPr>
      <w:r>
        <w:rPr>
          <w:rFonts w:hint="eastAsia" w:ascii="宋体" w:hAnsi="宋体" w:cs="宋体"/>
          <w:bCs/>
          <w:sz w:val="24"/>
        </w:rPr>
        <w:t>（10）检测DDC中:B34为跳线接入。</w:t>
      </w:r>
    </w:p>
    <w:p>
      <w:pPr>
        <w:spacing w:line="560" w:lineRule="exact"/>
        <w:ind w:firstLine="480" w:firstLineChars="200"/>
        <w:rPr>
          <w:rFonts w:ascii="宋体" w:hAnsi="宋体" w:cs="宋体"/>
          <w:bCs/>
          <w:sz w:val="24"/>
        </w:rPr>
      </w:pPr>
      <w:r>
        <w:rPr>
          <w:rFonts w:hint="eastAsia" w:ascii="宋体" w:hAnsi="宋体" w:cs="宋体"/>
          <w:bCs/>
          <w:sz w:val="24"/>
        </w:rPr>
        <w:t>（11）检测DDC AI作DI使用接线：B31供电电压。</w:t>
      </w:r>
    </w:p>
    <w:p>
      <w:pPr>
        <w:spacing w:line="560" w:lineRule="exact"/>
        <w:ind w:firstLine="480" w:firstLineChars="200"/>
        <w:rPr>
          <w:rFonts w:ascii="宋体" w:hAnsi="宋体" w:cs="宋体"/>
          <w:bCs/>
          <w:sz w:val="24"/>
        </w:rPr>
      </w:pPr>
      <w:r>
        <w:rPr>
          <w:rFonts w:hint="eastAsia" w:ascii="宋体" w:hAnsi="宋体" w:cs="宋体"/>
          <w:bCs/>
          <w:sz w:val="24"/>
        </w:rPr>
        <w:t>（12）检测DI点接入。</w:t>
      </w:r>
    </w:p>
    <w:p>
      <w:pPr>
        <w:spacing w:line="560" w:lineRule="exact"/>
        <w:ind w:firstLine="480" w:firstLineChars="200"/>
        <w:rPr>
          <w:rFonts w:ascii="宋体" w:hAnsi="宋体" w:cs="宋体"/>
          <w:bCs/>
          <w:sz w:val="24"/>
        </w:rPr>
      </w:pPr>
      <w:r>
        <w:rPr>
          <w:rFonts w:hint="eastAsia" w:ascii="宋体" w:hAnsi="宋体" w:cs="宋体"/>
          <w:bCs/>
          <w:sz w:val="24"/>
        </w:rPr>
        <w:t>（13）检测AO点接线正确。</w:t>
      </w:r>
    </w:p>
    <w:p>
      <w:pPr>
        <w:spacing w:line="560" w:lineRule="exact"/>
        <w:ind w:firstLine="480" w:firstLineChars="200"/>
        <w:rPr>
          <w:rFonts w:ascii="宋体" w:hAnsi="宋体" w:cs="宋体"/>
          <w:bCs/>
          <w:sz w:val="24"/>
        </w:rPr>
      </w:pPr>
      <w:r>
        <w:rPr>
          <w:rFonts w:hint="eastAsia" w:ascii="宋体" w:hAnsi="宋体" w:cs="宋体"/>
          <w:bCs/>
          <w:sz w:val="24"/>
        </w:rPr>
        <w:t>（14）检测对外供电电压接线无短路。</w:t>
      </w:r>
    </w:p>
    <w:p>
      <w:pPr>
        <w:spacing w:line="560" w:lineRule="exact"/>
        <w:ind w:firstLine="480" w:firstLineChars="200"/>
        <w:rPr>
          <w:rFonts w:ascii="宋体" w:hAnsi="宋体" w:cs="宋体"/>
          <w:bCs/>
          <w:sz w:val="24"/>
        </w:rPr>
      </w:pPr>
      <w:r>
        <w:rPr>
          <w:rFonts w:hint="eastAsia" w:ascii="宋体" w:hAnsi="宋体" w:cs="宋体"/>
          <w:bCs/>
          <w:sz w:val="24"/>
        </w:rPr>
        <w:t>（15）清洁箱体及配线盘灰尘。</w:t>
      </w:r>
    </w:p>
    <w:p>
      <w:pPr>
        <w:spacing w:line="560" w:lineRule="exact"/>
        <w:ind w:firstLine="482" w:firstLineChars="200"/>
        <w:rPr>
          <w:rFonts w:ascii="宋体" w:hAnsi="宋体" w:cs="宋体"/>
          <w:b/>
          <w:sz w:val="24"/>
        </w:rPr>
      </w:pPr>
      <w:r>
        <w:rPr>
          <w:rFonts w:hint="eastAsia" w:ascii="宋体" w:hAnsi="宋体" w:cs="宋体"/>
          <w:b/>
          <w:sz w:val="24"/>
        </w:rPr>
        <w:t>6、培训活动室音响会议系统、信息发布系统</w:t>
      </w:r>
    </w:p>
    <w:p>
      <w:pPr>
        <w:spacing w:line="560" w:lineRule="exact"/>
        <w:ind w:firstLine="480" w:firstLineChars="200"/>
        <w:rPr>
          <w:rFonts w:ascii="宋体" w:hAnsi="宋体" w:cs="宋体"/>
          <w:bCs/>
          <w:sz w:val="24"/>
        </w:rPr>
      </w:pPr>
      <w:r>
        <w:rPr>
          <w:rFonts w:hint="eastAsia" w:ascii="宋体" w:hAnsi="宋体" w:cs="宋体"/>
          <w:bCs/>
          <w:sz w:val="24"/>
        </w:rPr>
        <w:t>（1）信号线链路、音频设备的检测、故障排除、隐患排查。</w:t>
      </w:r>
    </w:p>
    <w:p>
      <w:pPr>
        <w:spacing w:line="560" w:lineRule="exact"/>
        <w:ind w:firstLine="480" w:firstLineChars="200"/>
        <w:rPr>
          <w:rFonts w:ascii="宋体" w:hAnsi="宋体" w:cs="宋体"/>
          <w:bCs/>
          <w:sz w:val="24"/>
        </w:rPr>
      </w:pPr>
      <w:r>
        <w:rPr>
          <w:rFonts w:hint="eastAsia" w:ascii="宋体" w:hAnsi="宋体" w:cs="宋体"/>
          <w:bCs/>
          <w:sz w:val="24"/>
        </w:rPr>
        <w:t>（2）所有接口、线路接口的焊点的检测、零配件的更换等。</w:t>
      </w:r>
    </w:p>
    <w:p>
      <w:pPr>
        <w:spacing w:line="560" w:lineRule="exact"/>
        <w:ind w:firstLine="480" w:firstLineChars="200"/>
        <w:rPr>
          <w:rFonts w:ascii="宋体" w:hAnsi="宋体" w:cs="宋体"/>
          <w:bCs/>
          <w:sz w:val="24"/>
        </w:rPr>
      </w:pPr>
      <w:r>
        <w:rPr>
          <w:rFonts w:hint="eastAsia" w:ascii="宋体" w:hAnsi="宋体" w:cs="宋体"/>
          <w:bCs/>
          <w:sz w:val="24"/>
        </w:rPr>
        <w:t>（3）会议系统前端音箱清理、设备除尘、位置调整、设备维修及更换、 故障排除等。</w:t>
      </w:r>
    </w:p>
    <w:p>
      <w:pPr>
        <w:spacing w:line="560" w:lineRule="exact"/>
        <w:ind w:firstLine="480" w:firstLineChars="200"/>
        <w:rPr>
          <w:rFonts w:ascii="宋体" w:hAnsi="宋体" w:cs="宋体"/>
          <w:bCs/>
          <w:sz w:val="24"/>
        </w:rPr>
      </w:pPr>
      <w:r>
        <w:rPr>
          <w:rFonts w:hint="eastAsia" w:ascii="宋体" w:hAnsi="宋体" w:cs="宋体"/>
          <w:bCs/>
          <w:sz w:val="24"/>
        </w:rPr>
        <w:t>（4）核心设备检测、设备除尘、系统维护、设备维护、系统扩容、故障排除等。</w:t>
      </w:r>
    </w:p>
    <w:p>
      <w:pPr>
        <w:spacing w:line="560" w:lineRule="exact"/>
        <w:ind w:firstLine="480" w:firstLineChars="200"/>
        <w:rPr>
          <w:rFonts w:ascii="宋体" w:hAnsi="宋体" w:cs="宋体"/>
          <w:sz w:val="24"/>
        </w:rPr>
      </w:pPr>
      <w:r>
        <w:rPr>
          <w:rFonts w:hint="eastAsia" w:ascii="宋体" w:hAnsi="宋体" w:cs="宋体"/>
          <w:bCs/>
          <w:sz w:val="24"/>
        </w:rPr>
        <w:t>（5）会议系统软件检测、软件升级、软件维护、数据备份、故障排除等。</w:t>
      </w:r>
    </w:p>
    <w:p>
      <w:pPr>
        <w:spacing w:line="560" w:lineRule="exact"/>
        <w:ind w:firstLine="482" w:firstLineChars="200"/>
        <w:rPr>
          <w:rFonts w:ascii="宋体" w:hAnsi="宋体" w:cs="宋体"/>
          <w:b/>
          <w:sz w:val="24"/>
        </w:rPr>
      </w:pPr>
      <w:r>
        <w:rPr>
          <w:rFonts w:hint="eastAsia" w:ascii="宋体" w:hAnsi="宋体" w:cs="宋体"/>
          <w:b/>
          <w:sz w:val="24"/>
        </w:rPr>
        <w:t>7、智能照明及外景照明系统</w:t>
      </w:r>
    </w:p>
    <w:p>
      <w:pPr>
        <w:spacing w:line="560" w:lineRule="exact"/>
        <w:ind w:firstLine="480" w:firstLineChars="200"/>
        <w:rPr>
          <w:rFonts w:ascii="宋体" w:hAnsi="宋体" w:cs="宋体"/>
          <w:bCs/>
          <w:sz w:val="24"/>
        </w:rPr>
      </w:pPr>
      <w:r>
        <w:rPr>
          <w:rFonts w:hint="eastAsia" w:ascii="宋体" w:hAnsi="宋体" w:cs="宋体"/>
          <w:bCs/>
          <w:sz w:val="24"/>
        </w:rPr>
        <w:t>根据实际需求自动调节照明亮度、色温等参数。维保内容包括：</w:t>
      </w:r>
    </w:p>
    <w:p>
      <w:pPr>
        <w:spacing w:line="560" w:lineRule="exact"/>
        <w:ind w:firstLine="480" w:firstLineChars="200"/>
        <w:rPr>
          <w:rFonts w:ascii="宋体" w:hAnsi="宋体" w:cs="宋体"/>
          <w:bCs/>
          <w:sz w:val="24"/>
        </w:rPr>
      </w:pPr>
      <w:r>
        <w:rPr>
          <w:rFonts w:hint="eastAsia" w:ascii="宋体" w:hAnsi="宋体" w:cs="宋体"/>
          <w:bCs/>
          <w:sz w:val="24"/>
        </w:rPr>
        <w:t>（1）定期检查智能照明设备的运行状态，确保设备正常运行;</w:t>
      </w:r>
    </w:p>
    <w:p>
      <w:pPr>
        <w:spacing w:line="560" w:lineRule="exact"/>
        <w:ind w:firstLine="480" w:firstLineChars="200"/>
        <w:rPr>
          <w:rFonts w:ascii="宋体" w:hAnsi="宋体" w:cs="宋体"/>
          <w:bCs/>
          <w:sz w:val="24"/>
        </w:rPr>
      </w:pPr>
      <w:r>
        <w:rPr>
          <w:rFonts w:hint="eastAsia" w:ascii="宋体" w:hAnsi="宋体" w:cs="宋体"/>
          <w:bCs/>
          <w:sz w:val="24"/>
        </w:rPr>
        <w:t>（2）定期对智能照明设备进行清洁和维护，延长设备的使用寿命;</w:t>
      </w:r>
    </w:p>
    <w:p>
      <w:pPr>
        <w:spacing w:line="560" w:lineRule="exact"/>
        <w:ind w:firstLine="480" w:firstLineChars="200"/>
        <w:rPr>
          <w:rFonts w:ascii="宋体" w:hAnsi="宋体" w:cs="宋体"/>
          <w:bCs/>
          <w:sz w:val="24"/>
        </w:rPr>
      </w:pPr>
      <w:r>
        <w:rPr>
          <w:rFonts w:hint="eastAsia" w:ascii="宋体" w:hAnsi="宋体" w:cs="宋体"/>
          <w:bCs/>
          <w:sz w:val="24"/>
        </w:rPr>
        <w:t>（3）定期对智能照明系统进行软件更新和漏洞修补，提高系统的安全性;</w:t>
      </w:r>
    </w:p>
    <w:p>
      <w:pPr>
        <w:spacing w:line="560" w:lineRule="exact"/>
        <w:ind w:firstLine="480" w:firstLineChars="200"/>
        <w:rPr>
          <w:rFonts w:ascii="宋体" w:hAnsi="宋体" w:cs="宋体"/>
          <w:bCs/>
          <w:sz w:val="24"/>
        </w:rPr>
      </w:pPr>
      <w:r>
        <w:rPr>
          <w:rFonts w:hint="eastAsia" w:ascii="宋体" w:hAnsi="宋体" w:cs="宋体"/>
          <w:bCs/>
          <w:sz w:val="24"/>
        </w:rPr>
        <w:t>（4）定期对智能照明设备进行测试和调试，确保照明效果的舒适性和节能性。</w:t>
      </w:r>
    </w:p>
    <w:p>
      <w:pPr>
        <w:spacing w:line="560" w:lineRule="exact"/>
        <w:ind w:firstLine="482" w:firstLineChars="200"/>
        <w:rPr>
          <w:rFonts w:ascii="宋体" w:hAnsi="宋体" w:cs="宋体"/>
          <w:b/>
          <w:sz w:val="24"/>
        </w:rPr>
      </w:pPr>
      <w:r>
        <w:rPr>
          <w:rFonts w:hint="eastAsia" w:ascii="宋体" w:hAnsi="宋体" w:cs="宋体"/>
          <w:b/>
          <w:sz w:val="24"/>
        </w:rPr>
        <w:t>五、维保要求　</w:t>
      </w:r>
    </w:p>
    <w:p>
      <w:pPr>
        <w:spacing w:line="560" w:lineRule="exact"/>
        <w:ind w:firstLine="480" w:firstLineChars="200"/>
        <w:rPr>
          <w:rFonts w:ascii="宋体" w:hAnsi="宋体" w:cs="宋体"/>
          <w:bCs/>
          <w:sz w:val="24"/>
        </w:rPr>
      </w:pPr>
      <w:r>
        <w:rPr>
          <w:rFonts w:hint="eastAsia" w:ascii="宋体" w:hAnsi="宋体" w:cs="宋体"/>
          <w:bCs/>
          <w:sz w:val="24"/>
        </w:rPr>
        <w:t>1、对各个系统严格管理，建立维修保养规则，认真监测系统运行状况，随时记录异常情况，及时报修。</w:t>
      </w:r>
    </w:p>
    <w:p>
      <w:pPr>
        <w:spacing w:line="560" w:lineRule="exact"/>
        <w:ind w:firstLine="480" w:firstLineChars="200"/>
        <w:rPr>
          <w:rFonts w:ascii="宋体" w:hAnsi="宋体" w:cs="宋体"/>
          <w:bCs/>
          <w:sz w:val="24"/>
        </w:rPr>
      </w:pPr>
      <w:r>
        <w:rPr>
          <w:rFonts w:hint="eastAsia" w:ascii="宋体" w:hAnsi="宋体" w:cs="宋体"/>
          <w:bCs/>
          <w:sz w:val="24"/>
        </w:rPr>
        <w:t>2、按国家有关规范和要求派专业人员对系统定期检查、测试、保养、维修，确保设备正常运行。</w:t>
      </w:r>
    </w:p>
    <w:p>
      <w:pPr>
        <w:spacing w:line="560" w:lineRule="exact"/>
        <w:ind w:firstLine="480" w:firstLineChars="200"/>
        <w:rPr>
          <w:rFonts w:ascii="宋体" w:hAnsi="宋体" w:cs="宋体"/>
          <w:bCs/>
          <w:sz w:val="24"/>
        </w:rPr>
      </w:pPr>
      <w:r>
        <w:rPr>
          <w:rFonts w:hint="eastAsia" w:ascii="宋体" w:hAnsi="宋体" w:cs="宋体"/>
          <w:bCs/>
          <w:sz w:val="24"/>
        </w:rPr>
        <w:t>（1）根据工作需要和设备设施状态，每周对各系统设施设备，包括但不限于以下设备：摄像机、手动报警按钮、红外探测器、传输设备、存储设备、终端显示、核心服务器等设备进行检查维修保养。维修保养结束后必须清理现场，恢复现场原样。</w:t>
      </w:r>
    </w:p>
    <w:p>
      <w:pPr>
        <w:spacing w:line="560" w:lineRule="exact"/>
        <w:ind w:firstLine="480" w:firstLineChars="200"/>
        <w:rPr>
          <w:rFonts w:ascii="宋体" w:hAnsi="宋体" w:cs="宋体"/>
          <w:bCs/>
          <w:sz w:val="24"/>
        </w:rPr>
      </w:pPr>
      <w:r>
        <w:rPr>
          <w:rFonts w:hint="eastAsia" w:ascii="宋体" w:hAnsi="宋体" w:cs="宋体"/>
          <w:bCs/>
          <w:sz w:val="24"/>
        </w:rPr>
        <w:t>（2）每半月一次对中控室设备、弱电竖井内安防设备的除尘、清理。</w:t>
      </w:r>
    </w:p>
    <w:p>
      <w:pPr>
        <w:spacing w:line="560" w:lineRule="exact"/>
        <w:ind w:firstLine="480" w:firstLineChars="200"/>
        <w:rPr>
          <w:rFonts w:ascii="宋体" w:hAnsi="宋体" w:cs="宋体"/>
          <w:bCs/>
          <w:sz w:val="24"/>
        </w:rPr>
      </w:pPr>
      <w:r>
        <w:rPr>
          <w:rFonts w:hint="eastAsia" w:ascii="宋体" w:hAnsi="宋体" w:cs="宋体"/>
          <w:bCs/>
          <w:sz w:val="24"/>
        </w:rPr>
        <w:t>（3）每月一次对前端摄像机、防护罩、手动报警按钮、红外探测器等部件进行清洗。</w:t>
      </w:r>
    </w:p>
    <w:p>
      <w:pPr>
        <w:spacing w:line="560" w:lineRule="exact"/>
        <w:ind w:firstLine="480" w:firstLineChars="200"/>
        <w:rPr>
          <w:rFonts w:ascii="宋体" w:hAnsi="宋体" w:cs="宋体"/>
          <w:bCs/>
          <w:sz w:val="24"/>
        </w:rPr>
      </w:pPr>
      <w:r>
        <w:rPr>
          <w:rFonts w:hint="eastAsia" w:ascii="宋体" w:hAnsi="宋体" w:cs="宋体"/>
          <w:bCs/>
          <w:sz w:val="24"/>
        </w:rPr>
        <w:t>（4）每半月对易吸尘部位清理一次。</w:t>
      </w:r>
    </w:p>
    <w:p>
      <w:pPr>
        <w:spacing w:line="560" w:lineRule="exact"/>
        <w:ind w:firstLine="480" w:firstLineChars="200"/>
        <w:rPr>
          <w:rFonts w:ascii="宋体" w:hAnsi="宋体" w:cs="宋体"/>
          <w:bCs/>
          <w:sz w:val="24"/>
        </w:rPr>
      </w:pPr>
      <w:r>
        <w:rPr>
          <w:rFonts w:hint="eastAsia" w:ascii="宋体" w:hAnsi="宋体" w:cs="宋体"/>
          <w:bCs/>
          <w:sz w:val="24"/>
        </w:rPr>
        <w:t>（5）每半月一次派专业维修人员到现场对各系统设备、中控室、弱电竖井进行一次检查和维护并认真填写巡检记录表。</w:t>
      </w:r>
    </w:p>
    <w:p>
      <w:pPr>
        <w:spacing w:line="560" w:lineRule="exact"/>
        <w:ind w:firstLine="480" w:firstLineChars="200"/>
        <w:rPr>
          <w:rFonts w:ascii="宋体" w:hAnsi="宋体" w:cs="宋体"/>
          <w:bCs/>
          <w:sz w:val="24"/>
        </w:rPr>
      </w:pPr>
      <w:r>
        <w:rPr>
          <w:rFonts w:hint="eastAsia" w:ascii="宋体" w:hAnsi="宋体" w:cs="宋体"/>
          <w:bCs/>
          <w:sz w:val="24"/>
        </w:rPr>
        <w:t>（6）根据各系统设施设备各部分设备的使用说明，每月度检测其各项技术参数及安防系统传输线路质量，处理故障隐患，协助甲方设定使用级别等各种数据，确保各部分设备各项功能良好，能够正常运行。</w:t>
      </w:r>
    </w:p>
    <w:p>
      <w:pPr>
        <w:spacing w:line="560" w:lineRule="exact"/>
        <w:ind w:firstLine="480" w:firstLineChars="200"/>
        <w:rPr>
          <w:rFonts w:ascii="宋体" w:hAnsi="宋体" w:cs="宋体"/>
          <w:bCs/>
          <w:sz w:val="24"/>
        </w:rPr>
      </w:pPr>
      <w:r>
        <w:rPr>
          <w:rFonts w:hint="eastAsia" w:ascii="宋体" w:hAnsi="宋体" w:cs="宋体"/>
          <w:bCs/>
          <w:sz w:val="24"/>
        </w:rPr>
        <w:t>（7）对容易老化的各系统设施设备部件每月度进行一次全面检查，并检测电源插板随着设备增加是否过载，做好电路检查。</w:t>
      </w:r>
    </w:p>
    <w:p>
      <w:pPr>
        <w:spacing w:line="560" w:lineRule="exact"/>
        <w:ind w:firstLine="480" w:firstLineChars="200"/>
        <w:rPr>
          <w:rFonts w:ascii="宋体" w:hAnsi="宋体" w:cs="宋体"/>
          <w:bCs/>
          <w:sz w:val="24"/>
        </w:rPr>
      </w:pPr>
      <w:r>
        <w:rPr>
          <w:rFonts w:hint="eastAsia" w:ascii="宋体" w:hAnsi="宋体" w:cs="宋体"/>
          <w:bCs/>
          <w:sz w:val="24"/>
        </w:rPr>
        <w:t>（8）掌握各系统设施设备运行情况，及时提醒更换老旧设备，保证整体系统运行正常。</w:t>
      </w:r>
    </w:p>
    <w:p>
      <w:pPr>
        <w:spacing w:line="560" w:lineRule="exact"/>
        <w:ind w:firstLine="480" w:firstLineChars="200"/>
        <w:rPr>
          <w:rFonts w:ascii="宋体" w:hAnsi="宋体" w:cs="宋体"/>
          <w:bCs/>
          <w:sz w:val="24"/>
        </w:rPr>
      </w:pPr>
      <w:r>
        <w:rPr>
          <w:rFonts w:hint="eastAsia" w:ascii="宋体" w:hAnsi="宋体" w:cs="宋体"/>
          <w:bCs/>
          <w:sz w:val="24"/>
        </w:rPr>
        <w:t>（9）对各系统设施设备的运行情况进行监控，分析运行情况。</w:t>
      </w:r>
    </w:p>
    <w:p>
      <w:pPr>
        <w:spacing w:line="560" w:lineRule="exact"/>
        <w:ind w:firstLine="480" w:firstLineChars="200"/>
        <w:rPr>
          <w:rFonts w:ascii="宋体" w:hAnsi="宋体" w:cs="宋体"/>
          <w:bCs/>
          <w:sz w:val="24"/>
        </w:rPr>
      </w:pPr>
      <w:r>
        <w:rPr>
          <w:rFonts w:hint="eastAsia" w:ascii="宋体" w:hAnsi="宋体" w:cs="宋体"/>
          <w:bCs/>
          <w:sz w:val="24"/>
        </w:rPr>
        <w:t>（10）每季度定期对各系统设施设备进行优化。提供每季度一次的系统性能检测。</w:t>
      </w:r>
    </w:p>
    <w:p>
      <w:pPr>
        <w:spacing w:line="560" w:lineRule="exact"/>
        <w:ind w:firstLine="480" w:firstLineChars="200"/>
        <w:rPr>
          <w:rFonts w:ascii="宋体" w:hAnsi="宋体" w:cs="宋体"/>
          <w:bCs/>
          <w:sz w:val="24"/>
        </w:rPr>
      </w:pPr>
      <w:r>
        <w:rPr>
          <w:rFonts w:hint="eastAsia" w:ascii="宋体" w:hAnsi="宋体" w:cs="宋体"/>
          <w:bCs/>
          <w:sz w:val="24"/>
        </w:rPr>
        <w:t>（11）提供技术培训，并建立相关培训记录。</w:t>
      </w:r>
    </w:p>
    <w:p>
      <w:pPr>
        <w:spacing w:line="560" w:lineRule="exact"/>
        <w:ind w:firstLine="480" w:firstLineChars="200"/>
        <w:rPr>
          <w:rFonts w:ascii="宋体" w:hAnsi="宋体" w:cs="宋体"/>
          <w:bCs/>
          <w:sz w:val="24"/>
        </w:rPr>
      </w:pPr>
      <w:r>
        <w:rPr>
          <w:rFonts w:hint="eastAsia" w:ascii="宋体" w:hAnsi="宋体" w:cs="宋体"/>
          <w:bCs/>
          <w:sz w:val="24"/>
        </w:rPr>
        <w:t>（12）根据要求设置各系统检查表格，按照表格定期检查。</w:t>
      </w:r>
    </w:p>
    <w:p>
      <w:pPr>
        <w:spacing w:line="560" w:lineRule="exact"/>
        <w:ind w:firstLine="480" w:firstLineChars="200"/>
        <w:rPr>
          <w:rFonts w:ascii="宋体" w:hAnsi="宋体" w:cs="宋体"/>
          <w:bCs/>
          <w:sz w:val="24"/>
        </w:rPr>
      </w:pPr>
      <w:r>
        <w:rPr>
          <w:rFonts w:hint="eastAsia" w:ascii="宋体" w:hAnsi="宋体" w:cs="宋体"/>
          <w:bCs/>
          <w:sz w:val="24"/>
        </w:rPr>
        <w:t>（13）根据需求年度内提供重大会议和活动系统保障服务，保障人员每次不少于2人。</w:t>
      </w:r>
    </w:p>
    <w:p>
      <w:pPr>
        <w:spacing w:line="560" w:lineRule="exact"/>
        <w:ind w:firstLine="480" w:firstLineChars="200"/>
        <w:rPr>
          <w:rFonts w:ascii="宋体" w:hAnsi="宋体" w:cs="宋体"/>
          <w:bCs/>
          <w:sz w:val="24"/>
        </w:rPr>
      </w:pPr>
      <w:r>
        <w:rPr>
          <w:rFonts w:hint="eastAsia" w:ascii="宋体" w:hAnsi="宋体" w:cs="宋体"/>
          <w:bCs/>
          <w:sz w:val="24"/>
        </w:rPr>
        <w:t>（14）根据技术发展，与实际项目相结合，根据当前最先进的软件版本、硬件技术，提供最实用的升级建议，以确保系统始终保持先进性和稳定性。</w:t>
      </w:r>
    </w:p>
    <w:p>
      <w:pPr>
        <w:spacing w:line="560" w:lineRule="exact"/>
        <w:ind w:firstLine="480" w:firstLineChars="200"/>
        <w:rPr>
          <w:rFonts w:ascii="宋体" w:hAnsi="宋体" w:cs="宋体"/>
          <w:bCs/>
          <w:sz w:val="24"/>
        </w:rPr>
      </w:pPr>
      <w:r>
        <w:rPr>
          <w:rFonts w:hint="eastAsia" w:ascii="宋体" w:hAnsi="宋体" w:cs="宋体"/>
          <w:bCs/>
          <w:sz w:val="24"/>
        </w:rPr>
        <w:t>（15）维保人员在合同存续期间应当遵守甲方各项管理制度外，加强自身安全管理和防护。</w:t>
      </w:r>
    </w:p>
    <w:p>
      <w:pPr>
        <w:spacing w:line="560" w:lineRule="exact"/>
        <w:ind w:firstLine="480" w:firstLineChars="200"/>
        <w:rPr>
          <w:rFonts w:ascii="宋体" w:hAnsi="宋体" w:cs="宋体"/>
          <w:bCs/>
          <w:sz w:val="24"/>
        </w:rPr>
      </w:pPr>
      <w:r>
        <w:rPr>
          <w:rFonts w:hint="eastAsia" w:ascii="宋体" w:hAnsi="宋体" w:cs="宋体"/>
          <w:bCs/>
          <w:sz w:val="24"/>
        </w:rPr>
        <w:t>（16）安防和楼控设施设备出现故障，需要返厂维修时，维保单位提供备件保证系统正常运行，直至故障设备维修完毕。具备挪移监控镜头，并对软件进行配置的能力，进行故障的检查诊断。</w:t>
      </w:r>
    </w:p>
    <w:p>
      <w:pPr>
        <w:spacing w:line="560" w:lineRule="exact"/>
        <w:ind w:firstLine="480" w:firstLineChars="200"/>
        <w:rPr>
          <w:rFonts w:ascii="宋体" w:hAnsi="宋体" w:cs="宋体"/>
          <w:bCs/>
          <w:sz w:val="24"/>
        </w:rPr>
      </w:pPr>
      <w:r>
        <w:rPr>
          <w:rFonts w:hint="eastAsia" w:ascii="宋体" w:hAnsi="宋体" w:cs="宋体"/>
          <w:bCs/>
          <w:sz w:val="24"/>
        </w:rPr>
        <w:t>（17）积极配合完成与安防和楼控系统相关工作。</w:t>
      </w:r>
    </w:p>
    <w:p>
      <w:pPr>
        <w:spacing w:line="560" w:lineRule="exact"/>
        <w:ind w:firstLine="480" w:firstLineChars="200"/>
        <w:rPr>
          <w:rFonts w:ascii="宋体" w:hAnsi="宋体" w:cs="宋体"/>
          <w:bCs/>
          <w:sz w:val="24"/>
        </w:rPr>
      </w:pPr>
      <w:r>
        <w:rPr>
          <w:rFonts w:hint="eastAsia" w:ascii="宋体" w:hAnsi="宋体" w:cs="宋体"/>
          <w:bCs/>
          <w:sz w:val="24"/>
        </w:rPr>
        <w:t>（18）当甲方安防设施设备出现故障，需要返厂维修时，乙方提供备件保证系统正常运行，直至故障设备维修完毕。</w:t>
      </w:r>
    </w:p>
    <w:p>
      <w:pPr>
        <w:spacing w:line="560" w:lineRule="exact"/>
        <w:ind w:firstLine="480" w:firstLineChars="200"/>
        <w:rPr>
          <w:rFonts w:ascii="宋体" w:hAnsi="宋体" w:cs="宋体"/>
          <w:bCs/>
          <w:sz w:val="24"/>
        </w:rPr>
      </w:pPr>
      <w:r>
        <w:rPr>
          <w:rFonts w:hint="eastAsia" w:ascii="宋体" w:hAnsi="宋体" w:cs="宋体"/>
          <w:bCs/>
          <w:sz w:val="24"/>
        </w:rPr>
        <w:t>3、服务响应请求</w:t>
      </w:r>
    </w:p>
    <w:p>
      <w:pPr>
        <w:spacing w:line="560" w:lineRule="exact"/>
        <w:ind w:firstLine="480" w:firstLineChars="200"/>
        <w:rPr>
          <w:rFonts w:ascii="宋体" w:hAnsi="宋体" w:cs="宋体"/>
          <w:bCs/>
          <w:sz w:val="24"/>
        </w:rPr>
      </w:pPr>
      <w:r>
        <w:rPr>
          <w:rFonts w:hint="eastAsia" w:ascii="宋体" w:hAnsi="宋体" w:cs="宋体"/>
          <w:bCs/>
          <w:sz w:val="24"/>
        </w:rPr>
        <w:t>（1）提供365天×24小时维保热线，技术人员即时响应；电话响应无法解决问题的派专业工程师到达现场。</w:t>
      </w:r>
    </w:p>
    <w:p>
      <w:pPr>
        <w:spacing w:line="560" w:lineRule="exact"/>
        <w:ind w:firstLine="480" w:firstLineChars="200"/>
        <w:rPr>
          <w:rFonts w:ascii="宋体" w:hAnsi="宋体" w:cs="宋体"/>
          <w:bCs/>
          <w:sz w:val="24"/>
        </w:rPr>
      </w:pPr>
      <w:r>
        <w:rPr>
          <w:rFonts w:hint="eastAsia" w:ascii="宋体" w:hAnsi="宋体" w:cs="宋体"/>
          <w:bCs/>
          <w:sz w:val="24"/>
        </w:rPr>
        <w:t>（2）维保技术人员对故障进行诊断后，按紧急程度不同划分，最迟在24小时提交解决方案。</w:t>
      </w:r>
    </w:p>
    <w:p>
      <w:pPr>
        <w:spacing w:line="560" w:lineRule="exact"/>
        <w:ind w:firstLine="480" w:firstLineChars="200"/>
        <w:rPr>
          <w:rFonts w:ascii="宋体" w:hAnsi="宋体" w:cs="宋体"/>
          <w:bCs/>
          <w:sz w:val="24"/>
        </w:rPr>
      </w:pPr>
      <w:r>
        <w:rPr>
          <w:rFonts w:hint="eastAsia" w:ascii="宋体" w:hAnsi="宋体" w:cs="宋体"/>
          <w:bCs/>
          <w:sz w:val="24"/>
        </w:rPr>
        <w:t>（3）维保技术人员到达现场后持续工作直到设备正常运行，一般故障在24小时内修复：如需等待购买配件或因设备本身等原因不能及时修复的，24小时内提供不低于故障设备规格型号档次的备用设备供甲方使用，直至故障设备修复。</w:t>
      </w:r>
    </w:p>
    <w:p>
      <w:pPr>
        <w:spacing w:line="560" w:lineRule="exact"/>
        <w:ind w:firstLine="480" w:firstLineChars="200"/>
        <w:rPr>
          <w:rFonts w:ascii="宋体" w:hAnsi="宋体" w:cs="宋体"/>
          <w:bCs/>
          <w:sz w:val="24"/>
        </w:rPr>
      </w:pPr>
      <w:r>
        <w:rPr>
          <w:rFonts w:hint="eastAsia" w:ascii="宋体" w:hAnsi="宋体" w:cs="宋体"/>
          <w:bCs/>
          <w:sz w:val="24"/>
        </w:rPr>
        <w:t>（4）系统或设备修复后由甲方相关人员确认，填写记录表。</w:t>
      </w:r>
    </w:p>
    <w:p>
      <w:pPr>
        <w:spacing w:line="560" w:lineRule="exact"/>
        <w:ind w:firstLine="480" w:firstLineChars="200"/>
        <w:rPr>
          <w:rFonts w:ascii="宋体" w:hAnsi="宋体" w:cs="宋体"/>
          <w:bCs/>
          <w:sz w:val="24"/>
        </w:rPr>
      </w:pPr>
      <w:r>
        <w:rPr>
          <w:rFonts w:hint="eastAsia" w:ascii="宋体" w:hAnsi="宋体" w:cs="宋体"/>
          <w:bCs/>
          <w:sz w:val="24"/>
        </w:rPr>
        <w:t>4、设备更换</w:t>
      </w:r>
    </w:p>
    <w:p>
      <w:pPr>
        <w:spacing w:line="560" w:lineRule="exact"/>
        <w:ind w:firstLine="480" w:firstLineChars="200"/>
        <w:rPr>
          <w:rFonts w:ascii="宋体" w:hAnsi="宋体" w:cs="宋体"/>
          <w:bCs/>
          <w:sz w:val="24"/>
        </w:rPr>
      </w:pPr>
      <w:r>
        <w:rPr>
          <w:rFonts w:hint="eastAsia" w:ascii="宋体" w:hAnsi="宋体" w:cs="宋体"/>
          <w:bCs/>
          <w:sz w:val="24"/>
        </w:rPr>
        <w:t>（1）维护保养过程中需购买、更换设备或配件的，应事先向甲方报告，由甲方代表签字确认后，方可进行维修或更换。为了确保系统或设备正常运行，应立即修复需立即更换设备或配件的，必须在事后及时向甲方报告，更换后的损坏件应交由甲方查验和保存。更换的设备（或器件）的型号参数不低于原设备（或器件）型号参数，并记入设备维修（更换）记录单。</w:t>
      </w:r>
    </w:p>
    <w:p>
      <w:pPr>
        <w:spacing w:line="560" w:lineRule="exact"/>
        <w:ind w:firstLine="480" w:firstLineChars="200"/>
        <w:rPr>
          <w:rFonts w:ascii="宋体" w:hAnsi="宋体" w:cs="宋体"/>
          <w:bCs/>
          <w:sz w:val="24"/>
        </w:rPr>
      </w:pPr>
      <w:r>
        <w:rPr>
          <w:rFonts w:hint="eastAsia" w:ascii="宋体" w:hAnsi="宋体" w:cs="宋体"/>
          <w:bCs/>
          <w:sz w:val="24"/>
        </w:rPr>
        <w:t>（2）在更换设备施工过程中如需进行特种作业施工，乙方工作人员必须持有特种作业证。</w:t>
      </w:r>
    </w:p>
    <w:p>
      <w:pPr>
        <w:spacing w:line="560" w:lineRule="exact"/>
        <w:ind w:firstLine="480" w:firstLineChars="200"/>
        <w:rPr>
          <w:rFonts w:ascii="宋体" w:hAnsi="宋体" w:cs="宋体"/>
          <w:bCs/>
          <w:sz w:val="24"/>
        </w:rPr>
      </w:pPr>
      <w:r>
        <w:rPr>
          <w:rFonts w:hint="eastAsia" w:ascii="宋体" w:hAnsi="宋体" w:cs="宋体"/>
          <w:bCs/>
          <w:sz w:val="24"/>
        </w:rPr>
        <w:t>（3）每月向甲方提交详细的工作计划与工作安排，对每次检修、保养工作要认真做好记录，并交甲方相关人员签字。</w:t>
      </w:r>
    </w:p>
    <w:p>
      <w:pPr>
        <w:spacing w:line="560" w:lineRule="exact"/>
        <w:ind w:firstLine="480" w:firstLineChars="200"/>
        <w:rPr>
          <w:rFonts w:ascii="宋体" w:hAnsi="宋体" w:cs="宋体"/>
          <w:bCs/>
          <w:sz w:val="24"/>
        </w:rPr>
      </w:pPr>
      <w:r>
        <w:rPr>
          <w:rFonts w:hint="eastAsia" w:ascii="宋体" w:hAnsi="宋体" w:cs="宋体"/>
          <w:bCs/>
          <w:sz w:val="24"/>
        </w:rPr>
        <w:t>（4）切实加强现场管理，确保安全生产，在检修保修中发生人身、设备及第三者事故，甲方不承担任何责任。</w:t>
      </w:r>
    </w:p>
    <w:p>
      <w:pPr>
        <w:spacing w:line="560" w:lineRule="exact"/>
        <w:ind w:firstLine="480" w:firstLineChars="200"/>
        <w:rPr>
          <w:rFonts w:ascii="宋体" w:hAnsi="宋体" w:cs="宋体"/>
          <w:bCs/>
          <w:sz w:val="24"/>
        </w:rPr>
      </w:pPr>
      <w:r>
        <w:rPr>
          <w:rFonts w:hint="eastAsia" w:ascii="宋体" w:hAnsi="宋体" w:cs="宋体"/>
          <w:bCs/>
          <w:sz w:val="24"/>
        </w:rPr>
        <w:t>（5）维保技术人员对相关信息进行查询、下载，不得泄露甲方工作秘密。</w:t>
      </w:r>
    </w:p>
    <w:p>
      <w:pPr>
        <w:spacing w:line="560" w:lineRule="exact"/>
        <w:ind w:firstLine="480" w:firstLineChars="200"/>
        <w:rPr>
          <w:rFonts w:ascii="宋体" w:hAnsi="宋体" w:cs="宋体"/>
          <w:bCs/>
          <w:sz w:val="24"/>
        </w:rPr>
      </w:pPr>
      <w:r>
        <w:rPr>
          <w:rFonts w:hint="eastAsia" w:ascii="宋体" w:hAnsi="宋体" w:cs="宋体"/>
          <w:bCs/>
          <w:sz w:val="24"/>
        </w:rPr>
        <w:t>5、维修、更换设备费用</w:t>
      </w:r>
    </w:p>
    <w:p>
      <w:pPr>
        <w:spacing w:line="560" w:lineRule="exact"/>
        <w:ind w:firstLine="480" w:firstLineChars="200"/>
        <w:rPr>
          <w:rFonts w:ascii="宋体" w:hAnsi="宋体" w:cs="宋体"/>
          <w:bCs/>
          <w:sz w:val="24"/>
        </w:rPr>
      </w:pPr>
      <w:r>
        <w:rPr>
          <w:rFonts w:hint="eastAsia" w:ascii="宋体" w:hAnsi="宋体" w:cs="宋体"/>
          <w:bCs/>
          <w:sz w:val="24"/>
        </w:rPr>
        <w:t>（1）维保期间维保服务期间如有设备损坏，在甲方有备件时更换备件解决。所有设备在正常使用下发生损坏，由乙方负责更换，设备及配件费用的市场价1000元以内的由乙方自行承担。如有设备损坏需拆下送厂维修，则以厂家服务为准。</w:t>
      </w:r>
    </w:p>
    <w:p>
      <w:pPr>
        <w:spacing w:line="560" w:lineRule="exact"/>
        <w:ind w:firstLine="480" w:firstLineChars="200"/>
        <w:rPr>
          <w:rFonts w:ascii="宋体" w:hAnsi="宋体" w:cs="宋体"/>
          <w:bCs/>
          <w:sz w:val="24"/>
        </w:rPr>
      </w:pPr>
      <w:r>
        <w:rPr>
          <w:rFonts w:hint="eastAsia" w:ascii="宋体" w:hAnsi="宋体" w:cs="宋体"/>
          <w:bCs/>
          <w:sz w:val="24"/>
        </w:rPr>
        <w:t>（2）为保障所有系统稳定性，新更换设备需与系统兼容并可以正常运行，更换的设备及配件质保时间不得少于12个月。</w:t>
      </w:r>
    </w:p>
    <w:p>
      <w:pPr>
        <w:spacing w:line="560" w:lineRule="exact"/>
        <w:ind w:firstLine="422" w:firstLineChars="175"/>
        <w:rPr>
          <w:rFonts w:ascii="宋体" w:hAnsi="宋体" w:cs="宋体"/>
          <w:b/>
          <w:sz w:val="24"/>
        </w:rPr>
      </w:pPr>
      <w:r>
        <w:rPr>
          <w:rFonts w:hint="eastAsia" w:ascii="宋体" w:hAnsi="宋体" w:cs="宋体"/>
          <w:b/>
          <w:sz w:val="24"/>
        </w:rPr>
        <w:t xml:space="preserve">  六、服务期限：1年。</w:t>
      </w:r>
    </w:p>
    <w:p>
      <w:pPr>
        <w:spacing w:line="560" w:lineRule="exact"/>
        <w:ind w:firstLine="663" w:firstLineChars="275"/>
        <w:rPr>
          <w:rFonts w:ascii="宋体" w:hAnsi="宋体" w:cs="宋体"/>
          <w:b/>
          <w:sz w:val="24"/>
        </w:rPr>
      </w:pPr>
      <w:r>
        <w:rPr>
          <w:rFonts w:hint="eastAsia" w:ascii="宋体" w:hAnsi="宋体" w:cs="宋体"/>
          <w:b/>
          <w:sz w:val="24"/>
        </w:rPr>
        <w:t>七、设施设备清单</w:t>
      </w:r>
    </w:p>
    <w:p>
      <w:pPr>
        <w:spacing w:line="560" w:lineRule="exact"/>
        <w:ind w:firstLine="480" w:firstLineChars="200"/>
        <w:rPr>
          <w:rFonts w:ascii="宋体" w:hAnsi="宋体" w:cs="宋体"/>
          <w:bCs/>
          <w:sz w:val="24"/>
        </w:rPr>
      </w:pPr>
      <w:r>
        <w:rPr>
          <w:rFonts w:hint="eastAsia" w:ascii="宋体" w:hAnsi="宋体" w:cs="宋体"/>
          <w:bCs/>
          <w:sz w:val="24"/>
        </w:rPr>
        <w:t>包括并不限于清单内容，清单细则如下：　</w:t>
      </w:r>
    </w:p>
    <w:tbl>
      <w:tblPr>
        <w:tblStyle w:val="45"/>
        <w:tblW w:w="5000" w:type="pct"/>
        <w:tblInd w:w="0" w:type="dxa"/>
        <w:tblLayout w:type="autofit"/>
        <w:tblCellMar>
          <w:top w:w="0" w:type="dxa"/>
          <w:left w:w="108" w:type="dxa"/>
          <w:bottom w:w="0" w:type="dxa"/>
          <w:right w:w="108" w:type="dxa"/>
        </w:tblCellMar>
      </w:tblPr>
      <w:tblGrid>
        <w:gridCol w:w="3093"/>
        <w:gridCol w:w="2394"/>
        <w:gridCol w:w="2472"/>
        <w:gridCol w:w="1329"/>
      </w:tblGrid>
      <w:tr>
        <w:tblPrEx>
          <w:tblCellMar>
            <w:top w:w="0" w:type="dxa"/>
            <w:left w:w="108" w:type="dxa"/>
            <w:bottom w:w="0" w:type="dxa"/>
            <w:right w:w="108" w:type="dxa"/>
          </w:tblCellMar>
        </w:tblPrEx>
        <w:trPr>
          <w:trHeight w:val="600" w:hRule="atLeast"/>
        </w:trPr>
        <w:tc>
          <w:tcPr>
            <w:tcW w:w="5000" w:type="pct"/>
            <w:gridSpan w:val="4"/>
            <w:tcBorders>
              <w:top w:val="nil"/>
              <w:left w:val="nil"/>
              <w:bottom w:val="nil"/>
              <w:right w:val="nil"/>
            </w:tcBorders>
            <w:shd w:val="clear" w:color="auto" w:fill="auto"/>
            <w:noWrap/>
            <w:vAlign w:val="center"/>
          </w:tcPr>
          <w:p>
            <w:pPr>
              <w:widowControl/>
              <w:jc w:val="left"/>
              <w:textAlignment w:val="center"/>
              <w:rPr>
                <w:rFonts w:ascii="宋体" w:hAnsi="宋体" w:cs="宋体"/>
                <w:b/>
                <w:bCs/>
                <w:color w:val="000000"/>
                <w:sz w:val="24"/>
              </w:rPr>
            </w:pPr>
            <w:r>
              <w:rPr>
                <w:rFonts w:hint="eastAsia" w:ascii="宋体" w:hAnsi="宋体" w:cs="宋体"/>
                <w:b/>
                <w:bCs/>
                <w:color w:val="000000"/>
                <w:kern w:val="0"/>
                <w:sz w:val="24"/>
                <w:lang w:bidi="ar"/>
              </w:rPr>
              <w:t>1.北京市残疾人服务示范中心-AOLSEE信息发布系统统计表</w:t>
            </w:r>
          </w:p>
        </w:tc>
      </w:tr>
      <w:tr>
        <w:tblPrEx>
          <w:tblCellMar>
            <w:top w:w="0" w:type="dxa"/>
            <w:left w:w="108" w:type="dxa"/>
            <w:bottom w:w="0" w:type="dxa"/>
            <w:right w:w="108" w:type="dxa"/>
          </w:tblCellMar>
        </w:tblPrEx>
        <w:trPr>
          <w:trHeight w:val="360" w:hRule="atLeast"/>
        </w:trPr>
        <w:tc>
          <w:tcPr>
            <w:tcW w:w="1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名称</w:t>
            </w:r>
          </w:p>
        </w:tc>
        <w:tc>
          <w:tcPr>
            <w:tcW w:w="1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位置</w:t>
            </w:r>
          </w:p>
        </w:tc>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描述</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300" w:hRule="atLeast"/>
        </w:trPr>
        <w:tc>
          <w:tcPr>
            <w:tcW w:w="1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信息发布系统服务器</w:t>
            </w:r>
          </w:p>
        </w:tc>
        <w:tc>
          <w:tcPr>
            <w:tcW w:w="1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一楼中控室</w:t>
            </w:r>
          </w:p>
        </w:tc>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PowerEdge T140</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300" w:hRule="atLeast"/>
        </w:trPr>
        <w:tc>
          <w:tcPr>
            <w:tcW w:w="1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信息发布系统软件</w:t>
            </w:r>
          </w:p>
        </w:tc>
        <w:tc>
          <w:tcPr>
            <w:tcW w:w="1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一楼中控室</w:t>
            </w:r>
          </w:p>
        </w:tc>
        <w:tc>
          <w:tcPr>
            <w:tcW w:w="1331"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登录IP</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441"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AOLSEE信息发布系统点位表</w:t>
            </w:r>
          </w:p>
        </w:tc>
      </w:tr>
      <w:tr>
        <w:tblPrEx>
          <w:tblCellMar>
            <w:top w:w="0" w:type="dxa"/>
            <w:left w:w="108" w:type="dxa"/>
            <w:bottom w:w="0" w:type="dxa"/>
            <w:right w:w="108" w:type="dxa"/>
          </w:tblCellMar>
        </w:tblPrEx>
        <w:trPr>
          <w:trHeight w:val="360" w:hRule="atLeast"/>
        </w:trPr>
        <w:tc>
          <w:tcPr>
            <w:tcW w:w="1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播放器名称</w:t>
            </w:r>
          </w:p>
        </w:tc>
        <w:tc>
          <w:tcPr>
            <w:tcW w:w="1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详细位置</w:t>
            </w:r>
          </w:p>
        </w:tc>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在线状态</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所属组</w:t>
            </w:r>
          </w:p>
        </w:tc>
      </w:tr>
      <w:tr>
        <w:tblPrEx>
          <w:tblCellMar>
            <w:top w:w="0" w:type="dxa"/>
            <w:left w:w="108" w:type="dxa"/>
            <w:bottom w:w="0" w:type="dxa"/>
            <w:right w:w="108" w:type="dxa"/>
          </w:tblCellMar>
        </w:tblPrEx>
        <w:trPr>
          <w:trHeight w:val="270" w:hRule="atLeast"/>
        </w:trPr>
        <w:tc>
          <w:tcPr>
            <w:tcW w:w="1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Style w:val="255"/>
                <w:rFonts w:hint="default"/>
                <w:sz w:val="24"/>
                <w:szCs w:val="24"/>
                <w:lang w:bidi="ar"/>
              </w:rPr>
              <w:t>1-1</w:t>
            </w:r>
          </w:p>
        </w:tc>
        <w:tc>
          <w:tcPr>
            <w:tcW w:w="1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Style w:val="255"/>
                <w:rFonts w:hint="default"/>
                <w:sz w:val="24"/>
                <w:szCs w:val="24"/>
                <w:lang w:bidi="ar"/>
              </w:rPr>
              <w:t>2,3,4号电梯间</w:t>
            </w:r>
          </w:p>
        </w:tc>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textAlignment w:val="center"/>
              <w:rPr>
                <w:rFonts w:ascii="宋体" w:hAnsi="宋体" w:cs="宋体"/>
                <w:color w:val="000000"/>
                <w:sz w:val="24"/>
              </w:rPr>
            </w:pPr>
            <w:r>
              <w:rPr>
                <w:rFonts w:hint="eastAsia" w:ascii="宋体" w:hAnsi="宋体" w:cs="宋体"/>
                <w:color w:val="000000"/>
                <w:kern w:val="0"/>
                <w:sz w:val="24"/>
                <w:lang w:bidi="ar"/>
              </w:rPr>
              <w:t>√</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默认组</w:t>
            </w:r>
          </w:p>
        </w:tc>
      </w:tr>
      <w:tr>
        <w:tblPrEx>
          <w:tblCellMar>
            <w:top w:w="0" w:type="dxa"/>
            <w:left w:w="108" w:type="dxa"/>
            <w:bottom w:w="0" w:type="dxa"/>
            <w:right w:w="108" w:type="dxa"/>
          </w:tblCellMar>
        </w:tblPrEx>
        <w:trPr>
          <w:trHeight w:val="288" w:hRule="atLeast"/>
        </w:trPr>
        <w:tc>
          <w:tcPr>
            <w:tcW w:w="16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1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Style w:val="255"/>
                <w:rFonts w:hint="default"/>
                <w:sz w:val="24"/>
                <w:szCs w:val="24"/>
                <w:lang w:bidi="ar"/>
              </w:rPr>
              <w:t>2,3,4号电梯间</w:t>
            </w:r>
          </w:p>
        </w:tc>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textAlignment w:val="center"/>
              <w:rPr>
                <w:rFonts w:ascii="宋体" w:hAnsi="宋体" w:cs="宋体"/>
                <w:color w:val="000000"/>
                <w:sz w:val="24"/>
              </w:rPr>
            </w:pPr>
            <w:r>
              <w:rPr>
                <w:rFonts w:hint="eastAsia" w:ascii="宋体" w:hAnsi="宋体" w:cs="宋体"/>
                <w:color w:val="000000"/>
                <w:kern w:val="0"/>
                <w:sz w:val="24"/>
                <w:lang w:bidi="ar"/>
              </w:rPr>
              <w:t>√</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1楼</w:t>
            </w:r>
          </w:p>
        </w:tc>
      </w:tr>
    </w:tbl>
    <w:p>
      <w:pPr>
        <w:spacing w:line="560" w:lineRule="exact"/>
        <w:ind w:firstLine="640" w:firstLineChars="200"/>
        <w:rPr>
          <w:rFonts w:ascii="仿宋_GB2312" w:hAnsi="仿宋_GB2312" w:eastAsia="仿宋_GB2312" w:cs="仿宋_GB2312"/>
          <w:bCs/>
          <w:sz w:val="32"/>
          <w:szCs w:val="32"/>
        </w:rPr>
      </w:pPr>
    </w:p>
    <w:p>
      <w:pPr>
        <w:widowControl/>
        <w:jc w:val="center"/>
        <w:textAlignment w:val="center"/>
        <w:rPr>
          <w:rFonts w:ascii="宋体" w:hAnsi="宋体" w:cs="宋体"/>
          <w:b/>
          <w:bCs/>
          <w:color w:val="000000"/>
          <w:kern w:val="0"/>
          <w:sz w:val="32"/>
          <w:szCs w:val="32"/>
          <w:lang w:bidi="ar"/>
        </w:rPr>
      </w:pPr>
      <w:r>
        <w:rPr>
          <w:rFonts w:hint="eastAsia" w:ascii="宋体" w:hAnsi="宋体" w:cs="宋体"/>
          <w:b/>
          <w:bCs/>
          <w:color w:val="000000"/>
          <w:kern w:val="0"/>
          <w:sz w:val="32"/>
          <w:szCs w:val="32"/>
          <w:lang w:bidi="ar"/>
        </w:rPr>
        <w:br w:type="page"/>
      </w:r>
    </w:p>
    <w:tbl>
      <w:tblPr>
        <w:tblStyle w:val="45"/>
        <w:tblW w:w="8605" w:type="dxa"/>
        <w:tblInd w:w="96" w:type="dxa"/>
        <w:tblLayout w:type="autofit"/>
        <w:tblCellMar>
          <w:top w:w="0" w:type="dxa"/>
          <w:left w:w="108" w:type="dxa"/>
          <w:bottom w:w="0" w:type="dxa"/>
          <w:right w:w="108" w:type="dxa"/>
        </w:tblCellMar>
      </w:tblPr>
      <w:tblGrid>
        <w:gridCol w:w="1491"/>
        <w:gridCol w:w="1491"/>
        <w:gridCol w:w="2811"/>
        <w:gridCol w:w="2812"/>
      </w:tblGrid>
      <w:tr>
        <w:tblPrEx>
          <w:tblCellMar>
            <w:top w:w="0" w:type="dxa"/>
            <w:left w:w="108" w:type="dxa"/>
            <w:bottom w:w="0" w:type="dxa"/>
            <w:right w:w="108" w:type="dxa"/>
          </w:tblCellMar>
        </w:tblPrEx>
        <w:trPr>
          <w:trHeight w:val="600" w:hRule="atLeast"/>
        </w:trPr>
        <w:tc>
          <w:tcPr>
            <w:tcW w:w="8605" w:type="dxa"/>
            <w:gridSpan w:val="4"/>
            <w:tcBorders>
              <w:top w:val="nil"/>
              <w:left w:val="nil"/>
              <w:bottom w:val="nil"/>
              <w:right w:val="nil"/>
            </w:tcBorders>
            <w:shd w:val="clear" w:color="auto" w:fill="auto"/>
            <w:noWrap/>
            <w:vAlign w:val="center"/>
          </w:tcPr>
          <w:p>
            <w:pPr>
              <w:widowControl/>
              <w:jc w:val="left"/>
              <w:textAlignment w:val="center"/>
              <w:rPr>
                <w:rFonts w:ascii="宋体" w:hAnsi="宋体" w:cs="宋体"/>
                <w:b/>
                <w:bCs/>
                <w:color w:val="000000"/>
                <w:sz w:val="24"/>
              </w:rPr>
            </w:pPr>
            <w:r>
              <w:rPr>
                <w:rFonts w:hint="eastAsia" w:ascii="宋体" w:hAnsi="宋体" w:cs="宋体"/>
                <w:b/>
                <w:bCs/>
                <w:color w:val="000000"/>
                <w:kern w:val="0"/>
                <w:sz w:val="24"/>
                <w:lang w:bidi="ar"/>
              </w:rPr>
              <w:t>2.北京市残疾人服务示范中心-SOS呼叫报警系统地址表</w:t>
            </w: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楼层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设备位置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21F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共计125个</w:t>
            </w: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护士站</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护士站</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16F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护士站</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护士站</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14F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护士站</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13F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护士站</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护士站</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护士站</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护士站</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护士站</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公共区域-1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公共区域-2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B1F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B2F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卫生间</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19F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托养机房</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bl>
    <w:p>
      <w:pPr>
        <w:tabs>
          <w:tab w:val="left" w:pos="360"/>
          <w:tab w:val="left" w:pos="900"/>
          <w:tab w:val="left" w:pos="1080"/>
          <w:tab w:val="left" w:pos="2014"/>
        </w:tabs>
        <w:snapToGrid w:val="0"/>
        <w:spacing w:line="360" w:lineRule="auto"/>
        <w:ind w:firstLine="482" w:firstLineChars="200"/>
        <w:rPr>
          <w:rFonts w:ascii="宋体" w:hAnsi="宋体"/>
          <w:b/>
          <w:sz w:val="24"/>
        </w:rPr>
      </w:pPr>
    </w:p>
    <w:p>
      <w:pPr>
        <w:widowControl/>
        <w:jc w:val="center"/>
        <w:textAlignment w:val="center"/>
        <w:rPr>
          <w:rFonts w:ascii="宋体" w:hAnsi="宋体" w:cs="宋体"/>
          <w:b/>
          <w:bCs/>
          <w:color w:val="000000"/>
          <w:kern w:val="0"/>
          <w:sz w:val="32"/>
          <w:szCs w:val="32"/>
          <w:lang w:bidi="ar"/>
        </w:rPr>
      </w:pPr>
      <w:r>
        <w:rPr>
          <w:rFonts w:hint="eastAsia" w:ascii="宋体" w:hAnsi="宋体" w:cs="宋体"/>
          <w:b/>
          <w:bCs/>
          <w:color w:val="000000"/>
          <w:kern w:val="0"/>
          <w:sz w:val="32"/>
          <w:szCs w:val="32"/>
          <w:lang w:bidi="ar"/>
        </w:rPr>
        <w:br w:type="page"/>
      </w:r>
    </w:p>
    <w:tbl>
      <w:tblPr>
        <w:tblStyle w:val="45"/>
        <w:tblW w:w="5000" w:type="pct"/>
        <w:tblInd w:w="0" w:type="dxa"/>
        <w:tblLayout w:type="autofit"/>
        <w:tblCellMar>
          <w:top w:w="0" w:type="dxa"/>
          <w:left w:w="108" w:type="dxa"/>
          <w:bottom w:w="0" w:type="dxa"/>
          <w:right w:w="108" w:type="dxa"/>
        </w:tblCellMar>
      </w:tblPr>
      <w:tblGrid>
        <w:gridCol w:w="3070"/>
        <w:gridCol w:w="3842"/>
        <w:gridCol w:w="2376"/>
      </w:tblGrid>
      <w:tr>
        <w:tblPrEx>
          <w:tblCellMar>
            <w:top w:w="0" w:type="dxa"/>
            <w:left w:w="108" w:type="dxa"/>
            <w:bottom w:w="0" w:type="dxa"/>
            <w:right w:w="108" w:type="dxa"/>
          </w:tblCellMar>
        </w:tblPrEx>
        <w:trPr>
          <w:trHeight w:val="600" w:hRule="atLeast"/>
        </w:trPr>
        <w:tc>
          <w:tcPr>
            <w:tcW w:w="5000" w:type="pct"/>
            <w:gridSpan w:val="3"/>
            <w:tcBorders>
              <w:top w:val="nil"/>
              <w:left w:val="nil"/>
              <w:bottom w:val="nil"/>
              <w:right w:val="nil"/>
            </w:tcBorders>
            <w:shd w:val="clear" w:color="auto" w:fill="auto"/>
            <w:noWrap/>
            <w:vAlign w:val="center"/>
          </w:tcPr>
          <w:p>
            <w:pPr>
              <w:widowControl/>
              <w:jc w:val="left"/>
              <w:textAlignment w:val="center"/>
              <w:rPr>
                <w:rFonts w:ascii="宋体" w:hAnsi="宋体" w:cs="宋体"/>
                <w:b/>
                <w:bCs/>
                <w:color w:val="000000"/>
                <w:sz w:val="24"/>
              </w:rPr>
            </w:pPr>
            <w:r>
              <w:rPr>
                <w:rFonts w:hint="eastAsia" w:ascii="宋体" w:hAnsi="宋体" w:cs="宋体"/>
                <w:b/>
                <w:bCs/>
                <w:color w:val="000000"/>
                <w:kern w:val="0"/>
                <w:sz w:val="24"/>
                <w:lang w:bidi="ar"/>
              </w:rPr>
              <w:t>3.北京市残疾人服务示范中心-Z-bus智能照明控制系统统计表</w:t>
            </w:r>
          </w:p>
        </w:tc>
      </w:tr>
      <w:tr>
        <w:tblPrEx>
          <w:tblCellMar>
            <w:top w:w="0" w:type="dxa"/>
            <w:left w:w="108" w:type="dxa"/>
            <w:bottom w:w="0" w:type="dxa"/>
            <w:right w:w="108" w:type="dxa"/>
          </w:tblCellMar>
        </w:tblPrEx>
        <w:trPr>
          <w:trHeight w:val="360"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名称</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位置</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300"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智能照明系统服务器</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一楼中控室</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00"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智能照明系统分控箱</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每层强电竖井</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441"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Z-bus智能照明系统点位表</w:t>
            </w:r>
          </w:p>
        </w:tc>
      </w:tr>
      <w:tr>
        <w:tblPrEx>
          <w:tblCellMar>
            <w:top w:w="0" w:type="dxa"/>
            <w:left w:w="108" w:type="dxa"/>
            <w:bottom w:w="0" w:type="dxa"/>
            <w:right w:w="108" w:type="dxa"/>
          </w:tblCellMar>
        </w:tblPrEx>
        <w:trPr>
          <w:trHeight w:val="360"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楼层</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配电箱号</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AT-F22-1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21</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AT-F21-1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AT-F20-1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19</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AT-F19-1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AT-F18-1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AT-F17-1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16</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AT-F16-1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AT-F15-1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14</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AT-F14-1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13</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AT-F13-1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AT-F12-1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AT-F11-1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AT-F10-1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AT-F9-1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AT-F8-1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AT-F7-1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AT-F6-1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AT-F5-1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AT-F4-1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AT-F4-2</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AT-F3-1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AT-F4-GB</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AT-F2-1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AT-F2-2</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AT-F1-2</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AT-F1-SY</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地下1</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AT-B1-1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lang w:bidi="ar"/>
              </w:rPr>
              <w:t>地下1</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AT-B1-2</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kern w:val="0"/>
                <w:sz w:val="22"/>
                <w:szCs w:val="22"/>
                <w:lang w:bidi="ar"/>
              </w:rPr>
            </w:pPr>
            <w:r>
              <w:rPr>
                <w:rFonts w:hint="eastAsia" w:ascii="宋体" w:hAnsi="宋体" w:cs="宋体"/>
                <w:kern w:val="0"/>
                <w:sz w:val="22"/>
                <w:szCs w:val="22"/>
                <w:lang w:bidi="ar"/>
              </w:rPr>
              <w:t>地下1</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AT-B1-2</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kern w:val="0"/>
                <w:sz w:val="22"/>
                <w:szCs w:val="22"/>
                <w:lang w:bidi="ar"/>
              </w:rPr>
            </w:pPr>
            <w:r>
              <w:rPr>
                <w:rFonts w:hint="eastAsia" w:ascii="宋体" w:hAnsi="宋体" w:cs="宋体"/>
                <w:kern w:val="0"/>
                <w:sz w:val="22"/>
                <w:szCs w:val="22"/>
                <w:lang w:bidi="ar"/>
              </w:rPr>
              <w:t>地下1</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AT-B1-SW</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kern w:val="0"/>
                <w:sz w:val="22"/>
                <w:szCs w:val="22"/>
                <w:lang w:bidi="ar"/>
              </w:rPr>
            </w:pPr>
            <w:r>
              <w:rPr>
                <w:rFonts w:hint="eastAsia" w:ascii="宋体" w:hAnsi="宋体" w:cs="宋体"/>
                <w:kern w:val="0"/>
                <w:sz w:val="22"/>
                <w:szCs w:val="22"/>
                <w:lang w:bidi="ar"/>
              </w:rPr>
              <w:t>地下2</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AT-B2-1</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88" w:hRule="atLeast"/>
        </w:trPr>
        <w:tc>
          <w:tcPr>
            <w:tcW w:w="1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kern w:val="0"/>
                <w:sz w:val="22"/>
                <w:szCs w:val="22"/>
                <w:lang w:bidi="ar"/>
              </w:rPr>
            </w:pPr>
            <w:r>
              <w:rPr>
                <w:rFonts w:hint="eastAsia" w:ascii="宋体" w:hAnsi="宋体" w:cs="宋体"/>
                <w:kern w:val="0"/>
                <w:sz w:val="22"/>
                <w:szCs w:val="22"/>
                <w:lang w:bidi="ar"/>
              </w:rPr>
              <w:t>地下2</w:t>
            </w:r>
          </w:p>
        </w:tc>
        <w:tc>
          <w:tcPr>
            <w:tcW w:w="20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AT-F4-2M</w:t>
            </w:r>
          </w:p>
        </w:tc>
        <w:tc>
          <w:tcPr>
            <w:tcW w:w="1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bl>
    <w:p>
      <w:pPr>
        <w:tabs>
          <w:tab w:val="left" w:pos="360"/>
          <w:tab w:val="left" w:pos="900"/>
          <w:tab w:val="left" w:pos="1080"/>
          <w:tab w:val="left" w:pos="2014"/>
        </w:tabs>
        <w:snapToGrid w:val="0"/>
        <w:spacing w:line="360" w:lineRule="auto"/>
        <w:ind w:firstLine="482" w:firstLineChars="200"/>
        <w:rPr>
          <w:rFonts w:ascii="宋体" w:hAnsi="宋体"/>
          <w:b/>
          <w:sz w:val="24"/>
        </w:rPr>
      </w:pPr>
    </w:p>
    <w:p>
      <w:pPr>
        <w:tabs>
          <w:tab w:val="left" w:pos="360"/>
          <w:tab w:val="left" w:pos="900"/>
          <w:tab w:val="left" w:pos="1080"/>
          <w:tab w:val="left" w:pos="2014"/>
        </w:tabs>
        <w:snapToGrid w:val="0"/>
        <w:spacing w:line="360" w:lineRule="auto"/>
        <w:ind w:firstLine="482" w:firstLineChars="200"/>
        <w:rPr>
          <w:rFonts w:ascii="宋体" w:hAnsi="宋体"/>
          <w:b/>
          <w:sz w:val="24"/>
        </w:rPr>
      </w:pPr>
    </w:p>
    <w:p>
      <w:pPr>
        <w:widowControl/>
        <w:jc w:val="center"/>
        <w:textAlignment w:val="center"/>
        <w:rPr>
          <w:rFonts w:ascii="宋体" w:hAnsi="宋体" w:cs="宋体"/>
          <w:b/>
          <w:bCs/>
          <w:color w:val="000000"/>
          <w:kern w:val="0"/>
          <w:sz w:val="32"/>
          <w:szCs w:val="32"/>
          <w:lang w:bidi="ar"/>
        </w:rPr>
      </w:pPr>
      <w:r>
        <w:rPr>
          <w:rFonts w:hint="eastAsia" w:ascii="宋体" w:hAnsi="宋体" w:cs="宋体"/>
          <w:b/>
          <w:bCs/>
          <w:color w:val="000000"/>
          <w:kern w:val="0"/>
          <w:sz w:val="32"/>
          <w:szCs w:val="32"/>
          <w:lang w:bidi="ar"/>
        </w:rPr>
        <w:br w:type="page"/>
      </w:r>
    </w:p>
    <w:tbl>
      <w:tblPr>
        <w:tblStyle w:val="45"/>
        <w:tblW w:w="5000" w:type="pct"/>
        <w:tblInd w:w="0" w:type="dxa"/>
        <w:tblLayout w:type="autofit"/>
        <w:tblCellMar>
          <w:top w:w="0" w:type="dxa"/>
          <w:left w:w="108" w:type="dxa"/>
          <w:bottom w:w="0" w:type="dxa"/>
          <w:right w:w="108" w:type="dxa"/>
        </w:tblCellMar>
      </w:tblPr>
      <w:tblGrid>
        <w:gridCol w:w="2957"/>
        <w:gridCol w:w="1913"/>
        <w:gridCol w:w="1588"/>
        <w:gridCol w:w="940"/>
        <w:gridCol w:w="944"/>
        <w:gridCol w:w="946"/>
      </w:tblGrid>
      <w:tr>
        <w:tblPrEx>
          <w:tblCellMar>
            <w:top w:w="0" w:type="dxa"/>
            <w:left w:w="108" w:type="dxa"/>
            <w:bottom w:w="0" w:type="dxa"/>
            <w:right w:w="108" w:type="dxa"/>
          </w:tblCellMar>
        </w:tblPrEx>
        <w:trPr>
          <w:trHeight w:val="600" w:hRule="atLeast"/>
        </w:trPr>
        <w:tc>
          <w:tcPr>
            <w:tcW w:w="5000" w:type="pct"/>
            <w:gridSpan w:val="6"/>
            <w:tcBorders>
              <w:top w:val="nil"/>
              <w:left w:val="nil"/>
              <w:bottom w:val="nil"/>
              <w:right w:val="nil"/>
            </w:tcBorders>
            <w:shd w:val="clear" w:color="auto" w:fill="auto"/>
            <w:noWrap/>
            <w:vAlign w:val="center"/>
          </w:tcPr>
          <w:p>
            <w:pPr>
              <w:widowControl/>
              <w:jc w:val="left"/>
              <w:textAlignment w:val="center"/>
              <w:rPr>
                <w:rFonts w:ascii="宋体" w:hAnsi="宋体" w:cs="宋体"/>
                <w:b/>
                <w:bCs/>
                <w:color w:val="000000"/>
                <w:sz w:val="24"/>
              </w:rPr>
            </w:pPr>
            <w:r>
              <w:rPr>
                <w:rFonts w:hint="eastAsia" w:ascii="宋体" w:hAnsi="宋体" w:cs="宋体"/>
                <w:b/>
                <w:bCs/>
                <w:color w:val="000000"/>
                <w:kern w:val="0"/>
                <w:sz w:val="24"/>
                <w:lang w:bidi="ar"/>
              </w:rPr>
              <w:t>4.北京市残疾人服务示范中心-安防门禁系统统计表</w:t>
            </w: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名称</w:t>
            </w:r>
          </w:p>
        </w:tc>
        <w:tc>
          <w:tcPr>
            <w:tcW w:w="10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位置</w:t>
            </w:r>
          </w:p>
        </w:tc>
        <w:tc>
          <w:tcPr>
            <w:tcW w:w="1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4"/>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安防门禁系统服务器</w:t>
            </w:r>
          </w:p>
        </w:tc>
        <w:tc>
          <w:tcPr>
            <w:tcW w:w="10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一楼中控室</w:t>
            </w:r>
          </w:p>
        </w:tc>
        <w:tc>
          <w:tcPr>
            <w:tcW w:w="1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安防门禁系统软件</w:t>
            </w:r>
          </w:p>
        </w:tc>
        <w:tc>
          <w:tcPr>
            <w:tcW w:w="10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一楼中控室</w:t>
            </w:r>
          </w:p>
        </w:tc>
        <w:tc>
          <w:tcPr>
            <w:tcW w:w="1869" w:type="pct"/>
            <w:gridSpan w:val="3"/>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441"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安防门禁系统地址表</w:t>
            </w:r>
          </w:p>
        </w:tc>
      </w:tr>
      <w:tr>
        <w:tblPrEx>
          <w:tblCellMar>
            <w:top w:w="0" w:type="dxa"/>
            <w:left w:w="108" w:type="dxa"/>
            <w:bottom w:w="0" w:type="dxa"/>
            <w:right w:w="108" w:type="dxa"/>
          </w:tblCellMar>
        </w:tblPrEx>
        <w:trPr>
          <w:trHeight w:val="600" w:hRule="atLeast"/>
        </w:trPr>
        <w:tc>
          <w:tcPr>
            <w:tcW w:w="1592" w:type="pct"/>
            <w:tcBorders>
              <w:top w:val="single" w:color="000000" w:sz="4" w:space="0"/>
              <w:left w:val="single" w:color="000000" w:sz="4" w:space="0"/>
              <w:bottom w:val="single" w:color="000000" w:sz="4" w:space="0"/>
              <w:right w:val="single" w:color="000000" w:sz="4" w:space="0"/>
              <w:tl2br w:val="single" w:color="000000" w:sz="4" w:space="0"/>
            </w:tcBorders>
            <w:shd w:val="clear" w:color="auto" w:fill="auto"/>
            <w:vAlign w:val="center"/>
          </w:tcPr>
          <w:p>
            <w:pPr>
              <w:widowControl/>
              <w:jc w:val="left"/>
              <w:textAlignment w:val="center"/>
              <w:rPr>
                <w:rFonts w:hint="eastAsia" w:ascii="宋体" w:hAnsi="宋体" w:eastAsia="宋体" w:cs="宋体"/>
                <w:b/>
                <w:bCs/>
                <w:color w:val="000000"/>
                <w:kern w:val="0"/>
                <w:sz w:val="24"/>
                <w:lang w:eastAsia="zh-CN" w:bidi="ar"/>
              </w:rPr>
            </w:pPr>
            <w:r>
              <w:rPr>
                <w:rFonts w:hint="eastAsia" w:ascii="宋体" w:hAnsi="宋体" w:cs="宋体"/>
                <w:b/>
                <w:bCs/>
                <w:color w:val="000000"/>
                <w:kern w:val="0"/>
                <w:sz w:val="24"/>
                <w:lang w:bidi="ar"/>
              </w:rPr>
              <w:t xml:space="preserve">        分项</w:t>
            </w:r>
          </w:p>
          <w:p>
            <w:pPr>
              <w:widowControl/>
              <w:jc w:val="left"/>
              <w:textAlignment w:val="center"/>
              <w:rPr>
                <w:rFonts w:ascii="宋体" w:hAnsi="宋体" w:cs="宋体"/>
                <w:b/>
                <w:bCs/>
                <w:color w:val="000000"/>
                <w:sz w:val="24"/>
              </w:rPr>
            </w:pPr>
            <w:r>
              <w:rPr>
                <w:rFonts w:hint="eastAsia" w:ascii="宋体" w:hAnsi="宋体" w:cs="宋体"/>
                <w:b/>
                <w:bCs/>
                <w:color w:val="000000"/>
                <w:kern w:val="0"/>
                <w:sz w:val="24"/>
                <w:lang w:bidi="ar"/>
              </w:rPr>
              <w:t xml:space="preserve"> 序号</w:t>
            </w:r>
          </w:p>
        </w:tc>
        <w:tc>
          <w:tcPr>
            <w:tcW w:w="10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交换机位置</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出门按钮</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单锁</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双锁</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B2弱电间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04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B1弱电间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w:t>
            </w:r>
          </w:p>
        </w:tc>
        <w:tc>
          <w:tcPr>
            <w:tcW w:w="1030" w:type="pct"/>
            <w:vMerge w:val="restart"/>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w:t>
            </w:r>
          </w:p>
        </w:tc>
        <w:tc>
          <w:tcPr>
            <w:tcW w:w="103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13</w:t>
            </w:r>
          </w:p>
        </w:tc>
        <w:tc>
          <w:tcPr>
            <w:tcW w:w="103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14</w:t>
            </w:r>
          </w:p>
        </w:tc>
        <w:tc>
          <w:tcPr>
            <w:tcW w:w="103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103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16</w:t>
            </w:r>
          </w:p>
        </w:tc>
        <w:tc>
          <w:tcPr>
            <w:tcW w:w="103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w:t>
            </w:r>
          </w:p>
        </w:tc>
        <w:tc>
          <w:tcPr>
            <w:tcW w:w="103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w:t>
            </w:r>
          </w:p>
        </w:tc>
        <w:tc>
          <w:tcPr>
            <w:tcW w:w="103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19</w:t>
            </w:r>
          </w:p>
        </w:tc>
        <w:tc>
          <w:tcPr>
            <w:tcW w:w="103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21</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23</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24</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26</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27</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28</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29</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30</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31</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32</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33</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34</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35</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36</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37</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38</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39</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40</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41</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42</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43</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44</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45</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46</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47</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48</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49</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50</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51</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52</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53</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54</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55</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56</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57</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58</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59</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13F弱电间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60</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61</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62</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14F弱电间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63</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64</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65</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66</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67</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68</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16F弱电间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69</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70</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71</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72</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73</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74</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75</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76</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77</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19F弱电间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78</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79</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80</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81</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21F弱电间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82</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83</w:t>
            </w:r>
          </w:p>
        </w:tc>
        <w:tc>
          <w:tcPr>
            <w:tcW w:w="103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22F弱电间</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60" w:hRule="atLeast"/>
        </w:trPr>
        <w:tc>
          <w:tcPr>
            <w:tcW w:w="1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84</w:t>
            </w:r>
          </w:p>
        </w:tc>
        <w:tc>
          <w:tcPr>
            <w:tcW w:w="103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bl>
    <w:p>
      <w:pPr>
        <w:rPr>
          <w:rFonts w:ascii="宋体" w:hAnsi="宋体"/>
          <w:b/>
          <w:sz w:val="24"/>
        </w:rPr>
      </w:pPr>
      <w:r>
        <w:rPr>
          <w:rFonts w:ascii="宋体" w:hAnsi="宋体"/>
          <w:b/>
          <w:sz w:val="24"/>
        </w:rPr>
        <w:br w:type="page"/>
      </w:r>
    </w:p>
    <w:p>
      <w:pPr>
        <w:pStyle w:val="43"/>
        <w:ind w:firstLine="210"/>
      </w:pPr>
    </w:p>
    <w:tbl>
      <w:tblPr>
        <w:tblStyle w:val="45"/>
        <w:tblW w:w="8749" w:type="dxa"/>
        <w:tblInd w:w="96" w:type="dxa"/>
        <w:tblLayout w:type="autofit"/>
        <w:tblCellMar>
          <w:top w:w="0" w:type="dxa"/>
          <w:left w:w="108" w:type="dxa"/>
          <w:bottom w:w="0" w:type="dxa"/>
          <w:right w:w="108" w:type="dxa"/>
        </w:tblCellMar>
      </w:tblPr>
      <w:tblGrid>
        <w:gridCol w:w="980"/>
        <w:gridCol w:w="2293"/>
        <w:gridCol w:w="2536"/>
        <w:gridCol w:w="980"/>
        <w:gridCol w:w="980"/>
        <w:gridCol w:w="980"/>
      </w:tblGrid>
      <w:tr>
        <w:tblPrEx>
          <w:tblCellMar>
            <w:top w:w="0" w:type="dxa"/>
            <w:left w:w="108" w:type="dxa"/>
            <w:bottom w:w="0" w:type="dxa"/>
            <w:right w:w="108" w:type="dxa"/>
          </w:tblCellMar>
        </w:tblPrEx>
        <w:trPr>
          <w:trHeight w:val="570" w:hRule="atLeast"/>
        </w:trPr>
        <w:tc>
          <w:tcPr>
            <w:tcW w:w="8758" w:type="dxa"/>
            <w:gridSpan w:val="6"/>
            <w:tcBorders>
              <w:top w:val="nil"/>
              <w:left w:val="nil"/>
              <w:bottom w:val="single" w:color="000000" w:sz="4" w:space="0"/>
              <w:right w:val="nil"/>
            </w:tcBorders>
            <w:shd w:val="clear" w:color="auto" w:fill="auto"/>
            <w:vAlign w:val="center"/>
          </w:tcPr>
          <w:p>
            <w:pPr>
              <w:widowControl/>
              <w:jc w:val="left"/>
              <w:textAlignment w:val="center"/>
              <w:rPr>
                <w:rFonts w:ascii="宋体" w:hAnsi="宋体" w:cs="宋体"/>
                <w:b/>
                <w:bCs/>
                <w:color w:val="000000"/>
                <w:sz w:val="24"/>
              </w:rPr>
            </w:pPr>
            <w:r>
              <w:rPr>
                <w:rFonts w:hint="eastAsia" w:ascii="宋体" w:hAnsi="宋体" w:cs="宋体"/>
                <w:b/>
                <w:bCs/>
                <w:color w:val="000000"/>
                <w:kern w:val="0"/>
                <w:sz w:val="24"/>
                <w:lang w:bidi="ar"/>
              </w:rPr>
              <w:t>5.北京市残疾人服务示范中心-会议系统设备详细清单</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序号</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名称</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品牌型号</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单位</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数量</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w:t>
            </w:r>
          </w:p>
        </w:tc>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一层大厅</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主音箱</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OBT-LP2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无线麦克风</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12路调音台</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obt5100b</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电源时序器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obt-psc8000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视频矩阵</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gson-hdmi0404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gson-map0808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反馈抑制器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obt-2200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专业功放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obt-p7000s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LED拼接屏</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二</w:t>
            </w:r>
          </w:p>
        </w:tc>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 xml:space="preserve">三层 </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话筒</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obt-3399bd</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会议系统主机</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obt-3399r</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无线话筒</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OHF</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电脑主机+显示器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HP</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广播话筒</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OBT8280s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灯光控制器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king kong1024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调音台</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professional mixer</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信号放大器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bg-xh2x8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gson-audio-pcfv06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视频矩阵</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gson-hdmi0404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gson-map1616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电源时序器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obt-psc8000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反馈抑制器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obt-2200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专业功放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obt-p7000s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obt-p9500s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 ca80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交换机</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h3c 24口</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主音箱</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环绕音响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台唇音响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返听音响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低音音响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监听音响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充电箱</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GEOS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LED面光灯</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led会议灯</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led全彩染色灯</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光束灯</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追光灯</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30</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总电源箱</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投影仪</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NEC DLP</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支架幕布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红叶音响器材</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w:t>
            </w:r>
          </w:p>
        </w:tc>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 xml:space="preserve">三层会议室 </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吸顶音响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麦克风</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obt860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 audio fcfv06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电源时序器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obt-psc8000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视频矩阵</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gson-hdmi0404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gson-map0808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反馈抑制器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obt-2200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obt-p7000s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投影仪</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NEC DLP</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支架幕布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红叶音响器材</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四</w:t>
            </w:r>
          </w:p>
        </w:tc>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四层会议室</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吸顶音响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麦克风</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obt860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 audio fcfv06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电源时序器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obt-psc8000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视频矩阵</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gson-hdmi0404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gson-map0808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反馈抑制器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obt-2200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obt-p7000s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投影仪</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NEC DLP</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支架幕布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红叶音响器材</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五</w:t>
            </w:r>
          </w:p>
        </w:tc>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三层多功能厅</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吸顶音响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12路调音台</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obt-5100b</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麦克风</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控制器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obt860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反馈抑制器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obt2200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音频控制器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 audio fcfv06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视频矩阵</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gson-hdmi0404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gson-map0808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obt-p7000s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电源时序器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obt-psc8000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投影仪</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NEC DLP</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支架幕布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红叶音响器材</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六</w:t>
            </w:r>
          </w:p>
        </w:tc>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四层多功能厅</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麦克风</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控制器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obt-860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电源时序器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obt-psc8000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音频控制器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 audio fcfv06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视频矩阵</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gson-hdmi0404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gson-map0808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反馈抑制器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obt2200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obt-p7000s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投影仪</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NEC DLP</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支架幕布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红叶音响器材</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七</w:t>
            </w:r>
          </w:p>
        </w:tc>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三层计算机室</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吸顶音响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控制器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obt860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电源时序器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obt-psc8000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视频矩阵</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gson-hdmi0404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前级效果器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 X5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obt-p7000s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麦克风</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投影仪</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NEC DLP</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支架幕布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红叶音响器材</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八</w:t>
            </w:r>
          </w:p>
        </w:tc>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 xml:space="preserve">五层排练厅 </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环绕音响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麦克风</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控制器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 8280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电源时序器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obt-psc8000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gson-map0808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视频矩阵</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gson-hdmi0404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反馈抑制器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obt2200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obt-p7000s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投影仪</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NEC DLP</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支架幕布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红叶音响器材</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九</w:t>
            </w:r>
          </w:p>
        </w:tc>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 xml:space="preserve">六层会议室 </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环绕音响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 lp-12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麦克风</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12路调音台</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obt-5100b</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控制器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obt-8280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电源时序器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obt-psc8000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视频矩阵</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gson-hdmi0404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gson-map0808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反馈抑制器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obt-2200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obt-p7000s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投影仪</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NEC DLP</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支架幕布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红叶音响器材</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十</w:t>
            </w:r>
          </w:p>
        </w:tc>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七层会议室</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环绕音响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 lp-12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12路调音台</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obt-5100b</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控制器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obt-8280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电源时序器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obt-psc8000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obt-p7000s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麦克风</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投影仪</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NEC DLP</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支架幕布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红叶音响器材</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十一</w:t>
            </w:r>
          </w:p>
        </w:tc>
        <w:tc>
          <w:tcPr>
            <w:tcW w:w="77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二十二层会议室</w:t>
            </w: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吸顶音响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主席单元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OBT7600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代表单元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OBT7600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音响</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电源时序器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obt-psc8000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音频控制器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 audio fcfv06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视频矩阵</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gson-hdmi0404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音频处理器</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gson-map0808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功放</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obt-p7000s</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投影仪</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NEC DLP</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50" w:hRule="atLeast"/>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支架幕布</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红叶音响器材</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bl>
    <w:p>
      <w:pPr>
        <w:ind w:firstLine="482" w:firstLineChars="200"/>
        <w:rPr>
          <w:rFonts w:ascii="宋体" w:hAnsi="宋体"/>
          <w:b/>
          <w:sz w:val="24"/>
        </w:rPr>
      </w:pPr>
    </w:p>
    <w:p>
      <w:pPr>
        <w:ind w:firstLine="0" w:firstLineChars="0"/>
        <w:rPr>
          <w:rFonts w:ascii="宋体" w:hAnsi="宋体"/>
          <w:b/>
          <w:sz w:val="24"/>
        </w:rPr>
      </w:pPr>
      <w:r>
        <w:rPr>
          <w:rFonts w:ascii="宋体" w:hAnsi="宋体"/>
          <w:b/>
          <w:sz w:val="24"/>
        </w:rPr>
        <w:br w:type="page"/>
      </w:r>
    </w:p>
    <w:tbl>
      <w:tblPr>
        <w:tblStyle w:val="45"/>
        <w:tblW w:w="5000" w:type="pct"/>
        <w:tblInd w:w="0" w:type="dxa"/>
        <w:tblLayout w:type="autofit"/>
        <w:tblCellMar>
          <w:top w:w="0" w:type="dxa"/>
          <w:left w:w="108" w:type="dxa"/>
          <w:bottom w:w="0" w:type="dxa"/>
          <w:right w:w="108" w:type="dxa"/>
        </w:tblCellMar>
      </w:tblPr>
      <w:tblGrid>
        <w:gridCol w:w="1662"/>
        <w:gridCol w:w="2883"/>
        <w:gridCol w:w="1596"/>
        <w:gridCol w:w="1741"/>
        <w:gridCol w:w="1406"/>
      </w:tblGrid>
      <w:tr>
        <w:tblPrEx>
          <w:tblCellMar>
            <w:top w:w="0" w:type="dxa"/>
            <w:left w:w="108" w:type="dxa"/>
            <w:bottom w:w="0" w:type="dxa"/>
            <w:right w:w="108" w:type="dxa"/>
          </w:tblCellMar>
        </w:tblPrEx>
        <w:trPr>
          <w:trHeight w:val="1000" w:hRule="atLeast"/>
        </w:trPr>
        <w:tc>
          <w:tcPr>
            <w:tcW w:w="5000" w:type="pct"/>
            <w:gridSpan w:val="5"/>
            <w:tcBorders>
              <w:top w:val="nil"/>
              <w:left w:val="nil"/>
              <w:bottom w:val="single" w:color="000000" w:sz="4" w:space="0"/>
              <w:right w:val="nil"/>
            </w:tcBorders>
            <w:shd w:val="clear" w:color="auto" w:fill="auto"/>
            <w:vAlign w:val="center"/>
          </w:tcPr>
          <w:p>
            <w:pPr>
              <w:widowControl/>
              <w:jc w:val="left"/>
              <w:textAlignment w:val="center"/>
              <w:rPr>
                <w:rFonts w:ascii="宋体" w:hAnsi="宋体" w:cs="宋体"/>
                <w:b/>
                <w:bCs/>
                <w:color w:val="000000"/>
                <w:sz w:val="24"/>
              </w:rPr>
            </w:pPr>
            <w:r>
              <w:rPr>
                <w:rFonts w:hint="eastAsia" w:ascii="宋体" w:hAnsi="宋体" w:cs="宋体"/>
                <w:b/>
                <w:bCs/>
                <w:color w:val="000000"/>
                <w:kern w:val="0"/>
                <w:sz w:val="24"/>
                <w:lang w:bidi="ar"/>
              </w:rPr>
              <w:t>6.北京市残疾人服务示范中心监控系统详细清单统计</w:t>
            </w:r>
          </w:p>
        </w:tc>
      </w:tr>
      <w:tr>
        <w:tblPrEx>
          <w:tblCellMar>
            <w:top w:w="0" w:type="dxa"/>
            <w:left w:w="108" w:type="dxa"/>
            <w:bottom w:w="0" w:type="dxa"/>
            <w:right w:w="108" w:type="dxa"/>
          </w:tblCellMar>
        </w:tblPrEx>
        <w:trPr>
          <w:trHeight w:val="443"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b/>
                <w:bCs/>
                <w:color w:val="000000"/>
                <w:sz w:val="24"/>
              </w:rPr>
            </w:pPr>
            <w:r>
              <w:rPr>
                <w:rStyle w:val="256"/>
                <w:lang w:bidi="ar"/>
              </w:rPr>
              <w:t>视频监控设备清单</w:t>
            </w:r>
          </w:p>
        </w:tc>
      </w:tr>
      <w:tr>
        <w:tblPrEx>
          <w:tblCellMar>
            <w:top w:w="0" w:type="dxa"/>
            <w:left w:w="108" w:type="dxa"/>
            <w:bottom w:w="0" w:type="dxa"/>
            <w:right w:w="108" w:type="dxa"/>
          </w:tblCellMar>
        </w:tblPrEx>
        <w:trPr>
          <w:trHeight w:val="458"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b/>
                <w:bCs/>
                <w:color w:val="000000"/>
                <w:sz w:val="24"/>
              </w:rPr>
            </w:pPr>
            <w:r>
              <w:rPr>
                <w:rStyle w:val="257"/>
                <w:sz w:val="24"/>
                <w:szCs w:val="24"/>
                <w:lang w:bidi="ar"/>
              </w:rPr>
              <w:t>序号</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b/>
                <w:bCs/>
                <w:color w:val="000000"/>
                <w:sz w:val="24"/>
              </w:rPr>
            </w:pPr>
            <w:r>
              <w:rPr>
                <w:rStyle w:val="257"/>
                <w:sz w:val="24"/>
                <w:szCs w:val="24"/>
                <w:lang w:bidi="ar"/>
              </w:rPr>
              <w:t>名称</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b/>
                <w:bCs/>
                <w:color w:val="000000"/>
                <w:sz w:val="24"/>
              </w:rPr>
            </w:pPr>
            <w:r>
              <w:rPr>
                <w:rStyle w:val="257"/>
                <w:sz w:val="24"/>
                <w:szCs w:val="24"/>
                <w:lang w:bidi="ar"/>
              </w:rPr>
              <w:t>单位</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b/>
                <w:bCs/>
                <w:color w:val="000000"/>
                <w:sz w:val="24"/>
              </w:rPr>
            </w:pPr>
            <w:r>
              <w:rPr>
                <w:rStyle w:val="257"/>
                <w:sz w:val="24"/>
                <w:szCs w:val="24"/>
                <w:lang w:bidi="ar"/>
              </w:rPr>
              <w:t>数量</w:t>
            </w:r>
          </w:p>
        </w:tc>
        <w:tc>
          <w:tcPr>
            <w:tcW w:w="75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b/>
                <w:bCs/>
                <w:color w:val="000000"/>
                <w:sz w:val="24"/>
              </w:rPr>
            </w:pPr>
            <w:r>
              <w:rPr>
                <w:rStyle w:val="257"/>
                <w:sz w:val="24"/>
                <w:szCs w:val="24"/>
                <w:lang w:bidi="ar"/>
              </w:rPr>
              <w:t>备注：</w:t>
            </w: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1</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汇聚交换机</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2</w:t>
            </w:r>
          </w:p>
        </w:tc>
        <w:tc>
          <w:tcPr>
            <w:tcW w:w="75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核心机房</w:t>
            </w: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2</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POE交换机</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24</w:t>
            </w:r>
          </w:p>
        </w:tc>
        <w:tc>
          <w:tcPr>
            <w:tcW w:w="755" w:type="pct"/>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4"/>
              </w:rPr>
            </w:pP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3</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筒形摄像机</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56</w:t>
            </w:r>
          </w:p>
        </w:tc>
        <w:tc>
          <w:tcPr>
            <w:tcW w:w="755" w:type="pct"/>
            <w:vMerge w:val="restar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摄像头合计：452个</w:t>
            </w: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4</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半球摄像机</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375</w:t>
            </w:r>
          </w:p>
        </w:tc>
        <w:tc>
          <w:tcPr>
            <w:tcW w:w="755" w:type="pct"/>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4"/>
              </w:rPr>
            </w:pP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5</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电梯摄像机</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8</w:t>
            </w:r>
          </w:p>
        </w:tc>
        <w:tc>
          <w:tcPr>
            <w:tcW w:w="755" w:type="pct"/>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4"/>
              </w:rPr>
            </w:pP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6</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一体球形摄像机</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13</w:t>
            </w:r>
          </w:p>
        </w:tc>
        <w:tc>
          <w:tcPr>
            <w:tcW w:w="755" w:type="pct"/>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4"/>
              </w:rPr>
            </w:pP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7</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存储服务器</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2</w:t>
            </w:r>
          </w:p>
        </w:tc>
        <w:tc>
          <w:tcPr>
            <w:tcW w:w="755" w:type="pct"/>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4"/>
              </w:rPr>
            </w:pP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8</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6T监控级硬盘</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块</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72</w:t>
            </w:r>
          </w:p>
        </w:tc>
        <w:tc>
          <w:tcPr>
            <w:tcW w:w="75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72 每块6T</w:t>
            </w: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9</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综合管理平台</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2</w:t>
            </w:r>
          </w:p>
        </w:tc>
        <w:tc>
          <w:tcPr>
            <w:tcW w:w="755" w:type="pct"/>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4"/>
              </w:rPr>
            </w:pP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10</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管理工作站</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2</w:t>
            </w:r>
          </w:p>
        </w:tc>
        <w:tc>
          <w:tcPr>
            <w:tcW w:w="755" w:type="pct"/>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4"/>
              </w:rPr>
            </w:pP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11</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控制键盘</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2</w:t>
            </w:r>
          </w:p>
        </w:tc>
        <w:tc>
          <w:tcPr>
            <w:tcW w:w="755" w:type="pct"/>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4"/>
              </w:rPr>
            </w:pP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12</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监控拼接屏</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套</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16</w:t>
            </w:r>
          </w:p>
        </w:tc>
        <w:tc>
          <w:tcPr>
            <w:tcW w:w="755" w:type="pct"/>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4"/>
              </w:rPr>
            </w:pP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13</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解码器</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2</w:t>
            </w:r>
          </w:p>
        </w:tc>
        <w:tc>
          <w:tcPr>
            <w:tcW w:w="755" w:type="pct"/>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4"/>
              </w:rPr>
            </w:pPr>
          </w:p>
        </w:tc>
      </w:tr>
      <w:tr>
        <w:tblPrEx>
          <w:tblCellMar>
            <w:top w:w="0" w:type="dxa"/>
            <w:left w:w="108" w:type="dxa"/>
            <w:bottom w:w="0" w:type="dxa"/>
            <w:right w:w="108" w:type="dxa"/>
          </w:tblCellMar>
        </w:tblPrEx>
        <w:trPr>
          <w:trHeight w:val="443" w:hRule="atLeast"/>
        </w:trPr>
        <w:tc>
          <w:tcPr>
            <w:tcW w:w="895"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14</w:t>
            </w:r>
          </w:p>
        </w:tc>
        <w:tc>
          <w:tcPr>
            <w:tcW w:w="1552"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42寸显示大屏</w:t>
            </w:r>
          </w:p>
        </w:tc>
        <w:tc>
          <w:tcPr>
            <w:tcW w:w="859"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Style w:val="258"/>
                <w:sz w:val="24"/>
                <w:szCs w:val="24"/>
                <w:lang w:bidi="ar"/>
              </w:rPr>
              <w:t>台</w:t>
            </w:r>
          </w:p>
        </w:tc>
        <w:tc>
          <w:tcPr>
            <w:tcW w:w="937" w:type="pc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cs="宋体"/>
                <w:color w:val="000000"/>
                <w:sz w:val="24"/>
              </w:rPr>
            </w:pPr>
            <w:r>
              <w:rPr>
                <w:rFonts w:hint="eastAsia" w:ascii="宋体" w:hAnsi="宋体" w:cs="宋体"/>
                <w:color w:val="000000"/>
                <w:kern w:val="0"/>
                <w:sz w:val="24"/>
                <w:lang w:bidi="ar"/>
              </w:rPr>
              <w:t>1</w:t>
            </w:r>
          </w:p>
        </w:tc>
        <w:tc>
          <w:tcPr>
            <w:tcW w:w="755" w:type="pct"/>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4"/>
              </w:rPr>
            </w:pPr>
          </w:p>
        </w:tc>
      </w:tr>
    </w:tbl>
    <w:p>
      <w:pPr>
        <w:ind w:firstLine="482" w:firstLineChars="200"/>
        <w:rPr>
          <w:rFonts w:ascii="宋体" w:hAnsi="宋体" w:cs="宋体"/>
          <w:b/>
          <w:sz w:val="24"/>
        </w:rPr>
      </w:pPr>
    </w:p>
    <w:p>
      <w:pPr>
        <w:rPr>
          <w:rFonts w:ascii="宋体" w:hAnsi="宋体" w:cs="宋体"/>
          <w:b/>
          <w:sz w:val="24"/>
        </w:rPr>
      </w:pPr>
      <w:r>
        <w:rPr>
          <w:rFonts w:hint="eastAsia" w:ascii="宋体" w:hAnsi="宋体" w:cs="宋体"/>
          <w:b/>
          <w:sz w:val="24"/>
        </w:rPr>
        <w:br w:type="page"/>
      </w:r>
    </w:p>
    <w:tbl>
      <w:tblPr>
        <w:tblStyle w:val="45"/>
        <w:tblW w:w="9145" w:type="dxa"/>
        <w:tblInd w:w="96" w:type="dxa"/>
        <w:tblLayout w:type="autofit"/>
        <w:tblCellMar>
          <w:top w:w="0" w:type="dxa"/>
          <w:left w:w="108" w:type="dxa"/>
          <w:bottom w:w="0" w:type="dxa"/>
          <w:right w:w="108" w:type="dxa"/>
        </w:tblCellMar>
      </w:tblPr>
      <w:tblGrid>
        <w:gridCol w:w="3714"/>
        <w:gridCol w:w="2495"/>
        <w:gridCol w:w="1845"/>
        <w:gridCol w:w="1091"/>
      </w:tblGrid>
      <w:tr>
        <w:tblPrEx>
          <w:tblCellMar>
            <w:top w:w="0" w:type="dxa"/>
            <w:left w:w="108" w:type="dxa"/>
            <w:bottom w:w="0" w:type="dxa"/>
            <w:right w:w="108" w:type="dxa"/>
          </w:tblCellMar>
        </w:tblPrEx>
        <w:trPr>
          <w:trHeight w:val="600" w:hRule="atLeast"/>
        </w:trPr>
        <w:tc>
          <w:tcPr>
            <w:tcW w:w="9145" w:type="dxa"/>
            <w:gridSpan w:val="4"/>
            <w:tcBorders>
              <w:top w:val="nil"/>
              <w:left w:val="nil"/>
              <w:bottom w:val="nil"/>
              <w:right w:val="nil"/>
            </w:tcBorders>
            <w:shd w:val="clear" w:color="auto" w:fill="auto"/>
            <w:noWrap/>
            <w:vAlign w:val="center"/>
          </w:tcPr>
          <w:p>
            <w:pPr>
              <w:widowControl/>
              <w:jc w:val="left"/>
              <w:textAlignment w:val="center"/>
              <w:rPr>
                <w:rFonts w:ascii="宋体" w:hAnsi="宋体" w:cs="宋体"/>
                <w:b/>
                <w:bCs/>
                <w:color w:val="000000"/>
                <w:sz w:val="24"/>
              </w:rPr>
            </w:pPr>
            <w:r>
              <w:rPr>
                <w:rFonts w:hint="eastAsia" w:ascii="宋体" w:hAnsi="宋体" w:cs="宋体"/>
                <w:b/>
                <w:bCs/>
                <w:color w:val="000000"/>
                <w:kern w:val="0"/>
                <w:sz w:val="24"/>
                <w:lang w:bidi="ar"/>
              </w:rPr>
              <w:t>7.北京市残疾人服务示范中心-空调新风系统统计表</w:t>
            </w: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名称</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描述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空调新风系统服务器</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配置：联想i5-11400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441"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空调新风系统登记表</w:t>
            </w: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设备位置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服务区域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新风机组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B2空调机房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B2层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新风机组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新风机组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新风机组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新风机组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新风机组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新风机组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新风机组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新风机组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新风机组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F4空调机房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新风机组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F5空调机房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空调机组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空调机组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空调机组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F4空调机房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F5空调机房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F6空调机房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F7空调机房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F8空调机房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F9空调机房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F10空调机房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F11空调机房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F12空调机房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F13空调机房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F14空调机房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F15空调机房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F16空调机房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F17空调机房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F18空调机房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F19空调机房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F20空调机房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F21空调机房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热回收机组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F22空调机房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bl>
    <w:p>
      <w:pPr>
        <w:ind w:firstLine="482" w:firstLineChars="200"/>
        <w:rPr>
          <w:rFonts w:ascii="宋体" w:hAnsi="宋体" w:cs="宋体"/>
          <w:b/>
          <w:sz w:val="24"/>
        </w:rPr>
      </w:pPr>
    </w:p>
    <w:p>
      <w:pPr>
        <w:rPr>
          <w:rFonts w:ascii="宋体" w:hAnsi="宋体" w:cs="宋体"/>
          <w:b/>
          <w:sz w:val="24"/>
        </w:rPr>
      </w:pPr>
      <w:r>
        <w:rPr>
          <w:rFonts w:hint="eastAsia" w:ascii="宋体" w:hAnsi="宋体" w:cs="宋体"/>
          <w:b/>
          <w:sz w:val="24"/>
        </w:rPr>
        <w:br w:type="page"/>
      </w:r>
    </w:p>
    <w:tbl>
      <w:tblPr>
        <w:tblStyle w:val="45"/>
        <w:tblW w:w="9456" w:type="dxa"/>
        <w:tblInd w:w="96" w:type="dxa"/>
        <w:tblLayout w:type="autofit"/>
        <w:tblCellMar>
          <w:top w:w="0" w:type="dxa"/>
          <w:left w:w="108" w:type="dxa"/>
          <w:bottom w:w="0" w:type="dxa"/>
          <w:right w:w="108" w:type="dxa"/>
        </w:tblCellMar>
      </w:tblPr>
      <w:tblGrid>
        <w:gridCol w:w="3527"/>
        <w:gridCol w:w="1749"/>
        <w:gridCol w:w="3319"/>
        <w:gridCol w:w="862"/>
      </w:tblGrid>
      <w:tr>
        <w:tblPrEx>
          <w:tblCellMar>
            <w:top w:w="0" w:type="dxa"/>
            <w:left w:w="108" w:type="dxa"/>
            <w:bottom w:w="0" w:type="dxa"/>
            <w:right w:w="108" w:type="dxa"/>
          </w:tblCellMar>
        </w:tblPrEx>
        <w:trPr>
          <w:trHeight w:val="600" w:hRule="atLeast"/>
        </w:trPr>
        <w:tc>
          <w:tcPr>
            <w:tcW w:w="9457" w:type="dxa"/>
            <w:gridSpan w:val="4"/>
            <w:tcBorders>
              <w:top w:val="nil"/>
              <w:left w:val="nil"/>
              <w:bottom w:val="nil"/>
              <w:right w:val="nil"/>
            </w:tcBorders>
            <w:shd w:val="clear" w:color="auto" w:fill="auto"/>
            <w:noWrap/>
            <w:vAlign w:val="center"/>
          </w:tcPr>
          <w:p>
            <w:pPr>
              <w:widowControl/>
              <w:jc w:val="left"/>
              <w:textAlignment w:val="center"/>
              <w:rPr>
                <w:rFonts w:ascii="宋体" w:hAnsi="宋体" w:cs="宋体"/>
                <w:b/>
                <w:bCs/>
                <w:color w:val="000000"/>
                <w:sz w:val="24"/>
              </w:rPr>
            </w:pPr>
            <w:r>
              <w:rPr>
                <w:rFonts w:hint="eastAsia" w:ascii="宋体" w:hAnsi="宋体" w:cs="宋体"/>
                <w:b/>
                <w:bCs/>
                <w:color w:val="000000"/>
                <w:kern w:val="0"/>
                <w:sz w:val="24"/>
                <w:lang w:bidi="ar"/>
              </w:rPr>
              <w:t>8.北京市残疾人服务示范中心-停车道闸系统统计表</w:t>
            </w:r>
          </w:p>
        </w:tc>
      </w:tr>
      <w:tr>
        <w:tblPrEx>
          <w:tblCellMar>
            <w:top w:w="0" w:type="dxa"/>
            <w:left w:w="108" w:type="dxa"/>
            <w:bottom w:w="0" w:type="dxa"/>
            <w:right w:w="108" w:type="dxa"/>
          </w:tblCellMar>
        </w:tblPrEx>
        <w:trPr>
          <w:trHeight w:val="5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位置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描述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地库停车道闸系统服务器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一楼中控室</w:t>
            </w:r>
          </w:p>
        </w:tc>
        <w:tc>
          <w:tcPr>
            <w:tcW w:w="41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配置：联想i5-11400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地库停车道闸系统软件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一楼中控室</w:t>
            </w:r>
          </w:p>
        </w:tc>
        <w:tc>
          <w:tcPr>
            <w:tcW w:w="41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智慧停车场收费、管理系统X10.0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系统接入交换机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一楼中控室</w:t>
            </w:r>
          </w:p>
        </w:tc>
        <w:tc>
          <w:tcPr>
            <w:tcW w:w="41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H3C S5130交换机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车辆识别一体机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地库入口</w:t>
            </w:r>
          </w:p>
        </w:tc>
        <w:tc>
          <w:tcPr>
            <w:tcW w:w="41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含车辆识别摄像机2个、信息显示屏2个、补光灯2个、变频道闸控制器、220V电源、车辆检测器、地感线圈、直杆栅栏道闸。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车辆识别一体机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地库出口</w:t>
            </w:r>
          </w:p>
        </w:tc>
        <w:tc>
          <w:tcPr>
            <w:tcW w:w="41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含车辆识别摄像机、信息显示屏、补光灯、变频道闸控制器、220V电源、车辆检测器、地感线圈、直杆栅栏道闸。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地面停车道闸系统服务器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地面岗亭</w:t>
            </w:r>
          </w:p>
        </w:tc>
        <w:tc>
          <w:tcPr>
            <w:tcW w:w="41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配置：i5-8600K</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地面停车道闸系统软件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地面岗亭</w:t>
            </w:r>
          </w:p>
        </w:tc>
        <w:tc>
          <w:tcPr>
            <w:tcW w:w="41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智慧停车场收费、管理系统X10.0，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系统接入交换机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地面岗亭</w:t>
            </w:r>
          </w:p>
        </w:tc>
        <w:tc>
          <w:tcPr>
            <w:tcW w:w="41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ajhua SOHO交换机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地面停车道闸遥控系统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地面岗亭</w:t>
            </w:r>
          </w:p>
        </w:tc>
        <w:tc>
          <w:tcPr>
            <w:tcW w:w="41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含有线控制器一个，无线控制器二个。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车辆识别一体机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地面入口</w:t>
            </w:r>
          </w:p>
        </w:tc>
        <w:tc>
          <w:tcPr>
            <w:tcW w:w="41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含车辆识别摄像机2个、信息显示屏、补光灯、变频道闸控制器、220V电源、车辆检测器、地感线圈、直杆栅栏道闸。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车辆识别一体机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地面出口</w:t>
            </w:r>
          </w:p>
        </w:tc>
        <w:tc>
          <w:tcPr>
            <w:tcW w:w="41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含车辆识别摄像机、信息显示屏、补光灯、变频道闸控制器、220V电源、车辆检测器、地感线圈、直杆栅栏道闸。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bl>
    <w:p>
      <w:pPr>
        <w:rPr>
          <w:rFonts w:ascii="宋体" w:hAnsi="宋体" w:cs="宋体"/>
          <w:b/>
          <w:sz w:val="24"/>
        </w:rPr>
      </w:pPr>
      <w:r>
        <w:rPr>
          <w:rFonts w:hint="eastAsia" w:ascii="宋体" w:hAnsi="宋体" w:cs="宋体"/>
          <w:b/>
          <w:sz w:val="24"/>
        </w:rPr>
        <w:br w:type="page"/>
      </w:r>
    </w:p>
    <w:tbl>
      <w:tblPr>
        <w:tblStyle w:val="45"/>
        <w:tblW w:w="5000" w:type="pct"/>
        <w:tblInd w:w="0" w:type="dxa"/>
        <w:tblLayout w:type="autofit"/>
        <w:tblCellMar>
          <w:top w:w="0" w:type="dxa"/>
          <w:left w:w="108" w:type="dxa"/>
          <w:bottom w:w="0" w:type="dxa"/>
          <w:right w:w="108" w:type="dxa"/>
        </w:tblCellMar>
      </w:tblPr>
      <w:tblGrid>
        <w:gridCol w:w="1473"/>
        <w:gridCol w:w="4133"/>
        <w:gridCol w:w="2428"/>
        <w:gridCol w:w="1254"/>
      </w:tblGrid>
      <w:tr>
        <w:trPr>
          <w:trHeight w:val="600" w:hRule="atLeast"/>
        </w:trPr>
        <w:tc>
          <w:tcPr>
            <w:tcW w:w="5000" w:type="pct"/>
            <w:gridSpan w:val="4"/>
            <w:tcBorders>
              <w:top w:val="nil"/>
              <w:left w:val="nil"/>
              <w:bottom w:val="nil"/>
              <w:right w:val="nil"/>
            </w:tcBorders>
            <w:shd w:val="clear" w:color="auto" w:fill="auto"/>
            <w:noWrap/>
            <w:vAlign w:val="center"/>
          </w:tcPr>
          <w:p>
            <w:pPr>
              <w:widowControl/>
              <w:jc w:val="left"/>
              <w:textAlignment w:val="center"/>
              <w:rPr>
                <w:rFonts w:ascii="宋体" w:hAnsi="宋体" w:cs="宋体"/>
                <w:b/>
                <w:bCs/>
                <w:color w:val="000000"/>
                <w:sz w:val="24"/>
              </w:rPr>
            </w:pPr>
            <w:r>
              <w:rPr>
                <w:rFonts w:hint="eastAsia" w:ascii="宋体" w:hAnsi="宋体" w:cs="宋体"/>
                <w:b/>
                <w:bCs/>
                <w:color w:val="000000"/>
                <w:kern w:val="0"/>
                <w:sz w:val="24"/>
                <w:lang w:bidi="ar"/>
              </w:rPr>
              <w:t>9.北京市残疾人服务示范中心-托养中心呼叫系统统计表</w:t>
            </w:r>
          </w:p>
        </w:tc>
      </w:tr>
      <w:tr>
        <w:tblPrEx>
          <w:tblCellMar>
            <w:top w:w="0" w:type="dxa"/>
            <w:left w:w="108" w:type="dxa"/>
            <w:bottom w:w="0" w:type="dxa"/>
            <w:right w:w="108" w:type="dxa"/>
          </w:tblCellMar>
        </w:tblPrEx>
        <w:trPr>
          <w:trHeight w:val="360" w:hRule="atLeast"/>
        </w:trPr>
        <w:tc>
          <w:tcPr>
            <w:tcW w:w="301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名称</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位置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90" w:hRule="atLeast"/>
        </w:trPr>
        <w:tc>
          <w:tcPr>
            <w:tcW w:w="301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托养中心呼叫系统服务器</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19F中控室</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300" w:hRule="atLeast"/>
        </w:trPr>
        <w:tc>
          <w:tcPr>
            <w:tcW w:w="301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托养中心呼叫系统后台管理软件</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300" w:hRule="atLeast"/>
        </w:trPr>
        <w:tc>
          <w:tcPr>
            <w:tcW w:w="301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汇聚交换机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19F中控室</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300" w:hRule="atLeast"/>
        </w:trPr>
        <w:tc>
          <w:tcPr>
            <w:tcW w:w="301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接入交换机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弱电竖井</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441"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托养中心呼叫系统点位表</w:t>
            </w:r>
          </w:p>
        </w:tc>
      </w:tr>
      <w:tr>
        <w:tblPrEx>
          <w:tblCellMar>
            <w:top w:w="0" w:type="dxa"/>
            <w:left w:w="108" w:type="dxa"/>
            <w:bottom w:w="0" w:type="dxa"/>
            <w:right w:w="108" w:type="dxa"/>
          </w:tblCellMar>
        </w:tblPrEx>
        <w:trPr>
          <w:trHeight w:val="360"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楼层</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名称</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终端类型</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备注</w:t>
            </w: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9F护士站话机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护士站</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9F信息屏</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907室2床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907室1床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907</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906B室3床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906B室2床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906B室1床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906B</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906A室3床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906A室2床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906A室1床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906A</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905室4床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905室3床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904B室3床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904B室2床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904B室1床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904B</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904A室3床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904A室2床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904A室1床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904A</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903室4床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903室3床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902B室3床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902B室2床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902B室1床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902B</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902A室3床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902A室2床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902A室1床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902A</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901室4床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901室3床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09F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10F护士站话机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护士站</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10F信息屏</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1007室2床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1007室1床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1007</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1006B室3床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1006B室2床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1006B室1床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1006B</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1006A室3床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1006A室2床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1006A室1床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1006A</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1005室4床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1005室3床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1004B室3床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1004B室2床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1004B室1床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1004B</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1004A3床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1004A2床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1004A1床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1004A</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1003室4床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1003室3床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1002B室3床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1002B室2床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1002B室1床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1002B</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1002A室3床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1002A室2床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1002A室1床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1002A</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1001室4床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1001室3床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11F护士站话机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护士站</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11F信息屏</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1107室2床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1107室1床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1107</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1106B室3床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1106B室2床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1106B室1床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1106B</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1106A室3床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1106A室2床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1106A室1床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1106A</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1105室4床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1105室3床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16"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1104B室3床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1104B室2床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1104B室1床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1104B</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1104A室3床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1104A室2床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1104A室1床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1104A</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1103室4床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1103室3床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1102B室3床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1102B室2床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1102B室1床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1102B</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1102A室3床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1102A室2床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1102A室1床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1102A</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1101室4床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1101室3床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12F护士站话机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护士站</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12F信息屏</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1212室4床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1212室3床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1210室2床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1210室1床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1210</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1209室2床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1209室1床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1209</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1208室4床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1208室3床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1208室2床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1208室1床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1208</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1207室2床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1207室1床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1207</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1203室4床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1203室3床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13F护士站话机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护士站</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13F信息屏</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1310室2床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1310室1床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1310</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1309室2床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1309室1床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1309</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1308室2床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1308室1床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1308</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1307室2床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1307室1床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1307</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14F护士站话机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护士站</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14F信息屏</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1A10室2床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1A10室1床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1A10</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1A09室2床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1A09室1床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1A09</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1A08室2床--无</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1A08室2床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1A08室1床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1A08</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1A07室2床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1A07室1床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1A07</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1A01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15F护士站话机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护士站</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15F信息屏</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1510室2床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1510室1床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1510</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1509室2床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1509室1床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1509</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1508室2床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1508室1床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1508</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1507室2床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1507室1床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1507</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16F护士站话机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护士站</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16F信息屏</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1610室2床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1610室1床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1610</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1609室2床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1609室1床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1609</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1608室2床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1608室1床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1608</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1607室2床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1607室1床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1607</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17F护士站话机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护士站</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17F信息屏</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1710室2床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1710室1床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1710</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1709室2床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1709室1床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1709</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1708室2床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1708室1床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1708</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1707室2床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1707室1床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1707</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18F护士站话机</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护士站</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18F信息屏</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信息屏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1810门口屏</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1810室2床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1810室1床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1809室2床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1809室1床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1809</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1808室2床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1808室1床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1808</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1807室2床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1807室1床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1807</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1806室2床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1806室1床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1806</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1805室2床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1805室1床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1805</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1804室2床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1804室1床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1804</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1803室2床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1803室1床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1803</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1802室2床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1802室1床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1802</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1801室2床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1801室1床</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MS0三键</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288"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18F</w:t>
            </w:r>
          </w:p>
        </w:tc>
        <w:tc>
          <w:tcPr>
            <w:tcW w:w="22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1801</w:t>
            </w: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门口屏</w:t>
            </w:r>
          </w:p>
        </w:tc>
        <w:tc>
          <w:tcPr>
            <w:tcW w:w="6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rPr>
            </w:pPr>
          </w:p>
        </w:tc>
      </w:tr>
    </w:tbl>
    <w:p>
      <w:pPr>
        <w:ind w:firstLine="482" w:firstLineChars="200"/>
        <w:rPr>
          <w:rFonts w:ascii="宋体" w:hAnsi="宋体" w:cs="宋体"/>
          <w:color w:val="000000"/>
          <w:spacing w:val="-1"/>
          <w:sz w:val="24"/>
        </w:rPr>
      </w:pPr>
      <w:r>
        <w:rPr>
          <w:rFonts w:ascii="宋体" w:hAnsi="宋体"/>
          <w:b/>
          <w:sz w:val="24"/>
        </w:rPr>
        <w:br w:type="page"/>
      </w:r>
    </w:p>
    <w:p>
      <w:pPr>
        <w:numPr>
          <w:ilvl w:val="0"/>
          <w:numId w:val="12"/>
        </w:numPr>
        <w:jc w:val="center"/>
        <w:outlineLvl w:val="0"/>
        <w:rPr>
          <w:b/>
          <w:sz w:val="36"/>
          <w:szCs w:val="36"/>
        </w:rPr>
      </w:pPr>
      <w:bookmarkStart w:id="668" w:name="_Toc24247"/>
      <w:r>
        <w:rPr>
          <w:b/>
          <w:sz w:val="36"/>
          <w:szCs w:val="36"/>
        </w:rPr>
        <w:t xml:space="preserve">  合同草案条款</w:t>
      </w:r>
      <w:bookmarkEnd w:id="668"/>
    </w:p>
    <w:p>
      <w:pPr>
        <w:pStyle w:val="99"/>
        <w:numPr>
          <w:ilvl w:val="0"/>
          <w:numId w:val="0"/>
        </w:numPr>
        <w:spacing w:line="360" w:lineRule="auto"/>
        <w:ind w:firstLine="0" w:firstLineChars="0"/>
        <w:jc w:val="center"/>
        <w:rPr>
          <w:rFonts w:cs="微软雅黑" w:asciiTheme="minorEastAsia" w:hAnsiTheme="minorEastAsia" w:eastAsiaTheme="minorEastAsia"/>
          <w:b/>
          <w:bCs/>
          <w:sz w:val="24"/>
        </w:rPr>
      </w:pPr>
      <w:r>
        <w:rPr>
          <w:rFonts w:hint="eastAsia" w:cs="微软雅黑" w:asciiTheme="minorEastAsia" w:hAnsiTheme="minorEastAsia" w:eastAsiaTheme="minorEastAsia"/>
          <w:b/>
          <w:bCs/>
          <w:sz w:val="24"/>
        </w:rPr>
        <w:t>（此合同仅供参考。以最终采购人与成交供应商签定的合同条款为准）</w:t>
      </w:r>
    </w:p>
    <w:p>
      <w:pPr>
        <w:pStyle w:val="43"/>
        <w:ind w:firstLine="361"/>
        <w:rPr>
          <w:b/>
          <w:sz w:val="36"/>
          <w:szCs w:val="36"/>
        </w:rPr>
      </w:pPr>
    </w:p>
    <w:p>
      <w:pPr>
        <w:pStyle w:val="43"/>
        <w:ind w:firstLine="361"/>
        <w:rPr>
          <w:b/>
          <w:sz w:val="36"/>
          <w:szCs w:val="36"/>
        </w:rPr>
      </w:pPr>
    </w:p>
    <w:p>
      <w:pPr>
        <w:pStyle w:val="43"/>
        <w:ind w:firstLine="361"/>
        <w:rPr>
          <w:b/>
          <w:sz w:val="36"/>
          <w:szCs w:val="36"/>
        </w:rPr>
      </w:pPr>
    </w:p>
    <w:p>
      <w:pPr>
        <w:pStyle w:val="43"/>
        <w:ind w:firstLine="361"/>
        <w:rPr>
          <w:b/>
          <w:sz w:val="36"/>
          <w:szCs w:val="36"/>
        </w:rPr>
      </w:pPr>
    </w:p>
    <w:p>
      <w:pPr>
        <w:pStyle w:val="43"/>
        <w:ind w:firstLine="361"/>
        <w:rPr>
          <w:b/>
          <w:sz w:val="36"/>
          <w:szCs w:val="36"/>
        </w:rPr>
      </w:pPr>
    </w:p>
    <w:p>
      <w:pPr>
        <w:pStyle w:val="43"/>
        <w:ind w:firstLine="361"/>
        <w:rPr>
          <w:b/>
          <w:sz w:val="36"/>
          <w:szCs w:val="36"/>
        </w:rPr>
      </w:pPr>
    </w:p>
    <w:p>
      <w:pPr>
        <w:widowControl/>
        <w:kinsoku w:val="0"/>
        <w:autoSpaceDE w:val="0"/>
        <w:autoSpaceDN w:val="0"/>
        <w:adjustRightInd w:val="0"/>
        <w:snapToGrid w:val="0"/>
        <w:jc w:val="center"/>
        <w:textAlignment w:val="baseline"/>
        <w:rPr>
          <w:rFonts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rPr>
        <w:t>北京市残疾人服务示范中心</w:t>
      </w:r>
    </w:p>
    <w:p>
      <w:pPr>
        <w:jc w:val="center"/>
        <w:rPr>
          <w:rFonts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rPr>
        <w:t>安防和楼控系统维保项目合同书</w:t>
      </w:r>
    </w:p>
    <w:p>
      <w:pPr>
        <w:jc w:val="center"/>
        <w:rPr>
          <w:rFonts w:asciiTheme="majorEastAsia" w:hAnsiTheme="majorEastAsia" w:eastAsiaTheme="majorEastAsia" w:cstheme="majorEastAsia"/>
          <w:sz w:val="52"/>
          <w:szCs w:val="52"/>
        </w:rPr>
      </w:pPr>
    </w:p>
    <w:p>
      <w:pPr>
        <w:jc w:val="center"/>
        <w:rPr>
          <w:rFonts w:asciiTheme="majorEastAsia" w:hAnsiTheme="majorEastAsia" w:eastAsiaTheme="majorEastAsia" w:cstheme="majorEastAsia"/>
          <w:sz w:val="52"/>
          <w:szCs w:val="52"/>
        </w:rPr>
      </w:pPr>
    </w:p>
    <w:p>
      <w:pPr>
        <w:jc w:val="center"/>
        <w:rPr>
          <w:rFonts w:asciiTheme="majorEastAsia" w:hAnsiTheme="majorEastAsia" w:eastAsiaTheme="majorEastAsia" w:cstheme="majorEastAsia"/>
          <w:sz w:val="52"/>
          <w:szCs w:val="52"/>
        </w:rPr>
      </w:pPr>
    </w:p>
    <w:tbl>
      <w:tblPr>
        <w:tblStyle w:val="46"/>
        <w:tblpPr w:leftFromText="180" w:rightFromText="180" w:vertAnchor="text" w:horzAnchor="page" w:tblpX="4014" w:tblpY="921"/>
        <w:tblOverlap w:val="never"/>
        <w:tblW w:w="0" w:type="auto"/>
        <w:tblInd w:w="0" w:type="dxa"/>
        <w:tblBorders>
          <w:top w:val="none" w:color="auto" w:sz="0"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696"/>
        <w:gridCol w:w="2376"/>
      </w:tblGrid>
      <w:tr>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696" w:type="dxa"/>
          </w:tcPr>
          <w:p>
            <w:pPr>
              <w:jc w:val="center"/>
              <w:rPr>
                <w:rFonts w:ascii="楷体_GB2312" w:hAnsi="楷体_GB2312" w:eastAsia="楷体_GB2312" w:cs="楷体_GB2312"/>
              </w:rPr>
            </w:pPr>
            <w:r>
              <w:rPr>
                <w:rFonts w:hint="eastAsia" w:ascii="楷体_GB2312" w:hAnsi="楷体_GB2312" w:eastAsia="楷体_GB2312" w:cs="楷体_GB2312"/>
                <w:sz w:val="24"/>
              </w:rPr>
              <w:t>甲方</w:t>
            </w:r>
          </w:p>
        </w:tc>
        <w:tc>
          <w:tcPr>
            <w:tcW w:w="2376" w:type="dxa"/>
          </w:tcPr>
          <w:p>
            <w:pPr>
              <w:rPr>
                <w:rFonts w:ascii="楷体_GB2312" w:hAnsi="楷体_GB2312" w:eastAsia="楷体_GB2312" w:cs="楷体_GB2312"/>
              </w:rPr>
            </w:pPr>
            <w:r>
              <w:rPr>
                <w:rFonts w:hint="eastAsia" w:ascii="楷体_GB2312" w:hAnsi="楷体_GB2312" w:eastAsia="楷体_GB2312" w:cs="楷体_GB2312"/>
                <w:sz w:val="24"/>
              </w:rPr>
              <w:t>：</w:t>
            </w:r>
          </w:p>
        </w:tc>
      </w:tr>
      <w:tr>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696" w:type="dxa"/>
            <w:vAlign w:val="center"/>
          </w:tcPr>
          <w:p>
            <w:pPr>
              <w:jc w:val="center"/>
              <w:rPr>
                <w:rFonts w:ascii="楷体_GB2312" w:hAnsi="楷体_GB2312" w:eastAsia="楷体_GB2312" w:cs="楷体_GB2312"/>
                <w:sz w:val="24"/>
              </w:rPr>
            </w:pPr>
          </w:p>
          <w:p>
            <w:pPr>
              <w:jc w:val="center"/>
              <w:rPr>
                <w:rFonts w:ascii="楷体_GB2312" w:hAnsi="楷体_GB2312" w:eastAsia="楷体_GB2312" w:cs="楷体_GB2312"/>
              </w:rPr>
            </w:pPr>
            <w:r>
              <w:rPr>
                <w:rFonts w:hint="eastAsia" w:ascii="楷体_GB2312" w:hAnsi="楷体_GB2312" w:eastAsia="楷体_GB2312" w:cs="楷体_GB2312"/>
                <w:sz w:val="24"/>
              </w:rPr>
              <w:t>乙方</w:t>
            </w:r>
          </w:p>
        </w:tc>
        <w:tc>
          <w:tcPr>
            <w:tcW w:w="2376" w:type="dxa"/>
            <w:vAlign w:val="center"/>
          </w:tcPr>
          <w:p>
            <w:pPr>
              <w:rPr>
                <w:rFonts w:ascii="楷体_GB2312" w:hAnsi="楷体_GB2312" w:eastAsia="楷体_GB2312" w:cs="楷体_GB2312"/>
                <w:sz w:val="24"/>
              </w:rPr>
            </w:pPr>
          </w:p>
          <w:p>
            <w:pPr>
              <w:rPr>
                <w:rFonts w:ascii="楷体_GB2312" w:hAnsi="楷体_GB2312" w:eastAsia="楷体_GB2312" w:cs="楷体_GB2312"/>
                <w:sz w:val="24"/>
              </w:rPr>
            </w:pPr>
            <w:r>
              <w:rPr>
                <w:rFonts w:hint="eastAsia" w:ascii="楷体_GB2312" w:hAnsi="楷体_GB2312" w:eastAsia="楷体_GB2312" w:cs="楷体_GB2312"/>
                <w:sz w:val="24"/>
              </w:rPr>
              <w:t>：</w:t>
            </w:r>
          </w:p>
        </w:tc>
      </w:tr>
      <w:tr>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696" w:type="dxa"/>
          </w:tcPr>
          <w:p>
            <w:pPr>
              <w:jc w:val="center"/>
              <w:rPr>
                <w:rFonts w:ascii="楷体_GB2312" w:hAnsi="楷体_GB2312" w:eastAsia="楷体_GB2312" w:cs="楷体_GB2312"/>
                <w:sz w:val="24"/>
              </w:rPr>
            </w:pPr>
          </w:p>
          <w:p>
            <w:pPr>
              <w:jc w:val="center"/>
              <w:rPr>
                <w:rFonts w:ascii="楷体_GB2312" w:hAnsi="楷体_GB2312" w:eastAsia="楷体_GB2312" w:cs="楷体_GB2312"/>
              </w:rPr>
            </w:pPr>
            <w:r>
              <w:rPr>
                <w:rFonts w:hint="eastAsia" w:ascii="楷体_GB2312" w:hAnsi="楷体_GB2312" w:eastAsia="楷体_GB2312" w:cs="楷体_GB2312"/>
                <w:sz w:val="24"/>
              </w:rPr>
              <w:t>日期</w:t>
            </w:r>
          </w:p>
        </w:tc>
        <w:tc>
          <w:tcPr>
            <w:tcW w:w="2376" w:type="dxa"/>
          </w:tcPr>
          <w:p>
            <w:pPr>
              <w:rPr>
                <w:rFonts w:ascii="楷体_GB2312" w:hAnsi="楷体_GB2312" w:eastAsia="楷体_GB2312" w:cs="楷体_GB2312"/>
                <w:sz w:val="24"/>
              </w:rPr>
            </w:pPr>
          </w:p>
          <w:p>
            <w:pPr>
              <w:rPr>
                <w:rFonts w:ascii="楷体_GB2312" w:hAnsi="楷体_GB2312" w:eastAsia="楷体_GB2312" w:cs="楷体_GB2312"/>
              </w:rPr>
            </w:pPr>
            <w:r>
              <w:rPr>
                <w:rFonts w:hint="eastAsia" w:ascii="楷体_GB2312" w:hAnsi="楷体_GB2312" w:eastAsia="楷体_GB2312" w:cs="楷体_GB2312"/>
                <w:sz w:val="24"/>
              </w:rPr>
              <w:t>：　年 　月 　 日</w:t>
            </w:r>
          </w:p>
        </w:tc>
      </w:tr>
    </w:tbl>
    <w:p>
      <w:pPr>
        <w:jc w:val="center"/>
        <w:rPr>
          <w:rFonts w:asciiTheme="majorEastAsia" w:hAnsiTheme="majorEastAsia" w:eastAsiaTheme="majorEastAsia" w:cstheme="majorEastAsia"/>
          <w:sz w:val="52"/>
          <w:szCs w:val="52"/>
        </w:rPr>
      </w:pPr>
    </w:p>
    <w:p>
      <w:pPr>
        <w:rPr>
          <w:rFonts w:asciiTheme="majorEastAsia" w:hAnsiTheme="majorEastAsia" w:eastAsiaTheme="majorEastAsia" w:cstheme="majorEastAsia"/>
          <w:sz w:val="24"/>
        </w:rPr>
      </w:pPr>
    </w:p>
    <w:p>
      <w:pPr>
        <w:spacing w:line="600" w:lineRule="exact"/>
        <w:ind w:right="248" w:rightChars="118"/>
        <w:jc w:val="center"/>
        <w:rPr>
          <w:rFonts w:ascii="宋体" w:hAnsi="宋体"/>
          <w:b/>
          <w:bCs/>
          <w:sz w:val="32"/>
          <w:szCs w:val="32"/>
        </w:rPr>
      </w:pPr>
    </w:p>
    <w:p>
      <w:pPr>
        <w:spacing w:line="600" w:lineRule="exact"/>
        <w:ind w:right="248" w:rightChars="118"/>
        <w:jc w:val="center"/>
        <w:rPr>
          <w:rFonts w:ascii="宋体" w:hAnsi="宋体"/>
          <w:b/>
          <w:bCs/>
          <w:sz w:val="32"/>
          <w:szCs w:val="32"/>
        </w:rPr>
      </w:pPr>
    </w:p>
    <w:p>
      <w:pPr>
        <w:spacing w:line="600" w:lineRule="exact"/>
        <w:ind w:right="248" w:rightChars="118"/>
        <w:jc w:val="center"/>
        <w:rPr>
          <w:rFonts w:ascii="宋体" w:hAnsi="宋体"/>
          <w:b/>
          <w:bCs/>
          <w:sz w:val="32"/>
          <w:szCs w:val="32"/>
        </w:rPr>
      </w:pPr>
    </w:p>
    <w:p>
      <w:pPr>
        <w:spacing w:line="600" w:lineRule="exact"/>
        <w:ind w:right="248" w:rightChars="118"/>
        <w:jc w:val="center"/>
        <w:rPr>
          <w:rFonts w:ascii="宋体" w:hAnsi="宋体"/>
          <w:b/>
          <w:bCs/>
          <w:sz w:val="32"/>
          <w:szCs w:val="32"/>
        </w:rPr>
      </w:pPr>
    </w:p>
    <w:p>
      <w:pPr>
        <w:spacing w:line="600" w:lineRule="exact"/>
        <w:ind w:right="248" w:rightChars="118"/>
        <w:jc w:val="center"/>
        <w:rPr>
          <w:rFonts w:ascii="宋体" w:hAnsi="宋体"/>
          <w:b/>
          <w:bCs/>
          <w:sz w:val="32"/>
          <w:szCs w:val="32"/>
        </w:rPr>
      </w:pPr>
    </w:p>
    <w:p>
      <w:pPr>
        <w:spacing w:line="600" w:lineRule="exact"/>
        <w:ind w:right="248" w:rightChars="118"/>
        <w:jc w:val="center"/>
        <w:rPr>
          <w:rFonts w:ascii="宋体" w:hAnsi="宋体"/>
          <w:b/>
          <w:bCs/>
          <w:sz w:val="32"/>
          <w:szCs w:val="32"/>
        </w:rPr>
      </w:pPr>
    </w:p>
    <w:p>
      <w:pPr>
        <w:spacing w:line="600" w:lineRule="exact"/>
        <w:ind w:right="248" w:rightChars="118"/>
        <w:jc w:val="center"/>
        <w:rPr>
          <w:rFonts w:ascii="宋体" w:hAnsi="宋体"/>
          <w:b/>
          <w:bCs/>
          <w:sz w:val="32"/>
          <w:szCs w:val="32"/>
        </w:rPr>
      </w:pPr>
    </w:p>
    <w:p>
      <w:pPr>
        <w:widowControl/>
        <w:kinsoku w:val="0"/>
        <w:autoSpaceDE w:val="0"/>
        <w:autoSpaceDN w:val="0"/>
        <w:adjustRightInd w:val="0"/>
        <w:snapToGrid w:val="0"/>
        <w:jc w:val="center"/>
        <w:textAlignment w:val="baseline"/>
        <w:rPr>
          <w:rFonts w:ascii="宋体" w:hAnsi="宋体"/>
          <w:b/>
          <w:bCs/>
          <w:sz w:val="32"/>
          <w:szCs w:val="32"/>
        </w:rPr>
      </w:pPr>
    </w:p>
    <w:p>
      <w:pPr>
        <w:pStyle w:val="43"/>
        <w:ind w:firstLine="321"/>
        <w:rPr>
          <w:rFonts w:ascii="宋体" w:hAnsi="宋体"/>
          <w:b/>
          <w:bCs/>
          <w:sz w:val="32"/>
          <w:szCs w:val="32"/>
        </w:rPr>
      </w:pPr>
    </w:p>
    <w:p>
      <w:pPr>
        <w:widowControl/>
        <w:kinsoku w:val="0"/>
        <w:autoSpaceDE w:val="0"/>
        <w:autoSpaceDN w:val="0"/>
        <w:adjustRightInd w:val="0"/>
        <w:snapToGrid w:val="0"/>
        <w:jc w:val="center"/>
        <w:textAlignment w:val="baseline"/>
        <w:rPr>
          <w:rFonts w:ascii="宋体" w:hAnsi="宋体"/>
          <w:b/>
          <w:bCs/>
          <w:sz w:val="32"/>
          <w:szCs w:val="32"/>
        </w:rPr>
      </w:pPr>
    </w:p>
    <w:p>
      <w:pPr>
        <w:widowControl/>
        <w:kinsoku w:val="0"/>
        <w:autoSpaceDE w:val="0"/>
        <w:autoSpaceDN w:val="0"/>
        <w:adjustRightInd w:val="0"/>
        <w:snapToGrid w:val="0"/>
        <w:jc w:val="center"/>
        <w:textAlignment w:val="baseline"/>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北京市残疾人服务示范中心</w:t>
      </w:r>
    </w:p>
    <w:p>
      <w:pPr>
        <w:jc w:val="center"/>
        <w:rPr>
          <w:rFonts w:ascii="宋体" w:hAnsi="宋体"/>
          <w:sz w:val="24"/>
        </w:rPr>
      </w:pPr>
      <w:r>
        <w:rPr>
          <w:rFonts w:hint="eastAsia" w:ascii="方正小标宋简体" w:hAnsi="方正小标宋简体" w:eastAsia="方正小标宋简体" w:cs="方正小标宋简体"/>
          <w:sz w:val="32"/>
          <w:szCs w:val="32"/>
        </w:rPr>
        <w:t>安防和楼控系统维保项目合同书</w:t>
      </w:r>
      <w:r>
        <w:rPr>
          <w:rFonts w:hint="eastAsia" w:ascii="方正小标宋简体" w:hAnsi="方正小标宋简体" w:eastAsia="方正小标宋简体" w:cs="方正小标宋简体"/>
          <w:sz w:val="24"/>
        </w:rPr>
        <w:t xml:space="preserve">    </w:t>
      </w:r>
      <w:r>
        <w:rPr>
          <w:rFonts w:hint="eastAsia" w:ascii="宋体" w:hAnsi="宋体"/>
          <w:sz w:val="24"/>
        </w:rPr>
        <w:t xml:space="preserve">                                           </w:t>
      </w:r>
    </w:p>
    <w:p>
      <w:pPr>
        <w:spacing w:line="600" w:lineRule="exact"/>
        <w:ind w:right="248" w:rightChars="118"/>
        <w:rPr>
          <w:rFonts w:ascii="宋体" w:hAnsi="宋体"/>
          <w:sz w:val="24"/>
        </w:rPr>
      </w:pPr>
    </w:p>
    <w:p>
      <w:pPr>
        <w:spacing w:line="600" w:lineRule="exact"/>
        <w:ind w:right="248" w:rightChars="118"/>
        <w:rPr>
          <w:rFonts w:ascii="宋体" w:hAnsi="宋体" w:cs="宋体"/>
          <w:b/>
          <w:bCs/>
          <w:sz w:val="24"/>
        </w:rPr>
      </w:pPr>
      <w:r>
        <w:rPr>
          <w:rFonts w:hint="eastAsia" w:ascii="宋体" w:hAnsi="宋体" w:cs="宋体"/>
          <w:b/>
          <w:bCs/>
          <w:sz w:val="24"/>
        </w:rPr>
        <w:t>甲方：</w:t>
      </w:r>
    </w:p>
    <w:p>
      <w:pPr>
        <w:spacing w:line="600" w:lineRule="exact"/>
        <w:ind w:right="248" w:rightChars="118"/>
        <w:rPr>
          <w:rFonts w:ascii="宋体" w:hAnsi="宋体" w:cs="宋体"/>
          <w:b/>
          <w:bCs/>
          <w:sz w:val="24"/>
        </w:rPr>
      </w:pPr>
      <w:r>
        <w:rPr>
          <w:rFonts w:hint="eastAsia" w:ascii="宋体" w:hAnsi="宋体" w:cs="宋体"/>
          <w:b/>
          <w:bCs/>
          <w:sz w:val="24"/>
        </w:rPr>
        <w:t>法定代表人：</w:t>
      </w:r>
    </w:p>
    <w:p>
      <w:pPr>
        <w:spacing w:line="440" w:lineRule="exact"/>
        <w:jc w:val="left"/>
        <w:rPr>
          <w:rFonts w:ascii="宋体" w:hAnsi="宋体" w:cs="宋体"/>
          <w:b/>
          <w:bCs/>
          <w:sz w:val="24"/>
        </w:rPr>
      </w:pPr>
      <w:r>
        <w:rPr>
          <w:rFonts w:hint="eastAsia" w:ascii="宋体" w:hAnsi="宋体" w:cs="宋体"/>
          <w:b/>
          <w:bCs/>
          <w:sz w:val="24"/>
        </w:rPr>
        <w:t>统一社会信用代码：</w:t>
      </w:r>
    </w:p>
    <w:p>
      <w:pPr>
        <w:spacing w:line="600" w:lineRule="exact"/>
        <w:ind w:right="248" w:rightChars="118"/>
        <w:rPr>
          <w:rFonts w:ascii="宋体" w:hAnsi="宋体" w:cs="宋体"/>
          <w:b/>
          <w:bCs/>
          <w:sz w:val="24"/>
        </w:rPr>
      </w:pPr>
      <w:r>
        <w:rPr>
          <w:rFonts w:hint="eastAsia" w:ascii="宋体" w:hAnsi="宋体" w:cs="宋体"/>
          <w:b/>
          <w:bCs/>
          <w:sz w:val="24"/>
        </w:rPr>
        <w:t>住所地：</w:t>
      </w:r>
    </w:p>
    <w:p>
      <w:pPr>
        <w:spacing w:line="600" w:lineRule="exact"/>
        <w:ind w:right="248" w:rightChars="118"/>
        <w:rPr>
          <w:rFonts w:ascii="宋体" w:hAnsi="宋体" w:cs="宋体"/>
          <w:b/>
          <w:bCs/>
          <w:sz w:val="24"/>
        </w:rPr>
      </w:pPr>
      <w:r>
        <w:rPr>
          <w:rFonts w:hint="eastAsia" w:ascii="宋体" w:hAnsi="宋体" w:cs="宋体"/>
          <w:b/>
          <w:bCs/>
          <w:sz w:val="24"/>
        </w:rPr>
        <w:t>电话：</w:t>
      </w:r>
    </w:p>
    <w:p>
      <w:pPr>
        <w:spacing w:line="600" w:lineRule="exact"/>
        <w:ind w:right="248" w:rightChars="118"/>
        <w:rPr>
          <w:rFonts w:ascii="宋体" w:hAnsi="宋体" w:cs="宋体"/>
          <w:b/>
          <w:bCs/>
          <w:sz w:val="24"/>
        </w:rPr>
      </w:pPr>
    </w:p>
    <w:p>
      <w:pPr>
        <w:spacing w:line="600" w:lineRule="exact"/>
        <w:ind w:right="248" w:rightChars="118"/>
        <w:rPr>
          <w:rFonts w:ascii="宋体" w:hAnsi="宋体" w:cs="宋体"/>
          <w:b/>
          <w:bCs/>
          <w:sz w:val="24"/>
        </w:rPr>
      </w:pPr>
      <w:r>
        <w:rPr>
          <w:rFonts w:hint="eastAsia" w:ascii="宋体" w:hAnsi="宋体" w:cs="宋体"/>
          <w:b/>
          <w:bCs/>
          <w:sz w:val="24"/>
        </w:rPr>
        <w:t>乙方：</w:t>
      </w:r>
    </w:p>
    <w:p>
      <w:pPr>
        <w:spacing w:line="600" w:lineRule="exact"/>
        <w:ind w:right="248" w:rightChars="118"/>
        <w:rPr>
          <w:rFonts w:ascii="宋体" w:hAnsi="宋体" w:cs="宋体"/>
          <w:b/>
          <w:bCs/>
          <w:sz w:val="24"/>
        </w:rPr>
      </w:pPr>
      <w:r>
        <w:rPr>
          <w:rFonts w:hint="eastAsia" w:ascii="宋体" w:hAnsi="宋体" w:cs="宋体"/>
          <w:b/>
          <w:bCs/>
          <w:sz w:val="24"/>
        </w:rPr>
        <w:t>法定代表人：</w:t>
      </w:r>
    </w:p>
    <w:p>
      <w:pPr>
        <w:spacing w:line="600" w:lineRule="exact"/>
        <w:ind w:right="248" w:rightChars="118"/>
        <w:rPr>
          <w:rFonts w:ascii="宋体" w:hAnsi="宋体" w:cs="宋体"/>
          <w:b/>
          <w:bCs/>
          <w:sz w:val="24"/>
        </w:rPr>
      </w:pPr>
      <w:r>
        <w:rPr>
          <w:rFonts w:hint="eastAsia" w:ascii="宋体" w:hAnsi="宋体" w:cs="宋体"/>
          <w:b/>
          <w:bCs/>
          <w:sz w:val="24"/>
        </w:rPr>
        <w:t>统一社会信用代码：</w:t>
      </w:r>
    </w:p>
    <w:p>
      <w:pPr>
        <w:spacing w:line="600" w:lineRule="exact"/>
        <w:ind w:right="248" w:rightChars="118"/>
        <w:rPr>
          <w:rFonts w:ascii="宋体" w:hAnsi="宋体" w:cs="宋体"/>
          <w:b/>
          <w:bCs/>
          <w:sz w:val="24"/>
        </w:rPr>
      </w:pPr>
      <w:r>
        <w:rPr>
          <w:rFonts w:hint="eastAsia" w:ascii="宋体" w:hAnsi="宋体" w:cs="宋体"/>
          <w:b/>
          <w:bCs/>
          <w:sz w:val="24"/>
        </w:rPr>
        <w:t>住所地：</w:t>
      </w:r>
    </w:p>
    <w:p>
      <w:pPr>
        <w:spacing w:line="600" w:lineRule="exact"/>
        <w:ind w:right="248" w:rightChars="118"/>
        <w:rPr>
          <w:rFonts w:ascii="宋体" w:hAnsi="宋体" w:cs="宋体"/>
          <w:b/>
          <w:bCs/>
          <w:sz w:val="24"/>
        </w:rPr>
      </w:pPr>
      <w:r>
        <w:rPr>
          <w:rFonts w:hint="eastAsia" w:ascii="宋体" w:hAnsi="宋体" w:cs="宋体"/>
          <w:b/>
          <w:bCs/>
          <w:sz w:val="24"/>
        </w:rPr>
        <w:t>电话：</w:t>
      </w:r>
    </w:p>
    <w:p>
      <w:pPr>
        <w:spacing w:line="600" w:lineRule="exact"/>
        <w:ind w:right="248" w:rightChars="118"/>
        <w:rPr>
          <w:rFonts w:ascii="宋体" w:hAnsi="宋体" w:cs="宋体"/>
          <w:sz w:val="24"/>
        </w:rPr>
      </w:pPr>
    </w:p>
    <w:p>
      <w:pPr>
        <w:widowControl/>
        <w:kinsoku w:val="0"/>
        <w:autoSpaceDE w:val="0"/>
        <w:autoSpaceDN w:val="0"/>
        <w:adjustRightInd w:val="0"/>
        <w:snapToGrid w:val="0"/>
        <w:spacing w:line="580" w:lineRule="exact"/>
        <w:ind w:firstLine="480" w:firstLineChars="200"/>
        <w:textAlignment w:val="baseline"/>
        <w:rPr>
          <w:rFonts w:ascii="宋体" w:hAnsi="宋体" w:cs="宋体"/>
          <w:sz w:val="24"/>
        </w:rPr>
      </w:pPr>
      <w:r>
        <w:rPr>
          <w:rFonts w:hint="eastAsia" w:ascii="宋体" w:hAnsi="宋体" w:cs="宋体"/>
          <w:sz w:val="24"/>
        </w:rPr>
        <w:t>甲方委托乙方开展北京市残疾人服务示范中心安防和楼控系统维保项目（以下简称“项目”），甲乙双方根据《中华人民共和国民法典》和《安全防范系统维护保养规范》（GA/Ｔ1081-2020）及其他法律、行政法规的规定，在平等、自愿、公开、诚实信用的基础上友好协商，签订本合同，共同遵守。</w:t>
      </w:r>
    </w:p>
    <w:p>
      <w:pPr>
        <w:spacing w:line="580" w:lineRule="exact"/>
        <w:ind w:firstLine="482" w:firstLineChars="200"/>
        <w:rPr>
          <w:rFonts w:ascii="宋体" w:hAnsi="宋体" w:cs="宋体"/>
          <w:b/>
          <w:bCs/>
          <w:sz w:val="24"/>
        </w:rPr>
      </w:pPr>
      <w:r>
        <w:rPr>
          <w:rFonts w:hint="eastAsia" w:ascii="宋体" w:hAnsi="宋体" w:cs="宋体"/>
          <w:b/>
          <w:bCs/>
          <w:sz w:val="24"/>
        </w:rPr>
        <w:t>第一条 　委托事项</w:t>
      </w:r>
    </w:p>
    <w:p>
      <w:pPr>
        <w:spacing w:line="580" w:lineRule="exact"/>
        <w:ind w:firstLine="480" w:firstLineChars="200"/>
        <w:rPr>
          <w:rFonts w:ascii="宋体" w:hAnsi="宋体" w:cs="宋体"/>
          <w:sz w:val="24"/>
        </w:rPr>
      </w:pPr>
      <w:r>
        <w:rPr>
          <w:rFonts w:hint="eastAsia" w:ascii="宋体" w:hAnsi="宋体" w:cs="宋体"/>
          <w:sz w:val="24"/>
        </w:rPr>
        <w:t>乙方应按照合同所列内容组织北京市残疾人服务示范中心安防和楼控系统维保项目的实施。</w:t>
      </w:r>
    </w:p>
    <w:p>
      <w:pPr>
        <w:spacing w:line="580" w:lineRule="exact"/>
        <w:ind w:firstLine="482" w:firstLineChars="200"/>
        <w:rPr>
          <w:rFonts w:ascii="宋体" w:hAnsi="宋体" w:cs="宋体"/>
          <w:b/>
          <w:bCs/>
          <w:sz w:val="24"/>
        </w:rPr>
      </w:pPr>
      <w:r>
        <w:rPr>
          <w:rFonts w:hint="eastAsia" w:ascii="宋体" w:hAnsi="宋体" w:cs="宋体"/>
          <w:b/>
          <w:bCs/>
          <w:sz w:val="24"/>
        </w:rPr>
        <w:t>一、服务主要内容</w:t>
      </w:r>
    </w:p>
    <w:p>
      <w:pPr>
        <w:numPr>
          <w:ilvl w:val="0"/>
          <w:numId w:val="13"/>
        </w:numPr>
        <w:spacing w:line="580" w:lineRule="exact"/>
        <w:ind w:firstLine="480" w:firstLineChars="200"/>
        <w:rPr>
          <w:rFonts w:ascii="宋体" w:hAnsi="宋体" w:cs="宋体"/>
          <w:sz w:val="24"/>
        </w:rPr>
      </w:pPr>
      <w:r>
        <w:rPr>
          <w:rFonts w:hint="eastAsia" w:ascii="宋体" w:hAnsi="宋体" w:cs="宋体"/>
          <w:sz w:val="24"/>
        </w:rPr>
        <w:t>本项目包含以下系统：视频监控系统、门禁系统、停车道闸系统、卫生间SOS报警系统、床头呼叫系统、楼宇空调自控系统、培训活动室音响会议系统、信息发布系统、智能照明及外景照明系统进行维护保养工作。　</w:t>
      </w:r>
    </w:p>
    <w:p>
      <w:pPr>
        <w:spacing w:line="580" w:lineRule="exact"/>
        <w:ind w:firstLine="480" w:firstLineChars="200"/>
        <w:rPr>
          <w:rFonts w:ascii="宋体" w:hAnsi="宋体" w:cs="宋体"/>
          <w:sz w:val="24"/>
        </w:rPr>
      </w:pPr>
      <w:r>
        <w:rPr>
          <w:rFonts w:hint="eastAsia" w:ascii="宋体" w:hAnsi="宋体" w:cs="宋体"/>
          <w:sz w:val="24"/>
        </w:rPr>
        <w:t>1、视频监控系统</w:t>
      </w:r>
    </w:p>
    <w:p>
      <w:pPr>
        <w:spacing w:line="580" w:lineRule="exact"/>
        <w:ind w:firstLine="480" w:firstLineChars="200"/>
        <w:rPr>
          <w:rFonts w:ascii="宋体" w:hAnsi="宋体" w:cs="宋体"/>
          <w:sz w:val="24"/>
        </w:rPr>
      </w:pPr>
      <w:r>
        <w:rPr>
          <w:rFonts w:hint="eastAsia" w:ascii="宋体" w:hAnsi="宋体" w:cs="宋体"/>
          <w:sz w:val="24"/>
        </w:rPr>
        <w:t>（1）监控系统主机检查检测。</w:t>
      </w:r>
    </w:p>
    <w:p>
      <w:pPr>
        <w:spacing w:line="580" w:lineRule="exact"/>
        <w:ind w:firstLine="480" w:firstLineChars="200"/>
        <w:rPr>
          <w:rFonts w:ascii="宋体" w:hAnsi="宋体" w:cs="宋体"/>
          <w:sz w:val="24"/>
        </w:rPr>
      </w:pPr>
      <w:r>
        <w:rPr>
          <w:rFonts w:hint="eastAsia" w:ascii="宋体" w:hAnsi="宋体" w:cs="宋体"/>
          <w:sz w:val="24"/>
        </w:rPr>
        <w:t>（2）监控主机过滤网清洁。</w:t>
      </w:r>
    </w:p>
    <w:p>
      <w:pPr>
        <w:spacing w:line="580" w:lineRule="exact"/>
        <w:ind w:firstLine="480" w:firstLineChars="200"/>
        <w:rPr>
          <w:rFonts w:ascii="宋体" w:hAnsi="宋体" w:cs="宋体"/>
          <w:sz w:val="24"/>
        </w:rPr>
      </w:pPr>
      <w:r>
        <w:rPr>
          <w:rFonts w:hint="eastAsia" w:ascii="宋体" w:hAnsi="宋体" w:cs="宋体"/>
          <w:sz w:val="24"/>
        </w:rPr>
        <w:t>（3）操作系统检测。</w:t>
      </w:r>
    </w:p>
    <w:p>
      <w:pPr>
        <w:spacing w:line="580" w:lineRule="exact"/>
        <w:ind w:firstLine="480" w:firstLineChars="200"/>
        <w:rPr>
          <w:rFonts w:ascii="宋体" w:hAnsi="宋体" w:cs="宋体"/>
          <w:sz w:val="24"/>
        </w:rPr>
      </w:pPr>
      <w:r>
        <w:rPr>
          <w:rFonts w:hint="eastAsia" w:ascii="宋体" w:hAnsi="宋体" w:cs="宋体"/>
          <w:sz w:val="24"/>
        </w:rPr>
        <w:t>（4）维护摄像机与线路。</w:t>
      </w:r>
    </w:p>
    <w:p>
      <w:pPr>
        <w:spacing w:line="580" w:lineRule="exact"/>
        <w:ind w:firstLine="480" w:firstLineChars="200"/>
        <w:rPr>
          <w:rFonts w:ascii="宋体" w:hAnsi="宋体" w:cs="宋体"/>
          <w:sz w:val="24"/>
        </w:rPr>
      </w:pPr>
      <w:r>
        <w:rPr>
          <w:rFonts w:hint="eastAsia" w:ascii="宋体" w:hAnsi="宋体" w:cs="宋体"/>
          <w:sz w:val="24"/>
        </w:rPr>
        <w:t>（5）电源与线路、网络接口检测。</w:t>
      </w:r>
    </w:p>
    <w:p>
      <w:pPr>
        <w:spacing w:line="580" w:lineRule="exact"/>
        <w:ind w:firstLine="480" w:firstLineChars="200"/>
        <w:rPr>
          <w:rFonts w:ascii="宋体" w:hAnsi="宋体" w:cs="宋体"/>
          <w:sz w:val="24"/>
        </w:rPr>
      </w:pPr>
      <w:r>
        <w:rPr>
          <w:rFonts w:hint="eastAsia" w:ascii="宋体" w:hAnsi="宋体" w:cs="宋体"/>
          <w:sz w:val="24"/>
        </w:rPr>
        <w:t>（6）摄像机镜头检测。</w:t>
      </w:r>
    </w:p>
    <w:p>
      <w:pPr>
        <w:spacing w:line="580" w:lineRule="exact"/>
        <w:ind w:firstLine="480" w:firstLineChars="200"/>
        <w:rPr>
          <w:rFonts w:ascii="宋体" w:hAnsi="宋体" w:cs="宋体"/>
          <w:sz w:val="24"/>
        </w:rPr>
      </w:pPr>
      <w:r>
        <w:rPr>
          <w:rFonts w:hint="eastAsia" w:ascii="宋体" w:hAnsi="宋体" w:cs="宋体"/>
          <w:sz w:val="24"/>
        </w:rPr>
        <w:t>（7）视频清晰度调整、视角位置调整。</w:t>
      </w:r>
    </w:p>
    <w:p>
      <w:pPr>
        <w:spacing w:line="580" w:lineRule="exact"/>
        <w:ind w:firstLine="480" w:firstLineChars="200"/>
        <w:rPr>
          <w:rFonts w:ascii="宋体" w:hAnsi="宋体" w:cs="宋体"/>
          <w:sz w:val="24"/>
        </w:rPr>
      </w:pPr>
      <w:r>
        <w:rPr>
          <w:rFonts w:hint="eastAsia" w:ascii="宋体" w:hAnsi="宋体" w:cs="宋体"/>
          <w:sz w:val="24"/>
        </w:rPr>
        <w:t>（8）监视器灰尘清理。</w:t>
      </w:r>
    </w:p>
    <w:p>
      <w:pPr>
        <w:spacing w:line="580" w:lineRule="exact"/>
        <w:ind w:firstLine="480" w:firstLineChars="200"/>
        <w:rPr>
          <w:rFonts w:ascii="宋体" w:hAnsi="宋体" w:cs="宋体"/>
          <w:sz w:val="24"/>
        </w:rPr>
      </w:pPr>
      <w:r>
        <w:rPr>
          <w:rFonts w:hint="eastAsia" w:ascii="宋体" w:hAnsi="宋体" w:cs="宋体"/>
          <w:sz w:val="24"/>
        </w:rPr>
        <w:t>（9）视频存储主机灰尘清理、检查硬盘中的数据包是否连续、硬盘在工作中的声音是否正常、录像效果检查、设置状态检查。</w:t>
      </w:r>
    </w:p>
    <w:p>
      <w:pPr>
        <w:spacing w:line="580" w:lineRule="exact"/>
        <w:ind w:firstLine="480" w:firstLineChars="200"/>
        <w:rPr>
          <w:rFonts w:ascii="宋体" w:hAnsi="宋体" w:cs="宋体"/>
          <w:sz w:val="24"/>
        </w:rPr>
      </w:pPr>
      <w:r>
        <w:rPr>
          <w:rFonts w:hint="eastAsia" w:ascii="宋体" w:hAnsi="宋体" w:cs="宋体"/>
          <w:sz w:val="24"/>
        </w:rPr>
        <w:t>（10）视频矩阵系统灰尘清理。</w:t>
      </w:r>
    </w:p>
    <w:p>
      <w:pPr>
        <w:spacing w:line="580" w:lineRule="exact"/>
        <w:ind w:firstLine="480" w:firstLineChars="200"/>
        <w:rPr>
          <w:rFonts w:ascii="宋体" w:hAnsi="宋体" w:cs="宋体"/>
          <w:sz w:val="24"/>
        </w:rPr>
      </w:pPr>
      <w:r>
        <w:rPr>
          <w:rFonts w:hint="eastAsia" w:ascii="宋体" w:hAnsi="宋体" w:cs="宋体"/>
          <w:sz w:val="24"/>
        </w:rPr>
        <w:t>2、门禁控制系统</w:t>
      </w:r>
    </w:p>
    <w:p>
      <w:pPr>
        <w:spacing w:line="580" w:lineRule="exact"/>
        <w:ind w:firstLine="480" w:firstLineChars="200"/>
        <w:rPr>
          <w:rFonts w:ascii="宋体" w:hAnsi="宋体" w:cs="宋体"/>
          <w:sz w:val="24"/>
        </w:rPr>
      </w:pPr>
      <w:r>
        <w:rPr>
          <w:rFonts w:hint="eastAsia" w:ascii="宋体" w:hAnsi="宋体" w:cs="宋体"/>
          <w:sz w:val="24"/>
        </w:rPr>
        <w:t>（1）控制器与管理主机通讯是否正常。</w:t>
      </w:r>
    </w:p>
    <w:p>
      <w:pPr>
        <w:spacing w:line="580" w:lineRule="exact"/>
        <w:ind w:firstLine="480" w:firstLineChars="200"/>
        <w:rPr>
          <w:rFonts w:ascii="宋体" w:hAnsi="宋体" w:cs="宋体"/>
          <w:sz w:val="24"/>
        </w:rPr>
      </w:pPr>
      <w:r>
        <w:rPr>
          <w:rFonts w:hint="eastAsia" w:ascii="宋体" w:hAnsi="宋体" w:cs="宋体"/>
          <w:sz w:val="24"/>
        </w:rPr>
        <w:t>（2）检测读卡器、开门按钮是否正常工作。</w:t>
      </w:r>
    </w:p>
    <w:p>
      <w:pPr>
        <w:spacing w:line="580" w:lineRule="exact"/>
        <w:ind w:firstLine="480" w:firstLineChars="200"/>
        <w:rPr>
          <w:rFonts w:ascii="宋体" w:hAnsi="宋体" w:cs="宋体"/>
          <w:sz w:val="24"/>
        </w:rPr>
      </w:pPr>
      <w:r>
        <w:rPr>
          <w:rFonts w:hint="eastAsia" w:ascii="宋体" w:hAnsi="宋体" w:cs="宋体"/>
          <w:sz w:val="24"/>
        </w:rPr>
        <w:t>（3）检测电磁锁稳固情况、管线连接是否松动。</w:t>
      </w:r>
    </w:p>
    <w:p>
      <w:pPr>
        <w:spacing w:line="580" w:lineRule="exact"/>
        <w:ind w:firstLine="480" w:firstLineChars="200"/>
        <w:rPr>
          <w:rFonts w:ascii="宋体" w:hAnsi="宋体" w:cs="宋体"/>
          <w:sz w:val="24"/>
        </w:rPr>
      </w:pPr>
      <w:r>
        <w:rPr>
          <w:rFonts w:hint="eastAsia" w:ascii="宋体" w:hAnsi="宋体" w:cs="宋体"/>
          <w:sz w:val="24"/>
        </w:rPr>
        <w:t>3、停车道闸系统</w:t>
      </w:r>
    </w:p>
    <w:p>
      <w:pPr>
        <w:spacing w:line="580" w:lineRule="exact"/>
        <w:ind w:firstLine="480" w:firstLineChars="200"/>
        <w:rPr>
          <w:rFonts w:ascii="宋体" w:hAnsi="宋体" w:cs="宋体"/>
          <w:sz w:val="24"/>
        </w:rPr>
      </w:pPr>
      <w:r>
        <w:rPr>
          <w:rFonts w:hint="eastAsia" w:ascii="宋体" w:hAnsi="宋体" w:cs="宋体"/>
          <w:sz w:val="24"/>
        </w:rPr>
        <w:t>（1）清理主机过滤网。</w:t>
      </w:r>
    </w:p>
    <w:p>
      <w:pPr>
        <w:spacing w:line="580" w:lineRule="exact"/>
        <w:ind w:firstLine="480" w:firstLineChars="200"/>
        <w:rPr>
          <w:rFonts w:ascii="宋体" w:hAnsi="宋体" w:cs="宋体"/>
          <w:sz w:val="24"/>
        </w:rPr>
      </w:pPr>
      <w:r>
        <w:rPr>
          <w:rFonts w:hint="eastAsia" w:ascii="宋体" w:hAnsi="宋体" w:cs="宋体"/>
          <w:sz w:val="24"/>
        </w:rPr>
        <w:t>（2）加添CPU散热油膏。</w:t>
      </w:r>
    </w:p>
    <w:p>
      <w:pPr>
        <w:spacing w:line="580" w:lineRule="exact"/>
        <w:ind w:firstLine="480" w:firstLineChars="200"/>
        <w:rPr>
          <w:rFonts w:ascii="宋体" w:hAnsi="宋体" w:cs="宋体"/>
          <w:sz w:val="24"/>
        </w:rPr>
      </w:pPr>
      <w:r>
        <w:rPr>
          <w:rFonts w:hint="eastAsia" w:ascii="宋体" w:hAnsi="宋体" w:cs="宋体"/>
          <w:sz w:val="24"/>
        </w:rPr>
        <w:t>（3）检测操作系统。</w:t>
      </w:r>
    </w:p>
    <w:p>
      <w:pPr>
        <w:spacing w:line="580" w:lineRule="exact"/>
        <w:ind w:firstLine="480" w:firstLineChars="200"/>
        <w:rPr>
          <w:rFonts w:ascii="宋体" w:hAnsi="宋体" w:cs="宋体"/>
          <w:sz w:val="24"/>
        </w:rPr>
      </w:pPr>
      <w:r>
        <w:rPr>
          <w:rFonts w:hint="eastAsia" w:ascii="宋体" w:hAnsi="宋体" w:cs="宋体"/>
          <w:sz w:val="24"/>
        </w:rPr>
        <w:t>（4）检测电源电压电阻。</w:t>
      </w:r>
    </w:p>
    <w:p>
      <w:pPr>
        <w:spacing w:line="580" w:lineRule="exact"/>
        <w:ind w:firstLine="480" w:firstLineChars="200"/>
        <w:rPr>
          <w:rFonts w:ascii="宋体" w:hAnsi="宋体" w:cs="宋体"/>
          <w:sz w:val="24"/>
        </w:rPr>
      </w:pPr>
      <w:r>
        <w:rPr>
          <w:rFonts w:hint="eastAsia" w:ascii="宋体" w:hAnsi="宋体" w:cs="宋体"/>
          <w:sz w:val="24"/>
        </w:rPr>
        <w:t>（5）硬件设施检查,如连线插座的引线紧固，电压测试等。</w:t>
      </w:r>
    </w:p>
    <w:p>
      <w:pPr>
        <w:spacing w:line="580" w:lineRule="exact"/>
        <w:ind w:firstLine="480" w:firstLineChars="200"/>
        <w:rPr>
          <w:rFonts w:ascii="宋体" w:hAnsi="宋体" w:cs="宋体"/>
          <w:sz w:val="24"/>
        </w:rPr>
      </w:pPr>
      <w:r>
        <w:rPr>
          <w:rFonts w:hint="eastAsia" w:ascii="宋体" w:hAnsi="宋体" w:cs="宋体"/>
          <w:sz w:val="24"/>
        </w:rPr>
        <w:t>（6）各出入口栏杆机自动、手动功能检查。</w:t>
      </w:r>
    </w:p>
    <w:p>
      <w:pPr>
        <w:spacing w:line="580" w:lineRule="exact"/>
        <w:ind w:firstLine="480" w:firstLineChars="200"/>
        <w:rPr>
          <w:rFonts w:ascii="宋体" w:hAnsi="宋体" w:cs="宋体"/>
          <w:sz w:val="24"/>
        </w:rPr>
      </w:pPr>
      <w:r>
        <w:rPr>
          <w:rFonts w:hint="eastAsia" w:ascii="宋体" w:hAnsi="宋体" w:cs="宋体"/>
          <w:sz w:val="24"/>
        </w:rPr>
        <w:t>（7）传动部分机械润滑、螺丝紧固以及栏杆机与其他系统网络、电路连接测试。</w:t>
      </w:r>
    </w:p>
    <w:p>
      <w:pPr>
        <w:spacing w:line="580" w:lineRule="exact"/>
        <w:ind w:firstLine="480" w:firstLineChars="200"/>
        <w:rPr>
          <w:rFonts w:ascii="宋体" w:hAnsi="宋体" w:cs="宋体"/>
          <w:sz w:val="24"/>
        </w:rPr>
      </w:pPr>
      <w:r>
        <w:rPr>
          <w:rFonts w:hint="eastAsia" w:ascii="宋体" w:hAnsi="宋体" w:cs="宋体"/>
          <w:sz w:val="24"/>
        </w:rPr>
        <w:t>（8）出入口网络通讯检查、时钟校正。</w:t>
      </w:r>
    </w:p>
    <w:p>
      <w:pPr>
        <w:spacing w:line="580" w:lineRule="exact"/>
        <w:ind w:firstLine="480" w:firstLineChars="200"/>
        <w:rPr>
          <w:rFonts w:ascii="宋体" w:hAnsi="宋体" w:cs="宋体"/>
          <w:sz w:val="24"/>
        </w:rPr>
      </w:pPr>
      <w:r>
        <w:rPr>
          <w:rFonts w:hint="eastAsia" w:ascii="宋体" w:hAnsi="宋体" w:cs="宋体"/>
          <w:sz w:val="24"/>
        </w:rPr>
        <w:t>（9）传感器安全及灵敏度检查。</w:t>
      </w:r>
    </w:p>
    <w:p>
      <w:pPr>
        <w:spacing w:line="580" w:lineRule="exact"/>
        <w:ind w:firstLine="480" w:firstLineChars="200"/>
        <w:rPr>
          <w:rFonts w:ascii="宋体" w:hAnsi="宋体" w:cs="宋体"/>
          <w:sz w:val="24"/>
        </w:rPr>
      </w:pPr>
      <w:r>
        <w:rPr>
          <w:rFonts w:hint="eastAsia" w:ascii="宋体" w:hAnsi="宋体" w:cs="宋体"/>
          <w:sz w:val="24"/>
        </w:rPr>
        <w:t>（10）对主机数据库整理，系统养护。</w:t>
      </w:r>
    </w:p>
    <w:p>
      <w:pPr>
        <w:spacing w:line="580" w:lineRule="exact"/>
        <w:ind w:firstLine="480" w:firstLineChars="200"/>
        <w:rPr>
          <w:rFonts w:ascii="宋体" w:hAnsi="宋体" w:cs="宋体"/>
          <w:sz w:val="24"/>
        </w:rPr>
      </w:pPr>
      <w:r>
        <w:rPr>
          <w:rFonts w:hint="eastAsia" w:ascii="宋体" w:hAnsi="宋体" w:cs="宋体"/>
          <w:sz w:val="24"/>
        </w:rPr>
        <w:t>（11）对系统线路、网络联接的检测；数据传输功能、联动功能的检测。</w:t>
      </w:r>
    </w:p>
    <w:p>
      <w:pPr>
        <w:spacing w:line="580" w:lineRule="exact"/>
        <w:ind w:firstLine="480" w:firstLineChars="200"/>
        <w:rPr>
          <w:rFonts w:ascii="宋体" w:hAnsi="宋体" w:cs="宋体"/>
          <w:sz w:val="24"/>
        </w:rPr>
      </w:pPr>
      <w:r>
        <w:rPr>
          <w:rFonts w:hint="eastAsia" w:ascii="宋体" w:hAnsi="宋体" w:cs="宋体"/>
          <w:sz w:val="24"/>
        </w:rPr>
        <w:t>4、卫生间SOS报警系统、床头呼叫系统</w:t>
      </w:r>
    </w:p>
    <w:p>
      <w:pPr>
        <w:spacing w:line="580" w:lineRule="exact"/>
        <w:ind w:firstLine="480" w:firstLineChars="200"/>
        <w:rPr>
          <w:rFonts w:ascii="宋体" w:hAnsi="宋体" w:cs="宋体"/>
          <w:sz w:val="24"/>
        </w:rPr>
      </w:pPr>
      <w:r>
        <w:rPr>
          <w:rFonts w:hint="eastAsia" w:ascii="宋体" w:hAnsi="宋体" w:cs="宋体"/>
          <w:sz w:val="24"/>
        </w:rPr>
        <w:t>（1）检查检测系统主机。</w:t>
      </w:r>
    </w:p>
    <w:p>
      <w:pPr>
        <w:spacing w:line="580" w:lineRule="exact"/>
        <w:ind w:firstLine="480" w:firstLineChars="200"/>
        <w:rPr>
          <w:rFonts w:ascii="宋体" w:hAnsi="宋体" w:cs="宋体"/>
          <w:sz w:val="24"/>
        </w:rPr>
      </w:pPr>
      <w:r>
        <w:rPr>
          <w:rFonts w:hint="eastAsia" w:ascii="宋体" w:hAnsi="宋体" w:cs="宋体"/>
          <w:sz w:val="24"/>
        </w:rPr>
        <w:t>（2）检查备用电池的工作状态、检查警号及闪灯的工作情况。</w:t>
      </w:r>
    </w:p>
    <w:p>
      <w:pPr>
        <w:spacing w:line="580" w:lineRule="exact"/>
        <w:ind w:firstLine="480" w:firstLineChars="200"/>
        <w:rPr>
          <w:rFonts w:ascii="宋体" w:hAnsi="宋体" w:cs="宋体"/>
          <w:sz w:val="24"/>
        </w:rPr>
      </w:pPr>
      <w:r>
        <w:rPr>
          <w:rFonts w:hint="eastAsia" w:ascii="宋体" w:hAnsi="宋体" w:cs="宋体"/>
          <w:sz w:val="24"/>
        </w:rPr>
        <w:t>（3）设备工作是否正常，安装是否牢固。</w:t>
      </w:r>
    </w:p>
    <w:p>
      <w:pPr>
        <w:spacing w:line="580" w:lineRule="exact"/>
        <w:ind w:firstLine="480" w:firstLineChars="200"/>
        <w:rPr>
          <w:rFonts w:ascii="宋体" w:hAnsi="宋体" w:cs="宋体"/>
          <w:sz w:val="24"/>
        </w:rPr>
      </w:pPr>
      <w:r>
        <w:rPr>
          <w:rFonts w:hint="eastAsia" w:ascii="宋体" w:hAnsi="宋体" w:cs="宋体"/>
          <w:sz w:val="24"/>
        </w:rPr>
        <w:t>（4）线路是否正常。</w:t>
      </w:r>
    </w:p>
    <w:p>
      <w:pPr>
        <w:spacing w:line="580" w:lineRule="exact"/>
        <w:ind w:firstLine="480" w:firstLineChars="200"/>
        <w:rPr>
          <w:rFonts w:ascii="宋体" w:hAnsi="宋体" w:cs="宋体"/>
          <w:sz w:val="24"/>
        </w:rPr>
      </w:pPr>
      <w:r>
        <w:rPr>
          <w:rFonts w:hint="eastAsia" w:ascii="宋体" w:hAnsi="宋体" w:cs="宋体"/>
          <w:sz w:val="24"/>
        </w:rPr>
        <w:t>5、楼宇空调自控系统</w:t>
      </w:r>
    </w:p>
    <w:p>
      <w:pPr>
        <w:spacing w:line="580" w:lineRule="exact"/>
        <w:ind w:firstLine="480" w:firstLineChars="200"/>
        <w:rPr>
          <w:rFonts w:ascii="宋体" w:hAnsi="宋体" w:cs="宋体"/>
          <w:sz w:val="24"/>
        </w:rPr>
      </w:pPr>
      <w:r>
        <w:rPr>
          <w:rFonts w:hint="eastAsia" w:ascii="宋体" w:hAnsi="宋体" w:cs="宋体"/>
          <w:sz w:val="24"/>
        </w:rPr>
        <w:t>楼控主机</w:t>
      </w:r>
    </w:p>
    <w:p>
      <w:pPr>
        <w:spacing w:line="580" w:lineRule="exact"/>
        <w:ind w:firstLine="480" w:firstLineChars="200"/>
        <w:rPr>
          <w:rFonts w:ascii="宋体" w:hAnsi="宋体" w:cs="宋体"/>
          <w:sz w:val="24"/>
        </w:rPr>
      </w:pPr>
      <w:r>
        <w:rPr>
          <w:rFonts w:hint="eastAsia" w:ascii="宋体" w:hAnsi="宋体" w:cs="宋体"/>
          <w:sz w:val="24"/>
        </w:rPr>
        <w:t>（1）清除楼控主机过滤网。</w:t>
      </w:r>
    </w:p>
    <w:p>
      <w:pPr>
        <w:spacing w:line="580" w:lineRule="exact"/>
        <w:ind w:firstLine="480" w:firstLineChars="200"/>
        <w:rPr>
          <w:rFonts w:ascii="宋体" w:hAnsi="宋体" w:cs="宋体"/>
          <w:sz w:val="24"/>
        </w:rPr>
      </w:pPr>
      <w:r>
        <w:rPr>
          <w:rFonts w:hint="eastAsia" w:ascii="宋体" w:hAnsi="宋体" w:cs="宋体"/>
          <w:sz w:val="24"/>
        </w:rPr>
        <w:t>（2）加添CPU散热油膏。</w:t>
      </w:r>
    </w:p>
    <w:p>
      <w:pPr>
        <w:spacing w:line="580" w:lineRule="exact"/>
        <w:ind w:firstLine="480" w:firstLineChars="200"/>
        <w:rPr>
          <w:rFonts w:ascii="宋体" w:hAnsi="宋体" w:cs="宋体"/>
          <w:sz w:val="24"/>
        </w:rPr>
      </w:pPr>
      <w:r>
        <w:rPr>
          <w:rFonts w:hint="eastAsia" w:ascii="宋体" w:hAnsi="宋体" w:cs="宋体"/>
          <w:sz w:val="24"/>
        </w:rPr>
        <w:t>（3）检测操作系统。</w:t>
      </w:r>
    </w:p>
    <w:p>
      <w:pPr>
        <w:spacing w:line="580" w:lineRule="exact"/>
        <w:ind w:firstLine="480" w:firstLineChars="200"/>
        <w:rPr>
          <w:rFonts w:ascii="宋体" w:hAnsi="宋体" w:cs="宋体"/>
          <w:sz w:val="24"/>
        </w:rPr>
      </w:pPr>
      <w:r>
        <w:rPr>
          <w:rFonts w:hint="eastAsia" w:ascii="宋体" w:hAnsi="宋体" w:cs="宋体"/>
          <w:sz w:val="24"/>
        </w:rPr>
        <w:t>（4）检测电源电压电阻。</w:t>
      </w:r>
    </w:p>
    <w:p>
      <w:pPr>
        <w:spacing w:line="580" w:lineRule="exact"/>
        <w:ind w:firstLine="480" w:firstLineChars="200"/>
        <w:rPr>
          <w:rFonts w:ascii="宋体" w:hAnsi="宋体" w:cs="宋体"/>
          <w:sz w:val="24"/>
        </w:rPr>
      </w:pPr>
      <w:r>
        <w:rPr>
          <w:rFonts w:hint="eastAsia" w:ascii="宋体" w:hAnsi="宋体" w:cs="宋体"/>
          <w:sz w:val="24"/>
        </w:rPr>
        <w:t>（5）检测楼控软件各点位。</w:t>
      </w:r>
    </w:p>
    <w:p>
      <w:pPr>
        <w:spacing w:line="580" w:lineRule="exact"/>
        <w:ind w:firstLine="480" w:firstLineChars="200"/>
        <w:rPr>
          <w:rFonts w:ascii="宋体" w:hAnsi="宋体" w:cs="宋体"/>
          <w:sz w:val="24"/>
        </w:rPr>
      </w:pPr>
      <w:r>
        <w:rPr>
          <w:rFonts w:hint="eastAsia" w:ascii="宋体" w:hAnsi="宋体" w:cs="宋体"/>
          <w:sz w:val="24"/>
        </w:rPr>
        <w:t>（6）检测主机与分机线路传输。</w:t>
      </w:r>
    </w:p>
    <w:p>
      <w:pPr>
        <w:spacing w:line="580" w:lineRule="exact"/>
        <w:ind w:firstLine="480" w:firstLineChars="200"/>
        <w:rPr>
          <w:rFonts w:ascii="宋体" w:hAnsi="宋体" w:cs="宋体"/>
          <w:sz w:val="24"/>
        </w:rPr>
      </w:pPr>
      <w:r>
        <w:rPr>
          <w:rFonts w:hint="eastAsia" w:ascii="宋体" w:hAnsi="宋体" w:cs="宋体"/>
          <w:sz w:val="24"/>
        </w:rPr>
        <w:t>现场设备</w:t>
      </w:r>
    </w:p>
    <w:p>
      <w:pPr>
        <w:spacing w:line="580" w:lineRule="exact"/>
        <w:ind w:firstLine="480" w:firstLineChars="200"/>
        <w:rPr>
          <w:rFonts w:ascii="宋体" w:hAnsi="宋体" w:cs="宋体"/>
          <w:sz w:val="24"/>
        </w:rPr>
      </w:pPr>
      <w:r>
        <w:rPr>
          <w:rFonts w:hint="eastAsia" w:ascii="宋体" w:hAnsi="宋体" w:cs="宋体"/>
          <w:sz w:val="24"/>
        </w:rPr>
        <w:t>（1）检测模块状态。</w:t>
      </w:r>
    </w:p>
    <w:p>
      <w:pPr>
        <w:spacing w:line="580" w:lineRule="exact"/>
        <w:ind w:firstLine="480" w:firstLineChars="200"/>
        <w:rPr>
          <w:rFonts w:ascii="宋体" w:hAnsi="宋体" w:cs="宋体"/>
          <w:sz w:val="24"/>
        </w:rPr>
      </w:pPr>
      <w:r>
        <w:rPr>
          <w:rFonts w:hint="eastAsia" w:ascii="宋体" w:hAnsi="宋体" w:cs="宋体"/>
          <w:sz w:val="24"/>
        </w:rPr>
        <w:t>（2）检测继电器状态。</w:t>
      </w:r>
    </w:p>
    <w:p>
      <w:pPr>
        <w:spacing w:line="580" w:lineRule="exact"/>
        <w:ind w:firstLine="480" w:firstLineChars="200"/>
        <w:rPr>
          <w:rFonts w:ascii="宋体" w:hAnsi="宋体" w:cs="宋体"/>
          <w:sz w:val="24"/>
        </w:rPr>
      </w:pPr>
      <w:r>
        <w:rPr>
          <w:rFonts w:hint="eastAsia" w:ascii="宋体" w:hAnsi="宋体" w:cs="宋体"/>
          <w:sz w:val="24"/>
        </w:rPr>
        <w:t>（3）检测点位接线状况。</w:t>
      </w:r>
    </w:p>
    <w:p>
      <w:pPr>
        <w:spacing w:line="580" w:lineRule="exact"/>
        <w:ind w:firstLine="480" w:firstLineChars="200"/>
        <w:rPr>
          <w:rFonts w:ascii="宋体" w:hAnsi="宋体" w:cs="宋体"/>
          <w:sz w:val="24"/>
        </w:rPr>
      </w:pPr>
      <w:r>
        <w:rPr>
          <w:rFonts w:hint="eastAsia" w:ascii="宋体" w:hAnsi="宋体" w:cs="宋体"/>
          <w:sz w:val="24"/>
        </w:rPr>
        <w:t>（4）检测强电与弱电是否隔离。</w:t>
      </w:r>
    </w:p>
    <w:p>
      <w:pPr>
        <w:spacing w:line="580" w:lineRule="exact"/>
        <w:ind w:firstLine="480" w:firstLineChars="200"/>
        <w:rPr>
          <w:rFonts w:ascii="宋体" w:hAnsi="宋体" w:cs="宋体"/>
          <w:sz w:val="24"/>
        </w:rPr>
      </w:pPr>
      <w:r>
        <w:rPr>
          <w:rFonts w:hint="eastAsia" w:ascii="宋体" w:hAnsi="宋体" w:cs="宋体"/>
          <w:sz w:val="24"/>
        </w:rPr>
        <w:t>（5）检测端子1，2供电电压。</w:t>
      </w:r>
    </w:p>
    <w:p>
      <w:pPr>
        <w:spacing w:line="580" w:lineRule="exact"/>
        <w:ind w:firstLine="480" w:firstLineChars="200"/>
        <w:rPr>
          <w:rFonts w:ascii="宋体" w:hAnsi="宋体" w:cs="宋体"/>
          <w:sz w:val="24"/>
        </w:rPr>
      </w:pPr>
      <w:r>
        <w:rPr>
          <w:rFonts w:hint="eastAsia" w:ascii="宋体" w:hAnsi="宋体" w:cs="宋体"/>
          <w:sz w:val="24"/>
        </w:rPr>
        <w:t>（6）检测模块DO点控制端接线无短路断路。</w:t>
      </w:r>
    </w:p>
    <w:p>
      <w:pPr>
        <w:spacing w:line="580" w:lineRule="exact"/>
        <w:ind w:firstLine="480" w:firstLineChars="200"/>
        <w:rPr>
          <w:rFonts w:ascii="宋体" w:hAnsi="宋体" w:cs="宋体"/>
          <w:sz w:val="24"/>
        </w:rPr>
      </w:pPr>
      <w:r>
        <w:rPr>
          <w:rFonts w:hint="eastAsia" w:ascii="宋体" w:hAnsi="宋体" w:cs="宋体"/>
          <w:sz w:val="24"/>
        </w:rPr>
        <w:t>（7）检测DO输出控制照明供电电压，线路无短接。</w:t>
      </w:r>
    </w:p>
    <w:p>
      <w:pPr>
        <w:spacing w:line="580" w:lineRule="exact"/>
        <w:ind w:firstLine="480" w:firstLineChars="200"/>
        <w:rPr>
          <w:rFonts w:ascii="宋体" w:hAnsi="宋体" w:cs="宋体"/>
          <w:sz w:val="24"/>
        </w:rPr>
      </w:pPr>
      <w:r>
        <w:rPr>
          <w:rFonts w:hint="eastAsia" w:ascii="宋体" w:hAnsi="宋体" w:cs="宋体"/>
          <w:sz w:val="24"/>
        </w:rPr>
        <w:t>（8）检测端子排无短接虚接。</w:t>
      </w:r>
    </w:p>
    <w:p>
      <w:pPr>
        <w:spacing w:line="580" w:lineRule="exact"/>
        <w:ind w:firstLine="480" w:firstLineChars="200"/>
        <w:rPr>
          <w:rFonts w:ascii="宋体" w:hAnsi="宋体" w:cs="宋体"/>
          <w:sz w:val="24"/>
        </w:rPr>
      </w:pPr>
      <w:r>
        <w:rPr>
          <w:rFonts w:hint="eastAsia" w:ascii="宋体" w:hAnsi="宋体" w:cs="宋体"/>
          <w:sz w:val="24"/>
        </w:rPr>
        <w:t>（9）检测DDC直接供电，LON模块变压器供电电压。</w:t>
      </w:r>
    </w:p>
    <w:p>
      <w:pPr>
        <w:spacing w:line="580" w:lineRule="exact"/>
        <w:ind w:firstLine="480" w:firstLineChars="200"/>
        <w:rPr>
          <w:rFonts w:ascii="宋体" w:hAnsi="宋体" w:cs="宋体"/>
          <w:sz w:val="24"/>
        </w:rPr>
      </w:pPr>
      <w:r>
        <w:rPr>
          <w:rFonts w:hint="eastAsia" w:ascii="宋体" w:hAnsi="宋体" w:cs="宋体"/>
          <w:sz w:val="24"/>
        </w:rPr>
        <w:t>（10）检测DDC中:B34为跳线接入。</w:t>
      </w:r>
    </w:p>
    <w:p>
      <w:pPr>
        <w:spacing w:line="580" w:lineRule="exact"/>
        <w:ind w:firstLine="480" w:firstLineChars="200"/>
        <w:rPr>
          <w:rFonts w:ascii="宋体" w:hAnsi="宋体" w:cs="宋体"/>
          <w:sz w:val="24"/>
        </w:rPr>
      </w:pPr>
      <w:r>
        <w:rPr>
          <w:rFonts w:hint="eastAsia" w:ascii="宋体" w:hAnsi="宋体" w:cs="宋体"/>
          <w:sz w:val="24"/>
        </w:rPr>
        <w:t>（11）检测DDC AI作DI使用接线：B31供电电压。</w:t>
      </w:r>
    </w:p>
    <w:p>
      <w:pPr>
        <w:spacing w:line="580" w:lineRule="exact"/>
        <w:ind w:firstLine="480" w:firstLineChars="200"/>
        <w:rPr>
          <w:rFonts w:ascii="宋体" w:hAnsi="宋体" w:cs="宋体"/>
          <w:sz w:val="24"/>
        </w:rPr>
      </w:pPr>
      <w:r>
        <w:rPr>
          <w:rFonts w:hint="eastAsia" w:ascii="宋体" w:hAnsi="宋体" w:cs="宋体"/>
          <w:sz w:val="24"/>
        </w:rPr>
        <w:t>（12）检测DI点接入。</w:t>
      </w:r>
    </w:p>
    <w:p>
      <w:pPr>
        <w:spacing w:line="580" w:lineRule="exact"/>
        <w:ind w:firstLine="480" w:firstLineChars="200"/>
        <w:rPr>
          <w:rFonts w:ascii="宋体" w:hAnsi="宋体" w:cs="宋体"/>
          <w:sz w:val="24"/>
        </w:rPr>
      </w:pPr>
      <w:r>
        <w:rPr>
          <w:rFonts w:hint="eastAsia" w:ascii="宋体" w:hAnsi="宋体" w:cs="宋体"/>
          <w:sz w:val="24"/>
        </w:rPr>
        <w:t>（13）检测AO点接线正确。</w:t>
      </w:r>
    </w:p>
    <w:p>
      <w:pPr>
        <w:spacing w:line="580" w:lineRule="exact"/>
        <w:ind w:firstLine="480" w:firstLineChars="200"/>
        <w:rPr>
          <w:rFonts w:ascii="宋体" w:hAnsi="宋体" w:cs="宋体"/>
          <w:sz w:val="24"/>
        </w:rPr>
      </w:pPr>
      <w:r>
        <w:rPr>
          <w:rFonts w:hint="eastAsia" w:ascii="宋体" w:hAnsi="宋体" w:cs="宋体"/>
          <w:sz w:val="24"/>
        </w:rPr>
        <w:t>（14）检测对外供电电压接线无短路。</w:t>
      </w:r>
    </w:p>
    <w:p>
      <w:pPr>
        <w:spacing w:line="580" w:lineRule="exact"/>
        <w:ind w:firstLine="480" w:firstLineChars="200"/>
        <w:rPr>
          <w:rFonts w:ascii="宋体" w:hAnsi="宋体" w:cs="宋体"/>
          <w:sz w:val="24"/>
        </w:rPr>
      </w:pPr>
      <w:r>
        <w:rPr>
          <w:rFonts w:hint="eastAsia" w:ascii="宋体" w:hAnsi="宋体" w:cs="宋体"/>
          <w:sz w:val="24"/>
        </w:rPr>
        <w:t>（15）清洁箱体及配线盘灰尘。</w:t>
      </w:r>
    </w:p>
    <w:p>
      <w:pPr>
        <w:spacing w:line="580" w:lineRule="exact"/>
        <w:ind w:firstLine="480" w:firstLineChars="200"/>
        <w:rPr>
          <w:rFonts w:ascii="宋体" w:hAnsi="宋体" w:cs="宋体"/>
          <w:sz w:val="24"/>
        </w:rPr>
      </w:pPr>
      <w:r>
        <w:rPr>
          <w:rFonts w:hint="eastAsia" w:ascii="宋体" w:hAnsi="宋体" w:cs="宋体"/>
          <w:sz w:val="24"/>
        </w:rPr>
        <w:t>6、培训活动室音响会议系统、信息发布系统</w:t>
      </w:r>
    </w:p>
    <w:p>
      <w:pPr>
        <w:spacing w:line="580" w:lineRule="exact"/>
        <w:ind w:firstLine="480" w:firstLineChars="200"/>
        <w:rPr>
          <w:rFonts w:ascii="宋体" w:hAnsi="宋体" w:cs="宋体"/>
          <w:sz w:val="24"/>
        </w:rPr>
      </w:pPr>
      <w:r>
        <w:rPr>
          <w:rFonts w:hint="eastAsia" w:ascii="宋体" w:hAnsi="宋体" w:cs="宋体"/>
          <w:sz w:val="24"/>
        </w:rPr>
        <w:t>（1）信号线链路、音频设备的检测、故障排除、隐患排查。</w:t>
      </w:r>
    </w:p>
    <w:p>
      <w:pPr>
        <w:spacing w:line="580" w:lineRule="exact"/>
        <w:ind w:firstLine="480" w:firstLineChars="200"/>
        <w:rPr>
          <w:rFonts w:ascii="宋体" w:hAnsi="宋体" w:cs="宋体"/>
          <w:sz w:val="24"/>
        </w:rPr>
      </w:pPr>
      <w:r>
        <w:rPr>
          <w:rFonts w:hint="eastAsia" w:ascii="宋体" w:hAnsi="宋体" w:cs="宋体"/>
          <w:sz w:val="24"/>
        </w:rPr>
        <w:t>（2）所有接口、线路接口的焊点的检测、零配件的更换等。</w:t>
      </w:r>
    </w:p>
    <w:p>
      <w:pPr>
        <w:spacing w:line="580" w:lineRule="exact"/>
        <w:ind w:firstLine="480" w:firstLineChars="200"/>
        <w:rPr>
          <w:rFonts w:ascii="宋体" w:hAnsi="宋体" w:cs="宋体"/>
          <w:sz w:val="24"/>
        </w:rPr>
      </w:pPr>
      <w:r>
        <w:rPr>
          <w:rFonts w:hint="eastAsia" w:ascii="宋体" w:hAnsi="宋体" w:cs="宋体"/>
          <w:sz w:val="24"/>
        </w:rPr>
        <w:t>（3）会议系统前端音箱清理、设备除尘、位置调整、设备维修及更换、 故障排除等。</w:t>
      </w:r>
    </w:p>
    <w:p>
      <w:pPr>
        <w:spacing w:line="580" w:lineRule="exact"/>
        <w:ind w:firstLine="480" w:firstLineChars="200"/>
        <w:rPr>
          <w:rFonts w:ascii="宋体" w:hAnsi="宋体" w:cs="宋体"/>
          <w:sz w:val="24"/>
        </w:rPr>
      </w:pPr>
      <w:r>
        <w:rPr>
          <w:rFonts w:hint="eastAsia" w:ascii="宋体" w:hAnsi="宋体" w:cs="宋体"/>
          <w:sz w:val="24"/>
        </w:rPr>
        <w:t>（4）核心设备检测、设备除尘、系统维护、设备维护、系统扩容、故障排除等。</w:t>
      </w:r>
    </w:p>
    <w:p>
      <w:pPr>
        <w:spacing w:line="580" w:lineRule="exact"/>
        <w:ind w:firstLine="480" w:firstLineChars="200"/>
        <w:rPr>
          <w:rFonts w:ascii="宋体" w:hAnsi="宋体" w:cs="宋体"/>
          <w:sz w:val="24"/>
        </w:rPr>
      </w:pPr>
      <w:r>
        <w:rPr>
          <w:rFonts w:hint="eastAsia" w:ascii="宋体" w:hAnsi="宋体" w:cs="宋体"/>
          <w:sz w:val="24"/>
        </w:rPr>
        <w:t>（5）会议系统软件检测、软件升级、软件维护、数据备份、故障排除等。</w:t>
      </w:r>
    </w:p>
    <w:p>
      <w:pPr>
        <w:spacing w:line="580" w:lineRule="exact"/>
        <w:ind w:firstLine="480" w:firstLineChars="200"/>
        <w:rPr>
          <w:rFonts w:ascii="宋体" w:hAnsi="宋体" w:cs="宋体"/>
          <w:sz w:val="24"/>
        </w:rPr>
      </w:pPr>
      <w:r>
        <w:rPr>
          <w:rFonts w:hint="eastAsia" w:ascii="宋体" w:hAnsi="宋体" w:cs="宋体"/>
          <w:sz w:val="24"/>
        </w:rPr>
        <w:t>7、智能照明及外景照明系统</w:t>
      </w:r>
    </w:p>
    <w:p>
      <w:pPr>
        <w:spacing w:line="580" w:lineRule="exact"/>
        <w:ind w:firstLine="480" w:firstLineChars="200"/>
        <w:rPr>
          <w:rFonts w:ascii="宋体" w:hAnsi="宋体" w:cs="宋体"/>
          <w:sz w:val="24"/>
        </w:rPr>
      </w:pPr>
      <w:r>
        <w:rPr>
          <w:rFonts w:hint="eastAsia" w:ascii="宋体" w:hAnsi="宋体" w:cs="宋体"/>
          <w:sz w:val="24"/>
        </w:rPr>
        <w:t>根据实际需求自动调节照明亮度、色温等参数。维保内容包括：</w:t>
      </w:r>
    </w:p>
    <w:p>
      <w:pPr>
        <w:spacing w:line="580" w:lineRule="exact"/>
        <w:ind w:firstLine="480" w:firstLineChars="200"/>
        <w:rPr>
          <w:rFonts w:ascii="宋体" w:hAnsi="宋体" w:cs="宋体"/>
          <w:sz w:val="24"/>
        </w:rPr>
      </w:pPr>
      <w:r>
        <w:rPr>
          <w:rFonts w:hint="eastAsia" w:ascii="宋体" w:hAnsi="宋体" w:cs="宋体"/>
          <w:sz w:val="24"/>
        </w:rPr>
        <w:t>（1）定期检查智能照明设备的运行状态，确保设备正常运行。</w:t>
      </w:r>
    </w:p>
    <w:p>
      <w:pPr>
        <w:spacing w:line="580" w:lineRule="exact"/>
        <w:ind w:firstLine="480" w:firstLineChars="200"/>
        <w:rPr>
          <w:rFonts w:ascii="宋体" w:hAnsi="宋体" w:cs="宋体"/>
          <w:sz w:val="24"/>
        </w:rPr>
      </w:pPr>
      <w:r>
        <w:rPr>
          <w:rFonts w:hint="eastAsia" w:ascii="宋体" w:hAnsi="宋体" w:cs="宋体"/>
          <w:sz w:val="24"/>
        </w:rPr>
        <w:t>（2）定期对智能照明设备进行清洁和维护，延长设备的使用寿命。</w:t>
      </w:r>
    </w:p>
    <w:p>
      <w:pPr>
        <w:spacing w:line="580" w:lineRule="exact"/>
        <w:ind w:firstLine="480" w:firstLineChars="200"/>
        <w:rPr>
          <w:rFonts w:ascii="宋体" w:hAnsi="宋体" w:cs="宋体"/>
          <w:sz w:val="24"/>
        </w:rPr>
      </w:pPr>
      <w:r>
        <w:rPr>
          <w:rFonts w:hint="eastAsia" w:ascii="宋体" w:hAnsi="宋体" w:cs="宋体"/>
          <w:sz w:val="24"/>
        </w:rPr>
        <w:t>（3）定期对智能照明系统进行软件更新和漏洞修补，提高系统的安全性。</w:t>
      </w:r>
    </w:p>
    <w:p>
      <w:pPr>
        <w:spacing w:line="580" w:lineRule="exact"/>
        <w:ind w:firstLine="480" w:firstLineChars="200"/>
        <w:rPr>
          <w:rFonts w:ascii="宋体" w:hAnsi="宋体" w:cs="宋体"/>
          <w:sz w:val="24"/>
        </w:rPr>
      </w:pPr>
      <w:r>
        <w:rPr>
          <w:rFonts w:hint="eastAsia" w:ascii="宋体" w:hAnsi="宋体" w:cs="宋体"/>
          <w:sz w:val="24"/>
        </w:rPr>
        <w:t>（4）定期对智能照明设备进行测试和调试，确保照明效果的舒适性和节能性。</w:t>
      </w:r>
    </w:p>
    <w:p>
      <w:pPr>
        <w:spacing w:line="580" w:lineRule="exact"/>
        <w:ind w:firstLine="482" w:firstLineChars="200"/>
        <w:rPr>
          <w:rFonts w:ascii="宋体" w:hAnsi="宋体" w:cs="宋体"/>
          <w:b/>
          <w:bCs/>
          <w:sz w:val="24"/>
        </w:rPr>
      </w:pPr>
      <w:r>
        <w:rPr>
          <w:rFonts w:hint="eastAsia" w:ascii="宋体" w:hAnsi="宋体" w:cs="宋体"/>
          <w:b/>
          <w:bCs/>
          <w:sz w:val="24"/>
        </w:rPr>
        <w:t>二、服务要求</w:t>
      </w:r>
    </w:p>
    <w:p>
      <w:pPr>
        <w:numPr>
          <w:ilvl w:val="255"/>
          <w:numId w:val="0"/>
        </w:numPr>
        <w:spacing w:line="580" w:lineRule="exact"/>
        <w:ind w:firstLine="480" w:firstLineChars="200"/>
        <w:rPr>
          <w:rFonts w:ascii="宋体" w:hAnsi="宋体" w:cs="宋体"/>
          <w:sz w:val="24"/>
        </w:rPr>
      </w:pPr>
      <w:r>
        <w:rPr>
          <w:rFonts w:hint="eastAsia" w:ascii="宋体" w:hAnsi="宋体" w:cs="宋体"/>
          <w:sz w:val="24"/>
        </w:rPr>
        <w:t>（一）按国家有关规范和要求派专业人员对系统定期检查、测试、保养、维修，确保设备正常运行。</w:t>
      </w:r>
    </w:p>
    <w:p>
      <w:pPr>
        <w:numPr>
          <w:ilvl w:val="255"/>
          <w:numId w:val="0"/>
        </w:numPr>
        <w:spacing w:line="580" w:lineRule="exact"/>
        <w:ind w:firstLine="480" w:firstLineChars="200"/>
        <w:rPr>
          <w:rFonts w:ascii="宋体" w:hAnsi="宋体" w:cs="宋体"/>
          <w:sz w:val="24"/>
        </w:rPr>
      </w:pPr>
      <w:r>
        <w:rPr>
          <w:rFonts w:hint="eastAsia" w:ascii="宋体" w:hAnsi="宋体" w:cs="宋体"/>
          <w:sz w:val="24"/>
        </w:rPr>
        <w:t>（二）对各个系统严格管理，建立维修保养规则，认真监测系统运行状况，随时记录异常情况，及时报修。</w:t>
      </w:r>
    </w:p>
    <w:p>
      <w:pPr>
        <w:numPr>
          <w:ilvl w:val="255"/>
          <w:numId w:val="0"/>
        </w:numPr>
        <w:spacing w:line="580" w:lineRule="exact"/>
        <w:ind w:firstLine="480" w:firstLineChars="200"/>
        <w:rPr>
          <w:rFonts w:ascii="宋体" w:hAnsi="宋体" w:cs="宋体"/>
          <w:sz w:val="24"/>
        </w:rPr>
      </w:pPr>
      <w:r>
        <w:rPr>
          <w:rFonts w:hint="eastAsia" w:ascii="宋体" w:hAnsi="宋体" w:cs="宋体"/>
          <w:sz w:val="24"/>
        </w:rPr>
        <w:t>（三）派专业维修人员每半月一次到现场对各系统设备、消防中控室、弱电竖井等相关部位进行检查和维护，并认真填写巡检记录表。</w:t>
      </w:r>
    </w:p>
    <w:p>
      <w:pPr>
        <w:numPr>
          <w:ilvl w:val="255"/>
          <w:numId w:val="0"/>
        </w:numPr>
        <w:spacing w:line="580" w:lineRule="exact"/>
        <w:ind w:firstLine="480" w:firstLineChars="200"/>
        <w:rPr>
          <w:rFonts w:ascii="宋体" w:hAnsi="宋体" w:cs="宋体"/>
          <w:sz w:val="24"/>
        </w:rPr>
      </w:pPr>
      <w:r>
        <w:rPr>
          <w:rFonts w:hint="eastAsia" w:ascii="宋体" w:hAnsi="宋体" w:cs="宋体"/>
          <w:sz w:val="24"/>
        </w:rPr>
        <w:t>（四）掌握各系统设施设备运行情况，及时提醒更换老旧设备，保证整体系统运行正常。</w:t>
      </w:r>
    </w:p>
    <w:p>
      <w:pPr>
        <w:numPr>
          <w:ilvl w:val="255"/>
          <w:numId w:val="0"/>
        </w:numPr>
        <w:spacing w:line="580" w:lineRule="exact"/>
        <w:ind w:firstLine="480" w:firstLineChars="200"/>
        <w:rPr>
          <w:rFonts w:ascii="宋体" w:hAnsi="宋体" w:cs="宋体"/>
          <w:sz w:val="24"/>
        </w:rPr>
      </w:pPr>
      <w:r>
        <w:rPr>
          <w:rFonts w:hint="eastAsia" w:ascii="宋体" w:hAnsi="宋体" w:cs="宋体"/>
          <w:sz w:val="24"/>
        </w:rPr>
        <w:t>（五）根据甲方需求，合同存续期间提供重大会议和活动系统保障服务，保障人员每次不少于2人。</w:t>
      </w:r>
    </w:p>
    <w:p>
      <w:pPr>
        <w:numPr>
          <w:ilvl w:val="255"/>
          <w:numId w:val="0"/>
        </w:numPr>
        <w:spacing w:line="580" w:lineRule="exact"/>
        <w:ind w:firstLine="480" w:firstLineChars="200"/>
        <w:rPr>
          <w:rFonts w:ascii="宋体" w:hAnsi="宋体" w:cs="宋体"/>
          <w:sz w:val="24"/>
        </w:rPr>
      </w:pPr>
      <w:r>
        <w:rPr>
          <w:rFonts w:hint="eastAsia" w:ascii="宋体" w:hAnsi="宋体" w:cs="宋体"/>
          <w:sz w:val="24"/>
        </w:rPr>
        <w:t>（六）维保人员在合同存续期间应当遵守甲方各项管理制度外，加强自身安全管理，积极配合完成与安防和楼控系统相关的工作。</w:t>
      </w:r>
    </w:p>
    <w:p>
      <w:pPr>
        <w:spacing w:line="580" w:lineRule="exact"/>
        <w:ind w:firstLine="482" w:firstLineChars="200"/>
        <w:rPr>
          <w:rFonts w:ascii="宋体" w:hAnsi="宋体" w:cs="宋体"/>
          <w:b/>
          <w:bCs/>
          <w:sz w:val="24"/>
        </w:rPr>
      </w:pPr>
      <w:r>
        <w:rPr>
          <w:rFonts w:hint="eastAsia" w:ascii="宋体" w:hAnsi="宋体" w:cs="宋体"/>
          <w:b/>
          <w:bCs/>
          <w:sz w:val="24"/>
        </w:rPr>
        <w:t>三、报修服务</w:t>
      </w:r>
    </w:p>
    <w:tbl>
      <w:tblPr>
        <w:tblStyle w:val="46"/>
        <w:tblpPr w:leftFromText="180" w:rightFromText="180" w:vertAnchor="text" w:horzAnchor="page" w:tblpX="2014" w:tblpY="952"/>
        <w:tblOverlap w:val="never"/>
        <w:tblW w:w="8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3750"/>
        <w:gridCol w:w="4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61" w:type="dxa"/>
          </w:tcPr>
          <w:p>
            <w:pPr>
              <w:spacing w:line="600" w:lineRule="exact"/>
              <w:ind w:right="248" w:rightChars="118"/>
              <w:jc w:val="center"/>
              <w:rPr>
                <w:rFonts w:ascii="宋体" w:hAnsi="宋体" w:cs="宋体"/>
                <w:sz w:val="24"/>
              </w:rPr>
            </w:pPr>
            <w:r>
              <w:rPr>
                <w:rFonts w:hint="eastAsia" w:ascii="宋体" w:hAnsi="宋体" w:cs="宋体"/>
                <w:sz w:val="24"/>
              </w:rPr>
              <w:t>级别</w:t>
            </w:r>
          </w:p>
        </w:tc>
        <w:tc>
          <w:tcPr>
            <w:tcW w:w="3750" w:type="dxa"/>
          </w:tcPr>
          <w:p>
            <w:pPr>
              <w:spacing w:line="600" w:lineRule="exact"/>
              <w:ind w:right="248" w:rightChars="118" w:firstLine="480" w:firstLineChars="200"/>
              <w:jc w:val="center"/>
              <w:rPr>
                <w:rFonts w:ascii="宋体" w:hAnsi="宋体" w:cs="宋体"/>
                <w:sz w:val="24"/>
              </w:rPr>
            </w:pPr>
            <w:r>
              <w:rPr>
                <w:rFonts w:hint="eastAsia" w:ascii="宋体" w:hAnsi="宋体" w:cs="宋体"/>
                <w:sz w:val="24"/>
              </w:rPr>
              <w:t>故障内容</w:t>
            </w:r>
          </w:p>
        </w:tc>
        <w:tc>
          <w:tcPr>
            <w:tcW w:w="4118" w:type="dxa"/>
          </w:tcPr>
          <w:p>
            <w:pPr>
              <w:spacing w:line="600" w:lineRule="exact"/>
              <w:ind w:right="248" w:rightChars="118" w:firstLine="480" w:firstLineChars="200"/>
              <w:jc w:val="center"/>
              <w:rPr>
                <w:rFonts w:ascii="宋体" w:hAnsi="宋体" w:cs="宋体"/>
                <w:sz w:val="24"/>
              </w:rPr>
            </w:pPr>
            <w:r>
              <w:rPr>
                <w:rFonts w:hint="eastAsia" w:ascii="宋体" w:hAnsi="宋体" w:cs="宋体"/>
                <w:sz w:val="24"/>
              </w:rPr>
              <w:t>响应时间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pPr>
              <w:pStyle w:val="43"/>
              <w:ind w:firstLine="240"/>
              <w:jc w:val="center"/>
              <w:rPr>
                <w:rFonts w:ascii="宋体" w:hAnsi="宋体" w:cs="宋体"/>
                <w:sz w:val="24"/>
                <w:szCs w:val="24"/>
              </w:rPr>
            </w:pPr>
            <w:r>
              <w:rPr>
                <w:rFonts w:hint="eastAsia" w:ascii="宋体" w:hAnsi="宋体" w:cs="宋体"/>
                <w:sz w:val="24"/>
                <w:szCs w:val="24"/>
              </w:rPr>
              <w:t>1级</w:t>
            </w:r>
          </w:p>
        </w:tc>
        <w:tc>
          <w:tcPr>
            <w:tcW w:w="3750" w:type="dxa"/>
            <w:vAlign w:val="center"/>
          </w:tcPr>
          <w:p>
            <w:pPr>
              <w:pStyle w:val="43"/>
              <w:ind w:firstLine="0" w:firstLineChars="0"/>
              <w:jc w:val="center"/>
              <w:rPr>
                <w:rFonts w:ascii="宋体" w:hAnsi="宋体" w:cs="宋体"/>
                <w:sz w:val="24"/>
                <w:szCs w:val="24"/>
              </w:rPr>
            </w:pPr>
            <w:r>
              <w:rPr>
                <w:rFonts w:hint="eastAsia" w:ascii="宋体" w:hAnsi="宋体" w:cs="宋体"/>
                <w:sz w:val="24"/>
                <w:szCs w:val="24"/>
              </w:rPr>
              <w:t>系统故障不能正常运行</w:t>
            </w:r>
          </w:p>
        </w:tc>
        <w:tc>
          <w:tcPr>
            <w:tcW w:w="4118" w:type="dxa"/>
            <w:vAlign w:val="center"/>
          </w:tcPr>
          <w:p>
            <w:pPr>
              <w:pStyle w:val="43"/>
              <w:ind w:firstLine="240"/>
              <w:jc w:val="center"/>
              <w:rPr>
                <w:rFonts w:ascii="宋体" w:hAnsi="宋体" w:cs="宋体"/>
                <w:sz w:val="24"/>
                <w:szCs w:val="24"/>
              </w:rPr>
            </w:pPr>
            <w:r>
              <w:rPr>
                <w:rFonts w:hint="eastAsia" w:ascii="宋体" w:hAnsi="宋体" w:cs="宋体"/>
                <w:sz w:val="24"/>
                <w:szCs w:val="24"/>
              </w:rPr>
              <w:t>7×24小时电话咨询，2小时内到场处置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pPr>
              <w:pStyle w:val="43"/>
              <w:ind w:firstLine="240"/>
              <w:jc w:val="center"/>
              <w:rPr>
                <w:rFonts w:ascii="宋体" w:hAnsi="宋体" w:cs="宋体"/>
                <w:sz w:val="24"/>
                <w:szCs w:val="24"/>
              </w:rPr>
            </w:pPr>
            <w:r>
              <w:rPr>
                <w:rFonts w:hint="eastAsia" w:ascii="宋体" w:hAnsi="宋体" w:cs="宋体"/>
                <w:sz w:val="24"/>
                <w:szCs w:val="24"/>
              </w:rPr>
              <w:t>2级</w:t>
            </w:r>
          </w:p>
        </w:tc>
        <w:tc>
          <w:tcPr>
            <w:tcW w:w="3750" w:type="dxa"/>
            <w:vAlign w:val="center"/>
          </w:tcPr>
          <w:p>
            <w:pPr>
              <w:pStyle w:val="43"/>
              <w:ind w:firstLine="0" w:firstLineChars="0"/>
              <w:jc w:val="center"/>
              <w:rPr>
                <w:rFonts w:ascii="宋体" w:hAnsi="宋体" w:cs="宋体"/>
                <w:sz w:val="24"/>
                <w:szCs w:val="24"/>
              </w:rPr>
            </w:pPr>
            <w:r>
              <w:rPr>
                <w:rFonts w:hint="eastAsia" w:ascii="宋体" w:hAnsi="宋体" w:cs="宋体"/>
                <w:sz w:val="24"/>
                <w:szCs w:val="24"/>
              </w:rPr>
              <w:t>设备损坏，系统能正常运行</w:t>
            </w:r>
          </w:p>
        </w:tc>
        <w:tc>
          <w:tcPr>
            <w:tcW w:w="4118" w:type="dxa"/>
            <w:vAlign w:val="center"/>
          </w:tcPr>
          <w:p>
            <w:pPr>
              <w:pStyle w:val="43"/>
              <w:ind w:firstLine="240"/>
              <w:jc w:val="center"/>
              <w:rPr>
                <w:rFonts w:ascii="宋体" w:hAnsi="宋体" w:cs="宋体"/>
                <w:sz w:val="24"/>
                <w:szCs w:val="24"/>
              </w:rPr>
            </w:pPr>
            <w:r>
              <w:rPr>
                <w:rFonts w:hint="eastAsia" w:ascii="宋体" w:hAnsi="宋体" w:cs="宋体"/>
                <w:sz w:val="24"/>
                <w:szCs w:val="24"/>
              </w:rPr>
              <w:t>7×24小时电话咨询，12小时内到达现场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pPr>
              <w:pStyle w:val="43"/>
              <w:ind w:firstLine="240"/>
              <w:jc w:val="center"/>
              <w:rPr>
                <w:rFonts w:ascii="宋体" w:hAnsi="宋体" w:cs="宋体"/>
                <w:sz w:val="24"/>
                <w:szCs w:val="24"/>
              </w:rPr>
            </w:pPr>
            <w:r>
              <w:rPr>
                <w:rFonts w:hint="eastAsia" w:ascii="宋体" w:hAnsi="宋体" w:cs="宋体"/>
                <w:sz w:val="24"/>
                <w:szCs w:val="24"/>
              </w:rPr>
              <w:t>3级</w:t>
            </w:r>
          </w:p>
        </w:tc>
        <w:tc>
          <w:tcPr>
            <w:tcW w:w="3750" w:type="dxa"/>
            <w:vAlign w:val="center"/>
          </w:tcPr>
          <w:p>
            <w:pPr>
              <w:pStyle w:val="43"/>
              <w:ind w:firstLine="0" w:firstLineChars="0"/>
              <w:jc w:val="center"/>
              <w:rPr>
                <w:rFonts w:ascii="宋体" w:hAnsi="宋体" w:cs="宋体"/>
                <w:sz w:val="24"/>
                <w:szCs w:val="24"/>
              </w:rPr>
            </w:pPr>
            <w:r>
              <w:rPr>
                <w:rFonts w:hint="eastAsia" w:ascii="宋体" w:hAnsi="宋体" w:cs="宋体"/>
                <w:sz w:val="24"/>
                <w:szCs w:val="24"/>
              </w:rPr>
              <w:t>系统报警，能够正常运行</w:t>
            </w:r>
          </w:p>
        </w:tc>
        <w:tc>
          <w:tcPr>
            <w:tcW w:w="4118" w:type="dxa"/>
            <w:vAlign w:val="center"/>
          </w:tcPr>
          <w:p>
            <w:pPr>
              <w:pStyle w:val="43"/>
              <w:ind w:firstLine="240"/>
              <w:jc w:val="center"/>
              <w:rPr>
                <w:rFonts w:ascii="宋体" w:hAnsi="宋体" w:cs="宋体"/>
                <w:sz w:val="24"/>
                <w:szCs w:val="24"/>
              </w:rPr>
            </w:pPr>
            <w:r>
              <w:rPr>
                <w:rFonts w:hint="eastAsia" w:ascii="宋体" w:hAnsi="宋体" w:cs="宋体"/>
                <w:sz w:val="24"/>
                <w:szCs w:val="24"/>
              </w:rPr>
              <w:t>7×24小时电话咨询，24小时内到达现场</w:t>
            </w:r>
          </w:p>
        </w:tc>
      </w:tr>
    </w:tbl>
    <w:p>
      <w:pPr>
        <w:spacing w:line="580" w:lineRule="exact"/>
        <w:ind w:firstLine="480" w:firstLineChars="200"/>
        <w:rPr>
          <w:rFonts w:ascii="宋体" w:hAnsi="宋体" w:cs="宋体"/>
          <w:sz w:val="24"/>
        </w:rPr>
      </w:pPr>
      <w:r>
        <w:rPr>
          <w:rFonts w:hint="eastAsia" w:ascii="宋体" w:hAnsi="宋体" w:cs="宋体"/>
          <w:sz w:val="24"/>
        </w:rPr>
        <w:t>（一）设备报修</w:t>
      </w:r>
    </w:p>
    <w:p>
      <w:pPr>
        <w:spacing w:line="580" w:lineRule="exact"/>
        <w:ind w:firstLine="480" w:firstLineChars="200"/>
        <w:rPr>
          <w:rFonts w:ascii="宋体" w:hAnsi="宋体" w:cs="宋体"/>
          <w:sz w:val="24"/>
        </w:rPr>
      </w:pPr>
      <w:r>
        <w:rPr>
          <w:rFonts w:hint="eastAsia" w:ascii="宋体" w:hAnsi="宋体" w:cs="宋体"/>
          <w:sz w:val="24"/>
        </w:rPr>
        <w:t>乙方采取专人定点服务制度，采用365天×24小时服务响应。日常报修接报后24小时内响应。设备需要紧急报修时，乙方接报后2小时内响应。维保服务期间如有设备损坏，在甲方有备件时更换备件解决。</w:t>
      </w:r>
    </w:p>
    <w:p>
      <w:pPr>
        <w:spacing w:line="580" w:lineRule="exact"/>
        <w:ind w:firstLine="480" w:firstLineChars="200"/>
        <w:rPr>
          <w:rFonts w:ascii="宋体" w:hAnsi="宋体" w:cs="宋体"/>
          <w:sz w:val="24"/>
        </w:rPr>
      </w:pPr>
      <w:r>
        <w:rPr>
          <w:rFonts w:hint="eastAsia" w:ascii="宋体" w:hAnsi="宋体" w:cs="宋体"/>
          <w:sz w:val="24"/>
        </w:rPr>
        <w:t>（二）维修费用</w:t>
      </w:r>
    </w:p>
    <w:p>
      <w:pPr>
        <w:spacing w:line="580" w:lineRule="exact"/>
        <w:ind w:firstLine="480" w:firstLineChars="200"/>
        <w:rPr>
          <w:rFonts w:ascii="宋体" w:hAnsi="宋体" w:cs="宋体"/>
          <w:sz w:val="24"/>
        </w:rPr>
      </w:pPr>
      <w:r>
        <w:rPr>
          <w:rFonts w:hint="eastAsia" w:ascii="宋体" w:hAnsi="宋体" w:cs="宋体"/>
          <w:sz w:val="24"/>
        </w:rPr>
        <w:t>1、所有设备在正常使用下发生损坏，由乙方负责更换，设备及配件费用市场价1000元以内的由乙方承担。如有设备损坏需拆下送厂维修，则以厂家服务为准。</w:t>
      </w:r>
    </w:p>
    <w:p>
      <w:pPr>
        <w:spacing w:line="580" w:lineRule="exact"/>
        <w:ind w:firstLine="480" w:firstLineChars="200"/>
        <w:rPr>
          <w:rFonts w:ascii="宋体" w:hAnsi="宋体" w:cs="宋体"/>
          <w:sz w:val="24"/>
        </w:rPr>
      </w:pPr>
      <w:r>
        <w:rPr>
          <w:rFonts w:hint="eastAsia" w:ascii="宋体" w:hAnsi="宋体" w:cs="宋体"/>
          <w:sz w:val="24"/>
        </w:rPr>
        <w:t>2、为保障所有系统稳定性，新更换设备需与系统兼容并可以正常运行，更换的设备及配件质保时间不得少于12个月。</w:t>
      </w:r>
    </w:p>
    <w:p>
      <w:pPr>
        <w:spacing w:line="580" w:lineRule="exact"/>
        <w:ind w:firstLine="482" w:firstLineChars="200"/>
        <w:rPr>
          <w:rFonts w:ascii="宋体" w:hAnsi="宋体" w:cs="宋体"/>
          <w:b/>
          <w:bCs/>
          <w:sz w:val="24"/>
        </w:rPr>
      </w:pPr>
      <w:r>
        <w:rPr>
          <w:rFonts w:hint="eastAsia" w:ascii="宋体" w:hAnsi="宋体" w:cs="宋体"/>
          <w:b/>
          <w:bCs/>
          <w:sz w:val="24"/>
        </w:rPr>
        <w:t>四、人员培训</w:t>
      </w:r>
    </w:p>
    <w:p>
      <w:pPr>
        <w:spacing w:line="580" w:lineRule="exact"/>
        <w:ind w:firstLine="480" w:firstLineChars="200"/>
        <w:rPr>
          <w:rFonts w:ascii="宋体" w:hAnsi="宋体" w:cs="宋体"/>
          <w:sz w:val="24"/>
        </w:rPr>
      </w:pPr>
      <w:r>
        <w:rPr>
          <w:rFonts w:hint="eastAsia" w:ascii="宋体" w:hAnsi="宋体" w:cs="宋体"/>
          <w:sz w:val="24"/>
        </w:rPr>
        <w:t>每年对操作人员进行一次技术培训，具体时间和要求由甲方确定。</w:t>
      </w:r>
    </w:p>
    <w:p>
      <w:pPr>
        <w:spacing w:line="580" w:lineRule="exact"/>
        <w:ind w:firstLine="482" w:firstLineChars="200"/>
        <w:rPr>
          <w:rFonts w:ascii="宋体" w:hAnsi="宋体" w:cs="宋体"/>
          <w:b/>
          <w:bCs/>
          <w:sz w:val="24"/>
        </w:rPr>
      </w:pPr>
      <w:r>
        <w:rPr>
          <w:rFonts w:hint="eastAsia" w:ascii="宋体" w:hAnsi="宋体" w:cs="宋体"/>
          <w:b/>
          <w:bCs/>
          <w:sz w:val="24"/>
        </w:rPr>
        <w:t>第二条  维护保养期限</w:t>
      </w:r>
    </w:p>
    <w:p>
      <w:pPr>
        <w:spacing w:line="580" w:lineRule="exact"/>
        <w:ind w:firstLine="480" w:firstLineChars="200"/>
        <w:rPr>
          <w:rFonts w:ascii="宋体" w:hAnsi="宋体" w:cs="宋体"/>
          <w:sz w:val="24"/>
        </w:rPr>
      </w:pPr>
      <w:r>
        <w:rPr>
          <w:rFonts w:hint="eastAsia" w:ascii="宋体" w:hAnsi="宋体" w:cs="宋体"/>
          <w:sz w:val="24"/>
        </w:rPr>
        <w:t>本合同期限1年，自</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日起至</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日止。合同到期后自动终止。</w:t>
      </w:r>
    </w:p>
    <w:p>
      <w:pPr>
        <w:spacing w:line="580" w:lineRule="exact"/>
        <w:ind w:firstLine="482" w:firstLineChars="200"/>
        <w:rPr>
          <w:rFonts w:ascii="宋体" w:hAnsi="宋体" w:cs="宋体"/>
          <w:b/>
          <w:bCs/>
          <w:sz w:val="24"/>
        </w:rPr>
      </w:pPr>
      <w:r>
        <w:rPr>
          <w:rFonts w:hint="eastAsia" w:ascii="宋体" w:hAnsi="宋体" w:cs="宋体"/>
          <w:b/>
          <w:bCs/>
          <w:sz w:val="24"/>
        </w:rPr>
        <w:t>第三条  维护保养费</w:t>
      </w:r>
    </w:p>
    <w:p>
      <w:pPr>
        <w:spacing w:line="580" w:lineRule="exact"/>
        <w:ind w:firstLine="480" w:firstLineChars="200"/>
        <w:rPr>
          <w:rFonts w:ascii="宋体" w:hAnsi="宋体" w:cs="宋体"/>
          <w:sz w:val="24"/>
        </w:rPr>
      </w:pPr>
      <w:r>
        <w:rPr>
          <w:rFonts w:hint="eastAsia" w:ascii="宋体" w:hAnsi="宋体" w:cs="宋体"/>
          <w:sz w:val="24"/>
        </w:rPr>
        <w:t>一、维护保养费总计：¥</w:t>
      </w:r>
      <w:r>
        <w:rPr>
          <w:rFonts w:hint="eastAsia" w:ascii="宋体" w:hAnsi="宋体" w:cs="宋体"/>
          <w:sz w:val="24"/>
          <w:u w:val="single"/>
        </w:rPr>
        <w:t>　　　　　</w:t>
      </w:r>
      <w:r>
        <w:rPr>
          <w:rFonts w:hint="eastAsia" w:ascii="宋体" w:hAnsi="宋体" w:cs="宋体"/>
          <w:sz w:val="24"/>
        </w:rPr>
        <w:t>元，大写：人民币</w:t>
      </w:r>
      <w:r>
        <w:rPr>
          <w:rFonts w:hint="eastAsia" w:ascii="宋体" w:hAnsi="宋体" w:cs="宋体"/>
          <w:sz w:val="24"/>
          <w:u w:val="single"/>
        </w:rPr>
        <w:t xml:space="preserve">　　　　　　 </w:t>
      </w:r>
      <w:r>
        <w:rPr>
          <w:rFonts w:hint="eastAsia" w:ascii="宋体" w:hAnsi="宋体" w:cs="宋体"/>
          <w:sz w:val="24"/>
        </w:rPr>
        <w:t>。</w:t>
      </w:r>
    </w:p>
    <w:p>
      <w:pPr>
        <w:spacing w:line="580" w:lineRule="exact"/>
        <w:ind w:firstLine="480" w:firstLineChars="200"/>
        <w:rPr>
          <w:rFonts w:ascii="宋体" w:hAnsi="宋体" w:cs="宋体"/>
          <w:sz w:val="24"/>
        </w:rPr>
      </w:pPr>
      <w:r>
        <w:rPr>
          <w:rFonts w:hint="eastAsia" w:ascii="宋体" w:hAnsi="宋体" w:cs="宋体"/>
          <w:sz w:val="24"/>
        </w:rPr>
        <w:t>二、在合同履行期间，如果国家税收政策变化，此合同含税总价保持不变，税率自调整之日起依调整后政策执行。</w:t>
      </w:r>
    </w:p>
    <w:p>
      <w:pPr>
        <w:spacing w:line="580" w:lineRule="exact"/>
        <w:ind w:firstLine="482" w:firstLineChars="200"/>
        <w:rPr>
          <w:rFonts w:ascii="宋体" w:hAnsi="宋体" w:cs="宋体"/>
          <w:b/>
          <w:bCs/>
          <w:sz w:val="24"/>
        </w:rPr>
      </w:pPr>
      <w:r>
        <w:rPr>
          <w:rFonts w:hint="eastAsia" w:ascii="宋体" w:hAnsi="宋体" w:cs="宋体"/>
          <w:b/>
          <w:bCs/>
          <w:sz w:val="24"/>
        </w:rPr>
        <w:t>第四条  结算方式</w:t>
      </w:r>
    </w:p>
    <w:p>
      <w:pPr>
        <w:spacing w:line="580" w:lineRule="exact"/>
        <w:ind w:firstLine="480" w:firstLineChars="200"/>
        <w:rPr>
          <w:rFonts w:ascii="宋体" w:hAnsi="宋体" w:cs="宋体"/>
          <w:sz w:val="24"/>
        </w:rPr>
      </w:pPr>
      <w:r>
        <w:rPr>
          <w:rFonts w:hint="eastAsia" w:ascii="宋体" w:hAnsi="宋体" w:cs="宋体"/>
          <w:sz w:val="24"/>
        </w:rPr>
        <w:t xml:space="preserve">一、本合同采用付款方式：■季  </w:t>
      </w:r>
      <w:r>
        <w:rPr>
          <w:rFonts w:hint="eastAsia" w:ascii="宋体" w:hAnsi="宋体" w:cs="宋体"/>
          <w:sz w:val="24"/>
        </w:rPr>
        <w:sym w:font="Wingdings" w:char="00A8"/>
      </w:r>
      <w:r>
        <w:rPr>
          <w:rFonts w:hint="eastAsia" w:ascii="宋体" w:hAnsi="宋体" w:cs="宋体"/>
          <w:sz w:val="24"/>
        </w:rPr>
        <w:t xml:space="preserve">半年   </w:t>
      </w:r>
      <w:r>
        <w:rPr>
          <w:rFonts w:hint="eastAsia" w:ascii="宋体" w:hAnsi="宋体" w:cs="宋体"/>
          <w:sz w:val="24"/>
        </w:rPr>
        <w:sym w:font="Wingdings" w:char="00A8"/>
      </w:r>
      <w:r>
        <w:rPr>
          <w:rFonts w:hint="eastAsia" w:ascii="宋体" w:hAnsi="宋体" w:cs="宋体"/>
          <w:sz w:val="24"/>
        </w:rPr>
        <w:t>年支付维护保养费</w:t>
      </w:r>
    </w:p>
    <w:p>
      <w:pPr>
        <w:spacing w:line="580" w:lineRule="exact"/>
        <w:ind w:firstLine="480" w:firstLineChars="200"/>
        <w:rPr>
          <w:rFonts w:ascii="宋体" w:hAnsi="宋体" w:cs="宋体"/>
          <w:sz w:val="24"/>
        </w:rPr>
      </w:pPr>
      <w:r>
        <w:rPr>
          <w:rFonts w:hint="eastAsia" w:ascii="宋体" w:hAnsi="宋体" w:cs="宋体"/>
          <w:sz w:val="24"/>
        </w:rPr>
        <w:t>二、甲方需按期交付乙方本合约规定之维修保养费用，作为乙方履行本合约所规定的维修保养服务之费用。</w:t>
      </w:r>
    </w:p>
    <w:p>
      <w:pPr>
        <w:spacing w:line="580" w:lineRule="exact"/>
        <w:ind w:firstLine="480" w:firstLineChars="200"/>
        <w:rPr>
          <w:rFonts w:ascii="宋体" w:hAnsi="宋体" w:cs="宋体"/>
          <w:sz w:val="24"/>
        </w:rPr>
      </w:pPr>
      <w:r>
        <w:rPr>
          <w:rFonts w:hint="eastAsia" w:ascii="宋体" w:hAnsi="宋体" w:cs="宋体"/>
          <w:sz w:val="24"/>
        </w:rPr>
        <w:t>三、双方签订合同并生效后，乙方提供增值税税率为6%的专用发票，作为甲方支付维保费的依据。</w:t>
      </w:r>
    </w:p>
    <w:p>
      <w:pPr>
        <w:spacing w:line="580" w:lineRule="exact"/>
        <w:ind w:firstLine="480" w:firstLineChars="200"/>
        <w:rPr>
          <w:rFonts w:ascii="宋体" w:hAnsi="宋体" w:cs="宋体"/>
          <w:sz w:val="24"/>
        </w:rPr>
      </w:pPr>
      <w:r>
        <w:rPr>
          <w:rFonts w:hint="eastAsia" w:ascii="宋体" w:hAnsi="宋体" w:cs="宋体"/>
          <w:sz w:val="24"/>
        </w:rPr>
        <w:t>四、合同生效后15日内，甲方须向乙方支付合约期第一季度维护保养服务费，计：¥</w:t>
      </w:r>
      <w:r>
        <w:rPr>
          <w:rFonts w:hint="eastAsia" w:ascii="宋体" w:hAnsi="宋体" w:cs="宋体"/>
          <w:sz w:val="24"/>
          <w:u w:val="single"/>
        </w:rPr>
        <w:t xml:space="preserve"> 　　 　　</w:t>
      </w:r>
      <w:r>
        <w:rPr>
          <w:rFonts w:hint="eastAsia" w:ascii="宋体" w:hAnsi="宋体" w:cs="宋体"/>
          <w:sz w:val="24"/>
        </w:rPr>
        <w:t>元，大写为：人民币</w:t>
      </w:r>
      <w:r>
        <w:rPr>
          <w:rFonts w:hint="eastAsia" w:ascii="宋体" w:hAnsi="宋体" w:cs="宋体"/>
          <w:sz w:val="24"/>
          <w:u w:val="single"/>
        </w:rPr>
        <w:t xml:space="preserve"> 　　 　　　</w:t>
      </w:r>
      <w:r>
        <w:rPr>
          <w:rFonts w:hint="eastAsia" w:ascii="宋体" w:hAnsi="宋体" w:cs="宋体"/>
          <w:sz w:val="24"/>
        </w:rPr>
        <w:t>。</w:t>
      </w:r>
    </w:p>
    <w:p>
      <w:pPr>
        <w:spacing w:line="580" w:lineRule="exact"/>
        <w:ind w:firstLine="480" w:firstLineChars="200"/>
        <w:rPr>
          <w:rFonts w:ascii="宋体" w:hAnsi="宋体" w:cs="宋体"/>
          <w:sz w:val="24"/>
        </w:rPr>
      </w:pPr>
      <w:r>
        <w:rPr>
          <w:rFonts w:hint="eastAsia" w:ascii="宋体" w:hAnsi="宋体" w:cs="宋体"/>
          <w:sz w:val="24"/>
        </w:rPr>
        <w:t>第二季度开始后7日内（　年　月　日前），甲方须向乙方支付合约期第二季度维护保养服务费，计¥</w:t>
      </w:r>
      <w:r>
        <w:rPr>
          <w:rFonts w:hint="eastAsia" w:ascii="宋体" w:hAnsi="宋体" w:cs="宋体"/>
          <w:sz w:val="24"/>
          <w:u w:val="single"/>
        </w:rPr>
        <w:t>　 　　　</w:t>
      </w:r>
      <w:r>
        <w:rPr>
          <w:rFonts w:hint="eastAsia" w:ascii="宋体" w:hAnsi="宋体" w:cs="宋体"/>
          <w:sz w:val="24"/>
        </w:rPr>
        <w:t>元，大写为：人民币</w:t>
      </w:r>
      <w:r>
        <w:rPr>
          <w:rFonts w:hint="eastAsia" w:ascii="宋体" w:hAnsi="宋体" w:cs="宋体"/>
          <w:sz w:val="24"/>
          <w:u w:val="single"/>
        </w:rPr>
        <w:t xml:space="preserve"> 　　　　　</w:t>
      </w:r>
      <w:r>
        <w:rPr>
          <w:rFonts w:hint="eastAsia" w:ascii="宋体" w:hAnsi="宋体" w:cs="宋体"/>
          <w:sz w:val="24"/>
        </w:rPr>
        <w:t>。</w:t>
      </w:r>
    </w:p>
    <w:p>
      <w:pPr>
        <w:spacing w:line="580" w:lineRule="exact"/>
        <w:ind w:firstLine="480" w:firstLineChars="200"/>
        <w:rPr>
          <w:rFonts w:ascii="宋体" w:hAnsi="宋体" w:cs="宋体"/>
          <w:sz w:val="24"/>
        </w:rPr>
      </w:pPr>
      <w:r>
        <w:rPr>
          <w:rFonts w:hint="eastAsia" w:ascii="宋体" w:hAnsi="宋体" w:cs="宋体"/>
          <w:sz w:val="24"/>
        </w:rPr>
        <w:t>第三季度开始后7日内（　年　月　日前），甲方须向乙方支付合约期第三季度维护保养服务费，计¥</w:t>
      </w:r>
      <w:r>
        <w:rPr>
          <w:rFonts w:hint="eastAsia" w:ascii="宋体" w:hAnsi="宋体" w:cs="宋体"/>
          <w:sz w:val="24"/>
          <w:u w:val="single"/>
        </w:rPr>
        <w:t>　　 　　</w:t>
      </w:r>
      <w:r>
        <w:rPr>
          <w:rFonts w:hint="eastAsia" w:ascii="宋体" w:hAnsi="宋体" w:cs="宋体"/>
          <w:sz w:val="24"/>
        </w:rPr>
        <w:t>元，大写为：人民币</w:t>
      </w:r>
      <w:r>
        <w:rPr>
          <w:rFonts w:hint="eastAsia" w:ascii="宋体" w:hAnsi="宋体" w:cs="宋体"/>
          <w:sz w:val="24"/>
          <w:u w:val="single"/>
        </w:rPr>
        <w:t xml:space="preserve"> 　　　　　</w:t>
      </w:r>
      <w:r>
        <w:rPr>
          <w:rFonts w:hint="eastAsia" w:ascii="宋体" w:hAnsi="宋体" w:cs="宋体"/>
          <w:sz w:val="24"/>
        </w:rPr>
        <w:t>。</w:t>
      </w:r>
    </w:p>
    <w:p>
      <w:pPr>
        <w:spacing w:line="580" w:lineRule="exact"/>
        <w:ind w:firstLine="480" w:firstLineChars="200"/>
        <w:rPr>
          <w:rFonts w:ascii="宋体" w:hAnsi="宋体" w:cs="宋体"/>
          <w:sz w:val="24"/>
        </w:rPr>
      </w:pPr>
      <w:r>
        <w:rPr>
          <w:rFonts w:hint="eastAsia" w:ascii="宋体" w:hAnsi="宋体" w:cs="宋体"/>
          <w:sz w:val="24"/>
        </w:rPr>
        <w:t>第四季度服务结束后15日内（　年　月　日）前，甲方对乙方的履约情况进行验收，验收合格后，甲方须向乙方支付合约期第四季度维护保养服务费，计¥</w:t>
      </w:r>
      <w:r>
        <w:rPr>
          <w:rFonts w:hint="eastAsia" w:ascii="宋体" w:hAnsi="宋体" w:cs="宋体"/>
          <w:sz w:val="24"/>
          <w:u w:val="single"/>
        </w:rPr>
        <w:t>　　　　　</w:t>
      </w:r>
      <w:r>
        <w:rPr>
          <w:rFonts w:hint="eastAsia" w:ascii="宋体" w:hAnsi="宋体" w:cs="宋体"/>
          <w:sz w:val="24"/>
        </w:rPr>
        <w:t>元，大写为：人民币</w:t>
      </w:r>
      <w:r>
        <w:rPr>
          <w:rFonts w:hint="eastAsia" w:ascii="宋体" w:hAnsi="宋体" w:cs="宋体"/>
          <w:sz w:val="24"/>
          <w:u w:val="single"/>
        </w:rPr>
        <w:t xml:space="preserve"> 　　　　　　</w:t>
      </w:r>
      <w:r>
        <w:rPr>
          <w:rFonts w:hint="eastAsia" w:ascii="宋体" w:hAnsi="宋体" w:cs="宋体"/>
          <w:sz w:val="24"/>
        </w:rPr>
        <w:t>。</w:t>
      </w:r>
    </w:p>
    <w:p>
      <w:pPr>
        <w:spacing w:line="580" w:lineRule="exact"/>
        <w:ind w:firstLine="480" w:firstLineChars="200"/>
        <w:rPr>
          <w:rFonts w:ascii="宋体" w:hAnsi="宋体" w:cs="宋体"/>
          <w:sz w:val="24"/>
        </w:rPr>
      </w:pPr>
      <w:r>
        <w:rPr>
          <w:rFonts w:hint="eastAsia" w:ascii="宋体" w:hAnsi="宋体" w:cs="宋体"/>
          <w:sz w:val="24"/>
        </w:rPr>
        <w:t xml:space="preserve">五、支付方式：  </w:t>
      </w:r>
      <w:r>
        <w:rPr>
          <w:rFonts w:hint="eastAsia" w:ascii="宋体" w:hAnsi="宋体" w:cs="宋体"/>
          <w:sz w:val="24"/>
        </w:rPr>
        <w:sym w:font="Wingdings" w:char="00A8"/>
      </w:r>
      <w:r>
        <w:rPr>
          <w:rFonts w:hint="eastAsia" w:ascii="宋体" w:hAnsi="宋体" w:cs="宋体"/>
          <w:sz w:val="24"/>
        </w:rPr>
        <w:t>支票    ■汇到乙方指定帐号。</w:t>
      </w:r>
    </w:p>
    <w:p>
      <w:pPr>
        <w:spacing w:line="580" w:lineRule="exact"/>
        <w:ind w:firstLine="480" w:firstLineChars="200"/>
        <w:rPr>
          <w:rFonts w:ascii="宋体" w:hAnsi="宋体" w:cs="宋体"/>
          <w:sz w:val="24"/>
        </w:rPr>
      </w:pPr>
      <w:r>
        <w:rPr>
          <w:rFonts w:hint="eastAsia" w:ascii="宋体" w:hAnsi="宋体" w:cs="宋体"/>
          <w:sz w:val="24"/>
        </w:rPr>
        <w:t>六、开票及收款信息</w:t>
      </w:r>
    </w:p>
    <w:p>
      <w:pPr>
        <w:spacing w:line="580" w:lineRule="exact"/>
        <w:ind w:firstLine="480" w:firstLineChars="200"/>
        <w:rPr>
          <w:rFonts w:ascii="宋体" w:hAnsi="宋体" w:cs="宋体"/>
          <w:sz w:val="24"/>
        </w:rPr>
      </w:pPr>
      <w:r>
        <w:rPr>
          <w:rFonts w:hint="eastAsia" w:ascii="宋体" w:hAnsi="宋体" w:cs="宋体"/>
          <w:sz w:val="24"/>
        </w:rPr>
        <w:t>1、开票信息</w:t>
      </w:r>
    </w:p>
    <w:p>
      <w:pPr>
        <w:spacing w:line="580" w:lineRule="exact"/>
        <w:ind w:firstLine="480" w:firstLineChars="200"/>
        <w:rPr>
          <w:rFonts w:ascii="宋体" w:hAnsi="宋体" w:cs="宋体"/>
          <w:sz w:val="24"/>
        </w:rPr>
      </w:pPr>
      <w:r>
        <w:rPr>
          <w:rFonts w:hint="eastAsia" w:ascii="宋体" w:hAnsi="宋体" w:cs="宋体"/>
          <w:sz w:val="24"/>
        </w:rPr>
        <w:t>账户名称：</w:t>
      </w:r>
    </w:p>
    <w:p>
      <w:pPr>
        <w:spacing w:line="580" w:lineRule="exact"/>
        <w:ind w:firstLine="480" w:firstLineChars="200"/>
        <w:rPr>
          <w:rFonts w:ascii="宋体" w:hAnsi="宋体" w:cs="宋体"/>
          <w:sz w:val="24"/>
        </w:rPr>
      </w:pPr>
      <w:r>
        <w:rPr>
          <w:rFonts w:hint="eastAsia" w:ascii="宋体" w:hAnsi="宋体" w:cs="宋体"/>
          <w:sz w:val="24"/>
        </w:rPr>
        <w:t>纳税人识别号：　</w:t>
      </w:r>
    </w:p>
    <w:p>
      <w:pPr>
        <w:spacing w:line="580" w:lineRule="exact"/>
        <w:ind w:firstLine="480" w:firstLineChars="200"/>
        <w:rPr>
          <w:rFonts w:ascii="宋体" w:hAnsi="宋体" w:cs="宋体"/>
          <w:sz w:val="24"/>
        </w:rPr>
      </w:pPr>
      <w:r>
        <w:rPr>
          <w:rFonts w:hint="eastAsia" w:ascii="宋体" w:hAnsi="宋体" w:cs="宋体"/>
          <w:sz w:val="24"/>
        </w:rPr>
        <w:t>地址及电话：</w:t>
      </w:r>
    </w:p>
    <w:p>
      <w:pPr>
        <w:spacing w:line="580" w:lineRule="exact"/>
        <w:ind w:firstLine="480" w:firstLineChars="200"/>
        <w:rPr>
          <w:rFonts w:ascii="宋体" w:hAnsi="宋体" w:cs="宋体"/>
          <w:sz w:val="24"/>
        </w:rPr>
      </w:pPr>
      <w:r>
        <w:rPr>
          <w:rFonts w:hint="eastAsia" w:ascii="宋体" w:hAnsi="宋体" w:cs="宋体"/>
          <w:sz w:val="24"/>
        </w:rPr>
        <w:t>开户银行：</w:t>
      </w:r>
    </w:p>
    <w:p>
      <w:pPr>
        <w:spacing w:line="580" w:lineRule="exact"/>
        <w:ind w:firstLine="480" w:firstLineChars="200"/>
        <w:rPr>
          <w:rFonts w:ascii="宋体" w:hAnsi="宋体" w:cs="宋体"/>
          <w:sz w:val="24"/>
        </w:rPr>
      </w:pPr>
      <w:r>
        <w:rPr>
          <w:rFonts w:hint="eastAsia" w:ascii="宋体" w:hAnsi="宋体" w:cs="宋体"/>
          <w:sz w:val="24"/>
        </w:rPr>
        <w:t>账号：</w:t>
      </w:r>
    </w:p>
    <w:p>
      <w:pPr>
        <w:spacing w:line="580" w:lineRule="exact"/>
        <w:ind w:firstLine="480" w:firstLineChars="200"/>
        <w:rPr>
          <w:rFonts w:ascii="宋体" w:hAnsi="宋体" w:cs="宋体"/>
          <w:sz w:val="24"/>
        </w:rPr>
      </w:pPr>
      <w:r>
        <w:rPr>
          <w:rFonts w:hint="eastAsia" w:ascii="宋体" w:hAnsi="宋体" w:cs="宋体"/>
          <w:sz w:val="24"/>
        </w:rPr>
        <w:t>2、收款信息</w:t>
      </w:r>
    </w:p>
    <w:p>
      <w:pPr>
        <w:spacing w:line="580" w:lineRule="exact"/>
        <w:ind w:firstLine="480" w:firstLineChars="200"/>
        <w:rPr>
          <w:rFonts w:ascii="宋体" w:hAnsi="宋体" w:cs="宋体"/>
          <w:sz w:val="24"/>
        </w:rPr>
      </w:pPr>
      <w:r>
        <w:rPr>
          <w:rFonts w:hint="eastAsia" w:ascii="宋体" w:hAnsi="宋体" w:cs="宋体"/>
          <w:sz w:val="24"/>
        </w:rPr>
        <w:t>公司名称：</w:t>
      </w:r>
    </w:p>
    <w:p>
      <w:pPr>
        <w:spacing w:line="580" w:lineRule="exact"/>
        <w:ind w:firstLine="480" w:firstLineChars="200"/>
        <w:rPr>
          <w:rFonts w:ascii="宋体" w:hAnsi="宋体" w:cs="宋体"/>
          <w:sz w:val="24"/>
        </w:rPr>
      </w:pPr>
      <w:r>
        <w:rPr>
          <w:rFonts w:hint="eastAsia" w:ascii="宋体" w:hAnsi="宋体" w:cs="宋体"/>
          <w:sz w:val="24"/>
        </w:rPr>
        <w:t>纳税人识别号：　</w:t>
      </w:r>
    </w:p>
    <w:p>
      <w:pPr>
        <w:spacing w:line="580" w:lineRule="exact"/>
        <w:ind w:firstLine="480" w:firstLineChars="200"/>
        <w:rPr>
          <w:rFonts w:ascii="宋体" w:hAnsi="宋体" w:cs="宋体"/>
          <w:sz w:val="24"/>
        </w:rPr>
      </w:pPr>
      <w:r>
        <w:rPr>
          <w:rFonts w:hint="eastAsia" w:ascii="宋体" w:hAnsi="宋体" w:cs="宋体"/>
          <w:sz w:val="24"/>
        </w:rPr>
        <w:t xml:space="preserve">公司地址：    </w:t>
      </w:r>
    </w:p>
    <w:p>
      <w:pPr>
        <w:spacing w:line="580" w:lineRule="exact"/>
        <w:ind w:firstLine="480" w:firstLineChars="200"/>
        <w:rPr>
          <w:rFonts w:ascii="宋体" w:hAnsi="宋体" w:cs="宋体"/>
          <w:sz w:val="24"/>
        </w:rPr>
      </w:pPr>
      <w:r>
        <w:rPr>
          <w:rFonts w:hint="eastAsia" w:ascii="宋体" w:hAnsi="宋体" w:cs="宋体"/>
          <w:sz w:val="24"/>
        </w:rPr>
        <w:t>电话：　</w:t>
      </w:r>
    </w:p>
    <w:p>
      <w:pPr>
        <w:spacing w:line="580" w:lineRule="exact"/>
        <w:ind w:firstLine="480" w:firstLineChars="200"/>
        <w:rPr>
          <w:rFonts w:ascii="宋体" w:hAnsi="宋体" w:cs="宋体"/>
          <w:sz w:val="24"/>
        </w:rPr>
      </w:pPr>
      <w:r>
        <w:rPr>
          <w:rFonts w:hint="eastAsia" w:ascii="宋体" w:hAnsi="宋体" w:cs="宋体"/>
          <w:sz w:val="24"/>
        </w:rPr>
        <w:t>开户银行：</w:t>
      </w:r>
    </w:p>
    <w:p>
      <w:pPr>
        <w:spacing w:line="580" w:lineRule="exact"/>
        <w:ind w:firstLine="480" w:firstLineChars="200"/>
        <w:rPr>
          <w:rFonts w:ascii="宋体" w:hAnsi="宋体" w:cs="宋体"/>
          <w:sz w:val="24"/>
        </w:rPr>
      </w:pPr>
      <w:r>
        <w:rPr>
          <w:rFonts w:hint="eastAsia" w:ascii="宋体" w:hAnsi="宋体" w:cs="宋体"/>
          <w:sz w:val="24"/>
        </w:rPr>
        <w:t>账号：</w:t>
      </w:r>
    </w:p>
    <w:p>
      <w:pPr>
        <w:spacing w:line="580" w:lineRule="exact"/>
        <w:ind w:firstLine="482" w:firstLineChars="200"/>
        <w:rPr>
          <w:rFonts w:ascii="宋体" w:hAnsi="宋体" w:cs="宋体"/>
          <w:b/>
          <w:bCs/>
          <w:sz w:val="24"/>
        </w:rPr>
      </w:pPr>
      <w:r>
        <w:rPr>
          <w:rFonts w:hint="eastAsia" w:ascii="宋体" w:hAnsi="宋体" w:cs="宋体"/>
          <w:b/>
          <w:bCs/>
          <w:sz w:val="24"/>
        </w:rPr>
        <w:t>第五条  甲方的权利及义务</w:t>
      </w:r>
    </w:p>
    <w:p>
      <w:pPr>
        <w:spacing w:line="580" w:lineRule="exact"/>
        <w:ind w:firstLine="480" w:firstLineChars="200"/>
        <w:rPr>
          <w:rFonts w:ascii="宋体" w:hAnsi="宋体" w:cs="宋体"/>
          <w:sz w:val="24"/>
        </w:rPr>
      </w:pPr>
      <w:r>
        <w:rPr>
          <w:rFonts w:hint="eastAsia" w:ascii="宋体" w:hAnsi="宋体" w:cs="宋体"/>
          <w:sz w:val="24"/>
        </w:rPr>
        <w:t>一、积极配合乙方开展项目，为乙方提供必要的工作便利。</w:t>
      </w:r>
    </w:p>
    <w:p>
      <w:pPr>
        <w:spacing w:line="580" w:lineRule="exact"/>
        <w:ind w:firstLine="480" w:firstLineChars="200"/>
        <w:rPr>
          <w:rFonts w:ascii="宋体" w:hAnsi="宋体" w:cs="宋体"/>
          <w:sz w:val="24"/>
        </w:rPr>
      </w:pPr>
      <w:r>
        <w:rPr>
          <w:rFonts w:hint="eastAsia" w:ascii="宋体" w:hAnsi="宋体" w:cs="宋体"/>
          <w:sz w:val="24"/>
        </w:rPr>
        <w:t>二、按照合同约定，甲方在乙方按时保质的履行本合同项下约定的服务内容基础上，及时且足额地向乙方支付项目经费。</w:t>
      </w:r>
    </w:p>
    <w:p>
      <w:pPr>
        <w:spacing w:line="580" w:lineRule="exact"/>
        <w:ind w:firstLine="480" w:firstLineChars="200"/>
        <w:rPr>
          <w:rFonts w:ascii="宋体" w:hAnsi="宋体" w:cs="宋体"/>
          <w:sz w:val="24"/>
        </w:rPr>
      </w:pPr>
      <w:r>
        <w:rPr>
          <w:rFonts w:hint="eastAsia" w:ascii="宋体" w:hAnsi="宋体" w:cs="宋体"/>
          <w:sz w:val="24"/>
        </w:rPr>
        <w:t>三、本合同下的一切成果归甲方所有。</w:t>
      </w:r>
    </w:p>
    <w:p>
      <w:pPr>
        <w:spacing w:line="580" w:lineRule="exact"/>
        <w:ind w:firstLine="482" w:firstLineChars="200"/>
        <w:rPr>
          <w:rFonts w:ascii="宋体" w:hAnsi="宋体" w:cs="宋体"/>
          <w:b/>
          <w:bCs/>
          <w:sz w:val="24"/>
        </w:rPr>
      </w:pPr>
      <w:r>
        <w:rPr>
          <w:rFonts w:hint="eastAsia" w:ascii="宋体" w:hAnsi="宋体" w:cs="宋体"/>
          <w:b/>
          <w:bCs/>
          <w:sz w:val="24"/>
        </w:rPr>
        <w:t>第六条 　乙方的权利及义务</w:t>
      </w:r>
    </w:p>
    <w:p>
      <w:pPr>
        <w:spacing w:line="580" w:lineRule="exact"/>
        <w:ind w:firstLine="480" w:firstLineChars="200"/>
        <w:rPr>
          <w:rFonts w:ascii="宋体" w:hAnsi="宋体" w:cs="宋体"/>
          <w:sz w:val="24"/>
        </w:rPr>
      </w:pPr>
      <w:r>
        <w:rPr>
          <w:rFonts w:hint="eastAsia" w:ascii="宋体" w:hAnsi="宋体" w:cs="宋体"/>
          <w:sz w:val="24"/>
        </w:rPr>
        <w:t>一、按照合同期限完成项目工作。</w:t>
      </w:r>
    </w:p>
    <w:p>
      <w:pPr>
        <w:spacing w:line="580" w:lineRule="exact"/>
        <w:ind w:firstLine="480" w:firstLineChars="200"/>
        <w:rPr>
          <w:rFonts w:ascii="宋体" w:hAnsi="宋体" w:cs="宋体"/>
          <w:sz w:val="24"/>
        </w:rPr>
      </w:pPr>
      <w:r>
        <w:rPr>
          <w:rFonts w:hint="eastAsia" w:ascii="宋体" w:hAnsi="宋体" w:cs="宋体"/>
          <w:sz w:val="24"/>
        </w:rPr>
        <w:t>二、乙方派遣品行端正、责任心强、具有良好职业道德，且符合岗位要求的工作人员开展工作，并确保与所派工作人员具有正式、合法且有效的劳动合同关系。</w:t>
      </w:r>
    </w:p>
    <w:p>
      <w:pPr>
        <w:spacing w:line="580" w:lineRule="exact"/>
        <w:ind w:firstLine="480" w:firstLineChars="200"/>
        <w:rPr>
          <w:rFonts w:ascii="宋体" w:hAnsi="宋体" w:cs="宋体"/>
          <w:sz w:val="24"/>
        </w:rPr>
      </w:pPr>
      <w:r>
        <w:rPr>
          <w:rFonts w:hint="eastAsia" w:ascii="宋体" w:hAnsi="宋体" w:cs="宋体"/>
          <w:sz w:val="24"/>
        </w:rPr>
        <w:t>三、乙方安排的工作人员应具备良好的沟通协调能力，确保工作的连续性。</w:t>
      </w:r>
    </w:p>
    <w:p>
      <w:pPr>
        <w:spacing w:line="580" w:lineRule="exact"/>
        <w:ind w:firstLine="480" w:firstLineChars="200"/>
        <w:rPr>
          <w:rFonts w:ascii="宋体" w:hAnsi="宋体" w:cs="宋体"/>
          <w:sz w:val="24"/>
        </w:rPr>
      </w:pPr>
      <w:r>
        <w:rPr>
          <w:rFonts w:hint="eastAsia" w:ascii="宋体" w:hAnsi="宋体" w:cs="宋体"/>
          <w:sz w:val="24"/>
        </w:rPr>
        <w:t>四、定期与甲方沟通，使甲方了解乙方工作人员的工作情况，对不能胜任岗位要求或不服从管理的工作人员，乙方应在</w:t>
      </w:r>
      <w:r>
        <w:rPr>
          <w:rFonts w:hint="eastAsia" w:ascii="宋体" w:hAnsi="宋体" w:cs="宋体"/>
          <w:sz w:val="24"/>
          <w:u w:val="single"/>
        </w:rPr>
        <w:t>１</w:t>
      </w:r>
      <w:r>
        <w:rPr>
          <w:rFonts w:hint="eastAsia" w:ascii="宋体" w:hAnsi="宋体" w:cs="宋体"/>
          <w:sz w:val="24"/>
        </w:rPr>
        <w:t>日内予以更换。</w:t>
      </w:r>
    </w:p>
    <w:p>
      <w:pPr>
        <w:spacing w:line="580" w:lineRule="exact"/>
        <w:ind w:firstLine="480" w:firstLineChars="200"/>
        <w:rPr>
          <w:rFonts w:ascii="宋体" w:hAnsi="宋体" w:cs="宋体"/>
          <w:sz w:val="24"/>
        </w:rPr>
      </w:pPr>
      <w:r>
        <w:rPr>
          <w:rFonts w:hint="eastAsia" w:ascii="宋体" w:hAnsi="宋体" w:cs="宋体"/>
          <w:sz w:val="24"/>
        </w:rPr>
        <w:t>五、乙方对所派人员在提供服务过程中造成的一切责任以及因工伤、因病缺勤等后果负责，包括但不限于给甲方造成的直接或间接经济损失、给第三方造成的损失、所派人员工伤、律师费、鉴定费等。</w:t>
      </w:r>
    </w:p>
    <w:p>
      <w:pPr>
        <w:spacing w:line="580" w:lineRule="exact"/>
        <w:ind w:firstLine="480" w:firstLineChars="200"/>
        <w:rPr>
          <w:rFonts w:ascii="宋体" w:hAnsi="宋体" w:cs="宋体"/>
          <w:sz w:val="24"/>
        </w:rPr>
      </w:pPr>
      <w:r>
        <w:rPr>
          <w:rFonts w:hint="eastAsia" w:ascii="宋体" w:hAnsi="宋体" w:cs="宋体"/>
          <w:sz w:val="24"/>
        </w:rPr>
        <w:t>六、主动就项目的开展和实施征求甲方意见，根据甲方的意见持续调整项目的实施计划，保证项目取得预期效益。</w:t>
      </w:r>
    </w:p>
    <w:p>
      <w:pPr>
        <w:spacing w:line="580" w:lineRule="exact"/>
        <w:ind w:firstLine="480" w:firstLineChars="200"/>
        <w:rPr>
          <w:rFonts w:ascii="宋体" w:hAnsi="宋体" w:cs="宋体"/>
          <w:sz w:val="24"/>
        </w:rPr>
      </w:pPr>
      <w:r>
        <w:rPr>
          <w:rFonts w:hint="eastAsia" w:ascii="宋体" w:hAnsi="宋体" w:cs="宋体"/>
          <w:sz w:val="24"/>
        </w:rPr>
        <w:t>七、保证向甲方提交全部开展和实施项目期间所取的成果，且任何第三方不会就乙方提交的全部成果向甲方主张任何权利。</w:t>
      </w:r>
    </w:p>
    <w:p>
      <w:pPr>
        <w:spacing w:line="580" w:lineRule="exact"/>
        <w:ind w:firstLine="480" w:firstLineChars="200"/>
        <w:rPr>
          <w:rFonts w:ascii="宋体" w:hAnsi="宋体" w:cs="宋体"/>
          <w:sz w:val="24"/>
        </w:rPr>
      </w:pPr>
      <w:r>
        <w:rPr>
          <w:rFonts w:hint="eastAsia" w:ascii="宋体" w:hAnsi="宋体" w:cs="宋体"/>
          <w:sz w:val="24"/>
        </w:rPr>
        <w:t>八、保证开展和实施本项目不会侵犯其他任何第三方的任何权利或者违反国家法律法规规定。</w:t>
      </w:r>
    </w:p>
    <w:p>
      <w:pPr>
        <w:spacing w:line="580" w:lineRule="exact"/>
        <w:ind w:firstLine="480" w:firstLineChars="200"/>
        <w:rPr>
          <w:rFonts w:ascii="宋体" w:hAnsi="宋体" w:cs="宋体"/>
          <w:sz w:val="24"/>
        </w:rPr>
      </w:pPr>
      <w:r>
        <w:rPr>
          <w:rFonts w:hint="eastAsia" w:ascii="宋体" w:hAnsi="宋体" w:cs="宋体"/>
          <w:sz w:val="24"/>
        </w:rPr>
        <w:t>九、未经甲方书面同意，乙方不得将本合同项下的工作项目全部或部分转让给任何第三方实施。</w:t>
      </w:r>
    </w:p>
    <w:p>
      <w:pPr>
        <w:spacing w:line="580" w:lineRule="exact"/>
        <w:ind w:firstLine="482" w:firstLineChars="200"/>
        <w:rPr>
          <w:rFonts w:ascii="宋体" w:hAnsi="宋体" w:cs="宋体"/>
          <w:b/>
          <w:bCs/>
          <w:sz w:val="24"/>
        </w:rPr>
      </w:pPr>
      <w:r>
        <w:rPr>
          <w:rFonts w:hint="eastAsia" w:ascii="宋体" w:hAnsi="宋体" w:cs="宋体"/>
          <w:b/>
          <w:bCs/>
          <w:sz w:val="24"/>
        </w:rPr>
        <w:t>第七条 　保密</w:t>
      </w:r>
    </w:p>
    <w:p>
      <w:pPr>
        <w:spacing w:line="580" w:lineRule="exact"/>
        <w:ind w:firstLine="480" w:firstLineChars="200"/>
        <w:rPr>
          <w:rFonts w:ascii="宋体" w:hAnsi="宋体" w:cs="宋体"/>
          <w:sz w:val="24"/>
        </w:rPr>
      </w:pPr>
      <w:r>
        <w:rPr>
          <w:rFonts w:hint="eastAsia" w:ascii="宋体" w:hAnsi="宋体" w:cs="宋体"/>
          <w:sz w:val="24"/>
        </w:rPr>
        <w:t>一、甲乙双方应当对签订和履行本合同而获得的与下列各项有关的信息，负有严格的保密义务：</w:t>
      </w:r>
    </w:p>
    <w:p>
      <w:pPr>
        <w:spacing w:line="580" w:lineRule="exact"/>
        <w:ind w:firstLine="480" w:firstLineChars="200"/>
        <w:rPr>
          <w:rFonts w:ascii="宋体" w:hAnsi="宋体" w:cs="宋体"/>
          <w:sz w:val="24"/>
        </w:rPr>
      </w:pPr>
      <w:r>
        <w:rPr>
          <w:rFonts w:hint="eastAsia" w:ascii="宋体" w:hAnsi="宋体" w:cs="宋体"/>
          <w:sz w:val="24"/>
        </w:rPr>
        <w:t>（一）本合同的各项条款。</w:t>
      </w:r>
    </w:p>
    <w:p>
      <w:pPr>
        <w:spacing w:line="580" w:lineRule="exact"/>
        <w:ind w:firstLine="480" w:firstLineChars="200"/>
        <w:rPr>
          <w:rFonts w:ascii="宋体" w:hAnsi="宋体" w:cs="宋体"/>
          <w:sz w:val="24"/>
        </w:rPr>
      </w:pPr>
      <w:r>
        <w:rPr>
          <w:rFonts w:hint="eastAsia" w:ascii="宋体" w:hAnsi="宋体" w:cs="宋体"/>
          <w:sz w:val="24"/>
        </w:rPr>
        <w:t>（二）有关本合同的谈判。</w:t>
      </w:r>
    </w:p>
    <w:p>
      <w:pPr>
        <w:spacing w:line="580" w:lineRule="exact"/>
        <w:ind w:firstLine="480" w:firstLineChars="200"/>
        <w:rPr>
          <w:rFonts w:ascii="宋体" w:hAnsi="宋体" w:cs="宋体"/>
          <w:sz w:val="24"/>
        </w:rPr>
      </w:pPr>
      <w:r>
        <w:rPr>
          <w:rFonts w:hint="eastAsia" w:ascii="宋体" w:hAnsi="宋体" w:cs="宋体"/>
          <w:sz w:val="24"/>
        </w:rPr>
        <w:t>（三）合同乙方提供的涉及提供方专属的或保密的信息和数据。</w:t>
      </w:r>
    </w:p>
    <w:p>
      <w:pPr>
        <w:spacing w:line="580" w:lineRule="exact"/>
        <w:ind w:firstLine="480" w:firstLineChars="200"/>
        <w:rPr>
          <w:rFonts w:ascii="宋体" w:hAnsi="宋体" w:cs="宋体"/>
          <w:sz w:val="24"/>
        </w:rPr>
      </w:pPr>
      <w:r>
        <w:rPr>
          <w:rFonts w:hint="eastAsia" w:ascii="宋体" w:hAnsi="宋体" w:cs="宋体"/>
          <w:sz w:val="24"/>
        </w:rPr>
        <w:t>二、仅在下列情况下，甲乙双方可披露上述信息：</w:t>
      </w:r>
    </w:p>
    <w:p>
      <w:pPr>
        <w:spacing w:line="580" w:lineRule="exact"/>
        <w:ind w:firstLine="480" w:firstLineChars="200"/>
        <w:rPr>
          <w:rFonts w:ascii="宋体" w:hAnsi="宋体" w:cs="宋体"/>
          <w:sz w:val="24"/>
        </w:rPr>
      </w:pPr>
      <w:r>
        <w:rPr>
          <w:rFonts w:hint="eastAsia" w:ascii="宋体" w:hAnsi="宋体" w:cs="宋体"/>
          <w:sz w:val="24"/>
        </w:rPr>
        <w:t>（一）依法律、法规的规定。</w:t>
      </w:r>
    </w:p>
    <w:p>
      <w:pPr>
        <w:spacing w:line="580" w:lineRule="exact"/>
        <w:ind w:firstLine="480" w:firstLineChars="200"/>
        <w:rPr>
          <w:rFonts w:ascii="宋体" w:hAnsi="宋体" w:cs="宋体"/>
          <w:sz w:val="24"/>
        </w:rPr>
      </w:pPr>
      <w:r>
        <w:rPr>
          <w:rFonts w:hint="eastAsia" w:ascii="宋体" w:hAnsi="宋体" w:cs="宋体"/>
          <w:sz w:val="24"/>
        </w:rPr>
        <w:t>（二）依任何有管辖权的政府部门或监管机构或协会的要求。</w:t>
      </w:r>
    </w:p>
    <w:p>
      <w:pPr>
        <w:spacing w:line="580" w:lineRule="exact"/>
        <w:ind w:firstLine="480" w:firstLineChars="200"/>
        <w:rPr>
          <w:rFonts w:ascii="宋体" w:hAnsi="宋体" w:cs="宋体"/>
          <w:sz w:val="24"/>
        </w:rPr>
      </w:pPr>
      <w:r>
        <w:rPr>
          <w:rFonts w:hint="eastAsia" w:ascii="宋体" w:hAnsi="宋体" w:cs="宋体"/>
          <w:sz w:val="24"/>
        </w:rPr>
        <w:t>（三）并非由于任何一方过错而众所周知的信息。</w:t>
      </w:r>
    </w:p>
    <w:p>
      <w:pPr>
        <w:spacing w:line="580" w:lineRule="exact"/>
        <w:ind w:firstLine="480" w:firstLineChars="200"/>
        <w:rPr>
          <w:rFonts w:ascii="宋体" w:hAnsi="宋体" w:cs="宋体"/>
          <w:sz w:val="24"/>
        </w:rPr>
      </w:pPr>
      <w:r>
        <w:rPr>
          <w:rFonts w:hint="eastAsia" w:ascii="宋体" w:hAnsi="宋体" w:cs="宋体"/>
          <w:sz w:val="24"/>
        </w:rPr>
        <w:t>三、本条款的适用不因合同的终止而失效。</w:t>
      </w:r>
    </w:p>
    <w:p>
      <w:pPr>
        <w:spacing w:line="580" w:lineRule="exact"/>
        <w:ind w:firstLine="482" w:firstLineChars="200"/>
        <w:rPr>
          <w:rFonts w:ascii="宋体" w:hAnsi="宋体" w:cs="宋体"/>
          <w:b/>
          <w:bCs/>
          <w:sz w:val="24"/>
        </w:rPr>
      </w:pPr>
      <w:r>
        <w:rPr>
          <w:rFonts w:hint="eastAsia" w:ascii="宋体" w:hAnsi="宋体" w:cs="宋体"/>
          <w:b/>
          <w:bCs/>
          <w:sz w:val="24"/>
        </w:rPr>
        <w:t>第八条　 违约责任</w:t>
      </w:r>
    </w:p>
    <w:p>
      <w:pPr>
        <w:spacing w:line="580" w:lineRule="exact"/>
        <w:ind w:firstLine="480" w:firstLineChars="200"/>
        <w:rPr>
          <w:rFonts w:ascii="宋体" w:hAnsi="宋体" w:cs="宋体"/>
          <w:sz w:val="24"/>
        </w:rPr>
      </w:pPr>
      <w:r>
        <w:rPr>
          <w:rFonts w:hint="eastAsia" w:ascii="宋体" w:hAnsi="宋体" w:cs="宋体"/>
          <w:sz w:val="24"/>
        </w:rPr>
        <w:t>一、任何一方违反本合同项下约定的事项，均视为违约，作出违约行为的相对方有权单方解除本合同，并有权要求违约方赔偿因此遭受的一切损失，包括但不限于直接损失、间接损失和追偿损失而产生的律师费等全部费用。</w:t>
      </w:r>
    </w:p>
    <w:p>
      <w:pPr>
        <w:spacing w:line="580" w:lineRule="exact"/>
        <w:ind w:firstLine="480" w:firstLineChars="200"/>
        <w:rPr>
          <w:rFonts w:ascii="宋体" w:hAnsi="宋体" w:cs="宋体"/>
          <w:sz w:val="24"/>
        </w:rPr>
      </w:pPr>
      <w:r>
        <w:rPr>
          <w:rFonts w:hint="eastAsia" w:ascii="宋体" w:hAnsi="宋体" w:cs="宋体"/>
          <w:sz w:val="24"/>
        </w:rPr>
        <w:t>二、乙方不能按合同规定期限完成项目，而又未办理延期手续，甲方有权单方终止合同，乙方应当自合同约定的项目期限届满之日起</w:t>
      </w:r>
      <w:r>
        <w:rPr>
          <w:rFonts w:hint="eastAsia" w:ascii="宋体" w:hAnsi="宋体" w:cs="宋体"/>
          <w:sz w:val="24"/>
          <w:u w:val="single"/>
        </w:rPr>
        <w:t xml:space="preserve">  30  </w:t>
      </w:r>
      <w:r>
        <w:rPr>
          <w:rFonts w:hint="eastAsia" w:ascii="宋体" w:hAnsi="宋体" w:cs="宋体"/>
          <w:sz w:val="24"/>
        </w:rPr>
        <w:t>日内归还甲方已支付的全部项目经费。</w:t>
      </w:r>
    </w:p>
    <w:p>
      <w:pPr>
        <w:spacing w:line="580" w:lineRule="exact"/>
        <w:ind w:firstLine="480" w:firstLineChars="200"/>
        <w:rPr>
          <w:rFonts w:ascii="宋体" w:hAnsi="宋体" w:cs="宋体"/>
          <w:sz w:val="24"/>
        </w:rPr>
      </w:pPr>
      <w:r>
        <w:rPr>
          <w:rFonts w:hint="eastAsia" w:ascii="宋体" w:hAnsi="宋体" w:cs="宋体"/>
          <w:sz w:val="24"/>
        </w:rPr>
        <w:t>三、若乙方迟延履行上述返还义务，每逾期一日，应按照乙方应当返还的全部项目经费的每日</w:t>
      </w:r>
      <w:r>
        <w:rPr>
          <w:rFonts w:hint="eastAsia" w:ascii="宋体" w:hAnsi="宋体" w:cs="宋体"/>
          <w:sz w:val="24"/>
          <w:u w:val="single"/>
        </w:rPr>
        <w:t xml:space="preserve">  0.5  </w:t>
      </w:r>
      <w:r>
        <w:rPr>
          <w:rFonts w:hint="eastAsia" w:ascii="宋体" w:hAnsi="宋体" w:cs="宋体"/>
          <w:sz w:val="24"/>
        </w:rPr>
        <w:t>%向甲方支付违约金，直至乙方全额返还相关费用及支付违约金之日止。</w:t>
      </w:r>
    </w:p>
    <w:p>
      <w:pPr>
        <w:spacing w:line="580" w:lineRule="exact"/>
        <w:ind w:firstLine="480" w:firstLineChars="200"/>
        <w:rPr>
          <w:rFonts w:ascii="宋体" w:hAnsi="宋体" w:cs="宋体"/>
          <w:sz w:val="24"/>
        </w:rPr>
      </w:pPr>
      <w:r>
        <w:rPr>
          <w:rFonts w:hint="eastAsia" w:ascii="宋体" w:hAnsi="宋体" w:cs="宋体"/>
          <w:sz w:val="24"/>
        </w:rPr>
        <w:t>四、乙方在为甲方服务时获得的数据和形成的报告等成果全部归甲方所有，未经甲方许可，乙方及其乙方人员不得以任何方式使用，也不得出于任何目的向第三方披露或许可第三方使用，否则乙方需按照本合同总金额的</w:t>
      </w:r>
      <w:r>
        <w:rPr>
          <w:rFonts w:hint="eastAsia" w:ascii="宋体" w:hAnsi="宋体" w:cs="宋体"/>
          <w:sz w:val="24"/>
          <w:u w:val="single"/>
        </w:rPr>
        <w:t>20%</w:t>
      </w:r>
      <w:r>
        <w:rPr>
          <w:rFonts w:hint="eastAsia" w:ascii="宋体" w:hAnsi="宋体" w:cs="宋体"/>
          <w:sz w:val="24"/>
        </w:rPr>
        <w:t>承担违约责任。</w:t>
      </w:r>
    </w:p>
    <w:p>
      <w:pPr>
        <w:spacing w:line="580" w:lineRule="exact"/>
        <w:ind w:firstLine="482" w:firstLineChars="200"/>
        <w:rPr>
          <w:rFonts w:ascii="宋体" w:hAnsi="宋体" w:cs="宋体"/>
          <w:b/>
          <w:bCs/>
          <w:sz w:val="24"/>
        </w:rPr>
      </w:pPr>
      <w:r>
        <w:rPr>
          <w:rFonts w:hint="eastAsia" w:ascii="宋体" w:hAnsi="宋体" w:cs="宋体"/>
          <w:b/>
          <w:bCs/>
          <w:sz w:val="24"/>
        </w:rPr>
        <w:t>第九条 　不可抗力</w:t>
      </w:r>
    </w:p>
    <w:p>
      <w:pPr>
        <w:spacing w:line="580" w:lineRule="exact"/>
        <w:ind w:firstLine="480" w:firstLineChars="200"/>
        <w:rPr>
          <w:rFonts w:ascii="宋体" w:hAnsi="宋体" w:cs="宋体"/>
          <w:sz w:val="24"/>
        </w:rPr>
      </w:pPr>
      <w:r>
        <w:rPr>
          <w:rFonts w:hint="eastAsia" w:ascii="宋体" w:hAnsi="宋体" w:cs="宋体"/>
          <w:sz w:val="24"/>
        </w:rPr>
        <w:t>一、如果双方中任何一方遭遇法律规定的不可抗力，致使合同履行受阻时，履行合同的期限应予延长，延长的期限应相当于不可抗力所影响的时间。</w:t>
      </w:r>
    </w:p>
    <w:p>
      <w:pPr>
        <w:spacing w:line="580" w:lineRule="exact"/>
        <w:ind w:firstLine="480" w:firstLineChars="200"/>
        <w:rPr>
          <w:rFonts w:ascii="宋体" w:hAnsi="宋体" w:cs="宋体"/>
          <w:sz w:val="24"/>
        </w:rPr>
      </w:pPr>
      <w:r>
        <w:rPr>
          <w:rFonts w:hint="eastAsia" w:ascii="宋体" w:hAnsi="宋体" w:cs="宋体"/>
          <w:sz w:val="24"/>
        </w:rPr>
        <w:t>二、受事故影响的一方应在不可抗力的事故发生后尽快书面形式通知另一方，在事故发生后</w:t>
      </w:r>
      <w:r>
        <w:rPr>
          <w:rFonts w:hint="eastAsia" w:ascii="宋体" w:hAnsi="宋体" w:cs="宋体"/>
          <w:sz w:val="24"/>
          <w:u w:val="single"/>
        </w:rPr>
        <w:t xml:space="preserve"> 7 </w:t>
      </w:r>
      <w:r>
        <w:rPr>
          <w:rFonts w:hint="eastAsia" w:ascii="宋体" w:hAnsi="宋体" w:cs="宋体"/>
          <w:sz w:val="24"/>
        </w:rPr>
        <w:t>日内，将有关部门出具的证明文件送达另一方。</w:t>
      </w:r>
    </w:p>
    <w:p>
      <w:pPr>
        <w:spacing w:line="580" w:lineRule="exact"/>
        <w:ind w:firstLine="480" w:firstLineChars="200"/>
        <w:rPr>
          <w:rFonts w:ascii="宋体" w:hAnsi="宋体" w:cs="宋体"/>
          <w:sz w:val="24"/>
        </w:rPr>
      </w:pPr>
      <w:r>
        <w:rPr>
          <w:rFonts w:hint="eastAsia" w:ascii="宋体" w:hAnsi="宋体" w:cs="宋体"/>
          <w:sz w:val="24"/>
        </w:rPr>
        <w:t>三、不可抗力使合同的某些内容有变更必要的，双方应通过协商在未受事故影响一方收到书面通知后</w:t>
      </w:r>
      <w:r>
        <w:rPr>
          <w:rFonts w:hint="eastAsia" w:ascii="宋体" w:hAnsi="宋体" w:cs="宋体"/>
          <w:sz w:val="24"/>
          <w:u w:val="single"/>
        </w:rPr>
        <w:t>7</w:t>
      </w:r>
      <w:r>
        <w:rPr>
          <w:rFonts w:hint="eastAsia" w:ascii="宋体" w:hAnsi="宋体" w:cs="宋体"/>
          <w:sz w:val="24"/>
        </w:rPr>
        <w:t>日内达成进一步履行合同的协议，因不可抗力致使合同不能履行的，合同终止。</w:t>
      </w:r>
    </w:p>
    <w:p>
      <w:pPr>
        <w:spacing w:line="580" w:lineRule="exact"/>
        <w:ind w:firstLine="482" w:firstLineChars="200"/>
        <w:rPr>
          <w:rFonts w:ascii="宋体" w:hAnsi="宋体" w:cs="宋体"/>
          <w:b/>
          <w:bCs/>
          <w:sz w:val="24"/>
        </w:rPr>
      </w:pPr>
      <w:r>
        <w:rPr>
          <w:rFonts w:hint="eastAsia" w:ascii="宋体" w:hAnsi="宋体" w:cs="宋体"/>
          <w:b/>
          <w:bCs/>
          <w:sz w:val="24"/>
        </w:rPr>
        <w:t>第十条 　合同的生效、变更和终止</w:t>
      </w:r>
    </w:p>
    <w:p>
      <w:pPr>
        <w:spacing w:line="580" w:lineRule="exact"/>
        <w:ind w:firstLine="480" w:firstLineChars="200"/>
        <w:rPr>
          <w:rFonts w:ascii="宋体" w:hAnsi="宋体" w:cs="宋体"/>
          <w:sz w:val="24"/>
        </w:rPr>
      </w:pPr>
      <w:r>
        <w:rPr>
          <w:rFonts w:hint="eastAsia" w:ascii="宋体" w:hAnsi="宋体" w:cs="宋体"/>
          <w:sz w:val="24"/>
        </w:rPr>
        <w:t>一、本合同经双方法定代表人或授权代表签字盖章后生效。</w:t>
      </w:r>
    </w:p>
    <w:p>
      <w:pPr>
        <w:spacing w:line="580" w:lineRule="exact"/>
        <w:ind w:firstLine="480" w:firstLineChars="200"/>
        <w:rPr>
          <w:rFonts w:ascii="宋体" w:hAnsi="宋体" w:cs="宋体"/>
          <w:sz w:val="24"/>
        </w:rPr>
      </w:pPr>
      <w:r>
        <w:rPr>
          <w:rFonts w:hint="eastAsia" w:ascii="宋体" w:hAnsi="宋体" w:cs="宋体"/>
          <w:sz w:val="24"/>
        </w:rPr>
        <w:t>二、如双方对本合同内容进行变更或补充，应共同协商，签订补充协议。补充协议作为本合同的附件，与本合同具有同等法律效力，补充协议与本协议不一致的，以补充协议为准。</w:t>
      </w:r>
    </w:p>
    <w:p>
      <w:pPr>
        <w:spacing w:line="580" w:lineRule="exact"/>
        <w:ind w:firstLine="480" w:firstLineChars="200"/>
        <w:rPr>
          <w:rFonts w:ascii="宋体" w:hAnsi="宋体" w:cs="宋体"/>
          <w:sz w:val="24"/>
        </w:rPr>
      </w:pPr>
      <w:r>
        <w:rPr>
          <w:rFonts w:hint="eastAsia" w:ascii="宋体" w:hAnsi="宋体" w:cs="宋体"/>
          <w:sz w:val="24"/>
        </w:rPr>
        <w:t>三、除本合同项下的相关约定外，出现下列情况之一，本合同应当终止：</w:t>
      </w:r>
    </w:p>
    <w:p>
      <w:pPr>
        <w:spacing w:line="580" w:lineRule="exact"/>
        <w:ind w:firstLine="480" w:firstLineChars="200"/>
        <w:rPr>
          <w:rFonts w:ascii="宋体" w:hAnsi="宋体" w:cs="宋体"/>
          <w:sz w:val="24"/>
        </w:rPr>
      </w:pPr>
      <w:r>
        <w:rPr>
          <w:rFonts w:hint="eastAsia" w:ascii="宋体" w:hAnsi="宋体" w:cs="宋体"/>
          <w:sz w:val="24"/>
        </w:rPr>
        <w:t>（一）经甲乙双方协商终止；</w:t>
      </w:r>
    </w:p>
    <w:p>
      <w:pPr>
        <w:spacing w:line="580" w:lineRule="exact"/>
        <w:ind w:firstLine="480" w:firstLineChars="200"/>
        <w:rPr>
          <w:rFonts w:ascii="宋体" w:hAnsi="宋体" w:cs="宋体"/>
          <w:sz w:val="24"/>
        </w:rPr>
      </w:pPr>
      <w:r>
        <w:rPr>
          <w:rFonts w:hint="eastAsia" w:ascii="宋体" w:hAnsi="宋体" w:cs="宋体"/>
          <w:sz w:val="24"/>
        </w:rPr>
        <w:t>（二）本合同约定项目完结且经甲方验收合格；</w:t>
      </w:r>
    </w:p>
    <w:p>
      <w:pPr>
        <w:spacing w:line="580" w:lineRule="exact"/>
        <w:ind w:firstLine="482" w:firstLineChars="200"/>
        <w:rPr>
          <w:rFonts w:ascii="宋体" w:hAnsi="宋体" w:cs="宋体"/>
          <w:b/>
          <w:bCs/>
          <w:sz w:val="24"/>
        </w:rPr>
      </w:pPr>
      <w:r>
        <w:rPr>
          <w:rFonts w:hint="eastAsia" w:ascii="宋体" w:hAnsi="宋体" w:cs="宋体"/>
          <w:b/>
          <w:bCs/>
          <w:sz w:val="24"/>
        </w:rPr>
        <w:t>第十一条 　争议解决</w:t>
      </w:r>
    </w:p>
    <w:p>
      <w:pPr>
        <w:spacing w:line="580" w:lineRule="exact"/>
        <w:ind w:firstLine="480" w:firstLineChars="200"/>
        <w:rPr>
          <w:rFonts w:ascii="宋体" w:hAnsi="宋体" w:cs="宋体"/>
          <w:sz w:val="24"/>
        </w:rPr>
      </w:pPr>
      <w:r>
        <w:rPr>
          <w:rFonts w:hint="eastAsia" w:ascii="宋体" w:hAnsi="宋体" w:cs="宋体"/>
          <w:sz w:val="24"/>
        </w:rPr>
        <w:t>一、在合同履行过程中发生争议的，双方首先应当友好协商解决，协商不成的，可向丰台区人民法院提起诉讼。</w:t>
      </w:r>
    </w:p>
    <w:p>
      <w:pPr>
        <w:spacing w:line="580" w:lineRule="exact"/>
        <w:ind w:firstLine="480" w:firstLineChars="200"/>
        <w:rPr>
          <w:rFonts w:ascii="宋体" w:hAnsi="宋体" w:cs="宋体"/>
          <w:sz w:val="24"/>
        </w:rPr>
      </w:pPr>
      <w:r>
        <w:rPr>
          <w:rFonts w:hint="eastAsia" w:ascii="宋体" w:hAnsi="宋体" w:cs="宋体"/>
          <w:sz w:val="24"/>
        </w:rPr>
        <w:t>二、除争议事项外，乙方应继续行使其剩余的相关权利，履行本合同项下的其他义务。</w:t>
      </w:r>
    </w:p>
    <w:p>
      <w:pPr>
        <w:spacing w:line="580" w:lineRule="exact"/>
        <w:ind w:firstLine="482" w:firstLineChars="200"/>
        <w:rPr>
          <w:rFonts w:ascii="宋体" w:hAnsi="宋体" w:cs="宋体"/>
          <w:b/>
          <w:bCs/>
          <w:sz w:val="24"/>
        </w:rPr>
      </w:pPr>
      <w:r>
        <w:rPr>
          <w:rFonts w:hint="eastAsia" w:ascii="宋体" w:hAnsi="宋体" w:cs="宋体"/>
          <w:b/>
          <w:bCs/>
          <w:sz w:val="24"/>
        </w:rPr>
        <w:t>第十二条 　其他</w:t>
      </w:r>
    </w:p>
    <w:p>
      <w:pPr>
        <w:spacing w:line="580" w:lineRule="exact"/>
        <w:ind w:firstLine="480" w:firstLineChars="200"/>
        <w:rPr>
          <w:rFonts w:ascii="宋体" w:hAnsi="宋体" w:cs="宋体"/>
          <w:sz w:val="24"/>
        </w:rPr>
      </w:pPr>
      <w:r>
        <w:rPr>
          <w:rFonts w:hint="eastAsia" w:ascii="宋体" w:hAnsi="宋体" w:cs="宋体"/>
          <w:sz w:val="24"/>
        </w:rPr>
        <w:t>一、本合同构成甲乙之间就本合同项下事项的全部内容，并取代双方之间此前所有与本协议事项有关的一切讨论﹙不论是书面或是口头形式﹚和所有其他文件和协议。</w:t>
      </w:r>
    </w:p>
    <w:p>
      <w:pPr>
        <w:spacing w:line="580" w:lineRule="exact"/>
        <w:ind w:firstLine="480" w:firstLineChars="200"/>
        <w:rPr>
          <w:rFonts w:ascii="宋体" w:hAnsi="宋体" w:cs="宋体"/>
          <w:sz w:val="24"/>
        </w:rPr>
      </w:pPr>
      <w:r>
        <w:rPr>
          <w:rFonts w:hint="eastAsia" w:ascii="宋体" w:hAnsi="宋体" w:cs="宋体"/>
          <w:sz w:val="24"/>
        </w:rPr>
        <w:t>二、本合同一式</w:t>
      </w:r>
      <w:r>
        <w:rPr>
          <w:rFonts w:hint="eastAsia" w:ascii="宋体" w:hAnsi="宋体" w:cs="宋体"/>
          <w:sz w:val="24"/>
          <w:u w:val="single"/>
        </w:rPr>
        <w:t xml:space="preserve"> 陆　</w:t>
      </w:r>
      <w:r>
        <w:rPr>
          <w:rFonts w:hint="eastAsia" w:ascii="宋体" w:hAnsi="宋体" w:cs="宋体"/>
          <w:sz w:val="24"/>
        </w:rPr>
        <w:t>份，甲乙双方各持</w:t>
      </w:r>
      <w:r>
        <w:rPr>
          <w:rFonts w:hint="eastAsia" w:ascii="宋体" w:hAnsi="宋体" w:cs="宋体"/>
          <w:sz w:val="24"/>
          <w:u w:val="single"/>
        </w:rPr>
        <w:t xml:space="preserve"> 叁 </w:t>
      </w:r>
      <w:r>
        <w:rPr>
          <w:rFonts w:hint="eastAsia" w:ascii="宋体" w:hAnsi="宋体" w:cs="宋体"/>
          <w:sz w:val="24"/>
        </w:rPr>
        <w:t>份，具有同等法律效力。</w:t>
      </w:r>
    </w:p>
    <w:p>
      <w:pPr>
        <w:spacing w:line="600" w:lineRule="exact"/>
        <w:ind w:right="248" w:rightChars="118"/>
        <w:rPr>
          <w:rFonts w:ascii="宋体" w:hAnsi="宋体" w:cs="宋体"/>
          <w:sz w:val="24"/>
        </w:rPr>
      </w:pPr>
    </w:p>
    <w:p>
      <w:pPr>
        <w:spacing w:line="580" w:lineRule="exact"/>
        <w:ind w:firstLine="480" w:firstLineChars="200"/>
        <w:rPr>
          <w:rFonts w:ascii="宋体" w:hAnsi="宋体" w:cs="宋体"/>
          <w:sz w:val="24"/>
        </w:rPr>
      </w:pPr>
      <w:r>
        <w:rPr>
          <w:rFonts w:hint="eastAsia" w:ascii="宋体" w:hAnsi="宋体" w:cs="宋体"/>
          <w:sz w:val="24"/>
        </w:rPr>
        <w:t>甲方（盖章）：　</w:t>
      </w:r>
    </w:p>
    <w:p>
      <w:pPr>
        <w:spacing w:line="580" w:lineRule="exact"/>
        <w:ind w:firstLine="480" w:firstLineChars="200"/>
        <w:rPr>
          <w:rFonts w:ascii="宋体" w:hAnsi="宋体" w:cs="宋体"/>
          <w:sz w:val="24"/>
        </w:rPr>
      </w:pPr>
      <w:r>
        <w:rPr>
          <w:rFonts w:hint="eastAsia" w:ascii="宋体" w:hAnsi="宋体" w:cs="宋体"/>
          <w:sz w:val="24"/>
        </w:rPr>
        <w:t>法定代表人或授权代表（签字）：</w:t>
      </w:r>
    </w:p>
    <w:p>
      <w:pPr>
        <w:spacing w:line="580" w:lineRule="exact"/>
        <w:ind w:firstLine="480" w:firstLineChars="200"/>
        <w:rPr>
          <w:rFonts w:ascii="宋体" w:hAnsi="宋体" w:cs="宋体"/>
          <w:sz w:val="24"/>
        </w:rPr>
      </w:pPr>
      <w:r>
        <w:rPr>
          <w:rFonts w:hint="eastAsia" w:ascii="宋体" w:hAnsi="宋体" w:cs="宋体"/>
          <w:sz w:val="24"/>
        </w:rPr>
        <w:t>日期：　年 　 月   日</w:t>
      </w:r>
    </w:p>
    <w:p>
      <w:pPr>
        <w:spacing w:line="580" w:lineRule="exact"/>
        <w:ind w:firstLine="480" w:firstLineChars="200"/>
        <w:rPr>
          <w:rFonts w:ascii="宋体" w:hAnsi="宋体" w:cs="宋体"/>
          <w:sz w:val="24"/>
        </w:rPr>
      </w:pPr>
    </w:p>
    <w:p>
      <w:pPr>
        <w:spacing w:line="580" w:lineRule="exact"/>
        <w:ind w:firstLine="480" w:firstLineChars="200"/>
        <w:rPr>
          <w:rFonts w:ascii="宋体" w:hAnsi="宋体" w:cs="宋体"/>
          <w:sz w:val="24"/>
        </w:rPr>
      </w:pPr>
    </w:p>
    <w:p>
      <w:pPr>
        <w:spacing w:line="580" w:lineRule="exact"/>
        <w:ind w:firstLine="480" w:firstLineChars="200"/>
        <w:rPr>
          <w:rFonts w:ascii="宋体" w:hAnsi="宋体" w:cs="宋体"/>
          <w:sz w:val="24"/>
        </w:rPr>
      </w:pPr>
      <w:r>
        <w:rPr>
          <w:rFonts w:hint="eastAsia" w:ascii="宋体" w:hAnsi="宋体" w:cs="宋体"/>
          <w:sz w:val="24"/>
        </w:rPr>
        <w:t>乙方（盖章）：</w:t>
      </w:r>
    </w:p>
    <w:p>
      <w:pPr>
        <w:spacing w:line="580" w:lineRule="exact"/>
        <w:ind w:firstLine="480" w:firstLineChars="200"/>
        <w:rPr>
          <w:rFonts w:ascii="宋体" w:hAnsi="宋体" w:cs="宋体"/>
          <w:sz w:val="24"/>
        </w:rPr>
      </w:pPr>
      <w:r>
        <w:rPr>
          <w:rFonts w:hint="eastAsia" w:ascii="宋体" w:hAnsi="宋体" w:cs="宋体"/>
          <w:sz w:val="24"/>
        </w:rPr>
        <w:t>法定代表人或授权代表（签字）：</w:t>
      </w:r>
    </w:p>
    <w:p>
      <w:pPr>
        <w:spacing w:line="580" w:lineRule="exact"/>
        <w:ind w:firstLine="480" w:firstLineChars="200"/>
        <w:rPr>
          <w:rFonts w:ascii="宋体" w:hAnsi="宋体" w:cs="宋体"/>
          <w:sz w:val="24"/>
        </w:rPr>
      </w:pPr>
      <w:r>
        <w:rPr>
          <w:rFonts w:hint="eastAsia" w:ascii="宋体" w:hAnsi="宋体" w:cs="宋体"/>
          <w:sz w:val="24"/>
        </w:rPr>
        <w:t>日期：　年 　 月    日</w:t>
      </w:r>
    </w:p>
    <w:p>
      <w:r>
        <w:br w:type="page"/>
      </w:r>
    </w:p>
    <w:p>
      <w:pPr>
        <w:pStyle w:val="43"/>
        <w:ind w:firstLine="0" w:firstLineChars="0"/>
      </w:pPr>
    </w:p>
    <w:p>
      <w:pPr>
        <w:spacing w:line="360" w:lineRule="auto"/>
        <w:jc w:val="center"/>
        <w:outlineLvl w:val="0"/>
        <w:rPr>
          <w:b/>
          <w:sz w:val="36"/>
          <w:szCs w:val="36"/>
        </w:rPr>
      </w:pPr>
      <w:bookmarkStart w:id="669" w:name="_Toc22260"/>
      <w:r>
        <w:rPr>
          <w:b/>
          <w:sz w:val="36"/>
          <w:szCs w:val="36"/>
        </w:rPr>
        <w:t>第六章   响应文件格式</w:t>
      </w:r>
      <w:bookmarkEnd w:id="669"/>
    </w:p>
    <w:p>
      <w:pPr>
        <w:widowControl/>
        <w:spacing w:line="360" w:lineRule="auto"/>
        <w:jc w:val="left"/>
        <w:rPr>
          <w:b/>
          <w:sz w:val="24"/>
        </w:rPr>
      </w:pPr>
    </w:p>
    <w:p>
      <w:pPr>
        <w:widowControl/>
        <w:spacing w:line="360" w:lineRule="auto"/>
        <w:jc w:val="left"/>
        <w:rPr>
          <w:b/>
          <w:sz w:val="24"/>
        </w:rPr>
      </w:pPr>
    </w:p>
    <w:p>
      <w:pPr>
        <w:tabs>
          <w:tab w:val="left" w:pos="900"/>
          <w:tab w:val="left" w:pos="1980"/>
        </w:tabs>
        <w:snapToGrid w:val="0"/>
        <w:spacing w:line="360" w:lineRule="auto"/>
        <w:ind w:left="142"/>
        <w:rPr>
          <w:b/>
          <w:kern w:val="0"/>
          <w:sz w:val="24"/>
        </w:rPr>
      </w:pPr>
      <w:r>
        <w:rPr>
          <w:rFonts w:hint="eastAsia"/>
          <w:b/>
          <w:kern w:val="0"/>
          <w:sz w:val="24"/>
        </w:rPr>
        <w:t>供应商编制文件须知</w:t>
      </w:r>
    </w:p>
    <w:p>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sz w:val="24"/>
        </w:rPr>
      </w:pPr>
    </w:p>
    <w:p>
      <w:pPr>
        <w:widowControl/>
        <w:jc w:val="left"/>
        <w:rPr>
          <w:sz w:val="24"/>
        </w:rPr>
      </w:pPr>
      <w:r>
        <w:rPr>
          <w:sz w:val="24"/>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Pr>
        <w:rPr>
          <w:b/>
          <w:spacing w:val="20"/>
          <w:szCs w:val="21"/>
        </w:rPr>
      </w:pPr>
    </w:p>
    <w:p>
      <w:pPr>
        <w:rPr>
          <w:b/>
          <w:sz w:val="24"/>
        </w:rPr>
      </w:pPr>
      <w:r>
        <w:rPr>
          <w:b/>
          <w:spacing w:val="20"/>
          <w:sz w:val="24"/>
        </w:rPr>
        <w:t>响应文件</w:t>
      </w:r>
      <w:r>
        <w:rPr>
          <w:b/>
          <w:sz w:val="24"/>
        </w:rPr>
        <w:t>封面（非实质性格式）</w:t>
      </w:r>
    </w:p>
    <w:p>
      <w:pPr>
        <w:jc w:val="center"/>
        <w:rPr>
          <w:szCs w:val="21"/>
        </w:rPr>
      </w:pPr>
    </w:p>
    <w:p>
      <w:pPr>
        <w:jc w:val="center"/>
        <w:rPr>
          <w:b/>
          <w:spacing w:val="60"/>
          <w:sz w:val="84"/>
          <w:szCs w:val="84"/>
        </w:rPr>
      </w:pPr>
      <w:r>
        <w:rPr>
          <w:b/>
          <w:spacing w:val="60"/>
          <w:sz w:val="84"/>
          <w:szCs w:val="84"/>
        </w:rPr>
        <w:t>响 应 文 件</w:t>
      </w:r>
    </w:p>
    <w:p>
      <w:pPr>
        <w:jc w:val="center"/>
        <w:rPr>
          <w:b/>
          <w:spacing w:val="60"/>
          <w:sz w:val="52"/>
          <w:szCs w:val="5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供应商名称：</w:t>
      </w:r>
    </w:p>
    <w:p>
      <w:pPr>
        <w:jc w:val="center"/>
        <w:rPr>
          <w:b/>
          <w:sz w:val="32"/>
          <w:szCs w:val="32"/>
        </w:rPr>
      </w:pPr>
    </w:p>
    <w:p>
      <w:pPr>
        <w:rPr>
          <w:b/>
        </w:rPr>
      </w:pPr>
      <w:r>
        <w:rPr>
          <w:b/>
          <w:spacing w:val="20"/>
          <w:sz w:val="32"/>
          <w:szCs w:val="32"/>
        </w:rPr>
        <w:br w:type="page"/>
      </w:r>
    </w:p>
    <w:p>
      <w:pPr>
        <w:tabs>
          <w:tab w:val="left" w:pos="360"/>
        </w:tabs>
        <w:snapToGrid w:val="0"/>
        <w:spacing w:line="360" w:lineRule="auto"/>
        <w:outlineLvl w:val="1"/>
        <w:rPr>
          <w:sz w:val="24"/>
        </w:rPr>
      </w:pPr>
      <w:r>
        <w:rPr>
          <w:sz w:val="24"/>
        </w:rPr>
        <w:t>1 满足《中华人民共和国政府采购法》第二十二条规定</w:t>
      </w:r>
    </w:p>
    <w:p>
      <w:pPr>
        <w:spacing w:line="360" w:lineRule="auto"/>
        <w:outlineLvl w:val="2"/>
        <w:rPr>
          <w:color w:val="000000"/>
          <w:sz w:val="24"/>
        </w:rPr>
      </w:pPr>
      <w:r>
        <w:rPr>
          <w:color w:val="000000"/>
          <w:sz w:val="24"/>
        </w:rPr>
        <w:t>1-1营业执照等证明文件</w:t>
      </w:r>
    </w:p>
    <w:p>
      <w:pPr>
        <w:tabs>
          <w:tab w:val="left" w:pos="1080"/>
        </w:tabs>
        <w:snapToGrid w:val="0"/>
        <w:rPr>
          <w:sz w:val="24"/>
        </w:rPr>
      </w:pPr>
    </w:p>
    <w:p>
      <w:pPr>
        <w:widowControl/>
        <w:jc w:val="left"/>
        <w:rPr>
          <w:bCs/>
          <w:color w:val="000000"/>
        </w:rPr>
      </w:pPr>
      <w:r>
        <w:rPr>
          <w:color w:val="000000"/>
          <w:sz w:val="24"/>
        </w:rPr>
        <w:br w:type="page"/>
      </w:r>
      <w:r>
        <w:rPr>
          <w:rFonts w:hint="eastAsia" w:ascii="宋体" w:hAnsi="宋体" w:cs="宋体"/>
          <w:color w:val="000000"/>
          <w:sz w:val="24"/>
        </w:rPr>
        <w:t>1-2 供应商资格声明书</w:t>
      </w:r>
    </w:p>
    <w:p>
      <w:pPr>
        <w:jc w:val="center"/>
        <w:rPr>
          <w:b/>
          <w:color w:val="000000"/>
          <w:sz w:val="36"/>
          <w:szCs w:val="36"/>
        </w:rPr>
      </w:pPr>
      <w:r>
        <w:rPr>
          <w:rFonts w:hint="eastAsia"/>
          <w:b/>
          <w:color w:val="000000"/>
          <w:sz w:val="36"/>
          <w:szCs w:val="36"/>
        </w:rPr>
        <w:t>供应商资格声明书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在参与本次项目磋商中，我单位承诺：</w:t>
      </w:r>
    </w:p>
    <w:p>
      <w:pPr>
        <w:numPr>
          <w:ilvl w:val="0"/>
          <w:numId w:val="14"/>
        </w:numPr>
        <w:spacing w:line="360" w:lineRule="auto"/>
        <w:ind w:left="1134"/>
        <w:rPr>
          <w:sz w:val="24"/>
          <w:szCs w:val="22"/>
        </w:rPr>
      </w:pPr>
      <w:r>
        <w:rPr>
          <w:sz w:val="24"/>
          <w:szCs w:val="22"/>
        </w:rPr>
        <w:t>具有良好的商业信誉和健全的财务会计制度；</w:t>
      </w:r>
    </w:p>
    <w:p>
      <w:pPr>
        <w:numPr>
          <w:ilvl w:val="0"/>
          <w:numId w:val="14"/>
        </w:numPr>
        <w:spacing w:line="360" w:lineRule="auto"/>
        <w:ind w:left="1134"/>
        <w:rPr>
          <w:sz w:val="24"/>
          <w:szCs w:val="22"/>
        </w:rPr>
      </w:pPr>
      <w:r>
        <w:rPr>
          <w:sz w:val="24"/>
          <w:szCs w:val="22"/>
        </w:rPr>
        <w:t>具有履行合同所必需的设备和专业技术能力；</w:t>
      </w:r>
    </w:p>
    <w:p>
      <w:pPr>
        <w:numPr>
          <w:ilvl w:val="0"/>
          <w:numId w:val="14"/>
        </w:numPr>
        <w:spacing w:line="360" w:lineRule="auto"/>
        <w:ind w:left="1134"/>
        <w:rPr>
          <w:sz w:val="24"/>
          <w:szCs w:val="22"/>
        </w:rPr>
      </w:pPr>
      <w:r>
        <w:rPr>
          <w:sz w:val="24"/>
          <w:szCs w:val="22"/>
        </w:rPr>
        <w:t>有依法缴纳税收和社会保障资金的良好记录；</w:t>
      </w:r>
    </w:p>
    <w:p>
      <w:pPr>
        <w:numPr>
          <w:ilvl w:val="0"/>
          <w:numId w:val="1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4"/>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pPr>
        <w:spacing w:line="360" w:lineRule="auto"/>
        <w:ind w:right="360" w:firstLine="480"/>
        <w:jc w:val="right"/>
        <w:rPr>
          <w:sz w:val="24"/>
        </w:rPr>
      </w:pPr>
      <w:r>
        <w:rPr>
          <w:color w:val="000000"/>
          <w:sz w:val="24"/>
          <w:szCs w:val="20"/>
        </w:rPr>
        <w:t xml:space="preserve">日期：____年____月____日   </w:t>
      </w:r>
    </w:p>
    <w:p>
      <w:pPr>
        <w:spacing w:line="360" w:lineRule="auto"/>
        <w:rPr>
          <w:sz w:val="24"/>
        </w:rPr>
      </w:pPr>
      <w:r>
        <w:rPr>
          <w:rFonts w:hint="eastAsia"/>
          <w:sz w:val="24"/>
        </w:rPr>
        <w:t>说明：供应商承诺不实的，依据《政府采购法》第七十七条“提供虚假材料谋取中标、成交的”有关规定予以处理。</w:t>
      </w:r>
    </w:p>
    <w:p>
      <w:pPr>
        <w:tabs>
          <w:tab w:val="left" w:pos="5580"/>
        </w:tabs>
        <w:spacing w:line="360" w:lineRule="auto"/>
        <w:rPr>
          <w:sz w:val="24"/>
        </w:rPr>
        <w:sectPr>
          <w:headerReference r:id="rId15" w:type="first"/>
          <w:footerReference r:id="rId18" w:type="first"/>
          <w:headerReference r:id="rId13" w:type="default"/>
          <w:footerReference r:id="rId16" w:type="default"/>
          <w:headerReference r:id="rId14" w:type="even"/>
          <w:footerReference r:id="rId17" w:type="even"/>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sz w:val="24"/>
        </w:rPr>
        <w:t>2 落实政府采购政策需满足的资格要求（如有）</w:t>
      </w:r>
    </w:p>
    <w:p>
      <w:pPr>
        <w:spacing w:line="360" w:lineRule="auto"/>
        <w:outlineLvl w:val="2"/>
        <w:rPr>
          <w:color w:val="000000"/>
          <w:sz w:val="24"/>
          <w:szCs w:val="20"/>
        </w:rPr>
      </w:pPr>
      <w:r>
        <w:rPr>
          <w:color w:val="000000"/>
          <w:sz w:val="24"/>
          <w:szCs w:val="20"/>
        </w:rPr>
        <w:t>2-1中小企业</w:t>
      </w:r>
      <w:r>
        <w:rPr>
          <w:rFonts w:hint="eastAsia"/>
          <w:color w:val="000000"/>
          <w:sz w:val="24"/>
          <w:szCs w:val="20"/>
        </w:rPr>
        <w:t>证明文件</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w:t>
      </w:r>
      <w:r>
        <w:rPr>
          <w:rFonts w:hint="eastAsia"/>
          <w:sz w:val="24"/>
        </w:rPr>
        <w:t>供应商无须</w:t>
      </w:r>
      <w:r>
        <w:rPr>
          <w:sz w:val="24"/>
        </w:rPr>
        <w:t>提供</w:t>
      </w:r>
      <w:r>
        <w:rPr>
          <w:rFonts w:hint="eastAsia"/>
          <w:sz w:val="24"/>
        </w:rPr>
        <w:t>《中小企业声明函》或《残疾人福利性单位声明函》或由省级以上监狱管理局、戒毒管理局（含新疆生产建设兵团）出具的属于监狱企业的证明文件；当供应商拟享受中小企业扶持政策时，仍应提供上述证明文件，</w:t>
      </w:r>
      <w:r>
        <w:rPr>
          <w:color w:val="000000"/>
          <w:sz w:val="24"/>
        </w:rPr>
        <w:t>否则不享受相关中小企业扶持政策</w:t>
      </w:r>
      <w:r>
        <w:rPr>
          <w:sz w:val="24"/>
        </w:rPr>
        <w:t>。</w:t>
      </w:r>
    </w:p>
    <w:p>
      <w:pPr>
        <w:tabs>
          <w:tab w:val="left" w:pos="5580"/>
        </w:tabs>
        <w:spacing w:line="360" w:lineRule="auto"/>
        <w:rPr>
          <w:sz w:val="24"/>
        </w:rPr>
      </w:pPr>
      <w:r>
        <w:rPr>
          <w:sz w:val="24"/>
        </w:rPr>
        <w:t>（2）如本项目（包）专门面向中小企业采购，</w:t>
      </w:r>
      <w:r>
        <w:rPr>
          <w:rFonts w:hint="eastAsia"/>
          <w:sz w:val="24"/>
        </w:rPr>
        <w:t>响应文件中</w:t>
      </w:r>
      <w:r>
        <w:rPr>
          <w:sz w:val="24"/>
        </w:rPr>
        <w:t>须提供《中小企业声明函》</w:t>
      </w:r>
      <w:r>
        <w:rPr>
          <w:rFonts w:hint="eastAsia"/>
          <w:sz w:val="24"/>
        </w:rPr>
        <w:t>或《残疾人福利性单位声明函》，或提供由省级以上监狱管理局、戒毒管理局（含新疆生产建设兵团）出具的属于监狱企业的证明文件。</w:t>
      </w:r>
    </w:p>
    <w:p>
      <w:pPr>
        <w:tabs>
          <w:tab w:val="left" w:pos="5580"/>
        </w:tabs>
        <w:spacing w:line="360" w:lineRule="auto"/>
        <w:rPr>
          <w:sz w:val="24"/>
        </w:rPr>
      </w:pPr>
      <w:r>
        <w:rPr>
          <w:sz w:val="24"/>
        </w:rPr>
        <w:t>（3）如本项目（包）预留部分采购项目预算专门面向中小企业采购，</w:t>
      </w:r>
      <w:r>
        <w:rPr>
          <w:rFonts w:hint="eastAsia"/>
          <w:sz w:val="24"/>
        </w:rPr>
        <w:t>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sz w:val="24"/>
        </w:rPr>
      </w:pPr>
      <w:r>
        <w:rPr>
          <w:sz w:val="24"/>
        </w:rPr>
        <w:t>（4）</w:t>
      </w:r>
      <w:r>
        <w:rPr>
          <w:rFonts w:hint="eastAsia"/>
          <w:sz w:val="24"/>
        </w:rPr>
        <w:t>中小企业声明函填写注意事项 1）《中小企业声明函》由参加政府采购活动的供应商出具。联合体参与的，《中小企业声明函》可由牵头人出具。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rFonts w:hint="eastAsia"/>
          <w:sz w:val="24"/>
        </w:rPr>
        <w:t>3）对于多标的采购项目，供应商应充分、准确地了解所提供货物的制造企业、提供服</w:t>
      </w:r>
    </w:p>
    <w:p>
      <w:pPr>
        <w:tabs>
          <w:tab w:val="left" w:pos="5580"/>
        </w:tabs>
        <w:spacing w:line="360" w:lineRule="auto"/>
        <w:rPr>
          <w:sz w:val="24"/>
        </w:rPr>
      </w:pPr>
      <w:r>
        <w:rPr>
          <w:rFonts w:hint="eastAsia"/>
          <w:sz w:val="24"/>
        </w:rPr>
        <w:t>务的承接企业信息。对相关情况了解不清楚的，不建议填报本声明函。</w:t>
      </w:r>
    </w:p>
    <w:p>
      <w:pPr>
        <w:tabs>
          <w:tab w:val="left" w:pos="5580"/>
        </w:tabs>
        <w:spacing w:line="360" w:lineRule="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pPr>
        <w:widowControl/>
        <w:jc w:val="left"/>
        <w:rPr>
          <w:sz w:val="24"/>
        </w:rPr>
      </w:pPr>
      <w:r>
        <w:rPr>
          <w:sz w:val="24"/>
        </w:rPr>
        <w:br w:type="page"/>
      </w:r>
      <w:r>
        <w:rPr>
          <w:rFonts w:hint="eastAsia"/>
          <w:sz w:val="24"/>
        </w:rPr>
        <w:t>2-1-1  中小企业声明函及残疾人福利性单位声明函格式</w:t>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w:t>
      </w:r>
      <w:r>
        <w:rPr>
          <w:rFonts w:hint="eastAsia"/>
          <w:b/>
          <w:sz w:val="24"/>
        </w:rPr>
        <w:t>选择</w:t>
      </w:r>
      <w:r>
        <w:rPr>
          <w:b/>
          <w:sz w:val="24"/>
        </w:rPr>
        <w:t>）</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pPr>
        <w:widowControl/>
        <w:jc w:val="left"/>
        <w:rPr>
          <w:color w:val="000000"/>
          <w:sz w:val="24"/>
          <w:szCs w:val="20"/>
        </w:rPr>
      </w:pPr>
      <w:r>
        <w:rPr>
          <w:color w:val="000000"/>
          <w:sz w:val="24"/>
          <w:szCs w:val="20"/>
        </w:rPr>
        <w:br w:type="page"/>
      </w:r>
      <w:r>
        <w:rPr>
          <w:color w:val="000000"/>
          <w:sz w:val="24"/>
          <w:szCs w:val="20"/>
        </w:rPr>
        <w:t>2-1-</w:t>
      </w:r>
      <w:r>
        <w:rPr>
          <w:rFonts w:hint="eastAsia"/>
          <w:color w:val="000000"/>
          <w:sz w:val="24"/>
          <w:szCs w:val="20"/>
        </w:rPr>
        <w:t>2</w:t>
      </w:r>
      <w:r>
        <w:rPr>
          <w:color w:val="000000"/>
          <w:sz w:val="24"/>
          <w:szCs w:val="20"/>
        </w:rPr>
        <w:t>拟分包情况说明及分包意向协议</w:t>
      </w:r>
      <w:r>
        <w:rPr>
          <w:rFonts w:hint="eastAsia"/>
          <w:b/>
          <w:bCs/>
          <w:color w:val="000000"/>
          <w:sz w:val="24"/>
          <w:szCs w:val="20"/>
        </w:rPr>
        <w:t>（本项目不涉及）</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1"/>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0"/>
              <w:jc w:val="center"/>
              <w:rPr>
                <w:sz w:val="24"/>
              </w:rPr>
            </w:pPr>
            <w:r>
              <w:rPr>
                <w:rFonts w:hint="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0"/>
              <w:jc w:val="center"/>
              <w:rPr>
                <w:sz w:val="24"/>
              </w:rPr>
            </w:pPr>
            <w:r>
              <w:rPr>
                <w:rFonts w:hint="eastAsia"/>
                <w:sz w:val="24"/>
              </w:rPr>
              <w:t>分包承担</w:t>
            </w:r>
          </w:p>
          <w:p>
            <w:pPr>
              <w:pStyle w:val="250"/>
              <w:jc w:val="center"/>
              <w:rPr>
                <w:sz w:val="24"/>
              </w:rPr>
            </w:pPr>
            <w:r>
              <w:rPr>
                <w:rFonts w:hint="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0"/>
              <w:jc w:val="center"/>
              <w:rPr>
                <w:sz w:val="24"/>
                <w:lang w:eastAsia="zh-CN"/>
              </w:rPr>
            </w:pPr>
            <w:r>
              <w:rPr>
                <w:rFonts w:hint="eastAsia"/>
                <w:sz w:val="24"/>
                <w:lang w:eastAsia="zh-CN"/>
              </w:rPr>
              <w:t>分包承担</w:t>
            </w:r>
          </w:p>
          <w:p>
            <w:pPr>
              <w:pStyle w:val="250"/>
              <w:jc w:val="center"/>
              <w:rPr>
                <w:sz w:val="24"/>
                <w:lang w:eastAsia="zh-CN"/>
              </w:rPr>
            </w:pPr>
            <w:r>
              <w:rPr>
                <w:rFonts w:hint="eastAsia"/>
                <w:sz w:val="24"/>
                <w:lang w:eastAsia="zh-CN"/>
              </w:rPr>
              <w:t>主体类型</w:t>
            </w:r>
          </w:p>
          <w:p>
            <w:pPr>
              <w:pStyle w:val="250"/>
              <w:jc w:val="center"/>
              <w:rPr>
                <w:sz w:val="24"/>
                <w:lang w:eastAsia="zh-CN"/>
              </w:rPr>
            </w:pPr>
            <w:r>
              <w:rPr>
                <w:rFonts w:hint="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0"/>
              <w:jc w:val="center"/>
              <w:rPr>
                <w:sz w:val="24"/>
              </w:rPr>
            </w:pPr>
            <w:r>
              <w:rPr>
                <w:rFonts w:hint="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0"/>
              <w:jc w:val="center"/>
              <w:rPr>
                <w:sz w:val="24"/>
              </w:rPr>
            </w:pPr>
            <w:r>
              <w:rPr>
                <w:rFonts w:hint="eastAsia"/>
                <w:sz w:val="24"/>
              </w:rPr>
              <w:t>拟分包</w:t>
            </w:r>
          </w:p>
          <w:p>
            <w:pPr>
              <w:pStyle w:val="250"/>
              <w:jc w:val="center"/>
              <w:rPr>
                <w:sz w:val="24"/>
              </w:rPr>
            </w:pPr>
            <w:r>
              <w:rPr>
                <w:rFonts w:hint="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0"/>
              <w:jc w:val="center"/>
              <w:rPr>
                <w:sz w:val="24"/>
                <w:lang w:eastAsia="zh-CN"/>
              </w:rPr>
            </w:pPr>
            <w:r>
              <w:rPr>
                <w:rFonts w:hint="eastAsia"/>
                <w:sz w:val="24"/>
                <w:lang w:eastAsia="zh-CN"/>
              </w:rPr>
              <w:t>拟分包</w:t>
            </w:r>
          </w:p>
          <w:p>
            <w:pPr>
              <w:pStyle w:val="250"/>
              <w:jc w:val="center"/>
              <w:rPr>
                <w:sz w:val="24"/>
                <w:lang w:eastAsia="zh-CN"/>
              </w:rPr>
            </w:pPr>
            <w:r>
              <w:rPr>
                <w:rFonts w:hint="eastAsia"/>
                <w:sz w:val="24"/>
                <w:lang w:eastAsia="zh-CN"/>
              </w:rPr>
              <w:t>合同金额</w:t>
            </w:r>
          </w:p>
          <w:p>
            <w:pPr>
              <w:pStyle w:val="250"/>
              <w:jc w:val="center"/>
              <w:rPr>
                <w:sz w:val="24"/>
                <w:lang w:eastAsia="zh-CN"/>
              </w:rPr>
            </w:pPr>
            <w:r>
              <w:rPr>
                <w:rFonts w:hint="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0"/>
              <w:jc w:val="center"/>
              <w:rPr>
                <w:sz w:val="24"/>
                <w:lang w:eastAsia="zh-CN"/>
              </w:rPr>
            </w:pPr>
            <w:r>
              <w:rPr>
                <w:rFonts w:hint="eastAsia"/>
                <w:sz w:val="24"/>
                <w:lang w:eastAsia="zh-CN"/>
              </w:rPr>
              <w:t>占该采购包</w:t>
            </w:r>
          </w:p>
          <w:p>
            <w:pPr>
              <w:pStyle w:val="250"/>
              <w:jc w:val="center"/>
              <w:rPr>
                <w:b/>
                <w:sz w:val="24"/>
                <w:lang w:eastAsia="zh-CN"/>
              </w:rPr>
            </w:pPr>
            <w:r>
              <w:rPr>
                <w:rFonts w:hint="eastAsia"/>
                <w:b/>
                <w:sz w:val="24"/>
                <w:lang w:eastAsia="zh-CN"/>
              </w:rPr>
              <w:t>合同金额的</w:t>
            </w:r>
          </w:p>
          <w:p>
            <w:pPr>
              <w:pStyle w:val="250"/>
              <w:jc w:val="center"/>
              <w:rPr>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24"/>
              </w:rPr>
            </w:pPr>
            <w:r>
              <w:rPr>
                <w:rFonts w:ascii="Times New Roman"/>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hAnsi="Times New Roman" w:cs="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24"/>
                <w:lang w:eastAsia="zh-CN"/>
              </w:rPr>
            </w:pPr>
            <w:r>
              <w:rPr>
                <w:rFonts w:ascii="Times New Roman"/>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pPr>
              <w:pStyle w:val="25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spacing w:val="19"/>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24"/>
                <w:lang w:eastAsia="zh-CN"/>
              </w:rPr>
            </w:pPr>
            <w:r>
              <w:rPr>
                <w:rFonts w:hint="eastAsia" w:ascii="Times New Roman"/>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0"/>
              <w:tabs>
                <w:tab w:val="left" w:pos="235"/>
              </w:tabs>
              <w:jc w:val="center"/>
              <w:rPr>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50"/>
              <w:ind w:right="57" w:rightChars="27"/>
              <w:jc w:val="right"/>
              <w:rPr>
                <w:sz w:val="24"/>
                <w:lang w:eastAsia="zh-CN"/>
              </w:rPr>
            </w:pPr>
            <w:r>
              <w:rPr>
                <w:rFonts w:hint="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0"/>
              <w:jc w:val="center"/>
              <w:rPr>
                <w:rFonts w:ascii="Times New Roman"/>
                <w:sz w:val="30"/>
              </w:rPr>
            </w:pPr>
          </w:p>
        </w:tc>
      </w:tr>
    </w:tbl>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pPr>
        <w:adjustRightInd w:val="0"/>
        <w:snapToGrid w:val="0"/>
        <w:spacing w:line="360" w:lineRule="auto"/>
        <w:jc w:val="left"/>
        <w:rPr>
          <w:sz w:val="24"/>
        </w:rPr>
      </w:pPr>
      <w:r>
        <w:rPr>
          <w:sz w:val="24"/>
        </w:rPr>
        <w:t>说明：</w:t>
      </w:r>
    </w:p>
    <w:p>
      <w:pPr>
        <w:pStyle w:val="2"/>
        <w:numPr>
          <w:ilvl w:val="0"/>
          <w:numId w:val="15"/>
        </w:numPr>
        <w:kinsoku w:val="0"/>
        <w:overflowPunct w:val="0"/>
        <w:adjustRightInd w:val="0"/>
        <w:spacing w:before="154" w:line="360" w:lineRule="auto"/>
        <w:ind w:right="17"/>
      </w:pPr>
      <w:r>
        <w:rPr>
          <w:rFonts w:hint="eastAsia"/>
        </w:rPr>
        <w:t>如本项目（包）允许分包，且供应商拟进行分包时，必须提供；如未提供，或提供了但未填写分包承担主体名称、拟分包合同内容、拟分包合同金额</w:t>
      </w:r>
      <w:r>
        <w:rPr>
          <w:rFonts w:hint="eastAsia"/>
          <w:spacing w:val="-1"/>
        </w:rPr>
        <w:t>，</w:t>
      </w:r>
      <w:r>
        <w:rPr>
          <w:rFonts w:hint="eastAsia"/>
        </w:rPr>
        <w:t>响应无</w:t>
      </w:r>
      <w:r>
        <w:rPr>
          <w:rFonts w:hint="eastAsia"/>
          <w:spacing w:val="-1"/>
        </w:rPr>
        <w:t>效</w:t>
      </w:r>
      <w:r>
        <w:rPr>
          <w:rFonts w:hint="eastAsia"/>
        </w:rPr>
        <w:t xml:space="preserve">。 </w:t>
      </w:r>
    </w:p>
    <w:p>
      <w:pPr>
        <w:pStyle w:val="2"/>
        <w:kinsoku w:val="0"/>
        <w:overflowPunct w:val="0"/>
        <w:adjustRightInd w:val="0"/>
        <w:spacing w:before="154" w:line="360" w:lineRule="auto"/>
        <w:ind w:right="17"/>
      </w:pPr>
      <w:r>
        <w:rPr>
          <w:rFonts w:ascii="Bookman Old Style" w:hAnsi="Bookman Old Style" w:eastAsia="Bookman Old Style"/>
          <w:spacing w:val="-2"/>
          <w:w w:val="102"/>
        </w:rPr>
        <w:t>2</w:t>
      </w:r>
      <w:r>
        <w:rPr>
          <w:rFonts w:ascii="Bookman Old Style" w:hAnsi="Bookman Old Style" w:eastAsia="Bookman Old Style"/>
          <w:w w:val="99"/>
        </w:rPr>
        <w:t>.</w:t>
      </w:r>
      <w:r>
        <w:rPr>
          <w:rFonts w:hint="eastAsia"/>
        </w:rPr>
        <w:t>如本磋商文</w:t>
      </w:r>
      <w:r>
        <w:rPr>
          <w:rFonts w:hint="eastAsia"/>
          <w:spacing w:val="-79"/>
        </w:rPr>
        <w:t>件</w:t>
      </w:r>
      <w:r>
        <w:rPr>
          <w:rFonts w:hint="eastAsia"/>
          <w:spacing w:val="-1"/>
        </w:rPr>
        <w:t>《</w:t>
      </w:r>
      <w:r>
        <w:rPr>
          <w:rFonts w:hint="eastAsia"/>
        </w:rPr>
        <w:t>供应商须知资料表</w:t>
      </w:r>
      <w:r>
        <w:rPr>
          <w:rFonts w:hint="eastAsia"/>
          <w:spacing w:val="-77"/>
        </w:rPr>
        <w:t>》</w:t>
      </w:r>
      <w:r>
        <w:rPr>
          <w:rFonts w:hint="eastAsia"/>
        </w:rPr>
        <w:t>载明本项目分包承担主体应具备的相应资质条件， 则供应商须在本表中列明分包承担主体的资质等级</w:t>
      </w:r>
      <w:r>
        <w:rPr>
          <w:rFonts w:hint="eastAsia"/>
          <w:spacing w:val="-27"/>
        </w:rPr>
        <w:t>，</w:t>
      </w:r>
      <w:r>
        <w:rPr>
          <w:rFonts w:hint="eastAsia"/>
        </w:rPr>
        <w:t>并后附资质证书电子件</w:t>
      </w:r>
      <w:r>
        <w:rPr>
          <w:rFonts w:hint="eastAsia"/>
          <w:spacing w:val="-24"/>
        </w:rPr>
        <w:t>，</w:t>
      </w:r>
      <w:r>
        <w:rPr>
          <w:rFonts w:hint="eastAsia"/>
        </w:rPr>
        <w:t>否</w:t>
      </w:r>
      <w:r>
        <w:rPr>
          <w:rFonts w:hint="eastAsia"/>
          <w:spacing w:val="-1"/>
        </w:rPr>
        <w:t>则</w:t>
      </w:r>
      <w:r>
        <w:rPr>
          <w:rFonts w:hint="eastAsia"/>
        </w:rPr>
        <w:t>响应 无</w:t>
      </w:r>
      <w:r>
        <w:rPr>
          <w:rFonts w:hint="eastAsia"/>
          <w:spacing w:val="-1"/>
        </w:rPr>
        <w:t>效</w:t>
      </w:r>
      <w:r>
        <w:rPr>
          <w:rFonts w:hint="eastAsia"/>
        </w:rPr>
        <w:t>。</w:t>
      </w:r>
    </w:p>
    <w:p>
      <w:pPr>
        <w:pStyle w:val="2"/>
        <w:kinsoku w:val="0"/>
        <w:overflowPunct w:val="0"/>
        <w:adjustRightInd w:val="0"/>
        <w:spacing w:before="48" w:line="360" w:lineRule="auto"/>
      </w:pPr>
      <w:r>
        <w:rPr>
          <w:rFonts w:ascii="Bookman Old Style" w:hAnsi="Bookman Old Style" w:eastAsia="Bookman Old Style"/>
          <w:spacing w:val="-2"/>
          <w:w w:val="102"/>
        </w:rPr>
        <w:t>3</w:t>
      </w:r>
      <w:r>
        <w:rPr>
          <w:rFonts w:ascii="Bookman Old Style" w:hAnsi="Bookman Old Style" w:eastAsia="Bookman Old Style"/>
          <w:w w:val="99"/>
        </w:rPr>
        <w:t>.</w:t>
      </w:r>
      <w:r>
        <w:rPr>
          <w:rFonts w:hint="eastAsia"/>
        </w:rPr>
        <w:t>供应商</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而向中小企业分包时请仔细阅读资格证明文件格式</w:t>
      </w:r>
      <w:r>
        <w:rPr>
          <w:rFonts w:ascii="Bookman Old Style" w:hAnsi="Bookman Old Style" w:eastAsia="Bookman Old Style"/>
          <w:spacing w:val="-2"/>
          <w:w w:val="102"/>
        </w:rPr>
        <w:t>2</w:t>
      </w:r>
      <w:r>
        <w:rPr>
          <w:rFonts w:ascii="Bookman Old Style" w:hAnsi="Bookman Old Style" w:eastAsia="Bookman Old Style"/>
          <w:w w:val="97"/>
        </w:rPr>
        <w:t>-1</w:t>
      </w:r>
      <w:r>
        <w:rPr>
          <w:rFonts w:ascii="Bookman Old Style" w:hAnsi="Bookman Old Style" w:eastAsia="Bookman Old Style"/>
          <w:spacing w:val="-16"/>
        </w:rPr>
        <w:t xml:space="preserve"> </w:t>
      </w:r>
      <w:r>
        <w:rPr>
          <w:rFonts w:hint="eastAsia"/>
        </w:rPr>
        <w:t>中说明，并建议按要求在资格证明文件中提供相关全部文件；供应商</w:t>
      </w:r>
      <w:r>
        <w:rPr>
          <w:rFonts w:hint="eastAsia"/>
          <w:spacing w:val="-1"/>
        </w:rPr>
        <w:t>非</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而向中小企业分包时，建议在本册提供。</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分包意向协议（实质性格式）</w:t>
      </w:r>
    </w:p>
    <w:p>
      <w:pPr>
        <w:adjustRightInd w:val="0"/>
        <w:snapToGrid w:val="0"/>
        <w:spacing w:line="360" w:lineRule="auto"/>
        <w:ind w:firstLine="480" w:firstLineChars="200"/>
        <w:jc w:val="left"/>
        <w:rPr>
          <w:sz w:val="24"/>
        </w:rPr>
      </w:pPr>
      <w:r>
        <w:rPr>
          <w:sz w:val="24"/>
        </w:rPr>
        <w:t>甲方（供应商）：______</w:t>
      </w:r>
    </w:p>
    <w:p>
      <w:pPr>
        <w:adjustRightInd w:val="0"/>
        <w:snapToGrid w:val="0"/>
        <w:spacing w:line="360" w:lineRule="auto"/>
        <w:ind w:firstLine="480" w:firstLineChars="200"/>
        <w:jc w:val="left"/>
        <w:rPr>
          <w:sz w:val="24"/>
        </w:rPr>
      </w:pPr>
      <w:r>
        <w:rPr>
          <w:sz w:val="24"/>
        </w:rPr>
        <w:t>乙方（拟分包单位）：______</w:t>
      </w:r>
    </w:p>
    <w:p>
      <w:pPr>
        <w:adjustRightInd w:val="0"/>
        <w:snapToGrid w:val="0"/>
        <w:spacing w:line="360" w:lineRule="auto"/>
        <w:ind w:firstLine="480" w:firstLineChars="200"/>
        <w:jc w:val="left"/>
        <w:rPr>
          <w:sz w:val="24"/>
        </w:rPr>
      </w:pPr>
      <w:r>
        <w:rPr>
          <w:sz w:val="24"/>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1.分包内容：______。</w:t>
      </w:r>
    </w:p>
    <w:p>
      <w:pPr>
        <w:adjustRightInd w:val="0"/>
        <w:snapToGrid w:val="0"/>
        <w:spacing w:line="360" w:lineRule="auto"/>
        <w:ind w:firstLine="480" w:firstLineChars="200"/>
        <w:jc w:val="left"/>
        <w:rPr>
          <w:sz w:val="24"/>
        </w:rPr>
      </w:pPr>
      <w:r>
        <w:rPr>
          <w:sz w:val="24"/>
        </w:rPr>
        <w:t>2.分包金额：______，该金额占该采购包</w:t>
      </w:r>
      <w:r>
        <w:rPr>
          <w:rFonts w:hint="eastAsia"/>
          <w:sz w:val="24"/>
        </w:rPr>
        <w:t>合同</w:t>
      </w:r>
      <w:r>
        <w:rPr>
          <w:sz w:val="24"/>
        </w:rPr>
        <w:t>金额的比例为______%。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本协议自各方盖章之日起生效，如甲方未在该项目（采购包）成交，本协议自动终止。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w:t>
      </w:r>
      <w:r>
        <w:rPr>
          <w:sz w:val="24"/>
        </w:rPr>
        <w:t>______</w:t>
      </w:r>
      <w:r>
        <w:rPr>
          <w:color w:val="000000"/>
          <w:sz w:val="24"/>
        </w:rPr>
        <w:t xml:space="preserve">                     乙方（盖章）：</w:t>
      </w:r>
      <w:r>
        <w:rPr>
          <w:sz w:val="24"/>
        </w:rPr>
        <w:t>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 xml:space="preserve">日   </w:t>
      </w:r>
    </w:p>
    <w:p>
      <w:pPr>
        <w:tabs>
          <w:tab w:val="left" w:pos="8280"/>
        </w:tabs>
        <w:spacing w:line="360" w:lineRule="auto"/>
        <w:ind w:firstLine="480"/>
        <w:rPr>
          <w:color w:val="000000"/>
          <w:sz w:val="24"/>
        </w:rPr>
      </w:pPr>
    </w:p>
    <w:p>
      <w:pPr>
        <w:tabs>
          <w:tab w:val="left" w:pos="8280"/>
        </w:tabs>
        <w:spacing w:line="360" w:lineRule="auto"/>
        <w:rPr>
          <w:color w:val="000000"/>
          <w:sz w:val="24"/>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r>
        <w:rPr>
          <w:color w:val="000000"/>
          <w:sz w:val="24"/>
        </w:rPr>
        <w:t>说明：</w:t>
      </w:r>
      <w:r>
        <w:rPr>
          <w:rFonts w:hint="eastAsia"/>
          <w:color w:val="000000"/>
          <w:sz w:val="24"/>
        </w:rPr>
        <w:t>本协议仅在供应商“为落实政府采购政策”而向中小企业分包时必须提供，否则响应无效。且供应商须与所有拟分包单位分别签订《分包意向协议》，每单位签订一份，并在响应文件中提交全部协议原件的复印件，否则</w:t>
      </w:r>
      <w:r>
        <w:rPr>
          <w:rFonts w:hint="eastAsia"/>
          <w:b/>
          <w:bCs/>
          <w:color w:val="000000"/>
          <w:sz w:val="24"/>
        </w:rPr>
        <w:t>响应无效</w:t>
      </w:r>
      <w:r>
        <w:rPr>
          <w:rFonts w:hint="eastAsia"/>
          <w:color w:val="000000"/>
          <w:sz w:val="24"/>
        </w:rPr>
        <w:t>。</w:t>
      </w:r>
    </w:p>
    <w:p>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rFonts w:hint="eastAsia"/>
          <w:b/>
          <w:bCs/>
          <w:color w:val="000000"/>
          <w:sz w:val="24"/>
          <w:szCs w:val="20"/>
        </w:rPr>
        <w:t>（本项目不涉及）</w:t>
      </w:r>
    </w:p>
    <w:p>
      <w:pPr>
        <w:widowControl/>
        <w:jc w:val="left"/>
        <w:rPr>
          <w:sz w:val="24"/>
        </w:rPr>
      </w:pPr>
    </w:p>
    <w:p>
      <w:pPr>
        <w:widowControl/>
        <w:jc w:val="left"/>
        <w:rPr>
          <w:sz w:val="24"/>
        </w:rPr>
      </w:pPr>
      <w:r>
        <w:rPr>
          <w:sz w:val="24"/>
        </w:rPr>
        <w:br w:type="page"/>
      </w:r>
    </w:p>
    <w:p>
      <w:pPr>
        <w:tabs>
          <w:tab w:val="left" w:pos="360"/>
        </w:tabs>
        <w:snapToGrid w:val="0"/>
        <w:spacing w:line="360" w:lineRule="auto"/>
        <w:outlineLvl w:val="1"/>
        <w:rPr>
          <w:sz w:val="24"/>
        </w:rPr>
      </w:pPr>
      <w:r>
        <w:rPr>
          <w:sz w:val="24"/>
        </w:rPr>
        <w:t>3 本项目的特定资格要求（如有）</w:t>
      </w:r>
      <w:r>
        <w:rPr>
          <w:rFonts w:hint="eastAsia"/>
          <w:b/>
          <w:bCs/>
          <w:color w:val="000000"/>
          <w:sz w:val="24"/>
          <w:szCs w:val="20"/>
        </w:rPr>
        <w:t>（本项目不涉及）</w:t>
      </w:r>
    </w:p>
    <w:p>
      <w:pPr>
        <w:spacing w:line="360" w:lineRule="auto"/>
        <w:outlineLvl w:val="2"/>
        <w:rPr>
          <w:color w:val="000000"/>
          <w:sz w:val="24"/>
          <w:szCs w:val="20"/>
        </w:rPr>
      </w:pPr>
      <w:r>
        <w:rPr>
          <w:color w:val="000000"/>
          <w:sz w:val="24"/>
          <w:szCs w:val="20"/>
        </w:rPr>
        <w:t>3-1联合协议（如有）</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sz w:val="24"/>
        </w:rPr>
        <w:t>______</w:t>
      </w:r>
      <w:r>
        <w:rPr>
          <w:bCs/>
          <w:color w:val="000000"/>
          <w:sz w:val="24"/>
        </w:rPr>
        <w:t xml:space="preserve"> 、</w:t>
      </w:r>
      <w:r>
        <w:rPr>
          <w:sz w:val="24"/>
        </w:rPr>
        <w:t>______</w:t>
      </w:r>
      <w:r>
        <w:rPr>
          <w:bCs/>
          <w:color w:val="000000"/>
          <w:sz w:val="24"/>
        </w:rPr>
        <w:t>及</w:t>
      </w:r>
      <w:r>
        <w:rPr>
          <w:sz w:val="24"/>
        </w:rPr>
        <w:t>______</w:t>
      </w:r>
      <w:r>
        <w:rPr>
          <w:bCs/>
          <w:color w:val="000000"/>
          <w:sz w:val="24"/>
        </w:rPr>
        <w:t>就“</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pPr>
        <w:numPr>
          <w:ilvl w:val="0"/>
          <w:numId w:val="16"/>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pPr>
        <w:numPr>
          <w:ilvl w:val="0"/>
          <w:numId w:val="16"/>
        </w:numPr>
        <w:spacing w:line="360" w:lineRule="auto"/>
        <w:rPr>
          <w:bCs/>
          <w:color w:val="000000"/>
          <w:sz w:val="24"/>
        </w:rPr>
      </w:pPr>
      <w:r>
        <w:rPr>
          <w:bCs/>
          <w:color w:val="000000"/>
          <w:sz w:val="24"/>
        </w:rPr>
        <w:t>联合体成交后，联合体各方共同与采购人签订合同，就</w:t>
      </w:r>
      <w:r>
        <w:rPr>
          <w:color w:val="000000"/>
          <w:sz w:val="24"/>
          <w:szCs w:val="20"/>
        </w:rPr>
        <w:t>采购合同约定的事项</w:t>
      </w:r>
      <w:r>
        <w:rPr>
          <w:bCs/>
          <w:color w:val="000000"/>
          <w:sz w:val="24"/>
        </w:rPr>
        <w:t>对采购人承担连带责任。</w:t>
      </w:r>
    </w:p>
    <w:p>
      <w:pPr>
        <w:numPr>
          <w:ilvl w:val="0"/>
          <w:numId w:val="16"/>
        </w:numPr>
        <w:spacing w:line="360" w:lineRule="auto"/>
        <w:rPr>
          <w:bCs/>
          <w:color w:val="000000"/>
          <w:sz w:val="24"/>
        </w:rPr>
      </w:pPr>
      <w:r>
        <w:rPr>
          <w:bCs/>
          <w:color w:val="000000"/>
          <w:sz w:val="24"/>
        </w:rPr>
        <w:t>联合体各方均同意由牵头人代表其他联合体成员单位按竞争性磋商文件要求出具《授权委托书》。</w:t>
      </w:r>
    </w:p>
    <w:p>
      <w:pPr>
        <w:numPr>
          <w:ilvl w:val="0"/>
          <w:numId w:val="16"/>
        </w:numPr>
        <w:spacing w:line="360" w:lineRule="auto"/>
        <w:rPr>
          <w:bCs/>
          <w:color w:val="000000"/>
          <w:sz w:val="24"/>
        </w:rPr>
      </w:pPr>
      <w:r>
        <w:rPr>
          <w:bCs/>
          <w:color w:val="000000"/>
          <w:sz w:val="24"/>
        </w:rPr>
        <w:t>牵头人为项目的总负责单位；组织各参加方进行项目实施工作。</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pPr>
        <w:numPr>
          <w:ilvl w:val="0"/>
          <w:numId w:val="16"/>
        </w:numPr>
        <w:spacing w:line="360" w:lineRule="auto"/>
        <w:rPr>
          <w:sz w:val="24"/>
        </w:rPr>
      </w:pPr>
      <w:r>
        <w:rPr>
          <w:sz w:val="24"/>
        </w:rPr>
        <w:t>本项目联合协议合同总额为______元，联合体各成员按照如下比例分摊（按联合体成员分别列明）：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（2）</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numPr>
          <w:ilvl w:val="0"/>
          <w:numId w:val="16"/>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pPr>
        <w:numPr>
          <w:ilvl w:val="0"/>
          <w:numId w:val="16"/>
        </w:numPr>
        <w:spacing w:line="360" w:lineRule="auto"/>
        <w:rPr>
          <w:bCs/>
          <w:color w:val="000000"/>
          <w:sz w:val="24"/>
        </w:rPr>
      </w:pPr>
      <w:r>
        <w:rPr>
          <w:bCs/>
          <w:color w:val="000000"/>
          <w:sz w:val="24"/>
        </w:rPr>
        <w:t>其他约定（如有）：</w:t>
      </w:r>
      <w:r>
        <w:rPr>
          <w:sz w:val="24"/>
        </w:rPr>
        <w:t>______</w:t>
      </w:r>
      <w:r>
        <w:rPr>
          <w:rFonts w:hint="eastAsia"/>
          <w:sz w:val="24"/>
        </w:rPr>
        <w:t>。</w:t>
      </w:r>
    </w:p>
    <w:p>
      <w:pPr>
        <w:tabs>
          <w:tab w:val="left" w:pos="780"/>
        </w:tabs>
        <w:spacing w:line="360" w:lineRule="auto"/>
        <w:ind w:left="180" w:firstLine="480" w:firstLineChars="200"/>
        <w:rPr>
          <w:b/>
          <w:color w:val="000000"/>
          <w:sz w:val="24"/>
        </w:rPr>
      </w:pPr>
      <w:r>
        <w:rPr>
          <w:bCs/>
          <w:color w:val="000000"/>
          <w:sz w:val="24"/>
        </w:rPr>
        <w:t>本协议自各方盖章后生效，采购合同履行完毕后自动失效。如未成交，本协议自动终止。</w:t>
      </w:r>
    </w:p>
    <w:p>
      <w:pPr>
        <w:spacing w:line="360" w:lineRule="auto"/>
        <w:ind w:firstLine="471"/>
        <w:rPr>
          <w:color w:val="000000"/>
          <w:sz w:val="24"/>
        </w:rPr>
      </w:pPr>
      <w:r>
        <w:rPr>
          <w:color w:val="000000"/>
          <w:sz w:val="24"/>
        </w:rPr>
        <w:br w:type="page"/>
      </w: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widowControl/>
        <w:ind w:firstLine="480" w:firstLineChars="200"/>
        <w:jc w:val="left"/>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color w:val="000000"/>
          <w:sz w:val="24"/>
        </w:rPr>
      </w:pPr>
      <w:r>
        <w:rPr>
          <w:color w:val="000000"/>
          <w:sz w:val="24"/>
        </w:rPr>
        <w:t>注：</w:t>
      </w:r>
    </w:p>
    <w:p>
      <w:pPr>
        <w:spacing w:line="360" w:lineRule="auto"/>
        <w:ind w:left="719" w:leftChars="228" w:hanging="240" w:hangingChars="100"/>
        <w:rPr>
          <w:color w:val="000000"/>
          <w:sz w:val="24"/>
        </w:rPr>
      </w:pPr>
      <w:r>
        <w:rPr>
          <w:rFonts w:hint="eastAsia"/>
          <w:color w:val="000000"/>
          <w:sz w:val="24"/>
        </w:rPr>
        <w:t>1.如本项目 (包) 接受供应商以联合体形式参加采购活动，且供应商以联合体形式参与时，须提供《联合协议》，否则</w:t>
      </w:r>
      <w:r>
        <w:rPr>
          <w:rFonts w:hint="eastAsia"/>
          <w:b/>
          <w:bCs/>
          <w:color w:val="000000"/>
          <w:sz w:val="24"/>
        </w:rPr>
        <w:t>响应无效</w:t>
      </w:r>
      <w:r>
        <w:rPr>
          <w:rFonts w:hint="eastAsia"/>
          <w:color w:val="000000"/>
          <w:sz w:val="24"/>
        </w:rPr>
        <w:t>。</w:t>
      </w:r>
    </w:p>
    <w:p>
      <w:pPr>
        <w:spacing w:line="360" w:lineRule="auto"/>
        <w:ind w:left="719" w:leftChars="228" w:hanging="240" w:hangingChars="100"/>
        <w:rPr>
          <w:color w:val="000000"/>
          <w:sz w:val="24"/>
        </w:rPr>
      </w:pPr>
      <w:r>
        <w:rPr>
          <w:rFonts w:hint="eastAsia"/>
          <w:color w:val="000000"/>
          <w:sz w:val="24"/>
        </w:rPr>
        <w:t>2.联合体各方成员需在本协议上共同盖章。</w:t>
      </w:r>
    </w:p>
    <w:p>
      <w:pPr>
        <w:widowControl/>
        <w:jc w:val="left"/>
        <w:rPr>
          <w:sz w:val="24"/>
        </w:rPr>
      </w:pPr>
      <w:r>
        <w:rPr>
          <w:sz w:val="24"/>
        </w:rPr>
        <w:br w:type="page"/>
      </w:r>
    </w:p>
    <w:p>
      <w:pPr>
        <w:spacing w:line="360" w:lineRule="auto"/>
        <w:outlineLvl w:val="2"/>
        <w:rPr>
          <w:sz w:val="24"/>
          <w:szCs w:val="20"/>
        </w:rPr>
      </w:pPr>
      <w:r>
        <w:rPr>
          <w:color w:val="000000"/>
          <w:sz w:val="24"/>
          <w:szCs w:val="20"/>
        </w:rPr>
        <w:t>3-2其他</w:t>
      </w:r>
      <w:r>
        <w:rPr>
          <w:sz w:val="24"/>
          <w:szCs w:val="20"/>
        </w:rPr>
        <w:t>特定资格要求</w:t>
      </w:r>
      <w:r>
        <w:rPr>
          <w:rFonts w:hint="eastAsia"/>
          <w:b/>
          <w:bCs/>
          <w:color w:val="000000"/>
          <w:sz w:val="24"/>
          <w:szCs w:val="20"/>
        </w:rPr>
        <w:t>（本项目不涉及）</w:t>
      </w:r>
    </w:p>
    <w:p>
      <w:pPr>
        <w:tabs>
          <w:tab w:val="left" w:pos="5580"/>
        </w:tabs>
        <w:spacing w:line="360" w:lineRule="auto"/>
        <w:rPr>
          <w:sz w:val="24"/>
        </w:rPr>
      </w:pPr>
    </w:p>
    <w:p>
      <w:pPr>
        <w:widowControl/>
        <w:jc w:val="left"/>
        <w:rPr>
          <w:sz w:val="24"/>
          <w:szCs w:val="20"/>
        </w:rPr>
      </w:pPr>
      <w:r>
        <w:rPr>
          <w:sz w:val="24"/>
          <w:szCs w:val="20"/>
        </w:rPr>
        <w:br w:type="page"/>
      </w:r>
    </w:p>
    <w:p>
      <w:pPr>
        <w:tabs>
          <w:tab w:val="left" w:pos="360"/>
        </w:tabs>
        <w:snapToGrid w:val="0"/>
        <w:spacing w:line="360" w:lineRule="auto"/>
        <w:outlineLvl w:val="1"/>
        <w:rPr>
          <w:sz w:val="24"/>
        </w:rPr>
      </w:pPr>
      <w:r>
        <w:rPr>
          <w:sz w:val="24"/>
        </w:rPr>
        <w:t>4 磋商保证金凭证/交款单据</w:t>
      </w:r>
      <w:r>
        <w:rPr>
          <w:rFonts w:hint="eastAsia"/>
          <w:sz w:val="24"/>
        </w:rPr>
        <w:t>复印件</w:t>
      </w:r>
    </w:p>
    <w:p>
      <w:pPr>
        <w:widowControl/>
        <w:jc w:val="left"/>
        <w:rPr>
          <w:kern w:val="0"/>
          <w:sz w:val="24"/>
          <w:szCs w:val="20"/>
        </w:rPr>
      </w:pPr>
      <w:r>
        <w:rPr>
          <w:b/>
          <w:sz w:val="24"/>
        </w:rPr>
        <w:br w:type="page"/>
      </w:r>
    </w:p>
    <w:p>
      <w:pPr>
        <w:widowControl/>
        <w:jc w:val="left"/>
        <w:rPr>
          <w:b/>
          <w:sz w:val="24"/>
        </w:rPr>
      </w:pPr>
    </w:p>
    <w:p>
      <w:pPr>
        <w:tabs>
          <w:tab w:val="left" w:pos="360"/>
        </w:tabs>
        <w:snapToGrid w:val="0"/>
        <w:spacing w:line="360" w:lineRule="auto"/>
        <w:outlineLvl w:val="1"/>
        <w:rPr>
          <w:sz w:val="24"/>
        </w:rPr>
      </w:pPr>
      <w:bookmarkStart w:id="670" w:name="_Hlt520343000"/>
      <w:bookmarkEnd w:id="670"/>
      <w:bookmarkStart w:id="671" w:name="_Hlt520273711"/>
      <w:bookmarkEnd w:id="671"/>
      <w:bookmarkStart w:id="672" w:name="_Hlt520274065"/>
      <w:bookmarkEnd w:id="672"/>
      <w:bookmarkStart w:id="673" w:name="_Hlt520350918"/>
      <w:bookmarkEnd w:id="673"/>
      <w:bookmarkStart w:id="674" w:name="_Hlt520274121"/>
      <w:bookmarkEnd w:id="674"/>
      <w:bookmarkStart w:id="675" w:name="_Hlt520343392"/>
      <w:bookmarkEnd w:id="675"/>
      <w:bookmarkStart w:id="676" w:name="_Hlt520271212"/>
      <w:bookmarkEnd w:id="676"/>
      <w:bookmarkStart w:id="677" w:name="_Hlt520274393"/>
      <w:bookmarkEnd w:id="677"/>
      <w:bookmarkStart w:id="678" w:name="_Hlt520355504"/>
      <w:bookmarkEnd w:id="678"/>
      <w:bookmarkStart w:id="679" w:name="_Hlt520274407"/>
      <w:bookmarkEnd w:id="679"/>
      <w:bookmarkStart w:id="680" w:name="_Toc480942349"/>
      <w:bookmarkStart w:id="681" w:name="_Ref467988698"/>
      <w:bookmarkStart w:id="682" w:name="_Toc226965829"/>
      <w:bookmarkStart w:id="683" w:name="_Toc150480794"/>
      <w:bookmarkStart w:id="684" w:name="_Toc142311058"/>
      <w:bookmarkStart w:id="685" w:name="_Toc150774761"/>
      <w:bookmarkStart w:id="686" w:name="_Toc195842921"/>
      <w:bookmarkStart w:id="687" w:name="_Toc226309800"/>
      <w:bookmarkStart w:id="688" w:name="_Toc226337252"/>
      <w:bookmarkStart w:id="689" w:name="_Toc520356217"/>
      <w:bookmarkStart w:id="690" w:name="_Toc127151556"/>
      <w:bookmarkStart w:id="691" w:name="_Toc226965746"/>
      <w:r>
        <w:rPr>
          <w:sz w:val="24"/>
        </w:rPr>
        <w:t xml:space="preserve">5  </w:t>
      </w:r>
      <w:bookmarkEnd w:id="680"/>
      <w:bookmarkEnd w:id="681"/>
      <w:r>
        <w:rPr>
          <w:sz w:val="24"/>
        </w:rPr>
        <w:t>响应书</w:t>
      </w:r>
      <w:bookmarkEnd w:id="682"/>
      <w:bookmarkEnd w:id="683"/>
      <w:bookmarkEnd w:id="684"/>
      <w:bookmarkEnd w:id="685"/>
      <w:bookmarkEnd w:id="686"/>
      <w:bookmarkEnd w:id="687"/>
      <w:bookmarkEnd w:id="688"/>
      <w:bookmarkEnd w:id="689"/>
      <w:bookmarkEnd w:id="690"/>
      <w:bookmarkEnd w:id="691"/>
      <w:r>
        <w:rPr>
          <w:spacing w:val="-3"/>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响应书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（1）本响应有效期为自响应文件提交截止之日起</w:t>
      </w:r>
      <w:r>
        <w:rPr>
          <w:sz w:val="24"/>
        </w:rPr>
        <w:t>______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sz w:val="24"/>
        </w:rPr>
        <w:t>______</w:t>
      </w:r>
      <w:r>
        <w:rPr>
          <w:color w:val="000000"/>
          <w:sz w:val="24"/>
        </w:rPr>
        <w:t>。</w:t>
      </w:r>
    </w:p>
    <w:p>
      <w:pPr>
        <w:spacing w:line="360" w:lineRule="auto"/>
        <w:ind w:firstLine="480" w:firstLineChars="200"/>
        <w:rPr>
          <w:color w:val="000000"/>
          <w:sz w:val="24"/>
        </w:rPr>
      </w:pPr>
      <w:r>
        <w:rPr>
          <w:color w:val="000000"/>
          <w:sz w:val="24"/>
        </w:rPr>
        <w:t>与本磋商有关的一切正式往来信函请寄：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pPr>
        <w:tabs>
          <w:tab w:val="left" w:pos="5580"/>
        </w:tabs>
        <w:spacing w:line="360" w:lineRule="auto"/>
        <w:ind w:left="420"/>
        <w:jc w:val="left"/>
        <w:rPr>
          <w:color w:val="000000"/>
          <w:sz w:val="24"/>
          <w:szCs w:val="20"/>
        </w:rPr>
      </w:pPr>
    </w:p>
    <w:p>
      <w:pPr>
        <w:widowControl/>
        <w:jc w:val="left"/>
        <w:rPr>
          <w:b/>
          <w:color w:val="000000"/>
          <w:sz w:val="24"/>
          <w:szCs w:val="20"/>
        </w:rPr>
      </w:pPr>
      <w:r>
        <w:rPr>
          <w:b/>
          <w:color w:val="000000"/>
          <w:sz w:val="24"/>
          <w:szCs w:val="20"/>
        </w:rPr>
        <w:br w:type="page"/>
      </w:r>
    </w:p>
    <w:p>
      <w:pPr>
        <w:widowControl/>
        <w:jc w:val="left"/>
        <w:rPr>
          <w:color w:val="000000"/>
          <w:sz w:val="24"/>
        </w:rPr>
      </w:pPr>
      <w:bookmarkStart w:id="692" w:name="_Hlt520356243"/>
      <w:bookmarkEnd w:id="692"/>
      <w:bookmarkStart w:id="693" w:name="_Hlt520355938"/>
      <w:bookmarkEnd w:id="693"/>
      <w:bookmarkStart w:id="694" w:name="_Toc520356218"/>
      <w:bookmarkStart w:id="695" w:name="_Toc142311059"/>
      <w:bookmarkStart w:id="696" w:name="_Toc226309801"/>
      <w:bookmarkStart w:id="697" w:name="_Toc226965830"/>
      <w:bookmarkStart w:id="698" w:name="_Ref467988705"/>
      <w:bookmarkStart w:id="699" w:name="_Toc305158899"/>
      <w:bookmarkStart w:id="700" w:name="_Toc150480795"/>
      <w:bookmarkStart w:id="701" w:name="_Toc265228395"/>
      <w:bookmarkStart w:id="702" w:name="_Toc150774762"/>
      <w:bookmarkStart w:id="703" w:name="_Toc480942350"/>
      <w:bookmarkStart w:id="704" w:name="_Toc305158825"/>
      <w:bookmarkStart w:id="705" w:name="_Toc226337253"/>
      <w:bookmarkStart w:id="706" w:name="_Toc226965747"/>
      <w:bookmarkStart w:id="707" w:name="_Toc127151557"/>
      <w:bookmarkStart w:id="708" w:name="_Toc195842922"/>
      <w:bookmarkStart w:id="709" w:name="_Toc264969247"/>
    </w:p>
    <w:p>
      <w:pPr>
        <w:tabs>
          <w:tab w:val="left" w:pos="360"/>
        </w:tabs>
        <w:snapToGrid w:val="0"/>
        <w:spacing w:line="360" w:lineRule="auto"/>
        <w:outlineLvl w:val="1"/>
        <w:rPr>
          <w:sz w:val="24"/>
        </w:rPr>
      </w:pPr>
      <w:r>
        <w:rPr>
          <w:sz w:val="24"/>
        </w:rPr>
        <w:t>6  授权委托书</w:t>
      </w:r>
      <w:r>
        <w:rPr>
          <w:spacing w:val="-2"/>
          <w:sz w:val="24"/>
        </w:rPr>
        <w:t>（实质性格式）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w:t>
      </w:r>
      <w:r>
        <w:rPr>
          <w:rFonts w:hint="eastAsia"/>
          <w:color w:val="000000"/>
          <w:sz w:val="24"/>
          <w:szCs w:val="20"/>
        </w:rPr>
        <w:t>提</w:t>
      </w:r>
      <w:r>
        <w:rPr>
          <w:color w:val="000000"/>
          <w:sz w:val="24"/>
          <w:szCs w:val="20"/>
        </w:rPr>
        <w:t>交、撤回、修改____（项目名称）响应文件和处理有关事宜，其法律后果由我方承担。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委托期限：自本授权委托书签署之日起至响应有效期届满之日止。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pPr>
        <w:spacing w:line="360" w:lineRule="auto"/>
        <w:rPr>
          <w:color w:val="000000"/>
          <w:sz w:val="24"/>
          <w:szCs w:val="20"/>
        </w:rPr>
      </w:pPr>
      <w:r>
        <w:rPr>
          <w:color w:val="000000"/>
          <w:sz w:val="24"/>
          <w:szCs w:val="20"/>
        </w:rPr>
        <w:t>法定代表人（单位负责人）（签字或</w:t>
      </w:r>
      <w:r>
        <w:rPr>
          <w:rFonts w:hint="eastAsia"/>
          <w:color w:val="000000"/>
          <w:sz w:val="24"/>
          <w:szCs w:val="20"/>
        </w:rPr>
        <w:t>签章</w:t>
      </w:r>
      <w:r>
        <w:rPr>
          <w:color w:val="000000"/>
          <w:sz w:val="24"/>
          <w:szCs w:val="20"/>
        </w:rPr>
        <w:t>）：______________</w:t>
      </w:r>
    </w:p>
    <w:p>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或签章</w:t>
      </w:r>
      <w:r>
        <w:rPr>
          <w:color w:val="000000"/>
          <w:sz w:val="24"/>
        </w:rPr>
        <w:t>）：</w:t>
      </w:r>
      <w:r>
        <w:rPr>
          <w:color w:val="000000"/>
          <w:sz w:val="24"/>
          <w:szCs w:val="20"/>
        </w:rPr>
        <w:t>______________</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pPr>
        <w:tabs>
          <w:tab w:val="left" w:pos="5580"/>
        </w:tabs>
        <w:spacing w:line="360" w:lineRule="auto"/>
        <w:ind w:firstLine="480" w:firstLineChars="200"/>
        <w:rPr>
          <w:color w:val="000000"/>
          <w:sz w:val="24"/>
          <w:szCs w:val="20"/>
        </w:rPr>
      </w:pPr>
    </w:p>
    <w:p>
      <w:pPr>
        <w:pStyle w:val="2"/>
        <w:spacing w:before="79" w:line="219" w:lineRule="auto"/>
        <w:ind w:left="141"/>
      </w:pPr>
      <w:r>
        <w:rPr>
          <w:spacing w:val="-4"/>
        </w:rPr>
        <w:t>附：法定代表人及委托代理人身份证明文件</w:t>
      </w:r>
      <w:r>
        <w:rPr>
          <w:rFonts w:hint="eastAsia"/>
          <w:spacing w:val="-4"/>
        </w:rPr>
        <w:t>复印件</w:t>
      </w:r>
      <w:r>
        <w:rPr>
          <w:spacing w:val="-4"/>
        </w:rPr>
        <w:t>：</w:t>
      </w:r>
    </w:p>
    <w:p>
      <w:pPr>
        <w:tabs>
          <w:tab w:val="left" w:pos="5580"/>
        </w:tabs>
        <w:spacing w:line="360" w:lineRule="auto"/>
        <w:jc w:val="left"/>
        <w:rPr>
          <w:color w:val="000000"/>
          <w:sz w:val="24"/>
          <w:szCs w:val="20"/>
        </w:rPr>
      </w:pPr>
      <w:r>
        <w:rPr>
          <w:position w:val="-47"/>
        </w:rPr>
        <w:drawing>
          <wp:inline distT="0" distB="0" distL="114300" distR="114300">
            <wp:extent cx="5274310" cy="1503680"/>
            <wp:effectExtent l="0" t="0" r="13970" b="5080"/>
            <wp:docPr id="1" name="IM 178"/>
            <wp:cNvGraphicFramePr/>
            <a:graphic xmlns:a="http://schemas.openxmlformats.org/drawingml/2006/main">
              <a:graphicData uri="http://schemas.openxmlformats.org/drawingml/2006/picture">
                <pic:pic xmlns:pic="http://schemas.openxmlformats.org/drawingml/2006/picture">
                  <pic:nvPicPr>
                    <pic:cNvPr id="1" name="IM 178"/>
                    <pic:cNvPicPr/>
                  </pic:nvPicPr>
                  <pic:blipFill>
                    <a:blip r:embed="rId31"/>
                    <a:stretch>
                      <a:fillRect/>
                    </a:stretch>
                  </pic:blipFill>
                  <pic:spPr>
                    <a:xfrm>
                      <a:off x="0" y="0"/>
                      <a:ext cx="5274310" cy="1503680"/>
                    </a:xfrm>
                    <a:prstGeom prst="rect">
                      <a:avLst/>
                    </a:prstGeom>
                    <a:noFill/>
                    <a:ln>
                      <a:noFill/>
                    </a:ln>
                  </pic:spPr>
                </pic:pic>
              </a:graphicData>
            </a:graphic>
          </wp:inline>
        </w:drawing>
      </w:r>
    </w:p>
    <w:p>
      <w:pPr>
        <w:tabs>
          <w:tab w:val="left" w:pos="5580"/>
        </w:tabs>
        <w:spacing w:line="360" w:lineRule="auto"/>
        <w:jc w:val="left"/>
        <w:rPr>
          <w:color w:val="000000"/>
          <w:sz w:val="24"/>
          <w:szCs w:val="20"/>
        </w:rPr>
      </w:pPr>
      <w:r>
        <w:rPr>
          <w:color w:val="000000"/>
          <w:sz w:val="24"/>
          <w:szCs w:val="20"/>
        </w:rPr>
        <w:t>说明：</w:t>
      </w:r>
    </w:p>
    <w:p>
      <w:pPr>
        <w:widowControl/>
        <w:spacing w:line="360" w:lineRule="auto"/>
        <w:jc w:val="left"/>
        <w:rPr>
          <w:color w:val="000000"/>
          <w:sz w:val="24"/>
        </w:rPr>
      </w:pPr>
      <w:r>
        <w:rPr>
          <w:rFonts w:hint="eastAsia"/>
          <w:color w:val="000000"/>
          <w:sz w:val="24"/>
        </w:rPr>
        <w:t>1.若供应商为事业单位或其他组织或分支机构，则法定代表人(单位负责人)处的签署人可为单位负责人。</w:t>
      </w:r>
    </w:p>
    <w:p>
      <w:pPr>
        <w:widowControl/>
        <w:spacing w:line="360" w:lineRule="auto"/>
        <w:jc w:val="left"/>
        <w:rPr>
          <w:color w:val="000000"/>
          <w:sz w:val="24"/>
        </w:rPr>
      </w:pPr>
      <w:r>
        <w:rPr>
          <w:rFonts w:hint="eastAsia"/>
          <w:color w:val="000000"/>
          <w:sz w:val="24"/>
        </w:rPr>
        <w:t>2.若响应文件中签字之处均为法定代表人 (单位负责人) 本人签署，则可不提供本《授权委托书》，但须提供《法定代表人 (单位负责人)身份证明》: 否则，不需要提供《法定代表人 (单位负责人) 身份证明》。</w:t>
      </w:r>
    </w:p>
    <w:p>
      <w:pPr>
        <w:widowControl/>
        <w:spacing w:line="360" w:lineRule="auto"/>
        <w:jc w:val="left"/>
        <w:rPr>
          <w:color w:val="000000"/>
          <w:sz w:val="24"/>
        </w:rPr>
      </w:pPr>
      <w:r>
        <w:rPr>
          <w:rFonts w:hint="eastAsia"/>
          <w:color w:val="000000"/>
          <w:sz w:val="24"/>
        </w:rPr>
        <w:t>3.供应商为自然人的情形，可不提供本《授权委托书》</w:t>
      </w:r>
    </w:p>
    <w:p>
      <w:pPr>
        <w:widowControl/>
        <w:spacing w:line="360" w:lineRule="auto"/>
        <w:jc w:val="left"/>
        <w:rPr>
          <w:color w:val="000000"/>
          <w:sz w:val="30"/>
          <w:szCs w:val="30"/>
        </w:rPr>
      </w:pPr>
      <w:r>
        <w:rPr>
          <w:rFonts w:hint="eastAsia"/>
          <w:color w:val="000000"/>
          <w:sz w:val="24"/>
        </w:rPr>
        <w:t>4.供应商应随本《授权委托书》同时提供法定代表人 (单位负责人)及委托代理人的有效的身份证、护照等身份证明文件复印件。提供身份证的，应同时提供身份证</w:t>
      </w:r>
      <w:r>
        <w:rPr>
          <w:rFonts w:hint="eastAsia"/>
          <w:b/>
          <w:bCs/>
          <w:color w:val="000000"/>
          <w:sz w:val="24"/>
        </w:rPr>
        <w:t>双面</w:t>
      </w:r>
      <w:r>
        <w:rPr>
          <w:rFonts w:hint="eastAsia"/>
          <w:color w:val="000000"/>
          <w:sz w:val="24"/>
        </w:rPr>
        <w:t>复印件。</w:t>
      </w:r>
      <w:r>
        <w:rPr>
          <w:color w:val="000000"/>
          <w:sz w:val="30"/>
          <w:szCs w:val="30"/>
        </w:rPr>
        <w:br w:type="page"/>
      </w:r>
    </w:p>
    <w:p>
      <w:pPr>
        <w:autoSpaceDE w:val="0"/>
        <w:autoSpaceDN w:val="0"/>
        <w:adjustRightInd w:val="0"/>
        <w:spacing w:line="360" w:lineRule="auto"/>
        <w:jc w:val="center"/>
        <w:rPr>
          <w:b/>
          <w:color w:val="000000"/>
          <w:sz w:val="36"/>
          <w:szCs w:val="36"/>
        </w:rPr>
      </w:pPr>
      <w:r>
        <w:rPr>
          <w:rFonts w:hint="eastAsia"/>
          <w:b/>
          <w:color w:val="000000"/>
          <w:sz w:val="36"/>
          <w:szCs w:val="36"/>
        </w:rPr>
        <w:t>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pPr>
        <w:pStyle w:val="2"/>
        <w:tabs>
          <w:tab w:val="left" w:pos="2412"/>
          <w:tab w:val="left" w:pos="3883"/>
          <w:tab w:val="left" w:pos="5352"/>
          <w:tab w:val="left" w:pos="6821"/>
        </w:tabs>
        <w:kinsoku w:val="0"/>
        <w:overflowPunct w:val="0"/>
        <w:spacing w:line="335" w:lineRule="exact"/>
        <w:rPr>
          <w:rFonts w:ascii="Times New Roman" w:hAnsi="Times New Roman"/>
        </w:rPr>
      </w:pPr>
    </w:p>
    <w:p>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pPr>
        <w:pStyle w:val="2"/>
        <w:tabs>
          <w:tab w:val="left" w:pos="2412"/>
          <w:tab w:val="left" w:pos="3883"/>
          <w:tab w:val="left" w:pos="5352"/>
          <w:tab w:val="left" w:pos="6821"/>
        </w:tabs>
        <w:kinsoku w:val="0"/>
        <w:overflowPunct w:val="0"/>
        <w:spacing w:line="335" w:lineRule="exact"/>
        <w:rPr>
          <w:rFonts w:ascii="Times New Roman" w:hAnsi="Times New Roman"/>
        </w:rPr>
      </w:pPr>
    </w:p>
    <w:p>
      <w:pPr>
        <w:pStyle w:val="2"/>
        <w:tabs>
          <w:tab w:val="left" w:pos="2412"/>
          <w:tab w:val="left" w:pos="3883"/>
          <w:tab w:val="left" w:pos="5352"/>
          <w:tab w:val="left" w:pos="6821"/>
        </w:tabs>
        <w:kinsoku w:val="0"/>
        <w:overflowPunct w:val="0"/>
        <w:spacing w:line="335" w:lineRule="exact"/>
        <w:rPr>
          <w:rFonts w:ascii="Times New Roman" w:hAnsi="Times New Roman"/>
        </w:rPr>
      </w:pPr>
    </w:p>
    <w:p>
      <w:pPr>
        <w:pStyle w:val="2"/>
        <w:tabs>
          <w:tab w:val="left" w:pos="2412"/>
          <w:tab w:val="left" w:pos="3883"/>
          <w:tab w:val="left" w:pos="5352"/>
          <w:tab w:val="left" w:pos="6821"/>
        </w:tabs>
        <w:kinsoku w:val="0"/>
        <w:overflowPunct w:val="0"/>
        <w:spacing w:line="335" w:lineRule="exact"/>
        <w:rPr>
          <w:rFonts w:ascii="Times New Roman" w:hAnsi="Times New Roman"/>
        </w:rPr>
      </w:pPr>
    </w:p>
    <w:p>
      <w:pPr>
        <w:pStyle w:val="2"/>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hint="eastAsia" w:ascii="Times New Roman" w:hAnsi="Times New Roman"/>
        </w:rPr>
        <w:t>）身份证、护照等身份证明文件复印件：</w:t>
      </w:r>
    </w:p>
    <w:p>
      <w:pPr>
        <w:pStyle w:val="2"/>
        <w:kinsoku w:val="0"/>
        <w:overflowPunct w:val="0"/>
        <w:spacing w:line="583" w:lineRule="auto"/>
        <w:ind w:right="-46"/>
        <w:rPr>
          <w:rFonts w:ascii="Times New Roman" w:hAnsi="Times New Roman"/>
          <w:spacing w:val="-3"/>
        </w:rPr>
      </w:pPr>
      <w:r>
        <w:rPr>
          <w:position w:val="-47"/>
        </w:rPr>
        <w:drawing>
          <wp:inline distT="0" distB="0" distL="114300" distR="114300">
            <wp:extent cx="5274310" cy="1503680"/>
            <wp:effectExtent l="0" t="0" r="13970" b="508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31"/>
                    <a:stretch>
                      <a:fillRect/>
                    </a:stretch>
                  </pic:blipFill>
                  <pic:spPr>
                    <a:xfrm>
                      <a:off x="0" y="0"/>
                      <a:ext cx="5274310" cy="1503680"/>
                    </a:xfrm>
                    <a:prstGeom prst="rect">
                      <a:avLst/>
                    </a:prstGeom>
                    <a:noFill/>
                    <a:ln>
                      <a:noFill/>
                    </a:ln>
                  </pic:spPr>
                </pic:pic>
              </a:graphicData>
            </a:graphic>
          </wp:inline>
        </w:drawing>
      </w:r>
    </w:p>
    <w:p>
      <w:pPr>
        <w:pStyle w:val="2"/>
        <w:kinsoku w:val="0"/>
        <w:overflowPunct w:val="0"/>
        <w:spacing w:line="583" w:lineRule="auto"/>
        <w:ind w:right="4305"/>
        <w:rPr>
          <w:rFonts w:ascii="Times New Roman" w:hAnsi="Times New Roman"/>
          <w:spacing w:val="-3"/>
        </w:rPr>
      </w:pPr>
    </w:p>
    <w:p>
      <w:pPr>
        <w:pStyle w:val="2"/>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或签章</w:t>
      </w:r>
      <w:r>
        <w:rPr>
          <w:spacing w:val="-3"/>
          <w:sz w:val="24"/>
        </w:rPr>
        <w:t>）：</w:t>
      </w:r>
      <w:r>
        <w:rPr>
          <w:sz w:val="24"/>
        </w:rPr>
        <w:t>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pPr>
      <w:r>
        <w:rPr>
          <w:sz w:val="24"/>
        </w:rPr>
        <w:t>7  报价一览表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pPr>
        <w:spacing w:line="360" w:lineRule="exact"/>
        <w:jc w:val="center"/>
        <w:rPr>
          <w:b/>
          <w:color w:val="000000"/>
          <w:sz w:val="36"/>
          <w:szCs w:val="36"/>
        </w:rPr>
      </w:pPr>
      <w:bookmarkStart w:id="710" w:name="_Toc226309802"/>
      <w:bookmarkStart w:id="711" w:name="_Toc226965831"/>
      <w:bookmarkStart w:id="712" w:name="_Toc265228396"/>
      <w:bookmarkStart w:id="713" w:name="_Toc226965748"/>
      <w:bookmarkStart w:id="714" w:name="_Toc264969248"/>
      <w:bookmarkStart w:id="715" w:name="_Toc226337254"/>
      <w:bookmarkStart w:id="716" w:name="_Toc164608672"/>
      <w:bookmarkStart w:id="717" w:name="_Toc305158900"/>
      <w:bookmarkStart w:id="718" w:name="_Toc195842923"/>
      <w:bookmarkStart w:id="719" w:name="_Toc305158826"/>
      <w:bookmarkStart w:id="720" w:name="_Toc164608827"/>
      <w:r>
        <w:rPr>
          <w:rFonts w:hint="eastAsia"/>
          <w:b/>
          <w:color w:val="000000"/>
          <w:sz w:val="36"/>
          <w:szCs w:val="36"/>
        </w:rPr>
        <w:t>报价一览表</w:t>
      </w:r>
      <w:bookmarkEnd w:id="710"/>
      <w:bookmarkEnd w:id="711"/>
      <w:bookmarkEnd w:id="712"/>
      <w:bookmarkEnd w:id="713"/>
      <w:bookmarkEnd w:id="714"/>
      <w:bookmarkEnd w:id="715"/>
      <w:bookmarkEnd w:id="716"/>
      <w:bookmarkEnd w:id="717"/>
      <w:bookmarkEnd w:id="718"/>
      <w:bookmarkEnd w:id="719"/>
      <w:bookmarkEnd w:id="720"/>
    </w:p>
    <w:p>
      <w:pPr>
        <w:tabs>
          <w:tab w:val="left" w:pos="1800"/>
          <w:tab w:val="left" w:pos="5580"/>
        </w:tabs>
        <w:spacing w:line="360" w:lineRule="auto"/>
        <w:jc w:val="left"/>
        <w:rPr>
          <w:color w:val="000000"/>
          <w:sz w:val="24"/>
        </w:rPr>
      </w:pPr>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w:t>
      </w:r>
      <w:r>
        <w:rPr>
          <w:sz w:val="24"/>
        </w:rPr>
        <w:t>___________</w:t>
      </w:r>
      <w:r>
        <w:rPr>
          <w:color w:val="000000"/>
          <w:sz w:val="24"/>
        </w:rPr>
        <w:t xml:space="preserve">     项目名称：</w:t>
      </w:r>
      <w:r>
        <w:rPr>
          <w:sz w:val="24"/>
        </w:rPr>
        <w:t>___________</w:t>
      </w:r>
    </w:p>
    <w:tbl>
      <w:tblPr>
        <w:tblStyle w:val="45"/>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tabs>
          <w:tab w:val="left" w:pos="5580"/>
        </w:tabs>
        <w:ind w:firstLine="480" w:firstLineChars="200"/>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autoSpaceDE w:val="0"/>
        <w:autoSpaceDN w:val="0"/>
        <w:adjustRightInd w:val="0"/>
        <w:snapToGrid w:val="0"/>
        <w:spacing w:before="25" w:after="25" w:line="360" w:lineRule="auto"/>
        <w:rPr>
          <w:color w:val="000000"/>
          <w:sz w:val="24"/>
          <w:szCs w:val="20"/>
        </w:rPr>
        <w:sectPr>
          <w:headerReference r:id="rId24" w:type="first"/>
          <w:footerReference r:id="rId26" w:type="first"/>
          <w:headerReference r:id="rId23" w:type="even"/>
          <w:footerReference r:id="rId25" w:type="even"/>
          <w:pgSz w:w="11907" w:h="16840"/>
          <w:pgMar w:top="1418" w:right="1134" w:bottom="1418" w:left="1701" w:header="851" w:footer="851" w:gutter="0"/>
          <w:cols w:space="720" w:num="1"/>
          <w:docGrid w:linePitch="462" w:charSpace="0"/>
        </w:sectPr>
      </w:pPr>
      <w:r>
        <w:rPr>
          <w:color w:val="000000"/>
          <w:sz w:val="24"/>
          <w:szCs w:val="20"/>
        </w:rPr>
        <w:t xml:space="preserve">  </w:t>
      </w:r>
    </w:p>
    <w:p>
      <w:pPr>
        <w:widowControl/>
        <w:jc w:val="left"/>
        <w:rPr>
          <w:sz w:val="24"/>
        </w:rPr>
      </w:pPr>
      <w:r>
        <w:rPr>
          <w:sz w:val="24"/>
        </w:rPr>
        <w:t>8  分项报价表</w:t>
      </w:r>
    </w:p>
    <w:p>
      <w:pPr>
        <w:spacing w:line="360" w:lineRule="exact"/>
        <w:jc w:val="center"/>
        <w:rPr>
          <w:b/>
          <w:color w:val="000000"/>
          <w:sz w:val="36"/>
          <w:szCs w:val="36"/>
        </w:rPr>
      </w:pPr>
      <w:r>
        <w:rPr>
          <w:rFonts w:hint="eastAsia"/>
          <w:b/>
          <w:color w:val="000000"/>
          <w:sz w:val="36"/>
          <w:szCs w:val="36"/>
        </w:rPr>
        <w:t>分项报价表</w:t>
      </w:r>
    </w:p>
    <w:p>
      <w:pPr>
        <w:adjustRightInd w:val="0"/>
        <w:snapToGrid w:val="0"/>
        <w:spacing w:before="240" w:beforeLines="100" w:after="240" w:afterLines="100"/>
        <w:jc w:val="left"/>
        <w:rPr>
          <w:b/>
          <w:i/>
          <w:color w:val="FF0000"/>
          <w:sz w:val="24"/>
        </w:rPr>
      </w:pPr>
    </w:p>
    <w:p>
      <w:pPr>
        <w:tabs>
          <w:tab w:val="left" w:pos="1800"/>
          <w:tab w:val="left" w:pos="5580"/>
        </w:tabs>
        <w:rPr>
          <w:color w:val="000000"/>
          <w:sz w:val="24"/>
        </w:rPr>
      </w:pPr>
      <w:r>
        <w:rPr>
          <w:color w:val="000000"/>
          <w:sz w:val="24"/>
        </w:rPr>
        <w:t>项目编号/包号：_________ 项目名称：_________报价单位：人民币元</w:t>
      </w:r>
    </w:p>
    <w:tbl>
      <w:tblPr>
        <w:tblStyle w:val="4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2932"/>
        <w:gridCol w:w="1346"/>
        <w:gridCol w:w="1348"/>
        <w:gridCol w:w="1344"/>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5" w:type="pct"/>
            <w:vAlign w:val="center"/>
          </w:tcPr>
          <w:p>
            <w:pPr>
              <w:adjustRightInd w:val="0"/>
              <w:snapToGrid w:val="0"/>
              <w:jc w:val="left"/>
              <w:rPr>
                <w:b/>
                <w:color w:val="000000"/>
                <w:sz w:val="24"/>
              </w:rPr>
            </w:pPr>
            <w:r>
              <w:rPr>
                <w:b/>
                <w:color w:val="000000"/>
                <w:sz w:val="24"/>
              </w:rPr>
              <w:t>序号</w:t>
            </w:r>
          </w:p>
        </w:tc>
        <w:tc>
          <w:tcPr>
            <w:tcW w:w="1579" w:type="pct"/>
            <w:vAlign w:val="center"/>
          </w:tcPr>
          <w:p>
            <w:pPr>
              <w:adjustRightInd w:val="0"/>
              <w:snapToGrid w:val="0"/>
              <w:jc w:val="left"/>
              <w:rPr>
                <w:b/>
                <w:color w:val="000000"/>
                <w:sz w:val="24"/>
              </w:rPr>
            </w:pPr>
            <w:r>
              <w:rPr>
                <w:b/>
                <w:color w:val="000000"/>
                <w:sz w:val="24"/>
              </w:rPr>
              <w:t>分项名称</w:t>
            </w:r>
          </w:p>
        </w:tc>
        <w:tc>
          <w:tcPr>
            <w:tcW w:w="725" w:type="pct"/>
            <w:vAlign w:val="center"/>
          </w:tcPr>
          <w:p>
            <w:pPr>
              <w:adjustRightInd w:val="0"/>
              <w:snapToGrid w:val="0"/>
              <w:jc w:val="left"/>
              <w:rPr>
                <w:b/>
                <w:color w:val="000000"/>
                <w:sz w:val="24"/>
              </w:rPr>
            </w:pPr>
            <w:r>
              <w:rPr>
                <w:b/>
                <w:color w:val="000000"/>
                <w:sz w:val="24"/>
              </w:rPr>
              <w:t>单价（元）</w:t>
            </w:r>
          </w:p>
        </w:tc>
        <w:tc>
          <w:tcPr>
            <w:tcW w:w="724" w:type="pct"/>
            <w:vAlign w:val="center"/>
          </w:tcPr>
          <w:p>
            <w:pPr>
              <w:adjustRightInd w:val="0"/>
              <w:snapToGrid w:val="0"/>
              <w:jc w:val="center"/>
              <w:rPr>
                <w:b/>
                <w:color w:val="000000"/>
                <w:sz w:val="24"/>
              </w:rPr>
            </w:pPr>
            <w:r>
              <w:rPr>
                <w:rFonts w:hint="eastAsia"/>
                <w:b/>
                <w:color w:val="000000"/>
                <w:sz w:val="24"/>
              </w:rPr>
              <w:t>数量</w:t>
            </w:r>
          </w:p>
        </w:tc>
        <w:tc>
          <w:tcPr>
            <w:tcW w:w="724" w:type="pct"/>
            <w:vAlign w:val="center"/>
          </w:tcPr>
          <w:p>
            <w:pPr>
              <w:adjustRightInd w:val="0"/>
              <w:snapToGrid w:val="0"/>
              <w:jc w:val="left"/>
              <w:rPr>
                <w:b/>
                <w:color w:val="000000"/>
                <w:sz w:val="24"/>
              </w:rPr>
            </w:pPr>
            <w:r>
              <w:rPr>
                <w:b/>
                <w:color w:val="000000"/>
                <w:sz w:val="24"/>
              </w:rPr>
              <w:t>合价（元）</w:t>
            </w:r>
          </w:p>
        </w:tc>
        <w:tc>
          <w:tcPr>
            <w:tcW w:w="920"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5" w:type="pct"/>
            <w:vAlign w:val="center"/>
          </w:tcPr>
          <w:p>
            <w:pPr>
              <w:adjustRightInd w:val="0"/>
              <w:snapToGrid w:val="0"/>
              <w:jc w:val="center"/>
              <w:rPr>
                <w:color w:val="000000"/>
                <w:sz w:val="24"/>
              </w:rPr>
            </w:pPr>
            <w:r>
              <w:rPr>
                <w:color w:val="000000"/>
                <w:sz w:val="24"/>
              </w:rPr>
              <w:t>1</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5" w:type="pct"/>
            <w:vAlign w:val="center"/>
          </w:tcPr>
          <w:p>
            <w:pPr>
              <w:adjustRightInd w:val="0"/>
              <w:snapToGrid w:val="0"/>
              <w:jc w:val="center"/>
              <w:rPr>
                <w:color w:val="000000"/>
                <w:sz w:val="24"/>
              </w:rPr>
            </w:pPr>
            <w:r>
              <w:rPr>
                <w:color w:val="000000"/>
                <w:sz w:val="24"/>
              </w:rPr>
              <w:t>2</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5" w:type="pct"/>
            <w:vAlign w:val="center"/>
          </w:tcPr>
          <w:p>
            <w:pPr>
              <w:adjustRightInd w:val="0"/>
              <w:snapToGrid w:val="0"/>
              <w:jc w:val="center"/>
              <w:rPr>
                <w:color w:val="000000"/>
                <w:sz w:val="24"/>
              </w:rPr>
            </w:pPr>
            <w:r>
              <w:rPr>
                <w:color w:val="000000"/>
                <w:sz w:val="24"/>
              </w:rPr>
              <w:t>3</w:t>
            </w:r>
          </w:p>
        </w:tc>
        <w:tc>
          <w:tcPr>
            <w:tcW w:w="1579" w:type="pct"/>
            <w:vAlign w:val="center"/>
          </w:tcPr>
          <w:p>
            <w:pPr>
              <w:adjustRightInd w:val="0"/>
              <w:snapToGrid w:val="0"/>
              <w:jc w:val="left"/>
              <w:rPr>
                <w:color w:val="000000"/>
                <w:sz w:val="24"/>
              </w:rPr>
            </w:pPr>
            <w:r>
              <w:rPr>
                <w:color w:val="000000"/>
                <w:sz w:val="24"/>
              </w:rPr>
              <w:t>…</w:t>
            </w: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5" w:type="pct"/>
            <w:gridSpan w:val="4"/>
            <w:vAlign w:val="center"/>
          </w:tcPr>
          <w:p>
            <w:pPr>
              <w:adjustRightInd w:val="0"/>
              <w:snapToGrid w:val="0"/>
              <w:jc w:val="right"/>
              <w:rPr>
                <w:color w:val="000000"/>
                <w:sz w:val="24"/>
              </w:rPr>
            </w:pPr>
            <w:r>
              <w:rPr>
                <w:color w:val="000000"/>
                <w:sz w:val="24"/>
              </w:rPr>
              <w:t>总价（元）</w:t>
            </w: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autoSpaceDE w:val="0"/>
        <w:autoSpaceDN w:val="0"/>
        <w:adjustRightInd w:val="0"/>
        <w:snapToGrid w:val="0"/>
        <w:spacing w:before="25" w:after="25"/>
        <w:ind w:firstLine="480" w:firstLineChars="200"/>
        <w:rPr>
          <w:color w:val="000000"/>
          <w:sz w:val="24"/>
        </w:rPr>
      </w:pPr>
      <w:r>
        <w:rPr>
          <w:rFonts w:hint="eastAsia"/>
          <w:color w:val="000000"/>
          <w:sz w:val="24"/>
        </w:rPr>
        <w:t>2.上述各项的详细规格（如有)，可另页描述。</w:t>
      </w:r>
    </w:p>
    <w:p>
      <w:pPr>
        <w:autoSpaceDE w:val="0"/>
        <w:autoSpaceDN w:val="0"/>
        <w:adjustRightInd w:val="0"/>
        <w:snapToGrid w:val="0"/>
        <w:spacing w:before="25" w:after="25"/>
        <w:ind w:firstLine="480" w:firstLineChars="200"/>
        <w:rPr>
          <w:color w:val="000000"/>
          <w:sz w:val="24"/>
        </w:rPr>
      </w:pPr>
    </w:p>
    <w:p>
      <w:pPr>
        <w:autoSpaceDE w:val="0"/>
        <w:autoSpaceDN w:val="0"/>
        <w:adjustRightInd w:val="0"/>
        <w:snapToGrid w:val="0"/>
        <w:spacing w:before="25" w:after="25" w:line="360" w:lineRule="auto"/>
        <w:rPr>
          <w:color w:val="000000"/>
          <w:sz w:val="24"/>
        </w:rPr>
      </w:pPr>
    </w:p>
    <w:p>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bookmarkStart w:id="721" w:name="_Toc305158904"/>
      <w:bookmarkStart w:id="722" w:name="_Toc305158830"/>
      <w:bookmarkStart w:id="723" w:name="_Toc226337258"/>
      <w:bookmarkStart w:id="724" w:name="_Toc150480798"/>
      <w:bookmarkStart w:id="725" w:name="_Toc226965752"/>
      <w:bookmarkStart w:id="726" w:name="_Toc226965835"/>
      <w:bookmarkStart w:id="727" w:name="_Toc127151562"/>
      <w:bookmarkStart w:id="728" w:name="_Toc142311062"/>
      <w:bookmarkStart w:id="729" w:name="_Toc265228400"/>
      <w:bookmarkStart w:id="730" w:name="_Toc150774765"/>
      <w:bookmarkStart w:id="731" w:name="_Toc226309806"/>
      <w:bookmarkStart w:id="732" w:name="_Toc195842927"/>
      <w:bookmarkStart w:id="733" w:name="_Toc264969252"/>
      <w:bookmarkStart w:id="734" w:name="_Toc127151561"/>
      <w:bookmarkStart w:id="735" w:name="_Toc150480797"/>
      <w:bookmarkStart w:id="736" w:name="_Toc305158829"/>
      <w:bookmarkStart w:id="737" w:name="_Toc264969251"/>
      <w:bookmarkStart w:id="738" w:name="_Toc195842926"/>
      <w:bookmarkStart w:id="739" w:name="_Toc226965751"/>
      <w:bookmarkStart w:id="740" w:name="_Toc142311061"/>
      <w:bookmarkStart w:id="741" w:name="_Toc150774764"/>
      <w:bookmarkStart w:id="742" w:name="_Toc305158903"/>
      <w:bookmarkStart w:id="743" w:name="_Toc226337257"/>
      <w:bookmarkStart w:id="744" w:name="_Toc226965834"/>
      <w:bookmarkStart w:id="745" w:name="_Toc265228399"/>
      <w:bookmarkStart w:id="746" w:name="_Toc226309805"/>
      <w:r>
        <w:rPr>
          <w:color w:val="000000"/>
          <w:sz w:val="24"/>
          <w:szCs w:val="20"/>
        </w:rPr>
        <w:br w:type="page"/>
      </w:r>
      <w:r>
        <w:rPr>
          <w:sz w:val="24"/>
        </w:rPr>
        <w:t>9  合同条款偏离表</w:t>
      </w:r>
      <w:bookmarkEnd w:id="721"/>
      <w:bookmarkEnd w:id="722"/>
      <w:bookmarkEnd w:id="723"/>
      <w:bookmarkEnd w:id="724"/>
      <w:bookmarkEnd w:id="725"/>
      <w:bookmarkEnd w:id="726"/>
      <w:bookmarkEnd w:id="727"/>
      <w:bookmarkEnd w:id="728"/>
      <w:bookmarkEnd w:id="729"/>
      <w:bookmarkEnd w:id="730"/>
      <w:bookmarkEnd w:id="731"/>
      <w:bookmarkEnd w:id="732"/>
      <w:bookmarkEnd w:id="733"/>
      <w:r>
        <w:rPr>
          <w:spacing w:val="-2"/>
          <w:sz w:val="24"/>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575"/>
        <w:gridCol w:w="1695"/>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r>
              <w:rPr>
                <w:color w:val="000000"/>
                <w:sz w:val="24"/>
              </w:rPr>
              <w:t>序号</w:t>
            </w:r>
          </w:p>
        </w:tc>
        <w:tc>
          <w:tcPr>
            <w:tcW w:w="1575" w:type="dxa"/>
            <w:vAlign w:val="center"/>
          </w:tcPr>
          <w:p>
            <w:pPr>
              <w:adjustRightInd w:val="0"/>
              <w:snapToGrid w:val="0"/>
              <w:jc w:val="center"/>
              <w:rPr>
                <w:color w:val="000000"/>
                <w:sz w:val="24"/>
              </w:rPr>
            </w:pPr>
            <w:r>
              <w:rPr>
                <w:color w:val="000000"/>
                <w:sz w:val="24"/>
                <w:szCs w:val="21"/>
              </w:rPr>
              <w:t>竞争性磋商文件</w:t>
            </w:r>
            <w:r>
              <w:rPr>
                <w:color w:val="000000"/>
                <w:sz w:val="24"/>
              </w:rPr>
              <w:t>条目号（页码）</w:t>
            </w:r>
          </w:p>
        </w:tc>
        <w:tc>
          <w:tcPr>
            <w:tcW w:w="1695" w:type="dxa"/>
            <w:vAlign w:val="center"/>
          </w:tcPr>
          <w:p>
            <w:pPr>
              <w:adjustRightInd w:val="0"/>
              <w:snapToGrid w:val="0"/>
              <w:jc w:val="center"/>
              <w:rPr>
                <w:color w:val="000000"/>
                <w:sz w:val="24"/>
              </w:rPr>
            </w:pPr>
            <w:r>
              <w:rPr>
                <w:color w:val="000000"/>
                <w:sz w:val="24"/>
                <w:szCs w:val="21"/>
              </w:rPr>
              <w:t>竞争性磋商文件</w:t>
            </w:r>
            <w:r>
              <w:rPr>
                <w:color w:val="000000"/>
                <w:sz w:val="24"/>
              </w:rPr>
              <w:t>要求</w:t>
            </w:r>
          </w:p>
        </w:tc>
        <w:tc>
          <w:tcPr>
            <w:tcW w:w="1981" w:type="dxa"/>
            <w:vAlign w:val="center"/>
          </w:tcPr>
          <w:p>
            <w:pPr>
              <w:adjustRightInd w:val="0"/>
              <w:snapToGrid w:val="0"/>
              <w:jc w:val="center"/>
              <w:rPr>
                <w:color w:val="000000"/>
                <w:sz w:val="24"/>
              </w:rPr>
            </w:pPr>
            <w:r>
              <w:rPr>
                <w:color w:val="000000"/>
                <w:sz w:val="24"/>
              </w:rPr>
              <w:t>响应文件内容</w:t>
            </w:r>
          </w:p>
        </w:tc>
        <w:tc>
          <w:tcPr>
            <w:tcW w:w="2427" w:type="dxa"/>
            <w:vAlign w:val="center"/>
          </w:tcPr>
          <w:p>
            <w:pPr>
              <w:adjustRightInd w:val="0"/>
              <w:snapToGrid w:val="0"/>
              <w:jc w:val="center"/>
              <w:rPr>
                <w:color w:val="000000"/>
                <w:sz w:val="24"/>
              </w:rPr>
            </w:pPr>
            <w:r>
              <w:rPr>
                <w:color w:val="000000"/>
                <w:sz w:val="24"/>
              </w:rPr>
              <w:t>偏离情况</w:t>
            </w:r>
          </w:p>
        </w:tc>
        <w:tc>
          <w:tcPr>
            <w:tcW w:w="783"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rPr>
                <w:color w:val="000000"/>
                <w:sz w:val="24"/>
              </w:rPr>
            </w:pPr>
            <w:r>
              <w:rPr>
                <w:rFonts w:hint="eastAsia"/>
                <w:b/>
                <w:bCs/>
                <w:color w:val="000000"/>
                <w:sz w:val="24"/>
              </w:rPr>
              <w:t>对本项目合同条款的偏离情况</w:t>
            </w:r>
            <w:r>
              <w:rPr>
                <w:rFonts w:hint="eastAsia"/>
                <w:color w:val="000000"/>
                <w:sz w:val="24"/>
              </w:rPr>
              <w:t>（应进行选择，未选择</w:t>
            </w:r>
            <w:r>
              <w:rPr>
                <w:rFonts w:hint="eastAsia"/>
                <w:b/>
                <w:bCs/>
                <w:color w:val="000000"/>
                <w:sz w:val="24"/>
              </w:rPr>
              <w:t>响应无效</w:t>
            </w:r>
            <w:r>
              <w:rPr>
                <w:rFonts w:hint="eastAsia"/>
                <w:color w:val="000000"/>
                <w:sz w:val="24"/>
              </w:rPr>
              <w:t>）：</w:t>
            </w:r>
          </w:p>
          <w:p>
            <w:pPr>
              <w:adjustRightInd w:val="0"/>
              <w:snapToGrid w:val="0"/>
              <w:rPr>
                <w:color w:val="000000"/>
                <w:sz w:val="24"/>
              </w:rPr>
            </w:pPr>
            <w:r>
              <w:t>□</w:t>
            </w:r>
            <w:r>
              <w:rPr>
                <w:rFonts w:hint="eastAsia"/>
                <w:b/>
                <w:bCs/>
                <w:color w:val="000000"/>
                <w:sz w:val="24"/>
              </w:rPr>
              <w:t>无偏离</w:t>
            </w:r>
            <w:r>
              <w:rPr>
                <w:rFonts w:hint="eastAsia"/>
                <w:color w:val="000000"/>
                <w:sz w:val="24"/>
              </w:rPr>
              <w:t>（如无偏离，仅选择无偏离即可；无偏离即为对合同条款中的所有要求，均视作供应商已对之理解和响应。）</w:t>
            </w:r>
          </w:p>
          <w:p>
            <w:pPr>
              <w:adjustRightInd w:val="0"/>
              <w:snapToGrid w:val="0"/>
              <w:rPr>
                <w:color w:val="000000"/>
                <w:sz w:val="24"/>
              </w:rPr>
            </w:pPr>
            <w:r>
              <w:t>□</w:t>
            </w:r>
            <w:r>
              <w:rPr>
                <w:rFonts w:hint="eastAsia"/>
                <w:b/>
                <w:bCs/>
                <w:color w:val="000000"/>
                <w:sz w:val="24"/>
              </w:rPr>
              <w:t>有偏离</w:t>
            </w:r>
            <w:r>
              <w:rPr>
                <w:rFonts w:hint="eastAsia"/>
                <w:color w:val="000000"/>
                <w:sz w:val="24"/>
              </w:rPr>
              <w:t>（如有偏离，则应在本表中对负偏离项逐一列明，否则</w:t>
            </w:r>
            <w:r>
              <w:rPr>
                <w:rFonts w:hint="eastAsia"/>
                <w:b/>
                <w:bCs/>
                <w:color w:val="000000"/>
                <w:sz w:val="24"/>
              </w:rPr>
              <w:t>响应无效</w:t>
            </w:r>
            <w:r>
              <w:rPr>
                <w:rFonts w:hint="eastAsia"/>
                <w:color w:val="000000"/>
                <w:sz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rFonts w:hint="eastAsia"/>
          <w:color w:val="000000"/>
          <w:sz w:val="24"/>
        </w:rPr>
        <w:t>注：</w:t>
      </w:r>
      <w:r>
        <w:rPr>
          <w:rFonts w:hint="eastAsia"/>
          <w:sz w:val="24"/>
        </w:rPr>
        <w:t>“偏离情况”列应</w:t>
      </w:r>
      <w:r>
        <w:rPr>
          <w:rFonts w:hint="eastAsia"/>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r>
        <w:rPr>
          <w:color w:val="000000"/>
          <w:sz w:val="24"/>
          <w:szCs w:val="20"/>
        </w:rPr>
        <w:br w:type="page"/>
      </w:r>
      <w:r>
        <w:rPr>
          <w:sz w:val="24"/>
        </w:rPr>
        <w:t xml:space="preserve">10  </w:t>
      </w:r>
      <w:bookmarkEnd w:id="734"/>
      <w:bookmarkEnd w:id="735"/>
      <w:bookmarkEnd w:id="736"/>
      <w:bookmarkEnd w:id="737"/>
      <w:bookmarkEnd w:id="738"/>
      <w:bookmarkEnd w:id="739"/>
      <w:bookmarkEnd w:id="740"/>
      <w:bookmarkEnd w:id="741"/>
      <w:bookmarkEnd w:id="742"/>
      <w:bookmarkEnd w:id="743"/>
      <w:bookmarkEnd w:id="744"/>
      <w:bookmarkEnd w:id="745"/>
      <w:bookmarkEnd w:id="746"/>
      <w:r>
        <w:rPr>
          <w:sz w:val="24"/>
        </w:rPr>
        <w:t>采购需求偏离表</w:t>
      </w:r>
      <w:r>
        <w:rPr>
          <w:spacing w:val="-1"/>
          <w:sz w:val="24"/>
        </w:rPr>
        <w:t>（实质性格式）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竞争性磋商文件条目号(页码)</w:t>
            </w:r>
          </w:p>
        </w:tc>
        <w:tc>
          <w:tcPr>
            <w:tcW w:w="2384" w:type="dxa"/>
            <w:vAlign w:val="center"/>
          </w:tcPr>
          <w:p>
            <w:pPr>
              <w:adjustRightInd w:val="0"/>
              <w:snapToGrid w:val="0"/>
              <w:jc w:val="center"/>
              <w:rPr>
                <w:color w:val="000000"/>
                <w:sz w:val="24"/>
              </w:rPr>
            </w:pPr>
            <w:r>
              <w:rPr>
                <w:color w:val="000000"/>
                <w:sz w:val="24"/>
              </w:rPr>
              <w:t>竞争性磋商文件要求</w:t>
            </w:r>
          </w:p>
        </w:tc>
        <w:tc>
          <w:tcPr>
            <w:tcW w:w="2126" w:type="dxa"/>
            <w:vAlign w:val="center"/>
          </w:tcPr>
          <w:p>
            <w:pPr>
              <w:adjustRightInd w:val="0"/>
              <w:snapToGrid w:val="0"/>
              <w:jc w:val="center"/>
              <w:rPr>
                <w:color w:val="000000"/>
                <w:sz w:val="24"/>
              </w:rPr>
            </w:pPr>
            <w:r>
              <w:rPr>
                <w:color w:val="000000"/>
                <w:sz w:val="24"/>
              </w:rPr>
              <w:t>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rFonts w:hint="eastAsia"/>
          <w:sz w:val="24"/>
        </w:rPr>
        <w:t>，</w:t>
      </w:r>
      <w:r>
        <w:rPr>
          <w:b/>
          <w:sz w:val="24"/>
        </w:rPr>
        <w:t>响应无效</w:t>
      </w:r>
      <w:r>
        <w:rPr>
          <w:sz w:val="24"/>
        </w:rPr>
        <w:t>。</w:t>
      </w:r>
    </w:p>
    <w:p>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填写“无偏离”、“正偏离”或“负偏离”。</w:t>
      </w: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sectPr>
          <w:headerReference r:id="rId27" w:type="default"/>
          <w:pgSz w:w="11907" w:h="16840"/>
          <w:pgMar w:top="1418" w:right="1134" w:bottom="1418" w:left="1701" w:header="851" w:footer="851" w:gutter="0"/>
          <w:cols w:space="720" w:num="1"/>
          <w:docGrid w:linePitch="462" w:charSpace="0"/>
        </w:sectPr>
      </w:pPr>
    </w:p>
    <w:p>
      <w:pPr>
        <w:spacing w:line="360" w:lineRule="auto"/>
        <w:outlineLvl w:val="2"/>
        <w:rPr>
          <w:sz w:val="24"/>
        </w:rPr>
      </w:pPr>
      <w:r>
        <w:rPr>
          <w:rFonts w:hint="eastAsia"/>
          <w:sz w:val="24"/>
        </w:rPr>
        <w:t xml:space="preserve">11 </w:t>
      </w:r>
      <w:r>
        <w:rPr>
          <w:sz w:val="24"/>
        </w:rPr>
        <w:t>业绩证明文件</w:t>
      </w:r>
    </w:p>
    <w:p>
      <w:pPr>
        <w:spacing w:line="360" w:lineRule="auto"/>
        <w:ind w:left="420" w:right="-57" w:rightChars="-27"/>
        <w:rPr>
          <w:sz w:val="24"/>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top w:val="single" w:color="auto" w:sz="4" w:space="0"/>
            </w:tcBorders>
          </w:tcPr>
          <w:p>
            <w:pPr>
              <w:jc w:val="center"/>
              <w:rPr>
                <w:sz w:val="24"/>
              </w:rPr>
            </w:pPr>
            <w:r>
              <w:rPr>
                <w:sz w:val="24"/>
              </w:rPr>
              <w:t>序号</w:t>
            </w:r>
          </w:p>
        </w:tc>
        <w:tc>
          <w:tcPr>
            <w:tcW w:w="1432" w:type="dxa"/>
            <w:tcBorders>
              <w:top w:val="single" w:color="auto" w:sz="4" w:space="0"/>
            </w:tcBorders>
          </w:tcPr>
          <w:p>
            <w:pPr>
              <w:jc w:val="center"/>
              <w:rPr>
                <w:sz w:val="24"/>
              </w:rPr>
            </w:pPr>
            <w:r>
              <w:rPr>
                <w:sz w:val="24"/>
              </w:rPr>
              <w:t>行业类型</w:t>
            </w:r>
          </w:p>
        </w:tc>
        <w:tc>
          <w:tcPr>
            <w:tcW w:w="1366" w:type="dxa"/>
            <w:tcBorders>
              <w:top w:val="single" w:color="auto" w:sz="4" w:space="0"/>
            </w:tcBorders>
          </w:tcPr>
          <w:p>
            <w:pPr>
              <w:jc w:val="center"/>
              <w:rPr>
                <w:sz w:val="24"/>
              </w:rPr>
            </w:pPr>
            <w:r>
              <w:rPr>
                <w:sz w:val="24"/>
              </w:rPr>
              <w:t>项目名称</w:t>
            </w:r>
          </w:p>
        </w:tc>
        <w:tc>
          <w:tcPr>
            <w:tcW w:w="1507" w:type="dxa"/>
            <w:tcBorders>
              <w:top w:val="single" w:color="auto" w:sz="4" w:space="0"/>
            </w:tcBorders>
          </w:tcPr>
          <w:p>
            <w:pPr>
              <w:jc w:val="center"/>
              <w:rPr>
                <w:sz w:val="24"/>
              </w:rPr>
            </w:pPr>
            <w:r>
              <w:rPr>
                <w:sz w:val="24"/>
              </w:rPr>
              <w:t>起止时间</w:t>
            </w:r>
          </w:p>
        </w:tc>
        <w:tc>
          <w:tcPr>
            <w:tcW w:w="1373" w:type="dxa"/>
            <w:tcBorders>
              <w:top w:val="single" w:color="auto" w:sz="4" w:space="0"/>
            </w:tcBorders>
          </w:tcPr>
          <w:p>
            <w:pPr>
              <w:jc w:val="center"/>
              <w:rPr>
                <w:sz w:val="24"/>
              </w:rPr>
            </w:pPr>
            <w:r>
              <w:rPr>
                <w:sz w:val="24"/>
              </w:rPr>
              <w:t>业务描述</w:t>
            </w:r>
          </w:p>
        </w:tc>
        <w:tc>
          <w:tcPr>
            <w:tcW w:w="1063" w:type="dxa"/>
            <w:tcBorders>
              <w:top w:val="single" w:color="auto" w:sz="4" w:space="0"/>
            </w:tcBorders>
          </w:tcPr>
          <w:p>
            <w:pPr>
              <w:jc w:val="center"/>
              <w:rPr>
                <w:sz w:val="24"/>
              </w:rPr>
            </w:pPr>
            <w:r>
              <w:rPr>
                <w:sz w:val="24"/>
              </w:rPr>
              <w:t>备注</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1</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2</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3</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4</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5</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6</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7</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8</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tcPr>
          <w:p>
            <w:pPr>
              <w:jc w:val="center"/>
              <w:rPr>
                <w:sz w:val="24"/>
              </w:rPr>
            </w:pPr>
          </w:p>
        </w:tc>
        <w:tc>
          <w:tcPr>
            <w:tcW w:w="1432" w:type="dxa"/>
            <w:tcBorders>
              <w:bottom w:val="single" w:color="auto" w:sz="4" w:space="0"/>
            </w:tcBorders>
          </w:tcPr>
          <w:p>
            <w:pPr>
              <w:rPr>
                <w:sz w:val="24"/>
              </w:rPr>
            </w:pPr>
          </w:p>
        </w:tc>
        <w:tc>
          <w:tcPr>
            <w:tcW w:w="1366" w:type="dxa"/>
            <w:tcBorders>
              <w:bottom w:val="single" w:color="auto" w:sz="4" w:space="0"/>
            </w:tcBorders>
          </w:tcPr>
          <w:p>
            <w:pPr>
              <w:rPr>
                <w:sz w:val="24"/>
              </w:rPr>
            </w:pPr>
          </w:p>
        </w:tc>
        <w:tc>
          <w:tcPr>
            <w:tcW w:w="1507" w:type="dxa"/>
            <w:tcBorders>
              <w:bottom w:val="single" w:color="auto" w:sz="4" w:space="0"/>
            </w:tcBorders>
          </w:tcPr>
          <w:p>
            <w:pPr>
              <w:rPr>
                <w:sz w:val="24"/>
              </w:rPr>
            </w:pPr>
          </w:p>
        </w:tc>
        <w:tc>
          <w:tcPr>
            <w:tcW w:w="1373" w:type="dxa"/>
            <w:tcBorders>
              <w:bottom w:val="single" w:color="auto" w:sz="4" w:space="0"/>
            </w:tcBorders>
          </w:tcPr>
          <w:p>
            <w:pPr>
              <w:rPr>
                <w:sz w:val="24"/>
              </w:rPr>
            </w:pPr>
          </w:p>
        </w:tc>
        <w:tc>
          <w:tcPr>
            <w:tcW w:w="1063" w:type="dxa"/>
            <w:tcBorders>
              <w:bottom w:val="single" w:color="auto" w:sz="4" w:space="0"/>
            </w:tcBorders>
          </w:tcPr>
          <w:p>
            <w:pPr>
              <w:rPr>
                <w:sz w:val="24"/>
              </w:rPr>
            </w:pPr>
          </w:p>
        </w:tc>
      </w:tr>
    </w:tbl>
    <w:p>
      <w:pPr>
        <w:spacing w:line="360" w:lineRule="auto"/>
        <w:ind w:left="420" w:right="-57" w:rightChars="-27"/>
        <w:rPr>
          <w:sz w:val="24"/>
        </w:rPr>
      </w:pPr>
    </w:p>
    <w:p>
      <w:pPr>
        <w:spacing w:line="360" w:lineRule="auto"/>
        <w:ind w:right="-57" w:rightChars="-27"/>
        <w:jc w:val="left"/>
        <w:rPr>
          <w:sz w:val="24"/>
          <w:lang w:val="zh-CN"/>
        </w:rPr>
      </w:pPr>
      <w:r>
        <w:rPr>
          <w:sz w:val="24"/>
        </w:rPr>
        <w:t>注：</w:t>
      </w:r>
      <w:r>
        <w:rPr>
          <w:sz w:val="24"/>
          <w:lang w:val="zh-CN"/>
        </w:rPr>
        <w:t>对</w:t>
      </w:r>
      <w:r>
        <w:rPr>
          <w:rFonts w:hint="eastAsia"/>
          <w:sz w:val="24"/>
          <w:lang w:val="zh-CN"/>
        </w:rPr>
        <w:t>20</w:t>
      </w:r>
      <w:r>
        <w:rPr>
          <w:sz w:val="24"/>
          <w:lang w:val="zh-CN"/>
        </w:rPr>
        <w:t>2</w:t>
      </w:r>
      <w:r>
        <w:rPr>
          <w:rFonts w:hint="eastAsia"/>
          <w:sz w:val="24"/>
        </w:rPr>
        <w:t>1</w:t>
      </w:r>
      <w:r>
        <w:rPr>
          <w:rFonts w:hint="eastAsia"/>
          <w:sz w:val="24"/>
          <w:lang w:val="zh-CN"/>
        </w:rPr>
        <w:t>年</w:t>
      </w:r>
      <w:r>
        <w:rPr>
          <w:rFonts w:hint="eastAsia"/>
          <w:sz w:val="24"/>
        </w:rPr>
        <w:t>1</w:t>
      </w:r>
      <w:r>
        <w:rPr>
          <w:rFonts w:hint="eastAsia"/>
          <w:sz w:val="24"/>
          <w:lang w:val="zh-CN"/>
        </w:rPr>
        <w:t>月1日至投标截止日前</w:t>
      </w:r>
      <w:r>
        <w:rPr>
          <w:sz w:val="24"/>
          <w:lang w:val="zh-CN"/>
        </w:rPr>
        <w:t>做过的相关业绩作出说明（</w:t>
      </w:r>
      <w:r>
        <w:rPr>
          <w:rFonts w:hint="eastAsia"/>
          <w:sz w:val="24"/>
          <w:lang w:val="zh-CN"/>
        </w:rPr>
        <w:t>业绩证明材料应提供双方合同复印件，合同内容应包括但不限于：双方单位名称、委托金额、委托内容等</w:t>
      </w:r>
      <w:r>
        <w:rPr>
          <w:sz w:val="24"/>
          <w:lang w:val="zh-CN"/>
        </w:rPr>
        <w:t>）</w:t>
      </w:r>
    </w:p>
    <w:p>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pPr>
        <w:spacing w:line="360" w:lineRule="auto"/>
        <w:outlineLvl w:val="2"/>
        <w:rPr>
          <w:sz w:val="24"/>
          <w:szCs w:val="20"/>
        </w:rPr>
      </w:pPr>
      <w:r>
        <w:rPr>
          <w:rFonts w:hint="eastAsia"/>
          <w:sz w:val="24"/>
          <w:szCs w:val="20"/>
        </w:rPr>
        <w:t>1</w:t>
      </w:r>
      <w:r>
        <w:rPr>
          <w:sz w:val="24"/>
          <w:szCs w:val="20"/>
        </w:rPr>
        <w:t>2</w:t>
      </w:r>
      <w:r>
        <w:rPr>
          <w:rFonts w:hint="eastAsia"/>
          <w:sz w:val="24"/>
          <w:szCs w:val="20"/>
        </w:rPr>
        <w:t xml:space="preserve"> </w:t>
      </w:r>
      <w:r>
        <w:rPr>
          <w:sz w:val="24"/>
          <w:szCs w:val="20"/>
        </w:rPr>
        <w:t>项目</w:t>
      </w:r>
      <w:r>
        <w:rPr>
          <w:rFonts w:hint="eastAsia"/>
          <w:sz w:val="24"/>
          <w:szCs w:val="20"/>
        </w:rPr>
        <w:t>团队人员</w:t>
      </w:r>
      <w:r>
        <w:rPr>
          <w:sz w:val="24"/>
          <w:szCs w:val="20"/>
        </w:rPr>
        <w:t>一览表</w:t>
      </w:r>
    </w:p>
    <w:tbl>
      <w:tblPr>
        <w:tblStyle w:val="45"/>
        <w:tblW w:w="93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1134"/>
        <w:gridCol w:w="821"/>
        <w:gridCol w:w="1352"/>
        <w:gridCol w:w="961"/>
        <w:gridCol w:w="959"/>
        <w:gridCol w:w="959"/>
        <w:gridCol w:w="959"/>
        <w:gridCol w:w="9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290" w:type="dxa"/>
            <w:vAlign w:val="center"/>
          </w:tcPr>
          <w:p>
            <w:pPr>
              <w:spacing w:line="360" w:lineRule="auto"/>
              <w:jc w:val="center"/>
              <w:rPr>
                <w:rFonts w:ascii="宋体" w:hAnsi="宋体" w:cs="Arial"/>
                <w:szCs w:val="21"/>
              </w:rPr>
            </w:pPr>
            <w:r>
              <w:rPr>
                <w:rFonts w:ascii="宋体" w:hAnsi="宋体" w:cs="Arial"/>
                <w:szCs w:val="21"/>
              </w:rPr>
              <w:t>类别</w:t>
            </w:r>
          </w:p>
        </w:tc>
        <w:tc>
          <w:tcPr>
            <w:tcW w:w="1134" w:type="dxa"/>
            <w:vAlign w:val="center"/>
          </w:tcPr>
          <w:p>
            <w:pPr>
              <w:spacing w:line="360" w:lineRule="auto"/>
              <w:jc w:val="center"/>
              <w:rPr>
                <w:rFonts w:ascii="宋体" w:hAnsi="宋体" w:cs="Arial"/>
                <w:szCs w:val="21"/>
              </w:rPr>
            </w:pPr>
            <w:r>
              <w:rPr>
                <w:rFonts w:ascii="宋体" w:hAnsi="宋体" w:cs="Arial"/>
                <w:szCs w:val="21"/>
              </w:rPr>
              <w:t>姓名</w:t>
            </w:r>
          </w:p>
        </w:tc>
        <w:tc>
          <w:tcPr>
            <w:tcW w:w="821" w:type="dxa"/>
            <w:vAlign w:val="center"/>
          </w:tcPr>
          <w:p>
            <w:pPr>
              <w:spacing w:line="360" w:lineRule="auto"/>
              <w:jc w:val="center"/>
              <w:rPr>
                <w:rFonts w:ascii="宋体" w:hAnsi="宋体" w:cs="Arial"/>
                <w:szCs w:val="21"/>
              </w:rPr>
            </w:pPr>
            <w:r>
              <w:rPr>
                <w:rFonts w:ascii="宋体" w:hAnsi="宋体" w:cs="Arial"/>
                <w:szCs w:val="21"/>
              </w:rPr>
              <w:t>性别</w:t>
            </w:r>
          </w:p>
        </w:tc>
        <w:tc>
          <w:tcPr>
            <w:tcW w:w="1352" w:type="dxa"/>
            <w:vAlign w:val="center"/>
          </w:tcPr>
          <w:p>
            <w:pPr>
              <w:spacing w:line="360" w:lineRule="auto"/>
              <w:jc w:val="center"/>
              <w:rPr>
                <w:rFonts w:ascii="宋体" w:hAnsi="宋体" w:cs="Arial"/>
                <w:szCs w:val="21"/>
              </w:rPr>
            </w:pPr>
            <w:r>
              <w:rPr>
                <w:rFonts w:ascii="宋体" w:hAnsi="宋体" w:cs="Arial"/>
                <w:szCs w:val="21"/>
              </w:rPr>
              <w:t>单位</w:t>
            </w:r>
          </w:p>
        </w:tc>
        <w:tc>
          <w:tcPr>
            <w:tcW w:w="961" w:type="dxa"/>
            <w:vAlign w:val="center"/>
          </w:tcPr>
          <w:p>
            <w:pPr>
              <w:spacing w:line="360" w:lineRule="auto"/>
              <w:jc w:val="center"/>
              <w:rPr>
                <w:rFonts w:ascii="宋体" w:hAnsi="宋体" w:cs="Arial"/>
                <w:szCs w:val="21"/>
              </w:rPr>
            </w:pPr>
            <w:r>
              <w:rPr>
                <w:rFonts w:ascii="宋体" w:hAnsi="宋体" w:cs="Arial"/>
                <w:szCs w:val="21"/>
              </w:rPr>
              <w:t>专业</w:t>
            </w:r>
          </w:p>
        </w:tc>
        <w:tc>
          <w:tcPr>
            <w:tcW w:w="959" w:type="dxa"/>
            <w:vAlign w:val="center"/>
          </w:tcPr>
          <w:p>
            <w:pPr>
              <w:spacing w:line="360" w:lineRule="auto"/>
              <w:jc w:val="center"/>
              <w:rPr>
                <w:rFonts w:ascii="宋体" w:hAnsi="宋体" w:cs="Arial"/>
                <w:szCs w:val="21"/>
              </w:rPr>
            </w:pPr>
            <w:r>
              <w:rPr>
                <w:rFonts w:ascii="宋体" w:hAnsi="宋体" w:cs="Arial"/>
                <w:szCs w:val="21"/>
              </w:rPr>
              <w:t>职务</w:t>
            </w:r>
          </w:p>
        </w:tc>
        <w:tc>
          <w:tcPr>
            <w:tcW w:w="959" w:type="dxa"/>
            <w:vAlign w:val="center"/>
          </w:tcPr>
          <w:p>
            <w:pPr>
              <w:spacing w:line="360" w:lineRule="auto"/>
              <w:jc w:val="center"/>
              <w:rPr>
                <w:rFonts w:ascii="宋体" w:hAnsi="宋体" w:cs="Arial"/>
                <w:szCs w:val="21"/>
              </w:rPr>
            </w:pPr>
            <w:r>
              <w:rPr>
                <w:rFonts w:ascii="宋体" w:hAnsi="宋体" w:cs="Arial"/>
                <w:szCs w:val="21"/>
              </w:rPr>
              <w:t>职称</w:t>
            </w:r>
          </w:p>
        </w:tc>
        <w:tc>
          <w:tcPr>
            <w:tcW w:w="959" w:type="dxa"/>
            <w:vAlign w:val="center"/>
          </w:tcPr>
          <w:p>
            <w:pPr>
              <w:spacing w:line="360" w:lineRule="auto"/>
              <w:jc w:val="center"/>
              <w:rPr>
                <w:rFonts w:ascii="宋体" w:hAnsi="宋体" w:cs="Arial"/>
                <w:szCs w:val="21"/>
              </w:rPr>
            </w:pPr>
            <w:r>
              <w:rPr>
                <w:rFonts w:ascii="宋体" w:hAnsi="宋体" w:cs="Arial"/>
                <w:szCs w:val="21"/>
              </w:rPr>
              <w:t>主要</w:t>
            </w:r>
          </w:p>
          <w:p>
            <w:pPr>
              <w:spacing w:line="360" w:lineRule="auto"/>
              <w:jc w:val="center"/>
              <w:rPr>
                <w:rFonts w:ascii="宋体" w:hAnsi="宋体" w:cs="Arial"/>
                <w:szCs w:val="21"/>
              </w:rPr>
            </w:pPr>
            <w:r>
              <w:rPr>
                <w:rFonts w:ascii="宋体" w:hAnsi="宋体" w:cs="Arial"/>
                <w:szCs w:val="21"/>
              </w:rPr>
              <w:t>资历</w:t>
            </w:r>
          </w:p>
        </w:tc>
        <w:tc>
          <w:tcPr>
            <w:tcW w:w="957" w:type="dxa"/>
            <w:vAlign w:val="center"/>
          </w:tcPr>
          <w:p>
            <w:pPr>
              <w:spacing w:line="360" w:lineRule="auto"/>
              <w:jc w:val="center"/>
              <w:rPr>
                <w:rFonts w:ascii="宋体" w:hAnsi="宋体" w:cs="Arial"/>
                <w:szCs w:val="21"/>
              </w:rPr>
            </w:pPr>
            <w:r>
              <w:rPr>
                <w:rFonts w:ascii="宋体" w:hAnsi="宋体" w:cs="Arial"/>
                <w:szCs w:val="21"/>
              </w:rPr>
              <w:t>经验及承担过的项目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290" w:type="dxa"/>
            <w:vAlign w:val="center"/>
          </w:tcPr>
          <w:p>
            <w:pPr>
              <w:spacing w:line="360" w:lineRule="auto"/>
              <w:jc w:val="center"/>
              <w:rPr>
                <w:rFonts w:ascii="宋体" w:hAnsi="宋体" w:cs="Arial"/>
                <w:szCs w:val="21"/>
              </w:rPr>
            </w:pPr>
            <w:r>
              <w:rPr>
                <w:rFonts w:ascii="宋体" w:hAnsi="宋体" w:cs="Arial"/>
                <w:szCs w:val="21"/>
              </w:rPr>
              <w:t>项目负责人</w:t>
            </w:r>
          </w:p>
        </w:tc>
        <w:tc>
          <w:tcPr>
            <w:tcW w:w="1134" w:type="dxa"/>
            <w:vAlign w:val="center"/>
          </w:tcPr>
          <w:p>
            <w:pPr>
              <w:spacing w:line="360" w:lineRule="auto"/>
              <w:rPr>
                <w:rFonts w:ascii="宋体" w:hAnsi="宋体" w:cs="Arial"/>
                <w:szCs w:val="21"/>
              </w:rPr>
            </w:pPr>
          </w:p>
        </w:tc>
        <w:tc>
          <w:tcPr>
            <w:tcW w:w="821" w:type="dxa"/>
            <w:vAlign w:val="center"/>
          </w:tcPr>
          <w:p>
            <w:pPr>
              <w:spacing w:line="360" w:lineRule="auto"/>
              <w:rPr>
                <w:rFonts w:ascii="宋体" w:hAnsi="宋体" w:cs="Arial"/>
                <w:szCs w:val="21"/>
              </w:rPr>
            </w:pPr>
          </w:p>
        </w:tc>
        <w:tc>
          <w:tcPr>
            <w:tcW w:w="1352" w:type="dxa"/>
            <w:vAlign w:val="center"/>
          </w:tcPr>
          <w:p>
            <w:pPr>
              <w:spacing w:line="360" w:lineRule="auto"/>
              <w:rPr>
                <w:rFonts w:ascii="宋体" w:hAnsi="宋体" w:cs="Arial"/>
                <w:szCs w:val="21"/>
              </w:rPr>
            </w:pPr>
          </w:p>
        </w:tc>
        <w:tc>
          <w:tcPr>
            <w:tcW w:w="961"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7" w:type="dxa"/>
            <w:vAlign w:val="center"/>
          </w:tcPr>
          <w:p>
            <w:pPr>
              <w:spacing w:line="360" w:lineRule="auto"/>
              <w:rPr>
                <w:rFonts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290" w:type="dxa"/>
            <w:vMerge w:val="restart"/>
            <w:vAlign w:val="center"/>
          </w:tcPr>
          <w:p>
            <w:pPr>
              <w:spacing w:line="360" w:lineRule="auto"/>
              <w:jc w:val="center"/>
              <w:rPr>
                <w:rFonts w:ascii="宋体" w:hAnsi="宋体" w:cs="Arial"/>
                <w:szCs w:val="21"/>
              </w:rPr>
            </w:pPr>
            <w:r>
              <w:rPr>
                <w:rFonts w:ascii="宋体" w:hAnsi="宋体" w:cs="Arial"/>
                <w:szCs w:val="21"/>
              </w:rPr>
              <w:t>其他人员</w:t>
            </w:r>
          </w:p>
        </w:tc>
        <w:tc>
          <w:tcPr>
            <w:tcW w:w="1134" w:type="dxa"/>
            <w:vAlign w:val="center"/>
          </w:tcPr>
          <w:p>
            <w:pPr>
              <w:spacing w:line="360" w:lineRule="auto"/>
              <w:rPr>
                <w:rFonts w:ascii="宋体" w:hAnsi="宋体" w:cs="Arial"/>
                <w:szCs w:val="21"/>
              </w:rPr>
            </w:pPr>
          </w:p>
        </w:tc>
        <w:tc>
          <w:tcPr>
            <w:tcW w:w="821" w:type="dxa"/>
            <w:vAlign w:val="center"/>
          </w:tcPr>
          <w:p>
            <w:pPr>
              <w:spacing w:line="360" w:lineRule="auto"/>
              <w:rPr>
                <w:rFonts w:ascii="宋体" w:hAnsi="宋体" w:cs="Arial"/>
                <w:szCs w:val="21"/>
              </w:rPr>
            </w:pPr>
          </w:p>
        </w:tc>
        <w:tc>
          <w:tcPr>
            <w:tcW w:w="1352" w:type="dxa"/>
            <w:vAlign w:val="center"/>
          </w:tcPr>
          <w:p>
            <w:pPr>
              <w:spacing w:line="360" w:lineRule="auto"/>
              <w:rPr>
                <w:rFonts w:ascii="宋体" w:hAnsi="宋体" w:cs="Arial"/>
                <w:szCs w:val="21"/>
              </w:rPr>
            </w:pPr>
          </w:p>
        </w:tc>
        <w:tc>
          <w:tcPr>
            <w:tcW w:w="961"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7" w:type="dxa"/>
            <w:vAlign w:val="center"/>
          </w:tcPr>
          <w:p>
            <w:pPr>
              <w:spacing w:line="360" w:lineRule="auto"/>
              <w:rPr>
                <w:rFonts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pPr>
              <w:spacing w:line="360" w:lineRule="auto"/>
              <w:jc w:val="center"/>
              <w:rPr>
                <w:rFonts w:ascii="宋体" w:hAnsi="宋体" w:cs="Arial"/>
                <w:szCs w:val="21"/>
              </w:rPr>
            </w:pPr>
          </w:p>
        </w:tc>
        <w:tc>
          <w:tcPr>
            <w:tcW w:w="1134" w:type="dxa"/>
            <w:vAlign w:val="center"/>
          </w:tcPr>
          <w:p>
            <w:pPr>
              <w:spacing w:line="360" w:lineRule="auto"/>
              <w:rPr>
                <w:rFonts w:ascii="宋体" w:hAnsi="宋体" w:cs="Arial"/>
                <w:szCs w:val="21"/>
              </w:rPr>
            </w:pPr>
          </w:p>
        </w:tc>
        <w:tc>
          <w:tcPr>
            <w:tcW w:w="821" w:type="dxa"/>
            <w:vAlign w:val="center"/>
          </w:tcPr>
          <w:p>
            <w:pPr>
              <w:spacing w:line="360" w:lineRule="auto"/>
              <w:rPr>
                <w:rFonts w:ascii="宋体" w:hAnsi="宋体" w:cs="Arial"/>
                <w:szCs w:val="21"/>
              </w:rPr>
            </w:pPr>
          </w:p>
        </w:tc>
        <w:tc>
          <w:tcPr>
            <w:tcW w:w="1352" w:type="dxa"/>
            <w:vAlign w:val="center"/>
          </w:tcPr>
          <w:p>
            <w:pPr>
              <w:spacing w:line="360" w:lineRule="auto"/>
              <w:rPr>
                <w:rFonts w:ascii="宋体" w:hAnsi="宋体" w:cs="Arial"/>
                <w:szCs w:val="21"/>
              </w:rPr>
            </w:pPr>
          </w:p>
        </w:tc>
        <w:tc>
          <w:tcPr>
            <w:tcW w:w="961"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7" w:type="dxa"/>
            <w:vAlign w:val="center"/>
          </w:tcPr>
          <w:p>
            <w:pPr>
              <w:spacing w:line="360" w:lineRule="auto"/>
              <w:rPr>
                <w:rFonts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pPr>
              <w:spacing w:line="360" w:lineRule="auto"/>
              <w:jc w:val="center"/>
              <w:rPr>
                <w:rFonts w:ascii="宋体" w:hAnsi="宋体" w:cs="Arial"/>
                <w:szCs w:val="21"/>
              </w:rPr>
            </w:pPr>
          </w:p>
        </w:tc>
        <w:tc>
          <w:tcPr>
            <w:tcW w:w="1134" w:type="dxa"/>
            <w:vAlign w:val="center"/>
          </w:tcPr>
          <w:p>
            <w:pPr>
              <w:spacing w:line="360" w:lineRule="auto"/>
              <w:rPr>
                <w:rFonts w:ascii="宋体" w:hAnsi="宋体" w:cs="Arial"/>
                <w:szCs w:val="21"/>
              </w:rPr>
            </w:pPr>
          </w:p>
        </w:tc>
        <w:tc>
          <w:tcPr>
            <w:tcW w:w="821" w:type="dxa"/>
            <w:vAlign w:val="center"/>
          </w:tcPr>
          <w:p>
            <w:pPr>
              <w:spacing w:line="360" w:lineRule="auto"/>
              <w:rPr>
                <w:rFonts w:ascii="宋体" w:hAnsi="宋体" w:cs="Arial"/>
                <w:szCs w:val="21"/>
              </w:rPr>
            </w:pPr>
          </w:p>
        </w:tc>
        <w:tc>
          <w:tcPr>
            <w:tcW w:w="1352" w:type="dxa"/>
            <w:vAlign w:val="center"/>
          </w:tcPr>
          <w:p>
            <w:pPr>
              <w:spacing w:line="360" w:lineRule="auto"/>
              <w:rPr>
                <w:rFonts w:ascii="宋体" w:hAnsi="宋体" w:cs="Arial"/>
                <w:szCs w:val="21"/>
              </w:rPr>
            </w:pPr>
          </w:p>
        </w:tc>
        <w:tc>
          <w:tcPr>
            <w:tcW w:w="961"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7" w:type="dxa"/>
            <w:vAlign w:val="center"/>
          </w:tcPr>
          <w:p>
            <w:pPr>
              <w:spacing w:line="360" w:lineRule="auto"/>
              <w:rPr>
                <w:rFonts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pPr>
              <w:spacing w:line="360" w:lineRule="auto"/>
              <w:jc w:val="center"/>
              <w:rPr>
                <w:rFonts w:ascii="宋体" w:hAnsi="宋体" w:cs="Arial"/>
                <w:szCs w:val="21"/>
              </w:rPr>
            </w:pPr>
          </w:p>
        </w:tc>
        <w:tc>
          <w:tcPr>
            <w:tcW w:w="1134" w:type="dxa"/>
            <w:vAlign w:val="center"/>
          </w:tcPr>
          <w:p>
            <w:pPr>
              <w:spacing w:line="360" w:lineRule="auto"/>
              <w:rPr>
                <w:rFonts w:ascii="宋体" w:hAnsi="宋体" w:cs="Arial"/>
                <w:szCs w:val="21"/>
              </w:rPr>
            </w:pPr>
          </w:p>
        </w:tc>
        <w:tc>
          <w:tcPr>
            <w:tcW w:w="821" w:type="dxa"/>
            <w:vAlign w:val="center"/>
          </w:tcPr>
          <w:p>
            <w:pPr>
              <w:spacing w:line="360" w:lineRule="auto"/>
              <w:rPr>
                <w:rFonts w:ascii="宋体" w:hAnsi="宋体" w:cs="Arial"/>
                <w:szCs w:val="21"/>
              </w:rPr>
            </w:pPr>
          </w:p>
        </w:tc>
        <w:tc>
          <w:tcPr>
            <w:tcW w:w="1352" w:type="dxa"/>
            <w:vAlign w:val="center"/>
          </w:tcPr>
          <w:p>
            <w:pPr>
              <w:spacing w:line="360" w:lineRule="auto"/>
              <w:rPr>
                <w:rFonts w:ascii="宋体" w:hAnsi="宋体" w:cs="Arial"/>
                <w:szCs w:val="21"/>
              </w:rPr>
            </w:pPr>
          </w:p>
        </w:tc>
        <w:tc>
          <w:tcPr>
            <w:tcW w:w="961"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7" w:type="dxa"/>
            <w:vAlign w:val="center"/>
          </w:tcPr>
          <w:p>
            <w:pPr>
              <w:spacing w:line="360" w:lineRule="auto"/>
              <w:rPr>
                <w:rFonts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pPr>
              <w:spacing w:line="360" w:lineRule="auto"/>
              <w:jc w:val="center"/>
              <w:rPr>
                <w:rFonts w:ascii="宋体" w:hAnsi="宋体" w:cs="Arial"/>
                <w:szCs w:val="21"/>
              </w:rPr>
            </w:pPr>
          </w:p>
        </w:tc>
        <w:tc>
          <w:tcPr>
            <w:tcW w:w="1134" w:type="dxa"/>
            <w:vAlign w:val="center"/>
          </w:tcPr>
          <w:p>
            <w:pPr>
              <w:spacing w:line="360" w:lineRule="auto"/>
              <w:rPr>
                <w:rFonts w:ascii="宋体" w:hAnsi="宋体" w:cs="Arial"/>
                <w:szCs w:val="21"/>
              </w:rPr>
            </w:pPr>
          </w:p>
        </w:tc>
        <w:tc>
          <w:tcPr>
            <w:tcW w:w="821" w:type="dxa"/>
            <w:vAlign w:val="center"/>
          </w:tcPr>
          <w:p>
            <w:pPr>
              <w:spacing w:line="360" w:lineRule="auto"/>
              <w:rPr>
                <w:rFonts w:ascii="宋体" w:hAnsi="宋体" w:cs="Arial"/>
                <w:szCs w:val="21"/>
              </w:rPr>
            </w:pPr>
          </w:p>
        </w:tc>
        <w:tc>
          <w:tcPr>
            <w:tcW w:w="1352" w:type="dxa"/>
            <w:vAlign w:val="center"/>
          </w:tcPr>
          <w:p>
            <w:pPr>
              <w:spacing w:line="360" w:lineRule="auto"/>
              <w:rPr>
                <w:rFonts w:ascii="宋体" w:hAnsi="宋体" w:cs="Arial"/>
                <w:szCs w:val="21"/>
              </w:rPr>
            </w:pPr>
          </w:p>
        </w:tc>
        <w:tc>
          <w:tcPr>
            <w:tcW w:w="961"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7" w:type="dxa"/>
            <w:vAlign w:val="center"/>
          </w:tcPr>
          <w:p>
            <w:pPr>
              <w:spacing w:line="360" w:lineRule="auto"/>
              <w:rPr>
                <w:rFonts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1290" w:type="dxa"/>
            <w:vMerge w:val="continue"/>
            <w:vAlign w:val="center"/>
          </w:tcPr>
          <w:p>
            <w:pPr>
              <w:spacing w:line="360" w:lineRule="auto"/>
              <w:jc w:val="center"/>
              <w:rPr>
                <w:rFonts w:ascii="宋体" w:hAnsi="宋体" w:cs="Arial"/>
                <w:szCs w:val="21"/>
              </w:rPr>
            </w:pPr>
          </w:p>
        </w:tc>
        <w:tc>
          <w:tcPr>
            <w:tcW w:w="1134" w:type="dxa"/>
            <w:vAlign w:val="center"/>
          </w:tcPr>
          <w:p>
            <w:pPr>
              <w:spacing w:line="360" w:lineRule="auto"/>
              <w:rPr>
                <w:rFonts w:ascii="宋体" w:hAnsi="宋体" w:cs="Arial"/>
                <w:szCs w:val="21"/>
              </w:rPr>
            </w:pPr>
          </w:p>
        </w:tc>
        <w:tc>
          <w:tcPr>
            <w:tcW w:w="821" w:type="dxa"/>
            <w:vAlign w:val="center"/>
          </w:tcPr>
          <w:p>
            <w:pPr>
              <w:spacing w:line="360" w:lineRule="auto"/>
              <w:rPr>
                <w:rFonts w:ascii="宋体" w:hAnsi="宋体" w:cs="Arial"/>
                <w:szCs w:val="21"/>
              </w:rPr>
            </w:pPr>
          </w:p>
        </w:tc>
        <w:tc>
          <w:tcPr>
            <w:tcW w:w="1352" w:type="dxa"/>
            <w:vAlign w:val="center"/>
          </w:tcPr>
          <w:p>
            <w:pPr>
              <w:spacing w:line="360" w:lineRule="auto"/>
              <w:rPr>
                <w:rFonts w:ascii="宋体" w:hAnsi="宋体" w:cs="Arial"/>
                <w:szCs w:val="21"/>
              </w:rPr>
            </w:pPr>
          </w:p>
        </w:tc>
        <w:tc>
          <w:tcPr>
            <w:tcW w:w="961"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7" w:type="dxa"/>
            <w:vAlign w:val="center"/>
          </w:tcPr>
          <w:p>
            <w:pPr>
              <w:spacing w:line="360" w:lineRule="auto"/>
              <w:rPr>
                <w:rFonts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pPr>
              <w:spacing w:line="360" w:lineRule="auto"/>
              <w:jc w:val="center"/>
              <w:rPr>
                <w:rFonts w:ascii="宋体" w:hAnsi="宋体" w:cs="Arial"/>
                <w:szCs w:val="21"/>
              </w:rPr>
            </w:pPr>
          </w:p>
        </w:tc>
        <w:tc>
          <w:tcPr>
            <w:tcW w:w="1134" w:type="dxa"/>
            <w:vAlign w:val="center"/>
          </w:tcPr>
          <w:p>
            <w:pPr>
              <w:spacing w:line="360" w:lineRule="auto"/>
              <w:rPr>
                <w:rFonts w:ascii="宋体" w:hAnsi="宋体" w:cs="Arial"/>
                <w:szCs w:val="21"/>
              </w:rPr>
            </w:pPr>
          </w:p>
        </w:tc>
        <w:tc>
          <w:tcPr>
            <w:tcW w:w="821" w:type="dxa"/>
            <w:vAlign w:val="center"/>
          </w:tcPr>
          <w:p>
            <w:pPr>
              <w:spacing w:line="360" w:lineRule="auto"/>
              <w:rPr>
                <w:rFonts w:ascii="宋体" w:hAnsi="宋体" w:cs="Arial"/>
                <w:szCs w:val="21"/>
              </w:rPr>
            </w:pPr>
          </w:p>
        </w:tc>
        <w:tc>
          <w:tcPr>
            <w:tcW w:w="1352" w:type="dxa"/>
            <w:vAlign w:val="center"/>
          </w:tcPr>
          <w:p>
            <w:pPr>
              <w:spacing w:line="360" w:lineRule="auto"/>
              <w:rPr>
                <w:rFonts w:ascii="宋体" w:hAnsi="宋体" w:cs="Arial"/>
                <w:szCs w:val="21"/>
              </w:rPr>
            </w:pPr>
          </w:p>
        </w:tc>
        <w:tc>
          <w:tcPr>
            <w:tcW w:w="961"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7" w:type="dxa"/>
            <w:vAlign w:val="center"/>
          </w:tcPr>
          <w:p>
            <w:pPr>
              <w:spacing w:line="360" w:lineRule="auto"/>
              <w:rPr>
                <w:rFonts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290" w:type="dxa"/>
            <w:vMerge w:val="continue"/>
            <w:vAlign w:val="center"/>
          </w:tcPr>
          <w:p>
            <w:pPr>
              <w:spacing w:line="360" w:lineRule="auto"/>
              <w:jc w:val="center"/>
              <w:rPr>
                <w:rFonts w:ascii="宋体" w:hAnsi="宋体" w:cs="Arial"/>
                <w:szCs w:val="21"/>
              </w:rPr>
            </w:pPr>
          </w:p>
        </w:tc>
        <w:tc>
          <w:tcPr>
            <w:tcW w:w="1134" w:type="dxa"/>
            <w:vAlign w:val="center"/>
          </w:tcPr>
          <w:p>
            <w:pPr>
              <w:spacing w:line="360" w:lineRule="auto"/>
              <w:rPr>
                <w:rFonts w:ascii="宋体" w:hAnsi="宋体" w:cs="Arial"/>
                <w:szCs w:val="21"/>
              </w:rPr>
            </w:pPr>
          </w:p>
        </w:tc>
        <w:tc>
          <w:tcPr>
            <w:tcW w:w="821" w:type="dxa"/>
            <w:vAlign w:val="center"/>
          </w:tcPr>
          <w:p>
            <w:pPr>
              <w:spacing w:line="360" w:lineRule="auto"/>
              <w:rPr>
                <w:rFonts w:ascii="宋体" w:hAnsi="宋体" w:cs="Arial"/>
                <w:szCs w:val="21"/>
              </w:rPr>
            </w:pPr>
          </w:p>
        </w:tc>
        <w:tc>
          <w:tcPr>
            <w:tcW w:w="1352" w:type="dxa"/>
            <w:vAlign w:val="center"/>
          </w:tcPr>
          <w:p>
            <w:pPr>
              <w:spacing w:line="360" w:lineRule="auto"/>
              <w:rPr>
                <w:rFonts w:ascii="宋体" w:hAnsi="宋体" w:cs="Arial"/>
                <w:szCs w:val="21"/>
              </w:rPr>
            </w:pPr>
          </w:p>
        </w:tc>
        <w:tc>
          <w:tcPr>
            <w:tcW w:w="961"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9" w:type="dxa"/>
          </w:tcPr>
          <w:p>
            <w:pPr>
              <w:spacing w:line="360" w:lineRule="auto"/>
              <w:rPr>
                <w:rFonts w:ascii="宋体" w:hAnsi="宋体" w:cs="Arial"/>
                <w:szCs w:val="21"/>
              </w:rPr>
            </w:pPr>
          </w:p>
        </w:tc>
        <w:tc>
          <w:tcPr>
            <w:tcW w:w="957" w:type="dxa"/>
            <w:vAlign w:val="center"/>
          </w:tcPr>
          <w:p>
            <w:pPr>
              <w:spacing w:line="360" w:lineRule="auto"/>
              <w:rPr>
                <w:rFonts w:ascii="宋体" w:hAnsi="宋体" w:cs="Arial"/>
                <w:szCs w:val="21"/>
              </w:rPr>
            </w:pPr>
          </w:p>
        </w:tc>
      </w:tr>
    </w:tbl>
    <w:p>
      <w:pPr>
        <w:autoSpaceDE w:val="0"/>
        <w:autoSpaceDN w:val="0"/>
        <w:adjustRightInd w:val="0"/>
        <w:snapToGrid w:val="0"/>
        <w:spacing w:before="25" w:after="25" w:line="360" w:lineRule="auto"/>
        <w:rPr>
          <w:rFonts w:ascii="宋体" w:hAnsi="宋体"/>
          <w:sz w:val="24"/>
        </w:rPr>
      </w:pPr>
      <w:r>
        <w:rPr>
          <w:rFonts w:hint="eastAsia" w:ascii="宋体" w:hAnsi="宋体"/>
          <w:sz w:val="24"/>
        </w:rPr>
        <w:t>注：1.上述项目主要人员在项目执行过程中未得到采购人书面同意不得更换。</w:t>
      </w:r>
    </w:p>
    <w:p>
      <w:pPr>
        <w:pStyle w:val="6"/>
        <w:spacing w:line="360" w:lineRule="auto"/>
      </w:pPr>
      <w:r>
        <w:rPr>
          <w:rFonts w:hint="eastAsia" w:hAnsi="宋体"/>
        </w:rPr>
        <w:t>2.附项目团队人员的身份证、学历证（若有）、学位证（若有）、近3个月内任意1个月社保缴纳证明等相关资料复印件并加盖供应商公章。</w:t>
      </w:r>
    </w:p>
    <w:p>
      <w:pPr>
        <w:spacing w:line="360" w:lineRule="auto"/>
        <w:rPr>
          <w:szCs w:val="21"/>
        </w:rPr>
      </w:pPr>
    </w:p>
    <w:p>
      <w:pPr>
        <w:pStyle w:val="6"/>
        <w:rPr>
          <w:szCs w:val="21"/>
        </w:rPr>
      </w:pPr>
    </w:p>
    <w:p>
      <w:pPr>
        <w:rPr>
          <w:szCs w:val="21"/>
        </w:rPr>
      </w:pPr>
    </w:p>
    <w:p>
      <w:pPr>
        <w:pStyle w:val="6"/>
      </w:pPr>
    </w:p>
    <w:p>
      <w:pPr>
        <w:autoSpaceDE w:val="0"/>
        <w:autoSpaceDN w:val="0"/>
        <w:adjustRightInd w:val="0"/>
        <w:snapToGrid w:val="0"/>
        <w:spacing w:before="25" w:after="25" w:line="360" w:lineRule="auto"/>
        <w:rPr>
          <w:color w:val="000000"/>
          <w:sz w:val="24"/>
          <w:lang w:val="zh-CN"/>
        </w:rPr>
      </w:pPr>
      <w:bookmarkStart w:id="747" w:name="_Toc68707669"/>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bookmarkEnd w:id="747"/>
    <w:p>
      <w:pPr>
        <w:spacing w:line="360" w:lineRule="auto"/>
        <w:rPr>
          <w:sz w:val="24"/>
        </w:rPr>
      </w:pPr>
    </w:p>
    <w:p>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pPr>
        <w:spacing w:line="360" w:lineRule="auto"/>
        <w:outlineLvl w:val="2"/>
        <w:rPr>
          <w:sz w:val="24"/>
          <w:szCs w:val="20"/>
        </w:rPr>
      </w:pPr>
      <w:bookmarkStart w:id="748" w:name="_Toc68707670"/>
      <w:r>
        <w:rPr>
          <w:rFonts w:hint="eastAsia"/>
          <w:sz w:val="24"/>
          <w:szCs w:val="20"/>
        </w:rPr>
        <w:t xml:space="preserve">13 </w:t>
      </w:r>
      <w:r>
        <w:rPr>
          <w:sz w:val="24"/>
          <w:szCs w:val="20"/>
        </w:rPr>
        <w:t>技术文件</w:t>
      </w:r>
      <w:bookmarkEnd w:id="748"/>
    </w:p>
    <w:p>
      <w:pPr>
        <w:spacing w:line="360" w:lineRule="auto"/>
        <w:ind w:left="420" w:right="-57" w:rightChars="-27"/>
      </w:pPr>
    </w:p>
    <w:p>
      <w:pPr>
        <w:spacing w:line="360" w:lineRule="auto"/>
        <w:ind w:left="420" w:right="-57" w:rightChars="-27"/>
        <w:rPr>
          <w:sz w:val="24"/>
        </w:rPr>
      </w:pPr>
      <w:r>
        <w:rPr>
          <w:sz w:val="24"/>
        </w:rPr>
        <w:t>注： 包括但不限于以下部分</w:t>
      </w:r>
    </w:p>
    <w:p>
      <w:pPr>
        <w:widowControl/>
        <w:ind w:firstLine="420" w:firstLineChars="175"/>
        <w:jc w:val="left"/>
        <w:rPr>
          <w:rFonts w:ascii="宋体" w:hAnsi="宋体" w:cs="宋体"/>
          <w:sz w:val="24"/>
        </w:rPr>
      </w:pPr>
      <w:r>
        <w:rPr>
          <w:rFonts w:hint="eastAsia" w:ascii="宋体" w:hAnsi="宋体" w:cs="宋体"/>
          <w:sz w:val="24"/>
        </w:rPr>
        <w:t>对本项目的需求理解；</w:t>
      </w:r>
    </w:p>
    <w:p>
      <w:pPr>
        <w:widowControl/>
        <w:ind w:firstLine="420" w:firstLineChars="175"/>
        <w:jc w:val="left"/>
        <w:rPr>
          <w:rFonts w:ascii="宋体" w:hAnsi="宋体" w:cs="宋体"/>
          <w:sz w:val="24"/>
        </w:rPr>
      </w:pPr>
      <w:r>
        <w:rPr>
          <w:rFonts w:hint="eastAsia" w:ascii="宋体" w:hAnsi="宋体" w:cs="宋体"/>
          <w:sz w:val="24"/>
        </w:rPr>
        <w:t>维保服务方案；</w:t>
      </w:r>
    </w:p>
    <w:p>
      <w:pPr>
        <w:widowControl/>
        <w:ind w:firstLine="420" w:firstLineChars="175"/>
        <w:jc w:val="left"/>
        <w:rPr>
          <w:rFonts w:ascii="宋体" w:hAnsi="宋体" w:cs="宋体"/>
          <w:sz w:val="24"/>
        </w:rPr>
      </w:pPr>
      <w:r>
        <w:rPr>
          <w:rFonts w:hint="eastAsia" w:ascii="宋体" w:hAnsi="宋体" w:cs="宋体"/>
          <w:sz w:val="24"/>
        </w:rPr>
        <w:t>维保质量保障措施；</w:t>
      </w:r>
    </w:p>
    <w:p>
      <w:pPr>
        <w:widowControl/>
        <w:ind w:firstLine="420" w:firstLineChars="175"/>
        <w:jc w:val="left"/>
        <w:rPr>
          <w:rFonts w:ascii="宋体" w:hAnsi="宋体" w:cs="宋体"/>
          <w:color w:val="000000"/>
          <w:kern w:val="0"/>
          <w:sz w:val="24"/>
        </w:rPr>
      </w:pPr>
      <w:r>
        <w:rPr>
          <w:rFonts w:ascii="宋体" w:hAnsi="宋体" w:cs="宋体"/>
          <w:color w:val="000000"/>
          <w:kern w:val="0"/>
          <w:sz w:val="24"/>
        </w:rPr>
        <w:t>服务承诺方案</w:t>
      </w:r>
      <w:r>
        <w:rPr>
          <w:rFonts w:hint="eastAsia" w:ascii="宋体" w:hAnsi="宋体" w:cs="宋体"/>
          <w:color w:val="000000"/>
          <w:kern w:val="0"/>
          <w:sz w:val="24"/>
        </w:rPr>
        <w:t>；</w:t>
      </w:r>
    </w:p>
    <w:p>
      <w:pPr>
        <w:widowControl/>
        <w:ind w:firstLine="420" w:firstLineChars="175"/>
        <w:jc w:val="left"/>
        <w:rPr>
          <w:sz w:val="24"/>
        </w:rPr>
      </w:pPr>
      <w:r>
        <w:rPr>
          <w:rFonts w:hint="eastAsia" w:ascii="宋体" w:hAnsi="宋体" w:cs="宋体"/>
          <w:sz w:val="24"/>
        </w:rPr>
        <w:t>应急预案。</w:t>
      </w:r>
      <w:r>
        <w:rPr>
          <w:sz w:val="36"/>
          <w:szCs w:val="36"/>
        </w:rPr>
        <w:br w:type="page"/>
      </w:r>
      <w:r>
        <w:rPr>
          <w:sz w:val="24"/>
        </w:rPr>
        <w:t>1</w:t>
      </w:r>
      <w:r>
        <w:rPr>
          <w:rFonts w:hint="eastAsia"/>
          <w:sz w:val="24"/>
        </w:rPr>
        <w:t>4</w:t>
      </w:r>
      <w:r>
        <w:rPr>
          <w:sz w:val="24"/>
        </w:rPr>
        <w:t xml:space="preserve">  最后报价一览表（实质性格式，磋商后提交）</w:t>
      </w:r>
    </w:p>
    <w:p>
      <w:pPr>
        <w:widowControl/>
        <w:jc w:val="left"/>
        <w:rPr>
          <w:kern w:val="0"/>
          <w:sz w:val="24"/>
          <w:szCs w:val="20"/>
        </w:rPr>
      </w:pPr>
    </w:p>
    <w:p>
      <w:pPr>
        <w:spacing w:line="360" w:lineRule="exact"/>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5"/>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pPr>
              <w:tabs>
                <w:tab w:val="left" w:pos="5580"/>
              </w:tabs>
              <w:jc w:val="center"/>
              <w:rPr>
                <w:b/>
                <w:sz w:val="24"/>
              </w:rPr>
            </w:pPr>
            <w:r>
              <w:rPr>
                <w:b/>
                <w:sz w:val="24"/>
              </w:rPr>
              <w:t>序号</w:t>
            </w:r>
          </w:p>
        </w:tc>
        <w:tc>
          <w:tcPr>
            <w:tcW w:w="1498" w:type="pct"/>
            <w:vMerge w:val="restart"/>
            <w:vAlign w:val="center"/>
          </w:tcPr>
          <w:p>
            <w:pPr>
              <w:tabs>
                <w:tab w:val="left" w:pos="5580"/>
              </w:tabs>
              <w:jc w:val="center"/>
              <w:rPr>
                <w:b/>
                <w:sz w:val="24"/>
              </w:rPr>
            </w:pPr>
            <w:r>
              <w:rPr>
                <w:b/>
                <w:sz w:val="24"/>
              </w:rPr>
              <w:t>供应商名称</w:t>
            </w:r>
          </w:p>
        </w:tc>
        <w:tc>
          <w:tcPr>
            <w:tcW w:w="2106" w:type="pct"/>
            <w:gridSpan w:val="2"/>
            <w:vAlign w:val="center"/>
          </w:tcPr>
          <w:p>
            <w:pPr>
              <w:tabs>
                <w:tab w:val="left" w:pos="5580"/>
              </w:tabs>
              <w:jc w:val="center"/>
              <w:rPr>
                <w:b/>
                <w:sz w:val="24"/>
              </w:rPr>
            </w:pPr>
            <w:r>
              <w:rPr>
                <w:b/>
                <w:sz w:val="24"/>
              </w:rPr>
              <w:t>最后报价</w:t>
            </w:r>
          </w:p>
        </w:tc>
        <w:tc>
          <w:tcPr>
            <w:tcW w:w="949" w:type="pct"/>
            <w:vMerge w:val="restart"/>
            <w:vAlign w:val="center"/>
          </w:tcPr>
          <w:p>
            <w:pPr>
              <w:tabs>
                <w:tab w:val="left" w:pos="5580"/>
              </w:tabs>
              <w:jc w:val="center"/>
              <w:rPr>
                <w:b/>
                <w:sz w:val="24"/>
              </w:rPr>
            </w:pPr>
            <w:r>
              <w:rPr>
                <w:b/>
                <w:sz w:val="24"/>
              </w:rPr>
              <w:t>其他</w:t>
            </w:r>
          </w:p>
          <w:p>
            <w:pPr>
              <w:tabs>
                <w:tab w:val="left" w:pos="5580"/>
              </w:tabs>
              <w:jc w:val="center"/>
              <w:rPr>
                <w:b/>
                <w:sz w:val="24"/>
              </w:rPr>
            </w:pPr>
            <w:r>
              <w:rPr>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jc w:val="center"/>
              <w:rPr>
                <w:sz w:val="24"/>
              </w:rPr>
            </w:pPr>
          </w:p>
        </w:tc>
        <w:tc>
          <w:tcPr>
            <w:tcW w:w="1498" w:type="pct"/>
            <w:vMerge w:val="continue"/>
            <w:vAlign w:val="center"/>
          </w:tcPr>
          <w:p>
            <w:pPr>
              <w:tabs>
                <w:tab w:val="left" w:pos="5580"/>
              </w:tabs>
              <w:jc w:val="center"/>
              <w:rPr>
                <w:sz w:val="24"/>
              </w:rPr>
            </w:pPr>
          </w:p>
        </w:tc>
        <w:tc>
          <w:tcPr>
            <w:tcW w:w="1114" w:type="pct"/>
            <w:vAlign w:val="center"/>
          </w:tcPr>
          <w:p>
            <w:pPr>
              <w:tabs>
                <w:tab w:val="left" w:pos="5580"/>
              </w:tabs>
              <w:jc w:val="center"/>
              <w:rPr>
                <w:b/>
                <w:sz w:val="24"/>
              </w:rPr>
            </w:pPr>
            <w:r>
              <w:rPr>
                <w:b/>
                <w:sz w:val="24"/>
              </w:rPr>
              <w:t>大写</w:t>
            </w:r>
          </w:p>
        </w:tc>
        <w:tc>
          <w:tcPr>
            <w:tcW w:w="992" w:type="pct"/>
            <w:vAlign w:val="center"/>
          </w:tcPr>
          <w:p>
            <w:pPr>
              <w:tabs>
                <w:tab w:val="left" w:pos="5580"/>
              </w:tabs>
              <w:jc w:val="center"/>
              <w:rPr>
                <w:b/>
                <w:sz w:val="24"/>
              </w:rPr>
            </w:pPr>
            <w:r>
              <w:rPr>
                <w:b/>
                <w:sz w:val="24"/>
              </w:rPr>
              <w:t>小写</w:t>
            </w:r>
          </w:p>
        </w:tc>
        <w:tc>
          <w:tcPr>
            <w:tcW w:w="949" w:type="pct"/>
            <w:vMerge w:val="continue"/>
            <w:vAlign w:val="center"/>
          </w:tcPr>
          <w:p>
            <w:pPr>
              <w:tabs>
                <w:tab w:val="left" w:pos="5580"/>
              </w:tabs>
              <w:ind w:firstLine="482"/>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jc w:val="center"/>
              <w:rPr>
                <w:sz w:val="24"/>
              </w:rPr>
            </w:pPr>
          </w:p>
        </w:tc>
        <w:tc>
          <w:tcPr>
            <w:tcW w:w="1498" w:type="pct"/>
            <w:vAlign w:val="center"/>
          </w:tcPr>
          <w:p>
            <w:pPr>
              <w:tabs>
                <w:tab w:val="left" w:pos="5580"/>
              </w:tabs>
              <w:jc w:val="center"/>
              <w:rPr>
                <w:sz w:val="24"/>
              </w:rPr>
            </w:pPr>
          </w:p>
        </w:tc>
        <w:tc>
          <w:tcPr>
            <w:tcW w:w="1114" w:type="pct"/>
            <w:vAlign w:val="center"/>
          </w:tcPr>
          <w:p>
            <w:pPr>
              <w:tabs>
                <w:tab w:val="left" w:pos="5580"/>
              </w:tabs>
              <w:jc w:val="center"/>
              <w:rPr>
                <w:sz w:val="24"/>
              </w:rPr>
            </w:pPr>
          </w:p>
        </w:tc>
        <w:tc>
          <w:tcPr>
            <w:tcW w:w="992" w:type="pct"/>
            <w:vAlign w:val="center"/>
          </w:tcPr>
          <w:p>
            <w:pPr>
              <w:tabs>
                <w:tab w:val="left" w:pos="5580"/>
              </w:tabs>
              <w:jc w:val="center"/>
              <w:rPr>
                <w:sz w:val="24"/>
              </w:rPr>
            </w:pPr>
          </w:p>
        </w:tc>
        <w:tc>
          <w:tcPr>
            <w:tcW w:w="949"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w:t>
      </w:r>
      <w:r>
        <w:rPr>
          <w:rFonts w:hint="eastAsia"/>
          <w:color w:val="000000"/>
          <w:sz w:val="24"/>
          <w:szCs w:val="20"/>
        </w:rPr>
        <w:t>最后</w:t>
      </w:r>
      <w:r>
        <w:rPr>
          <w:color w:val="000000"/>
          <w:sz w:val="24"/>
          <w:szCs w:val="20"/>
        </w:rPr>
        <w:t>报价应和《最后分项报价表》中的总价相一致。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tabs>
          <w:tab w:val="left" w:pos="5580"/>
        </w:tabs>
        <w:ind w:firstLine="480" w:firstLineChars="200"/>
        <w:rPr>
          <w:color w:val="000000"/>
          <w:sz w:val="24"/>
          <w:szCs w:val="20"/>
        </w:rPr>
      </w:pPr>
      <w:r>
        <w:rPr>
          <w:rFonts w:hint="eastAsia"/>
          <w:color w:val="000000"/>
          <w:sz w:val="24"/>
          <w:szCs w:val="20"/>
        </w:rPr>
        <w:t>3.此表无需在响应文件中提交，磋商后供应商按磋商小组要求提交。</w:t>
      </w:r>
    </w:p>
    <w:p>
      <w:pPr>
        <w:tabs>
          <w:tab w:val="left" w:pos="5580"/>
        </w:tabs>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sz w:val="24"/>
        </w:rPr>
        <w:t>1</w:t>
      </w:r>
      <w:r>
        <w:rPr>
          <w:rFonts w:hint="eastAsia"/>
          <w:sz w:val="24"/>
        </w:rPr>
        <w:t>5</w:t>
      </w:r>
      <w:r>
        <w:rPr>
          <w:sz w:val="24"/>
        </w:rPr>
        <w:t xml:space="preserve">  最后分项报价表（实质性格式</w:t>
      </w:r>
      <w:r>
        <w:rPr>
          <w:rFonts w:hint="eastAsia"/>
          <w:sz w:val="24"/>
        </w:rPr>
        <w:t>，磋商后提交</w:t>
      </w:r>
      <w:r>
        <w:rPr>
          <w:sz w:val="24"/>
        </w:rPr>
        <w:t>）</w:t>
      </w:r>
    </w:p>
    <w:p>
      <w:pPr>
        <w:spacing w:line="360" w:lineRule="exact"/>
        <w:jc w:val="center"/>
        <w:rPr>
          <w:color w:val="000000"/>
          <w:sz w:val="36"/>
          <w:szCs w:val="36"/>
        </w:rPr>
      </w:pPr>
      <w:r>
        <w:rPr>
          <w:color w:val="000000"/>
          <w:sz w:val="36"/>
          <w:szCs w:val="36"/>
        </w:rPr>
        <w:t>最后分项报价表</w:t>
      </w:r>
    </w:p>
    <w:p>
      <w:pPr>
        <w:adjustRightInd w:val="0"/>
        <w:snapToGrid w:val="0"/>
        <w:spacing w:before="240" w:beforeLines="100" w:after="240" w:afterLines="100"/>
        <w:jc w:val="left"/>
        <w:rPr>
          <w:b/>
          <w:i/>
          <w:color w:val="FF0000"/>
          <w:sz w:val="24"/>
        </w:rPr>
      </w:pPr>
    </w:p>
    <w:p>
      <w:pPr>
        <w:tabs>
          <w:tab w:val="left" w:pos="1800"/>
          <w:tab w:val="left" w:pos="5580"/>
        </w:tabs>
        <w:rPr>
          <w:color w:val="000000"/>
          <w:sz w:val="24"/>
        </w:rPr>
      </w:pPr>
      <w:r>
        <w:rPr>
          <w:color w:val="000000"/>
          <w:sz w:val="24"/>
        </w:rPr>
        <w:t>项目编号/包号：_________ 项目名称：_________报价单位：人民币元</w:t>
      </w:r>
    </w:p>
    <w:tbl>
      <w:tblPr>
        <w:tblStyle w:val="45"/>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3403"/>
        <w:gridCol w:w="1562"/>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vAlign w:val="center"/>
          </w:tcPr>
          <w:p>
            <w:pPr>
              <w:adjustRightInd w:val="0"/>
              <w:snapToGrid w:val="0"/>
              <w:jc w:val="left"/>
              <w:rPr>
                <w:b/>
                <w:color w:val="000000"/>
                <w:sz w:val="24"/>
              </w:rPr>
            </w:pPr>
            <w:r>
              <w:rPr>
                <w:b/>
                <w:color w:val="000000"/>
                <w:sz w:val="24"/>
              </w:rPr>
              <w:t>序号</w:t>
            </w:r>
          </w:p>
        </w:tc>
        <w:tc>
          <w:tcPr>
            <w:tcW w:w="1847" w:type="pct"/>
            <w:vAlign w:val="center"/>
          </w:tcPr>
          <w:p>
            <w:pPr>
              <w:adjustRightInd w:val="0"/>
              <w:snapToGrid w:val="0"/>
              <w:jc w:val="left"/>
              <w:rPr>
                <w:b/>
                <w:color w:val="000000"/>
                <w:sz w:val="24"/>
              </w:rPr>
            </w:pPr>
            <w:r>
              <w:rPr>
                <w:b/>
                <w:color w:val="000000"/>
                <w:sz w:val="24"/>
              </w:rPr>
              <w:t>分项名称</w:t>
            </w:r>
          </w:p>
        </w:tc>
        <w:tc>
          <w:tcPr>
            <w:tcW w:w="848" w:type="pct"/>
            <w:vAlign w:val="center"/>
          </w:tcPr>
          <w:p>
            <w:pPr>
              <w:adjustRightInd w:val="0"/>
              <w:snapToGrid w:val="0"/>
              <w:jc w:val="left"/>
              <w:rPr>
                <w:b/>
                <w:color w:val="000000"/>
                <w:sz w:val="24"/>
              </w:rPr>
            </w:pPr>
            <w:r>
              <w:rPr>
                <w:b/>
                <w:color w:val="000000"/>
                <w:sz w:val="24"/>
              </w:rPr>
              <w:t>单价（元）</w:t>
            </w:r>
          </w:p>
        </w:tc>
        <w:tc>
          <w:tcPr>
            <w:tcW w:w="847" w:type="pct"/>
            <w:vAlign w:val="center"/>
          </w:tcPr>
          <w:p>
            <w:pPr>
              <w:adjustRightInd w:val="0"/>
              <w:snapToGrid w:val="0"/>
              <w:jc w:val="left"/>
              <w:rPr>
                <w:b/>
                <w:color w:val="000000"/>
                <w:sz w:val="24"/>
              </w:rPr>
            </w:pPr>
            <w:r>
              <w:rPr>
                <w:b/>
                <w:color w:val="000000"/>
                <w:sz w:val="24"/>
              </w:rPr>
              <w:t>合价（元）</w:t>
            </w:r>
          </w:p>
        </w:tc>
        <w:tc>
          <w:tcPr>
            <w:tcW w:w="1076"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pPr>
              <w:adjustRightInd w:val="0"/>
              <w:snapToGrid w:val="0"/>
              <w:jc w:val="center"/>
              <w:rPr>
                <w:color w:val="000000"/>
                <w:sz w:val="24"/>
              </w:rPr>
            </w:pPr>
            <w:r>
              <w:rPr>
                <w:color w:val="000000"/>
                <w:sz w:val="24"/>
              </w:rPr>
              <w:t>1</w:t>
            </w:r>
          </w:p>
        </w:tc>
        <w:tc>
          <w:tcPr>
            <w:tcW w:w="1847" w:type="pct"/>
            <w:vAlign w:val="center"/>
          </w:tcPr>
          <w:p>
            <w:pPr>
              <w:adjustRightInd w:val="0"/>
              <w:snapToGrid w:val="0"/>
              <w:jc w:val="left"/>
              <w:rPr>
                <w:color w:val="000000"/>
                <w:sz w:val="24"/>
              </w:rPr>
            </w:pPr>
          </w:p>
        </w:tc>
        <w:tc>
          <w:tcPr>
            <w:tcW w:w="848" w:type="pct"/>
            <w:vAlign w:val="center"/>
          </w:tcPr>
          <w:p>
            <w:pPr>
              <w:adjustRightInd w:val="0"/>
              <w:snapToGrid w:val="0"/>
              <w:jc w:val="left"/>
              <w:rPr>
                <w:color w:val="000000"/>
                <w:sz w:val="24"/>
              </w:rPr>
            </w:pPr>
          </w:p>
        </w:tc>
        <w:tc>
          <w:tcPr>
            <w:tcW w:w="847" w:type="pct"/>
            <w:vAlign w:val="center"/>
          </w:tcPr>
          <w:p>
            <w:pPr>
              <w:adjustRightInd w:val="0"/>
              <w:snapToGrid w:val="0"/>
              <w:jc w:val="left"/>
              <w:rPr>
                <w:color w:val="000000"/>
                <w:sz w:val="24"/>
              </w:rPr>
            </w:pPr>
          </w:p>
        </w:tc>
        <w:tc>
          <w:tcPr>
            <w:tcW w:w="1076"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pPr>
              <w:adjustRightInd w:val="0"/>
              <w:snapToGrid w:val="0"/>
              <w:jc w:val="center"/>
              <w:rPr>
                <w:color w:val="000000"/>
                <w:sz w:val="24"/>
              </w:rPr>
            </w:pPr>
            <w:r>
              <w:rPr>
                <w:color w:val="000000"/>
                <w:sz w:val="24"/>
              </w:rPr>
              <w:t>2</w:t>
            </w:r>
          </w:p>
        </w:tc>
        <w:tc>
          <w:tcPr>
            <w:tcW w:w="1847" w:type="pct"/>
            <w:vAlign w:val="center"/>
          </w:tcPr>
          <w:p>
            <w:pPr>
              <w:adjustRightInd w:val="0"/>
              <w:snapToGrid w:val="0"/>
              <w:jc w:val="left"/>
              <w:rPr>
                <w:color w:val="000000"/>
                <w:sz w:val="24"/>
              </w:rPr>
            </w:pPr>
          </w:p>
        </w:tc>
        <w:tc>
          <w:tcPr>
            <w:tcW w:w="848" w:type="pct"/>
            <w:vAlign w:val="center"/>
          </w:tcPr>
          <w:p>
            <w:pPr>
              <w:adjustRightInd w:val="0"/>
              <w:snapToGrid w:val="0"/>
              <w:jc w:val="left"/>
              <w:rPr>
                <w:color w:val="000000"/>
                <w:sz w:val="24"/>
              </w:rPr>
            </w:pPr>
          </w:p>
        </w:tc>
        <w:tc>
          <w:tcPr>
            <w:tcW w:w="847" w:type="pct"/>
            <w:vAlign w:val="center"/>
          </w:tcPr>
          <w:p>
            <w:pPr>
              <w:adjustRightInd w:val="0"/>
              <w:snapToGrid w:val="0"/>
              <w:jc w:val="left"/>
              <w:rPr>
                <w:color w:val="000000"/>
                <w:sz w:val="24"/>
              </w:rPr>
            </w:pPr>
          </w:p>
        </w:tc>
        <w:tc>
          <w:tcPr>
            <w:tcW w:w="1076"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000000"/>
                <w:sz w:val="24"/>
              </w:rPr>
            </w:pPr>
            <w:r>
              <w:rPr>
                <w:color w:val="000000"/>
                <w:sz w:val="24"/>
              </w:rPr>
              <w:t>3</w:t>
            </w:r>
          </w:p>
        </w:tc>
        <w:tc>
          <w:tcPr>
            <w:tcW w:w="1847" w:type="pct"/>
            <w:vAlign w:val="center"/>
          </w:tcPr>
          <w:p>
            <w:pPr>
              <w:adjustRightInd w:val="0"/>
              <w:snapToGrid w:val="0"/>
              <w:jc w:val="left"/>
              <w:rPr>
                <w:color w:val="000000"/>
                <w:sz w:val="24"/>
              </w:rPr>
            </w:pPr>
            <w:r>
              <w:rPr>
                <w:color w:val="000000"/>
                <w:sz w:val="24"/>
              </w:rPr>
              <w:t>…</w:t>
            </w:r>
          </w:p>
        </w:tc>
        <w:tc>
          <w:tcPr>
            <w:tcW w:w="848" w:type="pct"/>
            <w:vAlign w:val="center"/>
          </w:tcPr>
          <w:p>
            <w:pPr>
              <w:adjustRightInd w:val="0"/>
              <w:snapToGrid w:val="0"/>
              <w:jc w:val="left"/>
              <w:rPr>
                <w:color w:val="000000"/>
                <w:sz w:val="24"/>
              </w:rPr>
            </w:pPr>
          </w:p>
        </w:tc>
        <w:tc>
          <w:tcPr>
            <w:tcW w:w="847" w:type="pct"/>
            <w:vAlign w:val="center"/>
          </w:tcPr>
          <w:p>
            <w:pPr>
              <w:adjustRightInd w:val="0"/>
              <w:snapToGrid w:val="0"/>
              <w:jc w:val="left"/>
              <w:rPr>
                <w:color w:val="000000"/>
                <w:sz w:val="24"/>
              </w:rPr>
            </w:pPr>
          </w:p>
        </w:tc>
        <w:tc>
          <w:tcPr>
            <w:tcW w:w="1076"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vAlign w:val="center"/>
          </w:tcPr>
          <w:p>
            <w:pPr>
              <w:adjustRightInd w:val="0"/>
              <w:snapToGrid w:val="0"/>
              <w:jc w:val="left"/>
              <w:rPr>
                <w:color w:val="000000"/>
                <w:sz w:val="24"/>
              </w:rPr>
            </w:pPr>
            <w:r>
              <w:rPr>
                <w:color w:val="000000"/>
                <w:sz w:val="24"/>
              </w:rPr>
              <w:t>总价（元）</w:t>
            </w:r>
          </w:p>
        </w:tc>
        <w:tc>
          <w:tcPr>
            <w:tcW w:w="847" w:type="pct"/>
            <w:vAlign w:val="center"/>
          </w:tcPr>
          <w:p>
            <w:pPr>
              <w:adjustRightInd w:val="0"/>
              <w:snapToGrid w:val="0"/>
              <w:jc w:val="left"/>
              <w:rPr>
                <w:color w:val="000000"/>
                <w:sz w:val="24"/>
              </w:rPr>
            </w:pPr>
          </w:p>
        </w:tc>
        <w:tc>
          <w:tcPr>
            <w:tcW w:w="1076"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autoSpaceDE w:val="0"/>
        <w:autoSpaceDN w:val="0"/>
        <w:adjustRightInd w:val="0"/>
        <w:snapToGrid w:val="0"/>
        <w:spacing w:before="25" w:after="25"/>
        <w:rPr>
          <w:color w:val="000000"/>
          <w:sz w:val="24"/>
        </w:rPr>
      </w:pPr>
      <w:r>
        <w:rPr>
          <w:color w:val="000000"/>
          <w:sz w:val="24"/>
        </w:rPr>
        <w:t>注：</w:t>
      </w:r>
      <w:r>
        <w:rPr>
          <w:rFonts w:hint="eastAsia"/>
          <w:color w:val="000000"/>
          <w:sz w:val="24"/>
        </w:rPr>
        <w:t>1.本表应按包分别填写。</w:t>
      </w:r>
    </w:p>
    <w:p>
      <w:pPr>
        <w:autoSpaceDE w:val="0"/>
        <w:autoSpaceDN w:val="0"/>
        <w:adjustRightInd w:val="0"/>
        <w:snapToGrid w:val="0"/>
        <w:spacing w:before="25" w:after="25"/>
        <w:ind w:firstLine="480" w:firstLineChars="200"/>
        <w:rPr>
          <w:color w:val="000000"/>
          <w:sz w:val="24"/>
        </w:rPr>
      </w:pPr>
      <w:r>
        <w:rPr>
          <w:rFonts w:hint="eastAsia"/>
          <w:color w:val="000000"/>
          <w:sz w:val="24"/>
        </w:rPr>
        <w:t>2.上述各项的详细规格 (如有)，可另页描述。</w:t>
      </w:r>
    </w:p>
    <w:p>
      <w:pPr>
        <w:autoSpaceDE w:val="0"/>
        <w:autoSpaceDN w:val="0"/>
        <w:adjustRightInd w:val="0"/>
        <w:snapToGrid w:val="0"/>
        <w:spacing w:before="25" w:after="25"/>
        <w:ind w:firstLine="480" w:firstLineChars="200"/>
        <w:rPr>
          <w:color w:val="000000"/>
          <w:sz w:val="24"/>
        </w:rPr>
      </w:pPr>
      <w:r>
        <w:rPr>
          <w:rFonts w:hint="eastAsia"/>
          <w:color w:val="000000"/>
          <w:sz w:val="24"/>
        </w:rPr>
        <w:t>3.此表无需在响应文件中提交，磋商后供应商按磋商小组要求提交。</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kern w:val="0"/>
          <w:sz w:val="24"/>
        </w:rPr>
        <w:t>供应商授权代表签字（或加盖供应商公章）</w:t>
      </w:r>
      <w:r>
        <w:rPr>
          <w:color w:val="000000"/>
          <w:sz w:val="24"/>
          <w:lang w:val="zh-CN"/>
        </w:rPr>
        <w:t xml:space="preserve">：____________ </w:t>
      </w:r>
    </w:p>
    <w:p>
      <w:pPr>
        <w:autoSpaceDE w:val="0"/>
        <w:autoSpaceDN w:val="0"/>
        <w:adjustRightInd w:val="0"/>
        <w:snapToGrid w:val="0"/>
        <w:spacing w:before="25" w:after="25" w:line="360" w:lineRule="auto"/>
        <w:rPr>
          <w:color w:val="000000"/>
          <w:sz w:val="24"/>
          <w:szCs w:val="20"/>
        </w:rPr>
      </w:pPr>
      <w:r>
        <w:rPr>
          <w:color w:val="000000"/>
          <w:sz w:val="24"/>
          <w:szCs w:val="20"/>
        </w:rPr>
        <w:t xml:space="preserve">日期：____年____月____日  </w:t>
      </w:r>
    </w:p>
    <w:p>
      <w:pPr>
        <w:rPr>
          <w:color w:val="000000"/>
          <w:sz w:val="24"/>
          <w:szCs w:val="20"/>
        </w:rPr>
      </w:pPr>
      <w:r>
        <w:rPr>
          <w:color w:val="000000"/>
          <w:sz w:val="24"/>
          <w:szCs w:val="20"/>
        </w:rPr>
        <w:br w:type="page"/>
      </w:r>
    </w:p>
    <w:p>
      <w:pPr>
        <w:pStyle w:val="41"/>
      </w:pPr>
    </w:p>
    <w:p>
      <w:pPr>
        <w:tabs>
          <w:tab w:val="left" w:pos="360"/>
        </w:tabs>
        <w:snapToGrid w:val="0"/>
        <w:spacing w:line="360" w:lineRule="auto"/>
        <w:outlineLvl w:val="1"/>
        <w:rPr>
          <w:sz w:val="24"/>
          <w:szCs w:val="20"/>
        </w:rPr>
      </w:pPr>
      <w:r>
        <w:rPr>
          <w:rFonts w:hint="eastAsia"/>
          <w:sz w:val="24"/>
        </w:rPr>
        <w:t>16 磋商文件</w:t>
      </w:r>
      <w:r>
        <w:rPr>
          <w:sz w:val="24"/>
          <w:szCs w:val="20"/>
        </w:rPr>
        <w:t>要求提供或</w:t>
      </w:r>
      <w:r>
        <w:rPr>
          <w:rFonts w:hint="eastAsia"/>
          <w:sz w:val="24"/>
        </w:rPr>
        <w:t>供应商</w:t>
      </w:r>
      <w:r>
        <w:rPr>
          <w:sz w:val="24"/>
          <w:szCs w:val="20"/>
        </w:rPr>
        <w:t>认为应附的其他材料</w:t>
      </w:r>
    </w:p>
    <w:p>
      <w:pPr>
        <w:spacing w:line="360" w:lineRule="auto"/>
        <w:ind w:left="420" w:right="-57" w:rightChars="-27"/>
        <w:rPr>
          <w:sz w:val="24"/>
        </w:rPr>
      </w:pPr>
    </w:p>
    <w:p>
      <w:pPr>
        <w:spacing w:line="360" w:lineRule="auto"/>
        <w:ind w:left="420" w:right="-57" w:rightChars="-27"/>
        <w:rPr>
          <w:sz w:val="24"/>
        </w:rPr>
      </w:pPr>
      <w:r>
        <w:rPr>
          <w:sz w:val="24"/>
        </w:rPr>
        <w:t>注： 包括但不限于以下部分</w:t>
      </w:r>
    </w:p>
    <w:p>
      <w:pPr>
        <w:tabs>
          <w:tab w:val="left" w:pos="360"/>
          <w:tab w:val="left" w:pos="900"/>
          <w:tab w:val="left" w:pos="1080"/>
          <w:tab w:val="left" w:pos="2014"/>
        </w:tabs>
        <w:snapToGrid w:val="0"/>
        <w:spacing w:line="360" w:lineRule="auto"/>
        <w:ind w:firstLine="420" w:firstLineChars="175"/>
        <w:rPr>
          <w:rFonts w:ascii="宋体" w:hAnsi="宋体" w:cs="宋体"/>
          <w:bCs/>
          <w:iCs/>
          <w:sz w:val="24"/>
        </w:rPr>
      </w:pPr>
      <w:r>
        <w:rPr>
          <w:rFonts w:hint="eastAsia" w:ascii="宋体" w:hAnsi="宋体" w:cs="宋体"/>
          <w:bCs/>
          <w:iCs/>
          <w:sz w:val="24"/>
        </w:rPr>
        <w:t>①质量管理体系认证</w:t>
      </w:r>
    </w:p>
    <w:p>
      <w:pPr>
        <w:tabs>
          <w:tab w:val="left" w:pos="360"/>
          <w:tab w:val="left" w:pos="900"/>
          <w:tab w:val="left" w:pos="1080"/>
          <w:tab w:val="left" w:pos="2014"/>
        </w:tabs>
        <w:snapToGrid w:val="0"/>
        <w:spacing w:line="360" w:lineRule="auto"/>
        <w:ind w:firstLine="420" w:firstLineChars="175"/>
        <w:rPr>
          <w:rFonts w:ascii="宋体" w:hAnsi="宋体" w:cs="宋体"/>
          <w:bCs/>
          <w:iCs/>
          <w:sz w:val="24"/>
        </w:rPr>
      </w:pPr>
      <w:r>
        <w:rPr>
          <w:rFonts w:hint="eastAsia" w:ascii="宋体" w:hAnsi="宋体" w:cs="宋体"/>
          <w:bCs/>
          <w:iCs/>
          <w:sz w:val="24"/>
        </w:rPr>
        <w:t>②环境管理体系认证</w:t>
      </w:r>
    </w:p>
    <w:p>
      <w:pPr>
        <w:tabs>
          <w:tab w:val="left" w:pos="360"/>
          <w:tab w:val="left" w:pos="900"/>
          <w:tab w:val="left" w:pos="1080"/>
          <w:tab w:val="left" w:pos="2014"/>
        </w:tabs>
        <w:snapToGrid w:val="0"/>
        <w:spacing w:line="360" w:lineRule="auto"/>
        <w:ind w:firstLine="420" w:firstLineChars="175"/>
        <w:rPr>
          <w:rFonts w:ascii="宋体" w:hAnsi="宋体" w:cs="宋体"/>
          <w:bCs/>
          <w:iCs/>
          <w:sz w:val="24"/>
        </w:rPr>
      </w:pPr>
      <w:r>
        <w:rPr>
          <w:rFonts w:hint="eastAsia" w:ascii="宋体" w:hAnsi="宋体" w:cs="宋体"/>
          <w:bCs/>
          <w:iCs/>
          <w:sz w:val="24"/>
        </w:rPr>
        <w:t>③职业健康安全管理体系认证</w:t>
      </w:r>
    </w:p>
    <w:p>
      <w:pPr>
        <w:pStyle w:val="2"/>
      </w:pPr>
    </w:p>
    <w:sectPr>
      <w:headerReference r:id="rId28" w:type="default"/>
      <w:footerReference r:id="rId29" w:type="default"/>
      <w:pgSz w:w="11907" w:h="16840"/>
      <w:pgMar w:top="1117" w:right="1132"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0"/>
      </w:rPr>
    </w:pPr>
    <w:r>
      <w:fldChar w:fldCharType="begin"/>
    </w:r>
    <w:r>
      <w:rPr>
        <w:rStyle w:val="50"/>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9"/>
                          </w:pPr>
                          <w:r>
                            <w:fldChar w:fldCharType="begin"/>
                          </w:r>
                          <w:r>
                            <w:instrText xml:space="preserve"> PAGE  \* MERGEFORMAT </w:instrText>
                          </w:r>
                          <w:r>
                            <w:fldChar w:fldCharType="separate"/>
                          </w:r>
                          <w:r>
                            <w:t>6</w:t>
                          </w:r>
                          <w:r>
                            <w:fldChar w:fldCharType="end"/>
                          </w:r>
                        </w:p>
                      </w:txbxContent>
                    </wps:txbx>
                    <wps:bodyPr vert="horz" wrap="none" lIns="0" tIns="0" rIns="0" bIns="0" anchor="t" anchorCtr="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kzsu5NwBAADBAwAADgAAAAAAAAAB&#10;ACAAAAAeAQAAZHJzL2Uyb0RvYy54bWxQSwUGAAAAAAYABgBZAQAAbA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9"/>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RWF2dwBAADBAwAADgAAAGRycy9lMm9Eb2MueG1srVPNjtMwEL4j8Q6W&#10;7zTZg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SRWF2dwBAADBAwAADgAAAAAAAAAB&#10;ACAAAAAeAQAAZHJzL2Uyb0RvYy54bWxQSwUGAAAAAAYABgBZAQAAbA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9"/>
                          </w:pPr>
                          <w:r>
                            <w:fldChar w:fldCharType="begin"/>
                          </w:r>
                          <w:r>
                            <w:instrText xml:space="preserve"> PAGE  \* MERGEFORMAT </w:instrText>
                          </w:r>
                          <w:r>
                            <w:fldChar w:fldCharType="separate"/>
                          </w:r>
                          <w:r>
                            <w:t>87</w:t>
                          </w:r>
                          <w:r>
                            <w:fldChar w:fldCharType="end"/>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IQ0pdwBAADBAwAADgAAAGRycy9lMm9Eb2MueG1srVPNjtMwEL4j8Q6W&#10;7zTZC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3IQ0pdwBAADBAwAADgAAAAAAAAAB&#10;ACAAAAAeAQAAZHJzL2Uyb0RvYy54bWxQSwUGAAAAAAYABgBZAQAAbA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9"/>
                          </w:pPr>
                          <w:r>
                            <w:fldChar w:fldCharType="begin"/>
                          </w:r>
                          <w:r>
                            <w:instrText xml:space="preserve"> PAGE  \* MERGEFORMAT </w:instrText>
                          </w:r>
                          <w:r>
                            <w:fldChar w:fldCharType="separate"/>
                          </w:r>
                          <w:r>
                            <w:t>106</w:t>
                          </w:r>
                          <w:r>
                            <w:fldChar w:fldCharType="end"/>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JuztLNwBAADBAwAADgAAAAAAAAAB&#10;ACAAAAAeAQAAZHJzL2Uyb0RvYy54bWxQSwUGAAAAAAYABgBZAQAAbA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60E55E"/>
    <w:multiLevelType w:val="singleLevel"/>
    <w:tmpl w:val="A760E55E"/>
    <w:lvl w:ilvl="0" w:tentative="0">
      <w:start w:val="4"/>
      <w:numFmt w:val="chineseCounting"/>
      <w:suff w:val="space"/>
      <w:lvlText w:val="第%1章"/>
      <w:lvlJc w:val="left"/>
      <w:rPr>
        <w:rFonts w:hint="eastAsia"/>
      </w:rPr>
    </w:lvl>
  </w:abstractNum>
  <w:abstractNum w:abstractNumId="1">
    <w:nsid w:val="EE7E48AD"/>
    <w:multiLevelType w:val="singleLevel"/>
    <w:tmpl w:val="EE7E48AD"/>
    <w:lvl w:ilvl="0" w:tentative="0">
      <w:start w:val="1"/>
      <w:numFmt w:val="chineseCounting"/>
      <w:suff w:val="nothing"/>
      <w:lvlText w:val="（%1）"/>
      <w:lvlJc w:val="left"/>
      <w:rPr>
        <w:rFonts w:hint="eastAsia"/>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8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58"/>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0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1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13"/>
      <w:lvlText w:val="%1"/>
      <w:lvlJc w:val="left"/>
      <w:pPr>
        <w:ind w:left="680" w:hanging="680"/>
      </w:pPr>
      <w:rPr>
        <w:rFonts w:hint="eastAsia" w:ascii="宋体" w:hAnsi="宋体" w:eastAsia="宋体"/>
      </w:rPr>
    </w:lvl>
    <w:lvl w:ilvl="1" w:tentative="0">
      <w:start w:val="1"/>
      <w:numFmt w:val="decimal"/>
      <w:pStyle w:val="214"/>
      <w:lvlText w:val="%1.%2"/>
      <w:lvlJc w:val="left"/>
      <w:pPr>
        <w:ind w:left="851" w:hanging="851"/>
      </w:pPr>
      <w:rPr>
        <w:rFonts w:hint="eastAsia" w:ascii="宋体" w:hAnsi="宋体" w:eastAsia="宋体"/>
        <w:color w:val="auto"/>
      </w:rPr>
    </w:lvl>
    <w:lvl w:ilvl="2" w:tentative="0">
      <w:start w:val="1"/>
      <w:numFmt w:val="decimal"/>
      <w:pStyle w:val="21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BB4885D"/>
    <w:multiLevelType w:val="singleLevel"/>
    <w:tmpl w:val="2BB4885D"/>
    <w:lvl w:ilvl="0" w:tentative="0">
      <w:start w:val="1"/>
      <w:numFmt w:val="decimal"/>
      <w:suff w:val="nothing"/>
      <w:lvlText w:val="%1."/>
      <w:lvlJc w:val="left"/>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8"/>
  </w:num>
  <w:num w:numId="9">
    <w:abstractNumId w:val="12"/>
  </w:num>
  <w:num w:numId="10">
    <w:abstractNumId w:val="2"/>
  </w:num>
  <w:num w:numId="11">
    <w:abstractNumId w:val="11"/>
  </w:num>
  <w:num w:numId="12">
    <w:abstractNumId w:val="0"/>
  </w:num>
  <w:num w:numId="13">
    <w:abstractNumId w:val="1"/>
  </w:num>
  <w:num w:numId="14">
    <w:abstractNumId w:val="14"/>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TlmNWQ1YTgwYWZkZTc4ZTBjZWVmMzkyZTE3N2YxN2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AA"/>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3C1"/>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C80"/>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450"/>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EC4"/>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AF"/>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3B3"/>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3B5D"/>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1F"/>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154"/>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A7E91"/>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ADB"/>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240"/>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435"/>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7D"/>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C02"/>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5C0B4E"/>
    <w:rsid w:val="021E574E"/>
    <w:rsid w:val="03D472D2"/>
    <w:rsid w:val="04BC3145"/>
    <w:rsid w:val="05737123"/>
    <w:rsid w:val="0659586C"/>
    <w:rsid w:val="08D00067"/>
    <w:rsid w:val="095A2027"/>
    <w:rsid w:val="0AC10AF6"/>
    <w:rsid w:val="0B660C1A"/>
    <w:rsid w:val="0BC375EF"/>
    <w:rsid w:val="0C042C14"/>
    <w:rsid w:val="0C6B3366"/>
    <w:rsid w:val="0C721BDA"/>
    <w:rsid w:val="0CCD0CBE"/>
    <w:rsid w:val="0E675F4F"/>
    <w:rsid w:val="0F614B4B"/>
    <w:rsid w:val="0F7EEE71"/>
    <w:rsid w:val="0FA605E4"/>
    <w:rsid w:val="0FBD50BE"/>
    <w:rsid w:val="0FC90073"/>
    <w:rsid w:val="1025513D"/>
    <w:rsid w:val="11765524"/>
    <w:rsid w:val="12BF3379"/>
    <w:rsid w:val="138C6520"/>
    <w:rsid w:val="14951E1C"/>
    <w:rsid w:val="15E92769"/>
    <w:rsid w:val="173043EC"/>
    <w:rsid w:val="17F93E0B"/>
    <w:rsid w:val="189936EA"/>
    <w:rsid w:val="18EC3FB4"/>
    <w:rsid w:val="18F41B50"/>
    <w:rsid w:val="1A26749F"/>
    <w:rsid w:val="1ACA3B98"/>
    <w:rsid w:val="1B813443"/>
    <w:rsid w:val="1BB74BE3"/>
    <w:rsid w:val="1C455CA5"/>
    <w:rsid w:val="1CC0569C"/>
    <w:rsid w:val="1CD06430"/>
    <w:rsid w:val="1D2C69D2"/>
    <w:rsid w:val="1F890B18"/>
    <w:rsid w:val="20790727"/>
    <w:rsid w:val="20992FDD"/>
    <w:rsid w:val="21E36C06"/>
    <w:rsid w:val="231B021F"/>
    <w:rsid w:val="239E00B4"/>
    <w:rsid w:val="23B42696"/>
    <w:rsid w:val="246C2A48"/>
    <w:rsid w:val="251E74A4"/>
    <w:rsid w:val="258A5714"/>
    <w:rsid w:val="26F471BF"/>
    <w:rsid w:val="27205283"/>
    <w:rsid w:val="27843CE5"/>
    <w:rsid w:val="27FD88EE"/>
    <w:rsid w:val="28C055AB"/>
    <w:rsid w:val="2C026598"/>
    <w:rsid w:val="2C15045A"/>
    <w:rsid w:val="2C351815"/>
    <w:rsid w:val="2CE15203"/>
    <w:rsid w:val="2DD17478"/>
    <w:rsid w:val="2E434A6A"/>
    <w:rsid w:val="2E440681"/>
    <w:rsid w:val="2E8F2D8A"/>
    <w:rsid w:val="2EE74AB9"/>
    <w:rsid w:val="2F544C9F"/>
    <w:rsid w:val="2F8135BA"/>
    <w:rsid w:val="2F813C45"/>
    <w:rsid w:val="2F912134"/>
    <w:rsid w:val="30137F7E"/>
    <w:rsid w:val="31E646CE"/>
    <w:rsid w:val="32354F6B"/>
    <w:rsid w:val="328119CD"/>
    <w:rsid w:val="32EB653A"/>
    <w:rsid w:val="35521C81"/>
    <w:rsid w:val="357C103F"/>
    <w:rsid w:val="35957DBF"/>
    <w:rsid w:val="36097FA2"/>
    <w:rsid w:val="367774C5"/>
    <w:rsid w:val="37B87D95"/>
    <w:rsid w:val="38657957"/>
    <w:rsid w:val="38F80D91"/>
    <w:rsid w:val="393B376F"/>
    <w:rsid w:val="3A3E2202"/>
    <w:rsid w:val="3BCB6780"/>
    <w:rsid w:val="3C4A41E3"/>
    <w:rsid w:val="3CBB22E7"/>
    <w:rsid w:val="3D8F1598"/>
    <w:rsid w:val="3D956BAE"/>
    <w:rsid w:val="3E4B3711"/>
    <w:rsid w:val="3EA07DDD"/>
    <w:rsid w:val="3EAA1FA0"/>
    <w:rsid w:val="3F10792C"/>
    <w:rsid w:val="3F1E451E"/>
    <w:rsid w:val="3FF5F3AE"/>
    <w:rsid w:val="407C216D"/>
    <w:rsid w:val="41C8088A"/>
    <w:rsid w:val="423D0028"/>
    <w:rsid w:val="42CD0A98"/>
    <w:rsid w:val="430420E0"/>
    <w:rsid w:val="431A0C09"/>
    <w:rsid w:val="43405188"/>
    <w:rsid w:val="43622277"/>
    <w:rsid w:val="440103D3"/>
    <w:rsid w:val="450A1C47"/>
    <w:rsid w:val="451F3201"/>
    <w:rsid w:val="464E1FED"/>
    <w:rsid w:val="46685A76"/>
    <w:rsid w:val="4677B9E9"/>
    <w:rsid w:val="46A047CA"/>
    <w:rsid w:val="472E43D9"/>
    <w:rsid w:val="4773749E"/>
    <w:rsid w:val="479779C7"/>
    <w:rsid w:val="480E2158"/>
    <w:rsid w:val="48D1681A"/>
    <w:rsid w:val="48D37A5B"/>
    <w:rsid w:val="492928A2"/>
    <w:rsid w:val="49E70782"/>
    <w:rsid w:val="4B65373A"/>
    <w:rsid w:val="4B825F6B"/>
    <w:rsid w:val="4D00163A"/>
    <w:rsid w:val="4D186B5A"/>
    <w:rsid w:val="4E233D62"/>
    <w:rsid w:val="4EAB059E"/>
    <w:rsid w:val="4EBB3F9B"/>
    <w:rsid w:val="4F0F5BE3"/>
    <w:rsid w:val="4F3D1985"/>
    <w:rsid w:val="4FA275F8"/>
    <w:rsid w:val="4FAC67CD"/>
    <w:rsid w:val="4FFF1802"/>
    <w:rsid w:val="50042BBD"/>
    <w:rsid w:val="51053241"/>
    <w:rsid w:val="52422029"/>
    <w:rsid w:val="538419AF"/>
    <w:rsid w:val="55040901"/>
    <w:rsid w:val="55D30964"/>
    <w:rsid w:val="56DF05DE"/>
    <w:rsid w:val="57FC6189"/>
    <w:rsid w:val="5906675A"/>
    <w:rsid w:val="59D95C1D"/>
    <w:rsid w:val="59E20F76"/>
    <w:rsid w:val="5A747787"/>
    <w:rsid w:val="5B2501C2"/>
    <w:rsid w:val="5BA27FD2"/>
    <w:rsid w:val="5BD20B76"/>
    <w:rsid w:val="5C1F3F87"/>
    <w:rsid w:val="5CDD3707"/>
    <w:rsid w:val="5CF60894"/>
    <w:rsid w:val="5D3A352A"/>
    <w:rsid w:val="5DEA5F87"/>
    <w:rsid w:val="5F073306"/>
    <w:rsid w:val="5F5F73B9"/>
    <w:rsid w:val="5FE7A967"/>
    <w:rsid w:val="604E7E90"/>
    <w:rsid w:val="616C7AA2"/>
    <w:rsid w:val="61C176C2"/>
    <w:rsid w:val="638255C6"/>
    <w:rsid w:val="648D1ADE"/>
    <w:rsid w:val="64C86FBA"/>
    <w:rsid w:val="64EB0A4F"/>
    <w:rsid w:val="65560E0F"/>
    <w:rsid w:val="655C540A"/>
    <w:rsid w:val="65C07C91"/>
    <w:rsid w:val="661E4C47"/>
    <w:rsid w:val="665E591B"/>
    <w:rsid w:val="66FFFF9D"/>
    <w:rsid w:val="6838144E"/>
    <w:rsid w:val="68525F02"/>
    <w:rsid w:val="68AA7398"/>
    <w:rsid w:val="69721EB0"/>
    <w:rsid w:val="6BE50451"/>
    <w:rsid w:val="6D0E1AC4"/>
    <w:rsid w:val="6DAD5695"/>
    <w:rsid w:val="6EBC31C7"/>
    <w:rsid w:val="6FAD74D8"/>
    <w:rsid w:val="700A32A6"/>
    <w:rsid w:val="705B410D"/>
    <w:rsid w:val="71FF7844"/>
    <w:rsid w:val="74234E42"/>
    <w:rsid w:val="742C597A"/>
    <w:rsid w:val="74B1259F"/>
    <w:rsid w:val="757C0194"/>
    <w:rsid w:val="7682346D"/>
    <w:rsid w:val="76B4739E"/>
    <w:rsid w:val="775A6197"/>
    <w:rsid w:val="789A3768"/>
    <w:rsid w:val="79334EF2"/>
    <w:rsid w:val="799A287B"/>
    <w:rsid w:val="7AF10BC1"/>
    <w:rsid w:val="7B8C65C0"/>
    <w:rsid w:val="7ECD2929"/>
    <w:rsid w:val="7EFD4B74"/>
    <w:rsid w:val="7F121E48"/>
    <w:rsid w:val="7F255E73"/>
    <w:rsid w:val="7F5232A8"/>
    <w:rsid w:val="7FD2726D"/>
    <w:rsid w:val="ADEFD487"/>
    <w:rsid w:val="BBBD1F96"/>
    <w:rsid w:val="BDBF6F97"/>
    <w:rsid w:val="BFBBEA22"/>
    <w:rsid w:val="BFFA60B1"/>
    <w:rsid w:val="DBF40199"/>
    <w:rsid w:val="DF7AD8D6"/>
    <w:rsid w:val="DFE57017"/>
    <w:rsid w:val="ED7DF469"/>
    <w:rsid w:val="F2FF8E76"/>
    <w:rsid w:val="F3EFEC6E"/>
    <w:rsid w:val="F97DCF23"/>
    <w:rsid w:val="FB7F52A8"/>
    <w:rsid w:val="FBD56EF3"/>
    <w:rsid w:val="FBFEC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6"/>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60"/>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1"/>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3"/>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6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69"/>
    <w:qFormat/>
    <w:uiPriority w:val="0"/>
    <w:pPr>
      <w:tabs>
        <w:tab w:val="left" w:pos="567"/>
      </w:tabs>
      <w:spacing w:before="120" w:line="22" w:lineRule="atLeast"/>
    </w:pPr>
    <w:rPr>
      <w:rFonts w:ascii="宋体" w:hAnsi="宋体"/>
      <w:sz w:val="24"/>
    </w:rPr>
  </w:style>
  <w:style w:type="paragraph" w:customStyle="1" w:styleId="3">
    <w:name w:val="A正文小四"/>
    <w:basedOn w:val="1"/>
    <w:qFormat/>
    <w:uiPriority w:val="0"/>
    <w:pPr>
      <w:spacing w:before="96" w:after="96"/>
      <w:ind w:firstLine="200" w:firstLineChars="200"/>
    </w:pPr>
    <w:rPr>
      <w:rFonts w:cs="黑体"/>
      <w:sz w:val="24"/>
    </w:rPr>
  </w:style>
  <w:style w:type="paragraph" w:styleId="6">
    <w:name w:val="Normal Indent"/>
    <w:basedOn w:val="1"/>
    <w:next w:val="1"/>
    <w:link w:val="58"/>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66"/>
    <w:qFormat/>
    <w:uiPriority w:val="0"/>
    <w:pPr>
      <w:shd w:val="clear" w:color="auto" w:fill="000080"/>
    </w:pPr>
  </w:style>
  <w:style w:type="paragraph" w:styleId="17">
    <w:name w:val="annotation text"/>
    <w:basedOn w:val="1"/>
    <w:link w:val="67"/>
    <w:qFormat/>
    <w:uiPriority w:val="99"/>
    <w:pPr>
      <w:jc w:val="left"/>
    </w:pPr>
  </w:style>
  <w:style w:type="paragraph" w:styleId="18">
    <w:name w:val="Body Text 3"/>
    <w:basedOn w:val="1"/>
    <w:link w:val="68"/>
    <w:qFormat/>
    <w:uiPriority w:val="0"/>
    <w:pPr>
      <w:spacing w:after="120"/>
    </w:pPr>
    <w:rPr>
      <w:sz w:val="16"/>
      <w:szCs w:val="16"/>
    </w:rPr>
  </w:style>
  <w:style w:type="paragraph" w:styleId="19">
    <w:name w:val="Body Text Indent"/>
    <w:basedOn w:val="1"/>
    <w:link w:val="70"/>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71"/>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2"/>
    <w:qFormat/>
    <w:uiPriority w:val="0"/>
    <w:pPr>
      <w:ind w:left="100" w:leftChars="2500"/>
    </w:pPr>
    <w:rPr>
      <w:rFonts w:ascii="仿宋_GB2312" w:hAnsi="宋体" w:eastAsia="仿宋_GB2312"/>
      <w:color w:val="000000"/>
      <w:sz w:val="24"/>
    </w:rPr>
  </w:style>
  <w:style w:type="paragraph" w:styleId="27">
    <w:name w:val="Body Text Indent 2"/>
    <w:basedOn w:val="1"/>
    <w:link w:val="73"/>
    <w:qFormat/>
    <w:uiPriority w:val="0"/>
    <w:pPr>
      <w:ind w:firstLine="480" w:firstLineChars="200"/>
    </w:pPr>
    <w:rPr>
      <w:rFonts w:ascii="仿宋_GB2312" w:eastAsia="仿宋_GB2312"/>
      <w:sz w:val="24"/>
    </w:rPr>
  </w:style>
  <w:style w:type="paragraph" w:styleId="28">
    <w:name w:val="Balloon Text"/>
    <w:basedOn w:val="1"/>
    <w:link w:val="74"/>
    <w:qFormat/>
    <w:uiPriority w:val="0"/>
    <w:rPr>
      <w:sz w:val="18"/>
      <w:szCs w:val="18"/>
    </w:rPr>
  </w:style>
  <w:style w:type="paragraph" w:styleId="29">
    <w:name w:val="footer"/>
    <w:basedOn w:val="1"/>
    <w:link w:val="75"/>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Message Header"/>
    <w:basedOn w:val="1"/>
    <w:next w:val="2"/>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38">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79"/>
    <w:qFormat/>
    <w:uiPriority w:val="0"/>
    <w:pPr>
      <w:jc w:val="center"/>
      <w:outlineLvl w:val="0"/>
    </w:pPr>
    <w:rPr>
      <w:b/>
      <w:sz w:val="32"/>
      <w:szCs w:val="20"/>
    </w:rPr>
  </w:style>
  <w:style w:type="paragraph" w:styleId="42">
    <w:name w:val="annotation subject"/>
    <w:basedOn w:val="17"/>
    <w:next w:val="17"/>
    <w:link w:val="80"/>
    <w:qFormat/>
    <w:uiPriority w:val="0"/>
    <w:rPr>
      <w:b/>
      <w:bCs/>
    </w:rPr>
  </w:style>
  <w:style w:type="paragraph" w:styleId="43">
    <w:name w:val="Body Text First Indent"/>
    <w:basedOn w:val="2"/>
    <w:unhideWhenUsed/>
    <w:qFormat/>
    <w:uiPriority w:val="99"/>
    <w:pPr>
      <w:spacing w:before="0" w:after="120" w:line="240" w:lineRule="auto"/>
      <w:ind w:firstLine="420" w:firstLineChars="100"/>
    </w:pPr>
    <w:rPr>
      <w:rFonts w:ascii="Times New Roman" w:hAnsi="Times New Roman"/>
      <w:sz w:val="21"/>
      <w:szCs w:val="21"/>
    </w:rPr>
  </w:style>
  <w:style w:type="paragraph" w:styleId="44">
    <w:name w:val="Body Text First Indent 2"/>
    <w:basedOn w:val="19"/>
    <w:link w:val="82"/>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character" w:customStyle="1" w:styleId="56">
    <w:name w:val="标题 1 Char"/>
    <w:basedOn w:val="48"/>
    <w:link w:val="4"/>
    <w:qFormat/>
    <w:uiPriority w:val="0"/>
    <w:rPr>
      <w:rFonts w:ascii="宋体"/>
      <w:b/>
      <w:kern w:val="44"/>
      <w:sz w:val="32"/>
    </w:rPr>
  </w:style>
  <w:style w:type="character" w:customStyle="1" w:styleId="57">
    <w:name w:val="标题 2 Char1"/>
    <w:link w:val="5"/>
    <w:qFormat/>
    <w:uiPriority w:val="0"/>
    <w:rPr>
      <w:rFonts w:ascii="Arial" w:hAnsi="Arial" w:eastAsia="黑体"/>
      <w:b/>
      <w:sz w:val="30"/>
      <w:lang w:val="en-US" w:eastAsia="zh-CN" w:bidi="ar-SA"/>
    </w:rPr>
  </w:style>
  <w:style w:type="character" w:customStyle="1" w:styleId="58">
    <w:name w:val="正文缩进 Char1"/>
    <w:link w:val="6"/>
    <w:qFormat/>
    <w:uiPriority w:val="0"/>
    <w:rPr>
      <w:rFonts w:ascii="宋体" w:eastAsia="宋体"/>
      <w:kern w:val="2"/>
      <w:sz w:val="24"/>
      <w:szCs w:val="24"/>
      <w:lang w:val="en-US" w:eastAsia="zh-CN" w:bidi="ar-SA"/>
    </w:rPr>
  </w:style>
  <w:style w:type="character" w:customStyle="1" w:styleId="59">
    <w:name w:val="标题 3 Char1"/>
    <w:link w:val="7"/>
    <w:qFormat/>
    <w:uiPriority w:val="0"/>
    <w:rPr>
      <w:rFonts w:ascii="宋体" w:eastAsia="宋体"/>
      <w:b/>
      <w:sz w:val="24"/>
      <w:u w:val="single"/>
      <w:lang w:val="en-US" w:eastAsia="zh-CN" w:bidi="ar-SA"/>
    </w:rPr>
  </w:style>
  <w:style w:type="character" w:customStyle="1" w:styleId="60">
    <w:name w:val="标题 4 Char"/>
    <w:basedOn w:val="48"/>
    <w:link w:val="8"/>
    <w:qFormat/>
    <w:uiPriority w:val="0"/>
    <w:rPr>
      <w:rFonts w:ascii="Arial" w:hAnsi="Arial" w:eastAsia="黑体"/>
      <w:b/>
      <w:sz w:val="28"/>
    </w:rPr>
  </w:style>
  <w:style w:type="character" w:customStyle="1" w:styleId="61">
    <w:name w:val="标题 5 Char"/>
    <w:basedOn w:val="48"/>
    <w:link w:val="9"/>
    <w:qFormat/>
    <w:uiPriority w:val="0"/>
    <w:rPr>
      <w:b/>
      <w:sz w:val="28"/>
    </w:rPr>
  </w:style>
  <w:style w:type="character" w:customStyle="1" w:styleId="62">
    <w:name w:val="标题 6 Char"/>
    <w:basedOn w:val="48"/>
    <w:link w:val="10"/>
    <w:qFormat/>
    <w:uiPriority w:val="0"/>
    <w:rPr>
      <w:rFonts w:ascii="Arial" w:hAnsi="Arial" w:eastAsia="黑体"/>
      <w:b/>
      <w:sz w:val="24"/>
    </w:rPr>
  </w:style>
  <w:style w:type="character" w:customStyle="1" w:styleId="63">
    <w:name w:val="标题 7 Char"/>
    <w:basedOn w:val="48"/>
    <w:link w:val="11"/>
    <w:qFormat/>
    <w:uiPriority w:val="0"/>
    <w:rPr>
      <w:b/>
      <w:sz w:val="24"/>
    </w:rPr>
  </w:style>
  <w:style w:type="character" w:customStyle="1" w:styleId="64">
    <w:name w:val="标题 8 Char"/>
    <w:basedOn w:val="48"/>
    <w:link w:val="12"/>
    <w:qFormat/>
    <w:uiPriority w:val="0"/>
    <w:rPr>
      <w:rFonts w:ascii="Arial" w:hAnsi="Arial" w:eastAsia="黑体"/>
      <w:sz w:val="24"/>
    </w:rPr>
  </w:style>
  <w:style w:type="character" w:customStyle="1" w:styleId="65">
    <w:name w:val="标题 9 Char"/>
    <w:basedOn w:val="48"/>
    <w:link w:val="13"/>
    <w:qFormat/>
    <w:uiPriority w:val="0"/>
    <w:rPr>
      <w:rFonts w:ascii="Arial" w:hAnsi="Arial" w:eastAsia="黑体"/>
      <w:sz w:val="21"/>
    </w:rPr>
  </w:style>
  <w:style w:type="character" w:customStyle="1" w:styleId="66">
    <w:name w:val="文档结构图 Char"/>
    <w:basedOn w:val="48"/>
    <w:link w:val="16"/>
    <w:qFormat/>
    <w:uiPriority w:val="0"/>
    <w:rPr>
      <w:kern w:val="2"/>
      <w:sz w:val="21"/>
      <w:szCs w:val="24"/>
      <w:shd w:val="clear" w:color="auto" w:fill="000080"/>
    </w:rPr>
  </w:style>
  <w:style w:type="character" w:customStyle="1" w:styleId="67">
    <w:name w:val="批注文字 Char1"/>
    <w:link w:val="17"/>
    <w:qFormat/>
    <w:uiPriority w:val="99"/>
    <w:rPr>
      <w:kern w:val="2"/>
      <w:sz w:val="21"/>
      <w:szCs w:val="24"/>
    </w:rPr>
  </w:style>
  <w:style w:type="character" w:customStyle="1" w:styleId="68">
    <w:name w:val="正文文本 3 Char"/>
    <w:basedOn w:val="48"/>
    <w:link w:val="18"/>
    <w:qFormat/>
    <w:uiPriority w:val="0"/>
    <w:rPr>
      <w:kern w:val="2"/>
      <w:sz w:val="16"/>
      <w:szCs w:val="16"/>
    </w:rPr>
  </w:style>
  <w:style w:type="character" w:customStyle="1" w:styleId="69">
    <w:name w:val="正文文本 Char"/>
    <w:basedOn w:val="48"/>
    <w:link w:val="2"/>
    <w:qFormat/>
    <w:uiPriority w:val="0"/>
    <w:rPr>
      <w:rFonts w:ascii="宋体" w:hAnsi="宋体"/>
      <w:kern w:val="2"/>
      <w:sz w:val="24"/>
      <w:szCs w:val="24"/>
    </w:rPr>
  </w:style>
  <w:style w:type="character" w:customStyle="1" w:styleId="70">
    <w:name w:val="正文文本缩进 Char2"/>
    <w:link w:val="19"/>
    <w:qFormat/>
    <w:uiPriority w:val="0"/>
    <w:rPr>
      <w:rFonts w:eastAsia="宋体"/>
      <w:kern w:val="2"/>
      <w:sz w:val="24"/>
      <w:szCs w:val="24"/>
      <w:lang w:val="en-US" w:eastAsia="zh-CN" w:bidi="ar-SA"/>
    </w:rPr>
  </w:style>
  <w:style w:type="character" w:customStyle="1" w:styleId="71">
    <w:name w:val="纯文本 Char"/>
    <w:basedOn w:val="48"/>
    <w:link w:val="24"/>
    <w:qFormat/>
    <w:uiPriority w:val="0"/>
    <w:rPr>
      <w:rFonts w:hint="eastAsia" w:ascii="宋体" w:hAnsi="Courier New" w:eastAsia="宋体" w:cs="宋体"/>
      <w:kern w:val="2"/>
      <w:sz w:val="21"/>
    </w:rPr>
  </w:style>
  <w:style w:type="character" w:customStyle="1" w:styleId="72">
    <w:name w:val="日期 Char"/>
    <w:basedOn w:val="48"/>
    <w:link w:val="26"/>
    <w:qFormat/>
    <w:uiPriority w:val="0"/>
    <w:rPr>
      <w:rFonts w:ascii="仿宋_GB2312" w:hAnsi="宋体" w:eastAsia="仿宋_GB2312"/>
      <w:color w:val="000000"/>
      <w:kern w:val="2"/>
      <w:sz w:val="24"/>
      <w:szCs w:val="24"/>
    </w:rPr>
  </w:style>
  <w:style w:type="character" w:customStyle="1" w:styleId="73">
    <w:name w:val="正文文本缩进 2 Char"/>
    <w:basedOn w:val="48"/>
    <w:link w:val="27"/>
    <w:qFormat/>
    <w:uiPriority w:val="0"/>
    <w:rPr>
      <w:rFonts w:ascii="仿宋_GB2312" w:eastAsia="仿宋_GB2312"/>
      <w:kern w:val="2"/>
      <w:sz w:val="24"/>
      <w:szCs w:val="24"/>
    </w:rPr>
  </w:style>
  <w:style w:type="character" w:customStyle="1" w:styleId="74">
    <w:name w:val="批注框文本 Char"/>
    <w:basedOn w:val="48"/>
    <w:link w:val="28"/>
    <w:qFormat/>
    <w:uiPriority w:val="0"/>
    <w:rPr>
      <w:kern w:val="2"/>
      <w:sz w:val="18"/>
      <w:szCs w:val="18"/>
    </w:rPr>
  </w:style>
  <w:style w:type="character" w:customStyle="1" w:styleId="75">
    <w:name w:val="页脚 Char1"/>
    <w:link w:val="29"/>
    <w:qFormat/>
    <w:uiPriority w:val="99"/>
    <w:rPr>
      <w:rFonts w:ascii="宋体" w:eastAsia="宋体"/>
      <w:sz w:val="18"/>
      <w:lang w:val="en-US" w:eastAsia="zh-CN" w:bidi="ar-SA"/>
    </w:rPr>
  </w:style>
  <w:style w:type="character" w:customStyle="1" w:styleId="76">
    <w:name w:val="页眉 Char1"/>
    <w:link w:val="30"/>
    <w:qFormat/>
    <w:uiPriority w:val="99"/>
    <w:rPr>
      <w:rFonts w:eastAsia="宋体"/>
      <w:kern w:val="2"/>
      <w:sz w:val="18"/>
      <w:szCs w:val="18"/>
      <w:lang w:val="en-US" w:eastAsia="zh-CN" w:bidi="ar-SA"/>
    </w:rPr>
  </w:style>
  <w:style w:type="character" w:customStyle="1" w:styleId="77">
    <w:name w:val="正文文本缩进 3 Char"/>
    <w:basedOn w:val="48"/>
    <w:link w:val="34"/>
    <w:qFormat/>
    <w:uiPriority w:val="0"/>
    <w:rPr>
      <w:rFonts w:ascii="宋体"/>
      <w:sz w:val="24"/>
    </w:rPr>
  </w:style>
  <w:style w:type="character" w:customStyle="1" w:styleId="78">
    <w:name w:val="HTML 预设格式 Char"/>
    <w:basedOn w:val="48"/>
    <w:link w:val="38"/>
    <w:qFormat/>
    <w:uiPriority w:val="0"/>
    <w:rPr>
      <w:rFonts w:ascii="宋体" w:hAnsi="宋体" w:cs="宋体"/>
      <w:sz w:val="24"/>
      <w:szCs w:val="24"/>
    </w:rPr>
  </w:style>
  <w:style w:type="character" w:customStyle="1" w:styleId="79">
    <w:name w:val="标题 Char1"/>
    <w:link w:val="41"/>
    <w:qFormat/>
    <w:uiPriority w:val="0"/>
    <w:rPr>
      <w:b/>
      <w:kern w:val="2"/>
      <w:sz w:val="32"/>
    </w:rPr>
  </w:style>
  <w:style w:type="character" w:customStyle="1" w:styleId="80">
    <w:name w:val="批注主题 Char"/>
    <w:basedOn w:val="81"/>
    <w:link w:val="42"/>
    <w:qFormat/>
    <w:uiPriority w:val="0"/>
    <w:rPr>
      <w:rFonts w:ascii="Times New Roman" w:hAnsi="Times New Roman" w:eastAsia="宋体" w:cs="Times New Roman"/>
      <w:b/>
      <w:bCs/>
      <w:kern w:val="2"/>
      <w:sz w:val="21"/>
      <w:szCs w:val="24"/>
      <w:lang w:val="en-US" w:eastAsia="zh-CN" w:bidi="ar-SA"/>
    </w:rPr>
  </w:style>
  <w:style w:type="character" w:customStyle="1" w:styleId="81">
    <w:name w:val="批注文字 字符"/>
    <w:qFormat/>
    <w:uiPriority w:val="99"/>
    <w:rPr>
      <w:rFonts w:ascii="Times New Roman" w:hAnsi="Times New Roman" w:eastAsia="宋体" w:cs="Times New Roman"/>
      <w:sz w:val="24"/>
      <w:lang w:val="en-US" w:eastAsia="zh-CN" w:bidi="ar-SA"/>
    </w:rPr>
  </w:style>
  <w:style w:type="character" w:customStyle="1" w:styleId="82">
    <w:name w:val="正文首行缩进 2 Char"/>
    <w:basedOn w:val="70"/>
    <w:link w:val="44"/>
    <w:qFormat/>
    <w:uiPriority w:val="0"/>
    <w:rPr>
      <w:rFonts w:eastAsia="宋体"/>
      <w:kern w:val="2"/>
      <w:sz w:val="24"/>
      <w:szCs w:val="24"/>
      <w:lang w:val="en-US" w:eastAsia="zh-CN" w:bidi="ar-SA"/>
    </w:rPr>
  </w:style>
  <w:style w:type="paragraph" w:customStyle="1" w:styleId="83">
    <w:name w:val="样式 10 磅13"/>
    <w:qFormat/>
    <w:uiPriority w:val="0"/>
    <w:pPr>
      <w:widowControl w:val="0"/>
      <w:jc w:val="both"/>
    </w:pPr>
    <w:rPr>
      <w:rFonts w:ascii="Calibri" w:hAnsi="Calibri" w:eastAsia="宋体" w:cs="Times New Roman"/>
      <w:kern w:val="2"/>
      <w:sz w:val="21"/>
      <w:szCs w:val="24"/>
      <w:lang w:val="en-US" w:eastAsia="zh-CN" w:bidi="ar-SA"/>
    </w:rPr>
  </w:style>
  <w:style w:type="character" w:customStyle="1" w:styleId="84">
    <w:name w:val="c21"/>
    <w:qFormat/>
    <w:uiPriority w:val="0"/>
    <w:rPr>
      <w:rFonts w:hint="default" w:ascii="ˎ̥" w:hAnsi="ˎ̥"/>
      <w:color w:val="000000"/>
      <w:sz w:val="20"/>
      <w:szCs w:val="20"/>
      <w:u w:val="none"/>
    </w:rPr>
  </w:style>
  <w:style w:type="character" w:customStyle="1" w:styleId="85">
    <w:name w:val="title4"/>
    <w:qFormat/>
    <w:uiPriority w:val="0"/>
    <w:rPr>
      <w:b/>
      <w:bCs/>
      <w:color w:val="1D87B3"/>
      <w:sz w:val="15"/>
      <w:szCs w:val="15"/>
    </w:rPr>
  </w:style>
  <w:style w:type="character" w:customStyle="1" w:styleId="86">
    <w:name w:val="标题 2 Char Char"/>
    <w:qFormat/>
    <w:uiPriority w:val="0"/>
    <w:rPr>
      <w:rFonts w:ascii="Arial" w:hAnsi="Arial" w:eastAsia="黑体"/>
      <w:b/>
      <w:bCs/>
      <w:kern w:val="2"/>
      <w:sz w:val="32"/>
      <w:szCs w:val="32"/>
      <w:lang w:val="en-US" w:eastAsia="zh-CN" w:bidi="ar-SA"/>
    </w:rPr>
  </w:style>
  <w:style w:type="character" w:customStyle="1" w:styleId="87">
    <w:name w:val="black1"/>
    <w:qFormat/>
    <w:uiPriority w:val="0"/>
    <w:rPr>
      <w:color w:val="000000"/>
    </w:rPr>
  </w:style>
  <w:style w:type="character" w:customStyle="1" w:styleId="88">
    <w:name w:val="street-address"/>
    <w:basedOn w:val="48"/>
    <w:qFormat/>
    <w:uiPriority w:val="0"/>
  </w:style>
  <w:style w:type="character" w:customStyle="1" w:styleId="89">
    <w:name w:val="locality"/>
    <w:basedOn w:val="48"/>
    <w:qFormat/>
    <w:uiPriority w:val="0"/>
  </w:style>
  <w:style w:type="character" w:customStyle="1" w:styleId="90">
    <w:name w:val="正文文本缩进 Char1"/>
    <w:link w:val="91"/>
    <w:qFormat/>
    <w:uiPriority w:val="0"/>
    <w:rPr>
      <w:rFonts w:ascii="宋体" w:hAnsi="宋体" w:eastAsia="宋体"/>
      <w:sz w:val="24"/>
      <w:szCs w:val="24"/>
      <w:lang w:bidi="ar-SA"/>
    </w:rPr>
  </w:style>
  <w:style w:type="paragraph" w:customStyle="1" w:styleId="91">
    <w:name w:val="正文文本缩进1"/>
    <w:basedOn w:val="1"/>
    <w:link w:val="90"/>
    <w:qFormat/>
    <w:uiPriority w:val="0"/>
    <w:pPr>
      <w:spacing w:line="480" w:lineRule="exact"/>
      <w:ind w:firstLine="480" w:firstLineChars="200"/>
    </w:pPr>
    <w:rPr>
      <w:rFonts w:ascii="宋体" w:hAnsi="宋体"/>
      <w:kern w:val="0"/>
      <w:sz w:val="24"/>
    </w:rPr>
  </w:style>
  <w:style w:type="character" w:customStyle="1" w:styleId="92">
    <w:name w:val="Char Char11"/>
    <w:qFormat/>
    <w:uiPriority w:val="0"/>
    <w:rPr>
      <w:rFonts w:ascii="宋体" w:eastAsia="宋体"/>
      <w:b/>
      <w:sz w:val="24"/>
      <w:u w:val="single"/>
      <w:lang w:val="en-US" w:eastAsia="zh-CN" w:bidi="ar-SA"/>
    </w:rPr>
  </w:style>
  <w:style w:type="character" w:customStyle="1" w:styleId="93">
    <w:name w:val="txt"/>
    <w:basedOn w:val="48"/>
    <w:qFormat/>
    <w:uiPriority w:val="0"/>
  </w:style>
  <w:style w:type="character" w:customStyle="1" w:styleId="94">
    <w:name w:val="正文缩进 Char Char"/>
    <w:link w:val="95"/>
    <w:qFormat/>
    <w:uiPriority w:val="0"/>
    <w:rPr>
      <w:rFonts w:ascii="宋体" w:eastAsia="宋体"/>
      <w:snapToGrid w:val="0"/>
      <w:color w:val="000000"/>
      <w:kern w:val="28"/>
      <w:sz w:val="28"/>
      <w:lang w:bidi="ar-SA"/>
    </w:rPr>
  </w:style>
  <w:style w:type="paragraph" w:customStyle="1" w:styleId="95">
    <w:name w:val="正文缩进1"/>
    <w:basedOn w:val="1"/>
    <w:link w:val="94"/>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6">
    <w:name w:val="普通文字1 Char1"/>
    <w:qFormat/>
    <w:uiPriority w:val="0"/>
    <w:rPr>
      <w:rFonts w:ascii="宋体" w:hAnsi="Courier New" w:eastAsia="宋体"/>
      <w:kern w:val="2"/>
      <w:sz w:val="21"/>
      <w:lang w:val="en-US" w:eastAsia="zh-CN" w:bidi="ar-SA"/>
    </w:rPr>
  </w:style>
  <w:style w:type="character" w:customStyle="1" w:styleId="97">
    <w:name w:val="chanpin1"/>
    <w:qFormat/>
    <w:uiPriority w:val="0"/>
    <w:rPr>
      <w:rFonts w:hint="default" w:ascii="ˎ̥" w:hAnsi="ˎ̥"/>
      <w:color w:val="000000"/>
      <w:sz w:val="20"/>
      <w:szCs w:val="20"/>
      <w:u w:val="none"/>
    </w:rPr>
  </w:style>
  <w:style w:type="character" w:customStyle="1" w:styleId="98">
    <w:name w:val="列出段落 Char1"/>
    <w:link w:val="99"/>
    <w:qFormat/>
    <w:uiPriority w:val="34"/>
    <w:rPr>
      <w:rFonts w:ascii="Calibri" w:hAnsi="Calibri" w:eastAsia="宋体"/>
      <w:kern w:val="2"/>
      <w:sz w:val="21"/>
      <w:szCs w:val="22"/>
      <w:lang w:val="en-US" w:eastAsia="zh-CN" w:bidi="ar-SA"/>
    </w:rPr>
  </w:style>
  <w:style w:type="paragraph" w:styleId="99">
    <w:name w:val="List Paragraph"/>
    <w:basedOn w:val="1"/>
    <w:link w:val="98"/>
    <w:qFormat/>
    <w:uiPriority w:val="34"/>
    <w:pPr>
      <w:ind w:firstLine="420" w:firstLineChars="200"/>
    </w:pPr>
    <w:rPr>
      <w:rFonts w:ascii="Calibri" w:hAnsi="Calibri"/>
      <w:szCs w:val="22"/>
    </w:rPr>
  </w:style>
  <w:style w:type="character" w:customStyle="1" w:styleId="100">
    <w:name w:val="标题 3 Char Char"/>
    <w:qFormat/>
    <w:uiPriority w:val="0"/>
    <w:rPr>
      <w:rFonts w:eastAsia="宋体"/>
      <w:b/>
      <w:bCs/>
      <w:kern w:val="2"/>
      <w:sz w:val="32"/>
      <w:szCs w:val="32"/>
      <w:lang w:val="en-US" w:eastAsia="zh-CN" w:bidi="ar-SA"/>
    </w:rPr>
  </w:style>
  <w:style w:type="character" w:customStyle="1" w:styleId="101">
    <w:name w:val="段1 Char"/>
    <w:qFormat/>
    <w:uiPriority w:val="0"/>
    <w:rPr>
      <w:rFonts w:ascii="宋体" w:eastAsia="宋体"/>
      <w:sz w:val="24"/>
      <w:lang w:val="en-US" w:eastAsia="zh-CN" w:bidi="ar-SA"/>
    </w:rPr>
  </w:style>
  <w:style w:type="character" w:customStyle="1" w:styleId="102">
    <w:name w:val="chanpin拷贝"/>
    <w:basedOn w:val="48"/>
    <w:qFormat/>
    <w:uiPriority w:val="0"/>
  </w:style>
  <w:style w:type="character" w:customStyle="1" w:styleId="103">
    <w:name w:val="纯文本 Char1"/>
    <w:qFormat/>
    <w:uiPriority w:val="0"/>
    <w:rPr>
      <w:rFonts w:ascii="宋体" w:hAnsi="Courier New" w:eastAsia="宋体"/>
      <w:kern w:val="2"/>
      <w:sz w:val="21"/>
      <w:lang w:val="en-US" w:eastAsia="zh-CN" w:bidi="ar-SA"/>
    </w:rPr>
  </w:style>
  <w:style w:type="character" w:customStyle="1" w:styleId="104">
    <w:name w:val="apple-style-span"/>
    <w:qFormat/>
    <w:uiPriority w:val="0"/>
    <w:rPr>
      <w:rFonts w:cs="Times New Roman"/>
    </w:rPr>
  </w:style>
  <w:style w:type="paragraph" w:customStyle="1" w:styleId="105">
    <w:name w:val="二级条标题"/>
    <w:basedOn w:val="106"/>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6">
    <w:name w:val="一级条标题"/>
    <w:basedOn w:val="107"/>
    <w:next w:val="1"/>
    <w:qFormat/>
    <w:uiPriority w:val="0"/>
    <w:pPr>
      <w:numPr>
        <w:ilvl w:val="1"/>
      </w:numPr>
      <w:tabs>
        <w:tab w:val="left" w:pos="360"/>
        <w:tab w:val="left" w:pos="840"/>
      </w:tabs>
      <w:ind w:left="0" w:hanging="840"/>
      <w:outlineLvl w:val="1"/>
    </w:pPr>
  </w:style>
  <w:style w:type="paragraph" w:customStyle="1" w:styleId="10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9">
    <w:name w:val="字元 字元"/>
    <w:basedOn w:val="1"/>
    <w:qFormat/>
    <w:uiPriority w:val="0"/>
    <w:rPr>
      <w:rFonts w:ascii="Tahoma" w:hAnsi="Tahoma"/>
      <w:sz w:val="24"/>
      <w:szCs w:val="20"/>
    </w:rPr>
  </w:style>
  <w:style w:type="paragraph" w:customStyle="1" w:styleId="110">
    <w:name w:val="Char3 Char Char Char"/>
    <w:basedOn w:val="1"/>
    <w:qFormat/>
    <w:uiPriority w:val="0"/>
    <w:rPr>
      <w:rFonts w:ascii="Tahoma" w:hAnsi="Tahoma"/>
      <w:sz w:val="24"/>
      <w:szCs w:val="20"/>
    </w:rPr>
  </w:style>
  <w:style w:type="paragraph" w:customStyle="1" w:styleId="11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2">
    <w:name w:val="项目编号2"/>
    <w:basedOn w:val="113"/>
    <w:qFormat/>
    <w:uiPriority w:val="0"/>
    <w:pPr>
      <w:numPr>
        <w:numId w:val="2"/>
      </w:numPr>
    </w:pPr>
  </w:style>
  <w:style w:type="paragraph" w:customStyle="1" w:styleId="11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4">
    <w:name w:val="图中文字"/>
    <w:basedOn w:val="1"/>
    <w:qFormat/>
    <w:uiPriority w:val="0"/>
    <w:pPr>
      <w:adjustRightInd w:val="0"/>
      <w:snapToGrid w:val="0"/>
      <w:spacing w:line="0" w:lineRule="atLeast"/>
      <w:jc w:val="center"/>
    </w:pPr>
    <w:rPr>
      <w:sz w:val="24"/>
      <w:szCs w:val="20"/>
    </w:rPr>
  </w:style>
  <w:style w:type="paragraph" w:customStyle="1" w:styleId="11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7">
    <w:name w:val="Char2"/>
    <w:basedOn w:val="1"/>
    <w:qFormat/>
    <w:uiPriority w:val="0"/>
    <w:rPr>
      <w:rFonts w:ascii="Tahoma" w:hAnsi="Tahoma"/>
      <w:sz w:val="24"/>
      <w:szCs w:val="20"/>
    </w:rPr>
  </w:style>
  <w:style w:type="paragraph" w:customStyle="1" w:styleId="11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1">
    <w:name w:val="font8"/>
    <w:basedOn w:val="1"/>
    <w:qFormat/>
    <w:uiPriority w:val="0"/>
    <w:pPr>
      <w:widowControl/>
      <w:spacing w:before="100" w:beforeAutospacing="1" w:after="100" w:afterAutospacing="1"/>
      <w:jc w:val="left"/>
    </w:pPr>
    <w:rPr>
      <w:kern w:val="0"/>
      <w:sz w:val="36"/>
      <w:szCs w:val="36"/>
    </w:rPr>
  </w:style>
  <w:style w:type="paragraph" w:customStyle="1" w:styleId="132">
    <w:name w:val="Char"/>
    <w:basedOn w:val="1"/>
    <w:qFormat/>
    <w:uiPriority w:val="0"/>
    <w:pPr>
      <w:tabs>
        <w:tab w:val="left" w:pos="360"/>
      </w:tabs>
    </w:pPr>
    <w:rPr>
      <w:sz w:val="24"/>
    </w:rPr>
  </w:style>
  <w:style w:type="paragraph" w:customStyle="1" w:styleId="13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6">
    <w:name w:val="Char Char1"/>
    <w:basedOn w:val="16"/>
    <w:qFormat/>
    <w:uiPriority w:val="0"/>
    <w:rPr>
      <w:rFonts w:ascii="Tahoma" w:hAnsi="Tahoma"/>
      <w:sz w:val="24"/>
    </w:rPr>
  </w:style>
  <w:style w:type="paragraph" w:customStyle="1" w:styleId="13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1">
    <w:name w:val="Char1 Char Char Char1"/>
    <w:basedOn w:val="1"/>
    <w:qFormat/>
    <w:uiPriority w:val="0"/>
    <w:rPr>
      <w:rFonts w:ascii="Tahoma" w:hAnsi="Tahoma" w:cs="仿宋_GB2312"/>
      <w:sz w:val="24"/>
      <w:szCs w:val="28"/>
    </w:rPr>
  </w:style>
  <w:style w:type="paragraph" w:customStyle="1" w:styleId="142">
    <w:name w:val="四级条标题"/>
    <w:basedOn w:val="143"/>
    <w:next w:val="1"/>
    <w:qFormat/>
    <w:uiPriority w:val="0"/>
    <w:pPr>
      <w:numPr>
        <w:ilvl w:val="4"/>
      </w:numPr>
      <w:tabs>
        <w:tab w:val="left" w:pos="360"/>
        <w:tab w:val="left" w:pos="840"/>
      </w:tabs>
      <w:ind w:left="0" w:hanging="840"/>
      <w:outlineLvl w:val="4"/>
    </w:pPr>
  </w:style>
  <w:style w:type="paragraph" w:customStyle="1" w:styleId="143">
    <w:name w:val="三级条标题"/>
    <w:basedOn w:val="105"/>
    <w:next w:val="1"/>
    <w:qFormat/>
    <w:uiPriority w:val="0"/>
    <w:pPr>
      <w:numPr>
        <w:ilvl w:val="3"/>
        <w:numId w:val="1"/>
      </w:numPr>
      <w:ind w:left="0" w:hanging="840"/>
      <w:outlineLvl w:val="3"/>
    </w:pPr>
  </w:style>
  <w:style w:type="paragraph" w:customStyle="1" w:styleId="14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5">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6">
    <w:name w:val="List Paragraph1"/>
    <w:basedOn w:val="1"/>
    <w:qFormat/>
    <w:uiPriority w:val="0"/>
    <w:pPr>
      <w:ind w:firstLine="420" w:firstLineChars="200"/>
    </w:pPr>
    <w:rPr>
      <w:rFonts w:ascii="Calibri" w:hAnsi="Calibri"/>
      <w:szCs w:val="22"/>
    </w:rPr>
  </w:style>
  <w:style w:type="paragraph" w:customStyle="1" w:styleId="147">
    <w:name w:val="项目符号1"/>
    <w:basedOn w:val="148"/>
    <w:qFormat/>
    <w:uiPriority w:val="0"/>
    <w:pPr>
      <w:ind w:left="-25" w:firstLine="0"/>
    </w:pPr>
  </w:style>
  <w:style w:type="paragraph" w:customStyle="1" w:styleId="148">
    <w:name w:val="正文文本样式"/>
    <w:basedOn w:val="1"/>
    <w:qFormat/>
    <w:uiPriority w:val="0"/>
    <w:pPr>
      <w:spacing w:line="360" w:lineRule="auto"/>
      <w:ind w:firstLine="482"/>
    </w:pPr>
    <w:rPr>
      <w:rFonts w:cs="宋体"/>
      <w:sz w:val="24"/>
      <w:szCs w:val="20"/>
    </w:rPr>
  </w:style>
  <w:style w:type="paragraph" w:customStyle="1" w:styleId="14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1">
    <w:name w:val="五级条标题"/>
    <w:basedOn w:val="142"/>
    <w:next w:val="1"/>
    <w:qFormat/>
    <w:uiPriority w:val="0"/>
    <w:pPr>
      <w:numPr>
        <w:ilvl w:val="5"/>
      </w:numPr>
      <w:ind w:left="0" w:hanging="840"/>
      <w:outlineLvl w:val="5"/>
    </w:pPr>
  </w:style>
  <w:style w:type="paragraph" w:customStyle="1" w:styleId="15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3">
    <w:name w:val="文档正文"/>
    <w:basedOn w:val="1"/>
    <w:qFormat/>
    <w:uiPriority w:val="0"/>
    <w:pPr>
      <w:snapToGrid w:val="0"/>
      <w:spacing w:before="120" w:after="120" w:line="180" w:lineRule="auto"/>
    </w:pPr>
    <w:rPr>
      <w:rFonts w:ascii="Arial" w:hAnsi="Arial"/>
      <w:szCs w:val="20"/>
    </w:rPr>
  </w:style>
  <w:style w:type="paragraph" w:customStyle="1" w:styleId="15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6">
    <w:name w:val="Char Char Char1 Char"/>
    <w:basedOn w:val="1"/>
    <w:qFormat/>
    <w:uiPriority w:val="0"/>
    <w:rPr>
      <w:rFonts w:ascii="Tahoma" w:hAnsi="Tahoma"/>
      <w:sz w:val="24"/>
      <w:szCs w:val="20"/>
    </w:rPr>
  </w:style>
  <w:style w:type="paragraph" w:customStyle="1" w:styleId="15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8">
    <w:name w:val="1名"/>
    <w:basedOn w:val="1"/>
    <w:qFormat/>
    <w:uiPriority w:val="0"/>
    <w:pPr>
      <w:numPr>
        <w:ilvl w:val="0"/>
        <w:numId w:val="5"/>
      </w:numPr>
      <w:spacing w:before="120"/>
    </w:pPr>
    <w:rPr>
      <w:rFonts w:ascii="宋体"/>
      <w:sz w:val="28"/>
      <w:szCs w:val="20"/>
    </w:rPr>
  </w:style>
  <w:style w:type="paragraph" w:customStyle="1" w:styleId="15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0">
    <w:name w:val="Char Char Char1 Char1"/>
    <w:basedOn w:val="1"/>
    <w:qFormat/>
    <w:uiPriority w:val="0"/>
    <w:rPr>
      <w:rFonts w:ascii="Tahoma" w:hAnsi="Tahoma"/>
      <w:sz w:val="24"/>
      <w:szCs w:val="20"/>
    </w:rPr>
  </w:style>
  <w:style w:type="paragraph" w:customStyle="1" w:styleId="161">
    <w:name w:val="Char Char Char Char Char Char Char Char Char Char"/>
    <w:basedOn w:val="1"/>
    <w:qFormat/>
    <w:uiPriority w:val="0"/>
  </w:style>
  <w:style w:type="paragraph" w:customStyle="1" w:styleId="16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3">
    <w:name w:val="Char1"/>
    <w:basedOn w:val="1"/>
    <w:qFormat/>
    <w:uiPriority w:val="0"/>
    <w:pPr>
      <w:tabs>
        <w:tab w:val="left" w:pos="360"/>
      </w:tabs>
    </w:pPr>
    <w:rPr>
      <w:sz w:val="24"/>
    </w:rPr>
  </w:style>
  <w:style w:type="paragraph" w:customStyle="1" w:styleId="16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7">
    <w:name w:val="默认段落字体 Para Char Char Char Char"/>
    <w:basedOn w:val="1"/>
    <w:qFormat/>
    <w:uiPriority w:val="0"/>
    <w:rPr>
      <w:rFonts w:ascii="Arial" w:hAnsi="Arial" w:cs="Arial"/>
      <w:szCs w:val="21"/>
    </w:rPr>
  </w:style>
  <w:style w:type="paragraph" w:customStyle="1" w:styleId="16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1">
    <w:name w:val="Char Char Char"/>
    <w:basedOn w:val="1"/>
    <w:qFormat/>
    <w:uiPriority w:val="0"/>
    <w:rPr>
      <w:rFonts w:ascii="Tahoma" w:hAnsi="Tahoma"/>
      <w:sz w:val="24"/>
      <w:szCs w:val="20"/>
    </w:rPr>
  </w:style>
  <w:style w:type="paragraph" w:customStyle="1" w:styleId="17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3">
    <w:name w:val="缺省文本"/>
    <w:basedOn w:val="1"/>
    <w:qFormat/>
    <w:uiPriority w:val="0"/>
    <w:pPr>
      <w:autoSpaceDE w:val="0"/>
      <w:autoSpaceDN w:val="0"/>
      <w:adjustRightInd w:val="0"/>
      <w:jc w:val="left"/>
    </w:pPr>
    <w:rPr>
      <w:kern w:val="0"/>
      <w:sz w:val="24"/>
    </w:rPr>
  </w:style>
  <w:style w:type="paragraph" w:customStyle="1" w:styleId="174">
    <w:name w:val="Char Char Char1"/>
    <w:basedOn w:val="1"/>
    <w:qFormat/>
    <w:uiPriority w:val="0"/>
    <w:rPr>
      <w:rFonts w:ascii="Tahoma" w:hAnsi="Tahoma"/>
      <w:sz w:val="24"/>
      <w:szCs w:val="20"/>
    </w:rPr>
  </w:style>
  <w:style w:type="paragraph" w:customStyle="1" w:styleId="17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7">
    <w:name w:val="样式2"/>
    <w:basedOn w:val="40"/>
    <w:qFormat/>
    <w:uiPriority w:val="0"/>
    <w:pPr>
      <w:spacing w:line="360" w:lineRule="auto"/>
      <w:jc w:val="center"/>
    </w:pPr>
    <w:rPr>
      <w:sz w:val="24"/>
    </w:rPr>
  </w:style>
  <w:style w:type="paragraph" w:customStyle="1" w:styleId="17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0">
    <w:name w:val="正文 + 楷体_GB2312"/>
    <w:basedOn w:val="1"/>
    <w:qFormat/>
    <w:uiPriority w:val="0"/>
    <w:pPr>
      <w:widowControl/>
      <w:jc w:val="left"/>
    </w:pPr>
    <w:rPr>
      <w:rFonts w:ascii="楷体_GB2312" w:eastAsia="楷体_GB2312" w:cs="Arial"/>
      <w:kern w:val="0"/>
      <w:sz w:val="24"/>
    </w:rPr>
  </w:style>
  <w:style w:type="paragraph" w:customStyle="1" w:styleId="1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2">
    <w:name w:val="1 Char Char Char Char"/>
    <w:basedOn w:val="1"/>
    <w:qFormat/>
    <w:uiPriority w:val="0"/>
    <w:rPr>
      <w:rFonts w:ascii="Tahoma" w:hAnsi="Tahoma"/>
      <w:sz w:val="24"/>
      <w:szCs w:val="20"/>
    </w:rPr>
  </w:style>
  <w:style w:type="paragraph" w:customStyle="1" w:styleId="18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4">
    <w:name w:val="列出段落1"/>
    <w:basedOn w:val="1"/>
    <w:qFormat/>
    <w:uiPriority w:val="0"/>
    <w:pPr>
      <w:ind w:firstLine="420" w:firstLineChars="200"/>
    </w:pPr>
    <w:rPr>
      <w:rFonts w:ascii="Calibri" w:hAnsi="Calibri"/>
      <w:szCs w:val="22"/>
    </w:rPr>
  </w:style>
  <w:style w:type="paragraph" w:customStyle="1" w:styleId="18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6">
    <w:name w:val="字元 字元1"/>
    <w:basedOn w:val="1"/>
    <w:qFormat/>
    <w:uiPriority w:val="0"/>
    <w:rPr>
      <w:rFonts w:ascii="Tahoma" w:hAnsi="Tahoma"/>
      <w:sz w:val="24"/>
      <w:szCs w:val="20"/>
    </w:rPr>
  </w:style>
  <w:style w:type="paragraph" w:customStyle="1" w:styleId="187">
    <w:name w:val="_Style 160"/>
    <w:qFormat/>
    <w:uiPriority w:val="0"/>
    <w:rPr>
      <w:rFonts w:ascii="Times New Roman" w:hAnsi="Times New Roman" w:eastAsia="宋体" w:cs="Times New Roman"/>
      <w:kern w:val="2"/>
      <w:sz w:val="21"/>
      <w:szCs w:val="24"/>
      <w:lang w:val="en-US" w:eastAsia="zh-CN" w:bidi="ar-SA"/>
    </w:rPr>
  </w:style>
  <w:style w:type="paragraph" w:customStyle="1" w:styleId="188">
    <w:name w:val="项目编号3"/>
    <w:basedOn w:val="148"/>
    <w:qFormat/>
    <w:uiPriority w:val="0"/>
    <w:pPr>
      <w:numPr>
        <w:ilvl w:val="0"/>
        <w:numId w:val="6"/>
      </w:numPr>
    </w:pPr>
  </w:style>
  <w:style w:type="paragraph" w:customStyle="1" w:styleId="189">
    <w:name w:val="Char21"/>
    <w:basedOn w:val="1"/>
    <w:qFormat/>
    <w:uiPriority w:val="0"/>
    <w:rPr>
      <w:rFonts w:ascii="Tahoma" w:hAnsi="Tahoma"/>
      <w:sz w:val="24"/>
      <w:szCs w:val="20"/>
    </w:rPr>
  </w:style>
  <w:style w:type="paragraph" w:customStyle="1" w:styleId="190">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91">
    <w:name w:val="Char Char Char Char Char Char Char Char Char Char1"/>
    <w:basedOn w:val="1"/>
    <w:qFormat/>
    <w:uiPriority w:val="0"/>
    <w:rPr>
      <w:rFonts w:ascii="宋体" w:hAnsi="宋体" w:cs="Courier New"/>
      <w:sz w:val="32"/>
      <w:szCs w:val="32"/>
    </w:rPr>
  </w:style>
  <w:style w:type="paragraph" w:customStyle="1" w:styleId="192">
    <w:name w:val="正文文本样式 加粗"/>
    <w:basedOn w:val="148"/>
    <w:qFormat/>
    <w:uiPriority w:val="0"/>
    <w:rPr>
      <w:b/>
    </w:rPr>
  </w:style>
  <w:style w:type="paragraph" w:customStyle="1" w:styleId="193">
    <w:name w:val="Char2 Char Char Char Char Char Char"/>
    <w:basedOn w:val="1"/>
    <w:qFormat/>
    <w:uiPriority w:val="0"/>
    <w:pPr>
      <w:widowControl/>
      <w:spacing w:line="400" w:lineRule="exact"/>
      <w:jc w:val="center"/>
    </w:pPr>
  </w:style>
  <w:style w:type="paragraph" w:customStyle="1" w:styleId="194">
    <w:name w:val="Char Char4"/>
    <w:basedOn w:val="1"/>
    <w:qFormat/>
    <w:uiPriority w:val="0"/>
    <w:pPr>
      <w:widowControl/>
      <w:spacing w:line="400" w:lineRule="exact"/>
      <w:jc w:val="center"/>
    </w:pPr>
  </w:style>
  <w:style w:type="paragraph" w:customStyle="1" w:styleId="195">
    <w:name w:val="Char3 Char Char Char1"/>
    <w:basedOn w:val="1"/>
    <w:qFormat/>
    <w:uiPriority w:val="0"/>
    <w:rPr>
      <w:rFonts w:ascii="Tahoma" w:hAnsi="Tahoma"/>
      <w:sz w:val="24"/>
      <w:szCs w:val="20"/>
    </w:rPr>
  </w:style>
  <w:style w:type="paragraph" w:styleId="19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8">
    <w:name w:val="中等深浅网格 1 - 强调文字颜色 2 Char"/>
    <w:link w:val="199"/>
    <w:qFormat/>
    <w:uiPriority w:val="0"/>
    <w:rPr>
      <w:kern w:val="2"/>
      <w:sz w:val="21"/>
      <w:szCs w:val="24"/>
      <w:lang w:val="zh-CN" w:eastAsia="zh-CN"/>
    </w:rPr>
  </w:style>
  <w:style w:type="paragraph" w:customStyle="1" w:styleId="199">
    <w:name w:val="1"/>
    <w:link w:val="198"/>
    <w:qFormat/>
    <w:uiPriority w:val="0"/>
    <w:rPr>
      <w:rFonts w:ascii="Times New Roman" w:hAnsi="Times New Roman" w:eastAsia="宋体" w:cs="Times New Roman"/>
      <w:kern w:val="2"/>
      <w:sz w:val="21"/>
      <w:szCs w:val="24"/>
      <w:lang w:val="zh-CN" w:eastAsia="zh-CN" w:bidi="ar-SA"/>
    </w:rPr>
  </w:style>
  <w:style w:type="paragraph" w:customStyle="1" w:styleId="200">
    <w:name w:val="图文"/>
    <w:basedOn w:val="1"/>
    <w:qFormat/>
    <w:uiPriority w:val="0"/>
    <w:pPr>
      <w:adjustRightInd w:val="0"/>
      <w:snapToGrid w:val="0"/>
      <w:spacing w:after="50" w:line="360" w:lineRule="auto"/>
    </w:pPr>
    <w:rPr>
      <w:sz w:val="24"/>
    </w:rPr>
  </w:style>
  <w:style w:type="paragraph" w:customStyle="1" w:styleId="20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2">
    <w:name w:val="正文表格"/>
    <w:basedOn w:val="1"/>
    <w:link w:val="203"/>
    <w:qFormat/>
    <w:uiPriority w:val="0"/>
    <w:pPr>
      <w:adjustRightInd w:val="0"/>
      <w:snapToGrid w:val="0"/>
      <w:jc w:val="left"/>
    </w:pPr>
    <w:rPr>
      <w:rFonts w:ascii="宋体" w:hAnsi="宋体"/>
      <w:color w:val="000000"/>
      <w:szCs w:val="21"/>
    </w:rPr>
  </w:style>
  <w:style w:type="character" w:customStyle="1" w:styleId="203">
    <w:name w:val="正文表格 Char"/>
    <w:link w:val="202"/>
    <w:qFormat/>
    <w:uiPriority w:val="0"/>
    <w:rPr>
      <w:rFonts w:ascii="宋体" w:hAnsi="宋体"/>
      <w:color w:val="000000"/>
      <w:kern w:val="2"/>
      <w:sz w:val="21"/>
      <w:szCs w:val="21"/>
    </w:rPr>
  </w:style>
  <w:style w:type="paragraph" w:customStyle="1" w:styleId="204">
    <w:name w:val="正文重点"/>
    <w:basedOn w:val="1"/>
    <w:link w:val="205"/>
    <w:qFormat/>
    <w:uiPriority w:val="0"/>
    <w:pPr>
      <w:adjustRightInd w:val="0"/>
      <w:spacing w:line="360" w:lineRule="auto"/>
      <w:ind w:firstLine="482" w:firstLineChars="200"/>
      <w:jc w:val="left"/>
      <w:textAlignment w:val="baseline"/>
    </w:pPr>
    <w:rPr>
      <w:b/>
      <w:kern w:val="0"/>
      <w:sz w:val="24"/>
      <w:szCs w:val="20"/>
    </w:rPr>
  </w:style>
  <w:style w:type="character" w:customStyle="1" w:styleId="205">
    <w:name w:val="正文重点 Char"/>
    <w:link w:val="204"/>
    <w:qFormat/>
    <w:uiPriority w:val="0"/>
    <w:rPr>
      <w:b/>
      <w:sz w:val="24"/>
    </w:rPr>
  </w:style>
  <w:style w:type="paragraph" w:customStyle="1" w:styleId="206">
    <w:name w:val="标题1-附件"/>
    <w:basedOn w:val="4"/>
    <w:qFormat/>
    <w:uiPriority w:val="0"/>
    <w:pPr>
      <w:jc w:val="left"/>
    </w:pPr>
    <w:rPr>
      <w:sz w:val="24"/>
      <w:szCs w:val="24"/>
    </w:rPr>
  </w:style>
  <w:style w:type="paragraph" w:customStyle="1" w:styleId="207">
    <w:name w:val="正文小标题"/>
    <w:basedOn w:val="1"/>
    <w:next w:val="6"/>
    <w:link w:val="20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8">
    <w:name w:val="正文小标题 Char"/>
    <w:link w:val="207"/>
    <w:qFormat/>
    <w:uiPriority w:val="0"/>
    <w:rPr>
      <w:rFonts w:ascii="宋体" w:hAnsi="宋体"/>
      <w:b/>
      <w:i/>
      <w:color w:val="FF0000"/>
      <w:kern w:val="2"/>
      <w:sz w:val="24"/>
    </w:rPr>
  </w:style>
  <w:style w:type="paragraph" w:customStyle="1" w:styleId="209">
    <w:name w:val="正文大标题"/>
    <w:basedOn w:val="207"/>
    <w:next w:val="6"/>
    <w:link w:val="210"/>
    <w:qFormat/>
    <w:uiPriority w:val="0"/>
    <w:pPr>
      <w:jc w:val="center"/>
    </w:pPr>
    <w:rPr>
      <w:i w:val="0"/>
      <w:color w:val="000000"/>
      <w:sz w:val="28"/>
      <w:szCs w:val="21"/>
    </w:rPr>
  </w:style>
  <w:style w:type="character" w:customStyle="1" w:styleId="210">
    <w:name w:val="正文大标题 Char"/>
    <w:link w:val="209"/>
    <w:qFormat/>
    <w:uiPriority w:val="0"/>
    <w:rPr>
      <w:rFonts w:ascii="宋体" w:hAnsi="宋体"/>
      <w:b/>
      <w:color w:val="000000"/>
      <w:kern w:val="2"/>
      <w:sz w:val="28"/>
      <w:szCs w:val="21"/>
    </w:rPr>
  </w:style>
  <w:style w:type="paragraph" w:customStyle="1" w:styleId="211">
    <w:name w:val="注释"/>
    <w:basedOn w:val="1"/>
    <w:link w:val="212"/>
    <w:qFormat/>
    <w:uiPriority w:val="0"/>
    <w:pPr>
      <w:adjustRightInd w:val="0"/>
      <w:snapToGrid w:val="0"/>
      <w:ind w:left="420" w:hanging="420" w:hangingChars="200"/>
      <w:jc w:val="left"/>
    </w:pPr>
    <w:rPr>
      <w:rFonts w:ascii="宋体" w:hAnsi="宋体"/>
      <w:szCs w:val="21"/>
    </w:rPr>
  </w:style>
  <w:style w:type="character" w:customStyle="1" w:styleId="212">
    <w:name w:val="注释 Char"/>
    <w:link w:val="211"/>
    <w:qFormat/>
    <w:uiPriority w:val="0"/>
    <w:rPr>
      <w:rFonts w:ascii="宋体" w:hAnsi="宋体"/>
      <w:kern w:val="2"/>
      <w:sz w:val="21"/>
      <w:szCs w:val="21"/>
    </w:rPr>
  </w:style>
  <w:style w:type="paragraph" w:customStyle="1" w:styleId="213">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4">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5">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6">
    <w:name w:val="纯文本 字符"/>
    <w:qFormat/>
    <w:uiPriority w:val="99"/>
    <w:rPr>
      <w:rFonts w:ascii="宋体" w:hAnsi="Courier New" w:eastAsia="宋体" w:cs="Times New Roman"/>
      <w:kern w:val="2"/>
      <w:sz w:val="21"/>
      <w:szCs w:val="21"/>
      <w:lang w:val="en-US" w:eastAsia="zh-CN" w:bidi="ar-SA"/>
    </w:rPr>
  </w:style>
  <w:style w:type="paragraph" w:customStyle="1" w:styleId="217">
    <w:name w:val="表格1"/>
    <w:basedOn w:val="1"/>
    <w:qFormat/>
    <w:uiPriority w:val="0"/>
    <w:pPr>
      <w:ind w:firstLine="480" w:firstLineChars="200"/>
      <w:jc w:val="center"/>
    </w:pPr>
    <w:rPr>
      <w:sz w:val="24"/>
      <w:szCs w:val="20"/>
    </w:rPr>
  </w:style>
  <w:style w:type="character" w:customStyle="1" w:styleId="218">
    <w:name w:val="纯文本 字符1"/>
    <w:qFormat/>
    <w:uiPriority w:val="0"/>
    <w:rPr>
      <w:rFonts w:ascii="宋体" w:hAnsi="Courier New"/>
    </w:rPr>
  </w:style>
  <w:style w:type="character" w:customStyle="1" w:styleId="219">
    <w:name w:val="bjh-p"/>
    <w:qFormat/>
    <w:uiPriority w:val="0"/>
  </w:style>
  <w:style w:type="paragraph" w:customStyle="1" w:styleId="22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1">
    <w:name w:val="正文格式 Char"/>
    <w:link w:val="222"/>
    <w:qFormat/>
    <w:locked/>
    <w:uiPriority w:val="0"/>
    <w:rPr>
      <w:rFonts w:ascii="宋体" w:hAnsi="宋体"/>
      <w:sz w:val="24"/>
      <w:szCs w:val="24"/>
      <w:lang w:val="en-GB"/>
    </w:rPr>
  </w:style>
  <w:style w:type="paragraph" w:customStyle="1" w:styleId="222">
    <w:name w:val="正文格式"/>
    <w:basedOn w:val="1"/>
    <w:link w:val="221"/>
    <w:qFormat/>
    <w:uiPriority w:val="0"/>
    <w:pPr>
      <w:spacing w:beforeLines="50" w:line="360" w:lineRule="auto"/>
      <w:ind w:firstLine="480" w:firstLineChars="200"/>
    </w:pPr>
    <w:rPr>
      <w:rFonts w:ascii="宋体" w:hAnsi="宋体"/>
      <w:kern w:val="0"/>
      <w:sz w:val="24"/>
      <w:lang w:val="en-GB"/>
    </w:rPr>
  </w:style>
  <w:style w:type="character" w:customStyle="1" w:styleId="223">
    <w:name w:val="标题 3 Char"/>
    <w:qFormat/>
    <w:uiPriority w:val="0"/>
    <w:rPr>
      <w:rFonts w:ascii="宋体" w:eastAsia="宋体"/>
      <w:b/>
      <w:sz w:val="24"/>
      <w:u w:val="single"/>
      <w:lang w:val="en-US" w:eastAsia="zh-CN" w:bidi="ar-SA"/>
    </w:rPr>
  </w:style>
  <w:style w:type="character" w:customStyle="1" w:styleId="224">
    <w:name w:val="正文缩进 Char"/>
    <w:qFormat/>
    <w:uiPriority w:val="0"/>
    <w:rPr>
      <w:rFonts w:ascii="宋体" w:eastAsia="宋体"/>
      <w:kern w:val="2"/>
      <w:sz w:val="24"/>
      <w:szCs w:val="24"/>
      <w:lang w:val="en-US" w:eastAsia="zh-CN" w:bidi="ar-SA"/>
    </w:rPr>
  </w:style>
  <w:style w:type="character" w:customStyle="1" w:styleId="225">
    <w:name w:val="Char Char111"/>
    <w:qFormat/>
    <w:uiPriority w:val="0"/>
    <w:rPr>
      <w:rFonts w:ascii="宋体" w:eastAsia="宋体"/>
      <w:b/>
      <w:sz w:val="24"/>
      <w:u w:val="single"/>
      <w:lang w:val="en-US" w:eastAsia="zh-CN" w:bidi="ar-SA"/>
    </w:rPr>
  </w:style>
  <w:style w:type="character" w:customStyle="1" w:styleId="226">
    <w:name w:val="正文文本缩进 Char"/>
    <w:qFormat/>
    <w:uiPriority w:val="0"/>
    <w:rPr>
      <w:rFonts w:eastAsia="宋体"/>
      <w:kern w:val="2"/>
      <w:sz w:val="24"/>
      <w:szCs w:val="24"/>
      <w:lang w:val="en-US" w:eastAsia="zh-CN" w:bidi="ar-SA"/>
    </w:rPr>
  </w:style>
  <w:style w:type="character" w:customStyle="1" w:styleId="227">
    <w:name w:val="列出段落 Char"/>
    <w:qFormat/>
    <w:uiPriority w:val="0"/>
    <w:rPr>
      <w:rFonts w:ascii="Calibri" w:hAnsi="Calibri" w:eastAsia="宋体"/>
      <w:kern w:val="2"/>
      <w:sz w:val="21"/>
      <w:szCs w:val="22"/>
      <w:lang w:val="en-US" w:eastAsia="zh-CN" w:bidi="ar-SA"/>
    </w:rPr>
  </w:style>
  <w:style w:type="character" w:customStyle="1" w:styleId="228">
    <w:name w:val="页眉 Char"/>
    <w:qFormat/>
    <w:uiPriority w:val="0"/>
    <w:rPr>
      <w:rFonts w:eastAsia="宋体"/>
      <w:kern w:val="2"/>
      <w:sz w:val="18"/>
      <w:szCs w:val="18"/>
      <w:lang w:val="en-US" w:eastAsia="zh-CN" w:bidi="ar-SA"/>
    </w:rPr>
  </w:style>
  <w:style w:type="character" w:customStyle="1" w:styleId="229">
    <w:name w:val="标题 2 Char"/>
    <w:qFormat/>
    <w:uiPriority w:val="0"/>
    <w:rPr>
      <w:rFonts w:ascii="Arial" w:hAnsi="Arial" w:eastAsia="黑体"/>
      <w:b/>
      <w:sz w:val="30"/>
      <w:lang w:val="en-US" w:eastAsia="zh-CN" w:bidi="ar-SA"/>
    </w:rPr>
  </w:style>
  <w:style w:type="paragraph" w:customStyle="1" w:styleId="230">
    <w:name w:val="字元 字元2"/>
    <w:basedOn w:val="1"/>
    <w:qFormat/>
    <w:uiPriority w:val="0"/>
    <w:rPr>
      <w:rFonts w:ascii="Tahoma" w:hAnsi="Tahoma"/>
      <w:sz w:val="24"/>
      <w:szCs w:val="20"/>
    </w:rPr>
  </w:style>
  <w:style w:type="paragraph" w:customStyle="1" w:styleId="231">
    <w:name w:val="Char3 Char Char Char2"/>
    <w:basedOn w:val="1"/>
    <w:qFormat/>
    <w:uiPriority w:val="0"/>
    <w:rPr>
      <w:rFonts w:ascii="Tahoma" w:hAnsi="Tahoma"/>
      <w:sz w:val="24"/>
      <w:szCs w:val="20"/>
    </w:rPr>
  </w:style>
  <w:style w:type="paragraph" w:customStyle="1" w:styleId="23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3">
    <w:name w:val="Char3"/>
    <w:basedOn w:val="1"/>
    <w:qFormat/>
    <w:uiPriority w:val="0"/>
    <w:pPr>
      <w:tabs>
        <w:tab w:val="left" w:pos="360"/>
      </w:tabs>
    </w:pPr>
    <w:rPr>
      <w:sz w:val="24"/>
    </w:rPr>
  </w:style>
  <w:style w:type="paragraph" w:customStyle="1" w:styleId="23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6">
    <w:name w:val="列出段落2"/>
    <w:basedOn w:val="1"/>
    <w:qFormat/>
    <w:uiPriority w:val="0"/>
    <w:pPr>
      <w:ind w:firstLine="420" w:firstLineChars="200"/>
    </w:pPr>
    <w:rPr>
      <w:rFonts w:ascii="Calibri" w:hAnsi="Calibri"/>
      <w:szCs w:val="22"/>
    </w:rPr>
  </w:style>
  <w:style w:type="paragraph" w:customStyle="1" w:styleId="237">
    <w:name w:val="Char Char Char1 Char2"/>
    <w:basedOn w:val="1"/>
    <w:qFormat/>
    <w:uiPriority w:val="0"/>
    <w:rPr>
      <w:rFonts w:ascii="Tahoma" w:hAnsi="Tahoma"/>
      <w:sz w:val="24"/>
      <w:szCs w:val="20"/>
    </w:rPr>
  </w:style>
  <w:style w:type="paragraph" w:customStyle="1" w:styleId="238">
    <w:name w:val="Char Char Char2"/>
    <w:basedOn w:val="1"/>
    <w:qFormat/>
    <w:uiPriority w:val="0"/>
    <w:rPr>
      <w:rFonts w:ascii="Tahoma" w:hAnsi="Tahoma"/>
      <w:sz w:val="24"/>
      <w:szCs w:val="20"/>
    </w:rPr>
  </w:style>
  <w:style w:type="paragraph" w:customStyle="1" w:styleId="23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1">
    <w:name w:val="修订1"/>
    <w:qFormat/>
    <w:uiPriority w:val="0"/>
    <w:rPr>
      <w:rFonts w:ascii="Times New Roman" w:hAnsi="Times New Roman" w:eastAsia="宋体" w:cs="Times New Roman"/>
      <w:kern w:val="2"/>
      <w:sz w:val="21"/>
      <w:szCs w:val="24"/>
      <w:lang w:val="en-US" w:eastAsia="zh-CN" w:bidi="ar-SA"/>
    </w:rPr>
  </w:style>
  <w:style w:type="paragraph" w:customStyle="1" w:styleId="242">
    <w:name w:val="Char22"/>
    <w:basedOn w:val="1"/>
    <w:qFormat/>
    <w:uiPriority w:val="0"/>
    <w:rPr>
      <w:rFonts w:ascii="Tahoma" w:hAnsi="Tahoma"/>
      <w:sz w:val="24"/>
      <w:szCs w:val="20"/>
    </w:rPr>
  </w:style>
  <w:style w:type="paragraph" w:customStyle="1" w:styleId="243">
    <w:name w:val="Char Char Char Char Char Char Char Char Char Char2"/>
    <w:basedOn w:val="1"/>
    <w:qFormat/>
    <w:uiPriority w:val="0"/>
    <w:rPr>
      <w:rFonts w:ascii="宋体" w:hAnsi="宋体" w:cs="Courier New"/>
      <w:sz w:val="32"/>
      <w:szCs w:val="32"/>
    </w:rPr>
  </w:style>
  <w:style w:type="paragraph" w:customStyle="1" w:styleId="244">
    <w:name w:val="Char2 Char Char Char Char Char Char1"/>
    <w:basedOn w:val="1"/>
    <w:qFormat/>
    <w:uiPriority w:val="0"/>
    <w:pPr>
      <w:widowControl/>
      <w:spacing w:line="400" w:lineRule="exact"/>
      <w:jc w:val="center"/>
    </w:pPr>
  </w:style>
  <w:style w:type="character" w:customStyle="1" w:styleId="245">
    <w:name w:val="页脚 Char"/>
    <w:qFormat/>
    <w:uiPriority w:val="0"/>
    <w:rPr>
      <w:rFonts w:ascii="宋体" w:eastAsia="宋体"/>
      <w:sz w:val="18"/>
      <w:lang w:val="en-US" w:eastAsia="zh-CN" w:bidi="ar-SA"/>
    </w:rPr>
  </w:style>
  <w:style w:type="paragraph" w:customStyle="1" w:styleId="246">
    <w:name w:val="Char Char41"/>
    <w:basedOn w:val="1"/>
    <w:qFormat/>
    <w:uiPriority w:val="0"/>
    <w:pPr>
      <w:widowControl/>
      <w:spacing w:line="400" w:lineRule="exact"/>
      <w:jc w:val="center"/>
    </w:pPr>
  </w:style>
  <w:style w:type="character" w:customStyle="1" w:styleId="247">
    <w:name w:val="批注文字 Char"/>
    <w:qFormat/>
    <w:uiPriority w:val="99"/>
    <w:rPr>
      <w:kern w:val="2"/>
      <w:sz w:val="21"/>
      <w:szCs w:val="24"/>
    </w:rPr>
  </w:style>
  <w:style w:type="character" w:customStyle="1" w:styleId="248">
    <w:name w:val="标题 Char"/>
    <w:qFormat/>
    <w:uiPriority w:val="0"/>
    <w:rPr>
      <w:b/>
      <w:kern w:val="2"/>
      <w:sz w:val="32"/>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1">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2">
    <w:name w:val="Table Text"/>
    <w:basedOn w:val="1"/>
    <w:semiHidden/>
    <w:qFormat/>
    <w:uiPriority w:val="0"/>
    <w:rPr>
      <w:rFonts w:ascii="Arial" w:hAnsi="Arial" w:eastAsia="Arial" w:cs="Arial"/>
      <w:szCs w:val="21"/>
      <w:lang w:eastAsia="en-US"/>
    </w:rPr>
  </w:style>
  <w:style w:type="character" w:customStyle="1" w:styleId="253">
    <w:name w:val="font11"/>
    <w:basedOn w:val="48"/>
    <w:qFormat/>
    <w:uiPriority w:val="0"/>
    <w:rPr>
      <w:rFonts w:hint="eastAsia" w:ascii="宋体" w:hAnsi="宋体" w:eastAsia="宋体" w:cs="宋体"/>
      <w:b/>
      <w:color w:val="000000"/>
      <w:sz w:val="22"/>
      <w:szCs w:val="22"/>
      <w:u w:val="none"/>
    </w:rPr>
  </w:style>
  <w:style w:type="character" w:customStyle="1" w:styleId="254">
    <w:name w:val="font21"/>
    <w:basedOn w:val="48"/>
    <w:qFormat/>
    <w:uiPriority w:val="0"/>
    <w:rPr>
      <w:rFonts w:hint="eastAsia" w:ascii="宋体" w:hAnsi="宋体" w:eastAsia="宋体" w:cs="宋体"/>
      <w:color w:val="000000"/>
      <w:sz w:val="22"/>
      <w:szCs w:val="22"/>
      <w:u w:val="none"/>
    </w:rPr>
  </w:style>
  <w:style w:type="character" w:customStyle="1" w:styleId="255">
    <w:name w:val="font01"/>
    <w:basedOn w:val="48"/>
    <w:qFormat/>
    <w:uiPriority w:val="0"/>
    <w:rPr>
      <w:rFonts w:hint="eastAsia" w:ascii="宋体" w:hAnsi="宋体" w:eastAsia="宋体" w:cs="宋体"/>
      <w:color w:val="000000"/>
      <w:sz w:val="22"/>
      <w:szCs w:val="22"/>
      <w:u w:val="none"/>
    </w:rPr>
  </w:style>
  <w:style w:type="character" w:customStyle="1" w:styleId="256">
    <w:name w:val="font31"/>
    <w:basedOn w:val="48"/>
    <w:qFormat/>
    <w:uiPriority w:val="0"/>
    <w:rPr>
      <w:rFonts w:hint="eastAsia" w:ascii="宋体" w:hAnsi="宋体" w:eastAsia="宋体" w:cs="宋体"/>
      <w:b/>
      <w:bCs/>
      <w:color w:val="000000"/>
      <w:sz w:val="24"/>
      <w:szCs w:val="24"/>
      <w:u w:val="none"/>
    </w:rPr>
  </w:style>
  <w:style w:type="character" w:customStyle="1" w:styleId="257">
    <w:name w:val="font41"/>
    <w:basedOn w:val="48"/>
    <w:qFormat/>
    <w:uiPriority w:val="0"/>
    <w:rPr>
      <w:rFonts w:hint="eastAsia" w:ascii="宋体" w:hAnsi="宋体" w:eastAsia="宋体" w:cs="宋体"/>
      <w:b/>
      <w:bCs/>
      <w:color w:val="000000"/>
      <w:sz w:val="21"/>
      <w:szCs w:val="21"/>
      <w:u w:val="none"/>
    </w:rPr>
  </w:style>
  <w:style w:type="character" w:customStyle="1" w:styleId="258">
    <w:name w:val="font51"/>
    <w:basedOn w:val="48"/>
    <w:qFormat/>
    <w:uiPriority w:val="0"/>
    <w:rPr>
      <w:rFonts w:hint="eastAsia" w:ascii="宋体" w:hAnsi="宋体" w:eastAsia="宋体" w:cs="宋体"/>
      <w:color w:val="000000"/>
      <w:sz w:val="21"/>
      <w:szCs w:val="21"/>
      <w:u w:val="none"/>
    </w:rPr>
  </w:style>
  <w:style w:type="paragraph" w:customStyle="1" w:styleId="259">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header" Target="header12.xml"/><Relationship Id="rId27" Type="http://schemas.openxmlformats.org/officeDocument/2006/relationships/header" Target="header1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108</Pages>
  <Words>39918</Words>
  <Characters>46265</Characters>
  <Lines>384</Lines>
  <Paragraphs>108</Paragraphs>
  <TotalTime>0</TotalTime>
  <ScaleCrop>false</ScaleCrop>
  <LinksUpToDate>false</LinksUpToDate>
  <CharactersWithSpaces>46986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2022-03-31T18:53:00Z</dcterms:created>
  <dc:creator>Yin Hao</dc:creator>
  <cp:lastModifiedBy>王思宇</cp:lastModifiedBy>
  <cp:lastPrinted>2024-05-11T23:32:00Z</cp:lastPrinted>
  <dcterms:modified xsi:type="dcterms:W3CDTF">2024-11-12T07:23:48Z</dcterms:modified>
  <dc:title>02年杜范本稿</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6495B3DAFF5546AF821A951007B50C77_13</vt:lpwstr>
  </property>
</Properties>
</file>