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1" w:firstLineChars="1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会审-预算结算评审服务费(第一包)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评分及排名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北京传承安泰工程管理有限公司      89.07分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北京众联恒工程管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理有限公司        87.14分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北京嘉诚晟泰工程管理咨询有限公司  86.67分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北京禾源工程造价咨询有限公司      84.4分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北京公正鑫业工程造价咨询有限公司  81.85分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北京京采工程造价咨询有限公司      79.05分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北京数圣工程造价咨询有限公司      70.65分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北京金鼎昌信工程管理有限公司      57.36分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会审-预算结算评审服务费(第二包)评分及排名：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北京众联恒工程管理有限公司        87.14分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北京嘉诚晟泰工程管理咨询有限公司  86.67分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北京禾源工程造价咨询有限公司      84.4分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北京公正鑫业工程造价咨询有限公司  81.85分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北京京采工程造价咨询有限公司      79.05分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北京数圣工程造价咨询有限公司      70.65分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北京金鼎昌信工程管理有限公司      57.36分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北京传承安泰工程管理有限公司      6.67 分</w:t>
      </w:r>
    </w:p>
    <w:p>
      <w:pPr>
        <w:pStyle w:val="2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会审-预算结算评审服务费(第三包)评分及排名：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北京嘉诚晟泰工程管理咨询有限公司  86.67分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北京禾源工程造价咨询有限公司      84.4分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北京公正鑫业工程造价咨询有限公司  81.85分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北京京采工程造价咨询有限公司      79.05分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北京数圣工程造价咨询有限公司      70.65分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北京金鼎昌信工程管理有限公司      57.36分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北京众联恒工程管理有限公司        7.14 分</w:t>
      </w:r>
    </w:p>
    <w:p>
      <w:pPr>
        <w:pStyle w:val="2"/>
        <w:numPr>
          <w:ilvl w:val="0"/>
          <w:numId w:val="3"/>
        </w:numPr>
        <w:spacing w:line="360" w:lineRule="auto"/>
        <w:ind w:left="0" w:leftChars="0" w:firstLine="40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北京传承安泰工程管理有限公司      6.67 分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A5F81F"/>
    <w:multiLevelType w:val="singleLevel"/>
    <w:tmpl w:val="86A5F81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A71D29EE"/>
    <w:multiLevelType w:val="singleLevel"/>
    <w:tmpl w:val="A71D29EE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5991B69C"/>
    <w:multiLevelType w:val="singleLevel"/>
    <w:tmpl w:val="5991B69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26A8006B"/>
    <w:rsid w:val="43EE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WAS</dc:creator>
  <cp:lastModifiedBy>WAS</cp:lastModifiedBy>
  <dcterms:modified xsi:type="dcterms:W3CDTF">2024-07-08T02:48:07Z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9867D7D2C8DB46BFA885B4B4D37259D7</vt:lpwstr>
  </property>
</Properties>
</file>