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35393809"/>
      <w:bookmarkStart w:id="1" w:name="_Toc28359022"/>
      <w:r>
        <w:rPr>
          <w:rFonts w:hint="eastAsia" w:ascii="Times New Roman" w:hAnsi="Times New Roman" w:eastAsia="宋体" w:cs="Times New Roman"/>
          <w:b/>
          <w:bCs/>
          <w:sz w:val="28"/>
          <w:szCs w:val="28"/>
          <w:lang w:eastAsia="zh-CN"/>
        </w:rPr>
        <w:t>检验检测费技术测试和分析服务采购项目</w:t>
      </w:r>
      <w:r>
        <w:rPr>
          <w:rFonts w:hint="default" w:ascii="Times New Roman" w:hAnsi="Times New Roman" w:eastAsia="宋体" w:cs="Times New Roman"/>
          <w:b/>
          <w:bCs/>
          <w:sz w:val="28"/>
          <w:szCs w:val="28"/>
        </w:rPr>
        <w:t>中标公告</w:t>
      </w:r>
      <w:bookmarkEnd w:id="0"/>
      <w:bookmarkEnd w:id="1"/>
    </w:p>
    <w:p>
      <w:pPr>
        <w:keepNext w:val="0"/>
        <w:keepLines w:val="0"/>
        <w:pageBreakBefore w:val="0"/>
        <w:widowControl w:val="0"/>
        <w:numPr>
          <w:ilvl w:val="0"/>
          <w:numId w:val="1"/>
        </w:numPr>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项目编号：</w:t>
      </w:r>
      <w:r>
        <w:rPr>
          <w:rFonts w:hint="default" w:ascii="Times New Roman" w:hAnsi="Times New Roman" w:eastAsia="宋体" w:cs="Times New Roman"/>
          <w:sz w:val="24"/>
          <w:szCs w:val="24"/>
          <w:lang w:val="en-US" w:eastAsia="zh-CN"/>
        </w:rPr>
        <w:t>BJJQ-2024-356-01/02</w:t>
      </w:r>
    </w:p>
    <w:p>
      <w:pPr>
        <w:keepNext w:val="0"/>
        <w:keepLines w:val="0"/>
        <w:pageBreakBefore w:val="0"/>
        <w:widowControl w:val="0"/>
        <w:numPr>
          <w:ilvl w:val="0"/>
          <w:numId w:val="1"/>
        </w:numPr>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项目名称：</w:t>
      </w:r>
      <w:r>
        <w:rPr>
          <w:rFonts w:hint="eastAsia" w:ascii="Times New Roman" w:hAnsi="Times New Roman" w:eastAsia="宋体" w:cs="Times New Roman"/>
          <w:sz w:val="24"/>
          <w:szCs w:val="24"/>
          <w:lang w:eastAsia="zh-CN"/>
        </w:rPr>
        <w:t>检验检测费技术测试和分析服务采购项目</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tbl>
      <w:tblPr>
        <w:tblStyle w:val="13"/>
        <w:tblW w:w="10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121"/>
        <w:gridCol w:w="2266"/>
        <w:gridCol w:w="1686"/>
        <w:gridCol w:w="3069"/>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包号</w:t>
            </w:r>
          </w:p>
        </w:tc>
        <w:tc>
          <w:tcPr>
            <w:tcW w:w="1121"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b/>
                <w:bCs/>
                <w:sz w:val="21"/>
                <w:szCs w:val="21"/>
                <w:highlight w:val="none"/>
                <w:vertAlign w:val="baseline"/>
              </w:rPr>
              <w:t>标的名称</w:t>
            </w:r>
          </w:p>
        </w:tc>
        <w:tc>
          <w:tcPr>
            <w:tcW w:w="226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rPr>
            </w:pPr>
            <w:r>
              <w:rPr>
                <w:rFonts w:hint="default" w:ascii="Times New Roman" w:hAnsi="Times New Roman" w:eastAsia="宋体" w:cs="Times New Roman"/>
                <w:b/>
                <w:bCs/>
                <w:sz w:val="21"/>
                <w:szCs w:val="21"/>
                <w:highlight w:val="none"/>
              </w:rPr>
              <w:t>中标人名称</w:t>
            </w:r>
          </w:p>
        </w:tc>
        <w:tc>
          <w:tcPr>
            <w:tcW w:w="16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统一社会</w:t>
            </w:r>
          </w:p>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b/>
                <w:bCs/>
                <w:sz w:val="21"/>
                <w:szCs w:val="21"/>
                <w:highlight w:val="none"/>
                <w:vertAlign w:val="baseline"/>
                <w:lang w:val="en-US" w:eastAsia="zh-CN"/>
              </w:rPr>
              <w:t>信用代码</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rPr>
            </w:pPr>
            <w:r>
              <w:rPr>
                <w:rFonts w:hint="default" w:ascii="Times New Roman" w:hAnsi="Times New Roman" w:eastAsia="宋体" w:cs="Times New Roman"/>
                <w:b/>
                <w:bCs/>
                <w:sz w:val="21"/>
                <w:szCs w:val="21"/>
                <w:highlight w:val="none"/>
              </w:rPr>
              <w:t>中标人地址</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sz w:val="21"/>
                <w:szCs w:val="21"/>
                <w:highlight w:val="none"/>
                <w:vertAlign w:val="baseline"/>
                <w:lang w:eastAsia="zh-CN"/>
              </w:rPr>
            </w:pPr>
            <w:r>
              <w:rPr>
                <w:rFonts w:hint="default" w:ascii="Times New Roman" w:hAnsi="Times New Roman" w:eastAsia="宋体" w:cs="Times New Roman"/>
                <w:b/>
                <w:bCs/>
                <w:sz w:val="21"/>
                <w:szCs w:val="21"/>
                <w:highlight w:val="none"/>
              </w:rPr>
              <w:t>中标金额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01</w:t>
            </w:r>
          </w:p>
        </w:tc>
        <w:tc>
          <w:tcPr>
            <w:tcW w:w="1121"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lang w:eastAsia="zh-CN"/>
              </w:rPr>
              <w:t>餐饮环节</w:t>
            </w:r>
          </w:p>
        </w:tc>
        <w:tc>
          <w:tcPr>
            <w:tcW w:w="226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国贸食品科学研究院有限公司</w:t>
            </w:r>
          </w:p>
        </w:tc>
        <w:tc>
          <w:tcPr>
            <w:tcW w:w="16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911100004000013872</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北京市昌平区北七家镇未来科学城南区四路中粮营养健康研究院辅楼2307</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lang w:val="en-US" w:eastAsia="zh-CN"/>
              </w:rPr>
              <w:t>￥1339636.00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3"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02</w:t>
            </w:r>
          </w:p>
        </w:tc>
        <w:tc>
          <w:tcPr>
            <w:tcW w:w="1121"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eastAsia" w:ascii="Times New Roman" w:hAnsi="Times New Roman" w:eastAsia="宋体" w:cs="Times New Roman"/>
                <w:sz w:val="21"/>
                <w:szCs w:val="21"/>
                <w:highlight w:val="none"/>
                <w:vertAlign w:val="baseline"/>
                <w:lang w:eastAsia="zh-CN"/>
              </w:rPr>
              <w:t>流通环节</w:t>
            </w:r>
          </w:p>
        </w:tc>
        <w:tc>
          <w:tcPr>
            <w:tcW w:w="226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中国检验检疫科学研究院综合检测中心</w:t>
            </w:r>
          </w:p>
        </w:tc>
        <w:tc>
          <w:tcPr>
            <w:tcW w:w="168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12100000717826555W</w:t>
            </w:r>
          </w:p>
        </w:tc>
        <w:tc>
          <w:tcPr>
            <w:tcW w:w="3069"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rPr>
            </w:pPr>
            <w:r>
              <w:rPr>
                <w:rFonts w:hint="default" w:ascii="Times New Roman" w:hAnsi="Times New Roman" w:eastAsia="宋体" w:cs="Times New Roman"/>
                <w:sz w:val="21"/>
                <w:szCs w:val="21"/>
                <w:highlight w:val="none"/>
                <w:vertAlign w:val="baseline"/>
              </w:rPr>
              <w:t>北京市朝阳区高碑店北路甲3号1号楼1201室</w:t>
            </w:r>
          </w:p>
        </w:tc>
        <w:tc>
          <w:tcPr>
            <w:tcW w:w="1426" w:type="dxa"/>
            <w:vAlign w:val="center"/>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sz w:val="21"/>
                <w:szCs w:val="21"/>
                <w:highlight w:val="none"/>
                <w:vertAlign w:val="baseline"/>
                <w:lang w:val="en-US"/>
              </w:rPr>
            </w:pPr>
            <w:r>
              <w:rPr>
                <w:rFonts w:hint="default" w:ascii="Times New Roman" w:hAnsi="Times New Roman" w:eastAsia="宋体" w:cs="Times New Roman"/>
                <w:sz w:val="21"/>
                <w:szCs w:val="21"/>
                <w:highlight w:val="none"/>
                <w:vertAlign w:val="baseline"/>
                <w:lang w:val="en-US" w:eastAsia="zh-CN"/>
              </w:rPr>
              <w:t>￥1418819.00</w:t>
            </w:r>
          </w:p>
        </w:tc>
      </w:tr>
    </w:tbl>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2"/>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1"/>
        <w:gridCol w:w="4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eastAsia" w:ascii="Times New Roman" w:hAnsi="Times New Roman" w:eastAsia="宋体" w:cs="Times New Roman"/>
                <w:b/>
                <w:bCs/>
                <w:kern w:val="0"/>
                <w:sz w:val="24"/>
                <w:szCs w:val="24"/>
                <w:highlight w:val="yellow"/>
                <w:lang w:eastAsia="zh-CN"/>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第1包</w:t>
            </w:r>
            <w:r>
              <w:rPr>
                <w:rFonts w:hint="eastAsia" w:ascii="Times New Roman" w:hAnsi="Times New Roman" w:eastAsia="宋体" w:cs="Times New Roman"/>
                <w:b/>
                <w:bCs/>
                <w:kern w:val="0"/>
                <w:sz w:val="24"/>
                <w:szCs w:val="24"/>
                <w:highlight w:val="none"/>
                <w:lang w:eastAsia="zh-CN"/>
              </w:rPr>
              <w:t>）</w:t>
            </w:r>
          </w:p>
        </w:tc>
        <w:tc>
          <w:tcPr>
            <w:tcW w:w="4981" w:type="dxa"/>
            <w:vAlign w:val="top"/>
          </w:tcPr>
          <w:p>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b/>
                <w:bCs/>
                <w:kern w:val="0"/>
                <w:sz w:val="24"/>
                <w:szCs w:val="24"/>
                <w:highlight w:val="none"/>
              </w:rPr>
            </w:pPr>
            <w:r>
              <w:rPr>
                <w:rFonts w:hint="default" w:ascii="Times New Roman" w:hAnsi="Times New Roman" w:eastAsia="宋体" w:cs="Times New Roman"/>
                <w:b/>
                <w:bCs/>
                <w:kern w:val="0"/>
                <w:sz w:val="24"/>
                <w:szCs w:val="24"/>
                <w:highlight w:val="none"/>
              </w:rPr>
              <w:t>服务类</w:t>
            </w:r>
            <w:r>
              <w:rPr>
                <w:rFonts w:hint="eastAsia" w:ascii="Times New Roman" w:hAnsi="Times New Roman" w:eastAsia="宋体" w:cs="Times New Roman"/>
                <w:b/>
                <w:bCs/>
                <w:kern w:val="0"/>
                <w:sz w:val="24"/>
                <w:szCs w:val="24"/>
                <w:highlight w:val="none"/>
                <w:lang w:eastAsia="zh-CN"/>
              </w:rPr>
              <w:t>（</w:t>
            </w:r>
            <w:r>
              <w:rPr>
                <w:rFonts w:hint="eastAsia" w:ascii="Times New Roman" w:hAnsi="Times New Roman" w:eastAsia="宋体" w:cs="Times New Roman"/>
                <w:b/>
                <w:bCs/>
                <w:kern w:val="0"/>
                <w:sz w:val="24"/>
                <w:szCs w:val="24"/>
                <w:highlight w:val="none"/>
                <w:lang w:val="en-US" w:eastAsia="zh-CN"/>
              </w:rPr>
              <w:t>第2包</w:t>
            </w:r>
            <w:r>
              <w:rPr>
                <w:rFonts w:hint="eastAsia" w:ascii="Times New Roman" w:hAnsi="Times New Roman" w:eastAsia="宋体" w:cs="Times New Roman"/>
                <w:b/>
                <w:bCs/>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w:t>
            </w:r>
            <w:r>
              <w:rPr>
                <w:rFonts w:hint="eastAsia" w:eastAsia="宋体"/>
                <w:color w:val="auto"/>
                <w:sz w:val="24"/>
                <w:highlight w:val="none"/>
                <w:lang w:eastAsia="zh-CN"/>
              </w:rPr>
              <w:t>餐饮环节</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服务时间：</w:t>
            </w:r>
            <w:r>
              <w:rPr>
                <w:rFonts w:hint="default" w:ascii="Times New Roman" w:hAnsi="Times New Roman" w:eastAsia="宋体" w:cs="Times New Roman"/>
                <w:kern w:val="0"/>
                <w:sz w:val="24"/>
                <w:szCs w:val="24"/>
                <w:highlight w:val="none"/>
                <w:lang w:val="en-US" w:eastAsia="zh-CN"/>
              </w:rPr>
              <w:t>投标人需按照时间过半、任务过半原则，6月底前完成不低于全年抽样任务总量的50%；9月底前，完成不低于全年抽样任务总量的75%；11月底前，完成全年抽样任务。</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服务标准：详见招标文件</w:t>
            </w:r>
          </w:p>
        </w:tc>
        <w:tc>
          <w:tcPr>
            <w:tcW w:w="4981" w:type="dxa"/>
            <w:vAlign w:val="top"/>
          </w:tcPr>
          <w:p>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名称：</w:t>
            </w:r>
            <w:r>
              <w:rPr>
                <w:rFonts w:hint="eastAsia" w:eastAsia="宋体"/>
                <w:color w:val="auto"/>
                <w:sz w:val="24"/>
                <w:highlight w:val="none"/>
                <w:lang w:eastAsia="zh-CN"/>
              </w:rPr>
              <w:t>流通环节</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服务范围、服务要求：详见招标文件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kern w:val="0"/>
                <w:sz w:val="24"/>
                <w:szCs w:val="24"/>
                <w:highlight w:val="none"/>
              </w:rPr>
              <w:t>服务时间：</w:t>
            </w:r>
            <w:r>
              <w:rPr>
                <w:rFonts w:hint="default" w:ascii="Times New Roman" w:hAnsi="Times New Roman" w:eastAsia="宋体" w:cs="Times New Roman"/>
                <w:kern w:val="0"/>
                <w:sz w:val="24"/>
                <w:szCs w:val="24"/>
                <w:highlight w:val="none"/>
                <w:lang w:val="en-US" w:eastAsia="zh-CN"/>
              </w:rPr>
              <w:t>投标人需按照时间过半、任务过半原则，6月底前完成不低于全年抽样任务总量的50%；9月底前，完成不低于全年抽样任务总量的75%；11月底前，完成全年抽样任务。</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服务标准：详见招标文件</w:t>
            </w:r>
          </w:p>
        </w:tc>
      </w:tr>
    </w:tbl>
    <w:p>
      <w:pPr>
        <w:keepNext w:val="0"/>
        <w:keepLines w:val="0"/>
        <w:pageBreakBefore w:val="0"/>
        <w:widowControl w:val="0"/>
        <w:tabs>
          <w:tab w:val="left" w:pos="1890"/>
        </w:tabs>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五、评审专家名单：</w:t>
      </w:r>
      <w:r>
        <w:rPr>
          <w:rFonts w:hint="eastAsia" w:ascii="Times New Roman" w:hAnsi="Times New Roman" w:eastAsia="宋体" w:cs="Times New Roman"/>
          <w:sz w:val="24"/>
          <w:szCs w:val="24"/>
          <w:highlight w:val="none"/>
          <w:lang w:val="en-US" w:eastAsia="zh-CN"/>
        </w:rPr>
        <w:t>李月娟、姜海英、邬海燕、刘金光、程言君</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r>
        <w:rPr>
          <w:rFonts w:hint="eastAsia" w:ascii="Times New Roman" w:hAnsi="Times New Roman" w:eastAsia="宋体" w:cs="Times New Roman"/>
          <w:sz w:val="24"/>
          <w:szCs w:val="24"/>
          <w:highlight w:val="none"/>
          <w:lang w:val="en-US" w:eastAsia="zh-CN"/>
        </w:rPr>
        <w:t>共计5.379</w:t>
      </w:r>
      <w:r>
        <w:rPr>
          <w:rFonts w:hint="default" w:ascii="Times New Roman" w:hAnsi="Times New Roman" w:eastAsia="宋体" w:cs="Times New Roman"/>
          <w:sz w:val="24"/>
          <w:szCs w:val="24"/>
          <w:highlight w:val="none"/>
        </w:rPr>
        <w:t>万元</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lang w:val="en-US" w:eastAsia="zh-CN"/>
        </w:rPr>
        <w:t>其中第1包为2.6123万元、第2包为2.7667万元</w:t>
      </w:r>
      <w:r>
        <w:rPr>
          <w:rFonts w:hint="default" w:ascii="Times New Roman" w:hAnsi="Times New Roman" w:eastAsia="宋体" w:cs="Times New Roman"/>
          <w:sz w:val="24"/>
          <w:szCs w:val="24"/>
          <w:highlight w:val="none"/>
        </w:rPr>
        <w:t>（收费标准详见招标文件）</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自本公告发布之日起1个工作日。</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8.1本公告同时在中国政府采购网（http://www.ccgp.gov.cn）、北京市政府采购网（http://www.ccgp-beijing.gov.cn/）以及北京汇诚金桥国际招标咨询有限公司网站（http://www.hcjq.net/）发布。</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kern w:val="0"/>
          <w:sz w:val="24"/>
          <w:szCs w:val="24"/>
        </w:rPr>
        <w:t>8.2采购代理机构项目编号：</w:t>
      </w:r>
      <w:r>
        <w:rPr>
          <w:rFonts w:hint="default" w:ascii="Times New Roman" w:hAnsi="Times New Roman" w:eastAsia="宋体" w:cs="Times New Roman"/>
          <w:sz w:val="24"/>
          <w:szCs w:val="24"/>
          <w:lang w:val="en-US" w:eastAsia="zh-CN"/>
        </w:rPr>
        <w:t>BJJQ-2024-356-01/02</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sz w:val="24"/>
          <w:szCs w:val="24"/>
          <w:lang w:val="en-US" w:eastAsia="zh-CN"/>
        </w:rPr>
        <w:t>8.3第1包中标人为国贸食品科学研究院有限公司，中标金额为¥1339636.00，其</w:t>
      </w:r>
      <w:r>
        <w:rPr>
          <w:rFonts w:hint="eastAsia" w:ascii="Times New Roman" w:hAnsi="Times New Roman" w:eastAsia="宋体"/>
          <w:sz w:val="24"/>
          <w:szCs w:val="24"/>
          <w:highlight w:val="none"/>
          <w:lang w:val="en-US" w:eastAsia="zh-CN"/>
        </w:rPr>
        <w:t>评审总得分为</w:t>
      </w:r>
      <w:r>
        <w:rPr>
          <w:rFonts w:hint="eastAsia" w:ascii="TimesNewRomanPSMT" w:hAnsi="TimesNewRomanPSMT" w:eastAsia="TimesNewRomanPSMT"/>
          <w:sz w:val="24"/>
          <w:szCs w:val="24"/>
        </w:rPr>
        <w:t>98.00</w:t>
      </w:r>
      <w:r>
        <w:rPr>
          <w:rFonts w:hint="eastAsia" w:ascii="Times New Roman" w:hAnsi="Times New Roman" w:eastAsia="宋体"/>
          <w:sz w:val="24"/>
          <w:szCs w:val="24"/>
          <w:highlight w:val="none"/>
          <w:lang w:val="en-US" w:eastAsia="zh-CN"/>
        </w:rPr>
        <w:t>；</w:t>
      </w:r>
      <w:r>
        <w:rPr>
          <w:rFonts w:hint="eastAsia" w:ascii="Times New Roman" w:hAnsi="Times New Roman" w:eastAsia="宋体" w:cs="Times New Roman"/>
          <w:sz w:val="24"/>
          <w:szCs w:val="24"/>
          <w:lang w:val="en-US" w:eastAsia="zh-CN"/>
        </w:rPr>
        <w:t>第2包中标人为中国检验检疫科学研究院综合检测中心，中标金额为¥1418819</w:t>
      </w:r>
      <w:bookmarkStart w:id="2" w:name="_GoBack"/>
      <w:bookmarkEnd w:id="2"/>
      <w:r>
        <w:rPr>
          <w:rFonts w:hint="eastAsia" w:ascii="Times New Roman" w:hAnsi="Times New Roman" w:eastAsia="宋体" w:cs="Times New Roman"/>
          <w:sz w:val="24"/>
          <w:szCs w:val="24"/>
          <w:lang w:val="en-US" w:eastAsia="zh-CN"/>
        </w:rPr>
        <w:t>.00，其</w:t>
      </w:r>
      <w:r>
        <w:rPr>
          <w:rFonts w:hint="eastAsia" w:ascii="Times New Roman" w:hAnsi="Times New Roman" w:eastAsia="宋体"/>
          <w:sz w:val="24"/>
          <w:szCs w:val="24"/>
          <w:highlight w:val="none"/>
          <w:lang w:val="en-US" w:eastAsia="zh-CN"/>
        </w:rPr>
        <w:t>评审总得分为94.40</w:t>
      </w:r>
      <w:r>
        <w:rPr>
          <w:rFonts w:hint="eastAsia" w:ascii="Times New Roman" w:hAnsi="Times New Roman" w:eastAsia="宋体"/>
          <w:kern w:val="0"/>
          <w:sz w:val="24"/>
          <w:szCs w:val="24"/>
          <w:highlight w:val="none"/>
        </w:rPr>
        <w:t>。</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1.采购人信息</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名称：北京市石景山区市场监督管理局</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地址：北京市石景山区实兴大街64号</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联系方式：</w:t>
      </w:r>
      <w:r>
        <w:rPr>
          <w:rFonts w:hint="default" w:ascii="Times New Roman" w:hAnsi="Times New Roman" w:eastAsia="宋体" w:cs="Times New Roman"/>
          <w:sz w:val="24"/>
          <w:szCs w:val="24"/>
          <w:lang w:val="en-US" w:eastAsia="zh-CN"/>
        </w:rPr>
        <w:t>李老师，010-88793889-1512</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2.采购代理机构信息</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名称：北京汇诚金桥国际招标咨询有限公司</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联系方式：010-65699706、65244876</w:t>
      </w:r>
    </w:p>
    <w:p>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3.项目联系方式</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项目联系人：</w:t>
      </w:r>
      <w:r>
        <w:rPr>
          <w:rFonts w:hint="default" w:ascii="Times New Roman" w:hAnsi="Times New Roman" w:eastAsia="宋体" w:cs="Times New Roman"/>
          <w:kern w:val="0"/>
          <w:sz w:val="24"/>
          <w:szCs w:val="24"/>
          <w:lang w:val="en-US" w:eastAsia="zh-CN"/>
        </w:rPr>
        <w:t>侯雷、王鑫国、王世钰</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sz w:val="24"/>
          <w:szCs w:val="24"/>
        </w:rPr>
        <w:t>联系方式：</w:t>
      </w:r>
      <w:r>
        <w:rPr>
          <w:rFonts w:hint="default" w:ascii="Times New Roman" w:hAnsi="Times New Roman" w:eastAsia="宋体" w:cs="Times New Roman"/>
          <w:kern w:val="0"/>
          <w:sz w:val="24"/>
          <w:szCs w:val="24"/>
        </w:rPr>
        <w:t>010-65</w:t>
      </w:r>
      <w:r>
        <w:rPr>
          <w:rFonts w:hint="default" w:ascii="Times New Roman" w:hAnsi="Times New Roman" w:eastAsia="宋体" w:cs="Times New Roman"/>
          <w:kern w:val="0"/>
          <w:sz w:val="24"/>
          <w:szCs w:val="24"/>
          <w:lang w:val="en-US" w:eastAsia="zh-CN"/>
        </w:rPr>
        <w:t>699706、65244876</w:t>
      </w:r>
    </w:p>
    <w:p>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1.采购文件</w:t>
      </w:r>
    </w:p>
    <w:p>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kern w:val="0"/>
          <w:sz w:val="24"/>
          <w:szCs w:val="24"/>
          <w:highlight w:val="none"/>
          <w:lang w:val="en-US" w:eastAsia="zh-CN"/>
        </w:rPr>
        <w:t>2.中小企业声明函</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imesNewRomanPSMT">
    <w:altName w:val="Times New Roman"/>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9C41D6"/>
    <w:multiLevelType w:val="singleLevel"/>
    <w:tmpl w:val="C19C41D6"/>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A1YzYzYWVjNWRkOGM0MmM2NmRmMTQxMDdjNWNlMWEifQ=="/>
  </w:docVars>
  <w:rsids>
    <w:rsidRoot w:val="00172A27"/>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7848"/>
    <w:rsid w:val="00C42EAD"/>
    <w:rsid w:val="00C61709"/>
    <w:rsid w:val="00C852EA"/>
    <w:rsid w:val="00CB59BC"/>
    <w:rsid w:val="00CC205A"/>
    <w:rsid w:val="00D20014"/>
    <w:rsid w:val="00D230C0"/>
    <w:rsid w:val="00D916AE"/>
    <w:rsid w:val="00DA630C"/>
    <w:rsid w:val="00DD001C"/>
    <w:rsid w:val="00DE3240"/>
    <w:rsid w:val="00DF35BE"/>
    <w:rsid w:val="00E20D6A"/>
    <w:rsid w:val="00ED27D0"/>
    <w:rsid w:val="00F65A74"/>
    <w:rsid w:val="00FA634B"/>
    <w:rsid w:val="00FE10A1"/>
    <w:rsid w:val="00FE498C"/>
    <w:rsid w:val="026223A4"/>
    <w:rsid w:val="02BE2C9A"/>
    <w:rsid w:val="02CB0D62"/>
    <w:rsid w:val="02CF4A12"/>
    <w:rsid w:val="0301396B"/>
    <w:rsid w:val="09B1391A"/>
    <w:rsid w:val="0BA77260"/>
    <w:rsid w:val="0BCD4D32"/>
    <w:rsid w:val="0C7D610B"/>
    <w:rsid w:val="0D01255D"/>
    <w:rsid w:val="0E176739"/>
    <w:rsid w:val="10D73F5D"/>
    <w:rsid w:val="11183D21"/>
    <w:rsid w:val="13913A86"/>
    <w:rsid w:val="149C4F2F"/>
    <w:rsid w:val="14C173FE"/>
    <w:rsid w:val="185D0F99"/>
    <w:rsid w:val="18F71640"/>
    <w:rsid w:val="1C4050AC"/>
    <w:rsid w:val="1DC37D43"/>
    <w:rsid w:val="1EF54315"/>
    <w:rsid w:val="200B1D89"/>
    <w:rsid w:val="22EE7E5C"/>
    <w:rsid w:val="23DA097F"/>
    <w:rsid w:val="2BEA3703"/>
    <w:rsid w:val="2D0E6797"/>
    <w:rsid w:val="2D1A00BD"/>
    <w:rsid w:val="2FC94FBF"/>
    <w:rsid w:val="30055F99"/>
    <w:rsid w:val="30420F9B"/>
    <w:rsid w:val="31707DD9"/>
    <w:rsid w:val="33925D96"/>
    <w:rsid w:val="33BF1E86"/>
    <w:rsid w:val="33EB211A"/>
    <w:rsid w:val="38B36EDA"/>
    <w:rsid w:val="397228F1"/>
    <w:rsid w:val="3A9540E4"/>
    <w:rsid w:val="3B062BD9"/>
    <w:rsid w:val="3EA76F04"/>
    <w:rsid w:val="3F784910"/>
    <w:rsid w:val="417A21AD"/>
    <w:rsid w:val="4205007B"/>
    <w:rsid w:val="486C05FC"/>
    <w:rsid w:val="48EB621C"/>
    <w:rsid w:val="4B081FC0"/>
    <w:rsid w:val="4B5A6F67"/>
    <w:rsid w:val="4BCF5981"/>
    <w:rsid w:val="4D357A66"/>
    <w:rsid w:val="5052089F"/>
    <w:rsid w:val="51564A5C"/>
    <w:rsid w:val="535661E9"/>
    <w:rsid w:val="53961111"/>
    <w:rsid w:val="53B71978"/>
    <w:rsid w:val="55047602"/>
    <w:rsid w:val="5C910A31"/>
    <w:rsid w:val="5E2C163C"/>
    <w:rsid w:val="5FC8476A"/>
    <w:rsid w:val="6186668A"/>
    <w:rsid w:val="61D9475D"/>
    <w:rsid w:val="620938BB"/>
    <w:rsid w:val="666920D7"/>
    <w:rsid w:val="66FD154A"/>
    <w:rsid w:val="678F30E1"/>
    <w:rsid w:val="688866DB"/>
    <w:rsid w:val="69F06D97"/>
    <w:rsid w:val="6BD24BEE"/>
    <w:rsid w:val="6BF316FD"/>
    <w:rsid w:val="6C744549"/>
    <w:rsid w:val="6C7831E9"/>
    <w:rsid w:val="6CD31260"/>
    <w:rsid w:val="6D345EA9"/>
    <w:rsid w:val="70D32F6E"/>
    <w:rsid w:val="74122D63"/>
    <w:rsid w:val="75510141"/>
    <w:rsid w:val="75F15752"/>
    <w:rsid w:val="76EF29FA"/>
    <w:rsid w:val="77446EFF"/>
    <w:rsid w:val="77DF672E"/>
    <w:rsid w:val="78085EAD"/>
    <w:rsid w:val="782918BB"/>
    <w:rsid w:val="7AE75338"/>
    <w:rsid w:val="7E1626EC"/>
    <w:rsid w:val="7E3F7E95"/>
    <w:rsid w:val="7E957F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6"/>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7"/>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autoRedefine/>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jc w:val="left"/>
    </w:pPr>
    <w:rPr>
      <w:rFonts w:ascii="宋体"/>
      <w:sz w:val="24"/>
    </w:rPr>
  </w:style>
  <w:style w:type="paragraph" w:styleId="5">
    <w:name w:val="annotation text"/>
    <w:basedOn w:val="1"/>
    <w:link w:val="29"/>
    <w:autoRedefine/>
    <w:semiHidden/>
    <w:qFormat/>
    <w:uiPriority w:val="99"/>
    <w:pPr>
      <w:jc w:val="left"/>
    </w:pPr>
    <w:rPr>
      <w:rFonts w:ascii="Times New Roman" w:hAnsi="Times New Roman" w:eastAsia="宋体"/>
      <w:szCs w:val="24"/>
    </w:rPr>
  </w:style>
  <w:style w:type="paragraph" w:styleId="6">
    <w:name w:val="Body Text"/>
    <w:basedOn w:val="1"/>
    <w:next w:val="7"/>
    <w:qFormat/>
    <w:uiPriority w:val="0"/>
    <w:pPr>
      <w:tabs>
        <w:tab w:val="left" w:pos="567"/>
      </w:tabs>
      <w:spacing w:before="120" w:line="22" w:lineRule="atLeast"/>
    </w:pPr>
    <w:rPr>
      <w:rFonts w:ascii="宋体" w:hAnsi="宋体"/>
      <w:sz w:val="24"/>
    </w:rPr>
  </w:style>
  <w:style w:type="paragraph" w:customStyle="1" w:styleId="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8">
    <w:name w:val="Plain Text"/>
    <w:basedOn w:val="1"/>
    <w:link w:val="28"/>
    <w:autoRedefine/>
    <w:qFormat/>
    <w:uiPriority w:val="0"/>
    <w:rPr>
      <w:rFonts w:ascii="宋体" w:hAnsi="Courier New"/>
    </w:rPr>
  </w:style>
  <w:style w:type="paragraph" w:styleId="9">
    <w:name w:val="Balloon Text"/>
    <w:basedOn w:val="1"/>
    <w:link w:val="30"/>
    <w:semiHidden/>
    <w:qFormat/>
    <w:uiPriority w:val="99"/>
    <w:rPr>
      <w:sz w:val="18"/>
      <w:szCs w:val="18"/>
    </w:rPr>
  </w:style>
  <w:style w:type="paragraph" w:styleId="10">
    <w:name w:val="footer"/>
    <w:basedOn w:val="1"/>
    <w:link w:val="32"/>
    <w:autoRedefine/>
    <w:unhideWhenUsed/>
    <w:qFormat/>
    <w:uiPriority w:val="99"/>
    <w:pPr>
      <w:tabs>
        <w:tab w:val="center" w:pos="4153"/>
        <w:tab w:val="right" w:pos="8306"/>
      </w:tabs>
      <w:snapToGrid w:val="0"/>
      <w:jc w:val="left"/>
    </w:pPr>
    <w:rPr>
      <w:sz w:val="18"/>
      <w:szCs w:val="18"/>
    </w:rPr>
  </w:style>
  <w:style w:type="paragraph" w:styleId="11">
    <w:name w:val="header"/>
    <w:basedOn w:val="1"/>
    <w:link w:val="3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locked/>
    <w:uiPriority w:val="0"/>
  </w:style>
  <w:style w:type="character" w:styleId="16">
    <w:name w:val="FollowedHyperlink"/>
    <w:basedOn w:val="14"/>
    <w:autoRedefine/>
    <w:semiHidden/>
    <w:unhideWhenUsed/>
    <w:qFormat/>
    <w:uiPriority w:val="99"/>
    <w:rPr>
      <w:color w:val="000000"/>
      <w:u w:val="none"/>
    </w:rPr>
  </w:style>
  <w:style w:type="character" w:styleId="17">
    <w:name w:val="Emphasis"/>
    <w:basedOn w:val="14"/>
    <w:autoRedefine/>
    <w:qFormat/>
    <w:locked/>
    <w:uiPriority w:val="0"/>
  </w:style>
  <w:style w:type="character" w:styleId="18">
    <w:name w:val="HTML Definition"/>
    <w:basedOn w:val="14"/>
    <w:autoRedefine/>
    <w:semiHidden/>
    <w:unhideWhenUsed/>
    <w:qFormat/>
    <w:uiPriority w:val="99"/>
  </w:style>
  <w:style w:type="character" w:styleId="19">
    <w:name w:val="HTML Acronym"/>
    <w:basedOn w:val="14"/>
    <w:autoRedefine/>
    <w:semiHidden/>
    <w:unhideWhenUsed/>
    <w:qFormat/>
    <w:uiPriority w:val="99"/>
  </w:style>
  <w:style w:type="character" w:styleId="20">
    <w:name w:val="HTML Variable"/>
    <w:basedOn w:val="14"/>
    <w:autoRedefine/>
    <w:semiHidden/>
    <w:unhideWhenUsed/>
    <w:qFormat/>
    <w:uiPriority w:val="99"/>
  </w:style>
  <w:style w:type="character" w:styleId="21">
    <w:name w:val="Hyperlink"/>
    <w:basedOn w:val="14"/>
    <w:autoRedefine/>
    <w:semiHidden/>
    <w:unhideWhenUsed/>
    <w:qFormat/>
    <w:uiPriority w:val="99"/>
    <w:rPr>
      <w:color w:val="000000"/>
      <w:u w:val="none"/>
    </w:rPr>
  </w:style>
  <w:style w:type="character" w:styleId="22">
    <w:name w:val="HTML Code"/>
    <w:basedOn w:val="14"/>
    <w:autoRedefine/>
    <w:semiHidden/>
    <w:unhideWhenUsed/>
    <w:qFormat/>
    <w:uiPriority w:val="99"/>
    <w:rPr>
      <w:rFonts w:ascii="Courier New" w:hAnsi="Courier New"/>
      <w:sz w:val="20"/>
    </w:rPr>
  </w:style>
  <w:style w:type="character" w:styleId="23">
    <w:name w:val="annotation reference"/>
    <w:autoRedefine/>
    <w:semiHidden/>
    <w:qFormat/>
    <w:uiPriority w:val="99"/>
    <w:rPr>
      <w:rFonts w:cs="Times New Roman"/>
      <w:sz w:val="21"/>
      <w:szCs w:val="21"/>
    </w:rPr>
  </w:style>
  <w:style w:type="character" w:styleId="24">
    <w:name w:val="HTML Cite"/>
    <w:basedOn w:val="14"/>
    <w:autoRedefine/>
    <w:semiHidden/>
    <w:unhideWhenUsed/>
    <w:qFormat/>
    <w:uiPriority w:val="99"/>
  </w:style>
  <w:style w:type="paragraph" w:customStyle="1" w:styleId="2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6">
    <w:name w:val="标题 1 字符"/>
    <w:link w:val="2"/>
    <w:autoRedefine/>
    <w:qFormat/>
    <w:locked/>
    <w:uiPriority w:val="99"/>
    <w:rPr>
      <w:rFonts w:ascii="宋体" w:hAnsi="宋体" w:eastAsia="宋体" w:cs="宋体"/>
      <w:b/>
      <w:bCs/>
      <w:kern w:val="36"/>
      <w:sz w:val="48"/>
      <w:szCs w:val="48"/>
    </w:rPr>
  </w:style>
  <w:style w:type="character" w:customStyle="1" w:styleId="27">
    <w:name w:val="标题 2 字符"/>
    <w:link w:val="3"/>
    <w:autoRedefine/>
    <w:qFormat/>
    <w:locked/>
    <w:uiPriority w:val="99"/>
    <w:rPr>
      <w:rFonts w:ascii="宋体" w:hAnsi="宋体" w:eastAsia="宋体" w:cs="宋体"/>
      <w:b/>
      <w:bCs/>
      <w:kern w:val="0"/>
      <w:sz w:val="36"/>
      <w:szCs w:val="36"/>
    </w:rPr>
  </w:style>
  <w:style w:type="character" w:customStyle="1" w:styleId="28">
    <w:name w:val="纯文本 字符"/>
    <w:link w:val="8"/>
    <w:autoRedefine/>
    <w:qFormat/>
    <w:locked/>
    <w:uiPriority w:val="0"/>
    <w:rPr>
      <w:rFonts w:ascii="宋体" w:hAnsi="Courier New" w:cs="Times New Roman"/>
    </w:rPr>
  </w:style>
  <w:style w:type="character" w:customStyle="1" w:styleId="29">
    <w:name w:val="批注文字 字符"/>
    <w:basedOn w:val="14"/>
    <w:link w:val="5"/>
    <w:autoRedefine/>
    <w:semiHidden/>
    <w:qFormat/>
    <w:uiPriority w:val="99"/>
  </w:style>
  <w:style w:type="character" w:customStyle="1" w:styleId="30">
    <w:name w:val="批注框文本 字符"/>
    <w:link w:val="9"/>
    <w:autoRedefine/>
    <w:semiHidden/>
    <w:qFormat/>
    <w:uiPriority w:val="99"/>
    <w:rPr>
      <w:sz w:val="0"/>
      <w:szCs w:val="0"/>
    </w:rPr>
  </w:style>
  <w:style w:type="character" w:customStyle="1" w:styleId="31">
    <w:name w:val="页眉 字符"/>
    <w:link w:val="11"/>
    <w:autoRedefine/>
    <w:qFormat/>
    <w:uiPriority w:val="99"/>
    <w:rPr>
      <w:sz w:val="18"/>
      <w:szCs w:val="18"/>
    </w:rPr>
  </w:style>
  <w:style w:type="character" w:customStyle="1" w:styleId="32">
    <w:name w:val="页脚 字符"/>
    <w:link w:val="10"/>
    <w:autoRedefine/>
    <w:qFormat/>
    <w:uiPriority w:val="99"/>
    <w:rPr>
      <w:sz w:val="18"/>
      <w:szCs w:val="18"/>
    </w:rPr>
  </w:style>
  <w:style w:type="character" w:customStyle="1" w:styleId="33">
    <w:name w:val="hover4"/>
    <w:basedOn w:val="14"/>
    <w:autoRedefine/>
    <w:qFormat/>
    <w:uiPriority w:val="0"/>
    <w:rPr>
      <w:color w:val="0063BA"/>
    </w:rPr>
  </w:style>
  <w:style w:type="character" w:customStyle="1" w:styleId="34">
    <w:name w:val="margin_right202"/>
    <w:basedOn w:val="14"/>
    <w:autoRedefine/>
    <w:qFormat/>
    <w:uiPriority w:val="0"/>
  </w:style>
  <w:style w:type="character" w:customStyle="1" w:styleId="35">
    <w:name w:val="active5"/>
    <w:basedOn w:val="14"/>
    <w:autoRedefine/>
    <w:qFormat/>
    <w:uiPriority w:val="0"/>
    <w:rPr>
      <w:color w:val="FFFFFF"/>
      <w:shd w:val="clear" w:fill="E22323"/>
    </w:rPr>
  </w:style>
  <w:style w:type="character" w:customStyle="1" w:styleId="36">
    <w:name w:val="before"/>
    <w:basedOn w:val="14"/>
    <w:autoRedefine/>
    <w:qFormat/>
    <w:uiPriority w:val="0"/>
    <w:rPr>
      <w:shd w:val="clear" w:fill="E22323"/>
    </w:rPr>
  </w:style>
  <w:style w:type="character" w:customStyle="1" w:styleId="37">
    <w:name w:val="margin_right20"/>
    <w:basedOn w:val="14"/>
    <w:autoRedefine/>
    <w:qFormat/>
    <w:uiPriority w:val="0"/>
  </w:style>
  <w:style w:type="character" w:customStyle="1" w:styleId="38">
    <w:name w:val="active6"/>
    <w:basedOn w:val="14"/>
    <w:autoRedefine/>
    <w:qFormat/>
    <w:uiPriority w:val="0"/>
    <w:rPr>
      <w:color w:val="FFFFFF"/>
      <w:shd w:val="clear" w:fill="E22323"/>
    </w:rPr>
  </w:style>
  <w:style w:type="character" w:customStyle="1" w:styleId="39">
    <w:name w:val="hover5"/>
    <w:basedOn w:val="14"/>
    <w:autoRedefine/>
    <w:qFormat/>
    <w:uiPriority w:val="0"/>
    <w:rPr>
      <w:color w:val="0063B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1613</Words>
  <Characters>2140</Characters>
  <Lines>6</Lines>
  <Paragraphs>1</Paragraphs>
  <TotalTime>22</TotalTime>
  <ScaleCrop>false</ScaleCrop>
  <LinksUpToDate>false</LinksUpToDate>
  <CharactersWithSpaces>2140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汇诚金桥业务一部</cp:lastModifiedBy>
  <dcterms:modified xsi:type="dcterms:W3CDTF">2024-04-19T02:21:36Z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78D7606D78F347D9B44A74E2CAAC88AD</vt:lpwstr>
  </property>
</Properties>
</file>