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0C7D26">
      <w:pPr>
        <w:spacing w:line="360" w:lineRule="auto"/>
        <w:ind w:firstLine="300" w:firstLineChars="50"/>
        <w:rPr>
          <w:rFonts w:eastAsiaTheme="minorEastAsia"/>
          <w:sz w:val="60"/>
          <w:szCs w:val="60"/>
        </w:rPr>
      </w:pPr>
    </w:p>
    <w:p w14:paraId="6829FCE2">
      <w:pPr>
        <w:spacing w:line="360" w:lineRule="auto"/>
        <w:ind w:firstLine="300" w:firstLineChars="50"/>
        <w:rPr>
          <w:rFonts w:eastAsiaTheme="minorEastAsia"/>
          <w:sz w:val="60"/>
          <w:szCs w:val="60"/>
        </w:rPr>
      </w:pPr>
    </w:p>
    <w:p w14:paraId="43CCE092">
      <w:pPr>
        <w:jc w:val="center"/>
        <w:rPr>
          <w:b/>
          <w:bCs/>
          <w:sz w:val="60"/>
          <w:szCs w:val="60"/>
        </w:rPr>
      </w:pPr>
      <w:r>
        <w:rPr>
          <w:rFonts w:hint="eastAsia" w:eastAsiaTheme="minorEastAsia"/>
          <w:b/>
          <w:bCs/>
          <w:sz w:val="60"/>
          <w:szCs w:val="60"/>
          <w:lang w:eastAsia="zh-CN"/>
        </w:rPr>
        <w:t>昌平区延寿镇北庄村防洪沟治理应急度汛项目</w:t>
      </w:r>
      <w:r>
        <w:rPr>
          <w:rFonts w:eastAsiaTheme="minorEastAsia"/>
          <w:b/>
          <w:bCs/>
          <w:sz w:val="60"/>
          <w:szCs w:val="60"/>
        </w:rPr>
        <w:t>竞争性磋商文件</w:t>
      </w:r>
    </w:p>
    <w:p w14:paraId="443FF6FF">
      <w:pPr>
        <w:spacing w:line="360" w:lineRule="auto"/>
        <w:jc w:val="center"/>
        <w:rPr>
          <w:rFonts w:eastAsiaTheme="majorEastAsia"/>
          <w:b/>
          <w:bCs/>
          <w:sz w:val="60"/>
          <w:szCs w:val="60"/>
        </w:rPr>
      </w:pPr>
    </w:p>
    <w:p w14:paraId="13AAB0DF">
      <w:pPr>
        <w:spacing w:line="360" w:lineRule="auto"/>
        <w:jc w:val="center"/>
        <w:rPr>
          <w:rFonts w:eastAsiaTheme="majorEastAsia"/>
          <w:b/>
          <w:bCs/>
          <w:sz w:val="60"/>
          <w:szCs w:val="60"/>
        </w:rPr>
      </w:pPr>
    </w:p>
    <w:p w14:paraId="64F35D8A">
      <w:pPr>
        <w:tabs>
          <w:tab w:val="left" w:pos="5609"/>
        </w:tabs>
        <w:spacing w:line="360" w:lineRule="auto"/>
        <w:ind w:left="2832" w:leftChars="444" w:hanging="1900" w:hangingChars="528"/>
        <w:jc w:val="left"/>
        <w:rPr>
          <w:rFonts w:eastAsiaTheme="minorEastAsia"/>
          <w:bCs/>
          <w:sz w:val="36"/>
          <w:szCs w:val="36"/>
        </w:rPr>
      </w:pPr>
      <w:r>
        <w:rPr>
          <w:rFonts w:eastAsiaTheme="minorEastAsia"/>
          <w:bCs/>
          <w:sz w:val="36"/>
          <w:szCs w:val="36"/>
        </w:rPr>
        <w:t>项目名称：</w:t>
      </w:r>
      <w:r>
        <w:rPr>
          <w:rFonts w:eastAsiaTheme="minorEastAsia"/>
          <w:bCs/>
          <w:sz w:val="36"/>
          <w:szCs w:val="36"/>
        </w:rPr>
        <w:tab/>
      </w:r>
      <w:r>
        <w:rPr>
          <w:rFonts w:hint="eastAsia" w:eastAsiaTheme="minorEastAsia"/>
          <w:bCs/>
          <w:sz w:val="36"/>
          <w:szCs w:val="36"/>
          <w:lang w:eastAsia="zh-CN"/>
        </w:rPr>
        <w:t>昌平区延寿镇北庄村防洪沟治理应急度汛项目</w:t>
      </w:r>
      <w:r>
        <w:rPr>
          <w:rFonts w:eastAsiaTheme="minorEastAsia"/>
          <w:bCs/>
          <w:sz w:val="36"/>
          <w:szCs w:val="36"/>
        </w:rPr>
        <w:tab/>
      </w:r>
    </w:p>
    <w:p w14:paraId="67586D38">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项目编号：</w:t>
      </w:r>
      <w:r>
        <w:rPr>
          <w:rFonts w:hint="default" w:ascii="Times New Roman" w:hAnsi="Times New Roman" w:cs="Times New Roman" w:eastAsiaTheme="minorEastAsia"/>
          <w:bCs/>
          <w:sz w:val="36"/>
          <w:szCs w:val="36"/>
          <w:lang w:eastAsia="zh-CN"/>
        </w:rPr>
        <w:fldChar w:fldCharType="begin"/>
      </w:r>
      <w:r>
        <w:rPr>
          <w:rFonts w:hint="default" w:ascii="Times New Roman" w:hAnsi="Times New Roman" w:cs="Times New Roman" w:eastAsiaTheme="minorEastAsia"/>
          <w:bCs/>
          <w:sz w:val="36"/>
          <w:szCs w:val="36"/>
          <w:lang w:eastAsia="zh-CN"/>
        </w:rPr>
        <w:instrText xml:space="preserve"> HYPERLINK "http://219.232.204.193:8080/frontend/plan/project_detail.html?projectUuid=554c05ca-a458-4359-9402-7c88ff8e77d8" </w:instrText>
      </w:r>
      <w:r>
        <w:rPr>
          <w:rFonts w:hint="default" w:ascii="Times New Roman" w:hAnsi="Times New Roman" w:cs="Times New Roman" w:eastAsiaTheme="minorEastAsia"/>
          <w:bCs/>
          <w:sz w:val="36"/>
          <w:szCs w:val="36"/>
          <w:lang w:eastAsia="zh-CN"/>
        </w:rPr>
        <w:fldChar w:fldCharType="separate"/>
      </w:r>
      <w:r>
        <w:rPr>
          <w:rFonts w:hint="default" w:ascii="Times New Roman" w:hAnsi="Times New Roman" w:cs="Times New Roman" w:eastAsiaTheme="minorEastAsia"/>
          <w:bCs/>
          <w:sz w:val="36"/>
          <w:szCs w:val="36"/>
          <w:lang w:eastAsia="zh-CN"/>
        </w:rPr>
        <w:t>11011425210200024997-XM001</w:t>
      </w:r>
      <w:r>
        <w:rPr>
          <w:rFonts w:hint="default" w:ascii="Times New Roman" w:hAnsi="Times New Roman" w:cs="Times New Roman" w:eastAsiaTheme="minorEastAsia"/>
          <w:bCs/>
          <w:sz w:val="36"/>
          <w:szCs w:val="36"/>
          <w:lang w:eastAsia="zh-CN"/>
        </w:rPr>
        <w:fldChar w:fldCharType="end"/>
      </w:r>
    </w:p>
    <w:p w14:paraId="2E964464">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r>
        <w:rPr>
          <w:rFonts w:hint="eastAsia" w:eastAsiaTheme="minorEastAsia"/>
          <w:bCs/>
          <w:sz w:val="36"/>
          <w:szCs w:val="36"/>
          <w:lang w:val="en-US" w:eastAsia="zh-CN"/>
        </w:rPr>
        <w:t>采购文件编号：YT-2025-G-013</w:t>
      </w:r>
    </w:p>
    <w:p w14:paraId="4662E15F">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 购 人：</w:t>
      </w:r>
      <w:r>
        <w:rPr>
          <w:rFonts w:ascii="Times New Roman" w:hAnsi="Times New Roman" w:cs="Times New Roman" w:eastAsiaTheme="minorEastAsia"/>
          <w:bCs/>
          <w:sz w:val="36"/>
          <w:szCs w:val="36"/>
        </w:rPr>
        <w:t>北京市昌平区延寿镇人民政府</w:t>
      </w:r>
    </w:p>
    <w:p w14:paraId="5A6CE628">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采购代理机构：</w:t>
      </w:r>
      <w:r>
        <w:rPr>
          <w:rFonts w:hint="eastAsia" w:ascii="Times New Roman" w:hAnsi="Times New Roman" w:cs="Times New Roman" w:eastAsiaTheme="minorEastAsia"/>
          <w:bCs/>
          <w:sz w:val="36"/>
          <w:szCs w:val="36"/>
        </w:rPr>
        <w:t>北京永拓工程咨询股份有限公司</w:t>
      </w:r>
    </w:p>
    <w:p w14:paraId="49E8DDBB">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65CB6A0D">
      <w:pPr>
        <w:spacing w:line="360" w:lineRule="auto"/>
        <w:jc w:val="center"/>
        <w:outlineLvl w:val="0"/>
        <w:rPr>
          <w:rFonts w:eastAsiaTheme="minorEastAsia"/>
          <w:b/>
          <w:sz w:val="36"/>
          <w:szCs w:val="36"/>
        </w:rPr>
      </w:pPr>
      <w:r>
        <w:rPr>
          <w:rFonts w:eastAsiaTheme="minorEastAsia"/>
          <w:b/>
          <w:sz w:val="36"/>
          <w:szCs w:val="36"/>
        </w:rPr>
        <w:t>目      录</w:t>
      </w:r>
    </w:p>
    <w:p w14:paraId="47B069E9">
      <w:pPr>
        <w:rPr>
          <w:rFonts w:eastAsiaTheme="minorEastAsia"/>
        </w:rPr>
      </w:pPr>
    </w:p>
    <w:p w14:paraId="549CF614">
      <w:pPr>
        <w:rPr>
          <w:rFonts w:eastAsiaTheme="minorEastAsia"/>
        </w:rPr>
      </w:pPr>
    </w:p>
    <w:p w14:paraId="55DBECC8">
      <w:pPr>
        <w:rPr>
          <w:rFonts w:eastAsiaTheme="minorEastAsia"/>
        </w:rPr>
      </w:pPr>
    </w:p>
    <w:p w14:paraId="71178607">
      <w:pPr>
        <w:rPr>
          <w:rFonts w:eastAsiaTheme="minorEastAsia"/>
        </w:rPr>
      </w:pPr>
    </w:p>
    <w:p w14:paraId="27908E22">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0"/>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6FA96E43">
      <w:pPr>
        <w:pStyle w:val="30"/>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0"/>
          <w:rFonts w:ascii="Times New Roman" w:hAnsi="Times New Roman" w:eastAsiaTheme="minorEastAsia"/>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5</w:t>
      </w:r>
      <w:r>
        <w:rPr>
          <w:rFonts w:ascii="Times New Roman" w:hAnsi="Times New Roman" w:eastAsiaTheme="minorEastAsia"/>
        </w:rPr>
        <w:fldChar w:fldCharType="end"/>
      </w:r>
      <w:r>
        <w:rPr>
          <w:rFonts w:ascii="Times New Roman" w:hAnsi="Times New Roman" w:eastAsiaTheme="minorEastAsia"/>
        </w:rPr>
        <w:fldChar w:fldCharType="end"/>
      </w:r>
    </w:p>
    <w:p w14:paraId="51F7FE38">
      <w:pPr>
        <w:pStyle w:val="30"/>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0"/>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21</w:t>
      </w:r>
      <w:r>
        <w:rPr>
          <w:rFonts w:ascii="Times New Roman" w:hAnsi="Times New Roman" w:eastAsiaTheme="minorEastAsia"/>
        </w:rPr>
        <w:fldChar w:fldCharType="end"/>
      </w:r>
      <w:r>
        <w:rPr>
          <w:rFonts w:ascii="Times New Roman" w:hAnsi="Times New Roman" w:eastAsiaTheme="minorEastAsia"/>
        </w:rPr>
        <w:fldChar w:fldCharType="end"/>
      </w:r>
    </w:p>
    <w:p w14:paraId="0E21C667">
      <w:pPr>
        <w:pStyle w:val="30"/>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0"/>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34</w:t>
      </w:r>
      <w:r>
        <w:rPr>
          <w:rFonts w:ascii="Times New Roman" w:hAnsi="Times New Roman" w:eastAsiaTheme="minorEastAsia"/>
        </w:rPr>
        <w:fldChar w:fldCharType="end"/>
      </w:r>
      <w:r>
        <w:rPr>
          <w:rFonts w:ascii="Times New Roman" w:hAnsi="Times New Roman" w:eastAsiaTheme="minorEastAsia"/>
        </w:rPr>
        <w:fldChar w:fldCharType="end"/>
      </w:r>
    </w:p>
    <w:p w14:paraId="40C52008">
      <w:pPr>
        <w:pStyle w:val="30"/>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0"/>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36</w:t>
      </w:r>
      <w:r>
        <w:rPr>
          <w:rFonts w:ascii="Times New Roman" w:hAnsi="Times New Roman" w:eastAsiaTheme="minorEastAsia"/>
        </w:rPr>
        <w:fldChar w:fldCharType="end"/>
      </w:r>
      <w:r>
        <w:rPr>
          <w:rFonts w:ascii="Times New Roman" w:hAnsi="Times New Roman" w:eastAsiaTheme="minorEastAsia"/>
        </w:rPr>
        <w:fldChar w:fldCharType="end"/>
      </w:r>
    </w:p>
    <w:p w14:paraId="656A98BD">
      <w:pPr>
        <w:pStyle w:val="30"/>
        <w:spacing w:line="360" w:lineRule="auto"/>
        <w:rPr>
          <w:rFonts w:hint="default" w:ascii="Times New Roman" w:hAnsi="Times New Roman" w:eastAsiaTheme="minorEastAsia"/>
          <w:b w:val="0"/>
          <w:sz w:val="21"/>
          <w:szCs w:val="22"/>
          <w:lang w:val="en-US" w:eastAsia="zh-CN"/>
        </w:rPr>
      </w:pPr>
      <w:r>
        <w:fldChar w:fldCharType="begin"/>
      </w:r>
      <w:r>
        <w:instrText xml:space="preserve"> HYPERLINK \l "_Toc97371947" </w:instrText>
      </w:r>
      <w:r>
        <w:fldChar w:fldCharType="separate"/>
      </w:r>
      <w:r>
        <w:rPr>
          <w:rStyle w:val="50"/>
          <w:rFonts w:ascii="Times New Roman" w:hAnsi="Times New Roman" w:eastAsiaTheme="minorEastAsia"/>
        </w:rPr>
        <w:t>第六章   响应文件格式</w:t>
      </w:r>
      <w:r>
        <w:rPr>
          <w:rFonts w:ascii="Times New Roman" w:hAnsi="Times New Roman" w:eastAsiaTheme="minorEastAsia"/>
        </w:rPr>
        <w:tab/>
      </w:r>
      <w:r>
        <w:rPr>
          <w:rFonts w:hint="eastAsia" w:ascii="Times New Roman" w:hAnsi="Times New Roman" w:eastAsiaTheme="minorEastAsia"/>
          <w:lang w:val="en-US" w:eastAsia="zh-CN"/>
        </w:rPr>
        <w:t>1</w:t>
      </w:r>
      <w:r>
        <w:rPr>
          <w:rFonts w:ascii="Times New Roman" w:hAnsi="Times New Roman" w:eastAsiaTheme="minorEastAsia"/>
        </w:rPr>
        <w:fldChar w:fldCharType="end"/>
      </w:r>
      <w:r>
        <w:rPr>
          <w:rFonts w:hint="eastAsia" w:ascii="Times New Roman" w:hAnsi="Times New Roman" w:eastAsiaTheme="minorEastAsia"/>
          <w:lang w:val="en-US" w:eastAsia="zh-CN"/>
        </w:rPr>
        <w:t>14</w:t>
      </w:r>
    </w:p>
    <w:p w14:paraId="62A4E2DE">
      <w:pPr>
        <w:pStyle w:val="30"/>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6AA03770"/>
    <w:p w14:paraId="1F7BA6E5">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w:t>
      </w:r>
      <w:bookmarkStart w:id="2247" w:name="_GoBack"/>
      <w:bookmarkEnd w:id="2247"/>
      <w:r>
        <w:rPr>
          <w:rFonts w:hint="eastAsia"/>
          <w:sz w:val="24"/>
        </w:rPr>
        <w:t>项目，以</w:t>
      </w:r>
      <w:r>
        <w:rPr>
          <w:sz w:val="24"/>
        </w:rPr>
        <w:t>“</w:t>
      </w:r>
      <w:r>
        <w:rPr>
          <w:rFonts w:eastAsiaTheme="minorEastAsia"/>
          <w:sz w:val="24"/>
        </w:rPr>
        <w:t>□</w:t>
      </w:r>
      <w:r>
        <w:rPr>
          <w:sz w:val="24"/>
        </w:rPr>
        <w:t>”</w:t>
      </w:r>
      <w:r>
        <w:rPr>
          <w:rFonts w:hint="eastAsia"/>
          <w:sz w:val="24"/>
        </w:rPr>
        <w:t>形式标记的内容不适用于本项目。</w:t>
      </w:r>
    </w:p>
    <w:p w14:paraId="22D2FD6C">
      <w:pPr>
        <w:pStyle w:val="30"/>
        <w:spacing w:line="360" w:lineRule="auto"/>
        <w:rPr>
          <w:rFonts w:ascii="Times New Roman" w:hAnsi="Times New Roman" w:eastAsiaTheme="minorEastAsia"/>
          <w:b w:val="0"/>
        </w:rPr>
      </w:pPr>
    </w:p>
    <w:p w14:paraId="32832DD3">
      <w:pPr>
        <w:pStyle w:val="30"/>
        <w:spacing w:line="360" w:lineRule="auto"/>
        <w:rPr>
          <w:rFonts w:ascii="Times New Roman" w:hAnsi="Times New Roman" w:eastAsiaTheme="minorEastAsia"/>
          <w:b w:val="0"/>
          <w:sz w:val="36"/>
          <w:szCs w:val="36"/>
        </w:rPr>
      </w:pPr>
      <w:bookmarkStart w:id="0" w:name="_Toc97371941"/>
    </w:p>
    <w:p w14:paraId="687D0EB3">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F67C4C0">
      <w:pPr>
        <w:spacing w:line="360" w:lineRule="auto"/>
        <w:jc w:val="center"/>
        <w:outlineLvl w:val="0"/>
        <w:rPr>
          <w:rFonts w:eastAsiaTheme="minorEastAsia"/>
          <w:b/>
          <w:sz w:val="36"/>
          <w:szCs w:val="36"/>
        </w:rPr>
      </w:pPr>
      <w:r>
        <w:rPr>
          <w:rFonts w:eastAsiaTheme="minorEastAsia"/>
          <w:b/>
          <w:sz w:val="36"/>
          <w:szCs w:val="36"/>
        </w:rPr>
        <w:t>第一章   采购邀请</w:t>
      </w:r>
      <w:bookmarkEnd w:id="0"/>
      <w:bookmarkStart w:id="1" w:name="_Toc35393621"/>
      <w:bookmarkStart w:id="2" w:name="_Toc35393790"/>
      <w:bookmarkStart w:id="3" w:name="_Toc28359002"/>
      <w:bookmarkStart w:id="4" w:name="_Toc28359079"/>
      <w:bookmarkStart w:id="5" w:name="_Hlk24379207"/>
    </w:p>
    <w:p w14:paraId="37B8EB2B">
      <w:pPr>
        <w:spacing w:line="360" w:lineRule="auto"/>
        <w:ind w:firstLine="480" w:firstLineChars="200"/>
        <w:rPr>
          <w:rFonts w:eastAsiaTheme="minorEastAsia"/>
          <w:sz w:val="24"/>
        </w:rPr>
      </w:pPr>
    </w:p>
    <w:p w14:paraId="4AA9E60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1"/>
      <w:bookmarkEnd w:id="2"/>
      <w:bookmarkEnd w:id="3"/>
      <w:bookmarkEnd w:id="4"/>
    </w:p>
    <w:p w14:paraId="72EA9054">
      <w:pPr>
        <w:spacing w:line="360" w:lineRule="auto"/>
        <w:ind w:firstLine="480" w:firstLineChars="200"/>
        <w:rPr>
          <w:rFonts w:eastAsiaTheme="minorEastAsia"/>
          <w:sz w:val="24"/>
        </w:rPr>
      </w:pPr>
      <w:r>
        <w:rPr>
          <w:rFonts w:eastAsiaTheme="minorEastAsia"/>
          <w:sz w:val="24"/>
        </w:rPr>
        <w:t>1.项目编号：</w:t>
      </w:r>
      <w:r>
        <w:rPr>
          <w:rFonts w:hint="default" w:ascii="Times New Roman" w:hAnsi="Times New Roman" w:cs="Times New Roman" w:eastAsiaTheme="minorEastAsia"/>
          <w:sz w:val="24"/>
          <w:u w:val="single"/>
          <w:lang w:eastAsia="zh-CN"/>
        </w:rPr>
        <w:fldChar w:fldCharType="begin"/>
      </w:r>
      <w:r>
        <w:rPr>
          <w:rFonts w:hint="default" w:ascii="Times New Roman" w:hAnsi="Times New Roman" w:cs="Times New Roman" w:eastAsiaTheme="minorEastAsia"/>
          <w:sz w:val="24"/>
          <w:u w:val="single"/>
          <w:lang w:eastAsia="zh-CN"/>
        </w:rPr>
        <w:instrText xml:space="preserve"> HYPERLINK "http://219.232.204.193:8080/frontend/plan/project_detail.html?projectUuid=554c05ca-a458-4359-9402-7c88ff8e77d8" </w:instrText>
      </w:r>
      <w:r>
        <w:rPr>
          <w:rFonts w:hint="default" w:ascii="Times New Roman" w:hAnsi="Times New Roman" w:cs="Times New Roman" w:eastAsiaTheme="minorEastAsia"/>
          <w:sz w:val="24"/>
          <w:u w:val="single"/>
          <w:lang w:eastAsia="zh-CN"/>
        </w:rPr>
        <w:fldChar w:fldCharType="separate"/>
      </w:r>
      <w:r>
        <w:rPr>
          <w:rFonts w:hint="default" w:ascii="Times New Roman" w:hAnsi="Times New Roman" w:cs="Times New Roman" w:eastAsiaTheme="minorEastAsia"/>
          <w:sz w:val="24"/>
          <w:u w:val="single"/>
          <w:lang w:eastAsia="zh-CN"/>
        </w:rPr>
        <w:t>11011425210200024997-XM001</w:t>
      </w:r>
      <w:r>
        <w:rPr>
          <w:rFonts w:hint="default" w:ascii="Times New Roman" w:hAnsi="Times New Roman" w:cs="Times New Roman" w:eastAsiaTheme="minorEastAsia"/>
          <w:sz w:val="24"/>
          <w:u w:val="single"/>
          <w:lang w:eastAsia="zh-CN"/>
        </w:rPr>
        <w:fldChar w:fldCharType="end"/>
      </w:r>
    </w:p>
    <w:p w14:paraId="2BAFD509">
      <w:pPr>
        <w:spacing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u w:val="single"/>
          <w:lang w:eastAsia="zh-CN"/>
        </w:rPr>
        <w:t>昌平区延寿镇北庄村防洪沟治理应急度汛项目</w:t>
      </w:r>
    </w:p>
    <w:p w14:paraId="329CCAAF">
      <w:pPr>
        <w:spacing w:line="360" w:lineRule="auto"/>
        <w:ind w:firstLine="480" w:firstLineChars="200"/>
        <w:rPr>
          <w:rFonts w:eastAsiaTheme="minorEastAsia"/>
          <w:sz w:val="24"/>
        </w:rPr>
      </w:pPr>
      <w:r>
        <w:rPr>
          <w:rFonts w:eastAsiaTheme="minorEastAsia"/>
          <w:sz w:val="24"/>
        </w:rPr>
        <w:t>3.采购方式：竞争性磋商</w:t>
      </w:r>
    </w:p>
    <w:bookmarkEnd w:id="5"/>
    <w:p w14:paraId="138C911D">
      <w:pPr>
        <w:spacing w:line="360" w:lineRule="auto"/>
        <w:ind w:firstLine="480" w:firstLineChars="200"/>
        <w:rPr>
          <w:rFonts w:eastAsiaTheme="minorEastAsia"/>
          <w:sz w:val="24"/>
        </w:rPr>
      </w:pPr>
      <w:r>
        <w:rPr>
          <w:rFonts w:eastAsiaTheme="minorEastAsia"/>
          <w:sz w:val="24"/>
        </w:rPr>
        <w:t>4.项目预算金额：</w:t>
      </w:r>
      <w:r>
        <w:rPr>
          <w:rFonts w:hint="default" w:ascii="Times New Roman" w:hAnsi="Times New Roman" w:cs="Times New Roman" w:eastAsiaTheme="minorEastAsia"/>
          <w:sz w:val="24"/>
          <w:u w:val="single"/>
          <w:lang w:eastAsia="zh-CN"/>
        </w:rPr>
        <w:t>392.763597 </w:t>
      </w:r>
      <w:r>
        <w:rPr>
          <w:rFonts w:eastAsiaTheme="minorEastAsia"/>
          <w:sz w:val="24"/>
        </w:rPr>
        <w:t>万元、项目最高限价（如有）：</w:t>
      </w:r>
      <w:r>
        <w:rPr>
          <w:rFonts w:hint="eastAsia" w:eastAsiaTheme="minorEastAsia"/>
          <w:sz w:val="24"/>
          <w:u w:val="single"/>
        </w:rPr>
        <w:t>392</w:t>
      </w:r>
      <w:r>
        <w:rPr>
          <w:rFonts w:hint="eastAsia" w:eastAsiaTheme="minorEastAsia"/>
          <w:sz w:val="24"/>
          <w:u w:val="single"/>
          <w:lang w:val="en-US" w:eastAsia="zh-CN"/>
        </w:rPr>
        <w:t>.</w:t>
      </w:r>
      <w:r>
        <w:rPr>
          <w:rFonts w:hint="eastAsia" w:eastAsiaTheme="minorEastAsia"/>
          <w:sz w:val="24"/>
          <w:u w:val="single"/>
        </w:rPr>
        <w:t>64271</w:t>
      </w:r>
      <w:r>
        <w:rPr>
          <w:rFonts w:eastAsiaTheme="minorEastAsia"/>
          <w:sz w:val="24"/>
        </w:rPr>
        <w:t>万元</w:t>
      </w:r>
    </w:p>
    <w:p w14:paraId="12A7CD05">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4C30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4A70F73B">
            <w:pPr>
              <w:jc w:val="center"/>
              <w:rPr>
                <w:rFonts w:eastAsiaTheme="minorEastAsia"/>
                <w:bCs/>
                <w:szCs w:val="21"/>
              </w:rPr>
            </w:pPr>
            <w:r>
              <w:rPr>
                <w:rFonts w:eastAsiaTheme="minorEastAsia"/>
                <w:bCs/>
                <w:szCs w:val="21"/>
              </w:rPr>
              <w:t>包号</w:t>
            </w:r>
          </w:p>
        </w:tc>
        <w:tc>
          <w:tcPr>
            <w:tcW w:w="843" w:type="pct"/>
            <w:vAlign w:val="center"/>
          </w:tcPr>
          <w:p w14:paraId="6AC97809">
            <w:pPr>
              <w:jc w:val="center"/>
              <w:rPr>
                <w:rFonts w:eastAsiaTheme="minorEastAsia"/>
                <w:bCs/>
                <w:szCs w:val="21"/>
              </w:rPr>
            </w:pPr>
            <w:r>
              <w:rPr>
                <w:rFonts w:eastAsiaTheme="minorEastAsia"/>
                <w:bCs/>
                <w:szCs w:val="21"/>
              </w:rPr>
              <w:t>标的名称</w:t>
            </w:r>
          </w:p>
        </w:tc>
        <w:tc>
          <w:tcPr>
            <w:tcW w:w="921" w:type="pct"/>
            <w:vAlign w:val="center"/>
          </w:tcPr>
          <w:p w14:paraId="17F8065A">
            <w:pPr>
              <w:jc w:val="center"/>
              <w:rPr>
                <w:rFonts w:eastAsiaTheme="minorEastAsia"/>
                <w:bCs/>
                <w:szCs w:val="21"/>
              </w:rPr>
            </w:pPr>
            <w:r>
              <w:rPr>
                <w:rFonts w:eastAsiaTheme="minorEastAsia"/>
                <w:bCs/>
                <w:szCs w:val="21"/>
              </w:rPr>
              <w:t>采购包预算金额</w:t>
            </w:r>
          </w:p>
          <w:p w14:paraId="2536D524">
            <w:pPr>
              <w:jc w:val="center"/>
              <w:rPr>
                <w:rFonts w:eastAsiaTheme="minorEastAsia"/>
                <w:bCs/>
                <w:szCs w:val="21"/>
              </w:rPr>
            </w:pPr>
            <w:r>
              <w:rPr>
                <w:rFonts w:eastAsiaTheme="minorEastAsia"/>
                <w:bCs/>
                <w:szCs w:val="21"/>
              </w:rPr>
              <w:t>（万元）</w:t>
            </w:r>
          </w:p>
        </w:tc>
        <w:tc>
          <w:tcPr>
            <w:tcW w:w="540" w:type="pct"/>
            <w:vAlign w:val="center"/>
          </w:tcPr>
          <w:p w14:paraId="4E0ED6CC">
            <w:pPr>
              <w:jc w:val="center"/>
              <w:rPr>
                <w:rFonts w:eastAsiaTheme="minorEastAsia"/>
                <w:bCs/>
                <w:szCs w:val="21"/>
              </w:rPr>
            </w:pPr>
            <w:r>
              <w:rPr>
                <w:rFonts w:eastAsiaTheme="minorEastAsia"/>
                <w:bCs/>
                <w:szCs w:val="21"/>
              </w:rPr>
              <w:t>数量</w:t>
            </w:r>
          </w:p>
        </w:tc>
        <w:tc>
          <w:tcPr>
            <w:tcW w:w="2314" w:type="pct"/>
            <w:vAlign w:val="center"/>
          </w:tcPr>
          <w:p w14:paraId="6CEFF252">
            <w:pPr>
              <w:jc w:val="center"/>
              <w:rPr>
                <w:rFonts w:eastAsiaTheme="minorEastAsia"/>
                <w:szCs w:val="21"/>
              </w:rPr>
            </w:pPr>
            <w:r>
              <w:rPr>
                <w:rFonts w:eastAsiaTheme="minorEastAsia"/>
                <w:szCs w:val="21"/>
              </w:rPr>
              <w:t>简要技术需求或服务要求</w:t>
            </w:r>
          </w:p>
        </w:tc>
      </w:tr>
      <w:tr w14:paraId="53AE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6EE2F90E">
            <w:pPr>
              <w:jc w:val="center"/>
              <w:rPr>
                <w:rFonts w:eastAsiaTheme="minorEastAsia"/>
                <w:bCs/>
                <w:szCs w:val="21"/>
              </w:rPr>
            </w:pPr>
            <w:r>
              <w:rPr>
                <w:rFonts w:eastAsiaTheme="minorEastAsia"/>
                <w:bCs/>
                <w:szCs w:val="21"/>
              </w:rPr>
              <w:t>01</w:t>
            </w:r>
          </w:p>
        </w:tc>
        <w:tc>
          <w:tcPr>
            <w:tcW w:w="843" w:type="pct"/>
            <w:vAlign w:val="center"/>
          </w:tcPr>
          <w:p w14:paraId="14797ABC">
            <w:pPr>
              <w:jc w:val="center"/>
              <w:rPr>
                <w:rFonts w:hint="eastAsia" w:eastAsiaTheme="minorEastAsia"/>
                <w:bCs/>
                <w:szCs w:val="21"/>
                <w:lang w:eastAsia="zh-CN"/>
              </w:rPr>
            </w:pPr>
            <w:r>
              <w:rPr>
                <w:rFonts w:hint="eastAsia" w:ascii="Times New Roman" w:hAnsi="Times New Roman" w:cs="Times New Roman" w:eastAsiaTheme="minorEastAsia"/>
                <w:bCs/>
                <w:szCs w:val="21"/>
                <w:lang w:eastAsia="zh-CN"/>
              </w:rPr>
              <w:t>昌平区延寿镇北庄村防洪沟治理应急度汛项目</w:t>
            </w:r>
          </w:p>
        </w:tc>
        <w:tc>
          <w:tcPr>
            <w:tcW w:w="921" w:type="pct"/>
            <w:vAlign w:val="center"/>
          </w:tcPr>
          <w:p w14:paraId="426FE1C5">
            <w:pPr>
              <w:jc w:val="center"/>
              <w:rPr>
                <w:rFonts w:eastAsiaTheme="minorEastAsia"/>
                <w:bCs/>
                <w:szCs w:val="21"/>
              </w:rPr>
            </w:pPr>
            <w:r>
              <w:rPr>
                <w:rFonts w:hint="default" w:ascii="Times New Roman" w:hAnsi="Times New Roman" w:cs="Times New Roman" w:eastAsiaTheme="minorEastAsia"/>
                <w:bCs/>
                <w:szCs w:val="21"/>
                <w:lang w:eastAsia="zh-CN"/>
              </w:rPr>
              <w:t>392.763597 </w:t>
            </w:r>
          </w:p>
        </w:tc>
        <w:tc>
          <w:tcPr>
            <w:tcW w:w="540" w:type="pct"/>
            <w:vAlign w:val="center"/>
          </w:tcPr>
          <w:p w14:paraId="13664076">
            <w:pPr>
              <w:jc w:val="center"/>
              <w:rPr>
                <w:rFonts w:hint="eastAsia" w:eastAsiaTheme="minorEastAsia"/>
                <w:bCs/>
                <w:szCs w:val="21"/>
                <w:lang w:val="en-US" w:eastAsia="zh-CN"/>
              </w:rPr>
            </w:pPr>
            <w:r>
              <w:rPr>
                <w:rFonts w:hint="eastAsia" w:eastAsiaTheme="minorEastAsia"/>
                <w:bCs/>
                <w:szCs w:val="21"/>
                <w:lang w:val="en-US" w:eastAsia="zh-CN"/>
              </w:rPr>
              <w:t>1</w:t>
            </w:r>
          </w:p>
        </w:tc>
        <w:tc>
          <w:tcPr>
            <w:tcW w:w="2314" w:type="pct"/>
            <w:vAlign w:val="center"/>
          </w:tcPr>
          <w:p w14:paraId="62AE4C35">
            <w:pPr>
              <w:jc w:val="center"/>
              <w:rPr>
                <w:rFonts w:eastAsiaTheme="minorEastAsia"/>
                <w:kern w:val="0"/>
                <w:szCs w:val="21"/>
              </w:rPr>
            </w:pPr>
            <w:r>
              <w:rPr>
                <w:rFonts w:hint="eastAsia" w:ascii="Times New Roman" w:hAnsi="Times New Roman" w:cs="Times New Roman" w:eastAsiaTheme="minorEastAsia"/>
                <w:bCs/>
                <w:szCs w:val="21"/>
                <w:lang w:val="en-US" w:eastAsia="zh-CN"/>
              </w:rPr>
              <w:t>主要建设内容为</w:t>
            </w:r>
            <w:r>
              <w:rPr>
                <w:rFonts w:hint="eastAsia" w:cs="Times New Roman" w:eastAsiaTheme="minorEastAsia"/>
                <w:bCs/>
                <w:szCs w:val="21"/>
                <w:lang w:val="en-US" w:eastAsia="zh-CN"/>
              </w:rPr>
              <w:t>防</w:t>
            </w:r>
            <w:r>
              <w:rPr>
                <w:rFonts w:hint="eastAsia" w:ascii="Times New Roman" w:hAnsi="Times New Roman" w:cs="Times New Roman" w:eastAsiaTheme="minorEastAsia"/>
                <w:bCs/>
                <w:szCs w:val="21"/>
                <w:lang w:val="en-US" w:eastAsia="zh-CN"/>
              </w:rPr>
              <w:t>洪沟挡墙拆除重建。沿</w:t>
            </w:r>
            <w:r>
              <w:rPr>
                <w:rFonts w:hint="eastAsia" w:cs="Times New Roman" w:eastAsiaTheme="minorEastAsia"/>
                <w:bCs/>
                <w:szCs w:val="21"/>
                <w:lang w:val="en-US" w:eastAsia="zh-CN"/>
              </w:rPr>
              <w:t>防</w:t>
            </w:r>
            <w:r>
              <w:rPr>
                <w:rFonts w:hint="eastAsia" w:ascii="Times New Roman" w:hAnsi="Times New Roman" w:cs="Times New Roman" w:eastAsiaTheme="minorEastAsia"/>
                <w:bCs/>
                <w:szCs w:val="21"/>
                <w:lang w:val="en-US" w:eastAsia="zh-CN"/>
              </w:rPr>
              <w:t>洪沟拆除现状挡墙 592 立方米，恢复重建浆砌挡墙 833.5 米;移植树木 61 株。</w:t>
            </w:r>
          </w:p>
        </w:tc>
      </w:tr>
    </w:tbl>
    <w:p w14:paraId="32B70F0A">
      <w:pPr>
        <w:spacing w:line="360" w:lineRule="auto"/>
        <w:ind w:firstLine="480" w:firstLineChars="200"/>
        <w:rPr>
          <w:rFonts w:eastAsiaTheme="minorEastAsia"/>
          <w:sz w:val="24"/>
        </w:rPr>
      </w:pPr>
    </w:p>
    <w:p w14:paraId="2122E755">
      <w:pPr>
        <w:spacing w:line="360" w:lineRule="auto"/>
        <w:ind w:firstLine="480" w:firstLineChars="200"/>
        <w:rPr>
          <w:rFonts w:eastAsiaTheme="minorEastAsia"/>
          <w:sz w:val="24"/>
          <w:u w:val="single"/>
        </w:rPr>
      </w:pPr>
      <w:r>
        <w:rPr>
          <w:rFonts w:eastAsiaTheme="minorEastAsia"/>
          <w:sz w:val="24"/>
        </w:rPr>
        <w:t>6.</w:t>
      </w:r>
      <w:r>
        <w:rPr>
          <w:rFonts w:hint="eastAsia" w:eastAsiaTheme="minorEastAsia"/>
          <w:sz w:val="24"/>
          <w:lang w:val="en-US" w:eastAsia="zh-CN"/>
        </w:rPr>
        <w:t>工期</w:t>
      </w:r>
      <w:r>
        <w:rPr>
          <w:rFonts w:eastAsiaTheme="minorEastAsia"/>
          <w:sz w:val="24"/>
        </w:rPr>
        <w:t>：</w:t>
      </w:r>
      <w:r>
        <w:rPr>
          <w:rFonts w:hint="eastAsia" w:eastAsiaTheme="minorEastAsia"/>
          <w:sz w:val="24"/>
          <w:u w:val="single"/>
          <w:lang w:val="en-US" w:eastAsia="zh-CN"/>
        </w:rPr>
        <w:t>70</w:t>
      </w:r>
      <w:r>
        <w:rPr>
          <w:rFonts w:hint="eastAsia" w:eastAsiaTheme="minorEastAsia"/>
          <w:sz w:val="24"/>
          <w:u w:val="none"/>
          <w:lang w:val="en-US" w:eastAsia="zh-CN"/>
        </w:rPr>
        <w:t>日历天</w:t>
      </w:r>
      <w:r>
        <w:rPr>
          <w:rFonts w:eastAsiaTheme="minorEastAsia"/>
          <w:sz w:val="24"/>
        </w:rPr>
        <w:t xml:space="preserve">  </w:t>
      </w:r>
    </w:p>
    <w:p w14:paraId="5D7731E2">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是  ■否。</w:t>
      </w:r>
    </w:p>
    <w:p w14:paraId="0C50F3A8">
      <w:pPr>
        <w:spacing w:line="360" w:lineRule="auto"/>
        <w:ind w:firstLine="480" w:firstLineChars="200"/>
        <w:rPr>
          <w:rFonts w:eastAsiaTheme="minorEastAsia"/>
          <w:sz w:val="24"/>
        </w:rPr>
      </w:pPr>
    </w:p>
    <w:p w14:paraId="40C18B3C">
      <w:pPr>
        <w:pStyle w:val="3"/>
        <w:spacing w:before="0" w:line="360" w:lineRule="auto"/>
        <w:jc w:val="left"/>
        <w:rPr>
          <w:rFonts w:ascii="Times New Roman" w:hAnsi="Times New Roman" w:eastAsiaTheme="minorEastAsia"/>
          <w:sz w:val="24"/>
          <w:szCs w:val="24"/>
        </w:rPr>
      </w:pPr>
      <w:bookmarkStart w:id="6" w:name="_Toc35393622"/>
      <w:bookmarkStart w:id="7" w:name="_Toc28359080"/>
      <w:bookmarkStart w:id="8" w:name="_Toc28359003"/>
      <w:bookmarkStart w:id="9" w:name="_Toc35393791"/>
      <w:r>
        <w:rPr>
          <w:rFonts w:ascii="Times New Roman" w:hAnsi="Times New Roman" w:eastAsiaTheme="minorEastAsia"/>
          <w:sz w:val="24"/>
          <w:szCs w:val="24"/>
        </w:rPr>
        <w:t>二、申请人的资格要求（须同时满足）</w:t>
      </w:r>
      <w:bookmarkEnd w:id="6"/>
      <w:bookmarkEnd w:id="7"/>
      <w:bookmarkEnd w:id="8"/>
      <w:bookmarkEnd w:id="9"/>
    </w:p>
    <w:p w14:paraId="5C07585C">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17B52C62">
      <w:pPr>
        <w:spacing w:line="360" w:lineRule="auto"/>
        <w:ind w:firstLine="480" w:firstLineChars="200"/>
        <w:rPr>
          <w:rFonts w:eastAsiaTheme="minorEastAsia"/>
          <w:sz w:val="24"/>
        </w:rPr>
      </w:pPr>
      <w:bookmarkStart w:id="10" w:name="_Toc28359081"/>
      <w:bookmarkStart w:id="11" w:name="_Toc28359004"/>
      <w:r>
        <w:rPr>
          <w:rFonts w:eastAsiaTheme="minorEastAsia"/>
          <w:sz w:val="24"/>
        </w:rPr>
        <w:t>2.落实政府采购政策需满足的资格要求：</w:t>
      </w:r>
    </w:p>
    <w:p w14:paraId="51BA74B8">
      <w:pPr>
        <w:spacing w:line="360" w:lineRule="auto"/>
        <w:ind w:firstLine="480" w:firstLineChars="200"/>
        <w:rPr>
          <w:rFonts w:eastAsiaTheme="minorEastAsia"/>
          <w:sz w:val="24"/>
        </w:rPr>
      </w:pPr>
      <w:r>
        <w:rPr>
          <w:rFonts w:eastAsiaTheme="minorEastAsia"/>
          <w:sz w:val="24"/>
        </w:rPr>
        <w:t>2.1 中小企业政策</w:t>
      </w:r>
    </w:p>
    <w:p w14:paraId="02DBB9CA">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14:paraId="42733294">
      <w:pPr>
        <w:spacing w:line="360" w:lineRule="auto"/>
        <w:ind w:firstLine="480" w:firstLineChars="200"/>
        <w:rPr>
          <w:rFonts w:eastAsiaTheme="minorEastAsia"/>
          <w:sz w:val="24"/>
        </w:rPr>
      </w:pPr>
      <w:r>
        <w:rPr>
          <w:rFonts w:eastAsiaTheme="minorEastAsia"/>
          <w:sz w:val="24"/>
        </w:rPr>
        <w:t xml:space="preserve">■本项目专门面向  </w:t>
      </w:r>
      <w:r>
        <w:rPr>
          <w:rFonts w:eastAsiaTheme="minorEastAsia"/>
        </w:rPr>
        <w:t>□</w:t>
      </w:r>
      <w:r>
        <w:rPr>
          <w:rFonts w:eastAsiaTheme="minorEastAsia"/>
          <w:sz w:val="24"/>
        </w:rPr>
        <w:t>中小 ■小微企业  采购。即：提供的货物全部由符合政策要求的中小/小微企业制造、服务全部由符合政策要求的中小/小微企业承接。</w:t>
      </w:r>
    </w:p>
    <w:p w14:paraId="58683A73">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199D8C6D">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ascii="宋体" w:hAnsi="宋体" w:cs="宋体"/>
          <w:sz w:val="24"/>
          <w:u w:val="single"/>
        </w:rPr>
        <w:t xml:space="preserve"> / </w:t>
      </w:r>
      <w:r>
        <w:rPr>
          <w:rFonts w:eastAsiaTheme="minorEastAsia"/>
          <w:sz w:val="24"/>
        </w:rPr>
        <w:t>。</w:t>
      </w:r>
    </w:p>
    <w:p w14:paraId="5BF78740">
      <w:pPr>
        <w:spacing w:line="360" w:lineRule="auto"/>
        <w:ind w:firstLine="480" w:firstLineChars="200"/>
        <w:rPr>
          <w:rFonts w:ascii="宋体" w:hAnsi="宋体" w:cs="宋体"/>
          <w:color w:val="auto"/>
          <w:sz w:val="24"/>
        </w:rPr>
      </w:pPr>
      <w:r>
        <w:rPr>
          <w:rFonts w:hint="eastAsia" w:ascii="Times New Roman" w:hAnsi="Times New Roman" w:cs="Times New Roman" w:eastAsiaTheme="minorEastAsia"/>
          <w:color w:val="auto"/>
          <w:sz w:val="24"/>
        </w:rPr>
        <w:t>2.3 在“信用中国”网站(www.creditchina.gov.cn)信用报告中，中国政府采购网(www.ccgp.gov.cn)查询信用记录，未列入失信被执行人、重大税收违法失信主体名单、政府采购严重违法失信行为记录名单的供应商</w:t>
      </w:r>
      <w:r>
        <w:rPr>
          <w:rFonts w:hint="eastAsia" w:ascii="宋体" w:hAnsi="宋体" w:cs="宋体"/>
          <w:color w:val="auto"/>
          <w:sz w:val="24"/>
        </w:rPr>
        <w:t>。</w:t>
      </w:r>
    </w:p>
    <w:p w14:paraId="7BD8D457">
      <w:pPr>
        <w:spacing w:line="360" w:lineRule="auto"/>
        <w:ind w:firstLine="480" w:firstLineChars="200"/>
        <w:rPr>
          <w:rFonts w:eastAsiaTheme="minorEastAsia"/>
          <w:color w:val="FF0000"/>
          <w:sz w:val="24"/>
        </w:rPr>
      </w:pPr>
      <w:r>
        <w:rPr>
          <w:rFonts w:eastAsiaTheme="minorEastAsia"/>
          <w:sz w:val="24"/>
        </w:rPr>
        <w:t>3.本项目的特定资格要求：</w:t>
      </w:r>
    </w:p>
    <w:p w14:paraId="690A9197">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62914222">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52BD2AEF">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783BC22D">
      <w:pPr>
        <w:tabs>
          <w:tab w:val="left" w:pos="900"/>
          <w:tab w:val="left" w:pos="1134"/>
          <w:tab w:val="left" w:pos="1589"/>
          <w:tab w:val="left" w:pos="5521"/>
        </w:tabs>
        <w:snapToGrid w:val="0"/>
        <w:spacing w:line="360" w:lineRule="auto"/>
        <w:ind w:firstLine="480" w:firstLineChars="200"/>
      </w:pPr>
      <w:r>
        <w:rPr>
          <w:rFonts w:eastAsiaTheme="minorEastAsia"/>
          <w:sz w:val="24"/>
        </w:rPr>
        <w:t>3.2其他特定资格要求：</w:t>
      </w:r>
    </w:p>
    <w:p w14:paraId="31D0C4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.1供应商须具备水利水电工程施工总承包叁级(含)以上资质；</w:t>
      </w:r>
    </w:p>
    <w:p w14:paraId="7A01C34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2供应商须</w:t>
      </w:r>
      <w:r>
        <w:rPr>
          <w:rFonts w:hint="eastAsia" w:ascii="宋体" w:hAnsi="宋体" w:eastAsia="宋体" w:cs="宋体"/>
          <w:color w:val="auto"/>
          <w:sz w:val="24"/>
          <w:highlight w:val="none"/>
        </w:rPr>
        <w:t>具备有效的安全生产许可证并在有效期范围内；</w:t>
      </w:r>
    </w:p>
    <w:p w14:paraId="14E388C3">
      <w:pPr>
        <w:spacing w:line="360" w:lineRule="auto"/>
        <w:ind w:firstLine="480" w:firstLineChars="200"/>
        <w:rPr>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供应商拟派项目负责人须具有水利水电工程专业二级(含)以上建造师注册证书，具有安全生产考核合格证书(B)本，并在有效期范围内</w:t>
      </w:r>
      <w:r>
        <w:rPr>
          <w:rFonts w:hint="eastAsia" w:ascii="宋体" w:hAnsi="宋体" w:eastAsia="宋体" w:cs="宋体"/>
          <w:color w:val="auto"/>
          <w:sz w:val="24"/>
          <w:highlight w:val="none"/>
          <w:lang w:val="en-US" w:eastAsia="zh-CN"/>
        </w:rPr>
        <w:t>，且在确定成交人时不得担任其他在施建设工程的项目经理</w:t>
      </w:r>
      <w:r>
        <w:rPr>
          <w:rFonts w:hint="eastAsia" w:ascii="宋体" w:hAnsi="宋体" w:cs="宋体"/>
          <w:color w:val="auto"/>
          <w:sz w:val="24"/>
          <w:highlight w:val="none"/>
          <w:lang w:val="en-US" w:eastAsia="zh-CN"/>
        </w:rPr>
        <w:t>。</w:t>
      </w:r>
    </w:p>
    <w:p w14:paraId="37112375">
      <w:pPr>
        <w:spacing w:line="360" w:lineRule="auto"/>
        <w:ind w:firstLine="480" w:firstLineChars="200"/>
        <w:rPr>
          <w:rFonts w:eastAsiaTheme="minorEastAsia"/>
          <w:i/>
          <w:iCs/>
          <w:sz w:val="24"/>
          <w:u w:val="single"/>
        </w:rPr>
      </w:pPr>
    </w:p>
    <w:bookmarkEnd w:id="10"/>
    <w:bookmarkEnd w:id="11"/>
    <w:p w14:paraId="278A0DE1">
      <w:pPr>
        <w:pStyle w:val="3"/>
        <w:widowControl/>
        <w:spacing w:before="0" w:line="360" w:lineRule="auto"/>
        <w:jc w:val="left"/>
        <w:rPr>
          <w:rFonts w:ascii="Times New Roman" w:hAnsi="Times New Roman" w:eastAsiaTheme="minorEastAsia"/>
          <w:sz w:val="24"/>
          <w:szCs w:val="24"/>
        </w:rPr>
      </w:pPr>
      <w:bookmarkStart w:id="12" w:name="_Toc35393792"/>
      <w:bookmarkStart w:id="13" w:name="_Toc35393623"/>
      <w:r>
        <w:rPr>
          <w:rFonts w:ascii="Times New Roman" w:hAnsi="Times New Roman" w:eastAsiaTheme="minorEastAsia"/>
          <w:sz w:val="24"/>
          <w:szCs w:val="24"/>
        </w:rPr>
        <w:t>三、获取采购文件</w:t>
      </w:r>
      <w:bookmarkEnd w:id="12"/>
      <w:bookmarkEnd w:id="13"/>
    </w:p>
    <w:p w14:paraId="1924B017">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u w:val="single"/>
          <w:lang w:val="en-US" w:eastAsia="zh-CN"/>
        </w:rPr>
        <w:t>2025</w:t>
      </w:r>
      <w:r>
        <w:rPr>
          <w:rFonts w:eastAsiaTheme="minorEastAsia"/>
          <w:sz w:val="24"/>
          <w:lang w:bidi="ar"/>
        </w:rPr>
        <w:t>年</w:t>
      </w:r>
      <w:r>
        <w:rPr>
          <w:rFonts w:hint="eastAsia" w:eastAsiaTheme="minorEastAsia"/>
          <w:sz w:val="24"/>
          <w:u w:val="single"/>
          <w:lang w:val="en-US" w:eastAsia="zh-CN" w:bidi="ar"/>
        </w:rPr>
        <w:t xml:space="preserve"> </w:t>
      </w:r>
      <w:r>
        <w:rPr>
          <w:rFonts w:hint="eastAsia" w:eastAsiaTheme="minorEastAsia"/>
          <w:sz w:val="24"/>
          <w:u w:val="single"/>
          <w:lang w:val="en-US" w:eastAsia="zh-CN"/>
        </w:rPr>
        <w:t xml:space="preserve">04 </w:t>
      </w:r>
      <w:r>
        <w:rPr>
          <w:rFonts w:eastAsiaTheme="minorEastAsia"/>
          <w:sz w:val="24"/>
          <w:lang w:bidi="ar"/>
        </w:rPr>
        <w:t>月</w:t>
      </w:r>
      <w:r>
        <w:rPr>
          <w:rFonts w:hint="eastAsia" w:eastAsiaTheme="minorEastAsia"/>
          <w:sz w:val="24"/>
          <w:u w:val="single"/>
          <w:lang w:val="en-US" w:eastAsia="zh-CN"/>
        </w:rPr>
        <w:t xml:space="preserve"> 18 </w:t>
      </w:r>
      <w:r>
        <w:rPr>
          <w:rFonts w:eastAsiaTheme="minorEastAsia"/>
          <w:sz w:val="24"/>
          <w:lang w:bidi="ar"/>
        </w:rPr>
        <w:t>日至</w:t>
      </w:r>
      <w:r>
        <w:rPr>
          <w:rFonts w:hint="eastAsia" w:eastAsiaTheme="minorEastAsia"/>
          <w:sz w:val="24"/>
          <w:u w:val="single"/>
          <w:lang w:val="en-US" w:eastAsia="zh-CN"/>
        </w:rPr>
        <w:t>2025</w:t>
      </w:r>
      <w:r>
        <w:rPr>
          <w:rFonts w:eastAsiaTheme="minorEastAsia"/>
          <w:sz w:val="24"/>
          <w:lang w:bidi="ar"/>
        </w:rPr>
        <w:t>年</w:t>
      </w:r>
      <w:r>
        <w:rPr>
          <w:rFonts w:hint="eastAsia" w:eastAsiaTheme="minorEastAsia"/>
          <w:sz w:val="24"/>
          <w:u w:val="single"/>
          <w:lang w:val="en-US" w:eastAsia="zh-CN" w:bidi="ar"/>
        </w:rPr>
        <w:t xml:space="preserve"> </w:t>
      </w:r>
      <w:r>
        <w:rPr>
          <w:rFonts w:hint="eastAsia" w:eastAsiaTheme="minorEastAsia"/>
          <w:sz w:val="24"/>
          <w:u w:val="single"/>
          <w:lang w:val="en-US" w:eastAsia="zh-CN"/>
        </w:rPr>
        <w:t xml:space="preserve">04 </w:t>
      </w:r>
      <w:r>
        <w:rPr>
          <w:rFonts w:eastAsiaTheme="minorEastAsia"/>
          <w:sz w:val="24"/>
          <w:lang w:bidi="ar"/>
        </w:rPr>
        <w:t>月</w:t>
      </w:r>
      <w:r>
        <w:rPr>
          <w:rFonts w:hint="eastAsia" w:eastAsiaTheme="minorEastAsia"/>
          <w:sz w:val="24"/>
          <w:u w:val="single"/>
          <w:lang w:val="en-US" w:eastAsia="zh-CN" w:bidi="ar"/>
        </w:rPr>
        <w:t xml:space="preserve"> </w:t>
      </w:r>
      <w:r>
        <w:rPr>
          <w:rFonts w:hint="eastAsia" w:eastAsiaTheme="minorEastAsia"/>
          <w:sz w:val="24"/>
          <w:u w:val="single"/>
          <w:lang w:val="en-US" w:eastAsia="zh-CN"/>
        </w:rPr>
        <w:t xml:space="preserve">24 </w:t>
      </w:r>
      <w:r>
        <w:rPr>
          <w:rFonts w:eastAsiaTheme="minorEastAsia"/>
          <w:sz w:val="24"/>
          <w:lang w:bidi="ar"/>
        </w:rPr>
        <w:t>日，每天上午</w:t>
      </w:r>
      <w:r>
        <w:rPr>
          <w:rFonts w:hint="eastAsia"/>
          <w:sz w:val="24"/>
          <w:u w:val="single"/>
          <w:lang w:val="en-US" w:eastAsia="zh-CN" w:bidi="ar"/>
        </w:rPr>
        <w:t>09：30</w:t>
      </w:r>
      <w:r>
        <w:rPr>
          <w:sz w:val="24"/>
          <w:lang w:bidi="ar"/>
        </w:rPr>
        <w:t>至</w:t>
      </w:r>
      <w:r>
        <w:rPr>
          <w:rFonts w:hint="eastAsia"/>
          <w:sz w:val="24"/>
          <w:u w:val="single"/>
          <w:lang w:val="en-US" w:eastAsia="zh-CN" w:bidi="ar"/>
        </w:rPr>
        <w:t>12:00</w:t>
      </w:r>
      <w:r>
        <w:rPr>
          <w:sz w:val="24"/>
          <w:lang w:bidi="ar"/>
        </w:rPr>
        <w:t>，下午</w:t>
      </w:r>
      <w:r>
        <w:rPr>
          <w:rFonts w:hint="eastAsia"/>
          <w:sz w:val="24"/>
          <w:u w:val="single"/>
          <w:lang w:val="en-US" w:eastAsia="zh-CN" w:bidi="ar"/>
        </w:rPr>
        <w:t>12:00</w:t>
      </w:r>
      <w:r>
        <w:rPr>
          <w:sz w:val="24"/>
          <w:lang w:bidi="ar"/>
        </w:rPr>
        <w:t>至</w:t>
      </w:r>
      <w:r>
        <w:rPr>
          <w:rFonts w:hint="eastAsia"/>
          <w:sz w:val="24"/>
          <w:u w:val="single"/>
          <w:lang w:val="en-US" w:eastAsia="zh-CN" w:bidi="ar"/>
        </w:rPr>
        <w:t>17:30</w:t>
      </w:r>
      <w:r>
        <w:rPr>
          <w:rFonts w:eastAsiaTheme="minorEastAsia"/>
          <w:sz w:val="24"/>
          <w:lang w:bidi="ar"/>
        </w:rPr>
        <w:t>（北京时间，法定节假日除外）。</w:t>
      </w:r>
    </w:p>
    <w:p w14:paraId="5FBE22B7">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3D77E3CE">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2F840ECA">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5A367829">
      <w:pPr>
        <w:pStyle w:val="3"/>
        <w:widowControl/>
        <w:spacing w:before="0" w:line="360" w:lineRule="auto"/>
        <w:jc w:val="left"/>
        <w:rPr>
          <w:rFonts w:ascii="Times New Roman" w:hAnsi="Times New Roman" w:eastAsiaTheme="minorEastAsia"/>
          <w:sz w:val="24"/>
          <w:szCs w:val="24"/>
        </w:rPr>
      </w:pPr>
      <w:bookmarkStart w:id="14" w:name="_Toc28359082"/>
      <w:bookmarkStart w:id="15" w:name="_Toc35393793"/>
      <w:bookmarkStart w:id="16" w:name="_Toc28359005"/>
      <w:bookmarkStart w:id="17" w:name="_Toc35393624"/>
      <w:r>
        <w:rPr>
          <w:rFonts w:ascii="Times New Roman" w:hAnsi="Times New Roman" w:eastAsiaTheme="minorEastAsia"/>
          <w:sz w:val="24"/>
          <w:szCs w:val="24"/>
        </w:rPr>
        <w:t>四、</w:t>
      </w:r>
      <w:bookmarkEnd w:id="14"/>
      <w:bookmarkEnd w:id="15"/>
      <w:bookmarkEnd w:id="16"/>
      <w:bookmarkEnd w:id="17"/>
      <w:r>
        <w:rPr>
          <w:rFonts w:ascii="Times New Roman" w:hAnsi="Times New Roman" w:eastAsiaTheme="minorEastAsia"/>
          <w:sz w:val="24"/>
          <w:szCs w:val="24"/>
        </w:rPr>
        <w:t>响应文件提交</w:t>
      </w:r>
    </w:p>
    <w:p w14:paraId="00136798">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sz w:val="24"/>
          <w:u w:val="single"/>
          <w:lang w:val="en-US" w:eastAsia="zh-CN" w:bidi="ar"/>
        </w:rPr>
        <w:t>2025</w:t>
      </w:r>
      <w:r>
        <w:rPr>
          <w:sz w:val="24"/>
          <w:lang w:bidi="ar"/>
        </w:rPr>
        <w:t>年</w:t>
      </w:r>
      <w:r>
        <w:rPr>
          <w:rFonts w:hint="eastAsia"/>
          <w:sz w:val="24"/>
          <w:u w:val="single"/>
          <w:lang w:val="en-US" w:eastAsia="zh-CN" w:bidi="ar"/>
        </w:rPr>
        <w:t>04</w:t>
      </w:r>
      <w:r>
        <w:rPr>
          <w:sz w:val="24"/>
          <w:lang w:bidi="ar"/>
        </w:rPr>
        <w:t>月</w:t>
      </w:r>
      <w:r>
        <w:rPr>
          <w:rFonts w:hint="eastAsia"/>
          <w:sz w:val="24"/>
          <w:u w:val="single"/>
          <w:lang w:val="en-US" w:eastAsia="zh-CN" w:bidi="ar"/>
        </w:rPr>
        <w:t>28</w:t>
      </w:r>
      <w:r>
        <w:rPr>
          <w:sz w:val="24"/>
          <w:lang w:bidi="ar"/>
        </w:rPr>
        <w:t>日</w:t>
      </w:r>
      <w:r>
        <w:rPr>
          <w:rFonts w:hint="eastAsia"/>
          <w:sz w:val="24"/>
          <w:u w:val="single"/>
          <w:lang w:val="en-US" w:eastAsia="zh-CN" w:bidi="ar"/>
        </w:rPr>
        <w:t>09</w:t>
      </w:r>
      <w:r>
        <w:rPr>
          <w:sz w:val="24"/>
          <w:lang w:bidi="ar"/>
        </w:rPr>
        <w:t>点</w:t>
      </w:r>
      <w:r>
        <w:rPr>
          <w:rFonts w:hint="eastAsia"/>
          <w:sz w:val="24"/>
          <w:u w:val="single"/>
          <w:lang w:val="en-US" w:eastAsia="zh-CN" w:bidi="ar"/>
        </w:rPr>
        <w:t>30</w:t>
      </w:r>
      <w:r>
        <w:rPr>
          <w:sz w:val="24"/>
          <w:lang w:bidi="ar"/>
        </w:rPr>
        <w:t>分</w:t>
      </w:r>
      <w:r>
        <w:rPr>
          <w:rFonts w:eastAsiaTheme="minorEastAsia"/>
          <w:bCs/>
          <w:sz w:val="24"/>
          <w:lang w:bidi="ar"/>
        </w:rPr>
        <w:t>（北京时间）</w:t>
      </w:r>
      <w:r>
        <w:rPr>
          <w:rFonts w:eastAsiaTheme="minorEastAsia"/>
          <w:iCs/>
          <w:sz w:val="24"/>
          <w:lang w:bidi="ar"/>
        </w:rPr>
        <w:t>。</w:t>
      </w:r>
    </w:p>
    <w:p w14:paraId="66777AF7">
      <w:pPr>
        <w:spacing w:line="360" w:lineRule="auto"/>
        <w:ind w:firstLine="480" w:firstLineChars="200"/>
        <w:rPr>
          <w:rFonts w:eastAsiaTheme="minorEastAsia"/>
          <w:sz w:val="24"/>
          <w:lang w:val="zh-TW" w:bidi="ar"/>
        </w:rPr>
      </w:pPr>
      <w:r>
        <w:rPr>
          <w:rFonts w:eastAsiaTheme="minorEastAsia"/>
          <w:sz w:val="24"/>
          <w:lang w:bidi="ar"/>
        </w:rPr>
        <w:t>地点：</w:t>
      </w:r>
      <w:bookmarkStart w:id="18" w:name="OLE_LINK17"/>
      <w:r>
        <w:rPr>
          <w:rFonts w:hint="eastAsia" w:ascii="宋体" w:hAnsi="宋体" w:eastAsia="宋体" w:cs="宋体"/>
          <w:sz w:val="24"/>
          <w:u w:val="single"/>
          <w:lang w:val="zh-TW"/>
        </w:rPr>
        <w:t>本项目采用远程电子开标方式，由投标人自行对电子投标文件进行解密或供应商在开标地点使用</w:t>
      </w:r>
      <w:r>
        <w:rPr>
          <w:rFonts w:hint="eastAsia" w:ascii="宋体" w:hAnsi="宋体" w:eastAsia="宋体" w:cs="宋体"/>
          <w:sz w:val="24"/>
          <w:u w:val="single"/>
        </w:rPr>
        <w:t>CA认证证书</w:t>
      </w:r>
      <w:r>
        <w:rPr>
          <w:rFonts w:hint="eastAsia" w:ascii="宋体" w:hAnsi="宋体" w:eastAsia="宋体" w:cs="宋体"/>
          <w:sz w:val="24"/>
          <w:u w:val="single"/>
          <w:lang w:val="zh-TW"/>
        </w:rPr>
        <w:t>登录</w:t>
      </w:r>
      <w:r>
        <w:rPr>
          <w:rFonts w:hint="eastAsia" w:ascii="宋体" w:hAnsi="宋体" w:eastAsia="宋体" w:cs="宋体"/>
          <w:sz w:val="24"/>
          <w:u w:val="single"/>
        </w:rPr>
        <w:t>北京市政府采购电子交易平台进行电子开标</w:t>
      </w:r>
      <w:bookmarkEnd w:id="18"/>
      <w:r>
        <w:rPr>
          <w:rFonts w:eastAsiaTheme="minorEastAsia"/>
          <w:sz w:val="24"/>
          <w:lang w:val="zh-TW" w:bidi="ar"/>
        </w:rPr>
        <w:t>。</w:t>
      </w:r>
    </w:p>
    <w:p w14:paraId="19A7B8EF">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4ECB27A9">
      <w:pPr>
        <w:spacing w:line="360" w:lineRule="auto"/>
        <w:ind w:firstLine="480" w:firstLineChars="200"/>
        <w:rPr>
          <w:rFonts w:eastAsiaTheme="minorEastAsia"/>
          <w:bCs/>
          <w:sz w:val="24"/>
          <w:u w:val="single"/>
        </w:rPr>
      </w:pPr>
      <w:r>
        <w:rPr>
          <w:rFonts w:eastAsiaTheme="minorEastAsia"/>
          <w:sz w:val="24"/>
          <w:lang w:bidi="ar"/>
        </w:rPr>
        <w:t>时间：</w:t>
      </w:r>
      <w:r>
        <w:rPr>
          <w:rFonts w:hint="eastAsia"/>
          <w:sz w:val="24"/>
          <w:u w:val="single"/>
          <w:lang w:val="en-US" w:eastAsia="zh-CN" w:bidi="ar"/>
        </w:rPr>
        <w:t>2025</w:t>
      </w:r>
      <w:r>
        <w:rPr>
          <w:sz w:val="24"/>
          <w:lang w:bidi="ar"/>
        </w:rPr>
        <w:t>年</w:t>
      </w:r>
      <w:r>
        <w:rPr>
          <w:rFonts w:hint="eastAsia"/>
          <w:sz w:val="24"/>
          <w:u w:val="single"/>
          <w:lang w:val="en-US" w:eastAsia="zh-CN" w:bidi="ar"/>
        </w:rPr>
        <w:t>04</w:t>
      </w:r>
      <w:r>
        <w:rPr>
          <w:sz w:val="24"/>
          <w:lang w:bidi="ar"/>
        </w:rPr>
        <w:t>月</w:t>
      </w:r>
      <w:r>
        <w:rPr>
          <w:rFonts w:hint="eastAsia"/>
          <w:sz w:val="24"/>
          <w:u w:val="single"/>
          <w:lang w:val="en-US" w:eastAsia="zh-CN" w:bidi="ar"/>
        </w:rPr>
        <w:t>28</w:t>
      </w:r>
      <w:r>
        <w:rPr>
          <w:sz w:val="24"/>
          <w:lang w:bidi="ar"/>
        </w:rPr>
        <w:t>日</w:t>
      </w:r>
      <w:r>
        <w:rPr>
          <w:rFonts w:hint="eastAsia"/>
          <w:sz w:val="24"/>
          <w:u w:val="single"/>
          <w:lang w:val="en-US" w:eastAsia="zh-CN" w:bidi="ar"/>
        </w:rPr>
        <w:t>09</w:t>
      </w:r>
      <w:r>
        <w:rPr>
          <w:sz w:val="24"/>
          <w:lang w:bidi="ar"/>
        </w:rPr>
        <w:t>点</w:t>
      </w:r>
      <w:r>
        <w:rPr>
          <w:rFonts w:hint="eastAsia"/>
          <w:sz w:val="24"/>
          <w:u w:val="single"/>
          <w:lang w:val="en-US" w:eastAsia="zh-CN" w:bidi="ar"/>
        </w:rPr>
        <w:t>30</w:t>
      </w:r>
      <w:r>
        <w:rPr>
          <w:sz w:val="24"/>
          <w:lang w:bidi="ar"/>
        </w:rPr>
        <w:t>分</w:t>
      </w:r>
      <w:r>
        <w:rPr>
          <w:rFonts w:eastAsiaTheme="minorEastAsia"/>
          <w:bCs/>
          <w:sz w:val="24"/>
          <w:lang w:bidi="ar"/>
        </w:rPr>
        <w:t>（北京时间）</w:t>
      </w:r>
      <w:r>
        <w:rPr>
          <w:rFonts w:eastAsiaTheme="minorEastAsia"/>
          <w:iCs/>
          <w:sz w:val="24"/>
          <w:lang w:bidi="ar"/>
        </w:rPr>
        <w:t>。</w:t>
      </w:r>
    </w:p>
    <w:p w14:paraId="5A9AFC5D">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s="宋体"/>
          <w:sz w:val="24"/>
          <w:u w:val="single"/>
        </w:rPr>
        <w:t>北京市昌平区超前路37号院中关村兴业创业园6号楼B座13层1305室</w:t>
      </w:r>
      <w:r>
        <w:rPr>
          <w:rFonts w:eastAsiaTheme="minorEastAsia"/>
          <w:sz w:val="24"/>
          <w:lang w:val="zh-TW" w:bidi="ar"/>
        </w:rPr>
        <w:t>。</w:t>
      </w:r>
    </w:p>
    <w:p w14:paraId="095A378D">
      <w:pPr>
        <w:spacing w:line="360" w:lineRule="auto"/>
        <w:ind w:firstLine="480" w:firstLineChars="200"/>
        <w:rPr>
          <w:rFonts w:eastAsiaTheme="minorEastAsia"/>
          <w:bCs/>
          <w:sz w:val="24"/>
          <w:u w:val="single"/>
        </w:rPr>
      </w:pPr>
    </w:p>
    <w:p w14:paraId="593C8A3A">
      <w:pPr>
        <w:pStyle w:val="3"/>
        <w:spacing w:before="0" w:line="360" w:lineRule="auto"/>
        <w:jc w:val="left"/>
        <w:rPr>
          <w:rFonts w:ascii="Times New Roman" w:hAnsi="Times New Roman" w:eastAsiaTheme="minorEastAsia"/>
          <w:sz w:val="24"/>
          <w:szCs w:val="24"/>
        </w:rPr>
      </w:pPr>
      <w:bookmarkStart w:id="19" w:name="_Toc35393794"/>
      <w:bookmarkStart w:id="20" w:name="_Toc28359084"/>
      <w:bookmarkStart w:id="21" w:name="_Toc35393625"/>
      <w:bookmarkStart w:id="22" w:name="_Toc28359007"/>
      <w:r>
        <w:rPr>
          <w:rFonts w:ascii="Times New Roman" w:hAnsi="Times New Roman" w:eastAsiaTheme="minorEastAsia"/>
          <w:sz w:val="24"/>
          <w:szCs w:val="24"/>
        </w:rPr>
        <w:t>六、公告期限</w:t>
      </w:r>
      <w:bookmarkEnd w:id="19"/>
      <w:bookmarkEnd w:id="20"/>
      <w:bookmarkEnd w:id="21"/>
      <w:bookmarkEnd w:id="22"/>
    </w:p>
    <w:p w14:paraId="5DE91845">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5254F14D">
      <w:pPr>
        <w:pStyle w:val="3"/>
        <w:spacing w:before="0" w:line="360" w:lineRule="auto"/>
        <w:jc w:val="left"/>
        <w:rPr>
          <w:rFonts w:ascii="Times New Roman" w:hAnsi="Times New Roman" w:eastAsiaTheme="minorEastAsia"/>
          <w:sz w:val="24"/>
          <w:szCs w:val="24"/>
        </w:rPr>
      </w:pPr>
      <w:bookmarkStart w:id="23" w:name="_Toc35393795"/>
      <w:bookmarkStart w:id="24" w:name="_Toc35393626"/>
      <w:r>
        <w:rPr>
          <w:rFonts w:ascii="Times New Roman" w:hAnsi="Times New Roman" w:eastAsiaTheme="minorEastAsia"/>
          <w:sz w:val="24"/>
          <w:szCs w:val="24"/>
        </w:rPr>
        <w:t>七、其他补充事宜</w:t>
      </w:r>
      <w:bookmarkEnd w:id="23"/>
      <w:bookmarkEnd w:id="24"/>
    </w:p>
    <w:p w14:paraId="1670EF1B">
      <w:pPr>
        <w:spacing w:line="360" w:lineRule="auto"/>
        <w:ind w:firstLine="480" w:firstLineChars="200"/>
        <w:rPr>
          <w:rFonts w:eastAsiaTheme="minorEastAsia"/>
          <w:sz w:val="24"/>
        </w:rPr>
      </w:pPr>
      <w:r>
        <w:rPr>
          <w:rFonts w:eastAsiaTheme="minorEastAsia"/>
          <w:sz w:val="24"/>
        </w:rPr>
        <w:t>1.本项目需要落实的政府采购政策：</w:t>
      </w:r>
      <w:r>
        <w:rPr>
          <w:rFonts w:hint="eastAsia" w:ascii="宋体" w:hAnsi="宋体" w:cs="宋体"/>
          <w:sz w:val="24"/>
          <w:u w:val="single"/>
        </w:rPr>
        <w:t>节约能源、保护环境、扶持不发达地区和少数民族地区、促进中小企业发展、支持监狱、戒毒企业发展、促进残疾人就业、优先采购贫困地区农副产品、支持创新、绿色发展等政府采购政策</w:t>
      </w:r>
      <w:r>
        <w:rPr>
          <w:rFonts w:eastAsiaTheme="minorEastAsia"/>
          <w:sz w:val="24"/>
          <w:lang w:bidi="ar"/>
        </w:rPr>
        <w:t>。</w:t>
      </w:r>
    </w:p>
    <w:p w14:paraId="6DAB556D">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6876BF88">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58D35422">
      <w:pPr>
        <w:adjustRightInd w:val="0"/>
        <w:snapToGrid w:val="0"/>
        <w:spacing w:line="360" w:lineRule="auto"/>
        <w:ind w:firstLine="480" w:firstLineChars="200"/>
        <w:rPr>
          <w:sz w:val="24"/>
        </w:rPr>
      </w:pPr>
      <w:r>
        <w:rPr>
          <w:sz w:val="24"/>
          <w:lang w:bidi="ar"/>
        </w:rPr>
        <w:t>电子营业执照服务热线 400-699-7000</w:t>
      </w:r>
    </w:p>
    <w:p w14:paraId="23D814F5">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77B94022">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57FC4119">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7DBD4403">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1BF515E5">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0F8C8268">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2546B0A2">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0F0F1E21">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4A9DD7A3">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获取电子竞争性磋商文件</w:t>
      </w:r>
    </w:p>
    <w:p w14:paraId="10358400">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732FAA76">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2F1CB40D">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.5编制电子响应文件</w:t>
      </w:r>
    </w:p>
    <w:p w14:paraId="644A891B">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645F1527">
      <w:pPr>
        <w:widowControl/>
        <w:spacing w:line="360" w:lineRule="auto"/>
        <w:ind w:firstLine="480" w:firstLineChars="200"/>
        <w:jc w:val="left"/>
        <w:rPr>
          <w:rFonts w:eastAsiaTheme="minorEastAsia"/>
          <w:sz w:val="24"/>
          <w:lang w:val="zh-TW" w:bidi="ar"/>
        </w:rPr>
      </w:pPr>
      <w:r>
        <w:rPr>
          <w:rFonts w:hint="eastAsia" w:eastAsiaTheme="minorEastAsia"/>
          <w:sz w:val="24"/>
          <w:lang w:val="en-US" w:eastAsia="zh-CN" w:bidi="ar"/>
        </w:rPr>
        <w:t>2</w:t>
      </w:r>
      <w:r>
        <w:rPr>
          <w:rFonts w:eastAsiaTheme="minorEastAsia"/>
          <w:sz w:val="24"/>
          <w:lang w:val="zh-TW" w:eastAsia="zh-TW" w:bidi="ar"/>
        </w:rPr>
        <w:t>.6</w:t>
      </w:r>
      <w:r>
        <w:rPr>
          <w:rFonts w:eastAsiaTheme="minorEastAsia"/>
          <w:sz w:val="24"/>
          <w:lang w:val="zh-TW" w:bidi="ar"/>
        </w:rPr>
        <w:t>提交电子响应文件</w:t>
      </w:r>
    </w:p>
    <w:p w14:paraId="261868E4">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429868BA">
      <w:pPr>
        <w:spacing w:line="360" w:lineRule="auto"/>
        <w:ind w:firstLine="480" w:firstLineChars="200"/>
        <w:rPr>
          <w:rFonts w:eastAsiaTheme="minorEastAsia"/>
          <w:sz w:val="24"/>
          <w:lang w:eastAsia="zh-TW"/>
        </w:rPr>
      </w:pPr>
      <w:r>
        <w:rPr>
          <w:rFonts w:hint="eastAsia" w:eastAsiaTheme="minorEastAsia"/>
          <w:sz w:val="24"/>
          <w:lang w:val="en-US" w:eastAsia="zh-CN"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64F98CDC">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06F21FA2">
      <w:pPr>
        <w:spacing w:line="480" w:lineRule="auto"/>
        <w:ind w:firstLine="482" w:firstLineChars="200"/>
        <w:rPr>
          <w:sz w:val="24"/>
        </w:rPr>
      </w:pPr>
      <w:r>
        <w:rPr>
          <w:rFonts w:hint="eastAsia" w:ascii="宋体" w:hAnsi="宋体" w:eastAsia="宋体" w:cs="宋体"/>
          <w:b/>
          <w:sz w:val="24"/>
          <w:lang w:val="en-US" w:eastAsia="zh-CN"/>
        </w:rPr>
        <w:t>3.</w:t>
      </w:r>
      <w:r>
        <w:rPr>
          <w:rFonts w:hint="eastAsia" w:ascii="宋体" w:hAnsi="宋体" w:eastAsia="宋体" w:cs="宋体"/>
          <w:b/>
          <w:sz w:val="24"/>
        </w:rPr>
        <w:t>投标人应准备纸质投标文件（上传电子投标文件的打印版）2份，交由招标代理机构。递交时间为</w:t>
      </w:r>
      <w:r>
        <w:rPr>
          <w:rFonts w:hint="eastAsia" w:ascii="宋体" w:hAnsi="宋体" w:cs="宋体"/>
          <w:b/>
          <w:sz w:val="24"/>
          <w:lang w:eastAsia="zh-CN"/>
        </w:rPr>
        <w:t>2025</w:t>
      </w:r>
      <w:r>
        <w:rPr>
          <w:rFonts w:hint="eastAsia" w:ascii="宋体" w:hAnsi="宋体" w:eastAsia="宋体" w:cs="宋体"/>
          <w:b/>
          <w:sz w:val="24"/>
        </w:rPr>
        <w:t>年</w:t>
      </w:r>
      <w:r>
        <w:rPr>
          <w:rFonts w:hint="eastAsia" w:ascii="宋体" w:hAnsi="宋体" w:cs="宋体"/>
          <w:b/>
          <w:sz w:val="24"/>
          <w:lang w:val="en-US" w:eastAsia="zh-CN"/>
        </w:rPr>
        <w:t>04</w:t>
      </w:r>
      <w:r>
        <w:rPr>
          <w:rFonts w:hint="eastAsia" w:ascii="宋体" w:hAnsi="宋体" w:eastAsia="宋体" w:cs="宋体"/>
          <w:b/>
          <w:sz w:val="24"/>
        </w:rPr>
        <w:t>月</w:t>
      </w:r>
      <w:r>
        <w:rPr>
          <w:rFonts w:hint="eastAsia" w:ascii="宋体" w:hAnsi="宋体" w:cs="宋体"/>
          <w:b/>
          <w:sz w:val="24"/>
          <w:lang w:val="en-US" w:eastAsia="zh-CN"/>
        </w:rPr>
        <w:t>28</w:t>
      </w:r>
      <w:r>
        <w:rPr>
          <w:rFonts w:hint="eastAsia" w:ascii="宋体" w:hAnsi="宋体" w:eastAsia="宋体" w:cs="宋体"/>
          <w:b/>
          <w:sz w:val="24"/>
        </w:rPr>
        <w:t>日9点30分，递交地点为</w:t>
      </w:r>
      <w:r>
        <w:rPr>
          <w:rFonts w:hint="eastAsia" w:ascii="宋体" w:hAnsi="宋体" w:eastAsia="宋体" w:cs="宋体"/>
          <w:b/>
          <w:color w:val="000000"/>
          <w:sz w:val="24"/>
        </w:rPr>
        <w:t>北京市昌平区超前路37号院中关村兴业创业园6号楼B单元1305</w:t>
      </w:r>
      <w:r>
        <w:rPr>
          <w:rFonts w:hint="eastAsia" w:ascii="宋体" w:hAnsi="宋体" w:eastAsia="宋体" w:cs="宋体"/>
          <w:b/>
          <w:sz w:val="24"/>
        </w:rPr>
        <w:t>。若纸质文件与</w:t>
      </w:r>
      <w:r>
        <w:rPr>
          <w:rFonts w:hint="eastAsia" w:ascii="宋体" w:hAnsi="宋体" w:eastAsia="宋体" w:cs="宋体"/>
          <w:b/>
          <w:sz w:val="24"/>
          <w:lang w:val="zh-TW"/>
        </w:rPr>
        <w:t>上传电子投标文件不符</w:t>
      </w:r>
      <w:r>
        <w:rPr>
          <w:rFonts w:hint="eastAsia" w:ascii="宋体" w:hAnsi="宋体" w:eastAsia="宋体" w:cs="宋体"/>
          <w:b/>
          <w:sz w:val="24"/>
        </w:rPr>
        <w:t>，以</w:t>
      </w:r>
      <w:r>
        <w:rPr>
          <w:rFonts w:hint="eastAsia" w:ascii="宋体" w:hAnsi="宋体" w:eastAsia="宋体" w:cs="宋体"/>
          <w:b/>
          <w:sz w:val="24"/>
          <w:lang w:val="zh-TW"/>
        </w:rPr>
        <w:t>上传电子投标文件</w:t>
      </w:r>
      <w:r>
        <w:rPr>
          <w:rFonts w:hint="eastAsia" w:ascii="宋体" w:hAnsi="宋体" w:eastAsia="宋体" w:cs="宋体"/>
          <w:b/>
          <w:sz w:val="24"/>
        </w:rPr>
        <w:t>为准。</w:t>
      </w:r>
    </w:p>
    <w:p w14:paraId="035830A3">
      <w:pPr>
        <w:pStyle w:val="3"/>
        <w:spacing w:before="0" w:line="360" w:lineRule="auto"/>
        <w:jc w:val="left"/>
        <w:rPr>
          <w:rFonts w:ascii="Times New Roman" w:hAnsi="Times New Roman" w:eastAsiaTheme="minorEastAsia"/>
          <w:sz w:val="24"/>
          <w:szCs w:val="24"/>
        </w:rPr>
      </w:pPr>
      <w:bookmarkStart w:id="25" w:name="_Toc28359008"/>
      <w:bookmarkStart w:id="26" w:name="_Toc28359085"/>
      <w:bookmarkStart w:id="27" w:name="_Toc35393796"/>
      <w:bookmarkStart w:id="28" w:name="_Toc35393627"/>
      <w:r>
        <w:rPr>
          <w:rFonts w:ascii="Times New Roman" w:hAnsi="Times New Roman" w:eastAsiaTheme="minorEastAsia"/>
          <w:sz w:val="24"/>
          <w:szCs w:val="24"/>
        </w:rPr>
        <w:t>八、对本次采购提出询问，请按以下方式联系。</w:t>
      </w:r>
      <w:bookmarkEnd w:id="25"/>
      <w:bookmarkEnd w:id="26"/>
      <w:bookmarkEnd w:id="27"/>
      <w:bookmarkEnd w:id="28"/>
    </w:p>
    <w:p w14:paraId="694E854D">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0E1E38C5">
      <w:pPr>
        <w:spacing w:line="360" w:lineRule="auto"/>
        <w:ind w:left="1079" w:leftChars="371" w:hanging="300" w:hangingChars="125"/>
        <w:jc w:val="left"/>
        <w:rPr>
          <w:rFonts w:eastAsiaTheme="minorEastAsia"/>
          <w:sz w:val="24"/>
        </w:rPr>
      </w:pPr>
      <w:bookmarkStart w:id="29" w:name="_Toc28359009"/>
      <w:bookmarkStart w:id="30" w:name="_Toc28359086"/>
      <w:r>
        <w:rPr>
          <w:rFonts w:eastAsiaTheme="minorEastAsia"/>
          <w:sz w:val="24"/>
        </w:rPr>
        <w:t>名    称：</w:t>
      </w:r>
      <w:r>
        <w:rPr>
          <w:rFonts w:hint="eastAsia" w:ascii="宋体" w:hAnsi="宋体" w:cs="宋体"/>
          <w:sz w:val="24"/>
          <w:u w:val="single"/>
          <w:lang w:eastAsia="zh-CN"/>
        </w:rPr>
        <w:t>北京市昌平区延寿镇人民政府</w:t>
      </w:r>
      <w:r>
        <w:rPr>
          <w:rFonts w:eastAsiaTheme="minorEastAsia"/>
          <w:sz w:val="24"/>
        </w:rPr>
        <w:t xml:space="preserve"> </w:t>
      </w:r>
    </w:p>
    <w:p w14:paraId="42340C86">
      <w:pPr>
        <w:spacing w:line="360" w:lineRule="auto"/>
        <w:ind w:left="1079" w:leftChars="371" w:hanging="300" w:hangingChars="125"/>
        <w:jc w:val="left"/>
        <w:rPr>
          <w:rFonts w:eastAsiaTheme="minorEastAsia"/>
          <w:sz w:val="24"/>
        </w:rPr>
      </w:pPr>
      <w:r>
        <w:rPr>
          <w:rFonts w:eastAsiaTheme="minorEastAsia"/>
          <w:sz w:val="24"/>
        </w:rPr>
        <w:t>地    址：</w:t>
      </w:r>
      <w:r>
        <w:rPr>
          <w:rFonts w:hint="eastAsia" w:ascii="宋体" w:hAnsi="宋体" w:cs="宋体"/>
          <w:sz w:val="24"/>
          <w:u w:val="single"/>
          <w:lang w:eastAsia="zh-CN"/>
        </w:rPr>
        <w:t>北京市昌平区延寿镇北庄村</w:t>
      </w:r>
    </w:p>
    <w:p w14:paraId="1B3B9AA5">
      <w:pPr>
        <w:spacing w:line="360" w:lineRule="auto"/>
        <w:ind w:left="1079" w:leftChars="371" w:hanging="300" w:hangingChars="125"/>
        <w:jc w:val="left"/>
        <w:rPr>
          <w:rFonts w:eastAsiaTheme="minorEastAsia"/>
          <w:sz w:val="24"/>
          <w:u w:val="single"/>
        </w:rPr>
      </w:pPr>
      <w:r>
        <w:rPr>
          <w:rFonts w:eastAsiaTheme="minorEastAsia"/>
          <w:sz w:val="24"/>
        </w:rPr>
        <w:t>联系方式：</w:t>
      </w:r>
      <w:r>
        <w:rPr>
          <w:rFonts w:hint="eastAsia" w:ascii="宋体" w:hAnsi="宋体" w:eastAsia="宋体" w:cs="宋体"/>
          <w:sz w:val="24"/>
          <w:u w:val="single"/>
          <w:lang w:eastAsia="zh-CN"/>
        </w:rPr>
        <w:t>刘子豪、010-60761231</w:t>
      </w:r>
    </w:p>
    <w:p w14:paraId="59F02B16">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29"/>
      <w:bookmarkEnd w:id="30"/>
    </w:p>
    <w:p w14:paraId="5ACD4A8A">
      <w:pPr>
        <w:spacing w:line="360" w:lineRule="auto"/>
        <w:ind w:firstLine="720" w:firstLineChars="300"/>
        <w:jc w:val="left"/>
        <w:rPr>
          <w:rFonts w:hint="eastAsia" w:ascii="宋体" w:hAnsi="宋体" w:cs="宋体"/>
          <w:sz w:val="24"/>
        </w:rPr>
      </w:pPr>
      <w:bookmarkStart w:id="31" w:name="_Toc28359010"/>
      <w:bookmarkStart w:id="32" w:name="_Toc28359087"/>
      <w:r>
        <w:rPr>
          <w:sz w:val="24"/>
        </w:rPr>
        <w:t>名 称：</w:t>
      </w:r>
      <w:r>
        <w:rPr>
          <w:rFonts w:hint="eastAsia" w:ascii="宋体" w:hAnsi="宋体" w:cs="宋体"/>
          <w:sz w:val="24"/>
          <w:u w:val="single"/>
        </w:rPr>
        <w:t>北京永拓工程咨询股份有限公司</w:t>
      </w:r>
    </w:p>
    <w:p w14:paraId="30DC48F2">
      <w:pPr>
        <w:spacing w:line="360" w:lineRule="auto"/>
        <w:ind w:firstLine="720" w:firstLineChars="300"/>
        <w:jc w:val="left"/>
        <w:rPr>
          <w:sz w:val="24"/>
          <w:u w:val="single"/>
        </w:rPr>
      </w:pPr>
      <w:r>
        <w:rPr>
          <w:sz w:val="24"/>
        </w:rPr>
        <w:t>地 址：</w:t>
      </w:r>
      <w:bookmarkStart w:id="33" w:name="OLE_LINK1"/>
      <w:r>
        <w:rPr>
          <w:rFonts w:hint="eastAsia" w:ascii="宋体" w:hAnsi="宋体" w:cs="宋体"/>
          <w:sz w:val="24"/>
          <w:u w:val="single"/>
        </w:rPr>
        <w:t>北京市昌平区超前路37号院中关村兴业创业园6号楼B座13层1305室</w:t>
      </w:r>
      <w:bookmarkEnd w:id="33"/>
    </w:p>
    <w:p w14:paraId="757F1CAE">
      <w:pPr>
        <w:spacing w:line="360" w:lineRule="auto"/>
        <w:ind w:firstLine="720" w:firstLineChars="300"/>
        <w:jc w:val="left"/>
        <w:rPr>
          <w:rFonts w:hint="eastAsia" w:ascii="宋体" w:hAnsi="宋体" w:cs="宋体"/>
          <w:sz w:val="24"/>
          <w:lang w:val="en-US" w:eastAsia="zh-CN"/>
        </w:rPr>
      </w:pPr>
      <w:r>
        <w:rPr>
          <w:sz w:val="24"/>
        </w:rPr>
        <w:t>联系方式：</w:t>
      </w:r>
      <w:r>
        <w:rPr>
          <w:rFonts w:hint="eastAsia" w:ascii="宋体" w:hAnsi="宋体" w:cs="宋体"/>
          <w:sz w:val="24"/>
          <w:u w:val="single"/>
        </w:rPr>
        <w:t>刘工</w:t>
      </w:r>
      <w:r>
        <w:rPr>
          <w:rFonts w:hint="eastAsia" w:ascii="宋体" w:hAnsi="宋体" w:cs="宋体"/>
          <w:sz w:val="24"/>
          <w:u w:val="single"/>
          <w:lang w:eastAsia="zh-CN"/>
        </w:rPr>
        <w:t>、</w:t>
      </w:r>
      <w:r>
        <w:rPr>
          <w:rFonts w:hint="eastAsia" w:ascii="宋体" w:hAnsi="宋体" w:cs="宋体"/>
          <w:sz w:val="24"/>
          <w:u w:val="single"/>
          <w:lang w:val="en-US" w:eastAsia="zh-CN"/>
        </w:rPr>
        <w:t>赵工、</w:t>
      </w:r>
      <w:r>
        <w:rPr>
          <w:rFonts w:hint="eastAsia" w:ascii="宋体" w:hAnsi="宋体" w:cs="宋体"/>
          <w:sz w:val="24"/>
          <w:u w:val="single"/>
        </w:rPr>
        <w:t>010-60700287</w:t>
      </w:r>
    </w:p>
    <w:p w14:paraId="5AAC0419">
      <w:pPr>
        <w:spacing w:line="360" w:lineRule="auto"/>
        <w:ind w:firstLine="720" w:firstLineChars="300"/>
        <w:rPr>
          <w:rFonts w:hint="eastAsia" w:ascii="宋体" w:hAnsi="宋体" w:cs="宋体"/>
          <w:sz w:val="24"/>
          <w:u w:val="single"/>
        </w:rPr>
      </w:pPr>
      <w:r>
        <w:rPr>
          <w:rFonts w:hint="eastAsia" w:ascii="宋体" w:hAnsi="宋体" w:cs="宋体"/>
          <w:sz w:val="24"/>
        </w:rPr>
        <w:t>电子邮箱：</w:t>
      </w:r>
      <w:r>
        <w:rPr>
          <w:rFonts w:hint="eastAsia" w:ascii="宋体" w:hAnsi="宋体" w:cs="宋体"/>
          <w:sz w:val="24"/>
          <w:u w:val="single"/>
        </w:rPr>
        <w:t>s_yongtuo@163.com</w:t>
      </w:r>
    </w:p>
    <w:p w14:paraId="1A3DAAD8">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31"/>
      <w:bookmarkEnd w:id="32"/>
    </w:p>
    <w:p w14:paraId="340C4B9D">
      <w:pPr>
        <w:pStyle w:val="23"/>
        <w:spacing w:line="360" w:lineRule="auto"/>
        <w:ind w:left="1076" w:leftChars="371" w:hanging="297" w:hangingChars="124"/>
        <w:rPr>
          <w:rFonts w:hint="default" w:ascii="Times New Roman" w:hAnsi="Times New Roman" w:eastAsiaTheme="minorEastAsia"/>
          <w:sz w:val="24"/>
          <w:u w:val="single"/>
          <w:lang w:bidi="ar"/>
        </w:rPr>
      </w:pPr>
      <w:r>
        <w:rPr>
          <w:rFonts w:hint="default" w:ascii="Times New Roman" w:hAnsi="Times New Roman" w:eastAsiaTheme="minorEastAsia"/>
          <w:sz w:val="24"/>
          <w:szCs w:val="24"/>
        </w:rPr>
        <w:t>项目联系人：</w:t>
      </w:r>
      <w:r>
        <w:rPr>
          <w:rFonts w:hint="eastAsia" w:ascii="宋体" w:hAnsi="宋体" w:cs="宋体"/>
          <w:sz w:val="24"/>
          <w:u w:val="single"/>
        </w:rPr>
        <w:t>刘工</w:t>
      </w:r>
      <w:r>
        <w:rPr>
          <w:rFonts w:hint="eastAsia" w:ascii="宋体" w:hAnsi="宋体" w:cs="宋体"/>
          <w:sz w:val="24"/>
          <w:u w:val="single"/>
          <w:lang w:eastAsia="zh-CN"/>
        </w:rPr>
        <w:t>、</w:t>
      </w:r>
      <w:r>
        <w:rPr>
          <w:rFonts w:hint="eastAsia" w:ascii="宋体" w:hAnsi="宋体" w:cs="宋体"/>
          <w:sz w:val="24"/>
          <w:u w:val="single"/>
          <w:lang w:val="en-US" w:eastAsia="zh-CN"/>
        </w:rPr>
        <w:t>赵工</w:t>
      </w:r>
    </w:p>
    <w:p w14:paraId="5CD05C0C">
      <w:pPr>
        <w:spacing w:line="360" w:lineRule="auto"/>
        <w:ind w:firstLine="720" w:firstLineChars="300"/>
        <w:jc w:val="both"/>
        <w:rPr>
          <w:rFonts w:eastAsiaTheme="minorEastAsia"/>
          <w:sz w:val="24"/>
        </w:rPr>
      </w:pPr>
      <w:r>
        <w:rPr>
          <w:rFonts w:hint="default" w:ascii="Times New Roman" w:hAnsi="Times New Roman" w:eastAsiaTheme="minorEastAsia"/>
          <w:sz w:val="24"/>
        </w:rPr>
        <w:t>电      话：</w:t>
      </w:r>
      <w:r>
        <w:rPr>
          <w:rFonts w:hint="eastAsia" w:ascii="宋体" w:hAnsi="宋体" w:cs="宋体"/>
          <w:sz w:val="24"/>
          <w:u w:val="single"/>
        </w:rPr>
        <w:t>010-60700287</w:t>
      </w:r>
    </w:p>
    <w:p w14:paraId="3F7E5B89">
      <w:pPr>
        <w:spacing w:line="360" w:lineRule="auto"/>
        <w:jc w:val="center"/>
        <w:outlineLvl w:val="0"/>
        <w:rPr>
          <w:rFonts w:eastAsiaTheme="minorEastAsia"/>
          <w:b/>
          <w:sz w:val="32"/>
          <w:szCs w:val="32"/>
        </w:rPr>
      </w:pPr>
      <w:r>
        <w:rPr>
          <w:rFonts w:eastAsiaTheme="minorEastAsia"/>
          <w:sz w:val="24"/>
        </w:rPr>
        <w:br w:type="page"/>
      </w:r>
      <w:bookmarkStart w:id="34" w:name="_Toc512937850"/>
      <w:bookmarkStart w:id="35" w:name="_Toc195842950"/>
      <w:bookmarkStart w:id="36" w:name="_Toc127161488"/>
      <w:bookmarkStart w:id="37" w:name="_Toc127151777"/>
      <w:bookmarkStart w:id="38" w:name="_Toc305158854"/>
      <w:bookmarkStart w:id="39" w:name="_Toc264969275"/>
      <w:bookmarkStart w:id="40" w:name="_Toc150774783"/>
      <w:bookmarkStart w:id="41" w:name="_Toc353873938"/>
      <w:bookmarkStart w:id="42" w:name="_Toc353825548"/>
      <w:bookmarkStart w:id="43" w:name="_Toc226965856"/>
      <w:bookmarkStart w:id="44" w:name="_Toc265228423"/>
      <w:bookmarkStart w:id="45" w:name="_Toc97371942"/>
      <w:bookmarkStart w:id="46" w:name="_Toc305158928"/>
      <w:r>
        <w:rPr>
          <w:rFonts w:eastAsiaTheme="minorEastAsia"/>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FCDD878">
      <w:pPr>
        <w:pStyle w:val="3"/>
        <w:tabs>
          <w:tab w:val="center" w:pos="4592"/>
          <w:tab w:val="left" w:pos="7860"/>
        </w:tabs>
        <w:spacing w:before="0" w:line="360" w:lineRule="auto"/>
        <w:rPr>
          <w:rFonts w:ascii="Times New Roman" w:hAnsi="Times New Roman" w:eastAsiaTheme="minorEastAsia"/>
          <w:b w:val="0"/>
          <w:sz w:val="28"/>
        </w:rPr>
      </w:pPr>
      <w:bookmarkStart w:id="47" w:name="_Toc151193689"/>
      <w:bookmarkStart w:id="48" w:name="_Toc127161433"/>
      <w:bookmarkStart w:id="49" w:name="_Toc164608788"/>
      <w:bookmarkStart w:id="50" w:name="_Toc151193761"/>
      <w:bookmarkStart w:id="51" w:name="_Toc149720812"/>
      <w:bookmarkStart w:id="52" w:name="_Toc164229360"/>
      <w:bookmarkStart w:id="53" w:name="_Toc164608633"/>
      <w:bookmarkStart w:id="54" w:name="_Toc226965792"/>
      <w:bookmarkStart w:id="55" w:name="_Toc151193907"/>
      <w:bookmarkStart w:id="56" w:name="_Toc226965709"/>
      <w:bookmarkStart w:id="57" w:name="_Toc150774724"/>
      <w:bookmarkStart w:id="58" w:name="_Toc226337215"/>
      <w:bookmarkStart w:id="59" w:name="_Toc520356144"/>
      <w:bookmarkStart w:id="60" w:name="_Toc127151720"/>
      <w:bookmarkStart w:id="61" w:name="_Toc150774619"/>
      <w:bookmarkStart w:id="62" w:name="_Toc150509270"/>
      <w:bookmarkStart w:id="63" w:name="_Toc127151519"/>
      <w:bookmarkStart w:id="64" w:name="_Toc164351613"/>
      <w:bookmarkStart w:id="65" w:name="_Toc142311021"/>
      <w:bookmarkStart w:id="66" w:name="_Toc151190146"/>
      <w:bookmarkStart w:id="67" w:name="_Toc195842884"/>
      <w:bookmarkStart w:id="68" w:name="_Toc226309763"/>
      <w:bookmarkStart w:id="69" w:name="_Toc151193617"/>
      <w:bookmarkStart w:id="70" w:name="_Toc150480757"/>
      <w:bookmarkStart w:id="71" w:name="_Toc151193833"/>
      <w:bookmarkStart w:id="72" w:name="_Toc164229214"/>
      <w:r>
        <w:rPr>
          <w:rFonts w:ascii="Times New Roman" w:hAnsi="Times New Roman" w:eastAsiaTheme="minorEastAsia"/>
          <w:sz w:val="28"/>
        </w:rPr>
        <w:t>供应商须知资料表</w:t>
      </w:r>
    </w:p>
    <w:p w14:paraId="46F66376">
      <w:pPr>
        <w:jc w:val="center"/>
        <w:rPr>
          <w:rFonts w:eastAsiaTheme="minorEastAsia"/>
          <w:b/>
          <w:sz w:val="28"/>
          <w:szCs w:val="28"/>
        </w:rPr>
      </w:pPr>
    </w:p>
    <w:p w14:paraId="7552870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CC5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13C7C0">
            <w:pPr>
              <w:jc w:val="center"/>
              <w:rPr>
                <w:rFonts w:eastAsiaTheme="minorEastAsia"/>
                <w:b/>
                <w:bCs/>
                <w:sz w:val="24"/>
              </w:rPr>
            </w:pPr>
            <w:r>
              <w:rPr>
                <w:rFonts w:eastAsiaTheme="minorEastAsia"/>
                <w:b/>
                <w:sz w:val="24"/>
              </w:rPr>
              <w:t>条款号</w:t>
            </w:r>
          </w:p>
        </w:tc>
        <w:tc>
          <w:tcPr>
            <w:tcW w:w="1701" w:type="dxa"/>
            <w:vAlign w:val="center"/>
          </w:tcPr>
          <w:p w14:paraId="63E2FC45">
            <w:pPr>
              <w:jc w:val="center"/>
              <w:rPr>
                <w:rFonts w:eastAsiaTheme="minorEastAsia"/>
                <w:b/>
                <w:bCs/>
                <w:sz w:val="24"/>
              </w:rPr>
            </w:pPr>
            <w:r>
              <w:rPr>
                <w:rFonts w:eastAsiaTheme="minorEastAsia"/>
                <w:b/>
                <w:bCs/>
                <w:sz w:val="24"/>
              </w:rPr>
              <w:t>条目</w:t>
            </w:r>
          </w:p>
        </w:tc>
        <w:tc>
          <w:tcPr>
            <w:tcW w:w="7253" w:type="dxa"/>
            <w:vAlign w:val="center"/>
          </w:tcPr>
          <w:p w14:paraId="15F4D616">
            <w:pPr>
              <w:jc w:val="center"/>
              <w:rPr>
                <w:rFonts w:eastAsiaTheme="minorEastAsia"/>
                <w:b/>
                <w:bCs/>
                <w:sz w:val="24"/>
              </w:rPr>
            </w:pPr>
            <w:r>
              <w:rPr>
                <w:rFonts w:eastAsiaTheme="minorEastAsia"/>
                <w:b/>
                <w:bCs/>
                <w:sz w:val="24"/>
              </w:rPr>
              <w:t>内容</w:t>
            </w:r>
          </w:p>
        </w:tc>
      </w:tr>
      <w:tr w14:paraId="4550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15E3D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57D322FF">
            <w:pPr>
              <w:jc w:val="center"/>
              <w:rPr>
                <w:rFonts w:eastAsiaTheme="minorEastAsia"/>
                <w:sz w:val="24"/>
              </w:rPr>
            </w:pPr>
            <w:r>
              <w:rPr>
                <w:rFonts w:eastAsiaTheme="minorEastAsia"/>
                <w:sz w:val="24"/>
              </w:rPr>
              <w:t>项目属性</w:t>
            </w:r>
          </w:p>
        </w:tc>
        <w:tc>
          <w:tcPr>
            <w:tcW w:w="7253" w:type="dxa"/>
            <w:vAlign w:val="center"/>
          </w:tcPr>
          <w:p w14:paraId="12C9D781">
            <w:pPr>
              <w:jc w:val="left"/>
              <w:rPr>
                <w:rFonts w:eastAsiaTheme="minorEastAsia"/>
                <w:sz w:val="24"/>
              </w:rPr>
            </w:pPr>
            <w:r>
              <w:rPr>
                <w:rFonts w:eastAsiaTheme="minorEastAsia"/>
                <w:sz w:val="24"/>
              </w:rPr>
              <w:t>项目属性：</w:t>
            </w:r>
          </w:p>
          <w:p w14:paraId="645D3731">
            <w:pPr>
              <w:jc w:val="left"/>
              <w:rPr>
                <w:rFonts w:eastAsiaTheme="minorEastAsia"/>
                <w:sz w:val="24"/>
              </w:rPr>
            </w:pPr>
            <w:r>
              <w:rPr>
                <w:rFonts w:eastAsiaTheme="minorEastAsia"/>
              </w:rPr>
              <w:t>□</w:t>
            </w:r>
            <w:r>
              <w:rPr>
                <w:rFonts w:eastAsiaTheme="minorEastAsia"/>
                <w:sz w:val="24"/>
              </w:rPr>
              <w:t>服务</w:t>
            </w:r>
          </w:p>
          <w:p w14:paraId="671B5001">
            <w:pPr>
              <w:jc w:val="left"/>
              <w:rPr>
                <w:rFonts w:eastAsiaTheme="minorEastAsia"/>
                <w:sz w:val="24"/>
              </w:rPr>
            </w:pPr>
            <w:r>
              <w:rPr>
                <w:rFonts w:eastAsiaTheme="minorEastAsia"/>
              </w:rPr>
              <w:t>□</w:t>
            </w:r>
            <w:r>
              <w:rPr>
                <w:rFonts w:eastAsiaTheme="minorEastAsia"/>
                <w:sz w:val="24"/>
              </w:rPr>
              <w:t>货物</w:t>
            </w:r>
          </w:p>
          <w:p w14:paraId="59F273C4">
            <w:pPr>
              <w:jc w:val="left"/>
              <w:rPr>
                <w:rFonts w:eastAsiaTheme="minorEastAsia"/>
                <w:sz w:val="24"/>
              </w:rPr>
            </w:pPr>
            <w:r>
              <w:rPr>
                <w:rFonts w:eastAsiaTheme="minorEastAsia"/>
                <w:sz w:val="24"/>
              </w:rPr>
              <w:t>■</w:t>
            </w:r>
            <w:r>
              <w:rPr>
                <w:sz w:val="24"/>
              </w:rPr>
              <w:t>工程</w:t>
            </w:r>
          </w:p>
        </w:tc>
      </w:tr>
      <w:tr w14:paraId="30BD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608A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7EB7B4C1">
            <w:pPr>
              <w:jc w:val="center"/>
              <w:rPr>
                <w:rFonts w:eastAsiaTheme="minorEastAsia"/>
                <w:sz w:val="24"/>
              </w:rPr>
            </w:pPr>
            <w:r>
              <w:rPr>
                <w:rFonts w:eastAsiaTheme="minorEastAsia"/>
                <w:sz w:val="24"/>
              </w:rPr>
              <w:t>科研仪器设备</w:t>
            </w:r>
          </w:p>
        </w:tc>
        <w:tc>
          <w:tcPr>
            <w:tcW w:w="7253" w:type="dxa"/>
            <w:vAlign w:val="center"/>
          </w:tcPr>
          <w:p w14:paraId="689E3D22">
            <w:pPr>
              <w:jc w:val="left"/>
              <w:rPr>
                <w:rFonts w:eastAsiaTheme="minorEastAsia"/>
                <w:sz w:val="24"/>
              </w:rPr>
            </w:pPr>
            <w:r>
              <w:rPr>
                <w:rFonts w:eastAsiaTheme="minorEastAsia"/>
                <w:sz w:val="24"/>
              </w:rPr>
              <w:t>是否属于科研仪器设备采购项目：</w:t>
            </w:r>
          </w:p>
          <w:p w14:paraId="199C2648">
            <w:pPr>
              <w:jc w:val="left"/>
              <w:rPr>
                <w:rFonts w:eastAsiaTheme="minorEastAsia"/>
                <w:sz w:val="24"/>
              </w:rPr>
            </w:pPr>
            <w:r>
              <w:rPr>
                <w:rFonts w:eastAsiaTheme="minorEastAsia"/>
              </w:rPr>
              <w:t>□</w:t>
            </w:r>
            <w:r>
              <w:rPr>
                <w:rFonts w:eastAsiaTheme="minorEastAsia"/>
                <w:sz w:val="24"/>
              </w:rPr>
              <w:t>是</w:t>
            </w:r>
          </w:p>
          <w:p w14:paraId="16756556">
            <w:pPr>
              <w:jc w:val="left"/>
              <w:rPr>
                <w:rFonts w:eastAsiaTheme="minorEastAsia"/>
                <w:sz w:val="24"/>
              </w:rPr>
            </w:pPr>
            <w:r>
              <w:rPr>
                <w:rFonts w:eastAsiaTheme="minorEastAsia"/>
                <w:sz w:val="24"/>
              </w:rPr>
              <w:t>■否</w:t>
            </w:r>
          </w:p>
        </w:tc>
      </w:tr>
      <w:tr w14:paraId="38E9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8F9699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353BB50">
            <w:pPr>
              <w:jc w:val="center"/>
              <w:rPr>
                <w:rFonts w:eastAsiaTheme="minorEastAsia"/>
                <w:sz w:val="24"/>
              </w:rPr>
            </w:pPr>
            <w:r>
              <w:rPr>
                <w:rFonts w:eastAsiaTheme="minorEastAsia"/>
                <w:sz w:val="24"/>
              </w:rPr>
              <w:t>现场考察</w:t>
            </w:r>
          </w:p>
        </w:tc>
        <w:tc>
          <w:tcPr>
            <w:tcW w:w="7253" w:type="dxa"/>
            <w:vAlign w:val="center"/>
          </w:tcPr>
          <w:p w14:paraId="50D5278C">
            <w:pPr>
              <w:jc w:val="left"/>
              <w:rPr>
                <w:sz w:val="24"/>
              </w:rPr>
            </w:pPr>
            <w:r>
              <w:rPr>
                <w:rFonts w:eastAsiaTheme="minorEastAsia"/>
                <w:sz w:val="24"/>
              </w:rPr>
              <w:t>■</w:t>
            </w:r>
            <w:r>
              <w:rPr>
                <w:sz w:val="24"/>
              </w:rPr>
              <w:t>不组织</w:t>
            </w:r>
          </w:p>
          <w:p w14:paraId="4F9AF3F1">
            <w:pPr>
              <w:jc w:val="left"/>
              <w:rPr>
                <w:bCs/>
                <w:sz w:val="24"/>
              </w:rPr>
            </w:pPr>
            <w:r>
              <w:rPr>
                <w:sz w:val="24"/>
              </w:rPr>
              <w:t>□组织，考察时间：</w:t>
            </w:r>
            <w:r>
              <w:rPr>
                <w:rFonts w:hint="eastAsia"/>
                <w:sz w:val="24"/>
                <w:u w:val="single"/>
                <w:lang w:val="en-US" w:eastAsia="zh-CN"/>
              </w:rPr>
              <w:t xml:space="preserve"> / </w:t>
            </w:r>
            <w:r>
              <w:rPr>
                <w:sz w:val="24"/>
              </w:rPr>
              <w:t>年</w:t>
            </w:r>
            <w:r>
              <w:rPr>
                <w:rFonts w:hint="eastAsia"/>
                <w:sz w:val="24"/>
                <w:u w:val="single"/>
                <w:lang w:val="en-US" w:eastAsia="zh-CN"/>
              </w:rPr>
              <w:t xml:space="preserve"> / </w:t>
            </w:r>
            <w:r>
              <w:rPr>
                <w:sz w:val="24"/>
              </w:rPr>
              <w:t>月</w:t>
            </w:r>
            <w:r>
              <w:rPr>
                <w:rFonts w:hint="eastAsia"/>
                <w:sz w:val="24"/>
                <w:u w:val="single"/>
                <w:lang w:val="en-US" w:eastAsia="zh-CN"/>
              </w:rPr>
              <w:t xml:space="preserve"> / </w:t>
            </w:r>
            <w:r>
              <w:rPr>
                <w:sz w:val="24"/>
              </w:rPr>
              <w:t>日</w:t>
            </w:r>
            <w:r>
              <w:rPr>
                <w:rFonts w:hint="eastAsia"/>
                <w:sz w:val="24"/>
                <w:u w:val="single"/>
                <w:lang w:val="en-US" w:eastAsia="zh-CN"/>
              </w:rPr>
              <w:t xml:space="preserve"> / </w:t>
            </w:r>
            <w:r>
              <w:rPr>
                <w:bCs/>
                <w:sz w:val="24"/>
              </w:rPr>
              <w:t>点</w:t>
            </w:r>
            <w:r>
              <w:rPr>
                <w:rFonts w:hint="eastAsia"/>
                <w:sz w:val="24"/>
                <w:u w:val="single"/>
                <w:lang w:val="en-US" w:eastAsia="zh-CN"/>
              </w:rPr>
              <w:t xml:space="preserve"> / </w:t>
            </w:r>
            <w:r>
              <w:rPr>
                <w:bCs/>
                <w:sz w:val="24"/>
              </w:rPr>
              <w:t>分</w:t>
            </w:r>
          </w:p>
          <w:p w14:paraId="04D26DDC">
            <w:pPr>
              <w:pStyle w:val="23"/>
              <w:adjustRightInd w:val="0"/>
              <w:snapToGrid w:val="0"/>
              <w:rPr>
                <w:rFonts w:hint="default" w:ascii="Times New Roman" w:hAnsi="Times New Roman" w:eastAsiaTheme="minorEastAsia"/>
                <w:sz w:val="24"/>
              </w:rPr>
            </w:pPr>
            <w:r>
              <w:rPr>
                <w:rFonts w:hint="default" w:ascii="Times New Roman" w:hAnsi="Times New Roman"/>
                <w:sz w:val="24"/>
              </w:rPr>
              <w:t>考察地点：</w:t>
            </w:r>
            <w:r>
              <w:rPr>
                <w:rFonts w:hint="eastAsia" w:ascii="Times New Roman" w:hAnsi="Times New Roman"/>
                <w:sz w:val="24"/>
                <w:u w:val="single"/>
                <w:lang w:val="en-US" w:eastAsia="zh-CN"/>
              </w:rPr>
              <w:t xml:space="preserve"> / </w:t>
            </w:r>
            <w:r>
              <w:rPr>
                <w:rFonts w:hint="default" w:ascii="Times New Roman" w:hAnsi="Times New Roman"/>
                <w:sz w:val="24"/>
              </w:rPr>
              <w:t>。</w:t>
            </w:r>
          </w:p>
        </w:tc>
      </w:tr>
      <w:tr w14:paraId="2BC3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1B053DB">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648DBA0B">
            <w:pPr>
              <w:jc w:val="center"/>
              <w:rPr>
                <w:rFonts w:eastAsiaTheme="minorEastAsia"/>
                <w:sz w:val="24"/>
              </w:rPr>
            </w:pPr>
            <w:r>
              <w:rPr>
                <w:rFonts w:eastAsiaTheme="minorEastAsia"/>
                <w:sz w:val="24"/>
              </w:rPr>
              <w:t>磋商前答疑会</w:t>
            </w:r>
          </w:p>
        </w:tc>
        <w:tc>
          <w:tcPr>
            <w:tcW w:w="7253" w:type="dxa"/>
            <w:vAlign w:val="center"/>
          </w:tcPr>
          <w:p w14:paraId="3495A7C0">
            <w:pPr>
              <w:jc w:val="left"/>
              <w:rPr>
                <w:sz w:val="24"/>
              </w:rPr>
            </w:pPr>
            <w:r>
              <w:rPr>
                <w:rFonts w:eastAsiaTheme="minorEastAsia"/>
                <w:sz w:val="24"/>
              </w:rPr>
              <w:t>■</w:t>
            </w:r>
            <w:r>
              <w:rPr>
                <w:sz w:val="24"/>
              </w:rPr>
              <w:t>不组织</w:t>
            </w:r>
          </w:p>
          <w:p w14:paraId="3FA9D82E">
            <w:pPr>
              <w:jc w:val="left"/>
              <w:rPr>
                <w:bCs/>
                <w:sz w:val="24"/>
              </w:rPr>
            </w:pPr>
            <w:r>
              <w:rPr>
                <w:sz w:val="24"/>
              </w:rPr>
              <w:t>□组织，考察时间：</w:t>
            </w:r>
            <w:r>
              <w:rPr>
                <w:rFonts w:hint="eastAsia"/>
                <w:sz w:val="24"/>
                <w:u w:val="single"/>
                <w:lang w:val="en-US" w:eastAsia="zh-CN"/>
              </w:rPr>
              <w:t xml:space="preserve"> / </w:t>
            </w:r>
            <w:r>
              <w:rPr>
                <w:sz w:val="24"/>
              </w:rPr>
              <w:t>年</w:t>
            </w:r>
            <w:r>
              <w:rPr>
                <w:rFonts w:hint="eastAsia"/>
                <w:sz w:val="24"/>
                <w:u w:val="single"/>
                <w:lang w:val="en-US" w:eastAsia="zh-CN"/>
              </w:rPr>
              <w:t xml:space="preserve"> / </w:t>
            </w:r>
            <w:r>
              <w:rPr>
                <w:sz w:val="24"/>
              </w:rPr>
              <w:t>月</w:t>
            </w:r>
            <w:r>
              <w:rPr>
                <w:rFonts w:hint="eastAsia"/>
                <w:sz w:val="24"/>
                <w:u w:val="single"/>
                <w:lang w:val="en-US" w:eastAsia="zh-CN"/>
              </w:rPr>
              <w:t xml:space="preserve"> / </w:t>
            </w:r>
            <w:r>
              <w:rPr>
                <w:sz w:val="24"/>
              </w:rPr>
              <w:t>日</w:t>
            </w:r>
            <w:r>
              <w:rPr>
                <w:rFonts w:hint="eastAsia"/>
                <w:sz w:val="24"/>
                <w:u w:val="single"/>
                <w:lang w:val="en-US" w:eastAsia="zh-CN"/>
              </w:rPr>
              <w:t xml:space="preserve"> / </w:t>
            </w:r>
            <w:r>
              <w:rPr>
                <w:bCs/>
                <w:sz w:val="24"/>
              </w:rPr>
              <w:t>点</w:t>
            </w:r>
            <w:r>
              <w:rPr>
                <w:rFonts w:hint="eastAsia"/>
                <w:sz w:val="24"/>
                <w:u w:val="single"/>
                <w:lang w:val="en-US" w:eastAsia="zh-CN"/>
              </w:rPr>
              <w:t xml:space="preserve"> / </w:t>
            </w:r>
            <w:r>
              <w:rPr>
                <w:bCs/>
                <w:sz w:val="24"/>
              </w:rPr>
              <w:t>分</w:t>
            </w:r>
          </w:p>
          <w:p w14:paraId="216B6862">
            <w:pPr>
              <w:jc w:val="left"/>
              <w:rPr>
                <w:rFonts w:eastAsiaTheme="minorEastAsia"/>
                <w:sz w:val="24"/>
              </w:rPr>
            </w:pPr>
            <w:r>
              <w:rPr>
                <w:rFonts w:hint="default" w:ascii="Times New Roman" w:hAnsi="Times New Roman"/>
                <w:sz w:val="24"/>
              </w:rPr>
              <w:t>考察地点：</w:t>
            </w:r>
            <w:r>
              <w:rPr>
                <w:rFonts w:hint="eastAsia" w:ascii="Times New Roman" w:hAnsi="Times New Roman"/>
                <w:sz w:val="24"/>
                <w:u w:val="single"/>
                <w:lang w:val="en-US" w:eastAsia="zh-CN"/>
              </w:rPr>
              <w:t xml:space="preserve"> / </w:t>
            </w:r>
            <w:r>
              <w:rPr>
                <w:rFonts w:hint="default" w:ascii="Times New Roman" w:hAnsi="Times New Roman"/>
                <w:sz w:val="24"/>
              </w:rPr>
              <w:t>。</w:t>
            </w:r>
          </w:p>
        </w:tc>
      </w:tr>
      <w:tr w14:paraId="0392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D35A2D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5DB49C12">
            <w:pPr>
              <w:jc w:val="center"/>
              <w:rPr>
                <w:rFonts w:eastAsiaTheme="minorEastAsia"/>
                <w:sz w:val="24"/>
              </w:rPr>
            </w:pPr>
            <w:r>
              <w:rPr>
                <w:rFonts w:eastAsiaTheme="minorEastAsia"/>
                <w:sz w:val="24"/>
              </w:rPr>
              <w:t>标的所属行业</w:t>
            </w:r>
          </w:p>
        </w:tc>
        <w:tc>
          <w:tcPr>
            <w:tcW w:w="7253" w:type="dxa"/>
            <w:vAlign w:val="center"/>
          </w:tcPr>
          <w:p w14:paraId="74D43E72">
            <w:pPr>
              <w:jc w:val="left"/>
              <w:rPr>
                <w:rFonts w:eastAsiaTheme="minorEastAsia"/>
                <w:sz w:val="24"/>
              </w:rPr>
            </w:pPr>
            <w:r>
              <w:rPr>
                <w:rFonts w:eastAsiaTheme="minorEastAsia"/>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05B8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7308CBB8">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37C57F7">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44477DF7">
                  <w:pPr>
                    <w:jc w:val="center"/>
                    <w:rPr>
                      <w:rFonts w:eastAsiaTheme="minorEastAsia"/>
                      <w:sz w:val="24"/>
                    </w:rPr>
                  </w:pPr>
                  <w:r>
                    <w:rPr>
                      <w:rFonts w:eastAsiaTheme="minorEastAsia"/>
                      <w:sz w:val="24"/>
                    </w:rPr>
                    <w:t>中小企业划分标准所属行业</w:t>
                  </w:r>
                </w:p>
              </w:tc>
            </w:tr>
            <w:tr w14:paraId="7210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08B1C9A3">
                  <w:pPr>
                    <w:jc w:val="center"/>
                    <w:rPr>
                      <w:rFonts w:hint="default" w:eastAsiaTheme="minorEastAsia"/>
                      <w:bCs/>
                      <w:sz w:val="24"/>
                      <w:lang w:val="en-US" w:eastAsia="zh-CN"/>
                    </w:rPr>
                  </w:pPr>
                  <w:r>
                    <w:rPr>
                      <w:rFonts w:hint="eastAsia" w:eastAsiaTheme="minorEastAsia"/>
                      <w:bCs/>
                      <w:sz w:val="24"/>
                      <w:lang w:val="en-US" w:eastAsia="zh-CN"/>
                    </w:rPr>
                    <w:t>01</w:t>
                  </w:r>
                </w:p>
              </w:tc>
              <w:tc>
                <w:tcPr>
                  <w:tcW w:w="2058" w:type="pct"/>
                  <w:tcBorders>
                    <w:top w:val="single" w:color="auto" w:sz="4" w:space="0"/>
                    <w:left w:val="single" w:color="auto" w:sz="4" w:space="0"/>
                    <w:bottom w:val="single" w:color="auto" w:sz="4" w:space="0"/>
                    <w:right w:val="single" w:color="auto" w:sz="4" w:space="0"/>
                  </w:tcBorders>
                  <w:vAlign w:val="center"/>
                </w:tcPr>
                <w:p w14:paraId="2791350D">
                  <w:pPr>
                    <w:jc w:val="center"/>
                    <w:rPr>
                      <w:rFonts w:eastAsiaTheme="minorEastAsia"/>
                      <w:bCs/>
                      <w:sz w:val="24"/>
                    </w:rPr>
                  </w:pPr>
                  <w:r>
                    <w:rPr>
                      <w:rFonts w:hint="eastAsia" w:ascii="Times New Roman" w:hAnsi="Times New Roman" w:cs="Times New Roman" w:eastAsiaTheme="minorEastAsia"/>
                      <w:bCs/>
                      <w:sz w:val="24"/>
                      <w:lang w:eastAsia="zh-CN"/>
                    </w:rPr>
                    <w:t>昌平区延寿镇北庄村防洪沟治理应急度汛项目</w:t>
                  </w:r>
                </w:p>
              </w:tc>
              <w:tc>
                <w:tcPr>
                  <w:tcW w:w="2382" w:type="pct"/>
                  <w:tcBorders>
                    <w:top w:val="single" w:color="auto" w:sz="4" w:space="0"/>
                    <w:left w:val="single" w:color="auto" w:sz="4" w:space="0"/>
                    <w:bottom w:val="single" w:color="auto" w:sz="4" w:space="0"/>
                    <w:right w:val="single" w:color="auto" w:sz="4" w:space="0"/>
                  </w:tcBorders>
                  <w:vAlign w:val="center"/>
                </w:tcPr>
                <w:p w14:paraId="08AD0E77">
                  <w:pPr>
                    <w:jc w:val="center"/>
                    <w:rPr>
                      <w:rFonts w:hint="eastAsia" w:eastAsiaTheme="minorEastAsia"/>
                      <w:kern w:val="0"/>
                      <w:sz w:val="24"/>
                      <w:lang w:val="en-US" w:eastAsia="zh-CN"/>
                    </w:rPr>
                  </w:pPr>
                  <w:r>
                    <w:rPr>
                      <w:rFonts w:hint="eastAsia" w:eastAsiaTheme="minorEastAsia"/>
                      <w:kern w:val="0"/>
                      <w:sz w:val="24"/>
                      <w:lang w:val="en-US" w:eastAsia="zh-CN"/>
                    </w:rPr>
                    <w:t>建筑业</w:t>
                  </w:r>
                </w:p>
              </w:tc>
            </w:tr>
          </w:tbl>
          <w:p w14:paraId="1CE11FEF">
            <w:pPr>
              <w:jc w:val="left"/>
              <w:rPr>
                <w:rFonts w:eastAsiaTheme="minorEastAsia"/>
                <w:sz w:val="24"/>
              </w:rPr>
            </w:pPr>
          </w:p>
        </w:tc>
      </w:tr>
      <w:tr w14:paraId="548D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EEFBC8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7E2048AD">
            <w:pPr>
              <w:jc w:val="center"/>
              <w:rPr>
                <w:rFonts w:eastAsiaTheme="minorEastAsia"/>
                <w:sz w:val="24"/>
              </w:rPr>
            </w:pPr>
            <w:r>
              <w:rPr>
                <w:rFonts w:eastAsiaTheme="minorEastAsia"/>
                <w:sz w:val="24"/>
              </w:rPr>
              <w:t>报价</w:t>
            </w:r>
          </w:p>
        </w:tc>
        <w:tc>
          <w:tcPr>
            <w:tcW w:w="7253" w:type="dxa"/>
            <w:vAlign w:val="center"/>
          </w:tcPr>
          <w:p w14:paraId="2EBADE42">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本项目磋商控制价：</w:t>
            </w:r>
            <w:r>
              <w:rPr>
                <w:rFonts w:hint="eastAsia" w:ascii="宋体" w:hAnsi="宋体" w:cs="宋体"/>
                <w:sz w:val="24"/>
              </w:rPr>
              <w:t>3926427.1</w:t>
            </w:r>
            <w:r>
              <w:rPr>
                <w:rFonts w:hint="eastAsia" w:ascii="宋体" w:hAnsi="宋体" w:eastAsia="宋体" w:cs="宋体"/>
                <w:color w:val="auto"/>
                <w:kern w:val="0"/>
                <w:sz w:val="24"/>
                <w:highlight w:val="none"/>
                <w:lang w:bidi="ar"/>
              </w:rPr>
              <w:t xml:space="preserve">元 </w:t>
            </w:r>
          </w:p>
          <w:p w14:paraId="2564B6DB">
            <w:pPr>
              <w:keepNext w:val="0"/>
              <w:keepLines w:val="0"/>
              <w:widowControl/>
              <w:suppressLineNumbers w:val="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其中：单位工程的分部分项工程合价为：</w:t>
            </w:r>
            <w:r>
              <w:rPr>
                <w:rFonts w:hint="eastAsia" w:ascii="宋体" w:hAnsi="宋体" w:eastAsia="宋体" w:cs="宋体"/>
                <w:b w:val="0"/>
                <w:bCs w:val="0"/>
                <w:color w:val="auto"/>
                <w:sz w:val="24"/>
                <w:szCs w:val="24"/>
              </w:rPr>
              <w:t>3001872.94</w:t>
            </w:r>
            <w:r>
              <w:rPr>
                <w:rFonts w:hint="eastAsia" w:ascii="宋体" w:hAnsi="宋体" w:eastAsia="宋体" w:cs="宋体"/>
                <w:color w:val="auto"/>
                <w:kern w:val="0"/>
                <w:sz w:val="24"/>
                <w:highlight w:val="none"/>
                <w:lang w:bidi="ar"/>
              </w:rPr>
              <w:t xml:space="preserve">元； </w:t>
            </w:r>
          </w:p>
          <w:p w14:paraId="58447A92">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措施项目合价</w:t>
            </w:r>
            <w:r>
              <w:rPr>
                <w:rFonts w:hint="eastAsia" w:ascii="宋体" w:hAnsi="宋体" w:eastAsia="宋体" w:cs="宋体"/>
                <w:color w:val="auto"/>
                <w:kern w:val="2"/>
                <w:sz w:val="24"/>
                <w:highlight w:val="none"/>
                <w:lang w:bidi="ar"/>
              </w:rPr>
              <w:t>为：</w:t>
            </w:r>
            <w:r>
              <w:rPr>
                <w:rFonts w:hint="eastAsia" w:ascii="宋体" w:hAnsi="宋体" w:eastAsia="宋体" w:cs="宋体"/>
                <w:b w:val="0"/>
                <w:bCs w:val="0"/>
                <w:color w:val="auto"/>
                <w:sz w:val="24"/>
                <w:szCs w:val="24"/>
              </w:rPr>
              <w:t>600353.76</w:t>
            </w:r>
            <w:r>
              <w:rPr>
                <w:rFonts w:hint="eastAsia" w:ascii="宋体" w:hAnsi="宋体" w:eastAsia="宋体" w:cs="宋体"/>
                <w:color w:val="auto"/>
                <w:kern w:val="2"/>
                <w:sz w:val="24"/>
                <w:highlight w:val="none"/>
                <w:lang w:bidi="ar"/>
              </w:rPr>
              <w:t>元</w:t>
            </w:r>
            <w:r>
              <w:rPr>
                <w:rFonts w:hint="eastAsia" w:ascii="宋体" w:hAnsi="宋体" w:eastAsia="宋体" w:cs="宋体"/>
                <w:color w:val="auto"/>
                <w:kern w:val="0"/>
                <w:sz w:val="24"/>
                <w:highlight w:val="none"/>
                <w:lang w:bidi="ar"/>
              </w:rPr>
              <w:t xml:space="preserve">； </w:t>
            </w:r>
          </w:p>
          <w:p w14:paraId="64DD458C">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其它项目合价为：0元； </w:t>
            </w:r>
          </w:p>
          <w:p w14:paraId="71B2FC40">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税金的合价为：</w:t>
            </w:r>
            <w:r>
              <w:rPr>
                <w:rFonts w:hint="eastAsia" w:ascii="宋体" w:hAnsi="宋体" w:eastAsia="宋体" w:cs="宋体"/>
                <w:b w:val="0"/>
                <w:bCs w:val="0"/>
                <w:color w:val="auto"/>
                <w:sz w:val="24"/>
                <w:szCs w:val="24"/>
              </w:rPr>
              <w:t>324200.4</w:t>
            </w:r>
            <w:r>
              <w:rPr>
                <w:rFonts w:hint="eastAsia" w:ascii="宋体" w:hAnsi="宋体" w:eastAsia="宋体" w:cs="宋体"/>
                <w:color w:val="auto"/>
                <w:kern w:val="2"/>
                <w:sz w:val="24"/>
                <w:highlight w:val="none"/>
                <w:lang w:bidi="ar"/>
              </w:rPr>
              <w:t>元</w:t>
            </w:r>
            <w:r>
              <w:rPr>
                <w:rFonts w:hint="eastAsia" w:ascii="宋体" w:hAnsi="宋体" w:eastAsia="宋体" w:cs="宋体"/>
                <w:color w:val="auto"/>
                <w:kern w:val="0"/>
                <w:sz w:val="24"/>
                <w:highlight w:val="none"/>
                <w:lang w:bidi="ar"/>
              </w:rPr>
              <w:t xml:space="preserve">。 </w:t>
            </w:r>
          </w:p>
          <w:p w14:paraId="68C5EBF2">
            <w:pPr>
              <w:widowControl/>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其它说明：</w:t>
            </w:r>
          </w:p>
          <w:p w14:paraId="1BD700F2">
            <w:pPr>
              <w:widowControl/>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规费（不含税）合计金额：</w:t>
            </w:r>
            <w:r>
              <w:rPr>
                <w:rFonts w:hint="eastAsia" w:ascii="宋体" w:hAnsi="宋体" w:eastAsia="宋体" w:cs="宋体"/>
                <w:b w:val="0"/>
                <w:bCs w:val="0"/>
                <w:color w:val="auto"/>
                <w:sz w:val="24"/>
                <w:szCs w:val="24"/>
              </w:rPr>
              <w:t>205126.24</w:t>
            </w:r>
            <w:r>
              <w:rPr>
                <w:rFonts w:hint="eastAsia" w:ascii="宋体" w:hAnsi="宋体" w:eastAsia="宋体" w:cs="宋体"/>
                <w:color w:val="auto"/>
                <w:kern w:val="2"/>
                <w:sz w:val="24"/>
                <w:highlight w:val="none"/>
                <w:lang w:bidi="ar"/>
              </w:rPr>
              <w:t>元</w:t>
            </w:r>
            <w:r>
              <w:rPr>
                <w:rFonts w:hint="eastAsia" w:ascii="宋体" w:hAnsi="宋体" w:eastAsia="宋体" w:cs="宋体"/>
                <w:color w:val="auto"/>
                <w:kern w:val="0"/>
                <w:sz w:val="24"/>
                <w:highlight w:val="none"/>
                <w:lang w:bidi="ar"/>
              </w:rPr>
              <w:t>；</w:t>
            </w:r>
          </w:p>
          <w:p w14:paraId="2156A24F">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专业工程暂估价（含税）合计金额：0元； </w:t>
            </w:r>
          </w:p>
          <w:p w14:paraId="56EC5896">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材料和工程设备暂估价（含税）合计金额：0 元； </w:t>
            </w:r>
          </w:p>
          <w:p w14:paraId="6E8BE5FB">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暂列金（不含计日工）（含税）合计金额：0元； </w:t>
            </w:r>
          </w:p>
          <w:p w14:paraId="56AC3E23">
            <w:pPr>
              <w:widowControl/>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安全文明施工费（含税）合计金额：</w:t>
            </w:r>
            <w:r>
              <w:rPr>
                <w:rFonts w:hint="eastAsia" w:ascii="宋体" w:hAnsi="宋体" w:eastAsia="宋体" w:cs="宋体"/>
                <w:b w:val="0"/>
                <w:bCs w:val="0"/>
                <w:color w:val="auto"/>
                <w:kern w:val="0"/>
                <w:sz w:val="24"/>
                <w:szCs w:val="24"/>
                <w:highlight w:val="none"/>
                <w:lang w:bidi="ar"/>
              </w:rPr>
              <w:t>366999.18</w:t>
            </w:r>
            <w:r>
              <w:rPr>
                <w:rFonts w:hint="eastAsia" w:ascii="宋体" w:hAnsi="宋体" w:eastAsia="宋体" w:cs="宋体"/>
                <w:color w:val="auto"/>
                <w:kern w:val="0"/>
                <w:sz w:val="24"/>
                <w:highlight w:val="none"/>
                <w:lang w:bidi="ar"/>
              </w:rPr>
              <w:t xml:space="preserve">元； </w:t>
            </w:r>
          </w:p>
          <w:p w14:paraId="6F926951">
            <w:pPr>
              <w:jc w:val="left"/>
              <w:rPr>
                <w:rFonts w:eastAsiaTheme="minorEastAsia"/>
                <w:sz w:val="24"/>
              </w:rPr>
            </w:pPr>
            <w:r>
              <w:rPr>
                <w:rFonts w:hint="eastAsia" w:ascii="宋体" w:hAnsi="宋体" w:eastAsia="宋体" w:cs="宋体"/>
                <w:color w:val="auto"/>
                <w:kern w:val="0"/>
                <w:sz w:val="24"/>
                <w:highlight w:val="none"/>
                <w:lang w:bidi="ar"/>
              </w:rPr>
              <w:t>赶工增加费（含税）合计金额（如有）：0元。</w:t>
            </w:r>
          </w:p>
        </w:tc>
      </w:tr>
      <w:tr w14:paraId="3253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5EAAD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51CCCFD3">
            <w:pPr>
              <w:jc w:val="center"/>
              <w:rPr>
                <w:rFonts w:eastAsiaTheme="minorEastAsia"/>
                <w:sz w:val="24"/>
              </w:rPr>
            </w:pPr>
            <w:r>
              <w:rPr>
                <w:rFonts w:eastAsiaTheme="minorEastAsia"/>
                <w:sz w:val="24"/>
              </w:rPr>
              <w:t>磋商保证金</w:t>
            </w:r>
          </w:p>
        </w:tc>
        <w:tc>
          <w:tcPr>
            <w:tcW w:w="7253" w:type="dxa"/>
            <w:vAlign w:val="center"/>
          </w:tcPr>
          <w:p w14:paraId="4417AEDD">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22234151">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eastAsia" w:ascii="Times New Roman" w:hAnsi="Times New Roman"/>
                <w:sz w:val="24"/>
                <w:u w:val="single"/>
                <w:lang w:val="en-US" w:eastAsia="zh-CN"/>
              </w:rPr>
              <w:t>0元（不收取）</w:t>
            </w:r>
            <w:r>
              <w:rPr>
                <w:rFonts w:hint="default" w:ascii="Times New Roman" w:hAnsi="Times New Roman" w:eastAsiaTheme="minorEastAsia"/>
                <w:sz w:val="24"/>
                <w:szCs w:val="24"/>
              </w:rPr>
              <w:t>；</w:t>
            </w:r>
          </w:p>
          <w:p w14:paraId="6AC89063">
            <w:pPr>
              <w:jc w:val="left"/>
              <w:rPr>
                <w:rFonts w:eastAsiaTheme="minorEastAsia"/>
                <w:sz w:val="24"/>
              </w:rPr>
            </w:pPr>
            <w:r>
              <w:rPr>
                <w:rFonts w:eastAsiaTheme="minorEastAsia"/>
                <w:sz w:val="24"/>
              </w:rPr>
              <w:t>磋商保证金收受人信息：</w:t>
            </w:r>
            <w:r>
              <w:rPr>
                <w:rFonts w:hint="eastAsia"/>
                <w:sz w:val="24"/>
                <w:u w:val="single"/>
                <w:lang w:val="en-US" w:eastAsia="zh-CN"/>
              </w:rPr>
              <w:t xml:space="preserve"> / </w:t>
            </w:r>
            <w:r>
              <w:rPr>
                <w:rFonts w:eastAsiaTheme="minorEastAsia"/>
                <w:sz w:val="24"/>
              </w:rPr>
              <w:t>。</w:t>
            </w:r>
          </w:p>
        </w:tc>
      </w:tr>
      <w:tr w14:paraId="646C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1BB14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4E6C7D75">
            <w:pPr>
              <w:jc w:val="center"/>
              <w:rPr>
                <w:rFonts w:eastAsiaTheme="minorEastAsia"/>
                <w:sz w:val="24"/>
              </w:rPr>
            </w:pPr>
          </w:p>
        </w:tc>
        <w:tc>
          <w:tcPr>
            <w:tcW w:w="7253" w:type="dxa"/>
            <w:vAlign w:val="center"/>
          </w:tcPr>
          <w:p w14:paraId="2D6A25AC">
            <w:pPr>
              <w:jc w:val="left"/>
              <w:rPr>
                <w:rFonts w:eastAsiaTheme="minorEastAsia"/>
                <w:sz w:val="24"/>
              </w:rPr>
            </w:pPr>
            <w:r>
              <w:rPr>
                <w:rFonts w:eastAsiaTheme="minorEastAsia"/>
                <w:sz w:val="24"/>
              </w:rPr>
              <w:t>磋商保证金不予退还的其他情形：</w:t>
            </w:r>
          </w:p>
          <w:p w14:paraId="4E29CE95">
            <w:pPr>
              <w:jc w:val="left"/>
              <w:rPr>
                <w:sz w:val="24"/>
              </w:rPr>
            </w:pPr>
            <w:r>
              <w:rPr>
                <w:rFonts w:ascii="Times New Roman" w:hAnsi="Times New Roman" w:eastAsia="宋体" w:cs="Times New Roman"/>
                <w:sz w:val="24"/>
              </w:rPr>
              <w:t>■</w:t>
            </w:r>
            <w:r>
              <w:rPr>
                <w:sz w:val="24"/>
              </w:rPr>
              <w:t>无</w:t>
            </w:r>
          </w:p>
          <w:p w14:paraId="5C57B669">
            <w:pPr>
              <w:pStyle w:val="23"/>
              <w:adjustRightInd w:val="0"/>
              <w:snapToGrid w:val="0"/>
              <w:rPr>
                <w:rFonts w:hint="default" w:ascii="Times New Roman" w:hAnsi="Times New Roman" w:eastAsiaTheme="minorEastAsia"/>
                <w:sz w:val="24"/>
                <w:szCs w:val="24"/>
              </w:rPr>
            </w:pPr>
            <w:r>
              <w:rPr>
                <w:sz w:val="24"/>
              </w:rPr>
              <w:t>□</w:t>
            </w:r>
            <w:r>
              <w:rPr>
                <w:rFonts w:hint="default" w:ascii="Times New Roman" w:hAnsi="Times New Roman" w:eastAsia="宋体" w:cs="Times New Roman"/>
                <w:sz w:val="24"/>
              </w:rPr>
              <w:t>有，具体情形：</w:t>
            </w:r>
            <w:r>
              <w:rPr>
                <w:rFonts w:hint="eastAsia" w:ascii="Times New Roman" w:hAnsi="Times New Roman" w:eastAsia="宋体" w:cs="Times New Roman"/>
                <w:sz w:val="24"/>
                <w:u w:val="single"/>
                <w:lang w:val="en-US" w:eastAsia="zh-CN"/>
              </w:rPr>
              <w:t xml:space="preserve"> / </w:t>
            </w:r>
            <w:r>
              <w:rPr>
                <w:rFonts w:ascii="Times New Roman" w:hAnsi="Times New Roman" w:eastAsia="宋体" w:cs="Times New Roman"/>
                <w:sz w:val="24"/>
                <w:u w:val="none"/>
              </w:rPr>
              <w:t>。</w:t>
            </w:r>
          </w:p>
        </w:tc>
      </w:tr>
      <w:tr w14:paraId="0462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DDE03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60EE770A">
            <w:pPr>
              <w:jc w:val="center"/>
              <w:rPr>
                <w:rFonts w:eastAsiaTheme="minorEastAsia"/>
                <w:sz w:val="24"/>
              </w:rPr>
            </w:pPr>
            <w:r>
              <w:rPr>
                <w:rFonts w:eastAsiaTheme="minorEastAsia"/>
                <w:sz w:val="24"/>
              </w:rPr>
              <w:t>响应有效期</w:t>
            </w:r>
          </w:p>
        </w:tc>
        <w:tc>
          <w:tcPr>
            <w:tcW w:w="7253" w:type="dxa"/>
            <w:vAlign w:val="center"/>
          </w:tcPr>
          <w:p w14:paraId="3759A029">
            <w:pPr>
              <w:jc w:val="left"/>
              <w:rPr>
                <w:rFonts w:eastAsiaTheme="minorEastAsia"/>
                <w:sz w:val="24"/>
              </w:rPr>
            </w:pPr>
            <w:r>
              <w:rPr>
                <w:rFonts w:eastAsiaTheme="minorEastAsia"/>
                <w:sz w:val="24"/>
              </w:rPr>
              <w:t>自响应文件提交截止之日起算</w:t>
            </w:r>
            <w:r>
              <w:rPr>
                <w:rFonts w:hint="eastAsia" w:eastAsiaTheme="minorEastAsia"/>
                <w:sz w:val="24"/>
                <w:u w:val="single"/>
                <w:lang w:val="en-US" w:eastAsia="zh-CN"/>
              </w:rPr>
              <w:t xml:space="preserve"> 90 </w:t>
            </w:r>
            <w:r>
              <w:rPr>
                <w:rFonts w:eastAsiaTheme="minorEastAsia"/>
                <w:sz w:val="24"/>
              </w:rPr>
              <w:t>日历天。</w:t>
            </w:r>
          </w:p>
        </w:tc>
      </w:tr>
      <w:tr w14:paraId="5D4F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20B429">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26AC820E">
            <w:pPr>
              <w:jc w:val="center"/>
              <w:rPr>
                <w:rFonts w:eastAsiaTheme="minorEastAsia"/>
                <w:sz w:val="24"/>
              </w:rPr>
            </w:pPr>
            <w:r>
              <w:rPr>
                <w:rFonts w:hint="eastAsia" w:eastAsiaTheme="minorEastAsia"/>
                <w:sz w:val="24"/>
              </w:rPr>
              <w:t>解密时间</w:t>
            </w:r>
          </w:p>
        </w:tc>
        <w:tc>
          <w:tcPr>
            <w:tcW w:w="7253" w:type="dxa"/>
            <w:vAlign w:val="center"/>
          </w:tcPr>
          <w:p w14:paraId="430621E9">
            <w:pPr>
              <w:jc w:val="left"/>
              <w:rPr>
                <w:rFonts w:eastAsiaTheme="minorEastAsia"/>
                <w:sz w:val="24"/>
              </w:rPr>
            </w:pPr>
            <w:r>
              <w:rPr>
                <w:rFonts w:hint="eastAsia" w:ascii="宋体" w:hAnsi="宋体"/>
                <w:sz w:val="24"/>
              </w:rPr>
              <w:t>解密时间：</w:t>
            </w:r>
            <w:r>
              <w:rPr>
                <w:rFonts w:hint="eastAsia"/>
                <w:sz w:val="24"/>
                <w:u w:val="single"/>
                <w:lang w:val="en-US" w:eastAsia="zh-CN"/>
              </w:rPr>
              <w:t xml:space="preserve"> 15 </w:t>
            </w:r>
            <w:r>
              <w:rPr>
                <w:rFonts w:hint="eastAsia" w:ascii="宋体" w:hAnsi="宋体"/>
                <w:sz w:val="24"/>
              </w:rPr>
              <w:t>分钟</w:t>
            </w:r>
          </w:p>
        </w:tc>
      </w:tr>
      <w:tr w14:paraId="526E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F6FBD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75278998">
            <w:pPr>
              <w:jc w:val="center"/>
              <w:rPr>
                <w:rFonts w:eastAsiaTheme="minorEastAsia"/>
                <w:sz w:val="24"/>
              </w:rPr>
            </w:pPr>
            <w:r>
              <w:rPr>
                <w:sz w:val="24"/>
              </w:rPr>
              <w:t>确定成交供应商</w:t>
            </w:r>
          </w:p>
        </w:tc>
        <w:tc>
          <w:tcPr>
            <w:tcW w:w="7253" w:type="dxa"/>
            <w:vAlign w:val="center"/>
          </w:tcPr>
          <w:p w14:paraId="71954405">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36D50AA6">
            <w:pPr>
              <w:jc w:val="left"/>
              <w:rPr>
                <w:rFonts w:eastAsiaTheme="minorEastAsia"/>
                <w:sz w:val="24"/>
              </w:rPr>
            </w:pPr>
            <w:r>
              <w:rPr>
                <w:rFonts w:eastAsiaTheme="minorEastAsia"/>
                <w:sz w:val="24"/>
              </w:rPr>
              <w:t>■否</w:t>
            </w:r>
          </w:p>
          <w:p w14:paraId="792F3F33">
            <w:pPr>
              <w:jc w:val="left"/>
              <w:rPr>
                <w:rFonts w:eastAsiaTheme="minorEastAsia"/>
                <w:sz w:val="24"/>
              </w:rPr>
            </w:pPr>
            <w:r>
              <w:rPr>
                <w:rFonts w:eastAsiaTheme="minorEastAsia"/>
              </w:rPr>
              <w:t>□</w:t>
            </w:r>
            <w:r>
              <w:rPr>
                <w:rFonts w:eastAsiaTheme="minorEastAsia"/>
                <w:sz w:val="24"/>
              </w:rPr>
              <w:t>是</w:t>
            </w:r>
          </w:p>
          <w:p w14:paraId="5B53F2CE">
            <w:pPr>
              <w:jc w:val="left"/>
              <w:rPr>
                <w:rFonts w:eastAsiaTheme="minorEastAsia"/>
                <w:sz w:val="24"/>
                <w:u w:val="single"/>
              </w:rPr>
            </w:pPr>
            <w:r>
              <w:rPr>
                <w:rFonts w:eastAsiaTheme="minorEastAsia"/>
                <w:sz w:val="24"/>
              </w:rPr>
              <w:t>成交候选人并列的，按照以下方式确定成交供应商：</w:t>
            </w:r>
            <w:r>
              <w:rPr>
                <w:rFonts w:hint="eastAsia" w:ascii="宋体" w:hAnsi="宋体" w:cs="宋体"/>
                <w:sz w:val="24"/>
                <w:u w:val="single"/>
              </w:rPr>
              <w:t>得分相同的，按技术部分中整体服务方案得分高者为成交人</w:t>
            </w:r>
            <w:r>
              <w:rPr>
                <w:rFonts w:eastAsiaTheme="minorEastAsia"/>
                <w:sz w:val="24"/>
              </w:rPr>
              <w:t>。</w:t>
            </w:r>
          </w:p>
        </w:tc>
      </w:tr>
      <w:tr w14:paraId="48B5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A0954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28AFD29">
            <w:pPr>
              <w:jc w:val="center"/>
              <w:rPr>
                <w:rFonts w:eastAsiaTheme="minorEastAsia"/>
                <w:sz w:val="24"/>
              </w:rPr>
            </w:pPr>
            <w:r>
              <w:rPr>
                <w:rFonts w:eastAsiaTheme="minorEastAsia"/>
                <w:sz w:val="24"/>
              </w:rPr>
              <w:t>分包</w:t>
            </w:r>
          </w:p>
        </w:tc>
        <w:tc>
          <w:tcPr>
            <w:tcW w:w="7253" w:type="dxa"/>
            <w:vAlign w:val="center"/>
          </w:tcPr>
          <w:p w14:paraId="591EF538">
            <w:pPr>
              <w:jc w:val="left"/>
              <w:rPr>
                <w:rFonts w:eastAsiaTheme="minorEastAsia"/>
                <w:sz w:val="24"/>
              </w:rPr>
            </w:pPr>
            <w:r>
              <w:rPr>
                <w:rFonts w:eastAsiaTheme="minorEastAsia"/>
                <w:sz w:val="24"/>
              </w:rPr>
              <w:t xml:space="preserve">本项目是否允许分包： </w:t>
            </w:r>
          </w:p>
          <w:p w14:paraId="5A90CE5A">
            <w:pPr>
              <w:jc w:val="left"/>
              <w:rPr>
                <w:rFonts w:eastAsiaTheme="minorEastAsia"/>
                <w:sz w:val="24"/>
              </w:rPr>
            </w:pPr>
            <w:r>
              <w:rPr>
                <w:rFonts w:eastAsiaTheme="minorEastAsia"/>
                <w:sz w:val="24"/>
              </w:rPr>
              <w:t>■不允许</w:t>
            </w:r>
          </w:p>
          <w:p w14:paraId="71136DFD">
            <w:pPr>
              <w:jc w:val="left"/>
              <w:rPr>
                <w:rFonts w:ascii="宋体" w:hAnsi="宋体" w:cs="宋体"/>
                <w:sz w:val="24"/>
              </w:rPr>
            </w:pPr>
            <w:r>
              <w:rPr>
                <w:rFonts w:eastAsiaTheme="minorEastAsia"/>
              </w:rPr>
              <w:t>□</w:t>
            </w:r>
            <w:r>
              <w:rPr>
                <w:rFonts w:eastAsiaTheme="minorEastAsia"/>
                <w:sz w:val="24"/>
              </w:rPr>
              <w:t>允许，具体要求：</w:t>
            </w:r>
            <w:r>
              <w:rPr>
                <w:rFonts w:hint="eastAsia" w:ascii="宋体" w:hAnsi="宋体" w:cs="宋体"/>
                <w:sz w:val="24"/>
                <w:u w:val="single"/>
              </w:rPr>
              <w:t xml:space="preserve">  /  </w:t>
            </w:r>
            <w:r>
              <w:rPr>
                <w:rFonts w:hint="eastAsia" w:ascii="宋体" w:hAnsi="宋体" w:cs="宋体"/>
                <w:sz w:val="24"/>
              </w:rPr>
              <w:t>。</w:t>
            </w:r>
          </w:p>
          <w:p w14:paraId="116F643F">
            <w:pPr>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 xml:space="preserve">  /  </w:t>
            </w:r>
            <w:r>
              <w:rPr>
                <w:rFonts w:hint="eastAsia" w:ascii="宋体" w:hAnsi="宋体" w:cs="宋体"/>
                <w:sz w:val="24"/>
              </w:rPr>
              <w:t>；</w:t>
            </w:r>
          </w:p>
          <w:p w14:paraId="79657690">
            <w:pPr>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 xml:space="preserve">  /  </w:t>
            </w:r>
            <w:r>
              <w:rPr>
                <w:rFonts w:hint="eastAsia" w:ascii="宋体" w:hAnsi="宋体" w:cs="宋体"/>
                <w:sz w:val="24"/>
              </w:rPr>
              <w:t>；</w:t>
            </w:r>
          </w:p>
          <w:p w14:paraId="7852DFC1">
            <w:pPr>
              <w:jc w:val="left"/>
              <w:rPr>
                <w:rFonts w:eastAsiaTheme="minorEastAsia"/>
                <w:sz w:val="24"/>
                <w:u w:val="single"/>
              </w:rPr>
            </w:pPr>
            <w:r>
              <w:rPr>
                <w:rFonts w:hint="eastAsia" w:ascii="宋体" w:hAnsi="宋体" w:cs="宋体"/>
                <w:sz w:val="24"/>
              </w:rPr>
              <w:t>（3）其他要求：</w:t>
            </w:r>
            <w:r>
              <w:rPr>
                <w:rFonts w:hint="eastAsia" w:ascii="宋体" w:hAnsi="宋体" w:cs="宋体"/>
                <w:sz w:val="24"/>
                <w:u w:val="single"/>
              </w:rPr>
              <w:t xml:space="preserve">  /  </w:t>
            </w:r>
            <w:r>
              <w:rPr>
                <w:rFonts w:hint="eastAsia" w:ascii="宋体" w:hAnsi="宋体" w:cs="宋体"/>
                <w:sz w:val="24"/>
              </w:rPr>
              <w:t>。</w:t>
            </w:r>
          </w:p>
        </w:tc>
      </w:tr>
      <w:tr w14:paraId="4D7B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B5AA19">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614B7824">
            <w:pPr>
              <w:jc w:val="center"/>
              <w:rPr>
                <w:rFonts w:eastAsiaTheme="minorEastAsia"/>
                <w:sz w:val="24"/>
              </w:rPr>
            </w:pPr>
            <w:r>
              <w:rPr>
                <w:rFonts w:hint="eastAsia"/>
                <w:sz w:val="24"/>
              </w:rPr>
              <w:t>政采贷</w:t>
            </w:r>
          </w:p>
        </w:tc>
        <w:tc>
          <w:tcPr>
            <w:tcW w:w="7253" w:type="dxa"/>
            <w:vAlign w:val="center"/>
          </w:tcPr>
          <w:p w14:paraId="274CEF0C">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E6B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4D671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1078BF71">
            <w:pPr>
              <w:jc w:val="center"/>
              <w:rPr>
                <w:rFonts w:eastAsiaTheme="minorEastAsia"/>
                <w:sz w:val="24"/>
              </w:rPr>
            </w:pPr>
            <w:r>
              <w:rPr>
                <w:rFonts w:eastAsiaTheme="minorEastAsia"/>
                <w:sz w:val="24"/>
              </w:rPr>
              <w:t>询问</w:t>
            </w:r>
          </w:p>
        </w:tc>
        <w:tc>
          <w:tcPr>
            <w:tcW w:w="7253" w:type="dxa"/>
            <w:vAlign w:val="center"/>
          </w:tcPr>
          <w:p w14:paraId="0354FC9D">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ascii="宋体" w:hAnsi="宋体" w:cs="宋体"/>
                <w:sz w:val="24"/>
                <w:u w:val="single"/>
              </w:rPr>
              <w:t>请以信函或传真的形式</w:t>
            </w:r>
            <w:r>
              <w:rPr>
                <w:rFonts w:eastAsiaTheme="minorEastAsia"/>
                <w:sz w:val="24"/>
              </w:rPr>
              <w:t>。</w:t>
            </w:r>
          </w:p>
        </w:tc>
      </w:tr>
      <w:tr w14:paraId="4FFB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A855E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2CF39E30">
            <w:pPr>
              <w:jc w:val="center"/>
              <w:rPr>
                <w:rFonts w:eastAsiaTheme="minorEastAsia"/>
                <w:sz w:val="24"/>
              </w:rPr>
            </w:pPr>
            <w:r>
              <w:rPr>
                <w:rFonts w:eastAsiaTheme="minorEastAsia"/>
                <w:sz w:val="24"/>
              </w:rPr>
              <w:t>联系方式</w:t>
            </w:r>
          </w:p>
        </w:tc>
        <w:tc>
          <w:tcPr>
            <w:tcW w:w="7253" w:type="dxa"/>
            <w:vAlign w:val="center"/>
          </w:tcPr>
          <w:p w14:paraId="48DC279A">
            <w:pPr>
              <w:jc w:val="left"/>
              <w:rPr>
                <w:rFonts w:eastAsiaTheme="minorEastAsia"/>
                <w:sz w:val="24"/>
              </w:rPr>
            </w:pPr>
            <w:r>
              <w:rPr>
                <w:rFonts w:eastAsiaTheme="minorEastAsia"/>
                <w:sz w:val="24"/>
              </w:rPr>
              <w:t>接收询问和质疑的联系方式</w:t>
            </w:r>
          </w:p>
          <w:p w14:paraId="71EFB3A1">
            <w:pPr>
              <w:jc w:val="left"/>
              <w:rPr>
                <w:rFonts w:ascii="宋体" w:hAnsi="宋体" w:cs="宋体"/>
                <w:sz w:val="24"/>
              </w:rPr>
            </w:pPr>
            <w:r>
              <w:rPr>
                <w:rFonts w:eastAsiaTheme="minorEastAsia"/>
                <w:sz w:val="24"/>
              </w:rPr>
              <w:t>联系部门：</w:t>
            </w:r>
            <w:r>
              <w:rPr>
                <w:rFonts w:hint="eastAsia" w:ascii="宋体" w:hAnsi="宋体" w:cs="宋体"/>
                <w:sz w:val="24"/>
                <w:u w:val="single"/>
              </w:rPr>
              <w:t>招标部</w:t>
            </w:r>
            <w:r>
              <w:rPr>
                <w:rFonts w:hint="eastAsia" w:ascii="宋体" w:hAnsi="宋体" w:cs="宋体"/>
                <w:sz w:val="24"/>
              </w:rPr>
              <w:t>；</w:t>
            </w:r>
          </w:p>
          <w:p w14:paraId="13CB2081">
            <w:pPr>
              <w:jc w:val="left"/>
              <w:rPr>
                <w:rFonts w:ascii="宋体" w:hAnsi="宋体" w:cs="宋体"/>
                <w:sz w:val="24"/>
              </w:rPr>
            </w:pPr>
            <w:r>
              <w:rPr>
                <w:rFonts w:hint="eastAsia" w:ascii="宋体" w:hAnsi="宋体" w:cs="宋体"/>
                <w:sz w:val="24"/>
              </w:rPr>
              <w:t>联系电话：</w:t>
            </w:r>
            <w:r>
              <w:rPr>
                <w:rFonts w:hint="eastAsia" w:ascii="宋体" w:hAnsi="宋体" w:cs="宋体"/>
                <w:sz w:val="24"/>
                <w:u w:val="single"/>
              </w:rPr>
              <w:t>010-60700287</w:t>
            </w:r>
            <w:r>
              <w:rPr>
                <w:rFonts w:hint="eastAsia" w:ascii="宋体" w:hAnsi="宋体" w:cs="宋体"/>
                <w:sz w:val="24"/>
              </w:rPr>
              <w:t>；</w:t>
            </w:r>
          </w:p>
          <w:p w14:paraId="590D0EA8">
            <w:pPr>
              <w:jc w:val="left"/>
              <w:rPr>
                <w:rFonts w:eastAsiaTheme="minorEastAsia"/>
                <w:sz w:val="24"/>
              </w:rPr>
            </w:pPr>
            <w:r>
              <w:rPr>
                <w:rFonts w:hint="eastAsia" w:ascii="宋体" w:hAnsi="宋体" w:cs="宋体"/>
                <w:sz w:val="24"/>
              </w:rPr>
              <w:t>通讯地址：</w:t>
            </w:r>
            <w:r>
              <w:rPr>
                <w:rFonts w:hint="eastAsia" w:ascii="宋体" w:hAnsi="宋体" w:cs="宋体"/>
                <w:sz w:val="24"/>
                <w:u w:val="single"/>
              </w:rPr>
              <w:t>北京市昌平区超前路37号院中关村兴业创业园6号楼B单元1305室</w:t>
            </w:r>
            <w:r>
              <w:rPr>
                <w:rFonts w:hint="eastAsia" w:ascii="宋体" w:hAnsi="宋体" w:cs="宋体"/>
                <w:sz w:val="24"/>
              </w:rPr>
              <w:t>。</w:t>
            </w:r>
          </w:p>
        </w:tc>
      </w:tr>
      <w:tr w14:paraId="2F63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1741E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044758FE">
            <w:pPr>
              <w:jc w:val="center"/>
              <w:rPr>
                <w:rFonts w:eastAsiaTheme="minorEastAsia"/>
                <w:sz w:val="24"/>
              </w:rPr>
            </w:pPr>
            <w:r>
              <w:rPr>
                <w:rFonts w:eastAsiaTheme="minorEastAsia"/>
                <w:sz w:val="24"/>
              </w:rPr>
              <w:t>代理费</w:t>
            </w:r>
          </w:p>
        </w:tc>
        <w:tc>
          <w:tcPr>
            <w:tcW w:w="7253" w:type="dxa"/>
            <w:vAlign w:val="center"/>
          </w:tcPr>
          <w:p w14:paraId="6C1F2160">
            <w:pPr>
              <w:jc w:val="left"/>
              <w:rPr>
                <w:rFonts w:eastAsiaTheme="minorEastAsia"/>
                <w:sz w:val="24"/>
              </w:rPr>
            </w:pPr>
            <w:r>
              <w:rPr>
                <w:rFonts w:eastAsiaTheme="minorEastAsia"/>
                <w:sz w:val="24"/>
              </w:rPr>
              <w:t>收费对象：</w:t>
            </w:r>
          </w:p>
          <w:p w14:paraId="7B864604">
            <w:pPr>
              <w:jc w:val="left"/>
              <w:rPr>
                <w:rFonts w:eastAsiaTheme="minorEastAsia"/>
                <w:sz w:val="24"/>
              </w:rPr>
            </w:pPr>
            <w:r>
              <w:rPr>
                <w:rFonts w:eastAsiaTheme="minorEastAsia"/>
              </w:rPr>
              <w:t>□</w:t>
            </w:r>
            <w:r>
              <w:rPr>
                <w:rFonts w:eastAsiaTheme="minorEastAsia"/>
                <w:sz w:val="24"/>
              </w:rPr>
              <w:t>采购人</w:t>
            </w:r>
          </w:p>
          <w:p w14:paraId="29D51CF9">
            <w:pPr>
              <w:jc w:val="left"/>
              <w:rPr>
                <w:rFonts w:eastAsiaTheme="minorEastAsia"/>
                <w:sz w:val="24"/>
              </w:rPr>
            </w:pPr>
            <w:r>
              <w:rPr>
                <w:rFonts w:eastAsiaTheme="minorEastAsia"/>
                <w:sz w:val="24"/>
              </w:rPr>
              <w:t>■成交供应商</w:t>
            </w:r>
          </w:p>
          <w:p w14:paraId="668BDA6E">
            <w:pPr>
              <w:jc w:val="left"/>
              <w:rPr>
                <w:rFonts w:hint="default" w:eastAsiaTheme="minorEastAsia"/>
                <w:sz w:val="24"/>
                <w:u w:val="single"/>
                <w:lang w:val="en-US" w:eastAsia="zh-CN"/>
              </w:rPr>
            </w:pPr>
            <w:r>
              <w:rPr>
                <w:rFonts w:eastAsiaTheme="minorEastAsia"/>
                <w:sz w:val="24"/>
              </w:rPr>
              <w:t>收费标准：</w:t>
            </w:r>
            <w:r>
              <w:rPr>
                <w:rFonts w:hint="eastAsia" w:ascii="宋体" w:hAnsi="宋体" w:cs="宋体"/>
                <w:sz w:val="24"/>
                <w:u w:val="single"/>
              </w:rPr>
              <w:t>根据国家发展计划委员会颁布的《招标代理服务收费管理暂行办法》（计价格[2002]1980 号），招标代理服务费用按差额定率累进法以成交金额为基数进行计算</w:t>
            </w:r>
            <w:r>
              <w:rPr>
                <w:rFonts w:eastAsiaTheme="minorEastAsia"/>
                <w:sz w:val="24"/>
                <w:u w:val="single"/>
              </w:rPr>
              <w:t>；</w:t>
            </w:r>
            <w:r>
              <w:rPr>
                <w:rFonts w:hint="eastAsia" w:ascii="Times New Roman" w:hAnsi="Times New Roman" w:cs="Times New Roman" w:eastAsiaTheme="minorEastAsia"/>
                <w:sz w:val="24"/>
                <w:u w:val="single"/>
                <w:lang w:val="en-US" w:eastAsia="zh-CN"/>
              </w:rPr>
              <w:t>依照京价协【2022】71号文的规定计取工程量清单编制费及最高</w:t>
            </w:r>
            <w:r>
              <w:rPr>
                <w:rFonts w:hint="eastAsia" w:eastAsiaTheme="minorEastAsia"/>
                <w:sz w:val="24"/>
                <w:u w:val="single"/>
                <w:lang w:val="en-US" w:eastAsia="zh-CN"/>
              </w:rPr>
              <w:t>投标限价编制费。</w:t>
            </w:r>
          </w:p>
          <w:p w14:paraId="01A64C4C">
            <w:pPr>
              <w:jc w:val="left"/>
              <w:rPr>
                <w:rFonts w:eastAsiaTheme="minorEastAsia"/>
                <w:sz w:val="24"/>
              </w:rPr>
            </w:pPr>
            <w:r>
              <w:rPr>
                <w:rFonts w:eastAsiaTheme="minorEastAsia"/>
                <w:sz w:val="24"/>
              </w:rPr>
              <w:t>缴纳时间：</w:t>
            </w:r>
            <w:r>
              <w:rPr>
                <w:rFonts w:hint="eastAsia" w:ascii="宋体" w:hAnsi="宋体" w:cs="宋体"/>
                <w:sz w:val="24"/>
                <w:u w:val="single"/>
              </w:rPr>
              <w:t>成交供应商在成交公告发布之后5个工作日内向乙方支付代理服务费</w:t>
            </w:r>
            <w:r>
              <w:rPr>
                <w:rFonts w:hint="eastAsia" w:ascii="宋体" w:hAnsi="宋体" w:cs="宋体"/>
                <w:sz w:val="24"/>
                <w:u w:val="single"/>
                <w:lang w:eastAsia="zh-CN"/>
              </w:rPr>
              <w:t>、</w:t>
            </w:r>
            <w:r>
              <w:rPr>
                <w:rFonts w:hint="eastAsia" w:ascii="宋体" w:hAnsi="宋体" w:cs="宋体"/>
                <w:sz w:val="24"/>
                <w:u w:val="single"/>
                <w:lang w:val="en-US" w:eastAsia="zh-CN"/>
              </w:rPr>
              <w:t>工程量清单编制费及最高投标限价编制费</w:t>
            </w:r>
            <w:r>
              <w:rPr>
                <w:rFonts w:eastAsiaTheme="minorEastAsia"/>
                <w:sz w:val="24"/>
              </w:rPr>
              <w:t>。</w:t>
            </w:r>
          </w:p>
        </w:tc>
      </w:tr>
    </w:tbl>
    <w:p w14:paraId="014F2661">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54800132">
      <w:pPr>
        <w:spacing w:before="240" w:beforeLines="100" w:after="240" w:afterLines="100"/>
        <w:jc w:val="center"/>
        <w:rPr>
          <w:rFonts w:eastAsiaTheme="minorEastAsia"/>
          <w:b/>
          <w:sz w:val="28"/>
          <w:szCs w:val="28"/>
        </w:rPr>
      </w:pPr>
      <w:r>
        <w:rPr>
          <w:rFonts w:eastAsiaTheme="minorEastAsia"/>
          <w:b/>
          <w:sz w:val="28"/>
          <w:szCs w:val="28"/>
        </w:rPr>
        <w:t>供应商须知</w:t>
      </w:r>
    </w:p>
    <w:p w14:paraId="4DBAD094">
      <w:pPr>
        <w:pStyle w:val="3"/>
        <w:tabs>
          <w:tab w:val="center" w:pos="4592"/>
          <w:tab w:val="left" w:pos="7860"/>
        </w:tabs>
        <w:spacing w:before="0" w:line="360" w:lineRule="auto"/>
        <w:jc w:val="left"/>
        <w:rPr>
          <w:rFonts w:ascii="Times New Roman" w:hAnsi="Times New Roman" w:eastAsiaTheme="minorEastAsia"/>
          <w:sz w:val="28"/>
        </w:rPr>
      </w:pPr>
      <w:bookmarkStart w:id="73" w:name="_Toc520356143"/>
      <w:bookmarkStart w:id="74" w:name="_Toc127151518"/>
      <w:r>
        <w:rPr>
          <w:rFonts w:ascii="Times New Roman" w:hAnsi="Times New Roman" w:eastAsiaTheme="minorEastAsia"/>
          <w:sz w:val="28"/>
        </w:rPr>
        <w:tab/>
      </w:r>
      <w:bookmarkStart w:id="75" w:name="_Toc151193906"/>
      <w:bookmarkStart w:id="76" w:name="_Toc150774618"/>
      <w:bookmarkStart w:id="77" w:name="_Toc151193616"/>
      <w:bookmarkStart w:id="78" w:name="_Toc151193688"/>
      <w:bookmarkStart w:id="79" w:name="_Toc305158786"/>
      <w:bookmarkStart w:id="80" w:name="_Toc150509269"/>
      <w:bookmarkStart w:id="81" w:name="_Toc226965708"/>
      <w:bookmarkStart w:id="82" w:name="_Toc226965791"/>
      <w:bookmarkStart w:id="83" w:name="_Toc226337214"/>
      <w:bookmarkStart w:id="84" w:name="_Toc264969208"/>
      <w:bookmarkStart w:id="85" w:name="_Toc265228356"/>
      <w:bookmarkStart w:id="86" w:name="_Toc150774723"/>
      <w:bookmarkStart w:id="87" w:name="_Toc305158860"/>
      <w:bookmarkStart w:id="88" w:name="_Toc195842883"/>
      <w:bookmarkStart w:id="89" w:name="_Toc151190145"/>
      <w:bookmarkStart w:id="90" w:name="_Toc151193832"/>
      <w:bookmarkStart w:id="91" w:name="_Toc150480756"/>
      <w:bookmarkStart w:id="92" w:name="_Toc226309762"/>
      <w:bookmarkStart w:id="93" w:name="_Toc151193760"/>
      <w:bookmarkStart w:id="94" w:name="_Toc142311020"/>
      <w:r>
        <w:rPr>
          <w:rFonts w:ascii="Times New Roman" w:hAnsi="Times New Roman" w:eastAsiaTheme="minorEastAsia"/>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sz w:val="28"/>
        </w:rPr>
        <w:tab/>
      </w:r>
    </w:p>
    <w:p w14:paraId="12E094E9">
      <w:pPr>
        <w:numPr>
          <w:ilvl w:val="0"/>
          <w:numId w:val="8"/>
        </w:numPr>
        <w:tabs>
          <w:tab w:val="left" w:pos="360"/>
          <w:tab w:val="clear" w:pos="900"/>
        </w:tabs>
        <w:snapToGrid w:val="0"/>
        <w:spacing w:line="360" w:lineRule="auto"/>
        <w:ind w:left="357" w:hanging="357"/>
        <w:outlineLvl w:val="1"/>
        <w:rPr>
          <w:rFonts w:eastAsiaTheme="minorEastAsia"/>
          <w:sz w:val="24"/>
        </w:rPr>
      </w:pPr>
      <w:bookmarkStart w:id="95" w:name="_Toc265228357"/>
      <w:bookmarkStart w:id="96" w:name="_Toc305158861"/>
      <w:bookmarkStart w:id="97" w:name="_Toc264969209"/>
      <w:bookmarkStart w:id="98" w:name="_Toc305158787"/>
      <w:r>
        <w:rPr>
          <w:rFonts w:eastAsiaTheme="minorEastAsia"/>
          <w:sz w:val="24"/>
        </w:rPr>
        <w:t>采购人、采购代理机构、供应商</w:t>
      </w:r>
      <w:bookmarkEnd w:id="95"/>
      <w:bookmarkEnd w:id="96"/>
      <w:bookmarkEnd w:id="97"/>
      <w:bookmarkEnd w:id="98"/>
      <w:r>
        <w:rPr>
          <w:rFonts w:eastAsiaTheme="minorEastAsia"/>
          <w:sz w:val="24"/>
        </w:rPr>
        <w:t>、联合体</w:t>
      </w:r>
    </w:p>
    <w:p w14:paraId="4CBD6BA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9D7208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09393E9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6D070253">
      <w:pPr>
        <w:numPr>
          <w:ilvl w:val="0"/>
          <w:numId w:val="8"/>
        </w:numPr>
        <w:tabs>
          <w:tab w:val="left" w:pos="360"/>
          <w:tab w:val="clear" w:pos="900"/>
        </w:tabs>
        <w:snapToGrid w:val="0"/>
        <w:spacing w:line="360" w:lineRule="auto"/>
        <w:ind w:left="357" w:hanging="357"/>
        <w:outlineLvl w:val="1"/>
        <w:rPr>
          <w:rFonts w:eastAsiaTheme="minorEastAsia"/>
          <w:sz w:val="24"/>
        </w:rPr>
      </w:pPr>
      <w:bookmarkStart w:id="99" w:name="_Toc127151520"/>
      <w:bookmarkStart w:id="100" w:name="_Toc142311022"/>
      <w:bookmarkStart w:id="101" w:name="_Toc151193834"/>
      <w:bookmarkStart w:id="102" w:name="_Toc150480758"/>
      <w:bookmarkStart w:id="103" w:name="_Toc150774725"/>
      <w:bookmarkStart w:id="104" w:name="_Toc164229361"/>
      <w:bookmarkStart w:id="105" w:name="_Toc164608789"/>
      <w:bookmarkStart w:id="106" w:name="_Toc226965793"/>
      <w:bookmarkStart w:id="107" w:name="_Toc149720813"/>
      <w:bookmarkStart w:id="108" w:name="_Toc264969210"/>
      <w:bookmarkStart w:id="109" w:name="_Toc151193908"/>
      <w:bookmarkStart w:id="110" w:name="_Toc164608634"/>
      <w:bookmarkStart w:id="111" w:name="_Toc265228358"/>
      <w:bookmarkStart w:id="112" w:name="_Toc226309764"/>
      <w:bookmarkStart w:id="113" w:name="_Toc164229215"/>
      <w:bookmarkStart w:id="114" w:name="_Toc151193618"/>
      <w:bookmarkStart w:id="115" w:name="_Toc127151721"/>
      <w:bookmarkStart w:id="116" w:name="_Toc151193762"/>
      <w:bookmarkStart w:id="117" w:name="_Toc305158862"/>
      <w:bookmarkStart w:id="118" w:name="_Toc150774620"/>
      <w:bookmarkStart w:id="119" w:name="_Toc151190147"/>
      <w:bookmarkStart w:id="120" w:name="_Toc127161434"/>
      <w:bookmarkStart w:id="121" w:name="_Toc195842885"/>
      <w:bookmarkStart w:id="122" w:name="_Toc164351614"/>
      <w:bookmarkStart w:id="123" w:name="_Toc226965710"/>
      <w:bookmarkStart w:id="124" w:name="_Toc305158788"/>
      <w:bookmarkStart w:id="125" w:name="_Toc151193690"/>
      <w:bookmarkStart w:id="126" w:name="_Toc226337216"/>
      <w:bookmarkStart w:id="127" w:name="_Toc150509271"/>
      <w:r>
        <w:rPr>
          <w:rFonts w:eastAsiaTheme="minorEastAsia"/>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sz w:val="24"/>
        </w:rPr>
        <w:t>、项目属性、科研仪器设备采购</w:t>
      </w:r>
    </w:p>
    <w:p w14:paraId="40F127F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7E96BAF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78EA0B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5B78AEE">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D59A433">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8" w:name="_Toc150774622"/>
      <w:bookmarkStart w:id="129" w:name="_Toc151190149"/>
      <w:bookmarkStart w:id="130" w:name="_Toc305158790"/>
      <w:bookmarkStart w:id="131" w:name="_Toc150480760"/>
      <w:bookmarkStart w:id="132" w:name="_Toc142311024"/>
      <w:bookmarkStart w:id="133" w:name="_Toc151193910"/>
      <w:bookmarkStart w:id="134" w:name="_Toc226965795"/>
      <w:bookmarkStart w:id="135" w:name="_Toc226309766"/>
      <w:bookmarkStart w:id="136" w:name="_Toc151193620"/>
      <w:bookmarkStart w:id="137" w:name="_Toc151193692"/>
      <w:bookmarkStart w:id="138" w:name="_Toc264969212"/>
      <w:bookmarkStart w:id="139" w:name="_Toc520356146"/>
      <w:bookmarkStart w:id="140" w:name="_Toc226337218"/>
      <w:bookmarkStart w:id="141" w:name="_Toc265228360"/>
      <w:bookmarkStart w:id="142" w:name="_Toc127151522"/>
      <w:bookmarkStart w:id="143" w:name="_Toc151193764"/>
      <w:bookmarkStart w:id="144" w:name="_Toc151193836"/>
      <w:bookmarkStart w:id="145" w:name="_Toc150509273"/>
      <w:bookmarkStart w:id="146" w:name="_Toc305158864"/>
      <w:bookmarkStart w:id="147" w:name="_Toc150774727"/>
      <w:bookmarkStart w:id="148" w:name="_Toc195842887"/>
      <w:bookmarkStart w:id="149" w:name="_Toc226965712"/>
    </w:p>
    <w:p w14:paraId="52FD2D4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6F6803A">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9A224E9">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0DA79A49">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93C6C85">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6C6ED170">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5930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15A6E30A">
      <w:pPr>
        <w:numPr>
          <w:ilvl w:val="2"/>
          <w:numId w:val="8"/>
        </w:numPr>
        <w:snapToGrid w:val="0"/>
        <w:spacing w:line="360" w:lineRule="auto"/>
        <w:rPr>
          <w:rFonts w:eastAsiaTheme="minorEastAsia"/>
          <w:sz w:val="24"/>
        </w:rPr>
      </w:pPr>
      <w:r>
        <w:rPr>
          <w:rFonts w:eastAsiaTheme="minorEastAsia"/>
          <w:sz w:val="24"/>
        </w:rPr>
        <w:t>中小企业定义：</w:t>
      </w:r>
    </w:p>
    <w:p w14:paraId="6BAD7DB5">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012D9DB">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5A2F1DB">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FF62D7C">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175C2B">
      <w:pPr>
        <w:pStyle w:val="72"/>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4D00A8">
      <w:pPr>
        <w:pStyle w:val="72"/>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94C16B7">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119FB8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3CD2972C">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75FE50DE">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38714557">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6C7DFBA3">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82B7EAC">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7A75A0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A35E508">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A05520">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1EE71B6">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38D18BB">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6FA679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5F650BC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4280EDA3">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6729701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3BBDEF15">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089D279">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5C1744">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61F56518">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1E342369">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13F36E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01293760">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53E04FD">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75230B5">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07236A15">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AF1E00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98F07D3">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F2BE7D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26A1A2A">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B7AAF2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5C9E223D">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75AD89CA">
      <w:pPr>
        <w:numPr>
          <w:ilvl w:val="1"/>
          <w:numId w:val="8"/>
        </w:numPr>
        <w:tabs>
          <w:tab w:val="left" w:pos="1080"/>
        </w:tabs>
        <w:snapToGrid w:val="0"/>
        <w:spacing w:line="360" w:lineRule="auto"/>
        <w:rPr>
          <w:sz w:val="24"/>
        </w:rPr>
      </w:pPr>
      <w:r>
        <w:rPr>
          <w:sz w:val="24"/>
        </w:rPr>
        <w:t>采购需求标准</w:t>
      </w:r>
    </w:p>
    <w:p w14:paraId="1D8C092A">
      <w:pPr>
        <w:numPr>
          <w:ilvl w:val="2"/>
          <w:numId w:val="8"/>
        </w:numPr>
        <w:snapToGrid w:val="0"/>
        <w:spacing w:line="360" w:lineRule="auto"/>
        <w:rPr>
          <w:sz w:val="24"/>
        </w:rPr>
      </w:pPr>
      <w:r>
        <w:rPr>
          <w:sz w:val="24"/>
        </w:rPr>
        <w:t>商品包装、快递包装政府采购需求标准（试行）</w:t>
      </w:r>
    </w:p>
    <w:p w14:paraId="70F6887F">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CA69528">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796EFA8F">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0" w:name="_Hlk168431650"/>
      <w:r>
        <w:rPr>
          <w:rFonts w:hint="eastAsia"/>
          <w:sz w:val="24"/>
        </w:rPr>
        <w:t>财政部门会同有关部门制定发布的</w:t>
      </w:r>
      <w:bookmarkEnd w:id="150"/>
      <w:r>
        <w:rPr>
          <w:rFonts w:hint="eastAsia"/>
          <w:sz w:val="24"/>
        </w:rPr>
        <w:t>其他政府采购需求标准，</w:t>
      </w:r>
      <w:r>
        <w:rPr>
          <w:sz w:val="24"/>
        </w:rPr>
        <w:t>本项目如涉及，则具体要求见第四章《采购需求》。</w:t>
      </w:r>
    </w:p>
    <w:p w14:paraId="39946B7B">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0DEC280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7C93072">
      <w:pPr>
        <w:tabs>
          <w:tab w:val="left" w:pos="1080"/>
        </w:tabs>
        <w:snapToGrid w:val="0"/>
        <w:spacing w:line="360" w:lineRule="auto"/>
        <w:ind w:left="1080"/>
        <w:rPr>
          <w:rFonts w:eastAsiaTheme="minorEastAsia"/>
          <w:sz w:val="28"/>
        </w:rPr>
      </w:pPr>
      <w:bookmarkStart w:id="151" w:name="_1.8_计量单位"/>
      <w:bookmarkEnd w:id="151"/>
    </w:p>
    <w:p w14:paraId="3C546852">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D32E2A4">
      <w:pPr>
        <w:numPr>
          <w:ilvl w:val="0"/>
          <w:numId w:val="8"/>
        </w:numPr>
        <w:tabs>
          <w:tab w:val="left" w:pos="360"/>
        </w:tabs>
        <w:snapToGrid w:val="0"/>
        <w:spacing w:line="360" w:lineRule="auto"/>
        <w:ind w:left="357" w:hanging="357"/>
        <w:outlineLvl w:val="1"/>
        <w:rPr>
          <w:rFonts w:eastAsiaTheme="minorEastAsia"/>
          <w:sz w:val="24"/>
        </w:rPr>
      </w:pPr>
      <w:bookmarkStart w:id="152" w:name="_Toc150774728"/>
      <w:bookmarkStart w:id="153" w:name="_Toc164229364"/>
      <w:bookmarkStart w:id="154" w:name="_Toc520356147"/>
      <w:bookmarkStart w:id="155" w:name="_Toc164229218"/>
      <w:bookmarkStart w:id="156" w:name="_Toc151193911"/>
      <w:bookmarkStart w:id="157" w:name="_Toc226965713"/>
      <w:bookmarkStart w:id="158" w:name="_Toc149720816"/>
      <w:bookmarkStart w:id="159" w:name="_Toc142311025"/>
      <w:bookmarkStart w:id="160" w:name="_Toc226965796"/>
      <w:bookmarkStart w:id="161" w:name="_Toc151193693"/>
      <w:bookmarkStart w:id="162" w:name="_Toc226337219"/>
      <w:bookmarkStart w:id="163" w:name="_Toc150480761"/>
      <w:bookmarkStart w:id="164" w:name="_Toc151193765"/>
      <w:bookmarkStart w:id="165" w:name="_Toc127151523"/>
      <w:bookmarkStart w:id="166" w:name="_Toc264969213"/>
      <w:bookmarkStart w:id="167" w:name="_Toc151193621"/>
      <w:bookmarkStart w:id="168" w:name="_Toc150774623"/>
      <w:bookmarkStart w:id="169" w:name="_Toc164608792"/>
      <w:bookmarkStart w:id="170" w:name="_Toc305158865"/>
      <w:bookmarkStart w:id="171" w:name="_Toc195842888"/>
      <w:bookmarkStart w:id="172" w:name="_Toc305158791"/>
      <w:bookmarkStart w:id="173" w:name="_Toc164351617"/>
      <w:bookmarkStart w:id="174" w:name="_Toc127161437"/>
      <w:bookmarkStart w:id="175" w:name="_Toc127151724"/>
      <w:bookmarkStart w:id="176" w:name="_Toc164608637"/>
      <w:bookmarkStart w:id="177" w:name="_Toc151190150"/>
      <w:bookmarkStart w:id="178" w:name="_Toc265228361"/>
      <w:bookmarkStart w:id="179" w:name="_Toc226309767"/>
      <w:bookmarkStart w:id="180" w:name="_Toc151193837"/>
      <w:bookmarkStart w:id="181" w:name="_Toc150509274"/>
      <w:r>
        <w:rPr>
          <w:rFonts w:eastAsiaTheme="minorEastAsia"/>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eastAsiaTheme="minorEastAsia"/>
          <w:sz w:val="24"/>
        </w:rPr>
        <w:t>成</w:t>
      </w:r>
    </w:p>
    <w:p w14:paraId="742D60A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BE2C868">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62F057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14F62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5D7618A2">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169BF93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8B4634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3B52AD9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6DDB0054">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05A87B5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B91B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F6180F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2A9E66F8">
      <w:pPr>
        <w:tabs>
          <w:tab w:val="left" w:pos="1080"/>
          <w:tab w:val="left" w:pos="1561"/>
        </w:tabs>
        <w:snapToGrid w:val="0"/>
        <w:spacing w:line="360" w:lineRule="auto"/>
        <w:ind w:left="1080"/>
        <w:rPr>
          <w:rFonts w:eastAsiaTheme="minorEastAsia"/>
          <w:sz w:val="28"/>
        </w:rPr>
      </w:pPr>
      <w:bookmarkStart w:id="182" w:name="_Toc516367020"/>
      <w:bookmarkStart w:id="183" w:name="_Toc264969216"/>
      <w:bookmarkStart w:id="184" w:name="_Toc150774731"/>
      <w:bookmarkStart w:id="185" w:name="_Toc151193768"/>
      <w:bookmarkStart w:id="186" w:name="_Toc226309770"/>
      <w:bookmarkStart w:id="187" w:name="_Toc305158868"/>
      <w:bookmarkStart w:id="188" w:name="_Toc226965716"/>
      <w:bookmarkStart w:id="189" w:name="_Toc151193696"/>
      <w:bookmarkStart w:id="190" w:name="_Toc127151526"/>
      <w:bookmarkStart w:id="191" w:name="_Toc151193914"/>
      <w:bookmarkStart w:id="192" w:name="_Toc151190153"/>
      <w:bookmarkStart w:id="193" w:name="_Toc520356150"/>
      <w:bookmarkStart w:id="194" w:name="_Toc265228364"/>
      <w:bookmarkStart w:id="195" w:name="_Toc150480764"/>
      <w:bookmarkStart w:id="196" w:name="_Toc142311028"/>
      <w:bookmarkStart w:id="197" w:name="_Toc226337222"/>
      <w:bookmarkStart w:id="198" w:name="_Toc305158794"/>
      <w:bookmarkStart w:id="199" w:name="_Toc150774626"/>
      <w:bookmarkStart w:id="200" w:name="_Toc226965799"/>
      <w:bookmarkStart w:id="201" w:name="_Toc195842891"/>
      <w:bookmarkStart w:id="202" w:name="_Toc151193840"/>
      <w:bookmarkStart w:id="203" w:name="_Toc150509277"/>
      <w:bookmarkStart w:id="204" w:name="_Toc151193624"/>
    </w:p>
    <w:p w14:paraId="19E0F1A4">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2"/>
      <w:r>
        <w:rPr>
          <w:rFonts w:ascii="Times New Roman" w:hAnsi="Times New Roman" w:eastAsiaTheme="minorEastAsia"/>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65A2E73C">
      <w:pPr>
        <w:numPr>
          <w:ilvl w:val="0"/>
          <w:numId w:val="8"/>
        </w:numPr>
        <w:tabs>
          <w:tab w:val="left" w:pos="360"/>
        </w:tabs>
        <w:snapToGrid w:val="0"/>
        <w:spacing w:line="360" w:lineRule="auto"/>
        <w:ind w:left="357" w:hanging="357"/>
        <w:outlineLvl w:val="1"/>
        <w:rPr>
          <w:rFonts w:eastAsiaTheme="minorEastAsia"/>
          <w:sz w:val="24"/>
        </w:rPr>
      </w:pPr>
      <w:bookmarkStart w:id="205" w:name="_Toc164608796"/>
      <w:bookmarkStart w:id="206" w:name="_Toc520356151"/>
      <w:bookmarkStart w:id="207" w:name="_Toc164229222"/>
      <w:bookmarkStart w:id="208" w:name="_Toc226309771"/>
      <w:bookmarkStart w:id="209" w:name="_Toc226965717"/>
      <w:bookmarkStart w:id="210" w:name="_Toc150480765"/>
      <w:bookmarkStart w:id="211" w:name="_Toc151193625"/>
      <w:bookmarkStart w:id="212" w:name="_Toc127151728"/>
      <w:bookmarkStart w:id="213" w:name="_Toc150774732"/>
      <w:bookmarkStart w:id="214" w:name="_Toc127151527"/>
      <w:bookmarkStart w:id="215" w:name="_Toc516367021"/>
      <w:bookmarkStart w:id="216" w:name="_Toc264969217"/>
      <w:bookmarkStart w:id="217" w:name="_Toc265228365"/>
      <w:bookmarkStart w:id="218" w:name="_Toc151193841"/>
      <w:bookmarkStart w:id="219" w:name="_Toc226965800"/>
      <w:bookmarkStart w:id="220" w:name="_Toc226337223"/>
      <w:bookmarkStart w:id="221" w:name="_Toc164351621"/>
      <w:bookmarkStart w:id="222" w:name="_Toc305158869"/>
      <w:bookmarkStart w:id="223" w:name="_Toc127161441"/>
      <w:bookmarkStart w:id="224" w:name="_Toc164229368"/>
      <w:bookmarkStart w:id="225" w:name="_Toc150774627"/>
      <w:bookmarkStart w:id="226" w:name="_Toc142311029"/>
      <w:bookmarkStart w:id="227" w:name="_Toc151193769"/>
      <w:bookmarkStart w:id="228" w:name="_Toc151190154"/>
      <w:bookmarkStart w:id="229" w:name="_Toc305158795"/>
      <w:bookmarkStart w:id="230" w:name="_Toc151193697"/>
      <w:bookmarkStart w:id="231" w:name="_Toc151193915"/>
      <w:bookmarkStart w:id="232" w:name="_Toc150509278"/>
      <w:bookmarkStart w:id="233" w:name="_Toc195842892"/>
      <w:bookmarkStart w:id="234" w:name="_Toc149720820"/>
      <w:bookmarkStart w:id="235" w:name="_Toc164608641"/>
      <w:r>
        <w:rPr>
          <w:rFonts w:eastAsiaTheme="minorEastAsia"/>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eastAsiaTheme="minorEastAsia"/>
          <w:sz w:val="24"/>
        </w:rPr>
        <w:t>及磋商语言</w:t>
      </w:r>
    </w:p>
    <w:p w14:paraId="358DCD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1C1745E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3E083C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2C6E98">
      <w:pPr>
        <w:numPr>
          <w:ilvl w:val="0"/>
          <w:numId w:val="8"/>
        </w:numPr>
        <w:tabs>
          <w:tab w:val="left" w:pos="360"/>
        </w:tabs>
        <w:snapToGrid w:val="0"/>
        <w:spacing w:line="360" w:lineRule="auto"/>
        <w:ind w:left="357" w:hanging="357"/>
        <w:outlineLvl w:val="1"/>
        <w:rPr>
          <w:rFonts w:eastAsiaTheme="minorEastAsia"/>
          <w:sz w:val="24"/>
        </w:rPr>
      </w:pPr>
      <w:bookmarkStart w:id="236" w:name="_Ref467306195"/>
      <w:bookmarkStart w:id="237" w:name="_Toc516367022"/>
      <w:bookmarkStart w:id="238" w:name="_Ref467306676"/>
      <w:bookmarkStart w:id="239" w:name="_Toc127151729"/>
      <w:bookmarkStart w:id="240" w:name="_Toc305158870"/>
      <w:bookmarkStart w:id="241" w:name="_Toc265228366"/>
      <w:bookmarkStart w:id="242" w:name="_Toc520356152"/>
      <w:bookmarkStart w:id="243" w:name="_Toc127161442"/>
      <w:bookmarkStart w:id="244" w:name="_Toc226337224"/>
      <w:bookmarkStart w:id="245" w:name="_Toc150509279"/>
      <w:bookmarkStart w:id="246" w:name="_Toc164351622"/>
      <w:bookmarkStart w:id="247" w:name="_Toc149720821"/>
      <w:bookmarkStart w:id="248" w:name="_Toc264969218"/>
      <w:bookmarkStart w:id="249" w:name="_Toc164608642"/>
      <w:bookmarkStart w:id="250" w:name="_Toc151190155"/>
      <w:bookmarkStart w:id="251" w:name="_Toc151193770"/>
      <w:bookmarkStart w:id="252" w:name="_Toc151193698"/>
      <w:bookmarkStart w:id="253" w:name="_Toc164229369"/>
      <w:bookmarkStart w:id="254" w:name="_Toc195842893"/>
      <w:bookmarkStart w:id="255" w:name="_Toc226965718"/>
      <w:bookmarkStart w:id="256" w:name="_Toc305158796"/>
      <w:bookmarkStart w:id="257" w:name="_Toc151193626"/>
      <w:bookmarkStart w:id="258" w:name="_Toc226965801"/>
      <w:bookmarkStart w:id="259" w:name="_Toc142311030"/>
      <w:bookmarkStart w:id="260" w:name="_Toc164608797"/>
      <w:bookmarkStart w:id="261" w:name="_Toc150774628"/>
      <w:bookmarkStart w:id="262" w:name="_Toc151193842"/>
      <w:bookmarkStart w:id="263" w:name="_Toc226309772"/>
      <w:bookmarkStart w:id="264" w:name="_Toc151193916"/>
      <w:bookmarkStart w:id="265" w:name="_Toc150480766"/>
      <w:bookmarkStart w:id="266" w:name="_Toc164229223"/>
      <w:bookmarkStart w:id="267" w:name="_Toc150774733"/>
      <w:bookmarkStart w:id="268" w:name="_Toc127151528"/>
      <w:r>
        <w:rPr>
          <w:rFonts w:eastAsiaTheme="minorEastAsia"/>
          <w:sz w:val="24"/>
        </w:rPr>
        <w:t>响应文件</w:t>
      </w:r>
      <w:bookmarkEnd w:id="236"/>
      <w:bookmarkEnd w:id="237"/>
      <w:bookmarkEnd w:id="238"/>
      <w:r>
        <w:rPr>
          <w:rFonts w:eastAsiaTheme="minorEastAsia"/>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7C5DE70">
      <w:pPr>
        <w:numPr>
          <w:ilvl w:val="1"/>
          <w:numId w:val="8"/>
        </w:numPr>
        <w:tabs>
          <w:tab w:val="left" w:pos="1080"/>
          <w:tab w:val="left" w:pos="2014"/>
        </w:tabs>
        <w:snapToGrid w:val="0"/>
        <w:spacing w:line="360" w:lineRule="auto"/>
        <w:ind w:left="1077" w:hanging="720"/>
        <w:rPr>
          <w:rFonts w:eastAsiaTheme="minorEastAsia"/>
          <w:sz w:val="24"/>
        </w:rPr>
      </w:pPr>
      <w:bookmarkStart w:id="269"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1CF333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13B0578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1AEC962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5E90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9"/>
    </w:p>
    <w:p w14:paraId="7BCCF497">
      <w:pPr>
        <w:numPr>
          <w:ilvl w:val="0"/>
          <w:numId w:val="8"/>
        </w:numPr>
        <w:tabs>
          <w:tab w:val="left" w:pos="360"/>
        </w:tabs>
        <w:snapToGrid w:val="0"/>
        <w:spacing w:line="360" w:lineRule="auto"/>
        <w:ind w:left="357" w:hanging="357"/>
        <w:outlineLvl w:val="1"/>
        <w:rPr>
          <w:rFonts w:eastAsiaTheme="minorEastAsia"/>
          <w:sz w:val="24"/>
        </w:rPr>
      </w:pPr>
      <w:bookmarkStart w:id="270" w:name="_Toc151190157"/>
      <w:bookmarkStart w:id="271" w:name="_Toc520356155"/>
      <w:bookmarkStart w:id="272" w:name="_Toc149720823"/>
      <w:bookmarkStart w:id="273" w:name="_Toc151193918"/>
      <w:bookmarkStart w:id="274" w:name="_Toc164608644"/>
      <w:bookmarkStart w:id="275" w:name="_Toc150509281"/>
      <w:bookmarkStart w:id="276" w:name="_Toc127151731"/>
      <w:bookmarkStart w:id="277" w:name="_Toc150774735"/>
      <w:bookmarkStart w:id="278" w:name="_Toc142311032"/>
      <w:bookmarkStart w:id="279" w:name="_Toc127151530"/>
      <w:bookmarkStart w:id="280" w:name="_Toc150480768"/>
      <w:bookmarkStart w:id="281" w:name="_Toc151193844"/>
      <w:bookmarkStart w:id="282" w:name="_Toc164608799"/>
      <w:bookmarkStart w:id="283" w:name="_Toc195842895"/>
      <w:bookmarkStart w:id="284" w:name="_Toc150774630"/>
      <w:bookmarkStart w:id="285" w:name="_Toc127161444"/>
      <w:bookmarkStart w:id="286" w:name="_Toc151193628"/>
      <w:bookmarkStart w:id="287" w:name="_Toc151193700"/>
      <w:bookmarkStart w:id="288" w:name="_Toc164229225"/>
      <w:bookmarkStart w:id="289" w:name="_Toc151193772"/>
      <w:bookmarkStart w:id="290" w:name="_Toc164351624"/>
      <w:bookmarkStart w:id="291" w:name="_Toc164229371"/>
      <w:r>
        <w:rPr>
          <w:rFonts w:eastAsiaTheme="minorEastAsia"/>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00D04F8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524FF904">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2889017">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AE1741">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5C0CA13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B919EA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C7F9D0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56B79F82">
      <w:pPr>
        <w:numPr>
          <w:ilvl w:val="1"/>
          <w:numId w:val="8"/>
        </w:numPr>
        <w:tabs>
          <w:tab w:val="left" w:pos="1080"/>
          <w:tab w:val="left" w:pos="2014"/>
        </w:tabs>
        <w:snapToGrid w:val="0"/>
        <w:spacing w:line="360" w:lineRule="auto"/>
        <w:ind w:left="1077" w:hanging="720"/>
        <w:rPr>
          <w:rFonts w:eastAsiaTheme="minorEastAsia"/>
          <w:sz w:val="24"/>
        </w:rPr>
      </w:pPr>
      <w:bookmarkStart w:id="292" w:name="_Ref467306302"/>
      <w:r>
        <w:rPr>
          <w:rFonts w:eastAsiaTheme="minorEastAsia"/>
          <w:sz w:val="24"/>
        </w:rPr>
        <w:t>供应商应按《供应商须知资料表》中规定的金额及要求交纳磋商保证金</w:t>
      </w:r>
      <w:bookmarkEnd w:id="292"/>
      <w:r>
        <w:rPr>
          <w:rFonts w:eastAsiaTheme="minorEastAsia"/>
          <w:sz w:val="24"/>
        </w:rPr>
        <w:t>。</w:t>
      </w:r>
      <w:r>
        <w:rPr>
          <w:rFonts w:hint="eastAsia" w:eastAsiaTheme="minorEastAsia"/>
          <w:sz w:val="24"/>
        </w:rPr>
        <w:t>供应商自愿超额缴纳磋商保证金的，响应文件不做无效处理。</w:t>
      </w:r>
    </w:p>
    <w:p w14:paraId="5D6F1E2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64C9805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3"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3"/>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52230993">
      <w:pPr>
        <w:numPr>
          <w:ilvl w:val="1"/>
          <w:numId w:val="8"/>
        </w:numPr>
        <w:tabs>
          <w:tab w:val="left" w:pos="1080"/>
          <w:tab w:val="left" w:pos="2014"/>
        </w:tabs>
        <w:snapToGrid w:val="0"/>
        <w:spacing w:line="360" w:lineRule="auto"/>
        <w:ind w:left="1077" w:hanging="720"/>
        <w:rPr>
          <w:sz w:val="24"/>
        </w:rPr>
      </w:pPr>
      <w:bookmarkStart w:id="294"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4"/>
    <w:p w14:paraId="214E5C5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6FB50BC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7CAE42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DF2E03B">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4DF01C92">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0F84F4BE">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7B63764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2B4218F2">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7C2424AB">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12979923">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6E9CB70">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1CFAA76">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1156FCA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1274B3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65C3117D">
      <w:pPr>
        <w:numPr>
          <w:ilvl w:val="0"/>
          <w:numId w:val="8"/>
        </w:numPr>
        <w:tabs>
          <w:tab w:val="left" w:pos="360"/>
        </w:tabs>
        <w:snapToGrid w:val="0"/>
        <w:spacing w:line="360" w:lineRule="auto"/>
        <w:ind w:left="357" w:hanging="357"/>
        <w:outlineLvl w:val="1"/>
        <w:rPr>
          <w:rFonts w:eastAsiaTheme="minorEastAsia"/>
          <w:sz w:val="24"/>
        </w:rPr>
      </w:pPr>
      <w:bookmarkStart w:id="295" w:name="_Toc151193775"/>
      <w:bookmarkStart w:id="296" w:name="_Toc226337229"/>
      <w:bookmarkStart w:id="297" w:name="_Toc226309777"/>
      <w:bookmarkStart w:id="298" w:name="_Toc305158801"/>
      <w:bookmarkStart w:id="299" w:name="_Toc151193921"/>
      <w:bookmarkStart w:id="300" w:name="_Toc127151734"/>
      <w:bookmarkStart w:id="301" w:name="_Toc127151533"/>
      <w:bookmarkStart w:id="302" w:name="_Toc164229228"/>
      <w:bookmarkStart w:id="303" w:name="_Toc226965723"/>
      <w:bookmarkStart w:id="304" w:name="_Toc150774633"/>
      <w:bookmarkStart w:id="305" w:name="_Toc150480771"/>
      <w:bookmarkStart w:id="306" w:name="_Toc265228371"/>
      <w:bookmarkStart w:id="307" w:name="_Toc151190160"/>
      <w:bookmarkStart w:id="308" w:name="_Toc164608647"/>
      <w:bookmarkStart w:id="309" w:name="_Toc151193631"/>
      <w:bookmarkStart w:id="310" w:name="_Toc226965806"/>
      <w:bookmarkStart w:id="311" w:name="_Toc164229374"/>
      <w:bookmarkStart w:id="312" w:name="_Toc305158875"/>
      <w:bookmarkStart w:id="313" w:name="_Toc142311035"/>
      <w:bookmarkStart w:id="314" w:name="_Toc151193703"/>
      <w:bookmarkStart w:id="315" w:name="_Toc150774738"/>
      <w:bookmarkStart w:id="316" w:name="_Toc149720826"/>
      <w:bookmarkStart w:id="317" w:name="_Toc520356158"/>
      <w:bookmarkStart w:id="318" w:name="_Toc164608802"/>
      <w:bookmarkStart w:id="319" w:name="_Toc264969223"/>
      <w:bookmarkStart w:id="320" w:name="_Toc150509284"/>
      <w:bookmarkStart w:id="321" w:name="_Toc195842898"/>
      <w:bookmarkStart w:id="322" w:name="_Toc151193847"/>
      <w:bookmarkStart w:id="323" w:name="_Toc127161447"/>
      <w:bookmarkStart w:id="324" w:name="_Toc164351627"/>
      <w:r>
        <w:rPr>
          <w:rFonts w:eastAsiaTheme="minorEastAsia"/>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Fonts w:eastAsiaTheme="minorEastAsia"/>
          <w:sz w:val="24"/>
        </w:rPr>
        <w:t>、盖章</w:t>
      </w:r>
    </w:p>
    <w:p w14:paraId="0782D031">
      <w:pPr>
        <w:numPr>
          <w:ilvl w:val="1"/>
          <w:numId w:val="8"/>
        </w:numPr>
        <w:tabs>
          <w:tab w:val="left" w:pos="1080"/>
        </w:tabs>
        <w:snapToGrid w:val="0"/>
        <w:spacing w:line="360" w:lineRule="auto"/>
        <w:rPr>
          <w:rFonts w:eastAsiaTheme="minorEastAsia"/>
          <w:sz w:val="24"/>
        </w:rPr>
      </w:pPr>
      <w:bookmarkStart w:id="325" w:name="_Toc151193704"/>
      <w:bookmarkStart w:id="326" w:name="_Toc195842899"/>
      <w:bookmarkStart w:id="327" w:name="_Toc265228372"/>
      <w:bookmarkStart w:id="328" w:name="_Toc150774634"/>
      <w:bookmarkStart w:id="329" w:name="_Toc142311036"/>
      <w:bookmarkStart w:id="330" w:name="_Toc264969224"/>
      <w:bookmarkStart w:id="331" w:name="_Toc151190161"/>
      <w:bookmarkStart w:id="332" w:name="_Toc150480772"/>
      <w:bookmarkStart w:id="333" w:name="_Toc305158876"/>
      <w:bookmarkStart w:id="334" w:name="_Toc151193848"/>
      <w:bookmarkStart w:id="335" w:name="_Toc151193632"/>
      <w:bookmarkStart w:id="336" w:name="_Toc150774739"/>
      <w:bookmarkStart w:id="337" w:name="_Toc150509285"/>
      <w:bookmarkStart w:id="338" w:name="_Toc151193776"/>
      <w:bookmarkStart w:id="339" w:name="_Toc226965807"/>
      <w:bookmarkStart w:id="340" w:name="_Toc305158802"/>
      <w:bookmarkStart w:id="341" w:name="_Toc226309778"/>
      <w:bookmarkStart w:id="342" w:name="_Toc151193922"/>
      <w:bookmarkStart w:id="343" w:name="_Toc226965724"/>
      <w:bookmarkStart w:id="344" w:name="_Toc226337230"/>
      <w:bookmarkStart w:id="345" w:name="_Toc127151534"/>
      <w:bookmarkStart w:id="346" w:name="_Toc520356159"/>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40798AD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39DD66DA">
      <w:pPr>
        <w:tabs>
          <w:tab w:val="left" w:pos="900"/>
          <w:tab w:val="left" w:pos="1080"/>
        </w:tabs>
        <w:snapToGrid w:val="0"/>
        <w:spacing w:line="360" w:lineRule="auto"/>
        <w:ind w:left="357"/>
        <w:rPr>
          <w:rFonts w:eastAsiaTheme="minorEastAsia"/>
        </w:rPr>
      </w:pPr>
    </w:p>
    <w:p w14:paraId="7DBF9D39">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AFF805B">
      <w:pPr>
        <w:numPr>
          <w:ilvl w:val="0"/>
          <w:numId w:val="8"/>
        </w:numPr>
        <w:tabs>
          <w:tab w:val="left" w:pos="360"/>
        </w:tabs>
        <w:snapToGrid w:val="0"/>
        <w:spacing w:line="360" w:lineRule="auto"/>
        <w:ind w:left="357" w:hanging="357"/>
        <w:outlineLvl w:val="1"/>
        <w:rPr>
          <w:rFonts w:eastAsiaTheme="minorEastAsia"/>
          <w:sz w:val="24"/>
        </w:rPr>
      </w:pPr>
      <w:bookmarkStart w:id="347" w:name="_Toc226965808"/>
      <w:bookmarkStart w:id="348" w:name="_Toc265228373"/>
      <w:bookmarkStart w:id="349" w:name="_Toc151193849"/>
      <w:bookmarkStart w:id="350" w:name="_Toc127151535"/>
      <w:bookmarkStart w:id="351" w:name="_Toc151193923"/>
      <w:bookmarkStart w:id="352" w:name="_Toc150774635"/>
      <w:bookmarkStart w:id="353" w:name="_Toc164229230"/>
      <w:bookmarkStart w:id="354" w:name="_Toc305158803"/>
      <w:bookmarkStart w:id="355" w:name="_Toc226965725"/>
      <w:bookmarkStart w:id="356" w:name="_Toc142311037"/>
      <w:bookmarkStart w:id="357" w:name="_Toc151193777"/>
      <w:bookmarkStart w:id="358" w:name="_Toc151193633"/>
      <w:bookmarkStart w:id="359" w:name="_Toc164608804"/>
      <w:bookmarkStart w:id="360" w:name="_Toc226309779"/>
      <w:bookmarkStart w:id="361" w:name="_Toc150774740"/>
      <w:bookmarkStart w:id="362" w:name="_Toc151193705"/>
      <w:bookmarkStart w:id="363" w:name="_Toc151190162"/>
      <w:bookmarkStart w:id="364" w:name="_Toc164229376"/>
      <w:bookmarkStart w:id="365" w:name="_Toc150509286"/>
      <w:bookmarkStart w:id="366" w:name="_Toc520356160"/>
      <w:bookmarkStart w:id="367" w:name="_Toc149720828"/>
      <w:bookmarkStart w:id="368" w:name="_Toc305158877"/>
      <w:bookmarkStart w:id="369" w:name="_Toc164608649"/>
      <w:bookmarkStart w:id="370" w:name="_Toc264969225"/>
      <w:bookmarkStart w:id="371" w:name="_Toc195842900"/>
      <w:bookmarkStart w:id="372" w:name="_Toc127161449"/>
      <w:bookmarkStart w:id="373" w:name="_Toc164351629"/>
      <w:bookmarkStart w:id="374" w:name="_Toc150480773"/>
      <w:bookmarkStart w:id="375" w:name="_Toc127151736"/>
      <w:bookmarkStart w:id="376" w:name="_Toc226337231"/>
      <w:r>
        <w:rPr>
          <w:rFonts w:eastAsiaTheme="minorEastAsia"/>
          <w:sz w:val="24"/>
        </w:rPr>
        <w:t>响应文件的</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Pr>
          <w:rFonts w:eastAsiaTheme="minorEastAsia"/>
          <w:sz w:val="24"/>
        </w:rPr>
        <w:t>提交</w:t>
      </w:r>
    </w:p>
    <w:p w14:paraId="76EBE53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52C57E1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7D833628">
      <w:pPr>
        <w:numPr>
          <w:ilvl w:val="0"/>
          <w:numId w:val="8"/>
        </w:numPr>
        <w:tabs>
          <w:tab w:val="left" w:pos="360"/>
        </w:tabs>
        <w:snapToGrid w:val="0"/>
        <w:spacing w:line="360" w:lineRule="auto"/>
        <w:ind w:left="357" w:hanging="357"/>
        <w:outlineLvl w:val="1"/>
        <w:rPr>
          <w:rFonts w:eastAsiaTheme="minorEastAsia"/>
          <w:sz w:val="24"/>
        </w:rPr>
      </w:pPr>
      <w:bookmarkStart w:id="377" w:name="_Toc305158804"/>
      <w:bookmarkStart w:id="378" w:name="_Toc142311038"/>
      <w:bookmarkStart w:id="379" w:name="_Toc151193850"/>
      <w:bookmarkStart w:id="380" w:name="_Toc151190163"/>
      <w:bookmarkStart w:id="381" w:name="_Toc264969226"/>
      <w:bookmarkStart w:id="382" w:name="_Toc164229231"/>
      <w:bookmarkStart w:id="383" w:name="_Toc150774741"/>
      <w:bookmarkStart w:id="384" w:name="_Toc150774636"/>
      <w:bookmarkStart w:id="385" w:name="_Toc127151536"/>
      <w:bookmarkStart w:id="386" w:name="_Toc520356161"/>
      <w:bookmarkStart w:id="387" w:name="_Toc305158878"/>
      <w:bookmarkStart w:id="388" w:name="_Toc226309780"/>
      <w:bookmarkStart w:id="389" w:name="_Toc265228374"/>
      <w:bookmarkStart w:id="390" w:name="_Toc226965809"/>
      <w:bookmarkStart w:id="391" w:name="_Toc149720829"/>
      <w:bookmarkStart w:id="392" w:name="_Toc195842901"/>
      <w:bookmarkStart w:id="393" w:name="_Toc151193778"/>
      <w:bookmarkStart w:id="394" w:name="_Toc226965726"/>
      <w:bookmarkStart w:id="395" w:name="_Toc127161450"/>
      <w:bookmarkStart w:id="396" w:name="_Toc127151737"/>
      <w:bookmarkStart w:id="397" w:name="_Toc151193706"/>
      <w:bookmarkStart w:id="398" w:name="_Toc151193634"/>
      <w:bookmarkStart w:id="399" w:name="_Toc150509287"/>
      <w:bookmarkStart w:id="400" w:name="_Toc164229377"/>
      <w:bookmarkStart w:id="401" w:name="_Toc164608650"/>
      <w:bookmarkStart w:id="402" w:name="_Toc164608805"/>
      <w:bookmarkStart w:id="403" w:name="_Toc226337232"/>
      <w:bookmarkStart w:id="404" w:name="_Toc150480774"/>
      <w:bookmarkStart w:id="405" w:name="_Toc164351630"/>
      <w:bookmarkStart w:id="406" w:name="_Toc151193924"/>
      <w:r>
        <w:rPr>
          <w:rFonts w:eastAsiaTheme="minorEastAsia"/>
          <w:sz w:val="24"/>
        </w:rPr>
        <w:t>响应文件提交截止</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rFonts w:eastAsiaTheme="minorEastAsia"/>
          <w:sz w:val="24"/>
        </w:rPr>
        <w:t>时间</w:t>
      </w:r>
    </w:p>
    <w:p w14:paraId="2DC19BC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3645C7A6">
      <w:pPr>
        <w:numPr>
          <w:ilvl w:val="0"/>
          <w:numId w:val="8"/>
        </w:numPr>
        <w:tabs>
          <w:tab w:val="left" w:pos="360"/>
        </w:tabs>
        <w:snapToGrid w:val="0"/>
        <w:spacing w:line="360" w:lineRule="auto"/>
        <w:ind w:left="357" w:hanging="357"/>
        <w:outlineLvl w:val="1"/>
        <w:rPr>
          <w:rFonts w:eastAsiaTheme="minorEastAsia"/>
          <w:sz w:val="24"/>
        </w:rPr>
      </w:pPr>
      <w:bookmarkStart w:id="407" w:name="_Toc151193925"/>
      <w:bookmarkStart w:id="408" w:name="_Toc164351631"/>
      <w:bookmarkStart w:id="409" w:name="_Toc164608651"/>
      <w:bookmarkStart w:id="410" w:name="_Toc151193851"/>
      <w:bookmarkStart w:id="411" w:name="_Toc265228375"/>
      <w:bookmarkStart w:id="412" w:name="_Toc226965727"/>
      <w:bookmarkStart w:id="413" w:name="_Toc127151537"/>
      <w:bookmarkStart w:id="414" w:name="_Toc150774742"/>
      <w:bookmarkStart w:id="415" w:name="_Toc164229378"/>
      <w:bookmarkStart w:id="416" w:name="_Toc164229232"/>
      <w:bookmarkStart w:id="417" w:name="_Toc226965810"/>
      <w:bookmarkStart w:id="418" w:name="_Toc149720830"/>
      <w:bookmarkStart w:id="419" w:name="_Toc150480775"/>
      <w:bookmarkStart w:id="420" w:name="_Toc195842902"/>
      <w:bookmarkStart w:id="421" w:name="_Toc151193707"/>
      <w:bookmarkStart w:id="422" w:name="_Toc142311039"/>
      <w:bookmarkStart w:id="423" w:name="_Toc151193635"/>
      <w:bookmarkStart w:id="424" w:name="_Toc164608806"/>
      <w:bookmarkStart w:id="425" w:name="_Toc264969227"/>
      <w:bookmarkStart w:id="426" w:name="_Toc127161451"/>
      <w:bookmarkStart w:id="427" w:name="_Toc305158879"/>
      <w:bookmarkStart w:id="428" w:name="_Toc305158805"/>
      <w:bookmarkStart w:id="429" w:name="_Toc127151738"/>
      <w:bookmarkStart w:id="430" w:name="_Toc150774637"/>
      <w:bookmarkStart w:id="431" w:name="_Toc226337233"/>
      <w:bookmarkStart w:id="432" w:name="_Toc151190164"/>
      <w:bookmarkStart w:id="433" w:name="_Toc150509288"/>
      <w:bookmarkStart w:id="434" w:name="_Toc520356162"/>
      <w:bookmarkStart w:id="435" w:name="_Toc226309781"/>
      <w:bookmarkStart w:id="436" w:name="_Toc151193779"/>
      <w:r>
        <w:rPr>
          <w:rFonts w:eastAsiaTheme="minorEastAsia"/>
          <w:sz w:val="24"/>
        </w:rPr>
        <w:t>响应文件的修改与撤回</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2E08EC9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69193BC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14C77F99">
      <w:pPr>
        <w:tabs>
          <w:tab w:val="left" w:pos="900"/>
          <w:tab w:val="left" w:pos="1080"/>
          <w:tab w:val="left" w:pos="1589"/>
        </w:tabs>
        <w:snapToGrid w:val="0"/>
        <w:spacing w:line="360" w:lineRule="auto"/>
        <w:ind w:left="357"/>
        <w:rPr>
          <w:rFonts w:eastAsiaTheme="minorEastAsia"/>
          <w:sz w:val="24"/>
        </w:rPr>
      </w:pPr>
    </w:p>
    <w:p w14:paraId="74856632">
      <w:pPr>
        <w:pStyle w:val="3"/>
        <w:spacing w:before="0" w:line="360" w:lineRule="auto"/>
        <w:rPr>
          <w:rFonts w:ascii="Times New Roman" w:hAnsi="Times New Roman" w:eastAsiaTheme="minorEastAsia"/>
          <w:sz w:val="28"/>
        </w:rPr>
      </w:pPr>
      <w:bookmarkStart w:id="437" w:name="_Toc151193708"/>
      <w:bookmarkStart w:id="438" w:name="_Toc226965811"/>
      <w:bookmarkStart w:id="439" w:name="_Toc151193926"/>
      <w:bookmarkStart w:id="440" w:name="_Toc150774743"/>
      <w:bookmarkStart w:id="441" w:name="_Toc305158880"/>
      <w:bookmarkStart w:id="442" w:name="_Toc150774638"/>
      <w:bookmarkStart w:id="443" w:name="_Toc151193780"/>
      <w:bookmarkStart w:id="444" w:name="_Toc142311040"/>
      <w:bookmarkStart w:id="445" w:name="_Toc151190165"/>
      <w:bookmarkStart w:id="446" w:name="_Toc151193852"/>
      <w:bookmarkStart w:id="447" w:name="_Toc226309782"/>
      <w:bookmarkStart w:id="448" w:name="_Toc151193636"/>
      <w:bookmarkStart w:id="449" w:name="_Toc226965728"/>
      <w:bookmarkStart w:id="450" w:name="_Toc127151538"/>
      <w:bookmarkStart w:id="451" w:name="_Toc150509289"/>
      <w:bookmarkStart w:id="452" w:name="_Toc264969228"/>
      <w:bookmarkStart w:id="453" w:name="_Toc226337234"/>
      <w:bookmarkStart w:id="454" w:name="_Toc195842903"/>
      <w:bookmarkStart w:id="455" w:name="_Toc150480776"/>
      <w:bookmarkStart w:id="456" w:name="_Toc265228376"/>
      <w:bookmarkStart w:id="457" w:name="_Toc305158806"/>
      <w:bookmarkStart w:id="458" w:name="_Toc520356163"/>
      <w:r>
        <w:rPr>
          <w:rFonts w:ascii="Times New Roman" w:hAnsi="Times New Roman" w:eastAsiaTheme="minorEastAsia"/>
          <w:sz w:val="28"/>
        </w:rPr>
        <w:t xml:space="preserve">五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Times New Roman" w:hAnsi="Times New Roman" w:eastAsiaTheme="minorEastAsia"/>
          <w:sz w:val="28"/>
        </w:rPr>
        <w:t>评审</w:t>
      </w:r>
    </w:p>
    <w:p w14:paraId="3CAE75A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0BE4CB0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53B2AFA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13A1D21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34DD94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4EE3BF60">
      <w:pPr>
        <w:numPr>
          <w:ilvl w:val="1"/>
          <w:numId w:val="8"/>
        </w:numPr>
        <w:tabs>
          <w:tab w:val="left" w:pos="1080"/>
          <w:tab w:val="left" w:pos="2014"/>
        </w:tabs>
        <w:snapToGrid w:val="0"/>
        <w:spacing w:line="360" w:lineRule="auto"/>
        <w:ind w:left="1077" w:hanging="720"/>
        <w:rPr>
          <w:rFonts w:eastAsiaTheme="minorEastAsia"/>
          <w:sz w:val="24"/>
        </w:rPr>
      </w:pPr>
      <w:bookmarkStart w:id="459" w:name="_Toc520356165"/>
      <w:r>
        <w:rPr>
          <w:rFonts w:eastAsiaTheme="minorEastAsia"/>
          <w:sz w:val="24"/>
        </w:rPr>
        <w:t>本项目不公开报价。</w:t>
      </w:r>
    </w:p>
    <w:bookmarkEnd w:id="459"/>
    <w:p w14:paraId="36FA5EC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3E13AA8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60" w:name="_Toc520356166"/>
    </w:p>
    <w:p w14:paraId="1381BE8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0"/>
      <w:bookmarkStart w:id="461" w:name="_Toc520356169"/>
    </w:p>
    <w:p w14:paraId="737737CD">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FA4AFD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BFB2C1E">
      <w:pPr>
        <w:tabs>
          <w:tab w:val="left" w:pos="360"/>
          <w:tab w:val="left" w:pos="1080"/>
        </w:tabs>
        <w:snapToGrid w:val="0"/>
        <w:spacing w:line="360" w:lineRule="auto"/>
        <w:ind w:left="1080"/>
        <w:rPr>
          <w:rFonts w:eastAsiaTheme="minorEastAsia"/>
          <w:sz w:val="24"/>
        </w:rPr>
      </w:pPr>
    </w:p>
    <w:p w14:paraId="5DD84048">
      <w:pPr>
        <w:pStyle w:val="3"/>
        <w:spacing w:before="0" w:line="360" w:lineRule="auto"/>
        <w:rPr>
          <w:rFonts w:ascii="Times New Roman" w:hAnsi="Times New Roman" w:eastAsiaTheme="minorEastAsia"/>
          <w:sz w:val="28"/>
        </w:rPr>
      </w:pPr>
      <w:bookmarkStart w:id="462" w:name="_Toc151193643"/>
      <w:bookmarkStart w:id="463" w:name="_Toc151190172"/>
      <w:bookmarkStart w:id="464" w:name="_Toc151193715"/>
      <w:bookmarkStart w:id="465" w:name="_Toc142311047"/>
      <w:bookmarkStart w:id="466" w:name="_Toc265228383"/>
      <w:bookmarkStart w:id="467" w:name="_Toc264969235"/>
      <w:bookmarkStart w:id="468" w:name="_Toc226309789"/>
      <w:bookmarkStart w:id="469" w:name="_Toc195842910"/>
      <w:bookmarkStart w:id="470" w:name="_Toc226337241"/>
      <w:bookmarkStart w:id="471" w:name="_Toc226965818"/>
      <w:bookmarkStart w:id="472" w:name="_Toc151193933"/>
      <w:bookmarkStart w:id="473" w:name="_Toc150774750"/>
      <w:bookmarkStart w:id="474" w:name="_Toc150509296"/>
      <w:bookmarkStart w:id="475" w:name="_Toc150774645"/>
      <w:bookmarkStart w:id="476" w:name="_Toc226965735"/>
      <w:bookmarkStart w:id="477" w:name="_Toc305158887"/>
      <w:bookmarkStart w:id="478" w:name="_Toc150480783"/>
      <w:bookmarkStart w:id="479" w:name="_Toc127151545"/>
      <w:bookmarkStart w:id="480" w:name="_Toc151193787"/>
      <w:bookmarkStart w:id="481" w:name="_Toc305158813"/>
      <w:bookmarkStart w:id="482" w:name="_Toc151193859"/>
      <w:r>
        <w:rPr>
          <w:rFonts w:ascii="Times New Roman" w:hAnsi="Times New Roman" w:eastAsiaTheme="minorEastAsia"/>
          <w:sz w:val="28"/>
        </w:rPr>
        <w:t xml:space="preserve">六   </w:t>
      </w:r>
      <w:bookmarkEnd w:id="461"/>
      <w:r>
        <w:rPr>
          <w:rFonts w:ascii="Times New Roman" w:hAnsi="Times New Roman" w:eastAsiaTheme="minorEastAsia"/>
          <w:sz w:val="28"/>
        </w:rPr>
        <w:t>确定</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ascii="Times New Roman" w:hAnsi="Times New Roman" w:eastAsiaTheme="minorEastAsia"/>
          <w:sz w:val="28"/>
        </w:rPr>
        <w:t>成交</w:t>
      </w:r>
    </w:p>
    <w:p w14:paraId="583B788E">
      <w:pPr>
        <w:numPr>
          <w:ilvl w:val="0"/>
          <w:numId w:val="8"/>
        </w:numPr>
        <w:tabs>
          <w:tab w:val="left" w:pos="360"/>
        </w:tabs>
        <w:snapToGrid w:val="0"/>
        <w:spacing w:line="360" w:lineRule="auto"/>
        <w:ind w:left="357" w:hanging="357"/>
        <w:outlineLvl w:val="1"/>
        <w:rPr>
          <w:rFonts w:eastAsiaTheme="minorEastAsia"/>
          <w:sz w:val="24"/>
        </w:rPr>
      </w:pPr>
      <w:bookmarkStart w:id="483" w:name="_Toc265228385"/>
      <w:bookmarkStart w:id="484" w:name="_Toc164351641"/>
      <w:bookmarkStart w:id="485" w:name="_Toc150774647"/>
      <w:bookmarkStart w:id="486" w:name="_Toc226309791"/>
      <w:bookmarkStart w:id="487" w:name="_Toc150480785"/>
      <w:bookmarkStart w:id="488" w:name="_Toc151193717"/>
      <w:bookmarkStart w:id="489" w:name="_Toc226337243"/>
      <w:bookmarkStart w:id="490" w:name="_Toc127151547"/>
      <w:bookmarkStart w:id="491" w:name="_Toc151190174"/>
      <w:bookmarkStart w:id="492" w:name="_Toc149720840"/>
      <w:bookmarkStart w:id="493" w:name="_Toc142311049"/>
      <w:bookmarkStart w:id="494" w:name="_Toc226965820"/>
      <w:bookmarkStart w:id="495" w:name="_Toc151193789"/>
      <w:bookmarkStart w:id="496" w:name="_Toc151193935"/>
      <w:bookmarkStart w:id="497" w:name="_Toc150774752"/>
      <w:bookmarkStart w:id="498" w:name="_Toc305158815"/>
      <w:bookmarkStart w:id="499" w:name="_Toc151193861"/>
      <w:bookmarkStart w:id="500" w:name="_Toc264969237"/>
      <w:bookmarkStart w:id="501" w:name="_Toc151193645"/>
      <w:bookmarkStart w:id="502" w:name="_Toc164229388"/>
      <w:bookmarkStart w:id="503" w:name="_Toc195842912"/>
      <w:bookmarkStart w:id="504" w:name="_Toc127161461"/>
      <w:bookmarkStart w:id="505" w:name="_Toc226965737"/>
      <w:bookmarkStart w:id="506" w:name="_Toc164608816"/>
      <w:bookmarkStart w:id="507" w:name="_Toc150509298"/>
      <w:bookmarkStart w:id="508" w:name="_Toc164608661"/>
      <w:bookmarkStart w:id="509" w:name="_Toc164229242"/>
      <w:bookmarkStart w:id="510" w:name="_Toc305158889"/>
      <w:bookmarkStart w:id="511" w:name="_Toc127151748"/>
      <w:r>
        <w:rPr>
          <w:rFonts w:eastAsiaTheme="minorEastAsia"/>
          <w:sz w:val="24"/>
        </w:rPr>
        <w:t>确定成交供应商</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C8CBF0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24B9927">
      <w:pPr>
        <w:numPr>
          <w:ilvl w:val="0"/>
          <w:numId w:val="8"/>
        </w:numPr>
        <w:tabs>
          <w:tab w:val="left" w:pos="360"/>
        </w:tabs>
        <w:snapToGrid w:val="0"/>
        <w:spacing w:line="360" w:lineRule="auto"/>
        <w:ind w:left="357" w:hanging="357"/>
        <w:outlineLvl w:val="1"/>
        <w:rPr>
          <w:rFonts w:eastAsiaTheme="minorEastAsia"/>
          <w:sz w:val="24"/>
        </w:rPr>
      </w:pPr>
      <w:bookmarkStart w:id="512" w:name="_Toc305158817"/>
      <w:bookmarkStart w:id="513" w:name="_Toc305158891"/>
      <w:bookmarkStart w:id="514" w:name="_Toc150480787"/>
      <w:bookmarkStart w:id="515" w:name="_Toc150774649"/>
      <w:bookmarkStart w:id="516" w:name="_Toc164229390"/>
      <w:bookmarkStart w:id="517" w:name="_Toc164351643"/>
      <w:bookmarkStart w:id="518" w:name="_Toc226337245"/>
      <w:bookmarkStart w:id="519" w:name="_Toc151190176"/>
      <w:bookmarkStart w:id="520" w:name="_Toc164229244"/>
      <w:bookmarkStart w:id="521" w:name="_Toc151193791"/>
      <w:bookmarkStart w:id="522" w:name="_Toc127151750"/>
      <w:bookmarkStart w:id="523" w:name="_Toc195842914"/>
      <w:bookmarkStart w:id="524" w:name="_Toc151193937"/>
      <w:bookmarkStart w:id="525" w:name="_Toc226965739"/>
      <w:bookmarkStart w:id="526" w:name="_Toc151193719"/>
      <w:bookmarkStart w:id="527" w:name="_Toc150774754"/>
      <w:bookmarkStart w:id="528" w:name="_Toc151193863"/>
      <w:bookmarkStart w:id="529" w:name="_Toc150509300"/>
      <w:bookmarkStart w:id="530" w:name="_Toc265228387"/>
      <w:bookmarkStart w:id="531" w:name="_Toc127151549"/>
      <w:bookmarkStart w:id="532" w:name="_Toc226965822"/>
      <w:bookmarkStart w:id="533" w:name="_Toc127161463"/>
      <w:bookmarkStart w:id="534" w:name="_Toc164608818"/>
      <w:bookmarkStart w:id="535" w:name="_Toc164608663"/>
      <w:bookmarkStart w:id="536" w:name="_Toc149720842"/>
      <w:bookmarkStart w:id="537" w:name="_Toc151193647"/>
      <w:bookmarkStart w:id="538" w:name="_Toc226309793"/>
      <w:bookmarkStart w:id="539" w:name="_Toc264969239"/>
      <w:bookmarkStart w:id="540" w:name="_Toc142311051"/>
      <w:bookmarkStart w:id="541" w:name="_Toc520356176"/>
      <w:bookmarkStart w:id="542" w:name="_Ref467306425"/>
      <w:bookmarkStart w:id="543" w:name="_Ref467307090"/>
      <w:r>
        <w:rPr>
          <w:rFonts w:eastAsiaTheme="minorEastAsia"/>
          <w:sz w:val="24"/>
        </w:rPr>
        <w:t>成交公告与成交通知书</w:t>
      </w:r>
      <w:bookmarkEnd w:id="512"/>
      <w:bookmarkEnd w:id="513"/>
    </w:p>
    <w:p w14:paraId="793F316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08580EA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2E7C0C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FDC6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41D4CD2">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6318E07D">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4C691132">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14:paraId="3536A716">
      <w:pPr>
        <w:numPr>
          <w:ilvl w:val="0"/>
          <w:numId w:val="8"/>
        </w:numPr>
        <w:tabs>
          <w:tab w:val="left" w:pos="360"/>
        </w:tabs>
        <w:snapToGrid w:val="0"/>
        <w:spacing w:line="360" w:lineRule="auto"/>
        <w:ind w:left="357" w:hanging="357"/>
        <w:outlineLvl w:val="1"/>
        <w:rPr>
          <w:rFonts w:eastAsiaTheme="minorEastAsia"/>
          <w:sz w:val="24"/>
        </w:rPr>
      </w:pPr>
      <w:bookmarkStart w:id="544" w:name="_Toc149720843"/>
      <w:bookmarkStart w:id="545" w:name="_Toc264969240"/>
      <w:bookmarkStart w:id="546" w:name="_Toc164229245"/>
      <w:bookmarkStart w:id="547" w:name="_Toc150509301"/>
      <w:bookmarkStart w:id="548" w:name="_Toc305158818"/>
      <w:bookmarkStart w:id="549" w:name="_Toc195842915"/>
      <w:bookmarkStart w:id="550" w:name="_Toc164351644"/>
      <w:bookmarkStart w:id="551" w:name="_Toc142311052"/>
      <w:bookmarkStart w:id="552" w:name="_Toc164608819"/>
      <w:bookmarkStart w:id="553" w:name="_Ref467306377"/>
      <w:bookmarkStart w:id="554" w:name="_Ref467306978"/>
      <w:bookmarkStart w:id="555" w:name="_Toc151193648"/>
      <w:bookmarkStart w:id="556" w:name="_Toc226337246"/>
      <w:bookmarkStart w:id="557" w:name="_Toc127161464"/>
      <w:bookmarkStart w:id="558" w:name="_Toc150480788"/>
      <w:bookmarkStart w:id="559" w:name="_Toc226309794"/>
      <w:bookmarkStart w:id="560" w:name="_Toc151193792"/>
      <w:bookmarkStart w:id="561" w:name="_Toc164229391"/>
      <w:bookmarkStart w:id="562" w:name="_Ref467307062"/>
      <w:bookmarkStart w:id="563" w:name="_Toc265228388"/>
      <w:bookmarkStart w:id="564" w:name="_Toc164608664"/>
      <w:bookmarkStart w:id="565" w:name="_Toc226965823"/>
      <w:bookmarkStart w:id="566" w:name="_Toc127151751"/>
      <w:bookmarkStart w:id="567" w:name="_Toc127151550"/>
      <w:bookmarkStart w:id="568" w:name="_Ref467307204"/>
      <w:bookmarkStart w:id="569" w:name="_Toc520356175"/>
      <w:bookmarkStart w:id="570" w:name="_Toc151193938"/>
      <w:bookmarkStart w:id="571" w:name="_Toc305158892"/>
      <w:bookmarkStart w:id="572" w:name="_Toc151190177"/>
      <w:bookmarkStart w:id="573" w:name="_Toc151193864"/>
      <w:bookmarkStart w:id="574" w:name="_Toc151193720"/>
      <w:bookmarkStart w:id="575" w:name="_Toc226965740"/>
      <w:bookmarkStart w:id="576" w:name="_Toc150774755"/>
      <w:bookmarkStart w:id="577" w:name="_Toc150774650"/>
      <w:r>
        <w:rPr>
          <w:rFonts w:eastAsiaTheme="minorEastAsia"/>
          <w:sz w:val="24"/>
        </w:rPr>
        <w:t>签订合同</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0CB4B3F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0B699ED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DFF853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EA619B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45349A9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476FD02E">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1"/>
    <w:bookmarkEnd w:id="542"/>
    <w:bookmarkEnd w:id="543"/>
    <w:p w14:paraId="1580807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DCDF8A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61C7FB53">
      <w:pPr>
        <w:numPr>
          <w:ilvl w:val="2"/>
          <w:numId w:val="8"/>
        </w:numPr>
        <w:snapToGrid w:val="0"/>
        <w:spacing w:line="360" w:lineRule="auto"/>
        <w:rPr>
          <w:rFonts w:eastAsiaTheme="minorEastAsia"/>
          <w:sz w:val="24"/>
        </w:rPr>
      </w:pPr>
      <w:bookmarkStart w:id="578"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8"/>
    </w:p>
    <w:p w14:paraId="500179E4">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63ADF86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241F08FE">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55A8CAFE">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780607E">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02A308">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7353AE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9BBC9E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1021975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73B6F1BD">
      <w:pPr>
        <w:spacing w:line="360" w:lineRule="auto"/>
        <w:jc w:val="center"/>
        <w:outlineLvl w:val="0"/>
        <w:rPr>
          <w:rFonts w:eastAsiaTheme="minorEastAsia"/>
          <w:b/>
          <w:sz w:val="36"/>
          <w:szCs w:val="36"/>
        </w:rPr>
      </w:pPr>
      <w:bookmarkStart w:id="579" w:name="_Toc353873934"/>
      <w:bookmarkStart w:id="580" w:name="_Toc226965827"/>
      <w:bookmarkStart w:id="581" w:name="_Toc142311056"/>
      <w:bookmarkStart w:id="582" w:name="_Toc305158822"/>
      <w:bookmarkStart w:id="583" w:name="_Toc127151554"/>
      <w:bookmarkStart w:id="584" w:name="_Toc265228392"/>
      <w:bookmarkStart w:id="585" w:name="_Toc150480792"/>
      <w:bookmarkStart w:id="586" w:name="_Toc150774759"/>
      <w:bookmarkStart w:id="587" w:name="_Toc353825544"/>
      <w:bookmarkStart w:id="588" w:name="_Toc353873664"/>
      <w:bookmarkStart w:id="589" w:name="_Toc264969244"/>
      <w:bookmarkStart w:id="590" w:name="_Toc226337250"/>
      <w:bookmarkStart w:id="591" w:name="_Toc305158896"/>
      <w:r>
        <w:rPr>
          <w:rFonts w:eastAsiaTheme="minorEastAsia"/>
          <w:sz w:val="24"/>
        </w:rPr>
        <w:br w:type="page"/>
      </w:r>
      <w:bookmarkStart w:id="592" w:name="_Toc97371943"/>
      <w:r>
        <w:rPr>
          <w:rFonts w:eastAsiaTheme="minorEastAsia"/>
          <w:b/>
          <w:sz w:val="36"/>
          <w:szCs w:val="36"/>
        </w:rPr>
        <w:t xml:space="preserve">第三章   </w:t>
      </w:r>
      <w:bookmarkEnd w:id="579"/>
      <w:bookmarkEnd w:id="580"/>
      <w:bookmarkEnd w:id="581"/>
      <w:bookmarkEnd w:id="582"/>
      <w:bookmarkEnd w:id="583"/>
      <w:bookmarkEnd w:id="584"/>
      <w:bookmarkEnd w:id="585"/>
      <w:bookmarkEnd w:id="586"/>
      <w:bookmarkEnd w:id="587"/>
      <w:bookmarkEnd w:id="588"/>
      <w:bookmarkEnd w:id="589"/>
      <w:bookmarkEnd w:id="590"/>
      <w:bookmarkEnd w:id="591"/>
      <w:r>
        <w:rPr>
          <w:rFonts w:eastAsiaTheme="minorEastAsia"/>
          <w:b/>
          <w:sz w:val="36"/>
          <w:szCs w:val="36"/>
        </w:rPr>
        <w:t>评审方法和评审标准</w:t>
      </w:r>
      <w:bookmarkEnd w:id="592"/>
      <w:bookmarkStart w:id="593" w:name="_Toc487900382"/>
    </w:p>
    <w:p w14:paraId="2F4D2F1F">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673C4BE1">
      <w:pPr>
        <w:tabs>
          <w:tab w:val="left" w:pos="1080"/>
        </w:tabs>
        <w:snapToGrid w:val="0"/>
        <w:jc w:val="left"/>
        <w:rPr>
          <w:rFonts w:eastAsiaTheme="minorEastAsia"/>
          <w:b/>
          <w:sz w:val="24"/>
        </w:rPr>
      </w:pPr>
      <w:r>
        <w:rPr>
          <w:rFonts w:eastAsiaTheme="minorEastAsia"/>
          <w:b/>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3"/>
    <w:p w14:paraId="696DEAE7">
      <w:pPr>
        <w:numPr>
          <w:ilvl w:val="0"/>
          <w:numId w:val="11"/>
        </w:numPr>
        <w:tabs>
          <w:tab w:val="left" w:pos="360"/>
        </w:tabs>
        <w:snapToGrid w:val="0"/>
        <w:spacing w:line="360" w:lineRule="auto"/>
        <w:outlineLvl w:val="1"/>
        <w:rPr>
          <w:rFonts w:eastAsiaTheme="minorEastAsia"/>
          <w:sz w:val="24"/>
        </w:rPr>
      </w:pPr>
      <w:bookmarkStart w:id="594" w:name="_Toc150774746"/>
      <w:bookmarkStart w:id="595" w:name="_Toc226309785"/>
      <w:bookmarkStart w:id="596" w:name="_Toc195842906"/>
      <w:bookmarkStart w:id="597" w:name="_Toc127161455"/>
      <w:bookmarkStart w:id="598" w:name="_Toc264969231"/>
      <w:bookmarkStart w:id="599" w:name="_Toc142311043"/>
      <w:bookmarkStart w:id="600" w:name="_Toc150509292"/>
      <w:bookmarkStart w:id="601" w:name="_Toc149720834"/>
      <w:bookmarkStart w:id="602" w:name="_Toc265228379"/>
      <w:bookmarkStart w:id="603" w:name="_Toc150774641"/>
      <w:bookmarkStart w:id="604" w:name="_Toc164229236"/>
      <w:bookmarkStart w:id="605" w:name="_Toc151193855"/>
      <w:bookmarkStart w:id="606" w:name="_Toc150480779"/>
      <w:bookmarkStart w:id="607" w:name="_Toc151193711"/>
      <w:bookmarkStart w:id="608" w:name="_Toc226965731"/>
      <w:bookmarkStart w:id="609" w:name="_Toc151193783"/>
      <w:bookmarkStart w:id="610" w:name="_Toc164229382"/>
      <w:bookmarkStart w:id="611" w:name="_Toc151193639"/>
      <w:bookmarkStart w:id="612" w:name="_Toc305158883"/>
      <w:bookmarkStart w:id="613" w:name="_Toc127151541"/>
      <w:bookmarkStart w:id="614" w:name="_Toc226337237"/>
      <w:bookmarkStart w:id="615" w:name="_Toc127151742"/>
      <w:bookmarkStart w:id="616" w:name="_Toc164608655"/>
      <w:bookmarkStart w:id="617" w:name="_Toc151190168"/>
      <w:bookmarkStart w:id="618" w:name="_Toc164351635"/>
      <w:bookmarkStart w:id="619" w:name="_Toc151193929"/>
      <w:bookmarkStart w:id="620" w:name="_Toc226965814"/>
      <w:bookmarkStart w:id="621" w:name="_Toc305158809"/>
      <w:bookmarkStart w:id="622" w:name="_Toc164608810"/>
      <w:bookmarkStart w:id="623" w:name="_Toc353825551"/>
      <w:bookmarkStart w:id="624" w:name="_Toc353873941"/>
      <w:bookmarkStart w:id="625" w:name="_Toc353825545"/>
      <w:bookmarkStart w:id="626" w:name="_Toc353873935"/>
      <w:bookmarkStart w:id="627" w:name="_Toc353873665"/>
      <w:bookmarkStart w:id="628" w:name="_Toc264969245"/>
      <w:bookmarkStart w:id="629" w:name="_Toc127151555"/>
      <w:bookmarkStart w:id="630" w:name="_Toc226337251"/>
      <w:bookmarkStart w:id="631" w:name="_Toc142311057"/>
      <w:bookmarkStart w:id="632" w:name="_Toc226965828"/>
      <w:bookmarkStart w:id="633" w:name="_Toc305158823"/>
      <w:bookmarkStart w:id="634" w:name="_Toc265228393"/>
      <w:bookmarkStart w:id="635" w:name="_Toc150774760"/>
      <w:bookmarkStart w:id="636" w:name="_Toc305158897"/>
      <w:bookmarkStart w:id="637" w:name="_Toc195842920"/>
      <w:bookmarkStart w:id="638" w:name="_Toc150480793"/>
      <w:r>
        <w:rPr>
          <w:rFonts w:eastAsiaTheme="minorEastAsia"/>
          <w:sz w:val="24"/>
        </w:rPr>
        <w:t>响应文件的</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Pr>
          <w:rFonts w:eastAsiaTheme="minorEastAsia"/>
          <w:sz w:val="24"/>
        </w:rPr>
        <w:t>资格审查和符合性审查</w:t>
      </w:r>
    </w:p>
    <w:p w14:paraId="77D01E56">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075B3C9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6C060E4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749C39DE">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1599"/>
        <w:gridCol w:w="4399"/>
        <w:gridCol w:w="1753"/>
      </w:tblGrid>
      <w:tr w14:paraId="5B869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1EFC87C">
            <w:pPr>
              <w:tabs>
                <w:tab w:val="left" w:pos="1080"/>
              </w:tabs>
              <w:snapToGrid w:val="0"/>
              <w:jc w:val="center"/>
              <w:rPr>
                <w:rFonts w:eastAsiaTheme="minorEastAsia"/>
                <w:b/>
                <w:sz w:val="24"/>
              </w:rPr>
            </w:pPr>
            <w:bookmarkStart w:id="639" w:name="_Hlt487972895"/>
            <w:bookmarkEnd w:id="639"/>
            <w:r>
              <w:rPr>
                <w:rFonts w:eastAsiaTheme="minorEastAsia"/>
                <w:b/>
                <w:sz w:val="24"/>
              </w:rPr>
              <w:t>序号</w:t>
            </w:r>
          </w:p>
        </w:tc>
        <w:tc>
          <w:tcPr>
            <w:tcW w:w="938" w:type="pct"/>
            <w:vAlign w:val="center"/>
          </w:tcPr>
          <w:p w14:paraId="06EAF82B">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7F3F4928">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39E684EF">
            <w:pPr>
              <w:tabs>
                <w:tab w:val="left" w:pos="1080"/>
              </w:tabs>
              <w:snapToGrid w:val="0"/>
              <w:jc w:val="center"/>
              <w:rPr>
                <w:rFonts w:eastAsiaTheme="minorEastAsia"/>
                <w:b/>
                <w:sz w:val="24"/>
              </w:rPr>
            </w:pPr>
            <w:r>
              <w:rPr>
                <w:rFonts w:eastAsiaTheme="minorEastAsia"/>
                <w:b/>
                <w:sz w:val="24"/>
              </w:rPr>
              <w:t>格式要求</w:t>
            </w:r>
          </w:p>
        </w:tc>
      </w:tr>
      <w:tr w14:paraId="58BCE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C1459B">
            <w:pPr>
              <w:tabs>
                <w:tab w:val="left" w:pos="1080"/>
              </w:tabs>
              <w:snapToGrid w:val="0"/>
              <w:jc w:val="center"/>
              <w:rPr>
                <w:rFonts w:eastAsiaTheme="minorEastAsia"/>
                <w:sz w:val="24"/>
              </w:rPr>
            </w:pPr>
            <w:r>
              <w:rPr>
                <w:rFonts w:eastAsiaTheme="minorEastAsia"/>
                <w:sz w:val="24"/>
              </w:rPr>
              <w:t>1</w:t>
            </w:r>
          </w:p>
        </w:tc>
        <w:tc>
          <w:tcPr>
            <w:tcW w:w="938" w:type="pct"/>
            <w:vAlign w:val="center"/>
          </w:tcPr>
          <w:p w14:paraId="15981B69">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0760454B">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134EFFED">
            <w:pPr>
              <w:tabs>
                <w:tab w:val="left" w:pos="1080"/>
              </w:tabs>
              <w:snapToGrid w:val="0"/>
              <w:jc w:val="left"/>
              <w:rPr>
                <w:rFonts w:eastAsiaTheme="minorEastAsia"/>
                <w:sz w:val="24"/>
              </w:rPr>
            </w:pPr>
          </w:p>
        </w:tc>
      </w:tr>
      <w:tr w14:paraId="7B942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8F8EC0">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38644759">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7A11F4E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1DEC2386">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071B7FC2">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500F22B">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569DF43A">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D687901">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6BF6F14E">
            <w:pPr>
              <w:tabs>
                <w:tab w:val="left" w:pos="1080"/>
              </w:tabs>
              <w:snapToGrid w:val="0"/>
              <w:jc w:val="left"/>
              <w:rPr>
                <w:rFonts w:eastAsiaTheme="minorEastAsia"/>
                <w:sz w:val="24"/>
              </w:rPr>
            </w:pPr>
            <w:r>
              <w:rPr>
                <w:rFonts w:eastAsiaTheme="minorEastAsia"/>
                <w:sz w:val="24"/>
              </w:rPr>
              <w:t>提供证明文件的电子件或电子证照</w:t>
            </w:r>
          </w:p>
        </w:tc>
      </w:tr>
      <w:tr w14:paraId="30CC9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40F489">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3FF21AE3">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45FE5EB1">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4A83792D">
            <w:pPr>
              <w:tabs>
                <w:tab w:val="left" w:pos="1080"/>
              </w:tabs>
              <w:snapToGrid w:val="0"/>
              <w:jc w:val="left"/>
              <w:rPr>
                <w:rFonts w:eastAsiaTheme="minorEastAsia"/>
                <w:sz w:val="24"/>
              </w:rPr>
            </w:pPr>
            <w:r>
              <w:rPr>
                <w:rFonts w:eastAsiaTheme="minorEastAsia"/>
                <w:sz w:val="24"/>
              </w:rPr>
              <w:t>格式见《响应文件格式》</w:t>
            </w:r>
          </w:p>
        </w:tc>
      </w:tr>
      <w:tr w14:paraId="66CE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AB7E95">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462409FF">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6FA05CBE">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7612CE72">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4A86DB22">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2917A99">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121911DB">
            <w:pPr>
              <w:tabs>
                <w:tab w:val="left" w:pos="1080"/>
              </w:tabs>
              <w:snapToGrid w:val="0"/>
              <w:rPr>
                <w:rFonts w:eastAsiaTheme="minorEastAsia"/>
                <w:sz w:val="24"/>
              </w:rPr>
            </w:pPr>
            <w:r>
              <w:rPr>
                <w:rFonts w:eastAsiaTheme="minorEastAsia"/>
                <w:sz w:val="24"/>
              </w:rPr>
              <w:t>无须供应商提供，由采购人或采购代理机构查询。</w:t>
            </w:r>
          </w:p>
        </w:tc>
      </w:tr>
      <w:tr w14:paraId="6360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2AEB47">
            <w:pPr>
              <w:tabs>
                <w:tab w:val="left" w:pos="1080"/>
              </w:tabs>
              <w:snapToGrid w:val="0"/>
              <w:jc w:val="center"/>
              <w:rPr>
                <w:rFonts w:eastAsiaTheme="minorEastAsia"/>
                <w:sz w:val="24"/>
              </w:rPr>
            </w:pPr>
            <w:r>
              <w:rPr>
                <w:sz w:val="24"/>
              </w:rPr>
              <w:t>1-4</w:t>
            </w:r>
          </w:p>
        </w:tc>
        <w:tc>
          <w:tcPr>
            <w:tcW w:w="938" w:type="pct"/>
            <w:vAlign w:val="center"/>
          </w:tcPr>
          <w:p w14:paraId="4B90D97C">
            <w:pPr>
              <w:tabs>
                <w:tab w:val="left" w:pos="1080"/>
              </w:tabs>
              <w:snapToGrid w:val="0"/>
              <w:rPr>
                <w:rFonts w:eastAsiaTheme="minorEastAsia"/>
                <w:sz w:val="24"/>
              </w:rPr>
            </w:pPr>
            <w:r>
              <w:rPr>
                <w:sz w:val="24"/>
              </w:rPr>
              <w:t>法律、行政法规规定的其他条件</w:t>
            </w:r>
          </w:p>
        </w:tc>
        <w:tc>
          <w:tcPr>
            <w:tcW w:w="2579" w:type="pct"/>
            <w:vAlign w:val="center"/>
          </w:tcPr>
          <w:p w14:paraId="0EF449F5">
            <w:pPr>
              <w:tabs>
                <w:tab w:val="left" w:pos="1080"/>
              </w:tabs>
              <w:snapToGrid w:val="0"/>
              <w:rPr>
                <w:rFonts w:eastAsiaTheme="minorEastAsia"/>
                <w:sz w:val="24"/>
              </w:rPr>
            </w:pPr>
            <w:r>
              <w:rPr>
                <w:sz w:val="24"/>
              </w:rPr>
              <w:t>法律、行政法规规定的其他条件</w:t>
            </w:r>
          </w:p>
        </w:tc>
        <w:tc>
          <w:tcPr>
            <w:tcW w:w="1028" w:type="pct"/>
            <w:vAlign w:val="center"/>
          </w:tcPr>
          <w:p w14:paraId="4CC602A9">
            <w:pPr>
              <w:tabs>
                <w:tab w:val="left" w:pos="1080"/>
              </w:tabs>
              <w:snapToGrid w:val="0"/>
              <w:jc w:val="center"/>
              <w:rPr>
                <w:rFonts w:eastAsiaTheme="minorEastAsia"/>
                <w:sz w:val="24"/>
              </w:rPr>
            </w:pPr>
            <w:r>
              <w:rPr>
                <w:sz w:val="24"/>
              </w:rPr>
              <w:t>/</w:t>
            </w:r>
          </w:p>
        </w:tc>
      </w:tr>
      <w:tr w14:paraId="0356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67E40E">
            <w:pPr>
              <w:tabs>
                <w:tab w:val="left" w:pos="1080"/>
              </w:tabs>
              <w:snapToGrid w:val="0"/>
              <w:jc w:val="center"/>
              <w:rPr>
                <w:rFonts w:eastAsiaTheme="minorEastAsia"/>
                <w:sz w:val="24"/>
              </w:rPr>
            </w:pPr>
            <w:r>
              <w:rPr>
                <w:rFonts w:eastAsiaTheme="minorEastAsia"/>
                <w:sz w:val="24"/>
              </w:rPr>
              <w:t>2</w:t>
            </w:r>
          </w:p>
        </w:tc>
        <w:tc>
          <w:tcPr>
            <w:tcW w:w="938" w:type="pct"/>
            <w:vAlign w:val="center"/>
          </w:tcPr>
          <w:p w14:paraId="10A4C73A">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1C7BC341">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52FE5D85">
            <w:pPr>
              <w:tabs>
                <w:tab w:val="left" w:pos="1080"/>
              </w:tabs>
              <w:snapToGrid w:val="0"/>
              <w:jc w:val="left"/>
              <w:rPr>
                <w:rFonts w:eastAsiaTheme="minorEastAsia"/>
                <w:sz w:val="24"/>
              </w:rPr>
            </w:pPr>
          </w:p>
        </w:tc>
      </w:tr>
      <w:tr w14:paraId="1566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340BA6">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25AFD2B2">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6532C603">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7E348A3">
            <w:pPr>
              <w:tabs>
                <w:tab w:val="left" w:pos="1080"/>
              </w:tabs>
              <w:snapToGrid w:val="0"/>
              <w:jc w:val="left"/>
              <w:rPr>
                <w:rFonts w:eastAsiaTheme="minorEastAsia"/>
                <w:sz w:val="24"/>
              </w:rPr>
            </w:pPr>
          </w:p>
        </w:tc>
      </w:tr>
      <w:tr w14:paraId="07E0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876EAA">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4BAD360A">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7DF559A4">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87CD958">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370E604D">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3D913D12">
            <w:pPr>
              <w:tabs>
                <w:tab w:val="left" w:pos="1080"/>
              </w:tabs>
              <w:snapToGrid w:val="0"/>
              <w:jc w:val="left"/>
              <w:rPr>
                <w:rFonts w:eastAsiaTheme="minorEastAsia"/>
                <w:sz w:val="24"/>
              </w:rPr>
            </w:pPr>
            <w:r>
              <w:rPr>
                <w:rFonts w:eastAsiaTheme="minorEastAsia"/>
                <w:sz w:val="24"/>
              </w:rPr>
              <w:t>格式见《响应文件格式》</w:t>
            </w:r>
          </w:p>
        </w:tc>
      </w:tr>
      <w:tr w14:paraId="12B7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F622107">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0299DC6B">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63A9A44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7E10F6FD">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6BE030A8">
            <w:pPr>
              <w:tabs>
                <w:tab w:val="left" w:pos="1080"/>
              </w:tabs>
              <w:snapToGrid w:val="0"/>
              <w:jc w:val="left"/>
              <w:rPr>
                <w:rFonts w:eastAsiaTheme="minorEastAsia"/>
                <w:sz w:val="24"/>
              </w:rPr>
            </w:pPr>
            <w:r>
              <w:rPr>
                <w:rFonts w:eastAsiaTheme="minorEastAsia"/>
                <w:sz w:val="24"/>
              </w:rPr>
              <w:t>格式见《响应文件格式》</w:t>
            </w:r>
          </w:p>
        </w:tc>
      </w:tr>
      <w:tr w14:paraId="1D71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8BBDCAF">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4A0DF05A">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3CA912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5D303513">
            <w:pPr>
              <w:tabs>
                <w:tab w:val="left" w:pos="1080"/>
              </w:tabs>
              <w:snapToGrid w:val="0"/>
              <w:jc w:val="left"/>
              <w:rPr>
                <w:rFonts w:eastAsiaTheme="minorEastAsia"/>
                <w:sz w:val="24"/>
              </w:rPr>
            </w:pPr>
            <w:r>
              <w:rPr>
                <w:rFonts w:eastAsiaTheme="minorEastAsia"/>
                <w:sz w:val="24"/>
              </w:rPr>
              <w:t>提供证明文件的电子件或电子证照</w:t>
            </w:r>
          </w:p>
        </w:tc>
      </w:tr>
      <w:tr w14:paraId="51436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7C6112">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FA4B9F1">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D7E3A8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E99118E">
            <w:pPr>
              <w:tabs>
                <w:tab w:val="left" w:pos="1080"/>
              </w:tabs>
              <w:snapToGrid w:val="0"/>
              <w:jc w:val="left"/>
              <w:rPr>
                <w:rFonts w:eastAsiaTheme="minorEastAsia"/>
                <w:sz w:val="24"/>
              </w:rPr>
            </w:pPr>
          </w:p>
        </w:tc>
      </w:tr>
      <w:tr w14:paraId="5AD95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ED1B03">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6831F424">
            <w:pPr>
              <w:tabs>
                <w:tab w:val="left" w:pos="1080"/>
              </w:tabs>
              <w:snapToGrid w:val="0"/>
              <w:rPr>
                <w:rFonts w:eastAsiaTheme="minorEastAsia"/>
                <w:sz w:val="24"/>
              </w:rPr>
            </w:pPr>
            <w:r>
              <w:rPr>
                <w:sz w:val="24"/>
              </w:rPr>
              <w:t>本项目对于联合体的要求</w:t>
            </w:r>
          </w:p>
        </w:tc>
        <w:tc>
          <w:tcPr>
            <w:tcW w:w="2579" w:type="pct"/>
            <w:vAlign w:val="center"/>
          </w:tcPr>
          <w:p w14:paraId="0DFF3DD2">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E78B0BC">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01706094">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77F3C14A">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5D4B1942">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2514F00A">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5F6FEFCE">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2A6EF0BE">
            <w:pPr>
              <w:tabs>
                <w:tab w:val="left" w:pos="1080"/>
              </w:tabs>
              <w:snapToGrid w:val="0"/>
              <w:rPr>
                <w:rFonts w:eastAsiaTheme="minorEastAsia"/>
                <w:sz w:val="24"/>
              </w:rPr>
            </w:pPr>
            <w:r>
              <w:rPr>
                <w:rFonts w:eastAsiaTheme="minorEastAsia"/>
                <w:sz w:val="24"/>
              </w:rPr>
              <w:t>提供《联合协议》原件的电子件</w:t>
            </w:r>
          </w:p>
          <w:p w14:paraId="644F8CCC">
            <w:pPr>
              <w:tabs>
                <w:tab w:val="left" w:pos="1080"/>
              </w:tabs>
              <w:snapToGrid w:val="0"/>
              <w:rPr>
                <w:rFonts w:eastAsiaTheme="minorEastAsia"/>
                <w:sz w:val="24"/>
              </w:rPr>
            </w:pPr>
            <w:r>
              <w:rPr>
                <w:rFonts w:eastAsiaTheme="minorEastAsia"/>
                <w:sz w:val="24"/>
              </w:rPr>
              <w:t>格式见《响应文件格式》</w:t>
            </w:r>
          </w:p>
        </w:tc>
      </w:tr>
      <w:tr w14:paraId="6708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2E0E2E">
            <w:pPr>
              <w:tabs>
                <w:tab w:val="left" w:pos="1080"/>
              </w:tabs>
              <w:snapToGrid w:val="0"/>
              <w:jc w:val="center"/>
              <w:rPr>
                <w:rFonts w:eastAsiaTheme="minorEastAsia"/>
                <w:sz w:val="24"/>
              </w:rPr>
            </w:pPr>
            <w:r>
              <w:rPr>
                <w:sz w:val="24"/>
              </w:rPr>
              <w:t>3-2</w:t>
            </w:r>
          </w:p>
        </w:tc>
        <w:tc>
          <w:tcPr>
            <w:tcW w:w="938" w:type="pct"/>
            <w:vAlign w:val="center"/>
          </w:tcPr>
          <w:p w14:paraId="3FE2D659">
            <w:pPr>
              <w:tabs>
                <w:tab w:val="left" w:pos="1080"/>
              </w:tabs>
              <w:snapToGrid w:val="0"/>
              <w:rPr>
                <w:sz w:val="24"/>
              </w:rPr>
            </w:pPr>
            <w:r>
              <w:rPr>
                <w:sz w:val="24"/>
              </w:rPr>
              <w:t>政府购买服务承接主体的要求</w:t>
            </w:r>
          </w:p>
        </w:tc>
        <w:tc>
          <w:tcPr>
            <w:tcW w:w="2579" w:type="pct"/>
            <w:vAlign w:val="center"/>
          </w:tcPr>
          <w:p w14:paraId="7C45F3CA">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22A675F5">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028E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CC81B27">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63C68247">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77F609D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5180D933">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57195996">
            <w:pPr>
              <w:tabs>
                <w:tab w:val="left" w:pos="1080"/>
              </w:tabs>
              <w:snapToGrid w:val="0"/>
              <w:rPr>
                <w:rFonts w:eastAsiaTheme="minorEastAsia"/>
                <w:sz w:val="24"/>
              </w:rPr>
            </w:pPr>
            <w:r>
              <w:rPr>
                <w:rFonts w:eastAsiaTheme="minorEastAsia"/>
                <w:sz w:val="24"/>
              </w:rPr>
              <w:t>提供证明文件的电子件或电子证照</w:t>
            </w:r>
          </w:p>
        </w:tc>
      </w:tr>
      <w:tr w14:paraId="1D32C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D231C0">
            <w:pPr>
              <w:tabs>
                <w:tab w:val="left" w:pos="1080"/>
              </w:tabs>
              <w:snapToGrid w:val="0"/>
              <w:jc w:val="center"/>
              <w:rPr>
                <w:rFonts w:eastAsiaTheme="minorEastAsia"/>
                <w:sz w:val="24"/>
              </w:rPr>
            </w:pPr>
            <w:r>
              <w:rPr>
                <w:rFonts w:eastAsiaTheme="minorEastAsia"/>
                <w:sz w:val="24"/>
              </w:rPr>
              <w:t>4</w:t>
            </w:r>
          </w:p>
        </w:tc>
        <w:tc>
          <w:tcPr>
            <w:tcW w:w="938" w:type="pct"/>
            <w:vAlign w:val="center"/>
          </w:tcPr>
          <w:p w14:paraId="77CB4938">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CC4EB92">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398E251E">
            <w:pPr>
              <w:tabs>
                <w:tab w:val="left" w:pos="1080"/>
              </w:tabs>
              <w:snapToGrid w:val="0"/>
              <w:rPr>
                <w:rFonts w:eastAsiaTheme="minorEastAsia"/>
                <w:sz w:val="24"/>
              </w:rPr>
            </w:pPr>
          </w:p>
        </w:tc>
      </w:tr>
      <w:tr w14:paraId="2E0BD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00E6B6">
            <w:pPr>
              <w:tabs>
                <w:tab w:val="left" w:pos="1080"/>
              </w:tabs>
              <w:snapToGrid w:val="0"/>
              <w:jc w:val="center"/>
              <w:rPr>
                <w:rFonts w:eastAsiaTheme="minorEastAsia"/>
                <w:sz w:val="24"/>
              </w:rPr>
            </w:pPr>
            <w:r>
              <w:rPr>
                <w:rFonts w:hint="eastAsia" w:eastAsiaTheme="minorEastAsia"/>
                <w:sz w:val="24"/>
              </w:rPr>
              <w:t>5</w:t>
            </w:r>
          </w:p>
        </w:tc>
        <w:tc>
          <w:tcPr>
            <w:tcW w:w="938" w:type="pct"/>
            <w:vAlign w:val="center"/>
          </w:tcPr>
          <w:p w14:paraId="439FAD6F">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011DF284">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5FCD4294">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8" w:type="pct"/>
            <w:vAlign w:val="center"/>
          </w:tcPr>
          <w:p w14:paraId="60801E00">
            <w:pPr>
              <w:tabs>
                <w:tab w:val="left" w:pos="1080"/>
              </w:tabs>
              <w:snapToGrid w:val="0"/>
              <w:rPr>
                <w:rFonts w:eastAsiaTheme="minorEastAsia"/>
                <w:sz w:val="24"/>
              </w:rPr>
            </w:pPr>
          </w:p>
        </w:tc>
      </w:tr>
    </w:tbl>
    <w:p w14:paraId="4F29FB5F">
      <w:pPr>
        <w:widowControl/>
        <w:jc w:val="left"/>
        <w:rPr>
          <w:rFonts w:eastAsiaTheme="minorEastAsia"/>
          <w:sz w:val="24"/>
        </w:rPr>
      </w:pPr>
    </w:p>
    <w:p w14:paraId="763487F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B92F2EF">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536"/>
        <w:gridCol w:w="2605"/>
        <w:gridCol w:w="3041"/>
        <w:gridCol w:w="222"/>
      </w:tblGrid>
      <w:tr w14:paraId="33D7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1087FE46">
            <w:pPr>
              <w:widowControl/>
              <w:jc w:val="center"/>
              <w:rPr>
                <w:rFonts w:eastAsiaTheme="minorEastAsia"/>
                <w:b/>
                <w:color w:val="000000"/>
                <w:kern w:val="0"/>
                <w:sz w:val="24"/>
              </w:rPr>
            </w:pPr>
            <w:r>
              <w:rPr>
                <w:rFonts w:hint="eastAsia" w:ascii="宋体" w:hAnsi="宋体" w:eastAsia="宋体" w:cs="宋体"/>
                <w:b/>
                <w:color w:val="auto"/>
                <w:kern w:val="0"/>
                <w:sz w:val="24"/>
                <w:highlight w:val="none"/>
              </w:rPr>
              <w:t>序号</w:t>
            </w:r>
          </w:p>
        </w:tc>
        <w:tc>
          <w:tcPr>
            <w:tcW w:w="1536" w:type="dxa"/>
            <w:shd w:val="clear" w:color="000000" w:fill="FFFFFF"/>
            <w:vAlign w:val="center"/>
          </w:tcPr>
          <w:p w14:paraId="4C328464">
            <w:pPr>
              <w:widowControl/>
              <w:jc w:val="center"/>
              <w:rPr>
                <w:rFonts w:eastAsiaTheme="minorEastAsia"/>
                <w:b/>
                <w:color w:val="000000"/>
                <w:kern w:val="0"/>
                <w:sz w:val="24"/>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因素</w:t>
            </w:r>
          </w:p>
        </w:tc>
        <w:tc>
          <w:tcPr>
            <w:tcW w:w="2605" w:type="dxa"/>
            <w:shd w:val="clear" w:color="000000" w:fill="FFFFFF"/>
            <w:vAlign w:val="center"/>
          </w:tcPr>
          <w:p w14:paraId="490DDCAD">
            <w:pPr>
              <w:widowControl/>
              <w:jc w:val="center"/>
              <w:rPr>
                <w:rFonts w:eastAsiaTheme="minorEastAsia"/>
                <w:b/>
                <w:color w:val="000000"/>
                <w:kern w:val="0"/>
                <w:sz w:val="24"/>
              </w:rPr>
            </w:pPr>
            <w:r>
              <w:rPr>
                <w:rFonts w:hint="eastAsia" w:ascii="宋体" w:hAnsi="宋体" w:eastAsia="宋体" w:cs="宋体"/>
                <w:b/>
                <w:color w:val="auto"/>
                <w:sz w:val="24"/>
                <w:highlight w:val="none"/>
              </w:rPr>
              <w:t>检查</w:t>
            </w:r>
            <w:r>
              <w:rPr>
                <w:rFonts w:hint="eastAsia" w:ascii="宋体" w:hAnsi="宋体" w:eastAsia="宋体" w:cs="宋体"/>
                <w:b/>
                <w:color w:val="auto"/>
                <w:kern w:val="0"/>
                <w:sz w:val="24"/>
                <w:highlight w:val="none"/>
              </w:rPr>
              <w:t>内容</w:t>
            </w:r>
          </w:p>
        </w:tc>
        <w:tc>
          <w:tcPr>
            <w:tcW w:w="3263" w:type="dxa"/>
            <w:gridSpan w:val="2"/>
            <w:shd w:val="clear" w:color="000000" w:fill="FFFFFF"/>
            <w:vAlign w:val="center"/>
          </w:tcPr>
          <w:p w14:paraId="29FA9C82">
            <w:pPr>
              <w:widowControl/>
              <w:jc w:val="center"/>
              <w:rPr>
                <w:rFonts w:eastAsiaTheme="minorEastAsia"/>
                <w:b/>
                <w:color w:val="000000"/>
                <w:kern w:val="0"/>
                <w:sz w:val="24"/>
              </w:rPr>
            </w:pPr>
            <w:r>
              <w:rPr>
                <w:rFonts w:hint="eastAsia" w:ascii="宋体" w:hAnsi="宋体" w:eastAsia="宋体" w:cs="宋体"/>
                <w:b/>
                <w:color w:val="auto"/>
                <w:kern w:val="0"/>
                <w:sz w:val="24"/>
                <w:highlight w:val="none"/>
              </w:rPr>
              <w:t>是否允许澄清、说明或者更正</w:t>
            </w:r>
          </w:p>
        </w:tc>
      </w:tr>
      <w:tr w14:paraId="66BB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54B3B484">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1</w:t>
            </w:r>
          </w:p>
        </w:tc>
        <w:tc>
          <w:tcPr>
            <w:tcW w:w="1536" w:type="dxa"/>
            <w:shd w:val="clear" w:color="000000" w:fill="FFFFFF"/>
            <w:vAlign w:val="center"/>
          </w:tcPr>
          <w:p w14:paraId="0D210712">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投标有效期</w:t>
            </w:r>
          </w:p>
        </w:tc>
        <w:tc>
          <w:tcPr>
            <w:tcW w:w="2605" w:type="dxa"/>
            <w:shd w:val="clear" w:color="000000" w:fill="FFFFFF"/>
            <w:vAlign w:val="center"/>
          </w:tcPr>
          <w:p w14:paraId="4718EC38">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sz w:val="24"/>
                <w:szCs w:val="28"/>
                <w:highlight w:val="none"/>
              </w:rPr>
              <w:t>响应文件有效期满足磋商文件要求的</w:t>
            </w:r>
          </w:p>
        </w:tc>
        <w:tc>
          <w:tcPr>
            <w:tcW w:w="3263" w:type="dxa"/>
            <w:gridSpan w:val="2"/>
            <w:shd w:val="clear" w:color="000000" w:fill="FFFFFF"/>
            <w:vAlign w:val="center"/>
          </w:tcPr>
          <w:p w14:paraId="222B0067">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4E73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231DF9ED">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2</w:t>
            </w:r>
          </w:p>
        </w:tc>
        <w:tc>
          <w:tcPr>
            <w:tcW w:w="1536" w:type="dxa"/>
            <w:shd w:val="clear" w:color="000000" w:fill="FFFFFF"/>
            <w:vAlign w:val="center"/>
          </w:tcPr>
          <w:p w14:paraId="5009C513">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签署、盖章情况</w:t>
            </w:r>
          </w:p>
        </w:tc>
        <w:tc>
          <w:tcPr>
            <w:tcW w:w="2605" w:type="dxa"/>
            <w:shd w:val="clear" w:color="000000" w:fill="FFFFFF"/>
            <w:vAlign w:val="center"/>
          </w:tcPr>
          <w:p w14:paraId="21DA4AC9">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响应文件符合磋商文件的签署和盖章要求</w:t>
            </w:r>
          </w:p>
        </w:tc>
        <w:tc>
          <w:tcPr>
            <w:tcW w:w="3263" w:type="dxa"/>
            <w:gridSpan w:val="2"/>
            <w:shd w:val="clear" w:color="000000" w:fill="FFFFFF"/>
            <w:vAlign w:val="center"/>
          </w:tcPr>
          <w:p w14:paraId="1DC4E43C">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546B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67E98F43">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3</w:t>
            </w:r>
          </w:p>
        </w:tc>
        <w:tc>
          <w:tcPr>
            <w:tcW w:w="1536" w:type="dxa"/>
            <w:shd w:val="clear" w:color="000000" w:fill="FFFFFF"/>
            <w:vAlign w:val="center"/>
          </w:tcPr>
          <w:p w14:paraId="0629DD54">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授权委托书</w:t>
            </w:r>
          </w:p>
        </w:tc>
        <w:tc>
          <w:tcPr>
            <w:tcW w:w="2605" w:type="dxa"/>
            <w:shd w:val="clear" w:color="000000" w:fill="FFFFFF"/>
            <w:vAlign w:val="center"/>
          </w:tcPr>
          <w:p w14:paraId="0F1C86C8">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按磋商文件要求提供授权委托书；</w:t>
            </w:r>
          </w:p>
        </w:tc>
        <w:tc>
          <w:tcPr>
            <w:tcW w:w="3263" w:type="dxa"/>
            <w:gridSpan w:val="2"/>
            <w:shd w:val="clear" w:color="000000" w:fill="FFFFFF"/>
            <w:vAlign w:val="center"/>
          </w:tcPr>
          <w:p w14:paraId="0440480D">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30AB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2F99E5D8">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4</w:t>
            </w:r>
          </w:p>
        </w:tc>
        <w:tc>
          <w:tcPr>
            <w:tcW w:w="1536" w:type="dxa"/>
            <w:shd w:val="clear" w:color="000000" w:fill="FFFFFF"/>
            <w:vAlign w:val="center"/>
          </w:tcPr>
          <w:p w14:paraId="3E1351DB">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实质性格式</w:t>
            </w:r>
          </w:p>
        </w:tc>
        <w:tc>
          <w:tcPr>
            <w:tcW w:w="2605" w:type="dxa"/>
            <w:shd w:val="clear" w:color="000000" w:fill="FFFFFF"/>
            <w:vAlign w:val="center"/>
          </w:tcPr>
          <w:p w14:paraId="063815DB">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标记为“实质性格式”的文件均按磋商文件要求提供；</w:t>
            </w:r>
          </w:p>
        </w:tc>
        <w:tc>
          <w:tcPr>
            <w:tcW w:w="3263" w:type="dxa"/>
            <w:gridSpan w:val="2"/>
            <w:shd w:val="clear" w:color="000000" w:fill="FFFFFF"/>
            <w:vAlign w:val="center"/>
          </w:tcPr>
          <w:p w14:paraId="1FB6CBAF">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43E5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7C8EFD6F">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5</w:t>
            </w:r>
          </w:p>
        </w:tc>
        <w:tc>
          <w:tcPr>
            <w:tcW w:w="1536" w:type="dxa"/>
            <w:shd w:val="clear" w:color="000000" w:fill="FFFFFF"/>
            <w:vAlign w:val="center"/>
          </w:tcPr>
          <w:p w14:paraId="149D7C2B">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sz w:val="24"/>
                <w:highlight w:val="none"/>
              </w:rPr>
              <w:t>工期</w:t>
            </w:r>
          </w:p>
        </w:tc>
        <w:tc>
          <w:tcPr>
            <w:tcW w:w="2605" w:type="dxa"/>
            <w:shd w:val="clear" w:color="000000" w:fill="FFFFFF"/>
            <w:vAlign w:val="center"/>
          </w:tcPr>
          <w:p w14:paraId="78B14660">
            <w:pPr>
              <w:widowControl/>
              <w:jc w:val="center"/>
              <w:rPr>
                <w:rFonts w:ascii="宋体" w:hAnsi="宋体" w:eastAsia="宋体" w:cs="宋体"/>
                <w:kern w:val="2"/>
                <w:sz w:val="24"/>
                <w:szCs w:val="28"/>
                <w:lang w:val="en-US" w:eastAsia="zh-CN" w:bidi="ar-SA"/>
              </w:rPr>
            </w:pPr>
            <w:r>
              <w:rPr>
                <w:rFonts w:hint="eastAsia" w:ascii="宋体" w:hAnsi="宋体" w:eastAsia="宋体" w:cs="宋体"/>
                <w:color w:val="auto"/>
                <w:sz w:val="24"/>
                <w:highlight w:val="none"/>
              </w:rPr>
              <w:t>工期满足磋商文件要求；</w:t>
            </w:r>
          </w:p>
        </w:tc>
        <w:tc>
          <w:tcPr>
            <w:tcW w:w="3263" w:type="dxa"/>
            <w:gridSpan w:val="2"/>
            <w:shd w:val="clear" w:color="000000" w:fill="FFFFFF"/>
            <w:vAlign w:val="center"/>
          </w:tcPr>
          <w:p w14:paraId="11FB5B69">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497D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5EF80799">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6</w:t>
            </w:r>
          </w:p>
        </w:tc>
        <w:tc>
          <w:tcPr>
            <w:tcW w:w="1536" w:type="dxa"/>
            <w:shd w:val="clear" w:color="000000" w:fill="FFFFFF"/>
            <w:vAlign w:val="center"/>
          </w:tcPr>
          <w:p w14:paraId="6C48726A">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sz w:val="24"/>
                <w:highlight w:val="none"/>
              </w:rPr>
              <w:t>工程质量</w:t>
            </w:r>
          </w:p>
        </w:tc>
        <w:tc>
          <w:tcPr>
            <w:tcW w:w="2605" w:type="dxa"/>
            <w:shd w:val="clear" w:color="000000" w:fill="FFFFFF"/>
            <w:vAlign w:val="center"/>
          </w:tcPr>
          <w:p w14:paraId="325A33AF">
            <w:pPr>
              <w:widowControl/>
              <w:jc w:val="center"/>
              <w:rPr>
                <w:rFonts w:ascii="宋体" w:hAnsi="宋体" w:eastAsia="宋体" w:cs="宋体"/>
                <w:kern w:val="2"/>
                <w:sz w:val="24"/>
                <w:szCs w:val="28"/>
                <w:lang w:val="en-US" w:eastAsia="zh-CN" w:bidi="ar-SA"/>
              </w:rPr>
            </w:pPr>
            <w:r>
              <w:rPr>
                <w:rFonts w:hint="eastAsia" w:ascii="宋体" w:hAnsi="宋体" w:eastAsia="宋体" w:cs="宋体"/>
                <w:color w:val="auto"/>
                <w:sz w:val="24"/>
                <w:highlight w:val="none"/>
              </w:rPr>
              <w:t>工程质量要求满足磋商文件要求：</w:t>
            </w:r>
            <w:r>
              <w:rPr>
                <w:rFonts w:hint="eastAsia" w:ascii="宋体" w:hAnsi="宋体" w:eastAsia="宋体" w:cs="宋体"/>
                <w:b/>
                <w:color w:val="auto"/>
                <w:sz w:val="24"/>
                <w:highlight w:val="none"/>
              </w:rPr>
              <w:t>合格；</w:t>
            </w:r>
          </w:p>
        </w:tc>
        <w:tc>
          <w:tcPr>
            <w:tcW w:w="3263" w:type="dxa"/>
            <w:gridSpan w:val="2"/>
            <w:shd w:val="clear" w:color="000000" w:fill="FFFFFF"/>
            <w:vAlign w:val="center"/>
          </w:tcPr>
          <w:p w14:paraId="440359D8">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39BF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1290FABA">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7</w:t>
            </w:r>
          </w:p>
        </w:tc>
        <w:tc>
          <w:tcPr>
            <w:tcW w:w="1536" w:type="dxa"/>
            <w:shd w:val="clear" w:color="000000" w:fill="FFFFFF"/>
            <w:vAlign w:val="center"/>
          </w:tcPr>
          <w:p w14:paraId="65BAE586">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sz w:val="24"/>
                <w:highlight w:val="none"/>
              </w:rPr>
              <w:t>施工现场安全生产标准化管理目标等级</w:t>
            </w:r>
          </w:p>
        </w:tc>
        <w:tc>
          <w:tcPr>
            <w:tcW w:w="2605" w:type="dxa"/>
            <w:shd w:val="clear" w:color="000000" w:fill="FFFFFF"/>
            <w:vAlign w:val="center"/>
          </w:tcPr>
          <w:p w14:paraId="1B25221A">
            <w:pPr>
              <w:widowControl/>
              <w:jc w:val="center"/>
              <w:rPr>
                <w:rFonts w:ascii="宋体" w:hAnsi="宋体" w:eastAsia="宋体" w:cs="宋体"/>
                <w:kern w:val="2"/>
                <w:sz w:val="24"/>
                <w:szCs w:val="28"/>
                <w:lang w:val="en-US" w:eastAsia="zh-CN" w:bidi="ar-SA"/>
              </w:rPr>
            </w:pPr>
            <w:r>
              <w:rPr>
                <w:rFonts w:hint="eastAsia" w:ascii="宋体" w:hAnsi="宋体" w:eastAsia="宋体" w:cs="宋体"/>
                <w:color w:val="auto"/>
                <w:sz w:val="24"/>
                <w:highlight w:val="none"/>
              </w:rPr>
              <w:t>施工现场安全生产标准化管理目标等级达到磋商文件要求：</w:t>
            </w:r>
            <w:r>
              <w:rPr>
                <w:rFonts w:hint="eastAsia" w:ascii="宋体" w:hAnsi="宋体" w:eastAsia="宋体" w:cs="宋体"/>
                <w:b/>
                <w:color w:val="auto"/>
                <w:sz w:val="24"/>
                <w:highlight w:val="none"/>
              </w:rPr>
              <w:t>达标；</w:t>
            </w:r>
          </w:p>
        </w:tc>
        <w:tc>
          <w:tcPr>
            <w:tcW w:w="3263" w:type="dxa"/>
            <w:gridSpan w:val="2"/>
            <w:shd w:val="clear" w:color="000000" w:fill="FFFFFF"/>
            <w:vAlign w:val="center"/>
          </w:tcPr>
          <w:p w14:paraId="2086BE79">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4BAE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2044C53F">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8</w:t>
            </w:r>
          </w:p>
        </w:tc>
        <w:tc>
          <w:tcPr>
            <w:tcW w:w="1536" w:type="dxa"/>
            <w:shd w:val="clear" w:color="000000" w:fill="FFFFFF"/>
            <w:vAlign w:val="center"/>
          </w:tcPr>
          <w:p w14:paraId="09088DAE">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sz w:val="24"/>
                <w:highlight w:val="none"/>
                <w:shd w:val="clear" w:color="auto" w:fill="FFFFFF"/>
              </w:rPr>
              <w:t>已标价工程量清单</w:t>
            </w:r>
          </w:p>
        </w:tc>
        <w:tc>
          <w:tcPr>
            <w:tcW w:w="2605" w:type="dxa"/>
            <w:shd w:val="clear" w:color="000000" w:fill="FFFFFF"/>
            <w:vAlign w:val="center"/>
          </w:tcPr>
          <w:p w14:paraId="30325945">
            <w:pPr>
              <w:widowControl/>
              <w:jc w:val="center"/>
              <w:rPr>
                <w:rFonts w:ascii="宋体" w:hAnsi="宋体" w:eastAsia="宋体" w:cs="宋体"/>
                <w:kern w:val="2"/>
                <w:sz w:val="24"/>
                <w:szCs w:val="28"/>
                <w:lang w:val="en-US" w:eastAsia="zh-CN" w:bidi="ar-SA"/>
              </w:rPr>
            </w:pPr>
            <w:r>
              <w:rPr>
                <w:rFonts w:hint="eastAsia" w:ascii="宋体" w:hAnsi="宋体" w:eastAsia="宋体" w:cs="宋体"/>
                <w:color w:val="auto"/>
                <w:sz w:val="24"/>
                <w:highlight w:val="none"/>
              </w:rPr>
              <w:t>未出现：供应商提供的报价文件未按工程量清单计价相关格式的规定经造价人员或有注册执业资格的造价工程师签字并加盖执业专用章的；</w:t>
            </w:r>
          </w:p>
        </w:tc>
        <w:tc>
          <w:tcPr>
            <w:tcW w:w="3263" w:type="dxa"/>
            <w:gridSpan w:val="2"/>
            <w:shd w:val="clear" w:color="000000" w:fill="FFFFFF"/>
            <w:vAlign w:val="center"/>
          </w:tcPr>
          <w:p w14:paraId="73AC7698">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15CC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6BAA5B84">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9</w:t>
            </w:r>
          </w:p>
        </w:tc>
        <w:tc>
          <w:tcPr>
            <w:tcW w:w="1536" w:type="dxa"/>
            <w:shd w:val="clear" w:color="000000" w:fill="FFFFFF"/>
            <w:vAlign w:val="center"/>
          </w:tcPr>
          <w:p w14:paraId="2671E1DB">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公平竞争</w:t>
            </w:r>
          </w:p>
        </w:tc>
        <w:tc>
          <w:tcPr>
            <w:tcW w:w="2605" w:type="dxa"/>
            <w:shd w:val="clear" w:color="000000" w:fill="FFFFFF"/>
            <w:vAlign w:val="center"/>
          </w:tcPr>
          <w:p w14:paraId="18E5B174">
            <w:pPr>
              <w:widowControl/>
              <w:jc w:val="center"/>
              <w:rPr>
                <w:rFonts w:ascii="宋体" w:hAnsi="宋体" w:eastAsia="宋体" w:cs="宋体"/>
                <w:kern w:val="2"/>
                <w:sz w:val="24"/>
                <w:szCs w:val="28"/>
                <w:lang w:val="en-US" w:eastAsia="zh-CN" w:bidi="ar-SA"/>
              </w:rPr>
            </w:pPr>
            <w:r>
              <w:rPr>
                <w:rFonts w:hint="eastAsia" w:ascii="宋体" w:hAnsi="宋体" w:eastAsia="宋体" w:cs="宋体"/>
                <w:color w:val="auto"/>
                <w:sz w:val="24"/>
                <w:highlight w:val="none"/>
              </w:rPr>
              <w:t>投标人遵循公平竞争的原则，不存在恶意串通，妨碍其他投标人的竞争行为，不存在损害采购人或者其他投标人的合法权益情形的；</w:t>
            </w:r>
          </w:p>
        </w:tc>
        <w:tc>
          <w:tcPr>
            <w:tcW w:w="3263" w:type="dxa"/>
            <w:gridSpan w:val="2"/>
            <w:shd w:val="clear" w:color="000000" w:fill="FFFFFF"/>
            <w:vAlign w:val="center"/>
          </w:tcPr>
          <w:p w14:paraId="71B8B508">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2E69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0B624984">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10</w:t>
            </w:r>
          </w:p>
        </w:tc>
        <w:tc>
          <w:tcPr>
            <w:tcW w:w="1536" w:type="dxa"/>
            <w:shd w:val="clear" w:color="000000" w:fill="FFFFFF"/>
            <w:vAlign w:val="center"/>
          </w:tcPr>
          <w:p w14:paraId="034091A1">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串通投标</w:t>
            </w:r>
          </w:p>
        </w:tc>
        <w:tc>
          <w:tcPr>
            <w:tcW w:w="2605" w:type="dxa"/>
            <w:shd w:val="clear" w:color="000000" w:fill="FFFFFF"/>
            <w:vAlign w:val="center"/>
          </w:tcPr>
          <w:p w14:paraId="2AE712BF">
            <w:pPr>
              <w:widowControl/>
              <w:jc w:val="center"/>
              <w:rPr>
                <w:rFonts w:ascii="宋体" w:hAnsi="宋体" w:eastAsia="宋体" w:cs="宋体"/>
                <w:kern w:val="2"/>
                <w:sz w:val="24"/>
                <w:szCs w:val="28"/>
                <w:lang w:val="en-US" w:eastAsia="zh-CN" w:bidi="ar-SA"/>
              </w:rPr>
            </w:pPr>
            <w:r>
              <w:rPr>
                <w:rFonts w:hint="eastAsia" w:ascii="宋体" w:hAnsi="宋体" w:eastAsia="宋体" w:cs="宋体"/>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3263" w:type="dxa"/>
            <w:gridSpan w:val="2"/>
            <w:shd w:val="clear" w:color="000000" w:fill="FFFFFF"/>
            <w:vAlign w:val="center"/>
          </w:tcPr>
          <w:p w14:paraId="5BE3380B">
            <w:pPr>
              <w:widowControl/>
              <w:jc w:val="center"/>
              <w:rPr>
                <w:rFonts w:ascii="宋体" w:hAnsi="宋体" w:eastAsia="宋体" w:cs="宋体"/>
                <w:color w:val="000000"/>
                <w:kern w:val="0"/>
                <w:sz w:val="24"/>
                <w:szCs w:val="24"/>
                <w:lang w:val="en-US" w:eastAsia="zh-CN" w:bidi="ar-SA"/>
              </w:rPr>
            </w:pPr>
            <w:r>
              <w:rPr>
                <w:rFonts w:hint="eastAsia" w:ascii="宋体" w:hAnsi="宋体" w:eastAsia="宋体" w:cs="宋体"/>
                <w:color w:val="auto"/>
                <w:kern w:val="0"/>
                <w:sz w:val="24"/>
                <w:highlight w:val="none"/>
              </w:rPr>
              <w:t>否</w:t>
            </w:r>
          </w:p>
        </w:tc>
      </w:tr>
      <w:tr w14:paraId="36CBC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516705BC">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11</w:t>
            </w:r>
          </w:p>
        </w:tc>
        <w:tc>
          <w:tcPr>
            <w:tcW w:w="1536" w:type="dxa"/>
            <w:shd w:val="clear" w:color="000000" w:fill="FFFFFF"/>
            <w:vAlign w:val="center"/>
          </w:tcPr>
          <w:p w14:paraId="1726FEF0">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附加条件</w:t>
            </w:r>
          </w:p>
        </w:tc>
        <w:tc>
          <w:tcPr>
            <w:tcW w:w="2605" w:type="dxa"/>
            <w:shd w:val="clear" w:color="000000" w:fill="FFFFFF"/>
            <w:vAlign w:val="center"/>
          </w:tcPr>
          <w:p w14:paraId="4538AD3E">
            <w:pPr>
              <w:widowControl/>
              <w:jc w:val="center"/>
              <w:rPr>
                <w:rFonts w:hint="eastAsia" w:ascii="宋体" w:hAnsi="宋体" w:cs="宋体"/>
                <w:sz w:val="24"/>
                <w:szCs w:val="28"/>
              </w:rPr>
            </w:pPr>
            <w:r>
              <w:rPr>
                <w:rFonts w:hint="eastAsia" w:ascii="宋体" w:hAnsi="宋体" w:eastAsia="宋体" w:cs="宋体"/>
                <w:color w:val="auto"/>
                <w:sz w:val="24"/>
                <w:szCs w:val="28"/>
                <w:highlight w:val="none"/>
              </w:rPr>
              <w:t>投标文件未含有采购人不能接受的附加条件的；</w:t>
            </w:r>
          </w:p>
        </w:tc>
        <w:tc>
          <w:tcPr>
            <w:tcW w:w="3041" w:type="dxa"/>
            <w:shd w:val="clear" w:color="000000" w:fill="FFFFFF"/>
            <w:vAlign w:val="center"/>
          </w:tcPr>
          <w:p w14:paraId="36433A24">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否</w:t>
            </w:r>
          </w:p>
        </w:tc>
        <w:tc>
          <w:tcPr>
            <w:tcW w:w="0" w:type="auto"/>
            <w:shd w:val="clear" w:color="000000" w:fill="FFFFFF"/>
            <w:vAlign w:val="center"/>
          </w:tcPr>
          <w:p w14:paraId="4F90ACD9">
            <w:pPr>
              <w:widowControl/>
              <w:jc w:val="center"/>
            </w:pPr>
          </w:p>
        </w:tc>
      </w:tr>
      <w:tr w14:paraId="7935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6AA5A23E">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12</w:t>
            </w:r>
          </w:p>
        </w:tc>
        <w:tc>
          <w:tcPr>
            <w:tcW w:w="1536" w:type="dxa"/>
            <w:shd w:val="clear" w:color="000000" w:fill="FFFFFF"/>
            <w:vAlign w:val="center"/>
          </w:tcPr>
          <w:p w14:paraId="0B3EE320">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报价合理性</w:t>
            </w:r>
          </w:p>
        </w:tc>
        <w:tc>
          <w:tcPr>
            <w:tcW w:w="2605" w:type="dxa"/>
            <w:shd w:val="clear" w:color="000000" w:fill="FFFFFF"/>
            <w:vAlign w:val="center"/>
          </w:tcPr>
          <w:p w14:paraId="7F0AF17B">
            <w:pPr>
              <w:widowControl/>
              <w:jc w:val="center"/>
              <w:rPr>
                <w:rFonts w:hint="eastAsia" w:ascii="宋体" w:hAnsi="宋体" w:cs="宋体"/>
                <w:sz w:val="24"/>
                <w:szCs w:val="28"/>
              </w:rPr>
            </w:pPr>
            <w:r>
              <w:rPr>
                <w:rFonts w:hint="eastAsia" w:ascii="宋体" w:hAnsi="宋体" w:eastAsia="宋体" w:cs="宋体"/>
                <w:color w:val="auto"/>
                <w:sz w:val="24"/>
                <w:szCs w:val="28"/>
                <w:highlight w:val="none"/>
              </w:rPr>
              <w:t>报价合理，或投标人的报价明显低于其他通过符合性审查投标人的报价，有可能影响产品质量或者不能诚信履约的，能够应评标委员会要求在规定时间内证明其报价合理性的；</w:t>
            </w:r>
          </w:p>
        </w:tc>
        <w:tc>
          <w:tcPr>
            <w:tcW w:w="3041" w:type="dxa"/>
            <w:shd w:val="clear" w:color="000000" w:fill="FFFFFF"/>
            <w:vAlign w:val="center"/>
          </w:tcPr>
          <w:p w14:paraId="1DBC03D2">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否</w:t>
            </w:r>
          </w:p>
        </w:tc>
        <w:tc>
          <w:tcPr>
            <w:tcW w:w="0" w:type="auto"/>
            <w:shd w:val="clear" w:color="000000" w:fill="FFFFFF"/>
            <w:vAlign w:val="center"/>
          </w:tcPr>
          <w:p w14:paraId="0940B273">
            <w:pPr>
              <w:widowControl/>
              <w:jc w:val="center"/>
            </w:pPr>
          </w:p>
        </w:tc>
      </w:tr>
      <w:tr w14:paraId="252FB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6" w:type="dxa"/>
            <w:shd w:val="clear" w:color="000000" w:fill="FFFFFF"/>
            <w:vAlign w:val="center"/>
          </w:tcPr>
          <w:p w14:paraId="23BB7E33">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13</w:t>
            </w:r>
          </w:p>
        </w:tc>
        <w:tc>
          <w:tcPr>
            <w:tcW w:w="1536" w:type="dxa"/>
            <w:shd w:val="clear" w:color="000000" w:fill="FFFFFF"/>
            <w:vAlign w:val="center"/>
          </w:tcPr>
          <w:p w14:paraId="04BA7723">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其他无效情形</w:t>
            </w:r>
          </w:p>
        </w:tc>
        <w:tc>
          <w:tcPr>
            <w:tcW w:w="2605" w:type="dxa"/>
            <w:shd w:val="clear" w:color="000000" w:fill="FFFFFF"/>
            <w:vAlign w:val="center"/>
          </w:tcPr>
          <w:p w14:paraId="4CEA49B0">
            <w:pPr>
              <w:widowControl/>
              <w:jc w:val="center"/>
              <w:rPr>
                <w:rFonts w:hint="eastAsia" w:ascii="宋体" w:hAnsi="宋体" w:cs="宋体"/>
                <w:sz w:val="24"/>
                <w:szCs w:val="28"/>
              </w:rPr>
            </w:pPr>
            <w:r>
              <w:rPr>
                <w:rFonts w:hint="eastAsia" w:ascii="宋体" w:hAnsi="宋体" w:eastAsia="宋体" w:cs="宋体"/>
                <w:color w:val="auto"/>
                <w:sz w:val="24"/>
                <w:szCs w:val="28"/>
                <w:highlight w:val="none"/>
              </w:rPr>
              <w:t>未出现按照法律、法规、规章和规范性文件规定的应当列入的其他情形。</w:t>
            </w:r>
          </w:p>
        </w:tc>
        <w:tc>
          <w:tcPr>
            <w:tcW w:w="3041" w:type="dxa"/>
            <w:shd w:val="clear" w:color="000000" w:fill="FFFFFF"/>
            <w:vAlign w:val="center"/>
          </w:tcPr>
          <w:p w14:paraId="24E7B275">
            <w:pPr>
              <w:widowControl/>
              <w:jc w:val="center"/>
              <w:rPr>
                <w:rFonts w:hint="eastAsia" w:ascii="宋体" w:hAnsi="宋体" w:cs="宋体"/>
                <w:color w:val="000000"/>
                <w:kern w:val="0"/>
                <w:sz w:val="24"/>
              </w:rPr>
            </w:pPr>
            <w:r>
              <w:rPr>
                <w:rFonts w:hint="eastAsia" w:ascii="宋体" w:hAnsi="宋体" w:eastAsia="宋体" w:cs="宋体"/>
                <w:color w:val="auto"/>
                <w:kern w:val="0"/>
                <w:sz w:val="24"/>
                <w:highlight w:val="none"/>
              </w:rPr>
              <w:t>否</w:t>
            </w:r>
          </w:p>
        </w:tc>
        <w:tc>
          <w:tcPr>
            <w:tcW w:w="0" w:type="auto"/>
            <w:shd w:val="clear" w:color="000000" w:fill="FFFFFF"/>
            <w:vAlign w:val="center"/>
          </w:tcPr>
          <w:p w14:paraId="79BFA8E5">
            <w:pPr>
              <w:widowControl/>
              <w:jc w:val="center"/>
            </w:pPr>
          </w:p>
        </w:tc>
      </w:tr>
    </w:tbl>
    <w:p w14:paraId="2DF5A5EC">
      <w:pPr>
        <w:tabs>
          <w:tab w:val="left" w:pos="900"/>
          <w:tab w:val="left" w:pos="1080"/>
          <w:tab w:val="left" w:pos="1589"/>
        </w:tabs>
        <w:snapToGrid w:val="0"/>
        <w:spacing w:line="360" w:lineRule="auto"/>
        <w:rPr>
          <w:rFonts w:eastAsiaTheme="minorEastAsia"/>
          <w:sz w:val="24"/>
        </w:rPr>
      </w:pPr>
    </w:p>
    <w:p w14:paraId="2E91A47F">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C6C644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065481C6">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86492F9">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04D7166A">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7BF14692">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62991D57">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DE06C60">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8D04205">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8E65B9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62458B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0FB7E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E13014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0BF006A">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1C3E25E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F61C47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2D317386">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5D606FFD">
      <w:pPr>
        <w:tabs>
          <w:tab w:val="left" w:pos="1080"/>
          <w:tab w:val="left" w:pos="1589"/>
          <w:tab w:val="left" w:pos="2035"/>
          <w:tab w:val="left" w:pos="2114"/>
        </w:tabs>
        <w:snapToGrid w:val="0"/>
        <w:spacing w:line="360" w:lineRule="auto"/>
        <w:ind w:left="2035"/>
        <w:rPr>
          <w:rFonts w:hint="default" w:eastAsiaTheme="minorEastAsia"/>
          <w:sz w:val="24"/>
          <w:u w:val="single"/>
          <w:lang w:val="en-US" w:eastAsia="zh-CN"/>
        </w:rPr>
      </w:pPr>
      <w:r>
        <w:rPr>
          <w:rFonts w:eastAsiaTheme="minorEastAsia"/>
          <w:sz w:val="24"/>
        </w:rPr>
        <w:t>□有，具体规定为：</w:t>
      </w:r>
      <w:r>
        <w:rPr>
          <w:rFonts w:hint="eastAsia" w:eastAsiaTheme="minorEastAsia"/>
          <w:sz w:val="24"/>
          <w:u w:val="single"/>
          <w:lang w:val="en-US" w:eastAsia="zh-CN"/>
        </w:rPr>
        <w:t xml:space="preserve">      /       </w:t>
      </w:r>
    </w:p>
    <w:p w14:paraId="1F570A16">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cs="宋体"/>
          <w:b/>
          <w:sz w:val="24"/>
        </w:rPr>
        <w:sym w:font="Wingdings 2" w:char="00A1"/>
      </w:r>
      <w:r>
        <w:rPr>
          <w:rFonts w:eastAsiaTheme="minorEastAsia"/>
          <w:sz w:val="24"/>
        </w:rPr>
        <w:t>无，按下述3.2.2-3.2.</w:t>
      </w:r>
      <w:r>
        <w:rPr>
          <w:rFonts w:hint="eastAsia" w:eastAsiaTheme="minorEastAsia"/>
          <w:sz w:val="24"/>
        </w:rPr>
        <w:t>6</w:t>
      </w:r>
      <w:r>
        <w:rPr>
          <w:rFonts w:eastAsiaTheme="minorEastAsia"/>
          <w:sz w:val="24"/>
        </w:rPr>
        <w:t>项规定修正。</w:t>
      </w:r>
    </w:p>
    <w:p w14:paraId="125C3601">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76907AC2">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FC25FB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5C922505">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F77A294">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0BA4DF8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4F1F4C9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lang w:val="en-US" w:eastAsia="zh-CN"/>
        </w:rPr>
        <w:t xml:space="preserve">   10   </w:t>
      </w:r>
      <w:r>
        <w:rPr>
          <w:rFonts w:eastAsiaTheme="minorEastAsia"/>
          <w:sz w:val="24"/>
        </w:rPr>
        <w:t>%的扣除，用扣除后的价格参加评审。</w:t>
      </w:r>
    </w:p>
    <w:p w14:paraId="7ECA89A2">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lang w:val="en-US" w:eastAsia="zh-CN"/>
        </w:rPr>
        <w:t xml:space="preserve">  /   </w:t>
      </w:r>
      <w:r>
        <w:rPr>
          <w:rFonts w:eastAsiaTheme="minorEastAsia"/>
          <w:sz w:val="24"/>
        </w:rPr>
        <w:t>%的扣除，用扣除后的价格参加评审。</w:t>
      </w:r>
    </w:p>
    <w:p w14:paraId="3B0EF5F3">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47FE4CE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90B6A06">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01D9542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97CFC1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D7CC362">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37A5C7D3">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ascii="宋体" w:hAnsi="宋体" w:cs="宋体"/>
          <w:sz w:val="24"/>
          <w:u w:val="single"/>
        </w:rPr>
        <w:t>扶持不发达地区和少数民族地区、促进中小企业发展、支持监狱、戒毒企业发展、促进残疾人就业等政府采购政策、优先采购贫困地区农副产品等政府采购政策</w:t>
      </w:r>
      <w:r>
        <w:rPr>
          <w:rFonts w:eastAsiaTheme="minorEastAsia"/>
          <w:sz w:val="24"/>
        </w:rPr>
        <w:t>。</w:t>
      </w:r>
    </w:p>
    <w:p w14:paraId="6FA27E7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7DA864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255F278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137D56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4E7CC4B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23940D7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1D5EF7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0E1FC2A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u w:val="single"/>
          <w:lang w:val="en-US" w:eastAsia="zh-CN"/>
        </w:rPr>
        <w:t xml:space="preserve">  /  </w:t>
      </w:r>
      <w:r>
        <w:rPr>
          <w:rFonts w:eastAsiaTheme="minorEastAsia"/>
          <w:sz w:val="24"/>
        </w:rPr>
        <w:t>。</w:t>
      </w:r>
    </w:p>
    <w:bookmarkEnd w:id="623"/>
    <w:bookmarkEnd w:id="624"/>
    <w:p w14:paraId="46605C65">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DE5408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6DCCB0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0A7E8C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eastAsiaTheme="minorEastAsia"/>
          <w:sz w:val="24"/>
        </w:rPr>
        <w:t>。</w:t>
      </w:r>
    </w:p>
    <w:p w14:paraId="5D1D8D50">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0" w:name="_Toc151193644"/>
      <w:bookmarkStart w:id="641" w:name="_Toc127151747"/>
      <w:bookmarkStart w:id="642" w:name="_Toc226309790"/>
      <w:bookmarkStart w:id="643" w:name="_Toc520356170"/>
      <w:bookmarkStart w:id="644" w:name="_Toc150509297"/>
      <w:bookmarkStart w:id="645" w:name="_Toc150480784"/>
      <w:bookmarkStart w:id="646" w:name="_Toc164229241"/>
      <w:bookmarkStart w:id="647" w:name="_Toc151193934"/>
      <w:bookmarkStart w:id="648" w:name="_Toc305158814"/>
      <w:bookmarkStart w:id="649" w:name="_Toc164608660"/>
      <w:bookmarkStart w:id="650" w:name="_Toc127151546"/>
      <w:bookmarkStart w:id="651" w:name="_Toc305158888"/>
      <w:bookmarkStart w:id="652" w:name="_Toc264969236"/>
      <w:bookmarkStart w:id="653" w:name="_Toc164229387"/>
      <w:bookmarkStart w:id="654" w:name="_Toc265228384"/>
      <w:bookmarkStart w:id="655" w:name="_Toc142311048"/>
      <w:bookmarkStart w:id="656" w:name="_Toc164608815"/>
      <w:bookmarkStart w:id="657" w:name="_Toc150774751"/>
      <w:bookmarkStart w:id="658" w:name="_Toc226965736"/>
      <w:bookmarkStart w:id="659" w:name="_Ref467307010"/>
      <w:bookmarkStart w:id="660" w:name="_Toc226337242"/>
      <w:bookmarkStart w:id="661" w:name="_Toc195842911"/>
      <w:bookmarkStart w:id="662" w:name="_Toc150774646"/>
      <w:bookmarkStart w:id="663" w:name="_Toc149720839"/>
      <w:bookmarkStart w:id="664" w:name="_Toc127161460"/>
      <w:bookmarkStart w:id="665" w:name="_Toc164351640"/>
      <w:bookmarkStart w:id="666" w:name="_Toc151193716"/>
      <w:bookmarkStart w:id="667" w:name="_Toc151193860"/>
      <w:bookmarkStart w:id="668" w:name="_Toc226965819"/>
      <w:bookmarkStart w:id="669" w:name="_Toc151193788"/>
      <w:bookmarkStart w:id="670" w:name="_Toc151190173"/>
      <w:r>
        <w:rPr>
          <w:rFonts w:eastAsiaTheme="minorEastAsia"/>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55412CB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59803B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rPr>
        <w:t>______名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56E59CE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42AF5954">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178046F6">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3CF5BBB5">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72D294C9">
      <w:pPr>
        <w:tabs>
          <w:tab w:val="left" w:pos="360"/>
          <w:tab w:val="left" w:pos="900"/>
          <w:tab w:val="left" w:pos="1080"/>
          <w:tab w:val="left" w:pos="2014"/>
        </w:tabs>
        <w:snapToGrid w:val="0"/>
        <w:spacing w:line="360" w:lineRule="auto"/>
        <w:rPr>
          <w:rFonts w:eastAsiaTheme="minorEastAsia"/>
          <w:sz w:val="24"/>
        </w:rPr>
      </w:pP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4269"/>
        <w:gridCol w:w="2149"/>
      </w:tblGrid>
      <w:tr w14:paraId="1AFF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23DDC941">
            <w:pPr>
              <w:ind w:firstLine="28"/>
              <w:jc w:val="center"/>
              <w:rPr>
                <w:rFonts w:eastAsiaTheme="minorEastAsia"/>
                <w:b/>
                <w:sz w:val="24"/>
              </w:rPr>
            </w:pPr>
            <w:r>
              <w:rPr>
                <w:rFonts w:eastAsiaTheme="minorEastAsia"/>
                <w:b/>
                <w:sz w:val="24"/>
              </w:rPr>
              <w:t>序号</w:t>
            </w:r>
          </w:p>
        </w:tc>
        <w:tc>
          <w:tcPr>
            <w:tcW w:w="1462" w:type="dxa"/>
            <w:vAlign w:val="center"/>
          </w:tcPr>
          <w:p w14:paraId="248DC1A4">
            <w:pPr>
              <w:ind w:firstLine="28"/>
              <w:jc w:val="center"/>
              <w:rPr>
                <w:rFonts w:eastAsiaTheme="minorEastAsia"/>
                <w:b/>
                <w:sz w:val="24"/>
              </w:rPr>
            </w:pPr>
            <w:r>
              <w:rPr>
                <w:rFonts w:eastAsiaTheme="minorEastAsia"/>
                <w:b/>
                <w:sz w:val="24"/>
              </w:rPr>
              <w:t>评分因素</w:t>
            </w:r>
          </w:p>
        </w:tc>
        <w:tc>
          <w:tcPr>
            <w:tcW w:w="913" w:type="dxa"/>
            <w:vAlign w:val="center"/>
          </w:tcPr>
          <w:p w14:paraId="6D4A7D9A">
            <w:pPr>
              <w:ind w:firstLine="28"/>
              <w:jc w:val="center"/>
              <w:rPr>
                <w:rFonts w:eastAsiaTheme="minorEastAsia"/>
                <w:b/>
                <w:sz w:val="24"/>
              </w:rPr>
            </w:pPr>
            <w:r>
              <w:rPr>
                <w:rFonts w:eastAsiaTheme="minorEastAsia"/>
                <w:b/>
                <w:sz w:val="24"/>
              </w:rPr>
              <w:t>分值</w:t>
            </w:r>
          </w:p>
        </w:tc>
        <w:tc>
          <w:tcPr>
            <w:tcW w:w="4269" w:type="dxa"/>
            <w:vAlign w:val="center"/>
          </w:tcPr>
          <w:p w14:paraId="5DC172A8">
            <w:pPr>
              <w:ind w:firstLine="28"/>
              <w:jc w:val="center"/>
              <w:rPr>
                <w:rFonts w:eastAsiaTheme="minorEastAsia"/>
                <w:b/>
                <w:sz w:val="24"/>
              </w:rPr>
            </w:pPr>
            <w:r>
              <w:rPr>
                <w:rFonts w:eastAsiaTheme="minorEastAsia"/>
                <w:b/>
                <w:sz w:val="24"/>
              </w:rPr>
              <w:t>评分标准</w:t>
            </w:r>
          </w:p>
        </w:tc>
        <w:tc>
          <w:tcPr>
            <w:tcW w:w="2149" w:type="dxa"/>
            <w:vAlign w:val="center"/>
          </w:tcPr>
          <w:p w14:paraId="61587EA8">
            <w:pPr>
              <w:pStyle w:val="245"/>
              <w:spacing w:before="0" w:after="0" w:line="240" w:lineRule="auto"/>
              <w:rPr>
                <w:rFonts w:eastAsiaTheme="minorEastAsia"/>
                <w:szCs w:val="24"/>
              </w:rPr>
            </w:pPr>
            <w:r>
              <w:rPr>
                <w:rFonts w:eastAsiaTheme="minorEastAsia"/>
                <w:szCs w:val="24"/>
              </w:rPr>
              <w:t>说明</w:t>
            </w:r>
          </w:p>
        </w:tc>
      </w:tr>
      <w:tr w14:paraId="1681F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restart"/>
            <w:vAlign w:val="center"/>
          </w:tcPr>
          <w:p w14:paraId="1950A8B8">
            <w:pPr>
              <w:ind w:firstLine="28"/>
              <w:jc w:val="center"/>
              <w:rPr>
                <w:rFonts w:ascii="Times New Roman" w:hAnsi="Times New Roman" w:cs="Times New Roman" w:eastAsiaTheme="minorEastAsia"/>
                <w:sz w:val="24"/>
              </w:rPr>
            </w:pPr>
            <w:r>
              <w:rPr>
                <w:rFonts w:hint="eastAsia" w:ascii="Times New Roman" w:hAnsi="Times New Roman" w:cs="Times New Roman" w:eastAsiaTheme="minorEastAsia"/>
                <w:sz w:val="24"/>
              </w:rPr>
              <w:t>商务部分（1</w:t>
            </w:r>
            <w:r>
              <w:rPr>
                <w:rFonts w:hint="eastAsia" w:ascii="Times New Roman" w:hAnsi="Times New Roman" w:cs="Times New Roman" w:eastAsiaTheme="minorEastAsia"/>
                <w:sz w:val="24"/>
                <w:lang w:val="en-US" w:eastAsia="zh-CN"/>
              </w:rPr>
              <w:t>6</w:t>
            </w:r>
            <w:r>
              <w:rPr>
                <w:rFonts w:hint="eastAsia" w:ascii="Times New Roman" w:hAnsi="Times New Roman" w:cs="Times New Roman" w:eastAsiaTheme="minorEastAsia"/>
                <w:sz w:val="24"/>
              </w:rPr>
              <w:t>分）</w:t>
            </w:r>
          </w:p>
        </w:tc>
        <w:tc>
          <w:tcPr>
            <w:tcW w:w="1462" w:type="dxa"/>
            <w:shd w:val="clear" w:color="auto" w:fill="auto"/>
            <w:vAlign w:val="center"/>
          </w:tcPr>
          <w:p w14:paraId="3E976DC3">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业绩（</w:t>
            </w:r>
            <w:r>
              <w:rPr>
                <w:rFonts w:hint="eastAsia" w:ascii="Times New Roman" w:hAnsi="Times New Roman" w:cs="Times New Roman" w:eastAsiaTheme="minorEastAsia"/>
                <w:sz w:val="24"/>
                <w:lang w:val="en-US" w:eastAsia="zh-CN"/>
              </w:rPr>
              <w:t>5</w:t>
            </w:r>
            <w:r>
              <w:rPr>
                <w:rFonts w:hint="eastAsia" w:ascii="Times New Roman" w:hAnsi="Times New Roman" w:cs="Times New Roman" w:eastAsiaTheme="minorEastAsia"/>
                <w:sz w:val="24"/>
              </w:rPr>
              <w:t>分）</w:t>
            </w:r>
          </w:p>
        </w:tc>
        <w:tc>
          <w:tcPr>
            <w:tcW w:w="913" w:type="dxa"/>
            <w:shd w:val="clear" w:color="auto" w:fill="auto"/>
            <w:vAlign w:val="center"/>
          </w:tcPr>
          <w:p w14:paraId="39E75587">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5</w:t>
            </w:r>
          </w:p>
        </w:tc>
        <w:tc>
          <w:tcPr>
            <w:tcW w:w="4269" w:type="dxa"/>
            <w:shd w:val="clear" w:color="auto" w:fill="auto"/>
            <w:vAlign w:val="center"/>
          </w:tcPr>
          <w:p w14:paraId="3F9553D4">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 xml:space="preserve">企业近 </w:t>
            </w:r>
            <w:r>
              <w:rPr>
                <w:rFonts w:hint="eastAsia" w:ascii="Times New Roman" w:hAnsi="Times New Roman" w:cs="Times New Roman" w:eastAsiaTheme="minorEastAsia"/>
                <w:sz w:val="24"/>
                <w:lang w:val="en-US" w:eastAsia="zh-CN"/>
              </w:rPr>
              <w:t>3</w:t>
            </w:r>
            <w:r>
              <w:rPr>
                <w:rFonts w:hint="eastAsia" w:ascii="Times New Roman" w:hAnsi="Times New Roman" w:cs="Times New Roman" w:eastAsiaTheme="minorEastAsia"/>
                <w:sz w:val="24"/>
              </w:rPr>
              <w:t>年完成的</w:t>
            </w:r>
            <w:r>
              <w:rPr>
                <w:rFonts w:hint="eastAsia" w:ascii="Times New Roman" w:hAnsi="Times New Roman" w:cs="Times New Roman" w:eastAsiaTheme="minorEastAsia"/>
                <w:sz w:val="24"/>
                <w:lang w:val="en-US" w:eastAsia="zh-CN"/>
              </w:rPr>
              <w:t>类似</w:t>
            </w:r>
            <w:r>
              <w:rPr>
                <w:rFonts w:hint="eastAsia" w:ascii="Times New Roman" w:hAnsi="Times New Roman" w:cs="Times New Roman" w:eastAsiaTheme="minorEastAsia"/>
                <w:sz w:val="24"/>
              </w:rPr>
              <w:t>工程项目，毎有 1 项 得</w:t>
            </w:r>
            <w:r>
              <w:rPr>
                <w:rFonts w:hint="eastAsia" w:ascii="Times New Roman" w:hAnsi="Times New Roman" w:cs="Times New Roman" w:eastAsiaTheme="minorEastAsia"/>
                <w:sz w:val="24"/>
                <w:lang w:val="en-US" w:eastAsia="zh-CN"/>
              </w:rPr>
              <w:t>1</w:t>
            </w:r>
            <w:r>
              <w:rPr>
                <w:rFonts w:hint="eastAsia" w:ascii="Times New Roman" w:hAnsi="Times New Roman" w:cs="Times New Roman" w:eastAsiaTheme="minorEastAsia"/>
                <w:sz w:val="24"/>
              </w:rPr>
              <w:t xml:space="preserve">分，最多得 </w:t>
            </w:r>
            <w:r>
              <w:rPr>
                <w:rFonts w:hint="eastAsia" w:ascii="Times New Roman" w:hAnsi="Times New Roman" w:cs="Times New Roman" w:eastAsiaTheme="minorEastAsia"/>
                <w:sz w:val="24"/>
                <w:lang w:val="en-US" w:eastAsia="zh-CN"/>
              </w:rPr>
              <w:t>5</w:t>
            </w:r>
            <w:r>
              <w:rPr>
                <w:rFonts w:hint="eastAsia" w:ascii="Times New Roman" w:hAnsi="Times New Roman" w:cs="Times New Roman" w:eastAsiaTheme="minorEastAsia"/>
                <w:sz w:val="24"/>
              </w:rPr>
              <w:t xml:space="preserve"> 分。</w:t>
            </w:r>
          </w:p>
          <w:p w14:paraId="1BAA3337">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 xml:space="preserve">注：须提供企业近 </w:t>
            </w:r>
            <w:r>
              <w:rPr>
                <w:rFonts w:hint="eastAsia" w:ascii="Times New Roman" w:hAnsi="Times New Roman" w:cs="Times New Roman" w:eastAsiaTheme="minorEastAsia"/>
                <w:sz w:val="24"/>
                <w:lang w:val="en-US" w:eastAsia="zh-CN"/>
              </w:rPr>
              <w:t>3</w:t>
            </w:r>
            <w:r>
              <w:rPr>
                <w:rFonts w:hint="eastAsia" w:ascii="Times New Roman" w:hAnsi="Times New Roman" w:cs="Times New Roman" w:eastAsiaTheme="minorEastAsia"/>
                <w:sz w:val="24"/>
              </w:rPr>
              <w:t xml:space="preserve"> 年完成的中标价（或工程规模）</w:t>
            </w:r>
            <w:r>
              <w:rPr>
                <w:rFonts w:hint="eastAsia" w:cs="Times New Roman" w:eastAsiaTheme="minorEastAsia"/>
                <w:sz w:val="24"/>
                <w:lang w:val="en-US" w:eastAsia="zh-CN"/>
              </w:rPr>
              <w:t>312</w:t>
            </w:r>
            <w:r>
              <w:rPr>
                <w:rFonts w:hint="eastAsia" w:ascii="Times New Roman" w:hAnsi="Times New Roman" w:cs="Times New Roman" w:eastAsiaTheme="minorEastAsia"/>
                <w:sz w:val="24"/>
              </w:rPr>
              <w:t>万元以上的</w:t>
            </w:r>
            <w:r>
              <w:rPr>
                <w:rFonts w:hint="eastAsia" w:ascii="Times New Roman" w:hAnsi="Times New Roman" w:cs="Times New Roman" w:eastAsiaTheme="minorEastAsia"/>
                <w:sz w:val="24"/>
                <w:lang w:val="en-US" w:eastAsia="zh-CN"/>
              </w:rPr>
              <w:t>类似</w:t>
            </w:r>
            <w:r>
              <w:rPr>
                <w:rFonts w:hint="eastAsia" w:ascii="Times New Roman" w:hAnsi="Times New Roman" w:cs="Times New Roman" w:eastAsiaTheme="minorEastAsia"/>
                <w:sz w:val="24"/>
              </w:rPr>
              <w:t>工程的中标通知书或合同协议书及验收资料或业主证明等相关证明文件</w:t>
            </w:r>
          </w:p>
        </w:tc>
        <w:tc>
          <w:tcPr>
            <w:tcW w:w="2149" w:type="dxa"/>
            <w:vAlign w:val="center"/>
          </w:tcPr>
          <w:p w14:paraId="09517F01">
            <w:pPr>
              <w:pStyle w:val="245"/>
              <w:spacing w:before="0" w:after="0" w:line="240" w:lineRule="auto"/>
              <w:rPr>
                <w:rFonts w:eastAsiaTheme="minorEastAsia"/>
                <w:szCs w:val="24"/>
              </w:rPr>
            </w:pPr>
          </w:p>
        </w:tc>
      </w:tr>
      <w:tr w14:paraId="2E4B1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6F499224">
            <w:pPr>
              <w:ind w:firstLine="28"/>
              <w:jc w:val="center"/>
              <w:rPr>
                <w:rFonts w:ascii="Times New Roman" w:hAnsi="Times New Roman" w:cs="Times New Roman" w:eastAsiaTheme="minorEastAsia"/>
                <w:sz w:val="24"/>
              </w:rPr>
            </w:pPr>
          </w:p>
        </w:tc>
        <w:tc>
          <w:tcPr>
            <w:tcW w:w="1462" w:type="dxa"/>
            <w:vMerge w:val="restart"/>
            <w:vAlign w:val="center"/>
          </w:tcPr>
          <w:p w14:paraId="0A167DF7">
            <w:pPr>
              <w:ind w:firstLine="28"/>
              <w:jc w:val="center"/>
              <w:rPr>
                <w:rFonts w:ascii="Times New Roman" w:hAnsi="Times New Roman" w:cs="Times New Roman" w:eastAsiaTheme="minorEastAsia"/>
                <w:sz w:val="24"/>
              </w:rPr>
            </w:pPr>
            <w:r>
              <w:rPr>
                <w:rFonts w:hint="eastAsia" w:ascii="Times New Roman" w:hAnsi="Times New Roman" w:cs="Times New Roman" w:eastAsiaTheme="minorEastAsia"/>
                <w:sz w:val="24"/>
              </w:rPr>
              <w:t>项目管理机构配置（</w:t>
            </w:r>
            <w:r>
              <w:rPr>
                <w:rFonts w:hint="eastAsia" w:ascii="Times New Roman" w:hAnsi="Times New Roman" w:cs="Times New Roman" w:eastAsiaTheme="minorEastAsia"/>
                <w:sz w:val="24"/>
                <w:lang w:val="en-US" w:eastAsia="zh-CN"/>
              </w:rPr>
              <w:t>9</w:t>
            </w:r>
            <w:r>
              <w:rPr>
                <w:rFonts w:hint="eastAsia" w:ascii="Times New Roman" w:hAnsi="Times New Roman" w:cs="Times New Roman" w:eastAsiaTheme="minorEastAsia"/>
                <w:sz w:val="24"/>
              </w:rPr>
              <w:t>分）</w:t>
            </w:r>
          </w:p>
        </w:tc>
        <w:tc>
          <w:tcPr>
            <w:tcW w:w="913" w:type="dxa"/>
            <w:vAlign w:val="center"/>
          </w:tcPr>
          <w:p w14:paraId="6D144DD7">
            <w:pPr>
              <w:ind w:firstLine="28"/>
              <w:jc w:val="center"/>
              <w:rPr>
                <w:rFonts w:ascii="Times New Roman" w:hAnsi="Times New Roman" w:cs="Times New Roman" w:eastAsiaTheme="minorEastAsia"/>
                <w:sz w:val="24"/>
              </w:rPr>
            </w:pPr>
            <w:r>
              <w:rPr>
                <w:rFonts w:hint="eastAsia" w:ascii="Times New Roman" w:hAnsi="Times New Roman" w:cs="Times New Roman" w:eastAsiaTheme="minorEastAsia"/>
                <w:sz w:val="24"/>
                <w:lang w:val="en-US" w:eastAsia="zh-CN"/>
              </w:rPr>
              <w:t>3</w:t>
            </w:r>
          </w:p>
        </w:tc>
        <w:tc>
          <w:tcPr>
            <w:tcW w:w="4269" w:type="dxa"/>
            <w:shd w:val="clear" w:color="auto" w:fill="auto"/>
            <w:vAlign w:val="center"/>
          </w:tcPr>
          <w:p w14:paraId="07C898D7">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项目经理资历：</w:t>
            </w:r>
          </w:p>
          <w:p w14:paraId="261FA2A5">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（1）学历：具有大学本科 （含）以上学历者，得 1.5 分； 其他，得 0 分；</w:t>
            </w:r>
          </w:p>
          <w:p w14:paraId="6AEFEF20">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（2）职称：具有相关专业中级（含）以上职称， 得 1.5分；其他， 得 0 分；</w:t>
            </w:r>
          </w:p>
          <w:p w14:paraId="46C26F8C">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注：须提供有效学历证书及 职称证书证明材料。</w:t>
            </w:r>
          </w:p>
        </w:tc>
        <w:tc>
          <w:tcPr>
            <w:tcW w:w="2149" w:type="dxa"/>
            <w:vAlign w:val="center"/>
          </w:tcPr>
          <w:p w14:paraId="1922AA07">
            <w:pPr>
              <w:pStyle w:val="245"/>
              <w:spacing w:before="0" w:after="0" w:line="240" w:lineRule="auto"/>
              <w:rPr>
                <w:rFonts w:eastAsiaTheme="minorEastAsia"/>
                <w:szCs w:val="24"/>
              </w:rPr>
            </w:pPr>
          </w:p>
        </w:tc>
      </w:tr>
      <w:tr w14:paraId="0E15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835" w:type="dxa"/>
            <w:vMerge w:val="continue"/>
            <w:vAlign w:val="center"/>
          </w:tcPr>
          <w:p w14:paraId="37A8067B">
            <w:pPr>
              <w:ind w:firstLine="28"/>
              <w:jc w:val="center"/>
              <w:rPr>
                <w:rFonts w:ascii="Times New Roman" w:hAnsi="Times New Roman" w:cs="Times New Roman" w:eastAsiaTheme="minorEastAsia"/>
                <w:sz w:val="24"/>
              </w:rPr>
            </w:pPr>
          </w:p>
        </w:tc>
        <w:tc>
          <w:tcPr>
            <w:tcW w:w="1462" w:type="dxa"/>
            <w:vMerge w:val="continue"/>
            <w:vAlign w:val="center"/>
          </w:tcPr>
          <w:p w14:paraId="556F6629">
            <w:pPr>
              <w:ind w:firstLine="28"/>
              <w:jc w:val="center"/>
              <w:rPr>
                <w:rFonts w:ascii="Times New Roman" w:hAnsi="Times New Roman" w:cs="Times New Roman" w:eastAsiaTheme="minorEastAsia"/>
                <w:sz w:val="24"/>
              </w:rPr>
            </w:pPr>
          </w:p>
        </w:tc>
        <w:tc>
          <w:tcPr>
            <w:tcW w:w="913" w:type="dxa"/>
            <w:vAlign w:val="center"/>
          </w:tcPr>
          <w:p w14:paraId="5AA1FC28">
            <w:pPr>
              <w:ind w:firstLine="28"/>
              <w:jc w:val="center"/>
              <w:rPr>
                <w:rFonts w:ascii="Times New Roman" w:hAnsi="Times New Roman" w:cs="Times New Roman" w:eastAsiaTheme="minorEastAsia"/>
                <w:sz w:val="24"/>
              </w:rPr>
            </w:pPr>
            <w:r>
              <w:rPr>
                <w:rFonts w:hint="eastAsia" w:ascii="Times New Roman" w:hAnsi="Times New Roman" w:cs="Times New Roman" w:eastAsiaTheme="minorEastAsia"/>
                <w:sz w:val="24"/>
                <w:lang w:val="en-US" w:eastAsia="zh-CN"/>
              </w:rPr>
              <w:t>3</w:t>
            </w:r>
          </w:p>
        </w:tc>
        <w:tc>
          <w:tcPr>
            <w:tcW w:w="4269" w:type="dxa"/>
            <w:shd w:val="clear" w:color="auto" w:fill="auto"/>
            <w:vAlign w:val="center"/>
          </w:tcPr>
          <w:p w14:paraId="202FF563">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技术负责人资历：</w:t>
            </w:r>
          </w:p>
          <w:p w14:paraId="73047DAF">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（1）学历：具有大学本科（含）以上学历者，得 1 分； 其他， 得 0 分；</w:t>
            </w:r>
          </w:p>
          <w:p w14:paraId="4670F130">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（2）职称：具有相关专业 中级（含） 以上职 称，得 2分；其他，得 0 分；</w:t>
            </w:r>
          </w:p>
          <w:p w14:paraId="14E8D3C7">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注：须提供有效学历证书及职称证书证明材料。</w:t>
            </w:r>
          </w:p>
        </w:tc>
        <w:tc>
          <w:tcPr>
            <w:tcW w:w="2149" w:type="dxa"/>
            <w:vAlign w:val="center"/>
          </w:tcPr>
          <w:p w14:paraId="1A32902D">
            <w:pPr>
              <w:pStyle w:val="245"/>
              <w:spacing w:before="0" w:after="0" w:line="240" w:lineRule="auto"/>
              <w:rPr>
                <w:rFonts w:eastAsiaTheme="minorEastAsia"/>
                <w:szCs w:val="24"/>
              </w:rPr>
            </w:pPr>
          </w:p>
        </w:tc>
      </w:tr>
      <w:tr w14:paraId="1E12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02138747">
            <w:pPr>
              <w:ind w:firstLine="28"/>
              <w:jc w:val="center"/>
              <w:rPr>
                <w:rFonts w:ascii="Times New Roman" w:hAnsi="Times New Roman" w:cs="Times New Roman" w:eastAsiaTheme="minorEastAsia"/>
                <w:sz w:val="24"/>
              </w:rPr>
            </w:pPr>
          </w:p>
        </w:tc>
        <w:tc>
          <w:tcPr>
            <w:tcW w:w="1462" w:type="dxa"/>
            <w:vMerge w:val="continue"/>
            <w:vAlign w:val="center"/>
          </w:tcPr>
          <w:p w14:paraId="167617E6">
            <w:pPr>
              <w:ind w:firstLine="28"/>
              <w:jc w:val="center"/>
              <w:rPr>
                <w:rFonts w:ascii="Times New Roman" w:hAnsi="Times New Roman" w:cs="Times New Roman" w:eastAsiaTheme="minorEastAsia"/>
                <w:sz w:val="24"/>
              </w:rPr>
            </w:pPr>
          </w:p>
        </w:tc>
        <w:tc>
          <w:tcPr>
            <w:tcW w:w="913" w:type="dxa"/>
            <w:vAlign w:val="center"/>
          </w:tcPr>
          <w:p w14:paraId="3287D47F">
            <w:pPr>
              <w:ind w:firstLine="28"/>
              <w:jc w:val="center"/>
              <w:rPr>
                <w:rFonts w:ascii="Times New Roman" w:hAnsi="Times New Roman" w:cs="Times New Roman" w:eastAsiaTheme="minorEastAsia"/>
                <w:sz w:val="24"/>
              </w:rPr>
            </w:pPr>
            <w:r>
              <w:rPr>
                <w:rFonts w:hint="eastAsia" w:ascii="Times New Roman" w:hAnsi="Times New Roman" w:cs="Times New Roman" w:eastAsiaTheme="minorEastAsia"/>
                <w:sz w:val="24"/>
                <w:lang w:val="en-US" w:eastAsia="zh-CN"/>
              </w:rPr>
              <w:t>3</w:t>
            </w:r>
          </w:p>
        </w:tc>
        <w:tc>
          <w:tcPr>
            <w:tcW w:w="4269" w:type="dxa"/>
            <w:shd w:val="clear" w:color="auto" w:fill="auto"/>
            <w:vAlign w:val="center"/>
          </w:tcPr>
          <w:p w14:paraId="2B05F4CE">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项目管理机构人员构成情况：项目管理团队中，安全、质检、施工、造价、财务、资料管理等岗位设置齐全，得 3 分；每有一项缺失减 0.5 分。</w:t>
            </w:r>
          </w:p>
        </w:tc>
        <w:tc>
          <w:tcPr>
            <w:tcW w:w="2149" w:type="dxa"/>
            <w:vAlign w:val="center"/>
          </w:tcPr>
          <w:p w14:paraId="5AAEF0E5">
            <w:pPr>
              <w:pStyle w:val="245"/>
              <w:spacing w:before="0" w:after="0" w:line="240" w:lineRule="auto"/>
              <w:rPr>
                <w:rFonts w:eastAsiaTheme="minorEastAsia"/>
                <w:szCs w:val="24"/>
              </w:rPr>
            </w:pPr>
          </w:p>
        </w:tc>
      </w:tr>
      <w:tr w14:paraId="28A33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5F2CD400">
            <w:pPr>
              <w:ind w:firstLine="28"/>
              <w:jc w:val="center"/>
              <w:rPr>
                <w:rFonts w:ascii="Times New Roman" w:hAnsi="Times New Roman" w:cs="Times New Roman" w:eastAsiaTheme="minorEastAsia"/>
                <w:sz w:val="24"/>
              </w:rPr>
            </w:pPr>
          </w:p>
        </w:tc>
        <w:tc>
          <w:tcPr>
            <w:tcW w:w="1462" w:type="dxa"/>
            <w:shd w:val="clear" w:color="auto" w:fill="auto"/>
            <w:vAlign w:val="center"/>
          </w:tcPr>
          <w:p w14:paraId="563FB3CF">
            <w:pPr>
              <w:ind w:firstLine="28"/>
              <w:jc w:val="center"/>
              <w:rPr>
                <w:rFonts w:hint="eastAsia" w:ascii="Times New Roman" w:hAnsi="Times New Roman" w:cs="Times New Roman" w:eastAsiaTheme="minorEastAsia"/>
                <w:sz w:val="24"/>
              </w:rPr>
            </w:pPr>
            <w:r>
              <w:rPr>
                <w:rFonts w:hint="eastAsia" w:ascii="Times New Roman" w:hAnsi="Times New Roman" w:cs="Times New Roman" w:eastAsiaTheme="minorEastAsia"/>
                <w:sz w:val="24"/>
              </w:rPr>
              <w:t>体系认证</w:t>
            </w:r>
          </w:p>
          <w:p w14:paraId="5F49D6D8">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w:t>
            </w:r>
            <w:r>
              <w:rPr>
                <w:rFonts w:hint="eastAsia" w:ascii="Times New Roman" w:hAnsi="Times New Roman" w:cs="Times New Roman" w:eastAsiaTheme="minorEastAsia"/>
                <w:sz w:val="24"/>
                <w:lang w:val="en-US" w:eastAsia="zh-CN"/>
              </w:rPr>
              <w:t>2</w:t>
            </w:r>
            <w:r>
              <w:rPr>
                <w:rFonts w:hint="eastAsia" w:ascii="Times New Roman" w:hAnsi="Times New Roman" w:cs="Times New Roman" w:eastAsiaTheme="minorEastAsia"/>
                <w:sz w:val="24"/>
              </w:rPr>
              <w:t>分）</w:t>
            </w:r>
          </w:p>
        </w:tc>
        <w:tc>
          <w:tcPr>
            <w:tcW w:w="913" w:type="dxa"/>
            <w:shd w:val="clear" w:color="auto" w:fill="auto"/>
            <w:vAlign w:val="center"/>
          </w:tcPr>
          <w:p w14:paraId="7ADF0147">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2</w:t>
            </w:r>
          </w:p>
        </w:tc>
        <w:tc>
          <w:tcPr>
            <w:tcW w:w="4269" w:type="dxa"/>
            <w:shd w:val="clear" w:color="auto" w:fill="auto"/>
            <w:vAlign w:val="center"/>
          </w:tcPr>
          <w:p w14:paraId="5B3CE2E2">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 xml:space="preserve">（1）已经取得 ISO9001 质量管理体系认证且运行情况良好的得 </w:t>
            </w:r>
            <w:r>
              <w:rPr>
                <w:rFonts w:hint="eastAsia" w:ascii="Times New Roman" w:hAnsi="Times New Roman" w:cs="Times New Roman" w:eastAsiaTheme="minorEastAsia"/>
                <w:sz w:val="24"/>
                <w:lang w:val="en-US" w:eastAsia="zh-CN"/>
              </w:rPr>
              <w:t>0.5</w:t>
            </w:r>
            <w:r>
              <w:rPr>
                <w:rFonts w:hint="eastAsia" w:ascii="Times New Roman" w:hAnsi="Times New Roman" w:cs="Times New Roman" w:eastAsiaTheme="minorEastAsia"/>
                <w:sz w:val="24"/>
              </w:rPr>
              <w:t>分，否则不得分；</w:t>
            </w:r>
          </w:p>
          <w:p w14:paraId="34B2D922">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（2）已经取得 ISO14001 环境管理体系认证且运行情况良</w:t>
            </w:r>
          </w:p>
          <w:p w14:paraId="27885E6A">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好的得</w:t>
            </w:r>
            <w:r>
              <w:rPr>
                <w:rFonts w:hint="eastAsia" w:ascii="Times New Roman" w:hAnsi="Times New Roman" w:cs="Times New Roman" w:eastAsiaTheme="minorEastAsia"/>
                <w:sz w:val="24"/>
                <w:lang w:val="en-US" w:eastAsia="zh-CN"/>
              </w:rPr>
              <w:t>0.5</w:t>
            </w:r>
            <w:r>
              <w:rPr>
                <w:rFonts w:hint="eastAsia" w:ascii="Times New Roman" w:hAnsi="Times New Roman" w:cs="Times New Roman" w:eastAsiaTheme="minorEastAsia"/>
                <w:sz w:val="24"/>
              </w:rPr>
              <w:t>分，否则不得分；</w:t>
            </w:r>
          </w:p>
          <w:p w14:paraId="17F5131C">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（3）已经取得 OHSAS18001 职业安全健康管理体系认证且</w:t>
            </w:r>
          </w:p>
          <w:p w14:paraId="7F69EEDF">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运行情况良好的得 1 分，否则不得分。</w:t>
            </w:r>
          </w:p>
        </w:tc>
        <w:tc>
          <w:tcPr>
            <w:tcW w:w="2149" w:type="dxa"/>
            <w:vAlign w:val="center"/>
          </w:tcPr>
          <w:p w14:paraId="096A197B">
            <w:pPr>
              <w:pStyle w:val="245"/>
              <w:spacing w:before="0" w:after="0" w:line="240" w:lineRule="auto"/>
              <w:rPr>
                <w:rFonts w:eastAsiaTheme="minorEastAsia"/>
                <w:szCs w:val="24"/>
              </w:rPr>
            </w:pPr>
          </w:p>
        </w:tc>
      </w:tr>
      <w:tr w14:paraId="4C33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restart"/>
            <w:vAlign w:val="center"/>
          </w:tcPr>
          <w:p w14:paraId="4DD88268">
            <w:pPr>
              <w:ind w:firstLine="28"/>
              <w:jc w:val="center"/>
              <w:rPr>
                <w:rFonts w:ascii="Times New Roman" w:hAnsi="Times New Roman" w:cs="Times New Roman" w:eastAsiaTheme="minorEastAsia"/>
                <w:sz w:val="24"/>
              </w:rPr>
            </w:pPr>
            <w:r>
              <w:rPr>
                <w:rFonts w:hint="eastAsia" w:ascii="Times New Roman" w:hAnsi="Times New Roman" w:cs="Times New Roman" w:eastAsiaTheme="minorEastAsia"/>
                <w:sz w:val="24"/>
              </w:rPr>
              <w:t>技术部分（5</w:t>
            </w:r>
            <w:r>
              <w:rPr>
                <w:rFonts w:hint="eastAsia" w:ascii="Times New Roman" w:hAnsi="Times New Roman" w:cs="Times New Roman" w:eastAsiaTheme="minorEastAsia"/>
                <w:sz w:val="24"/>
                <w:lang w:val="en-US" w:eastAsia="zh-CN"/>
              </w:rPr>
              <w:t>4</w:t>
            </w:r>
            <w:r>
              <w:rPr>
                <w:rFonts w:hint="eastAsia" w:ascii="Times New Roman" w:hAnsi="Times New Roman" w:cs="Times New Roman" w:eastAsiaTheme="minorEastAsia"/>
                <w:sz w:val="24"/>
              </w:rPr>
              <w:t>）</w:t>
            </w:r>
          </w:p>
        </w:tc>
        <w:tc>
          <w:tcPr>
            <w:tcW w:w="1462" w:type="dxa"/>
            <w:shd w:val="clear" w:color="auto" w:fill="auto"/>
            <w:vAlign w:val="center"/>
          </w:tcPr>
          <w:p w14:paraId="2341DDA5">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施工方案与技术措施</w:t>
            </w:r>
            <w:r>
              <w:rPr>
                <w:rFonts w:hint="eastAsia" w:ascii="Times New Roman" w:hAnsi="Times New Roman" w:cs="Times New Roman" w:eastAsiaTheme="minorEastAsia"/>
                <w:sz w:val="24"/>
                <w:lang w:val="en-US" w:eastAsia="zh-CN"/>
              </w:rPr>
              <w:t>（12分</w:t>
            </w:r>
            <w:r>
              <w:rPr>
                <w:rFonts w:hint="eastAsia" w:ascii="Times New Roman" w:hAnsi="Times New Roman" w:cs="Times New Roman" w:eastAsiaTheme="minorEastAsia"/>
                <w:sz w:val="24"/>
              </w:rPr>
              <w:t>）</w:t>
            </w:r>
          </w:p>
        </w:tc>
        <w:tc>
          <w:tcPr>
            <w:tcW w:w="913" w:type="dxa"/>
            <w:shd w:val="clear" w:color="auto" w:fill="auto"/>
            <w:vAlign w:val="center"/>
          </w:tcPr>
          <w:p w14:paraId="345113D7">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1</w:t>
            </w:r>
            <w:r>
              <w:rPr>
                <w:rFonts w:hint="eastAsia" w:ascii="Times New Roman" w:hAnsi="Times New Roman" w:cs="Times New Roman" w:eastAsiaTheme="minorEastAsia"/>
                <w:sz w:val="24"/>
                <w:lang w:val="en-US" w:eastAsia="zh-CN"/>
              </w:rPr>
              <w:t>2</w:t>
            </w:r>
          </w:p>
        </w:tc>
        <w:tc>
          <w:tcPr>
            <w:tcW w:w="4269" w:type="dxa"/>
            <w:shd w:val="clear" w:color="auto" w:fill="auto"/>
            <w:vAlign w:val="center"/>
          </w:tcPr>
          <w:p w14:paraId="42CF42A5">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（1）方案能保障质量、机械设备投入合理、技术措施有保障得1</w:t>
            </w:r>
            <w:r>
              <w:rPr>
                <w:rFonts w:hint="eastAsia" w:ascii="Times New Roman" w:hAnsi="Times New Roman" w:cs="Times New Roman" w:eastAsiaTheme="minorEastAsia"/>
                <w:sz w:val="24"/>
                <w:lang w:val="en-US" w:eastAsia="zh-CN"/>
              </w:rPr>
              <w:t>2</w:t>
            </w:r>
            <w:r>
              <w:rPr>
                <w:rFonts w:hint="eastAsia" w:ascii="Times New Roman" w:hAnsi="Times New Roman" w:cs="Times New Roman" w:eastAsiaTheme="minorEastAsia"/>
                <w:sz w:val="24"/>
              </w:rPr>
              <w:t>分；</w:t>
            </w:r>
          </w:p>
          <w:p w14:paraId="7B889B6D">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w:t>
            </w: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rPr>
              <w:t>方案能保障质量、机械设备投入基本合理、技术措施基本有保障得7分；</w:t>
            </w:r>
          </w:p>
          <w:p w14:paraId="12FFCC12">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（3）方案较能保障质量、机械设备投入较合理、技术措施一般得4分；</w:t>
            </w:r>
          </w:p>
          <w:p w14:paraId="0171629D">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（4）方案不能保障质量、机械设备投入不合理、技术措施差得1分。</w:t>
            </w:r>
          </w:p>
          <w:p w14:paraId="0C96D656">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（5）未提供得0分</w:t>
            </w:r>
            <w:r>
              <w:rPr>
                <w:rFonts w:hint="eastAsia" w:ascii="Times New Roman" w:hAnsi="Times New Roman" w:cs="Times New Roman" w:eastAsiaTheme="minorEastAsia"/>
                <w:sz w:val="24"/>
                <w:lang w:eastAsia="zh-CN"/>
              </w:rPr>
              <w:t>。</w:t>
            </w:r>
          </w:p>
        </w:tc>
        <w:tc>
          <w:tcPr>
            <w:tcW w:w="2149" w:type="dxa"/>
            <w:vAlign w:val="center"/>
          </w:tcPr>
          <w:p w14:paraId="3EEA1260">
            <w:pPr>
              <w:pStyle w:val="245"/>
              <w:spacing w:before="0" w:after="0" w:line="240" w:lineRule="auto"/>
              <w:rPr>
                <w:rFonts w:eastAsiaTheme="minorEastAsia"/>
                <w:szCs w:val="24"/>
              </w:rPr>
            </w:pPr>
          </w:p>
        </w:tc>
      </w:tr>
      <w:tr w14:paraId="069E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2237C5D0">
            <w:pPr>
              <w:ind w:firstLine="28"/>
              <w:jc w:val="center"/>
              <w:rPr>
                <w:rFonts w:ascii="Times New Roman" w:hAnsi="Times New Roman" w:cs="Times New Roman" w:eastAsiaTheme="minorEastAsia"/>
                <w:sz w:val="24"/>
              </w:rPr>
            </w:pPr>
          </w:p>
        </w:tc>
        <w:tc>
          <w:tcPr>
            <w:tcW w:w="1462" w:type="dxa"/>
            <w:shd w:val="clear" w:color="auto" w:fill="auto"/>
            <w:vAlign w:val="center"/>
          </w:tcPr>
          <w:p w14:paraId="676228E4">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质量保证</w:t>
            </w:r>
            <w:r>
              <w:rPr>
                <w:rFonts w:hint="eastAsia" w:ascii="Times New Roman" w:hAnsi="Times New Roman" w:cs="Times New Roman" w:eastAsiaTheme="minorEastAsia"/>
                <w:sz w:val="24"/>
                <w:lang w:val="en-US" w:eastAsia="zh-CN"/>
              </w:rPr>
              <w:t>措施（12分</w:t>
            </w:r>
            <w:r>
              <w:rPr>
                <w:rFonts w:hint="eastAsia" w:ascii="Times New Roman" w:hAnsi="Times New Roman" w:cs="Times New Roman" w:eastAsiaTheme="minorEastAsia"/>
                <w:sz w:val="24"/>
              </w:rPr>
              <w:t>）</w:t>
            </w:r>
          </w:p>
        </w:tc>
        <w:tc>
          <w:tcPr>
            <w:tcW w:w="913" w:type="dxa"/>
            <w:shd w:val="clear" w:color="auto" w:fill="auto"/>
            <w:vAlign w:val="center"/>
          </w:tcPr>
          <w:p w14:paraId="0FE60CF2">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1</w:t>
            </w:r>
            <w:r>
              <w:rPr>
                <w:rFonts w:hint="eastAsia" w:ascii="Times New Roman" w:hAnsi="Times New Roman" w:cs="Times New Roman" w:eastAsiaTheme="minorEastAsia"/>
                <w:sz w:val="24"/>
                <w:lang w:val="en-US" w:eastAsia="zh-CN"/>
              </w:rPr>
              <w:t>2</w:t>
            </w:r>
          </w:p>
        </w:tc>
        <w:tc>
          <w:tcPr>
            <w:tcW w:w="4269" w:type="dxa"/>
            <w:shd w:val="clear" w:color="auto" w:fill="auto"/>
            <w:vAlign w:val="center"/>
          </w:tcPr>
          <w:p w14:paraId="45E0B3C7">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（1）该措施依据本项目编制，安全管理规范、保障措施详细可行、合理性强，得1</w:t>
            </w:r>
            <w:r>
              <w:rPr>
                <w:rFonts w:hint="eastAsia" w:ascii="Times New Roman" w:hAnsi="Times New Roman" w:cs="Times New Roman" w:eastAsiaTheme="minorEastAsia"/>
                <w:sz w:val="24"/>
                <w:lang w:val="en-US" w:eastAsia="zh-CN"/>
              </w:rPr>
              <w:t>2</w:t>
            </w:r>
            <w:r>
              <w:rPr>
                <w:rFonts w:hint="eastAsia" w:ascii="Times New Roman" w:hAnsi="Times New Roman" w:cs="Times New Roman" w:eastAsiaTheme="minorEastAsia"/>
                <w:sz w:val="24"/>
              </w:rPr>
              <w:t>分；</w:t>
            </w:r>
          </w:p>
          <w:p w14:paraId="3AB9A047">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（2）该措施依据本项目编制，安全管理规范、保障措施可行、较合理，得8分；</w:t>
            </w:r>
          </w:p>
          <w:p w14:paraId="200B2A56">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（3）该措施贴近本项目编制，安全管理较规范、保障措施可行性一般、合理性一般，得6分；</w:t>
            </w:r>
          </w:p>
          <w:p w14:paraId="577C9572">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（4）安全管理规范、保障措施差、基本满足要求，得4分；</w:t>
            </w:r>
          </w:p>
          <w:p w14:paraId="02DAB6A0">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（5）该措施未贴近本项目编制，安全管理不规范，保障措施很差，无法满足该项目要求得1分；</w:t>
            </w:r>
          </w:p>
          <w:p w14:paraId="0B4C72E8">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（6）未提供不得分。</w:t>
            </w:r>
          </w:p>
        </w:tc>
        <w:tc>
          <w:tcPr>
            <w:tcW w:w="2149" w:type="dxa"/>
            <w:vAlign w:val="center"/>
          </w:tcPr>
          <w:p w14:paraId="0B75CB72">
            <w:pPr>
              <w:pStyle w:val="245"/>
              <w:spacing w:before="0" w:after="0" w:line="240" w:lineRule="auto"/>
              <w:rPr>
                <w:rFonts w:eastAsiaTheme="minorEastAsia"/>
                <w:szCs w:val="24"/>
              </w:rPr>
            </w:pPr>
          </w:p>
        </w:tc>
      </w:tr>
      <w:tr w14:paraId="646AE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835" w:type="dxa"/>
            <w:vMerge w:val="continue"/>
            <w:vAlign w:val="center"/>
          </w:tcPr>
          <w:p w14:paraId="4978FD0E">
            <w:pPr>
              <w:ind w:firstLine="28"/>
              <w:jc w:val="center"/>
              <w:rPr>
                <w:rFonts w:ascii="Times New Roman" w:hAnsi="Times New Roman" w:cs="Times New Roman" w:eastAsiaTheme="minorEastAsia"/>
                <w:sz w:val="24"/>
              </w:rPr>
            </w:pPr>
          </w:p>
        </w:tc>
        <w:tc>
          <w:tcPr>
            <w:tcW w:w="1462" w:type="dxa"/>
            <w:shd w:val="clear" w:color="auto" w:fill="auto"/>
            <w:vAlign w:val="center"/>
          </w:tcPr>
          <w:p w14:paraId="5CD16E4A">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安全文明施工方案及保障措施(8分）</w:t>
            </w:r>
          </w:p>
        </w:tc>
        <w:tc>
          <w:tcPr>
            <w:tcW w:w="913" w:type="dxa"/>
            <w:shd w:val="clear" w:color="auto" w:fill="auto"/>
            <w:vAlign w:val="center"/>
          </w:tcPr>
          <w:p w14:paraId="62DD04CF">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8</w:t>
            </w:r>
          </w:p>
        </w:tc>
        <w:tc>
          <w:tcPr>
            <w:tcW w:w="4269" w:type="dxa"/>
            <w:shd w:val="clear" w:color="auto" w:fill="auto"/>
            <w:vAlign w:val="center"/>
          </w:tcPr>
          <w:p w14:paraId="5A37BBE3">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lang w:val="en-US" w:eastAsia="zh-CN"/>
              </w:rPr>
              <w:t>1</w:t>
            </w: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rPr>
              <w:t>方案针对性强、措施科学、合理得8分；</w:t>
            </w:r>
          </w:p>
          <w:p w14:paraId="2BA6AF39">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lang w:val="en-US" w:eastAsia="zh-CN"/>
              </w:rPr>
              <w:t>2</w:t>
            </w: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rPr>
              <w:t>方案针对性较好、措施较科学、合理得5分；</w:t>
            </w:r>
          </w:p>
          <w:p w14:paraId="64A18C47">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lang w:val="en-US" w:eastAsia="zh-CN"/>
              </w:rPr>
              <w:t>3</w:t>
            </w: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rPr>
              <w:t>方案针对性一般、措施可行性一般得2分；</w:t>
            </w:r>
          </w:p>
          <w:p w14:paraId="537CBD8C">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lang w:val="en-US" w:eastAsia="zh-CN"/>
              </w:rPr>
              <w:t>4</w:t>
            </w:r>
            <w:r>
              <w:rPr>
                <w:rFonts w:hint="eastAsia" w:ascii="Times New Roman" w:hAnsi="Times New Roman" w:cs="Times New Roman" w:eastAsiaTheme="minorEastAsia"/>
                <w:sz w:val="24"/>
                <w:lang w:eastAsia="zh-CN"/>
              </w:rPr>
              <w:t>）</w:t>
            </w:r>
            <w:r>
              <w:rPr>
                <w:rFonts w:hint="eastAsia" w:ascii="Times New Roman" w:hAnsi="Times New Roman" w:cs="Times New Roman" w:eastAsiaTheme="minorEastAsia"/>
                <w:sz w:val="24"/>
              </w:rPr>
              <w:t>方案针对性差，措施欠合理或未提供相关方案得0分。</w:t>
            </w:r>
          </w:p>
        </w:tc>
        <w:tc>
          <w:tcPr>
            <w:tcW w:w="2149" w:type="dxa"/>
            <w:vAlign w:val="center"/>
          </w:tcPr>
          <w:p w14:paraId="3AB01F7A">
            <w:pPr>
              <w:pStyle w:val="245"/>
              <w:spacing w:before="0" w:after="0" w:line="240" w:lineRule="auto"/>
              <w:rPr>
                <w:rFonts w:eastAsiaTheme="minorEastAsia"/>
                <w:szCs w:val="24"/>
              </w:rPr>
            </w:pPr>
          </w:p>
        </w:tc>
      </w:tr>
      <w:tr w14:paraId="6B5BB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037CE96A">
            <w:pPr>
              <w:ind w:firstLine="28"/>
              <w:jc w:val="center"/>
              <w:rPr>
                <w:rFonts w:ascii="Times New Roman" w:hAnsi="Times New Roman" w:cs="Times New Roman" w:eastAsiaTheme="minorEastAsia"/>
                <w:sz w:val="24"/>
              </w:rPr>
            </w:pPr>
          </w:p>
        </w:tc>
        <w:tc>
          <w:tcPr>
            <w:tcW w:w="1462" w:type="dxa"/>
            <w:shd w:val="clear" w:color="auto" w:fill="auto"/>
            <w:vAlign w:val="center"/>
          </w:tcPr>
          <w:p w14:paraId="3E17E061">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工程进度计划及保障措施（</w:t>
            </w:r>
            <w:r>
              <w:rPr>
                <w:rFonts w:hint="eastAsia" w:ascii="Times New Roman" w:hAnsi="Times New Roman" w:cs="Times New Roman" w:eastAsiaTheme="minorEastAsia"/>
                <w:sz w:val="24"/>
                <w:lang w:val="en-US" w:eastAsia="zh-CN"/>
              </w:rPr>
              <w:t>8</w:t>
            </w:r>
            <w:r>
              <w:rPr>
                <w:rFonts w:hint="eastAsia" w:ascii="Times New Roman" w:hAnsi="Times New Roman" w:cs="Times New Roman" w:eastAsiaTheme="minorEastAsia"/>
                <w:sz w:val="24"/>
              </w:rPr>
              <w:t>分）</w:t>
            </w:r>
          </w:p>
        </w:tc>
        <w:tc>
          <w:tcPr>
            <w:tcW w:w="913" w:type="dxa"/>
            <w:shd w:val="clear" w:color="auto" w:fill="auto"/>
            <w:vAlign w:val="center"/>
          </w:tcPr>
          <w:p w14:paraId="139DAB51">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lang w:val="en-US" w:eastAsia="zh-CN"/>
              </w:rPr>
              <w:t>8</w:t>
            </w:r>
          </w:p>
        </w:tc>
        <w:tc>
          <w:tcPr>
            <w:tcW w:w="4269" w:type="dxa"/>
            <w:shd w:val="clear" w:color="auto" w:fill="auto"/>
            <w:vAlign w:val="center"/>
          </w:tcPr>
          <w:p w14:paraId="4B106DED">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（1）计划合理，措施有力，有针对性得</w:t>
            </w:r>
            <w:r>
              <w:rPr>
                <w:rFonts w:hint="eastAsia" w:ascii="Times New Roman" w:hAnsi="Times New Roman" w:cs="Times New Roman" w:eastAsiaTheme="minorEastAsia"/>
                <w:sz w:val="24"/>
                <w:lang w:val="en-US" w:eastAsia="zh-CN"/>
              </w:rPr>
              <w:t>8</w:t>
            </w:r>
            <w:r>
              <w:rPr>
                <w:rFonts w:hint="eastAsia" w:ascii="Times New Roman" w:hAnsi="Times New Roman" w:cs="Times New Roman" w:eastAsiaTheme="minorEastAsia"/>
                <w:sz w:val="24"/>
              </w:rPr>
              <w:t>分；</w:t>
            </w:r>
          </w:p>
          <w:p w14:paraId="5CF2FCD3">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（2）计划较合理，措施力度较得当得5分；</w:t>
            </w:r>
          </w:p>
          <w:p w14:paraId="3CB39CE3">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（3）计划基本合理，措施力度基本得当得3分；</w:t>
            </w:r>
          </w:p>
          <w:p w14:paraId="0A48BC0C">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（4）欠合理或未提供相关方案得0分。</w:t>
            </w:r>
          </w:p>
        </w:tc>
        <w:tc>
          <w:tcPr>
            <w:tcW w:w="2149" w:type="dxa"/>
            <w:vAlign w:val="center"/>
          </w:tcPr>
          <w:p w14:paraId="03B729D6">
            <w:pPr>
              <w:pStyle w:val="245"/>
              <w:spacing w:before="0" w:after="0" w:line="240" w:lineRule="auto"/>
              <w:rPr>
                <w:rFonts w:eastAsiaTheme="minorEastAsia"/>
                <w:szCs w:val="24"/>
              </w:rPr>
            </w:pPr>
          </w:p>
        </w:tc>
      </w:tr>
      <w:tr w14:paraId="745C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835" w:type="dxa"/>
            <w:vMerge w:val="continue"/>
            <w:vAlign w:val="center"/>
          </w:tcPr>
          <w:p w14:paraId="608F374D">
            <w:pPr>
              <w:ind w:firstLine="28"/>
              <w:jc w:val="center"/>
              <w:rPr>
                <w:rFonts w:ascii="Times New Roman" w:hAnsi="Times New Roman" w:cs="Times New Roman" w:eastAsiaTheme="minorEastAsia"/>
                <w:sz w:val="24"/>
              </w:rPr>
            </w:pPr>
          </w:p>
        </w:tc>
        <w:tc>
          <w:tcPr>
            <w:tcW w:w="1462" w:type="dxa"/>
            <w:shd w:val="clear" w:color="auto" w:fill="auto"/>
            <w:vAlign w:val="center"/>
          </w:tcPr>
          <w:p w14:paraId="5B56815C">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施工现场总平面布置（6分）</w:t>
            </w:r>
          </w:p>
        </w:tc>
        <w:tc>
          <w:tcPr>
            <w:tcW w:w="913" w:type="dxa"/>
            <w:shd w:val="clear" w:color="auto" w:fill="auto"/>
            <w:vAlign w:val="center"/>
          </w:tcPr>
          <w:p w14:paraId="7174C0CF">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6</w:t>
            </w:r>
          </w:p>
        </w:tc>
        <w:tc>
          <w:tcPr>
            <w:tcW w:w="4269" w:type="dxa"/>
            <w:shd w:val="clear" w:color="auto" w:fill="auto"/>
            <w:vAlign w:val="center"/>
          </w:tcPr>
          <w:p w14:paraId="4224E6B9">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（1）现场平面布置合理,交通组织,材料存放满足施工要求得6分；</w:t>
            </w:r>
          </w:p>
          <w:p w14:paraId="1A995BF6">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（2）现场平面布置较合理、交通组织,材料存放一般满足施工要求得4分；</w:t>
            </w:r>
          </w:p>
          <w:p w14:paraId="1CAA355A">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（3）现场平面布置一般、交通组织,材料存放较差得2分；</w:t>
            </w:r>
          </w:p>
          <w:p w14:paraId="2F61A714">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（4）现场平面布置欠完善或不可行得1分；</w:t>
            </w:r>
          </w:p>
          <w:p w14:paraId="3B6653F1">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（5）未提供得0分。</w:t>
            </w:r>
          </w:p>
        </w:tc>
        <w:tc>
          <w:tcPr>
            <w:tcW w:w="2149" w:type="dxa"/>
            <w:vAlign w:val="center"/>
          </w:tcPr>
          <w:p w14:paraId="2B8314FD">
            <w:pPr>
              <w:pStyle w:val="245"/>
              <w:spacing w:before="0" w:after="0" w:line="240" w:lineRule="auto"/>
              <w:rPr>
                <w:rFonts w:eastAsiaTheme="minorEastAsia"/>
                <w:szCs w:val="24"/>
              </w:rPr>
            </w:pPr>
          </w:p>
        </w:tc>
      </w:tr>
      <w:tr w14:paraId="4ED7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691107B4">
            <w:pPr>
              <w:ind w:firstLine="28"/>
              <w:jc w:val="center"/>
              <w:rPr>
                <w:rFonts w:ascii="Times New Roman" w:hAnsi="Times New Roman" w:cs="Times New Roman" w:eastAsiaTheme="minorEastAsia"/>
                <w:sz w:val="24"/>
              </w:rPr>
            </w:pPr>
          </w:p>
        </w:tc>
        <w:tc>
          <w:tcPr>
            <w:tcW w:w="1462" w:type="dxa"/>
            <w:shd w:val="clear" w:color="auto" w:fill="auto"/>
            <w:vAlign w:val="center"/>
          </w:tcPr>
          <w:p w14:paraId="09E82EF0">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材料设备选用</w:t>
            </w:r>
            <w:r>
              <w:rPr>
                <w:rFonts w:hint="eastAsia" w:ascii="Times New Roman" w:hAnsi="Times New Roman" w:cs="Times New Roman" w:eastAsiaTheme="minorEastAsia"/>
                <w:sz w:val="24"/>
                <w:lang w:val="en-US" w:eastAsia="zh-CN"/>
              </w:rPr>
              <w:t>（8分）</w:t>
            </w:r>
          </w:p>
        </w:tc>
        <w:tc>
          <w:tcPr>
            <w:tcW w:w="913" w:type="dxa"/>
            <w:shd w:val="clear" w:color="auto" w:fill="auto"/>
            <w:vAlign w:val="center"/>
          </w:tcPr>
          <w:p w14:paraId="19AFF34A">
            <w:pPr>
              <w:ind w:firstLine="28"/>
              <w:jc w:val="center"/>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8</w:t>
            </w:r>
          </w:p>
        </w:tc>
        <w:tc>
          <w:tcPr>
            <w:tcW w:w="4269" w:type="dxa"/>
            <w:shd w:val="clear" w:color="auto" w:fill="auto"/>
            <w:vAlign w:val="center"/>
          </w:tcPr>
          <w:p w14:paraId="474C5825">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（1）</w:t>
            </w:r>
            <w:r>
              <w:rPr>
                <w:rFonts w:hint="eastAsia" w:ascii="Times New Roman" w:hAnsi="Times New Roman" w:cs="Times New Roman" w:eastAsiaTheme="minorEastAsia"/>
                <w:sz w:val="24"/>
                <w:lang w:val="en-US" w:eastAsia="zh-CN"/>
              </w:rPr>
              <w:t>材料设备品牌质量好</w:t>
            </w:r>
            <w:r>
              <w:rPr>
                <w:rFonts w:hint="eastAsia" w:ascii="Times New Roman" w:hAnsi="Times New Roman" w:cs="Times New Roman" w:eastAsiaTheme="minorEastAsia"/>
                <w:sz w:val="24"/>
              </w:rPr>
              <w:t>、符合标准、安全可靠、性价比高得8分；</w:t>
            </w:r>
          </w:p>
          <w:p w14:paraId="20F80264">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（2）</w:t>
            </w:r>
            <w:r>
              <w:rPr>
                <w:rFonts w:hint="eastAsia" w:ascii="Times New Roman" w:hAnsi="Times New Roman" w:cs="Times New Roman" w:eastAsiaTheme="minorEastAsia"/>
                <w:sz w:val="24"/>
                <w:lang w:val="en-US" w:eastAsia="zh-CN"/>
              </w:rPr>
              <w:t>材料设备品牌质量好</w:t>
            </w:r>
            <w:r>
              <w:rPr>
                <w:rFonts w:hint="eastAsia" w:ascii="Times New Roman" w:hAnsi="Times New Roman" w:cs="Times New Roman" w:eastAsiaTheme="minorEastAsia"/>
                <w:sz w:val="24"/>
              </w:rPr>
              <w:t>、安全性方面较好、性价比较高得5分 ；</w:t>
            </w:r>
          </w:p>
          <w:p w14:paraId="1B28AE44">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（3）</w:t>
            </w:r>
            <w:r>
              <w:rPr>
                <w:rFonts w:hint="eastAsia" w:ascii="Times New Roman" w:hAnsi="Times New Roman" w:cs="Times New Roman" w:eastAsiaTheme="minorEastAsia"/>
                <w:sz w:val="24"/>
                <w:lang w:val="en-US" w:eastAsia="zh-CN"/>
              </w:rPr>
              <w:t>材料设备品牌质量一般</w:t>
            </w:r>
            <w:r>
              <w:rPr>
                <w:rFonts w:hint="eastAsia" w:ascii="Times New Roman" w:hAnsi="Times New Roman" w:cs="Times New Roman" w:eastAsiaTheme="minorEastAsia"/>
                <w:sz w:val="24"/>
              </w:rPr>
              <w:t>、安全性方面一般、性价比一般，基本满足要求得3分；</w:t>
            </w:r>
          </w:p>
          <w:p w14:paraId="00B64798">
            <w:pPr>
              <w:ind w:firstLine="28"/>
              <w:jc w:val="left"/>
              <w:rPr>
                <w:rFonts w:hint="eastAsia" w:ascii="Times New Roman" w:hAnsi="Times New Roman" w:cs="Times New Roman" w:eastAsiaTheme="minorEastAsia"/>
                <w:sz w:val="24"/>
              </w:rPr>
            </w:pPr>
            <w:r>
              <w:rPr>
                <w:rFonts w:hint="eastAsia" w:ascii="Times New Roman" w:hAnsi="Times New Roman" w:cs="Times New Roman" w:eastAsiaTheme="minorEastAsia"/>
                <w:sz w:val="24"/>
              </w:rPr>
              <w:t>（4）</w:t>
            </w:r>
            <w:r>
              <w:rPr>
                <w:rFonts w:hint="eastAsia" w:ascii="Times New Roman" w:hAnsi="Times New Roman" w:cs="Times New Roman" w:eastAsiaTheme="minorEastAsia"/>
                <w:sz w:val="24"/>
                <w:lang w:val="en-US" w:eastAsia="zh-CN"/>
              </w:rPr>
              <w:t>材料设备品牌质量</w:t>
            </w:r>
            <w:r>
              <w:rPr>
                <w:rFonts w:hint="eastAsia" w:ascii="Times New Roman" w:hAnsi="Times New Roman" w:cs="Times New Roman" w:eastAsiaTheme="minorEastAsia"/>
                <w:sz w:val="24"/>
              </w:rPr>
              <w:t>差、安全性方面差、性价比差，不满足要求得1分；</w:t>
            </w:r>
          </w:p>
          <w:p w14:paraId="2755D822">
            <w:pPr>
              <w:ind w:firstLine="28"/>
              <w:jc w:val="left"/>
              <w:rPr>
                <w:rFonts w:hint="eastAsia" w:ascii="Times New Roman" w:hAnsi="Times New Roman" w:cs="Times New Roman" w:eastAsiaTheme="minorEastAsia"/>
                <w:sz w:val="24"/>
                <w:lang w:val="en-US" w:eastAsia="zh-CN"/>
              </w:rPr>
            </w:pPr>
            <w:r>
              <w:rPr>
                <w:rFonts w:hint="eastAsia" w:ascii="Times New Roman" w:hAnsi="Times New Roman" w:cs="Times New Roman" w:eastAsiaTheme="minorEastAsia"/>
                <w:sz w:val="24"/>
              </w:rPr>
              <w:t>（5）未提供得0分。</w:t>
            </w:r>
          </w:p>
        </w:tc>
        <w:tc>
          <w:tcPr>
            <w:tcW w:w="2149" w:type="dxa"/>
            <w:vAlign w:val="center"/>
          </w:tcPr>
          <w:p w14:paraId="5C6CA3E2">
            <w:pPr>
              <w:pStyle w:val="245"/>
              <w:spacing w:before="0" w:after="0" w:line="240" w:lineRule="auto"/>
              <w:rPr>
                <w:rFonts w:eastAsiaTheme="minorEastAsia"/>
                <w:szCs w:val="24"/>
              </w:rPr>
            </w:pPr>
          </w:p>
        </w:tc>
      </w:tr>
      <w:tr w14:paraId="2721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6396EAD8">
            <w:pPr>
              <w:ind w:firstLine="28"/>
              <w:jc w:val="center"/>
              <w:rPr>
                <w:rFonts w:hint="default" w:eastAsiaTheme="minorEastAsia"/>
                <w:sz w:val="24"/>
                <w:lang w:val="en-US" w:eastAsia="zh-CN"/>
              </w:rPr>
            </w:pPr>
            <w:r>
              <w:rPr>
                <w:rFonts w:hint="eastAsia" w:eastAsiaTheme="minorEastAsia"/>
                <w:sz w:val="24"/>
                <w:lang w:val="en-US" w:eastAsia="zh-CN"/>
              </w:rPr>
              <w:t>30</w:t>
            </w:r>
          </w:p>
        </w:tc>
        <w:tc>
          <w:tcPr>
            <w:tcW w:w="1462" w:type="dxa"/>
            <w:vAlign w:val="center"/>
          </w:tcPr>
          <w:p w14:paraId="65ECF9A6">
            <w:pPr>
              <w:ind w:firstLine="28"/>
              <w:jc w:val="center"/>
              <w:rPr>
                <w:rFonts w:eastAsiaTheme="minorEastAsia"/>
                <w:sz w:val="24"/>
              </w:rPr>
            </w:pPr>
            <w:r>
              <w:rPr>
                <w:rFonts w:eastAsiaTheme="minorEastAsia"/>
                <w:sz w:val="24"/>
              </w:rPr>
              <w:t>报价</w:t>
            </w:r>
          </w:p>
        </w:tc>
        <w:tc>
          <w:tcPr>
            <w:tcW w:w="913" w:type="dxa"/>
            <w:vAlign w:val="center"/>
          </w:tcPr>
          <w:p w14:paraId="4F324E3D">
            <w:pPr>
              <w:ind w:firstLine="28"/>
              <w:jc w:val="center"/>
              <w:rPr>
                <w:rFonts w:hint="default" w:eastAsiaTheme="minorEastAsia"/>
                <w:sz w:val="24"/>
                <w:lang w:val="en-US" w:eastAsia="zh-CN"/>
              </w:rPr>
            </w:pPr>
            <w:r>
              <w:rPr>
                <w:rFonts w:hint="eastAsia" w:eastAsiaTheme="minorEastAsia"/>
                <w:sz w:val="24"/>
                <w:lang w:val="en-US" w:eastAsia="zh-CN"/>
              </w:rPr>
              <w:t>30</w:t>
            </w:r>
          </w:p>
        </w:tc>
        <w:tc>
          <w:tcPr>
            <w:tcW w:w="4269" w:type="dxa"/>
            <w:vAlign w:val="center"/>
          </w:tcPr>
          <w:p w14:paraId="626772EC">
            <w:pPr>
              <w:ind w:firstLine="28"/>
              <w:jc w:val="left"/>
              <w:rPr>
                <w:rFonts w:eastAsiaTheme="minorEastAsia"/>
                <w:sz w:val="24"/>
              </w:rPr>
            </w:pPr>
            <w:r>
              <w:rPr>
                <w:rFonts w:eastAsiaTheme="minorEastAsia"/>
                <w:sz w:val="24"/>
              </w:rPr>
              <w:t>满足磋商文件要求的最后报价最低的供应商的价格为磋商基准价，其价格分为满分。其他供应商的价格分统一按照下列公式计算：</w:t>
            </w:r>
          </w:p>
          <w:p w14:paraId="3ACA8A8D">
            <w:pPr>
              <w:ind w:firstLine="28"/>
              <w:jc w:val="left"/>
              <w:rPr>
                <w:rFonts w:eastAsiaTheme="minorEastAsia"/>
                <w:sz w:val="24"/>
              </w:rPr>
            </w:pPr>
            <w:r>
              <w:rPr>
                <w:rFonts w:eastAsiaTheme="minorEastAsia"/>
                <w:sz w:val="24"/>
              </w:rPr>
              <w:t>磋商报价得分=（磋商基准价/最后报价）×分值</w:t>
            </w:r>
          </w:p>
        </w:tc>
        <w:tc>
          <w:tcPr>
            <w:tcW w:w="2149" w:type="dxa"/>
            <w:vAlign w:val="center"/>
          </w:tcPr>
          <w:p w14:paraId="0732137A">
            <w:pPr>
              <w:ind w:left="-38"/>
              <w:rPr>
                <w:rFonts w:eastAsiaTheme="minorEastAsia"/>
                <w:sz w:val="24"/>
              </w:rPr>
            </w:pPr>
            <w:r>
              <w:rPr>
                <w:rFonts w:eastAsiaTheme="minorEastAsia"/>
                <w:sz w:val="24"/>
              </w:rPr>
              <w:t>此处最后报价指经过报价修正，及因落实政府采购政策进行价格调整后的报价，详见第三章《评审方法和评审标准》3.2、3.3</w:t>
            </w:r>
          </w:p>
        </w:tc>
      </w:tr>
      <w:tr w14:paraId="1E795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73A8275B">
            <w:pPr>
              <w:ind w:firstLine="28"/>
              <w:jc w:val="center"/>
              <w:rPr>
                <w:rFonts w:eastAsiaTheme="minorEastAsia"/>
                <w:sz w:val="24"/>
              </w:rPr>
            </w:pPr>
            <w:r>
              <w:rPr>
                <w:rFonts w:eastAsiaTheme="minorEastAsia"/>
                <w:sz w:val="24"/>
              </w:rPr>
              <w:t>合计</w:t>
            </w:r>
          </w:p>
        </w:tc>
        <w:tc>
          <w:tcPr>
            <w:tcW w:w="913" w:type="dxa"/>
            <w:vAlign w:val="center"/>
          </w:tcPr>
          <w:p w14:paraId="14FAC51F">
            <w:pPr>
              <w:ind w:firstLine="28"/>
              <w:jc w:val="center"/>
              <w:rPr>
                <w:rFonts w:eastAsiaTheme="minorEastAsia"/>
                <w:sz w:val="24"/>
              </w:rPr>
            </w:pPr>
            <w:r>
              <w:rPr>
                <w:rFonts w:eastAsiaTheme="minorEastAsia"/>
                <w:sz w:val="24"/>
              </w:rPr>
              <w:t>100</w:t>
            </w:r>
          </w:p>
        </w:tc>
        <w:tc>
          <w:tcPr>
            <w:tcW w:w="6418" w:type="dxa"/>
            <w:gridSpan w:val="2"/>
            <w:vAlign w:val="center"/>
          </w:tcPr>
          <w:p w14:paraId="736901DD">
            <w:pPr>
              <w:rPr>
                <w:rFonts w:eastAsiaTheme="minorEastAsia"/>
                <w:sz w:val="24"/>
              </w:rPr>
            </w:pPr>
          </w:p>
        </w:tc>
      </w:tr>
    </w:tbl>
    <w:p w14:paraId="4C0BB55A">
      <w:pPr>
        <w:tabs>
          <w:tab w:val="left" w:pos="360"/>
          <w:tab w:val="left" w:pos="1080"/>
        </w:tabs>
        <w:snapToGrid w:val="0"/>
        <w:spacing w:line="360" w:lineRule="auto"/>
        <w:ind w:left="1080"/>
        <w:rPr>
          <w:rFonts w:eastAsiaTheme="minorEastAsia"/>
          <w:color w:val="000000"/>
          <w:sz w:val="24"/>
        </w:rPr>
      </w:pPr>
    </w:p>
    <w:p w14:paraId="3208E1AC">
      <w:pPr>
        <w:widowControl/>
        <w:jc w:val="left"/>
        <w:rPr>
          <w:rFonts w:eastAsiaTheme="minorEastAsia"/>
          <w:b/>
          <w:sz w:val="36"/>
          <w:szCs w:val="36"/>
        </w:rPr>
      </w:pPr>
    </w:p>
    <w:p w14:paraId="56A745EE">
      <w:pPr>
        <w:spacing w:line="360" w:lineRule="auto"/>
        <w:jc w:val="center"/>
        <w:outlineLvl w:val="0"/>
        <w:rPr>
          <w:rFonts w:eastAsiaTheme="minorEastAsia"/>
          <w:b/>
          <w:sz w:val="36"/>
          <w:szCs w:val="36"/>
        </w:rPr>
      </w:pPr>
      <w:r>
        <w:rPr>
          <w:rFonts w:eastAsiaTheme="minorEastAsia"/>
          <w:b/>
          <w:sz w:val="36"/>
          <w:szCs w:val="36"/>
        </w:rPr>
        <w:br w:type="page"/>
      </w:r>
      <w:bookmarkStart w:id="671" w:name="_Toc97371945"/>
      <w:r>
        <w:rPr>
          <w:rFonts w:eastAsiaTheme="minorEastAsia"/>
          <w:b/>
          <w:sz w:val="36"/>
          <w:szCs w:val="36"/>
        </w:rPr>
        <w:t>第四章   采购需求</w:t>
      </w:r>
      <w:bookmarkEnd w:id="671"/>
    </w:p>
    <w:p w14:paraId="121CAB8E">
      <w:pPr>
        <w:spacing w:line="360" w:lineRule="auto"/>
        <w:contextualSpacing/>
        <w:rPr>
          <w:sz w:val="24"/>
        </w:rPr>
      </w:pPr>
    </w:p>
    <w:p w14:paraId="5587D92A">
      <w:pPr>
        <w:pStyle w:val="72"/>
        <w:numPr>
          <w:ilvl w:val="0"/>
          <w:numId w:val="12"/>
        </w:numPr>
        <w:spacing w:line="36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p w14:paraId="393EB241">
      <w:pPr>
        <w:widowControl/>
        <w:spacing w:line="480" w:lineRule="auto"/>
        <w:contextualSpacing w:val="0"/>
        <w:jc w:val="left"/>
        <w:rPr>
          <w:rFonts w:hint="eastAsia" w:ascii="宋体" w:hAnsi="宋体" w:eastAsia="宋体" w:cs="宋体"/>
          <w:bCs w:val="0"/>
          <w:color w:val="auto"/>
          <w:kern w:val="0"/>
          <w:sz w:val="24"/>
          <w:highlight w:val="none"/>
          <w:lang w:eastAsia="zh-CN" w:bidi="ar"/>
        </w:rPr>
      </w:pPr>
      <w:r>
        <w:rPr>
          <w:rFonts w:hint="eastAsia" w:ascii="宋体" w:hAnsi="宋体" w:eastAsia="宋体" w:cs="宋体"/>
          <w:bCs w:val="0"/>
          <w:color w:val="auto"/>
          <w:kern w:val="0"/>
          <w:sz w:val="24"/>
          <w:highlight w:val="none"/>
          <w:lang w:bidi="ar"/>
        </w:rPr>
        <w:t>1.采购标的：</w:t>
      </w:r>
      <w:r>
        <w:rPr>
          <w:rFonts w:hint="eastAsia" w:ascii="宋体" w:hAnsi="宋体" w:eastAsia="宋体" w:cs="宋体"/>
          <w:bCs w:val="0"/>
          <w:color w:val="auto"/>
          <w:kern w:val="0"/>
          <w:sz w:val="24"/>
          <w:highlight w:val="none"/>
          <w:lang w:val="en-US" w:eastAsia="zh-CN" w:bidi="ar"/>
        </w:rPr>
        <w:t>昌平区延寿镇北庄村防洪沟治理应急度汛项目</w:t>
      </w:r>
    </w:p>
    <w:p w14:paraId="134B0242">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2、预算金额：392.64271万</w:t>
      </w:r>
      <w:r>
        <w:rPr>
          <w:rFonts w:eastAsiaTheme="minorEastAsia"/>
          <w:sz w:val="24"/>
        </w:rPr>
        <w:t>元</w:t>
      </w:r>
      <w:r>
        <w:rPr>
          <w:rFonts w:hint="eastAsia" w:ascii="宋体" w:hAnsi="宋体" w:eastAsia="宋体" w:cs="宋体"/>
          <w:color w:val="auto"/>
          <w:kern w:val="0"/>
          <w:sz w:val="24"/>
          <w:highlight w:val="none"/>
          <w:lang w:val="en-US" w:eastAsia="zh-CN" w:bidi="ar"/>
        </w:rPr>
        <w:t>、项目最高限价：392.64271万元。</w:t>
      </w:r>
    </w:p>
    <w:p w14:paraId="6E93461E">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3、项目需求：</w:t>
      </w:r>
    </w:p>
    <w:p w14:paraId="4777DF50">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（1）主要建设内容为</w:t>
      </w:r>
      <w:r>
        <w:rPr>
          <w:rFonts w:hint="eastAsia" w:ascii="宋体" w:hAnsi="宋体" w:cs="宋体"/>
          <w:color w:val="auto"/>
          <w:kern w:val="0"/>
          <w:sz w:val="24"/>
          <w:highlight w:val="none"/>
          <w:lang w:val="en-US" w:eastAsia="zh-CN" w:bidi="ar"/>
        </w:rPr>
        <w:t>防</w:t>
      </w:r>
      <w:r>
        <w:rPr>
          <w:rFonts w:hint="eastAsia" w:ascii="宋体" w:hAnsi="宋体" w:eastAsia="宋体" w:cs="宋体"/>
          <w:color w:val="auto"/>
          <w:kern w:val="0"/>
          <w:sz w:val="24"/>
          <w:highlight w:val="none"/>
          <w:lang w:val="en-US" w:eastAsia="zh-CN" w:bidi="ar"/>
        </w:rPr>
        <w:t>洪沟挡墙拆除重建。沿</w:t>
      </w:r>
      <w:r>
        <w:rPr>
          <w:rFonts w:hint="eastAsia" w:ascii="宋体" w:hAnsi="宋体" w:cs="宋体"/>
          <w:color w:val="auto"/>
          <w:kern w:val="0"/>
          <w:sz w:val="24"/>
          <w:highlight w:val="none"/>
          <w:lang w:val="en-US" w:eastAsia="zh-CN" w:bidi="ar"/>
        </w:rPr>
        <w:t>防</w:t>
      </w:r>
      <w:r>
        <w:rPr>
          <w:rFonts w:hint="eastAsia" w:ascii="宋体" w:hAnsi="宋体" w:eastAsia="宋体" w:cs="宋体"/>
          <w:color w:val="auto"/>
          <w:kern w:val="0"/>
          <w:sz w:val="24"/>
          <w:highlight w:val="none"/>
          <w:lang w:val="en-US" w:eastAsia="zh-CN" w:bidi="ar"/>
        </w:rPr>
        <w:t>洪沟拆除现状挡墙 592 立方米，恢复重建浆砌挡墙 833.5 米;移植树木 61 株。</w:t>
      </w:r>
    </w:p>
    <w:p w14:paraId="6D36A9EA">
      <w:pPr>
        <w:widowControl/>
        <w:spacing w:line="480" w:lineRule="auto"/>
        <w:jc w:val="left"/>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（2）详细工程范围见施工图。</w:t>
      </w:r>
    </w:p>
    <w:p w14:paraId="581ECD5C">
      <w:pPr>
        <w:widowControl/>
        <w:spacing w:line="480" w:lineRule="auto"/>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val="en-US" w:eastAsia="zh-CN" w:bidi="ar"/>
        </w:rPr>
        <w:t>4</w:t>
      </w:r>
      <w:r>
        <w:rPr>
          <w:rFonts w:hint="eastAsia" w:ascii="宋体" w:hAnsi="宋体" w:eastAsia="宋体" w:cs="宋体"/>
          <w:color w:val="auto"/>
          <w:kern w:val="0"/>
          <w:sz w:val="24"/>
          <w:highlight w:val="none"/>
          <w:lang w:bidi="ar"/>
        </w:rPr>
        <w:t xml:space="preserve">.本工程施工场地（现场）具体地理位置：甲方指定地点。 </w:t>
      </w:r>
    </w:p>
    <w:p w14:paraId="4EAF6A06">
      <w:pPr>
        <w:widowControl/>
        <w:spacing w:line="480" w:lineRule="auto"/>
        <w:jc w:val="left"/>
        <w:rPr>
          <w:rFonts w:hint="eastAsia" w:ascii="宋体" w:hAnsi="宋体" w:eastAsia="宋体" w:cs="宋体"/>
          <w:b/>
          <w:color w:val="auto"/>
          <w:sz w:val="24"/>
          <w:highlight w:val="none"/>
          <w:lang w:eastAsia="zh-CN"/>
        </w:rPr>
      </w:pPr>
      <w:r>
        <w:rPr>
          <w:rFonts w:hint="eastAsia" w:ascii="宋体" w:hAnsi="宋体" w:eastAsia="宋体" w:cs="宋体"/>
          <w:color w:val="auto"/>
          <w:kern w:val="0"/>
          <w:sz w:val="24"/>
          <w:highlight w:val="none"/>
          <w:lang w:val="en-US" w:eastAsia="zh-CN" w:bidi="ar"/>
        </w:rPr>
        <w:t>5</w:t>
      </w:r>
      <w:r>
        <w:rPr>
          <w:rFonts w:hint="eastAsia" w:ascii="宋体" w:hAnsi="宋体" w:eastAsia="宋体" w:cs="宋体"/>
          <w:color w:val="auto"/>
          <w:kern w:val="0"/>
          <w:sz w:val="24"/>
          <w:highlight w:val="none"/>
          <w:lang w:bidi="ar"/>
        </w:rPr>
        <w:t>. 本工程承包人自行施工的工程范围：</w:t>
      </w:r>
      <w:r>
        <w:rPr>
          <w:rFonts w:hint="eastAsia" w:ascii="宋体" w:hAnsi="宋体" w:eastAsia="宋体" w:cs="宋体"/>
          <w:bCs/>
          <w:color w:val="auto"/>
          <w:sz w:val="24"/>
          <w:highlight w:val="none"/>
        </w:rPr>
        <w:t>具体内容详见工程量清单。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后附</w:t>
      </w:r>
      <w:r>
        <w:rPr>
          <w:rFonts w:hint="eastAsia" w:ascii="宋体" w:hAnsi="宋体" w:eastAsia="宋体" w:cs="宋体"/>
          <w:bCs/>
          <w:color w:val="auto"/>
          <w:sz w:val="24"/>
          <w:highlight w:val="none"/>
          <w:lang w:eastAsia="zh-CN"/>
        </w:rPr>
        <w:t>）</w:t>
      </w:r>
    </w:p>
    <w:p w14:paraId="23156305">
      <w:pPr>
        <w:pStyle w:val="72"/>
        <w:numPr>
          <w:ilvl w:val="0"/>
          <w:numId w:val="12"/>
        </w:numPr>
        <w:spacing w:line="48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p w14:paraId="35FB3A37">
      <w:pPr>
        <w:numPr>
          <w:ilvl w:val="0"/>
          <w:numId w:val="13"/>
        </w:numPr>
        <w:spacing w:line="480" w:lineRule="auto"/>
        <w:contextualSpacing/>
        <w:rPr>
          <w:rFonts w:hint="eastAsia" w:ascii="宋体" w:hAnsi="宋体" w:eastAsia="宋体" w:cs="宋体"/>
          <w:color w:val="auto"/>
          <w:highlight w:val="none"/>
        </w:rPr>
      </w:pPr>
      <w:r>
        <w:rPr>
          <w:rFonts w:hint="eastAsia" w:ascii="宋体" w:hAnsi="宋体" w:eastAsia="宋体" w:cs="宋体"/>
          <w:color w:val="auto"/>
          <w:sz w:val="24"/>
          <w:highlight w:val="none"/>
        </w:rPr>
        <w:t>工期要求：总工期为</w:t>
      </w:r>
      <w:r>
        <w:rPr>
          <w:rFonts w:hint="eastAsia" w:ascii="宋体" w:hAnsi="宋体" w:cs="宋体"/>
          <w:color w:val="auto"/>
          <w:sz w:val="24"/>
          <w:highlight w:val="none"/>
          <w:u w:val="single"/>
          <w:lang w:val="en-US" w:eastAsia="zh-CN"/>
        </w:rPr>
        <w:t>70</w:t>
      </w:r>
      <w:r>
        <w:rPr>
          <w:rFonts w:hint="eastAsia" w:ascii="宋体" w:hAnsi="宋体" w:cs="宋体"/>
          <w:color w:val="auto"/>
          <w:sz w:val="24"/>
          <w:highlight w:val="none"/>
          <w:u w:val="none"/>
          <w:lang w:val="en-US" w:eastAsia="zh-CN"/>
        </w:rPr>
        <w:t xml:space="preserve">日历天 </w:t>
      </w:r>
    </w:p>
    <w:p w14:paraId="046A10FB">
      <w:pPr>
        <w:pStyle w:val="249"/>
        <w:spacing w:line="360" w:lineRule="auto"/>
        <w:ind w:firstLine="240" w:firstLineChars="100"/>
      </w:pPr>
      <w:r>
        <w:rPr>
          <w:rFonts w:hint="eastAsia"/>
        </w:rPr>
        <w:t>实际开工日期自监理人发出的开工通知中载明的开工日期起算。</w:t>
      </w:r>
    </w:p>
    <w:p w14:paraId="274AEB1B">
      <w:pPr>
        <w:widowControl/>
        <w:spacing w:line="480" w:lineRule="auto"/>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付款条件（进度和方式）：</w:t>
      </w:r>
      <w:r>
        <w:rPr>
          <w:rFonts w:hint="eastAsia" w:ascii="宋体" w:hAnsi="宋体" w:eastAsia="宋体" w:cs="宋体"/>
          <w:color w:val="auto"/>
          <w:kern w:val="0"/>
          <w:sz w:val="24"/>
          <w:highlight w:val="none"/>
          <w:lang w:bidi="ar"/>
        </w:rPr>
        <w:t xml:space="preserve">按合同条款专用部分约定执行。 </w:t>
      </w:r>
    </w:p>
    <w:p w14:paraId="4F839510">
      <w:pPr>
        <w:widowControl/>
        <w:spacing w:line="48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kern w:val="0"/>
          <w:sz w:val="24"/>
          <w:highlight w:val="none"/>
          <w:lang w:bidi="ar"/>
        </w:rPr>
        <w:t xml:space="preserve">质量要求：符合现行国家有关工程施工验收规范和标准的要求（合格）。 </w:t>
      </w:r>
    </w:p>
    <w:p w14:paraId="6CBFCF88">
      <w:pPr>
        <w:widowControl/>
        <w:spacing w:line="480" w:lineRule="auto"/>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4. 安全文明施工措施及要求： </w:t>
      </w:r>
    </w:p>
    <w:p w14:paraId="50E3F46C">
      <w:pPr>
        <w:widowControl/>
        <w:spacing w:line="480" w:lineRule="auto"/>
        <w:ind w:firstLine="480" w:firstLineChars="200"/>
        <w:jc w:val="left"/>
        <w:rPr>
          <w:rFonts w:hint="eastAsia" w:ascii="宋体" w:hAnsi="宋体" w:eastAsia="宋体" w:cs="宋体"/>
          <w:b/>
          <w:i/>
          <w:color w:val="auto"/>
          <w:sz w:val="24"/>
          <w:highlight w:val="none"/>
        </w:rPr>
      </w:pPr>
      <w:r>
        <w:rPr>
          <w:rFonts w:hint="eastAsia" w:ascii="宋体" w:hAnsi="宋体" w:eastAsia="宋体" w:cs="宋体"/>
          <w:color w:val="auto"/>
          <w:kern w:val="0"/>
          <w:sz w:val="24"/>
          <w:highlight w:val="none"/>
          <w:lang w:bidi="ar"/>
        </w:rPr>
        <w:t>依据《北京市建设工程安全文明施工费管理办法（试行）》（京建法【2019】9 号）， 施工现场安全生产标准化管理目标等级：达标（合格）标准。</w:t>
      </w:r>
    </w:p>
    <w:p w14:paraId="6EFA1A18">
      <w:pPr>
        <w:pStyle w:val="72"/>
        <w:numPr>
          <w:ilvl w:val="0"/>
          <w:numId w:val="12"/>
        </w:numPr>
        <w:spacing w:line="480" w:lineRule="auto"/>
        <w:ind w:firstLine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w:t>
      </w:r>
    </w:p>
    <w:p w14:paraId="1E38D872">
      <w:pPr>
        <w:spacing w:line="48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 基本要求</w:t>
      </w:r>
    </w:p>
    <w:p w14:paraId="0A8726D8">
      <w:pPr>
        <w:spacing w:line="48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 采购标的需实现的功能或者目标</w:t>
      </w:r>
    </w:p>
    <w:p w14:paraId="4AFAE8F8">
      <w:pPr>
        <w:spacing w:line="48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 需执行的国家相关标准、行业标准、地方标准或者其他标准、规范</w:t>
      </w:r>
    </w:p>
    <w:p w14:paraId="6996CADD">
      <w:pPr>
        <w:spacing w:line="48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 验收标准</w:t>
      </w:r>
    </w:p>
    <w:p w14:paraId="08363A16">
      <w:pPr>
        <w:widowControl/>
        <w:spacing w:line="48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2.1 严格按照国家相关法律法规和国家现行标准和规范进行验收； </w:t>
      </w:r>
    </w:p>
    <w:p w14:paraId="1C4C81CE">
      <w:pPr>
        <w:widowControl/>
        <w:spacing w:line="48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 xml:space="preserve">2.2 供应商针对本项目的施工，必须达到国家及行业现行技术规范标准，符合国家 </w:t>
      </w:r>
    </w:p>
    <w:p w14:paraId="4347474D">
      <w:pPr>
        <w:widowControl/>
        <w:spacing w:line="480" w:lineRule="auto"/>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lang w:bidi="ar"/>
        </w:rPr>
        <w:t>及行业验收合格标准</w:t>
      </w:r>
    </w:p>
    <w:p w14:paraId="600CD5AC">
      <w:pPr>
        <w:spacing w:line="480" w:lineRule="auto"/>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 其他要求（如有）</w:t>
      </w:r>
    </w:p>
    <w:p w14:paraId="0307DE0C">
      <w:pPr>
        <w:pStyle w:val="72"/>
        <w:adjustRightInd w:val="0"/>
        <w:spacing w:line="480" w:lineRule="auto"/>
        <w:ind w:firstLine="48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如果属于政务信息系统项目，其采购需求还应当符合《政务信息系统政府采购管理暂行办法》（财库〔2017〕210号）的相关要求。</w:t>
      </w:r>
    </w:p>
    <w:p w14:paraId="65F1936C">
      <w:pPr>
        <w:pStyle w:val="17"/>
        <w:spacing w:line="241" w:lineRule="auto"/>
        <w:rPr>
          <w:rFonts w:hint="default" w:eastAsia="宋体"/>
          <w:highlight w:val="none"/>
          <w:lang w:val="en-US" w:eastAsia="zh-CN"/>
        </w:rPr>
      </w:pPr>
      <w:r>
        <w:rPr>
          <w:rFonts w:hint="eastAsia"/>
          <w:highlight w:val="none"/>
          <w:lang w:val="en-US" w:eastAsia="zh-CN"/>
        </w:rPr>
        <w:t>四、工程量清单后附。</w:t>
      </w:r>
    </w:p>
    <w:p w14:paraId="536072C1">
      <w:pPr>
        <w:autoSpaceDE w:val="0"/>
        <w:autoSpaceDN w:val="0"/>
        <w:rPr>
          <w:rFonts w:eastAsiaTheme="minorEastAsia"/>
          <w:bCs/>
        </w:rPr>
      </w:pPr>
    </w:p>
    <w:p w14:paraId="0C448604">
      <w:pPr>
        <w:rPr>
          <w:rFonts w:eastAsiaTheme="minorEastAsia"/>
        </w:rPr>
      </w:pPr>
    </w:p>
    <w:p w14:paraId="43E00E0B">
      <w:pPr>
        <w:spacing w:line="360" w:lineRule="auto"/>
        <w:jc w:val="center"/>
        <w:outlineLvl w:val="0"/>
        <w:rPr>
          <w:rFonts w:eastAsiaTheme="minorEastAsia"/>
          <w:b/>
          <w:sz w:val="36"/>
          <w:szCs w:val="36"/>
        </w:rPr>
      </w:pPr>
      <w:r>
        <w:rPr>
          <w:rFonts w:eastAsiaTheme="minorEastAsia"/>
          <w:b/>
          <w:sz w:val="36"/>
          <w:szCs w:val="36"/>
        </w:rPr>
        <w:br w:type="page"/>
      </w:r>
      <w:bookmarkStart w:id="672" w:name="_Toc97371946"/>
      <w:r>
        <w:rPr>
          <w:rFonts w:eastAsiaTheme="minorEastAsia"/>
          <w:b/>
          <w:sz w:val="36"/>
          <w:szCs w:val="36"/>
        </w:rPr>
        <w:t>第五章   合同草案条款</w:t>
      </w:r>
      <w:bookmarkEnd w:id="672"/>
    </w:p>
    <w:p w14:paraId="2661D106">
      <w:pPr>
        <w:tabs>
          <w:tab w:val="left" w:pos="900"/>
          <w:tab w:val="left" w:pos="1080"/>
        </w:tabs>
        <w:snapToGrid w:val="0"/>
        <w:spacing w:line="360" w:lineRule="auto"/>
        <w:rPr>
          <w:rFonts w:eastAsiaTheme="minorEastAsia"/>
          <w:kern w:val="0"/>
          <w:sz w:val="18"/>
          <w:szCs w:val="18"/>
        </w:rPr>
      </w:pPr>
    </w:p>
    <w:p w14:paraId="0C1E8FC4">
      <w:pPr>
        <w:jc w:val="center"/>
        <w:rPr>
          <w:rFonts w:hint="eastAsia" w:ascii="宋体" w:hAnsi="宋体" w:eastAsia="宋体" w:cs="宋体"/>
          <w:b/>
          <w:sz w:val="36"/>
          <w:szCs w:val="36"/>
          <w:highlight w:val="none"/>
        </w:rPr>
      </w:pPr>
      <w:bookmarkStart w:id="673" w:name="_Toc617"/>
      <w:bookmarkStart w:id="674" w:name="_Toc97371947"/>
      <w:r>
        <w:rPr>
          <w:rFonts w:hint="eastAsia" w:ascii="宋体" w:hAnsi="宋体" w:cs="宋体"/>
          <w:b/>
          <w:sz w:val="36"/>
          <w:szCs w:val="36"/>
          <w:highlight w:val="none"/>
          <w:u w:val="single"/>
          <w:lang w:eastAsia="zh-CN"/>
        </w:rPr>
        <w:t>昌平区延寿镇北庄村防洪沟治理应急度汛项目</w:t>
      </w:r>
    </w:p>
    <w:p w14:paraId="7D85A388">
      <w:pPr>
        <w:jc w:val="center"/>
        <w:rPr>
          <w:rFonts w:hint="eastAsia" w:ascii="宋体" w:hAnsi="宋体" w:eastAsia="宋体" w:cs="宋体"/>
          <w:b/>
          <w:sz w:val="36"/>
          <w:szCs w:val="36"/>
          <w:highlight w:val="none"/>
        </w:rPr>
      </w:pPr>
    </w:p>
    <w:p w14:paraId="3D6FA6EA">
      <w:pPr>
        <w:jc w:val="center"/>
        <w:rPr>
          <w:rFonts w:hint="eastAsia" w:ascii="宋体" w:hAnsi="宋体" w:eastAsia="宋体" w:cs="宋体"/>
          <w:b/>
          <w:sz w:val="36"/>
          <w:szCs w:val="36"/>
          <w:highlight w:val="none"/>
        </w:rPr>
      </w:pPr>
    </w:p>
    <w:p w14:paraId="034A9973">
      <w:pPr>
        <w:jc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施工合同文件</w:t>
      </w:r>
    </w:p>
    <w:p w14:paraId="6B294413">
      <w:pPr>
        <w:pStyle w:val="249"/>
        <w:rPr>
          <w:rFonts w:hint="eastAsia"/>
          <w:b/>
          <w:sz w:val="32"/>
          <w:highlight w:val="none"/>
          <w:u w:val="none"/>
          <w:lang w:eastAsia="zh-CN"/>
        </w:rPr>
      </w:pPr>
    </w:p>
    <w:p w14:paraId="0F63CF85">
      <w:pPr>
        <w:pStyle w:val="249"/>
        <w:rPr>
          <w:rFonts w:hint="eastAsia"/>
          <w:b/>
          <w:sz w:val="32"/>
          <w:highlight w:val="none"/>
          <w:u w:val="none"/>
          <w:lang w:eastAsia="zh-CN"/>
        </w:rPr>
      </w:pPr>
    </w:p>
    <w:p w14:paraId="4644134B">
      <w:pPr>
        <w:pStyle w:val="249"/>
        <w:rPr>
          <w:rFonts w:hint="eastAsia"/>
          <w:b/>
          <w:sz w:val="32"/>
          <w:highlight w:val="none"/>
          <w:u w:val="none"/>
          <w:lang w:eastAsia="zh-CN"/>
        </w:rPr>
      </w:pPr>
    </w:p>
    <w:p w14:paraId="1EE88433">
      <w:pPr>
        <w:pStyle w:val="249"/>
        <w:rPr>
          <w:rFonts w:hint="eastAsia"/>
          <w:b/>
          <w:sz w:val="32"/>
          <w:highlight w:val="none"/>
          <w:u w:val="none"/>
          <w:lang w:eastAsia="zh-CN"/>
        </w:rPr>
      </w:pPr>
    </w:p>
    <w:p w14:paraId="397FD326">
      <w:pPr>
        <w:pStyle w:val="249"/>
        <w:rPr>
          <w:rFonts w:hint="eastAsia"/>
          <w:b/>
          <w:sz w:val="32"/>
          <w:highlight w:val="none"/>
          <w:u w:val="none"/>
          <w:lang w:eastAsia="zh-CN"/>
        </w:rPr>
      </w:pPr>
    </w:p>
    <w:p w14:paraId="53490B4E">
      <w:pPr>
        <w:pStyle w:val="249"/>
        <w:rPr>
          <w:rFonts w:hint="eastAsia"/>
          <w:b/>
          <w:sz w:val="32"/>
          <w:highlight w:val="none"/>
          <w:u w:val="none"/>
          <w:lang w:eastAsia="zh-CN"/>
        </w:rPr>
      </w:pPr>
    </w:p>
    <w:p w14:paraId="57190A46">
      <w:pPr>
        <w:pStyle w:val="249"/>
        <w:rPr>
          <w:rFonts w:hint="eastAsia"/>
          <w:b/>
          <w:sz w:val="32"/>
          <w:highlight w:val="none"/>
          <w:u w:val="none"/>
          <w:lang w:eastAsia="zh-CN"/>
        </w:rPr>
      </w:pPr>
    </w:p>
    <w:p w14:paraId="36442EC4">
      <w:pPr>
        <w:pStyle w:val="249"/>
        <w:rPr>
          <w:rFonts w:hint="eastAsia"/>
          <w:b/>
          <w:sz w:val="32"/>
          <w:highlight w:val="none"/>
          <w:u w:val="none"/>
          <w:lang w:eastAsia="zh-CN"/>
        </w:rPr>
      </w:pPr>
    </w:p>
    <w:p w14:paraId="2406ADB2">
      <w:pPr>
        <w:pStyle w:val="249"/>
        <w:rPr>
          <w:rFonts w:hint="eastAsia"/>
          <w:b/>
          <w:sz w:val="32"/>
          <w:highlight w:val="none"/>
          <w:u w:val="none"/>
          <w:lang w:eastAsia="zh-CN"/>
        </w:rPr>
      </w:pPr>
    </w:p>
    <w:p w14:paraId="5B64518B">
      <w:pPr>
        <w:pStyle w:val="249"/>
        <w:rPr>
          <w:rFonts w:hint="eastAsia"/>
          <w:b/>
          <w:sz w:val="32"/>
          <w:highlight w:val="none"/>
          <w:u w:val="none"/>
          <w:lang w:eastAsia="zh-CN"/>
        </w:rPr>
      </w:pPr>
    </w:p>
    <w:p w14:paraId="56F63EE1">
      <w:pPr>
        <w:pStyle w:val="249"/>
        <w:jc w:val="center"/>
        <w:rPr>
          <w:rFonts w:hint="eastAsia"/>
          <w:b/>
          <w:sz w:val="52"/>
          <w:szCs w:val="52"/>
          <w:highlight w:val="none"/>
          <w:lang w:eastAsia="zh-CN"/>
        </w:rPr>
      </w:pPr>
    </w:p>
    <w:p w14:paraId="7D8C83A7">
      <w:pPr>
        <w:pStyle w:val="249"/>
        <w:jc w:val="center"/>
        <w:rPr>
          <w:rFonts w:hint="eastAsia"/>
          <w:b/>
          <w:sz w:val="52"/>
          <w:szCs w:val="52"/>
          <w:highlight w:val="none"/>
          <w:lang w:eastAsia="zh-CN"/>
        </w:rPr>
      </w:pPr>
    </w:p>
    <w:p w14:paraId="550A9E46">
      <w:pPr>
        <w:pStyle w:val="249"/>
        <w:jc w:val="center"/>
        <w:rPr>
          <w:rFonts w:hint="eastAsia"/>
          <w:b/>
          <w:sz w:val="52"/>
          <w:szCs w:val="52"/>
          <w:highlight w:val="none"/>
          <w:lang w:eastAsia="zh-CN"/>
        </w:rPr>
      </w:pPr>
    </w:p>
    <w:p w14:paraId="37A5E1B4">
      <w:pPr>
        <w:pStyle w:val="249"/>
        <w:jc w:val="center"/>
        <w:rPr>
          <w:rFonts w:hint="eastAsia"/>
          <w:b/>
          <w:sz w:val="52"/>
          <w:szCs w:val="52"/>
          <w:highlight w:val="none"/>
          <w:lang w:eastAsia="zh-CN"/>
        </w:rPr>
      </w:pPr>
    </w:p>
    <w:p w14:paraId="339877DB">
      <w:pPr>
        <w:pStyle w:val="249"/>
        <w:jc w:val="center"/>
        <w:rPr>
          <w:rFonts w:hint="eastAsia"/>
          <w:b/>
          <w:sz w:val="52"/>
          <w:szCs w:val="52"/>
          <w:highlight w:val="none"/>
          <w:lang w:eastAsia="zh-CN"/>
        </w:rPr>
      </w:pPr>
    </w:p>
    <w:p w14:paraId="56760BE5">
      <w:pPr>
        <w:pStyle w:val="249"/>
        <w:jc w:val="center"/>
        <w:rPr>
          <w:rFonts w:hint="eastAsia"/>
          <w:b/>
          <w:sz w:val="52"/>
          <w:szCs w:val="52"/>
          <w:highlight w:val="none"/>
          <w:lang w:eastAsia="zh-CN"/>
        </w:rPr>
      </w:pPr>
    </w:p>
    <w:p w14:paraId="3CC47358">
      <w:pPr>
        <w:pStyle w:val="249"/>
        <w:jc w:val="center"/>
        <w:rPr>
          <w:rFonts w:hint="eastAsia"/>
          <w:b/>
          <w:sz w:val="52"/>
          <w:szCs w:val="52"/>
          <w:highlight w:val="none"/>
          <w:lang w:eastAsia="zh-CN"/>
        </w:rPr>
      </w:pPr>
    </w:p>
    <w:p w14:paraId="322E12D2">
      <w:pPr>
        <w:pStyle w:val="249"/>
        <w:jc w:val="both"/>
        <w:rPr>
          <w:rFonts w:hint="eastAsia"/>
          <w:b/>
          <w:sz w:val="52"/>
          <w:szCs w:val="52"/>
          <w:highlight w:val="none"/>
          <w:lang w:eastAsia="zh-CN"/>
        </w:rPr>
      </w:pPr>
    </w:p>
    <w:p w14:paraId="6BDD0D0E">
      <w:pPr>
        <w:pStyle w:val="249"/>
        <w:jc w:val="center"/>
        <w:rPr>
          <w:rFonts w:hint="eastAsia" w:ascii="宋体" w:hAnsi="宋体"/>
          <w:sz w:val="28"/>
          <w:szCs w:val="28"/>
          <w:highlight w:val="none"/>
          <w:u w:val="single"/>
          <w:lang w:eastAsia="zh-CN"/>
        </w:rPr>
      </w:pPr>
      <w:r>
        <w:rPr>
          <w:rFonts w:hint="eastAsia"/>
          <w:b w:val="0"/>
          <w:bCs/>
          <w:sz w:val="28"/>
          <w:szCs w:val="28"/>
          <w:highlight w:val="none"/>
          <w:lang w:eastAsia="zh-CN"/>
        </w:rPr>
        <w:t>发包人：</w:t>
      </w:r>
      <w:r>
        <w:rPr>
          <w:rFonts w:hint="eastAsia" w:ascii="宋体" w:hAnsi="宋体"/>
          <w:color w:val="000000"/>
          <w:sz w:val="28"/>
          <w:szCs w:val="28"/>
          <w:highlight w:val="none"/>
          <w:u w:val="single"/>
          <w:lang w:val="en-US" w:eastAsia="zh-CN"/>
        </w:rPr>
        <w:t>北京市昌平区延寿镇人民政府</w:t>
      </w:r>
    </w:p>
    <w:p w14:paraId="03861ABC">
      <w:pPr>
        <w:pStyle w:val="249"/>
        <w:jc w:val="center"/>
        <w:rPr>
          <w:rFonts w:hint="eastAsia" w:ascii="宋体" w:hAnsi="宋体"/>
          <w:sz w:val="28"/>
          <w:szCs w:val="28"/>
          <w:highlight w:val="none"/>
          <w:u w:val="single"/>
          <w:lang w:eastAsia="zh-CN"/>
        </w:rPr>
      </w:pPr>
    </w:p>
    <w:p w14:paraId="604C826C">
      <w:pPr>
        <w:pStyle w:val="249"/>
        <w:ind w:firstLine="1680" w:firstLineChars="600"/>
        <w:jc w:val="both"/>
        <w:rPr>
          <w:rFonts w:hint="default" w:ascii="宋体" w:hAnsi="宋体"/>
          <w:color w:val="000000"/>
          <w:sz w:val="28"/>
          <w:szCs w:val="28"/>
          <w:highlight w:val="none"/>
          <w:u w:val="single"/>
          <w:lang w:val="en-US" w:eastAsia="zh-CN"/>
        </w:rPr>
      </w:pPr>
      <w:r>
        <w:rPr>
          <w:rFonts w:hint="eastAsia" w:ascii="宋体" w:hAnsi="宋体"/>
          <w:sz w:val="28"/>
          <w:szCs w:val="28"/>
          <w:highlight w:val="none"/>
          <w:u w:val="none"/>
          <w:lang w:eastAsia="zh-CN"/>
        </w:rPr>
        <w:t>承包人：</w:t>
      </w:r>
      <w:r>
        <w:rPr>
          <w:rFonts w:hint="eastAsia" w:ascii="宋体" w:hAnsi="宋体"/>
          <w:sz w:val="28"/>
          <w:szCs w:val="28"/>
          <w:highlight w:val="none"/>
          <w:u w:val="none"/>
          <w:lang w:val="en-US" w:eastAsia="zh-CN"/>
        </w:rPr>
        <w:t xml:space="preserve">                           </w:t>
      </w:r>
    </w:p>
    <w:p w14:paraId="6E7396D9">
      <w:pPr>
        <w:pStyle w:val="249"/>
        <w:jc w:val="center"/>
        <w:rPr>
          <w:rFonts w:hint="eastAsia" w:ascii="宋体" w:hAnsi="宋体"/>
          <w:color w:val="000000"/>
          <w:sz w:val="28"/>
          <w:szCs w:val="28"/>
          <w:highlight w:val="none"/>
          <w:u w:val="single"/>
          <w:lang w:val="en-US" w:eastAsia="zh-CN"/>
        </w:rPr>
      </w:pPr>
    </w:p>
    <w:p w14:paraId="331D4E84">
      <w:pPr>
        <w:pStyle w:val="249"/>
        <w:jc w:val="center"/>
        <w:rPr>
          <w:rFonts w:hint="eastAsia" w:ascii="宋体" w:hAnsi="宋体"/>
          <w:color w:val="000000"/>
          <w:sz w:val="28"/>
          <w:szCs w:val="28"/>
          <w:highlight w:val="none"/>
          <w:u w:val="none"/>
          <w:lang w:val="en-US" w:eastAsia="zh-CN"/>
        </w:rPr>
        <w:sectPr>
          <w:footerReference r:id="rId14" w:type="first"/>
          <w:headerReference r:id="rId11" w:type="default"/>
          <w:footerReference r:id="rId13" w:type="default"/>
          <w:headerReference r:id="rId12" w:type="even"/>
          <w:pgSz w:w="11906" w:h="16838"/>
          <w:pgMar w:top="1440" w:right="1797" w:bottom="1440" w:left="1797" w:header="851" w:footer="992" w:gutter="0"/>
          <w:cols w:space="425" w:num="1"/>
          <w:docGrid w:linePitch="312" w:charSpace="0"/>
        </w:sectPr>
      </w:pPr>
      <w:r>
        <w:rPr>
          <w:rFonts w:hint="eastAsia" w:ascii="宋体" w:hAnsi="宋体"/>
          <w:color w:val="000000"/>
          <w:sz w:val="28"/>
          <w:szCs w:val="28"/>
          <w:highlight w:val="none"/>
          <w:u w:val="none"/>
          <w:lang w:val="en-US" w:eastAsia="zh-CN"/>
        </w:rPr>
        <w:t>2025年   月</w:t>
      </w:r>
    </w:p>
    <w:p w14:paraId="413A1C40">
      <w:pPr>
        <w:pStyle w:val="251"/>
        <w:spacing w:before="120" w:after="120"/>
        <w:outlineLvl w:val="1"/>
        <w:rPr>
          <w:color w:val="auto"/>
          <w:highlight w:val="none"/>
        </w:rPr>
      </w:pPr>
      <w:r>
        <w:rPr>
          <w:rFonts w:hint="eastAsia"/>
          <w:color w:val="auto"/>
          <w:highlight w:val="none"/>
        </w:rPr>
        <w:t>附件一：合同协议书</w:t>
      </w:r>
      <w:bookmarkEnd w:id="673"/>
    </w:p>
    <w:p w14:paraId="6AB019A1">
      <w:pPr>
        <w:spacing w:line="360" w:lineRule="auto"/>
        <w:jc w:val="center"/>
        <w:rPr>
          <w:rFonts w:ascii="宋体"/>
          <w:b/>
          <w:color w:val="auto"/>
          <w:sz w:val="28"/>
          <w:szCs w:val="28"/>
          <w:highlight w:val="none"/>
        </w:rPr>
      </w:pPr>
      <w:r>
        <w:rPr>
          <w:rFonts w:hint="eastAsia" w:ascii="宋体" w:hAnsi="宋体"/>
          <w:b/>
          <w:color w:val="auto"/>
          <w:sz w:val="28"/>
          <w:szCs w:val="28"/>
          <w:highlight w:val="none"/>
        </w:rPr>
        <w:t>合同协议书</w:t>
      </w:r>
    </w:p>
    <w:p w14:paraId="7E0D0A53">
      <w:pPr>
        <w:pStyle w:val="174"/>
        <w:spacing w:line="360" w:lineRule="auto"/>
        <w:rPr>
          <w:rFonts w:asci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编号：</w:t>
      </w:r>
      <w:r>
        <w:rPr>
          <w:rFonts w:ascii="宋体" w:hAnsi="宋体"/>
          <w:color w:val="auto"/>
          <w:szCs w:val="21"/>
          <w:highlight w:val="none"/>
          <w:u w:val="single"/>
        </w:rPr>
        <w:t xml:space="preserve">                   </w:t>
      </w:r>
    </w:p>
    <w:p w14:paraId="3E72FBAA">
      <w:pPr>
        <w:spacing w:line="360" w:lineRule="auto"/>
        <w:rPr>
          <w:rFonts w:hint="eastAsia" w:ascii="宋体" w:hAnsi="宋体" w:cs="宋体"/>
          <w:color w:val="auto"/>
          <w:sz w:val="21"/>
          <w:szCs w:val="21"/>
          <w:highlight w:val="none"/>
          <w:u w:val="single"/>
          <w:lang w:val="en-US" w:eastAsia="zh-CN"/>
        </w:rPr>
      </w:pPr>
      <w:r>
        <w:rPr>
          <w:rFonts w:hint="eastAsia" w:ascii="宋体" w:hAnsi="宋体" w:cs="Arial"/>
          <w:color w:val="auto"/>
          <w:szCs w:val="21"/>
          <w:highlight w:val="none"/>
        </w:rPr>
        <w:t>发包人（全称）：</w:t>
      </w:r>
      <w:r>
        <w:rPr>
          <w:rFonts w:ascii="宋体" w:hAnsi="宋体" w:cs="Arial"/>
          <w:color w:val="auto"/>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p>
    <w:p w14:paraId="60C80DB2">
      <w:pPr>
        <w:spacing w:line="360" w:lineRule="auto"/>
        <w:rPr>
          <w:rFonts w:ascii="宋体" w:hAnsi="宋体" w:cs="Arial"/>
          <w:color w:val="auto"/>
          <w:szCs w:val="21"/>
          <w:highlight w:val="none"/>
          <w:u w:val="single"/>
        </w:rPr>
      </w:pPr>
      <w:r>
        <w:rPr>
          <w:rFonts w:hint="eastAsia" w:ascii="宋体" w:hAnsi="宋体"/>
          <w:color w:val="auto"/>
          <w:szCs w:val="21"/>
          <w:highlight w:val="none"/>
        </w:rPr>
        <w:t>法</w:t>
      </w:r>
      <w:r>
        <w:rPr>
          <w:rFonts w:ascii="宋体" w:hAnsi="宋体"/>
          <w:color w:val="auto"/>
          <w:sz w:val="18"/>
          <w:szCs w:val="21"/>
          <w:highlight w:val="none"/>
        </w:rPr>
        <w:t xml:space="preserve"> </w:t>
      </w:r>
      <w:r>
        <w:rPr>
          <w:rFonts w:hint="eastAsia" w:ascii="宋体" w:hAnsi="宋体"/>
          <w:color w:val="auto"/>
          <w:szCs w:val="21"/>
          <w:highlight w:val="none"/>
        </w:rPr>
        <w:t>定</w:t>
      </w:r>
      <w:r>
        <w:rPr>
          <w:rFonts w:ascii="宋体" w:hAnsi="宋体"/>
          <w:color w:val="auto"/>
          <w:sz w:val="13"/>
          <w:szCs w:val="21"/>
          <w:highlight w:val="none"/>
        </w:rPr>
        <w:t xml:space="preserve"> </w:t>
      </w:r>
      <w:r>
        <w:rPr>
          <w:rFonts w:hint="eastAsia" w:ascii="宋体" w:hAnsi="宋体"/>
          <w:color w:val="auto"/>
          <w:szCs w:val="21"/>
          <w:highlight w:val="none"/>
        </w:rPr>
        <w:t>代</w:t>
      </w:r>
      <w:r>
        <w:rPr>
          <w:rFonts w:ascii="宋体" w:hAnsi="宋体"/>
          <w:color w:val="auto"/>
          <w:sz w:val="13"/>
          <w:szCs w:val="21"/>
          <w:highlight w:val="none"/>
        </w:rPr>
        <w:t xml:space="preserve"> </w:t>
      </w:r>
      <w:r>
        <w:rPr>
          <w:rFonts w:hint="eastAsia" w:ascii="宋体" w:hAnsi="宋体"/>
          <w:color w:val="auto"/>
          <w:szCs w:val="21"/>
          <w:highlight w:val="none"/>
        </w:rPr>
        <w:t>表</w:t>
      </w:r>
      <w:r>
        <w:rPr>
          <w:rFonts w:ascii="宋体" w:hAnsi="宋体"/>
          <w:color w:val="auto"/>
          <w:sz w:val="13"/>
          <w:szCs w:val="21"/>
          <w:highlight w:val="none"/>
        </w:rPr>
        <w:t xml:space="preserve"> </w:t>
      </w:r>
      <w:r>
        <w:rPr>
          <w:rFonts w:hint="eastAsia" w:ascii="宋体" w:hAnsi="宋体"/>
          <w:color w:val="auto"/>
          <w:szCs w:val="21"/>
          <w:highlight w:val="none"/>
        </w:rPr>
        <w:t>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r>
        <w:rPr>
          <w:rFonts w:ascii="宋体" w:hAnsi="宋体" w:cs="Arial"/>
          <w:color w:val="auto"/>
          <w:szCs w:val="21"/>
          <w:highlight w:val="none"/>
          <w:u w:val="single"/>
        </w:rPr>
        <w:t xml:space="preserve">               </w:t>
      </w:r>
    </w:p>
    <w:p w14:paraId="37FB3333">
      <w:pPr>
        <w:spacing w:line="360" w:lineRule="auto"/>
        <w:rPr>
          <w:rFonts w:ascii="宋体"/>
          <w:color w:val="auto"/>
          <w:szCs w:val="21"/>
          <w:highlight w:val="none"/>
          <w:u w:val="single"/>
        </w:rPr>
      </w:pPr>
      <w:r>
        <w:rPr>
          <w:rFonts w:hint="eastAsia" w:ascii="宋体" w:hAnsi="宋体"/>
          <w:color w:val="auto"/>
          <w:szCs w:val="21"/>
          <w:highlight w:val="none"/>
        </w:rPr>
        <w:t>法定注册地址：</w:t>
      </w:r>
      <w:r>
        <w:rPr>
          <w:rFonts w:ascii="宋体" w:hAnsi="宋体"/>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p>
    <w:p w14:paraId="42AD9C76">
      <w:pPr>
        <w:spacing w:line="360" w:lineRule="auto"/>
        <w:rPr>
          <w:rFonts w:ascii="宋体"/>
          <w:color w:val="auto"/>
          <w:szCs w:val="21"/>
          <w:highlight w:val="none"/>
        </w:rPr>
      </w:pPr>
      <w:r>
        <w:rPr>
          <w:rFonts w:hint="eastAsia" w:ascii="宋体" w:hAnsi="宋体"/>
          <w:color w:val="auto"/>
          <w:szCs w:val="21"/>
          <w:highlight w:val="none"/>
        </w:rPr>
        <w:t>承包人（全称）：</w:t>
      </w:r>
      <w:r>
        <w:rPr>
          <w:rFonts w:hint="eastAsia" w:ascii="宋体" w:hAnsi="宋体"/>
          <w:color w:val="auto"/>
          <w:szCs w:val="21"/>
          <w:highlight w:val="none"/>
          <w:u w:val="single"/>
          <w:lang w:val="en-US" w:eastAsia="zh-CN"/>
        </w:rPr>
        <w:t xml:space="preserve">                              </w:t>
      </w:r>
    </w:p>
    <w:p w14:paraId="4B415E3F">
      <w:pPr>
        <w:spacing w:line="360" w:lineRule="auto"/>
        <w:rPr>
          <w:rFonts w:ascii="宋体"/>
          <w:color w:val="auto"/>
          <w:szCs w:val="21"/>
          <w:highlight w:val="none"/>
        </w:rPr>
      </w:pPr>
      <w:r>
        <w:rPr>
          <w:rFonts w:hint="eastAsia" w:ascii="宋体" w:hAnsi="宋体"/>
          <w:color w:val="auto"/>
          <w:szCs w:val="21"/>
          <w:highlight w:val="none"/>
        </w:rPr>
        <w:t>法</w:t>
      </w:r>
      <w:r>
        <w:rPr>
          <w:rFonts w:ascii="宋体" w:hAnsi="宋体"/>
          <w:color w:val="auto"/>
          <w:sz w:val="18"/>
          <w:szCs w:val="21"/>
          <w:highlight w:val="none"/>
        </w:rPr>
        <w:t xml:space="preserve"> </w:t>
      </w:r>
      <w:r>
        <w:rPr>
          <w:rFonts w:hint="eastAsia" w:ascii="宋体" w:hAnsi="宋体"/>
          <w:color w:val="auto"/>
          <w:szCs w:val="21"/>
          <w:highlight w:val="none"/>
        </w:rPr>
        <w:t>定</w:t>
      </w:r>
      <w:r>
        <w:rPr>
          <w:rFonts w:ascii="宋体" w:hAnsi="宋体"/>
          <w:color w:val="auto"/>
          <w:sz w:val="13"/>
          <w:szCs w:val="21"/>
          <w:highlight w:val="none"/>
        </w:rPr>
        <w:t xml:space="preserve"> </w:t>
      </w:r>
      <w:r>
        <w:rPr>
          <w:rFonts w:hint="eastAsia" w:ascii="宋体" w:hAnsi="宋体"/>
          <w:color w:val="auto"/>
          <w:szCs w:val="21"/>
          <w:highlight w:val="none"/>
        </w:rPr>
        <w:t>代</w:t>
      </w:r>
      <w:r>
        <w:rPr>
          <w:rFonts w:ascii="宋体" w:hAnsi="宋体"/>
          <w:color w:val="auto"/>
          <w:sz w:val="13"/>
          <w:szCs w:val="21"/>
          <w:highlight w:val="none"/>
        </w:rPr>
        <w:t xml:space="preserve"> </w:t>
      </w:r>
      <w:r>
        <w:rPr>
          <w:rFonts w:hint="eastAsia" w:ascii="宋体" w:hAnsi="宋体"/>
          <w:color w:val="auto"/>
          <w:szCs w:val="21"/>
          <w:highlight w:val="none"/>
        </w:rPr>
        <w:t>表</w:t>
      </w:r>
      <w:r>
        <w:rPr>
          <w:rFonts w:ascii="宋体" w:hAnsi="宋体"/>
          <w:color w:val="auto"/>
          <w:sz w:val="13"/>
          <w:szCs w:val="21"/>
          <w:highlight w:val="none"/>
        </w:rPr>
        <w:t xml:space="preserve"> </w:t>
      </w:r>
      <w:r>
        <w:rPr>
          <w:rFonts w:hint="eastAsia" w:ascii="宋体" w:hAnsi="宋体"/>
          <w:color w:val="auto"/>
          <w:szCs w:val="21"/>
          <w:highlight w:val="none"/>
        </w:rPr>
        <w:t>人：</w:t>
      </w:r>
      <w:r>
        <w:rPr>
          <w:rFonts w:ascii="宋体" w:hAnsi="宋体" w:cs="Arial"/>
          <w:color w:val="auto"/>
          <w:szCs w:val="21"/>
          <w:highlight w:val="none"/>
          <w:u w:val="single"/>
        </w:rPr>
        <w:t xml:space="preserve">  </w:t>
      </w:r>
      <w:r>
        <w:rPr>
          <w:rFonts w:hint="eastAsia" w:ascii="宋体" w:hAnsi="宋体" w:cs="Arial"/>
          <w:color w:val="000000"/>
          <w:szCs w:val="21"/>
          <w:highlight w:val="none"/>
          <w:u w:val="single"/>
          <w:lang w:val="en-US" w:eastAsia="zh-CN"/>
        </w:rPr>
        <w:t xml:space="preserve">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p>
    <w:p w14:paraId="4AECB295">
      <w:pPr>
        <w:spacing w:line="360" w:lineRule="auto"/>
        <w:rPr>
          <w:rFonts w:ascii="宋体"/>
          <w:b/>
          <w:color w:val="auto"/>
          <w:highlight w:val="none"/>
        </w:rPr>
      </w:pPr>
      <w:r>
        <w:rPr>
          <w:rFonts w:hint="eastAsia" w:ascii="宋体" w:hAnsi="宋体"/>
          <w:color w:val="auto"/>
          <w:szCs w:val="21"/>
          <w:highlight w:val="none"/>
        </w:rPr>
        <w:t>法定注册地址</w:t>
      </w:r>
      <w:r>
        <w:rPr>
          <w:rFonts w:hint="eastAsia" w:ascii="宋体" w:hAnsi="宋体"/>
          <w:b/>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p>
    <w:p w14:paraId="0B0D47E9">
      <w:pPr>
        <w:spacing w:line="360" w:lineRule="auto"/>
        <w:ind w:firstLine="490"/>
        <w:rPr>
          <w:rFonts w:ascii="宋体"/>
          <w:color w:val="auto"/>
          <w:highlight w:val="none"/>
        </w:rPr>
      </w:pPr>
    </w:p>
    <w:p w14:paraId="5F5EF7CD">
      <w:pPr>
        <w:spacing w:line="360" w:lineRule="auto"/>
        <w:ind w:firstLine="420" w:firstLineChars="200"/>
        <w:rPr>
          <w:rFonts w:ascii="宋体"/>
          <w:color w:val="auto"/>
          <w:highlight w:val="none"/>
        </w:rPr>
      </w:pPr>
      <w:r>
        <w:rPr>
          <w:rFonts w:hint="eastAsia" w:ascii="宋体" w:hAnsi="宋体"/>
          <w:color w:val="auto"/>
          <w:szCs w:val="21"/>
          <w:highlight w:val="none"/>
        </w:rPr>
        <w:t>发包人为建设</w:t>
      </w:r>
      <w:r>
        <w:rPr>
          <w:rFonts w:hint="eastAsia" w:ascii="宋体" w:hAnsi="宋体" w:cs="Arial"/>
          <w:color w:val="auto"/>
          <w:szCs w:val="21"/>
          <w:highlight w:val="none"/>
          <w:u w:val="single"/>
          <w:lang w:eastAsia="zh-CN"/>
        </w:rPr>
        <w:t>昌平区延寿镇北庄村防洪沟治理应急度汛项目</w:t>
      </w:r>
      <w:r>
        <w:rPr>
          <w:rFonts w:ascii="宋体" w:hAnsi="宋体"/>
          <w:color w:val="auto"/>
          <w:highlight w:val="none"/>
          <w:u w:val="single"/>
        </w:rPr>
        <w:t xml:space="preserve"> </w:t>
      </w:r>
      <w:r>
        <w:rPr>
          <w:rFonts w:hint="eastAsia" w:ascii="宋体" w:hAnsi="宋体" w:cs="Arial"/>
          <w:color w:val="auto"/>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szCs w:val="21"/>
          <w:highlight w:val="none"/>
        </w:rPr>
        <w:t>（以下简称“本工程”），已接受承包人提出的承担本工程的施工、竣工、交付并维修其任何缺陷的投标。</w:t>
      </w:r>
      <w:r>
        <w:rPr>
          <w:rFonts w:hint="eastAsia" w:ascii="宋体" w:hAnsi="宋体"/>
          <w:color w:val="auto"/>
          <w:highlight w:val="none"/>
        </w:rPr>
        <w:t>依照《中华人民共和国招标投标法》《中华人民共和国民法典》《中华人民共和国建筑法》及其他有关法律、行政法规，遵循平等、自愿、公平和诚实信用的原则，双方共同达成并订立如下协议。</w:t>
      </w:r>
    </w:p>
    <w:p w14:paraId="4BA11AFA">
      <w:pPr>
        <w:spacing w:line="360" w:lineRule="auto"/>
        <w:ind w:firstLine="420" w:firstLineChars="200"/>
        <w:rPr>
          <w:rFonts w:ascii="宋体"/>
          <w:color w:val="auto"/>
          <w:highlight w:val="none"/>
        </w:rPr>
      </w:pPr>
      <w:bookmarkStart w:id="675" w:name="_Toc479505734"/>
      <w:bookmarkStart w:id="676" w:name="_Toc480303461"/>
      <w:bookmarkStart w:id="677" w:name="_Toc477964590"/>
      <w:r>
        <w:rPr>
          <w:rFonts w:hint="eastAsia" w:ascii="宋体" w:hAnsi="宋体"/>
          <w:color w:val="auto"/>
          <w:highlight w:val="none"/>
        </w:rPr>
        <w:t>一、工程概况</w:t>
      </w:r>
      <w:bookmarkEnd w:id="675"/>
      <w:bookmarkEnd w:id="676"/>
      <w:bookmarkEnd w:id="677"/>
    </w:p>
    <w:p w14:paraId="3A6A7A07">
      <w:pPr>
        <w:spacing w:line="360" w:lineRule="auto"/>
        <w:ind w:firstLine="420" w:firstLineChars="200"/>
        <w:rPr>
          <w:rFonts w:ascii="宋体"/>
          <w:color w:val="auto"/>
          <w:highlight w:val="none"/>
          <w:u w:val="single"/>
        </w:rPr>
      </w:pPr>
      <w:r>
        <w:rPr>
          <w:rFonts w:hint="eastAsia" w:ascii="宋体" w:hAnsi="宋体"/>
          <w:color w:val="auto"/>
          <w:highlight w:val="none"/>
        </w:rPr>
        <w:t>工程名称：</w:t>
      </w:r>
      <w:r>
        <w:rPr>
          <w:rFonts w:ascii="宋体" w:hAnsi="宋体"/>
          <w:color w:val="auto"/>
          <w:highlight w:val="none"/>
          <w:u w:val="single"/>
        </w:rPr>
        <w:t xml:space="preserve"> </w:t>
      </w:r>
      <w:r>
        <w:rPr>
          <w:rFonts w:hint="eastAsia" w:ascii="宋体" w:hAnsi="宋体" w:cs="Arial"/>
          <w:color w:val="auto"/>
          <w:szCs w:val="21"/>
          <w:highlight w:val="none"/>
          <w:u w:val="single"/>
          <w:lang w:eastAsia="zh-CN"/>
        </w:rPr>
        <w:t>昌平区延寿镇北庄村防洪沟治理应急度汛项目</w:t>
      </w:r>
      <w:r>
        <w:rPr>
          <w:rFonts w:hint="eastAsia" w:ascii="宋体" w:hAnsi="宋体" w:cs="Arial"/>
          <w:color w:val="auto"/>
          <w:szCs w:val="21"/>
          <w:highlight w:val="none"/>
          <w:u w:val="single"/>
          <w:lang w:val="en-US" w:eastAsia="zh-CN"/>
        </w:rPr>
        <w:t xml:space="preserve">                      </w:t>
      </w:r>
      <w:r>
        <w:rPr>
          <w:rFonts w:ascii="宋体" w:hAnsi="宋体"/>
          <w:color w:val="auto"/>
          <w:highlight w:val="none"/>
          <w:u w:val="single"/>
        </w:rPr>
        <w:t xml:space="preserve">  </w:t>
      </w:r>
    </w:p>
    <w:p w14:paraId="4941A0AC">
      <w:pPr>
        <w:spacing w:line="360" w:lineRule="auto"/>
        <w:ind w:firstLine="420" w:firstLineChars="200"/>
        <w:rPr>
          <w:rFonts w:ascii="宋体"/>
          <w:color w:val="auto"/>
          <w:highlight w:val="none"/>
          <w:u w:val="single"/>
        </w:rPr>
      </w:pPr>
      <w:r>
        <w:rPr>
          <w:rFonts w:hint="eastAsia" w:ascii="宋体" w:hAnsi="宋体"/>
          <w:color w:val="auto"/>
          <w:highlight w:val="none"/>
        </w:rPr>
        <w:t>工程地点：</w:t>
      </w:r>
      <w:r>
        <w:rPr>
          <w:rFonts w:ascii="宋体" w:hAnsi="宋体"/>
          <w:color w:val="auto"/>
          <w:highlight w:val="none"/>
          <w:u w:val="single"/>
        </w:rPr>
        <w:t xml:space="preserve"> </w:t>
      </w:r>
      <w:r>
        <w:rPr>
          <w:rFonts w:hint="eastAsia" w:ascii="宋体" w:hAnsi="宋体" w:cs="Arial"/>
          <w:color w:val="auto"/>
          <w:szCs w:val="21"/>
          <w:highlight w:val="none"/>
          <w:u w:val="single"/>
        </w:rPr>
        <w:t>北京市昌平区</w:t>
      </w:r>
      <w:r>
        <w:rPr>
          <w:rFonts w:ascii="宋体" w:hAnsi="宋体"/>
          <w:color w:val="auto"/>
          <w:highlight w:val="none"/>
          <w:u w:val="single"/>
        </w:rPr>
        <w:t xml:space="preserve">     </w:t>
      </w:r>
    </w:p>
    <w:p w14:paraId="3CB05BD3">
      <w:pPr>
        <w:spacing w:line="360" w:lineRule="auto"/>
        <w:ind w:firstLine="420" w:firstLineChars="200"/>
        <w:rPr>
          <w:rFonts w:ascii="宋体"/>
          <w:color w:val="auto"/>
          <w:highlight w:val="none"/>
          <w:u w:val="single"/>
        </w:rPr>
      </w:pPr>
      <w:r>
        <w:rPr>
          <w:rFonts w:hint="eastAsia" w:ascii="宋体" w:hAnsi="宋体"/>
          <w:color w:val="auto"/>
          <w:highlight w:val="none"/>
        </w:rPr>
        <w:t>工程内容：</w:t>
      </w:r>
      <w:r>
        <w:rPr>
          <w:rFonts w:ascii="宋体" w:hAnsi="宋体"/>
          <w:color w:val="auto"/>
          <w:highlight w:val="none"/>
          <w:u w:val="none"/>
        </w:rPr>
        <w:t xml:space="preserve"> </w:t>
      </w:r>
      <w:r>
        <w:rPr>
          <w:rFonts w:hint="eastAsia" w:ascii="宋体" w:hAnsi="宋体" w:eastAsia="宋体" w:cs="Times New Roman"/>
          <w:color w:val="auto"/>
          <w:sz w:val="21"/>
          <w:highlight w:val="none"/>
          <w:u w:val="single"/>
        </w:rPr>
        <w:t>包括但不限于工程量清单显示的全部内容。</w:t>
      </w:r>
    </w:p>
    <w:p w14:paraId="4C5EB777">
      <w:pPr>
        <w:spacing w:line="360" w:lineRule="auto"/>
        <w:ind w:firstLine="420" w:firstLineChars="200"/>
        <w:rPr>
          <w:rFonts w:ascii="宋体"/>
          <w:color w:val="auto"/>
          <w:highlight w:val="none"/>
        </w:rPr>
      </w:pPr>
      <w:r>
        <w:rPr>
          <w:rFonts w:hint="eastAsia" w:ascii="宋体" w:hAnsi="宋体"/>
          <w:color w:val="auto"/>
          <w:highlight w:val="none"/>
        </w:rPr>
        <w:t>群体工程应附“承包人承揽工程项目一览表”（附件二）</w:t>
      </w:r>
    </w:p>
    <w:p w14:paraId="5F2CA13E">
      <w:pPr>
        <w:spacing w:line="360" w:lineRule="auto"/>
        <w:ind w:firstLine="420" w:firstLineChars="200"/>
        <w:rPr>
          <w:rFonts w:ascii="宋体"/>
          <w:color w:val="auto"/>
          <w:highlight w:val="none"/>
          <w:u w:val="single"/>
        </w:rPr>
      </w:pPr>
      <w:r>
        <w:rPr>
          <w:rFonts w:hint="eastAsia" w:ascii="宋体" w:hAnsi="宋体"/>
          <w:color w:val="auto"/>
          <w:highlight w:val="none"/>
        </w:rPr>
        <w:t>工程立项批准文号：</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p>
    <w:p w14:paraId="23DE419A">
      <w:pPr>
        <w:spacing w:line="360" w:lineRule="auto"/>
        <w:ind w:firstLine="420" w:firstLineChars="200"/>
        <w:rPr>
          <w:rFonts w:ascii="宋体"/>
          <w:color w:val="auto"/>
          <w:highlight w:val="none"/>
          <w:u w:val="single"/>
        </w:rPr>
      </w:pPr>
      <w:r>
        <w:rPr>
          <w:rFonts w:hint="eastAsia" w:ascii="宋体" w:hAnsi="宋体"/>
          <w:color w:val="auto"/>
          <w:highlight w:val="none"/>
        </w:rPr>
        <w:t>资金来源：</w:t>
      </w:r>
      <w:r>
        <w:rPr>
          <w:rFonts w:ascii="宋体" w:hAnsi="宋体"/>
          <w:color w:val="auto"/>
          <w:highlight w:val="none"/>
          <w:u w:val="single"/>
        </w:rPr>
        <w:t xml:space="preserve">     </w:t>
      </w:r>
      <w:r>
        <w:rPr>
          <w:rFonts w:hint="eastAsia" w:ascii="宋体" w:hAnsi="宋体" w:eastAsia="宋体" w:cs="宋体"/>
          <w:sz w:val="24"/>
          <w:highlight w:val="none"/>
          <w:u w:val="single"/>
        </w:rPr>
        <w:t>财政资金</w:t>
      </w:r>
      <w:r>
        <w:rPr>
          <w:rFonts w:ascii="宋体" w:hAnsi="宋体"/>
          <w:color w:val="auto"/>
          <w:highlight w:val="none"/>
          <w:u w:val="single"/>
        </w:rPr>
        <w:t xml:space="preserve">     </w:t>
      </w:r>
    </w:p>
    <w:p w14:paraId="7A05CBFB">
      <w:pPr>
        <w:spacing w:line="360" w:lineRule="auto"/>
        <w:ind w:firstLine="420" w:firstLineChars="200"/>
        <w:rPr>
          <w:rFonts w:ascii="宋体"/>
          <w:color w:val="auto"/>
          <w:highlight w:val="none"/>
        </w:rPr>
      </w:pPr>
      <w:bookmarkStart w:id="678" w:name="_Toc479505735"/>
      <w:bookmarkStart w:id="679" w:name="_Toc480303462"/>
      <w:bookmarkStart w:id="680" w:name="_Toc477964591"/>
      <w:r>
        <w:rPr>
          <w:rFonts w:hint="eastAsia" w:ascii="宋体" w:hAnsi="宋体"/>
          <w:color w:val="auto"/>
          <w:highlight w:val="none"/>
        </w:rPr>
        <w:t>二、工程承包范围</w:t>
      </w:r>
      <w:bookmarkEnd w:id="678"/>
      <w:bookmarkEnd w:id="679"/>
      <w:bookmarkEnd w:id="680"/>
    </w:p>
    <w:p w14:paraId="237AD49F">
      <w:pPr>
        <w:spacing w:line="360" w:lineRule="auto"/>
        <w:ind w:firstLine="420" w:firstLineChars="200"/>
        <w:rPr>
          <w:rFonts w:hint="default" w:ascii="宋体" w:eastAsia="宋体"/>
          <w:b/>
          <w:color w:val="auto"/>
          <w:highlight w:val="none"/>
          <w:u w:val="single"/>
          <w:lang w:val="en-US" w:eastAsia="zh-CN"/>
        </w:rPr>
      </w:pPr>
      <w:r>
        <w:rPr>
          <w:rFonts w:hint="eastAsia" w:ascii="宋体" w:hAnsi="宋体"/>
          <w:color w:val="auto"/>
          <w:highlight w:val="none"/>
        </w:rPr>
        <w:t>承包范围：</w:t>
      </w:r>
      <w:r>
        <w:rPr>
          <w:rFonts w:hint="eastAsia" w:ascii="宋体" w:hAnsi="宋体" w:cs="宋体"/>
          <w:szCs w:val="21"/>
          <w:highlight w:val="none"/>
          <w:lang w:val="en-US" w:eastAsia="zh-CN" w:bidi="ar"/>
        </w:rPr>
        <w:t xml:space="preserve">                                                                 </w:t>
      </w:r>
    </w:p>
    <w:p w14:paraId="01098229">
      <w:pPr>
        <w:spacing w:line="360" w:lineRule="auto"/>
        <w:ind w:firstLine="0" w:firstLineChars="0"/>
        <w:rPr>
          <w:rFonts w:ascii="宋体"/>
          <w:color w:val="auto"/>
          <w:highlight w:val="none"/>
        </w:rPr>
      </w:pPr>
      <w:bookmarkStart w:id="681" w:name="_Toc479505736"/>
      <w:bookmarkStart w:id="682" w:name="_Toc480303463"/>
      <w:bookmarkStart w:id="683" w:name="_Toc477964592"/>
      <w:r>
        <w:rPr>
          <w:rFonts w:hint="eastAsia" w:ascii="宋体" w:hAnsi="宋体"/>
          <w:color w:val="auto"/>
          <w:highlight w:val="none"/>
        </w:rPr>
        <w:t>三、合同工期</w:t>
      </w:r>
      <w:bookmarkEnd w:id="681"/>
      <w:bookmarkEnd w:id="682"/>
      <w:bookmarkEnd w:id="683"/>
    </w:p>
    <w:p w14:paraId="28B750B6">
      <w:pPr>
        <w:spacing w:line="360" w:lineRule="auto"/>
        <w:ind w:firstLine="420" w:firstLineChars="200"/>
        <w:rPr>
          <w:rFonts w:ascii="宋体"/>
          <w:color w:val="auto"/>
          <w:highlight w:val="none"/>
          <w:u w:val="single"/>
        </w:rPr>
      </w:pPr>
      <w:r>
        <w:rPr>
          <w:rFonts w:hint="eastAsia" w:ascii="宋体" w:hAnsi="宋体"/>
          <w:color w:val="auto"/>
          <w:highlight w:val="none"/>
        </w:rPr>
        <w:t>计划开工日期：</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月</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日</w:t>
      </w:r>
    </w:p>
    <w:p w14:paraId="3F1C7123">
      <w:pPr>
        <w:spacing w:line="360" w:lineRule="auto"/>
        <w:ind w:firstLine="420" w:firstLineChars="200"/>
        <w:rPr>
          <w:rFonts w:ascii="宋体"/>
          <w:color w:val="auto"/>
          <w:highlight w:val="none"/>
          <w:u w:val="single"/>
        </w:rPr>
      </w:pPr>
      <w:r>
        <w:rPr>
          <w:rFonts w:hint="eastAsia" w:ascii="宋体" w:hAnsi="宋体"/>
          <w:color w:val="auto"/>
          <w:highlight w:val="none"/>
        </w:rPr>
        <w:t>计划竣工日期：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日</w:t>
      </w:r>
    </w:p>
    <w:p w14:paraId="2E94CFDD">
      <w:pPr>
        <w:spacing w:line="360" w:lineRule="auto"/>
        <w:ind w:firstLine="420" w:firstLineChars="200"/>
        <w:rPr>
          <w:rFonts w:ascii="宋体"/>
          <w:color w:val="auto"/>
          <w:highlight w:val="none"/>
        </w:rPr>
      </w:pPr>
      <w:r>
        <w:rPr>
          <w:rFonts w:hint="eastAsia" w:ascii="宋体" w:hAnsi="宋体"/>
          <w:color w:val="auto"/>
          <w:highlight w:val="none"/>
        </w:rPr>
        <w:t>工期总日历天数</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天，自监理人发出的开工通知中载明的开工日期起算。</w:t>
      </w:r>
    </w:p>
    <w:p w14:paraId="6A47B8A0">
      <w:pPr>
        <w:spacing w:line="360" w:lineRule="auto"/>
        <w:ind w:firstLine="420" w:firstLineChars="200"/>
        <w:rPr>
          <w:rFonts w:ascii="宋体"/>
          <w:color w:val="auto"/>
          <w:highlight w:val="none"/>
        </w:rPr>
      </w:pPr>
      <w:bookmarkStart w:id="684" w:name="_Toc479505737"/>
      <w:bookmarkStart w:id="685" w:name="_Toc480303464"/>
      <w:bookmarkStart w:id="686" w:name="_Toc477964593"/>
      <w:r>
        <w:rPr>
          <w:rFonts w:hint="eastAsia" w:ascii="宋体" w:hAnsi="宋体"/>
          <w:color w:val="auto"/>
          <w:highlight w:val="none"/>
        </w:rPr>
        <w:t>四、质量标准</w:t>
      </w:r>
      <w:bookmarkEnd w:id="684"/>
      <w:bookmarkEnd w:id="685"/>
      <w:bookmarkEnd w:id="686"/>
    </w:p>
    <w:p w14:paraId="2E5669AD">
      <w:pPr>
        <w:spacing w:line="360" w:lineRule="auto"/>
        <w:ind w:firstLine="420" w:firstLineChars="200"/>
        <w:rPr>
          <w:rFonts w:ascii="宋体"/>
          <w:color w:val="auto"/>
          <w:highlight w:val="none"/>
          <w:u w:val="single"/>
        </w:rPr>
      </w:pPr>
      <w:r>
        <w:rPr>
          <w:rFonts w:hint="eastAsia" w:ascii="宋体" w:hAnsi="宋体"/>
          <w:color w:val="auto"/>
          <w:highlight w:val="none"/>
        </w:rPr>
        <w:t>工程质量标准：</w:t>
      </w:r>
      <w:r>
        <w:rPr>
          <w:rFonts w:ascii="宋体" w:hAnsi="宋体"/>
          <w:color w:val="auto"/>
          <w:highlight w:val="none"/>
          <w:u w:val="single"/>
        </w:rPr>
        <w:t xml:space="preserve">          </w:t>
      </w:r>
      <w:r>
        <w:rPr>
          <w:rFonts w:hint="eastAsia" w:ascii="宋体" w:hAnsi="宋体"/>
          <w:color w:val="auto"/>
          <w:highlight w:val="none"/>
          <w:u w:val="single"/>
          <w:lang w:eastAsia="zh-CN"/>
        </w:rPr>
        <w:t>合格</w:t>
      </w:r>
      <w:r>
        <w:rPr>
          <w:rFonts w:ascii="宋体" w:hAnsi="宋体"/>
          <w:color w:val="auto"/>
          <w:highlight w:val="none"/>
          <w:u w:val="single"/>
        </w:rPr>
        <w:t xml:space="preserve">          </w:t>
      </w:r>
    </w:p>
    <w:p w14:paraId="17427246">
      <w:pPr>
        <w:spacing w:line="360" w:lineRule="auto"/>
        <w:ind w:firstLine="420" w:firstLineChars="200"/>
        <w:rPr>
          <w:rFonts w:ascii="宋体"/>
          <w:color w:val="auto"/>
          <w:highlight w:val="none"/>
        </w:rPr>
      </w:pPr>
      <w:bookmarkStart w:id="687" w:name="_Hlk8723675"/>
      <w:r>
        <w:rPr>
          <w:rFonts w:hint="eastAsia" w:ascii="宋体" w:hAnsi="宋体"/>
          <w:color w:val="auto"/>
          <w:highlight w:val="none"/>
        </w:rPr>
        <w:t>五、施工现场安全生产标准化管理目标等级要求</w:t>
      </w:r>
    </w:p>
    <w:p w14:paraId="6718AF31">
      <w:pPr>
        <w:spacing w:line="360" w:lineRule="auto"/>
        <w:ind w:firstLine="420" w:firstLineChars="200"/>
        <w:rPr>
          <w:rFonts w:ascii="宋体"/>
          <w:color w:val="auto"/>
          <w:highlight w:val="none"/>
          <w:u w:val="single"/>
        </w:rPr>
      </w:pPr>
      <w:r>
        <w:rPr>
          <w:rFonts w:hint="eastAsia" w:ascii="宋体" w:hAnsi="宋体"/>
          <w:color w:val="auto"/>
          <w:highlight w:val="none"/>
        </w:rPr>
        <w:t>施工现场安全生产标准化管理目标等级：</w:t>
      </w:r>
      <w:r>
        <w:rPr>
          <w:rFonts w:ascii="宋体" w:hAnsi="宋体"/>
          <w:color w:val="auto"/>
          <w:highlight w:val="none"/>
          <w:u w:val="single"/>
        </w:rPr>
        <w:t xml:space="preserve">          </w:t>
      </w:r>
      <w:r>
        <w:rPr>
          <w:rFonts w:hint="eastAsia" w:ascii="宋体" w:hAnsi="宋体"/>
          <w:color w:val="auto"/>
          <w:highlight w:val="none"/>
          <w:u w:val="single"/>
          <w:lang w:eastAsia="zh-CN"/>
        </w:rPr>
        <w:t>达标</w:t>
      </w:r>
      <w:r>
        <w:rPr>
          <w:rFonts w:ascii="宋体" w:hAnsi="宋体"/>
          <w:color w:val="auto"/>
          <w:highlight w:val="none"/>
          <w:u w:val="single"/>
        </w:rPr>
        <w:t xml:space="preserve">         </w:t>
      </w:r>
    </w:p>
    <w:bookmarkEnd w:id="687"/>
    <w:p w14:paraId="17917203">
      <w:pPr>
        <w:spacing w:line="360" w:lineRule="auto"/>
        <w:ind w:firstLine="420" w:firstLineChars="200"/>
        <w:rPr>
          <w:rFonts w:ascii="宋体"/>
          <w:color w:val="auto"/>
          <w:highlight w:val="none"/>
        </w:rPr>
      </w:pPr>
      <w:bookmarkStart w:id="688" w:name="_Toc479505738"/>
      <w:bookmarkStart w:id="689" w:name="_Toc477964594"/>
      <w:bookmarkStart w:id="690" w:name="_Toc480303465"/>
      <w:r>
        <w:rPr>
          <w:rFonts w:hint="eastAsia" w:ascii="宋体" w:hAnsi="宋体"/>
          <w:color w:val="auto"/>
          <w:highlight w:val="none"/>
        </w:rPr>
        <w:t>六、合同形式</w:t>
      </w:r>
      <w:bookmarkEnd w:id="688"/>
      <w:bookmarkEnd w:id="689"/>
      <w:bookmarkEnd w:id="690"/>
    </w:p>
    <w:p w14:paraId="1D35785C">
      <w:pPr>
        <w:spacing w:line="360" w:lineRule="auto"/>
        <w:ind w:firstLine="420" w:firstLineChars="200"/>
        <w:rPr>
          <w:rFonts w:ascii="宋体"/>
          <w:b/>
          <w:color w:val="FF0000"/>
          <w:highlight w:val="none"/>
          <w:u w:val="single"/>
        </w:rPr>
      </w:pPr>
      <w:r>
        <w:rPr>
          <w:rFonts w:hint="eastAsia" w:ascii="宋体" w:hAnsi="宋体"/>
          <w:color w:val="auto"/>
          <w:highlight w:val="none"/>
        </w:rPr>
        <w:t>本合同采用</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u w:val="single"/>
          <w:lang w:val="en-US" w:eastAsia="zh-CN"/>
        </w:rPr>
        <w:t>固定单价</w:t>
      </w:r>
      <w:r>
        <w:rPr>
          <w:rFonts w:ascii="宋体" w:hAnsi="宋体"/>
          <w:color w:val="auto"/>
          <w:highlight w:val="none"/>
          <w:u w:val="single"/>
        </w:rPr>
        <w:t xml:space="preserve"> </w:t>
      </w:r>
      <w:r>
        <w:rPr>
          <w:rFonts w:hint="eastAsia" w:ascii="宋体" w:hAnsi="宋体"/>
          <w:color w:val="auto"/>
          <w:highlight w:val="none"/>
        </w:rPr>
        <w:t>合同</w:t>
      </w:r>
      <w:r>
        <w:rPr>
          <w:rFonts w:hint="eastAsia" w:ascii="宋体" w:hAnsi="宋体"/>
          <w:color w:val="000000" w:themeColor="text1"/>
          <w:highlight w:val="none"/>
          <w14:textFill>
            <w14:solidFill>
              <w14:schemeClr w14:val="tx1"/>
            </w14:solidFill>
          </w14:textFill>
        </w:rPr>
        <w:t>形式。</w:t>
      </w:r>
    </w:p>
    <w:p w14:paraId="027D04CE">
      <w:pPr>
        <w:spacing w:line="360" w:lineRule="auto"/>
        <w:ind w:firstLine="420" w:firstLineChars="200"/>
        <w:rPr>
          <w:rFonts w:ascii="宋体"/>
          <w:bCs/>
          <w:color w:val="auto"/>
          <w:highlight w:val="none"/>
        </w:rPr>
      </w:pPr>
      <w:bookmarkStart w:id="691" w:name="_Toc479505739"/>
      <w:bookmarkStart w:id="692" w:name="_Toc477964595"/>
      <w:bookmarkStart w:id="693" w:name="_Toc480303466"/>
      <w:r>
        <w:rPr>
          <w:rFonts w:hint="eastAsia" w:ascii="宋体" w:hAnsi="宋体"/>
          <w:bCs/>
          <w:color w:val="auto"/>
          <w:highlight w:val="none"/>
        </w:rPr>
        <w:t>七、签约合同价</w:t>
      </w:r>
      <w:bookmarkEnd w:id="691"/>
      <w:bookmarkEnd w:id="692"/>
      <w:bookmarkEnd w:id="693"/>
    </w:p>
    <w:p w14:paraId="7D07B10E">
      <w:pPr>
        <w:spacing w:line="360" w:lineRule="auto"/>
        <w:ind w:firstLine="420" w:firstLineChars="200"/>
        <w:rPr>
          <w:rFonts w:ascii="宋体"/>
          <w:color w:val="auto"/>
          <w:highlight w:val="none"/>
        </w:rPr>
      </w:pPr>
      <w:r>
        <w:rPr>
          <w:rFonts w:hint="eastAsia" w:ascii="宋体" w:hAnsi="宋体"/>
          <w:color w:val="auto"/>
          <w:highlight w:val="none"/>
        </w:rPr>
        <w:t>金额（大写）：</w:t>
      </w:r>
      <w:r>
        <w:rPr>
          <w:rFonts w:ascii="宋体" w:hAnsi="宋体"/>
          <w:color w:val="auto"/>
          <w:highlight w:val="none"/>
          <w:u w:val="single"/>
        </w:rPr>
        <w:t xml:space="preserve">  </w:t>
      </w:r>
      <w:r>
        <w:rPr>
          <w:rFonts w:hint="eastAsia" w:ascii="宋体" w:hAnsi="宋体" w:cs="Arial"/>
          <w:szCs w:val="21"/>
          <w:highlight w:val="none"/>
          <w:u w:val="single"/>
          <w:lang w:val="en-US" w:eastAsia="zh-CN"/>
        </w:rPr>
        <w:t xml:space="preserve">     </w:t>
      </w:r>
      <w:r>
        <w:rPr>
          <w:rFonts w:hint="eastAsia" w:ascii="宋体" w:hAnsi="宋体" w:cs="Arial"/>
          <w:color w:val="000000"/>
          <w:szCs w:val="21"/>
          <w:highlight w:val="none"/>
          <w:u w:val="single"/>
          <w:lang w:val="en-US" w:eastAsia="zh-CN"/>
        </w:rPr>
        <w:t xml:space="preserve">    </w:t>
      </w:r>
      <w:r>
        <w:rPr>
          <w:rFonts w:hint="eastAsia" w:ascii="宋体" w:hAnsi="宋体" w:cs="Arial"/>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（人民币）</w:t>
      </w:r>
    </w:p>
    <w:p w14:paraId="3D3019C3">
      <w:pPr>
        <w:spacing w:line="360" w:lineRule="auto"/>
        <w:ind w:firstLine="420" w:firstLineChars="200"/>
        <w:rPr>
          <w:rFonts w:hint="default" w:ascii="宋体" w:eastAsia="宋体"/>
          <w:color w:val="auto"/>
          <w:highlight w:val="none"/>
          <w:lang w:val="en-US" w:eastAsia="zh-CN"/>
        </w:rPr>
      </w:pPr>
      <w:r>
        <w:rPr>
          <w:rFonts w:hint="eastAsia" w:ascii="宋体" w:hAnsi="宋体"/>
          <w:color w:val="auto"/>
          <w:highlight w:val="none"/>
        </w:rPr>
        <w:t>（小写）￥：</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Times New Roman" w:hAnsi="Times New Roman" w:eastAsia="宋体" w:cs="Times New Roman"/>
          <w:sz w:val="21"/>
          <w:lang w:val="en-US" w:eastAsia="zh-CN"/>
        </w:rPr>
        <w:t>双方确认，最终结算金额以审计结算审定金额为准。</w:t>
      </w:r>
      <w:r>
        <w:rPr>
          <w:rFonts w:hint="eastAsia" w:ascii="宋体" w:hAnsi="宋体"/>
          <w:color w:val="auto"/>
          <w:highlight w:val="none"/>
          <w:lang w:val="en-US" w:eastAsia="zh-CN"/>
        </w:rPr>
        <w:t>。</w:t>
      </w:r>
    </w:p>
    <w:p w14:paraId="0168195C">
      <w:pPr>
        <w:wordWrap w:val="0"/>
        <w:spacing w:line="360" w:lineRule="auto"/>
        <w:ind w:left="1260" w:leftChars="300" w:hanging="630" w:hangingChars="300"/>
        <w:rPr>
          <w:rFonts w:hint="eastAsia" w:ascii="宋体" w:hAnsi="宋体"/>
          <w:color w:val="auto"/>
          <w:highlight w:val="none"/>
        </w:rPr>
      </w:pPr>
      <w:bookmarkStart w:id="694" w:name="_Hlk8723700"/>
      <w:r>
        <w:rPr>
          <w:rFonts w:hint="eastAsia" w:ascii="宋体" w:hAnsi="宋体"/>
          <w:color w:val="auto"/>
          <w:highlight w:val="none"/>
        </w:rPr>
        <w:t>其中：安全文明施工费</w:t>
      </w:r>
      <w:bookmarkStart w:id="695" w:name="_Hlk8292053"/>
      <w:r>
        <w:rPr>
          <w:rFonts w:hint="eastAsia" w:ascii="宋体" w:hAnsi="宋体"/>
          <w:color w:val="auto"/>
          <w:highlight w:val="none"/>
        </w:rPr>
        <w:t>（含税）：</w:t>
      </w:r>
      <w:r>
        <w:rPr>
          <w:rFonts w:ascii="宋体" w:hAnsi="宋体"/>
          <w:color w:val="auto"/>
          <w:highlight w:val="none"/>
          <w:u w:val="single"/>
        </w:rPr>
        <w:t xml:space="preserve">   </w:t>
      </w:r>
      <w:r>
        <w:rPr>
          <w:rFonts w:hint="eastAsia" w:ascii="宋体" w:hAnsi="宋体" w:cs="Arial"/>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bookmarkEnd w:id="694"/>
      <w:bookmarkEnd w:id="695"/>
    </w:p>
    <w:p w14:paraId="5F2E4F58">
      <w:pPr>
        <w:wordWrap w:val="0"/>
        <w:spacing w:line="360" w:lineRule="auto"/>
        <w:ind w:left="1260" w:leftChars="300" w:hanging="630" w:hangingChars="300"/>
        <w:rPr>
          <w:rFonts w:hint="eastAsia" w:ascii="宋体" w:hAnsi="宋体"/>
          <w:color w:val="auto"/>
          <w:highlight w:val="none"/>
        </w:rPr>
      </w:pPr>
      <w:r>
        <w:rPr>
          <w:rFonts w:hint="eastAsia" w:ascii="宋体" w:hAnsi="宋体"/>
          <w:color w:val="auto"/>
          <w:highlight w:val="none"/>
        </w:rPr>
        <w:t>建筑垃圾运输处置费（含税）：</w:t>
      </w:r>
      <w:r>
        <w:rPr>
          <w:rFonts w:ascii="宋体" w:hAnsi="宋体"/>
          <w:color w:val="auto"/>
          <w:highlight w:val="none"/>
          <w:u w:val="single"/>
        </w:rPr>
        <w:t xml:space="preserve">     </w:t>
      </w:r>
      <w:r>
        <w:rPr>
          <w:rFonts w:hint="eastAsia" w:ascii="宋体" w:hAnsi="宋体" w:cs="Arial"/>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p>
    <w:p w14:paraId="5B767EA3">
      <w:pPr>
        <w:pStyle w:val="249"/>
        <w:ind w:firstLine="630" w:firstLineChars="300"/>
        <w:rPr>
          <w:highlight w:val="none"/>
        </w:rPr>
      </w:pPr>
      <w:r>
        <w:rPr>
          <w:rFonts w:hint="eastAsia" w:ascii="宋体" w:hAnsi="宋体" w:eastAsia="宋体" w:cs="Times New Roman"/>
          <w:color w:val="auto"/>
          <w:kern w:val="2"/>
          <w:sz w:val="21"/>
          <w:szCs w:val="24"/>
          <w:highlight w:val="none"/>
        </w:rPr>
        <w:t>农民工工伤保险费</w:t>
      </w:r>
      <w:r>
        <w:rPr>
          <w:rFonts w:hint="eastAsia" w:ascii="宋体" w:hAnsi="宋体" w:cs="Times New Roman"/>
          <w:color w:val="auto"/>
          <w:kern w:val="2"/>
          <w:sz w:val="21"/>
          <w:szCs w:val="24"/>
          <w:highlight w:val="none"/>
        </w:rPr>
        <w:t>（含税）</w:t>
      </w: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宋体" w:hAnsi="宋体" w:cs="Arial"/>
          <w:kern w:val="2"/>
          <w:sz w:val="21"/>
          <w:szCs w:val="21"/>
          <w:highlight w:val="none"/>
          <w:u w:val="single"/>
          <w:lang w:val="en-US" w:eastAsia="zh-CN"/>
        </w:rPr>
        <w:t xml:space="preserve">  </w:t>
      </w:r>
      <w:r>
        <w:rPr>
          <w:rFonts w:hint="eastAsia" w:asciiTheme="minorEastAsia" w:hAnsiTheme="minorEastAsia" w:eastAsiaTheme="minorEastAsia" w:cstheme="minorEastAsia"/>
          <w:szCs w:val="21"/>
          <w:highlight w:val="none"/>
          <w:u w:val="single"/>
        </w:rPr>
        <w:t xml:space="preserve">         </w:t>
      </w:r>
      <w:r>
        <w:rPr>
          <w:rFonts w:hint="eastAsia" w:ascii="宋体" w:hAnsi="宋体" w:eastAsia="宋体" w:cs="Times New Roman"/>
          <w:color w:val="auto"/>
          <w:kern w:val="2"/>
          <w:sz w:val="21"/>
          <w:szCs w:val="24"/>
          <w:highlight w:val="none"/>
        </w:rPr>
        <w:t>元</w:t>
      </w:r>
    </w:p>
    <w:p w14:paraId="47049382">
      <w:pPr>
        <w:spacing w:line="360" w:lineRule="auto"/>
        <w:ind w:firstLine="1260" w:firstLineChars="600"/>
        <w:rPr>
          <w:rFonts w:ascii="宋体"/>
          <w:color w:val="auto"/>
          <w:highlight w:val="none"/>
        </w:rPr>
      </w:pPr>
      <w:r>
        <w:rPr>
          <w:rFonts w:hint="eastAsia" w:ascii="宋体" w:hAnsi="宋体"/>
          <w:color w:val="auto"/>
          <w:highlight w:val="none"/>
        </w:rPr>
        <w:t>暂列金额（</w:t>
      </w:r>
      <w:r>
        <w:rPr>
          <w:rFonts w:hint="eastAsia" w:ascii="宋体" w:hAnsi="宋体" w:cs="Arial"/>
          <w:bCs/>
          <w:color w:val="auto"/>
          <w:szCs w:val="21"/>
          <w:highlight w:val="none"/>
        </w:rPr>
        <w:t>含税</w:t>
      </w:r>
      <w:r>
        <w:rPr>
          <w:rFonts w:hint="eastAsia" w:ascii="宋体" w:hAnsi="宋体"/>
          <w:color w:val="auto"/>
          <w:highlight w:val="none"/>
        </w:rPr>
        <w:t>）：</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p>
    <w:p w14:paraId="4337F78F">
      <w:pPr>
        <w:spacing w:line="360" w:lineRule="auto"/>
        <w:ind w:firstLine="1260" w:firstLineChars="600"/>
        <w:jc w:val="left"/>
        <w:rPr>
          <w:rFonts w:ascii="宋体"/>
          <w:color w:val="auto"/>
          <w:highlight w:val="none"/>
        </w:rPr>
      </w:pPr>
      <w:r>
        <w:rPr>
          <w:rFonts w:hint="eastAsia" w:ascii="宋体" w:hAnsi="宋体"/>
          <w:bCs/>
          <w:color w:val="auto"/>
          <w:highlight w:val="none"/>
        </w:rPr>
        <w:t>专业工程暂估价</w:t>
      </w:r>
      <w:r>
        <w:rPr>
          <w:rFonts w:hint="eastAsia" w:ascii="宋体" w:hAnsi="宋体"/>
          <w:color w:val="auto"/>
          <w:highlight w:val="none"/>
        </w:rPr>
        <w:t>（</w:t>
      </w:r>
      <w:r>
        <w:rPr>
          <w:rFonts w:hint="eastAsia" w:ascii="宋体" w:hAnsi="宋体" w:cs="Arial"/>
          <w:bCs/>
          <w:color w:val="auto"/>
          <w:szCs w:val="21"/>
          <w:highlight w:val="none"/>
        </w:rPr>
        <w:t>含税</w:t>
      </w:r>
      <w:r>
        <w:rPr>
          <w:rFonts w:hint="eastAsia" w:ascii="宋体" w:hAnsi="宋体"/>
          <w:color w:val="auto"/>
          <w:highlight w:val="none"/>
        </w:rPr>
        <w:t>）</w:t>
      </w:r>
      <w:r>
        <w:rPr>
          <w:rFonts w:hint="eastAsia" w:ascii="宋体" w:hAnsi="宋体"/>
          <w:bCs/>
          <w:color w:val="auto"/>
          <w:highlight w:val="none"/>
        </w:rPr>
        <w:t>：</w:t>
      </w:r>
      <w:r>
        <w:rPr>
          <w:rFonts w:ascii="宋体" w:hAnsi="宋体"/>
          <w:color w:val="auto"/>
          <w:highlight w:val="none"/>
          <w:u w:val="single"/>
        </w:rPr>
        <w:t xml:space="preserve">      </w:t>
      </w:r>
      <w:r>
        <w:rPr>
          <w:rFonts w:ascii="宋体" w:hAnsi="宋体"/>
          <w:color w:val="auto"/>
          <w:sz w:val="24"/>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rPr>
        <w:t>元</w:t>
      </w:r>
    </w:p>
    <w:p w14:paraId="0750A45D">
      <w:pPr>
        <w:spacing w:line="360" w:lineRule="auto"/>
        <w:ind w:firstLine="420" w:firstLineChars="200"/>
        <w:rPr>
          <w:rFonts w:ascii="宋体"/>
          <w:bCs/>
          <w:color w:val="auto"/>
          <w:highlight w:val="none"/>
        </w:rPr>
      </w:pPr>
      <w:bookmarkStart w:id="696" w:name="_Toc480303467"/>
      <w:bookmarkStart w:id="697" w:name="_Toc479505740"/>
      <w:bookmarkStart w:id="698" w:name="_Toc477964596"/>
      <w:r>
        <w:rPr>
          <w:rFonts w:hint="eastAsia" w:ascii="宋体" w:hAnsi="宋体"/>
          <w:bCs/>
          <w:color w:val="auto"/>
          <w:highlight w:val="none"/>
        </w:rPr>
        <w:t>八、承包人项目经理：</w:t>
      </w:r>
      <w:bookmarkEnd w:id="696"/>
      <w:bookmarkEnd w:id="697"/>
      <w:bookmarkEnd w:id="698"/>
    </w:p>
    <w:p w14:paraId="43CB36A5">
      <w:pPr>
        <w:spacing w:line="360" w:lineRule="auto"/>
        <w:ind w:firstLine="420" w:firstLineChars="200"/>
        <w:rPr>
          <w:rFonts w:ascii="宋体"/>
          <w:color w:val="auto"/>
          <w:szCs w:val="21"/>
          <w:highlight w:val="none"/>
        </w:rPr>
      </w:pPr>
      <w:r>
        <w:rPr>
          <w:rFonts w:hint="eastAsia" w:ascii="宋体" w:hAnsi="宋体"/>
          <w:color w:val="auto"/>
          <w:szCs w:val="21"/>
          <w:highlight w:val="none"/>
        </w:rPr>
        <w:t>姓名：</w:t>
      </w:r>
      <w:r>
        <w:rPr>
          <w:rFonts w:ascii="宋体" w:hAnsi="宋体"/>
          <w:color w:val="auto"/>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w:t>
      </w:r>
      <w:r>
        <w:rPr>
          <w:rFonts w:ascii="宋体" w:hAnsi="宋体"/>
          <w:color w:val="auto"/>
          <w:szCs w:val="21"/>
          <w:highlight w:val="none"/>
        </w:rPr>
        <w:t xml:space="preserve">      </w:t>
      </w:r>
      <w:r>
        <w:rPr>
          <w:rFonts w:hint="eastAsia" w:ascii="宋体" w:hAnsi="宋体"/>
          <w:color w:val="auto"/>
          <w:szCs w:val="21"/>
          <w:highlight w:val="none"/>
        </w:rPr>
        <w:t>职称：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41B83C72">
      <w:pPr>
        <w:spacing w:line="360" w:lineRule="auto"/>
        <w:ind w:firstLine="420" w:firstLineChars="200"/>
        <w:rPr>
          <w:rFonts w:ascii="宋体"/>
          <w:color w:val="auto"/>
          <w:szCs w:val="21"/>
          <w:highlight w:val="none"/>
        </w:rPr>
      </w:pPr>
      <w:r>
        <w:rPr>
          <w:rFonts w:hint="eastAsia" w:ascii="宋体" w:hAnsi="宋体"/>
          <w:color w:val="auto"/>
          <w:szCs w:val="21"/>
          <w:highlight w:val="none"/>
        </w:rPr>
        <w:t>身份证号：</w:t>
      </w:r>
      <w:r>
        <w:rPr>
          <w:rFonts w:ascii="宋体" w:hAnsi="宋体"/>
          <w:color w:val="auto"/>
          <w:szCs w:val="21"/>
          <w:highlight w:val="none"/>
          <w:u w:val="single"/>
        </w:rPr>
        <w:t xml:space="preserve"> </w:t>
      </w:r>
      <w:r>
        <w:rPr>
          <w:rFonts w:hint="eastAsia" w:asciiTheme="minorEastAsia" w:hAnsiTheme="minorEastAsia" w:eastAsiaTheme="minorEastAsia" w:cstheme="minorEastAsia"/>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建造师执业资格证书号：</w:t>
      </w:r>
      <w:r>
        <w:rPr>
          <w:rFonts w:ascii="宋体" w:hAnsi="宋体"/>
          <w:color w:val="auto"/>
          <w:szCs w:val="21"/>
          <w:highlight w:val="none"/>
          <w:u w:val="single"/>
        </w:rPr>
        <w:t xml:space="preserve"> </w:t>
      </w:r>
      <w:r>
        <w:rPr>
          <w:rFonts w:hint="eastAsia" w:ascii="宋体"/>
          <w:color w:val="000000"/>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w:t>
      </w:r>
    </w:p>
    <w:p w14:paraId="59DA82BD">
      <w:pPr>
        <w:spacing w:line="360" w:lineRule="auto"/>
        <w:ind w:firstLine="420" w:firstLineChars="200"/>
        <w:rPr>
          <w:rFonts w:ascii="宋体"/>
          <w:color w:val="auto"/>
          <w:szCs w:val="21"/>
          <w:highlight w:val="none"/>
        </w:rPr>
      </w:pPr>
      <w:r>
        <w:rPr>
          <w:rFonts w:hint="eastAsia" w:ascii="宋体" w:hAnsi="宋体"/>
          <w:color w:val="auto"/>
          <w:szCs w:val="21"/>
          <w:highlight w:val="none"/>
        </w:rPr>
        <w:t>建造师注册证书号：</w:t>
      </w:r>
      <w:r>
        <w:rPr>
          <w:rFonts w:ascii="宋体" w:hAnsi="宋体"/>
          <w:color w:val="auto"/>
          <w:szCs w:val="21"/>
          <w:highlight w:val="none"/>
          <w:u w:val="single"/>
        </w:rPr>
        <w:t xml:space="preserve">  </w:t>
      </w:r>
      <w:r>
        <w:rPr>
          <w:rFonts w:hint="eastAsia" w:asciiTheme="minorEastAsia" w:hAnsiTheme="minorEastAsia" w:eastAsiaTheme="minorEastAsia" w:cstheme="minorEastAsia"/>
          <w:szCs w:val="21"/>
          <w:highlight w:val="none"/>
          <w:u w:val="single"/>
        </w:rPr>
        <w:t xml:space="preserve"> </w:t>
      </w:r>
      <w:r>
        <w:rPr>
          <w:rFonts w:hint="eastAsia" w:ascii="宋体"/>
          <w:color w:val="000000"/>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66F28FFD">
      <w:pPr>
        <w:spacing w:line="360" w:lineRule="auto"/>
        <w:ind w:firstLine="420" w:firstLineChars="200"/>
        <w:rPr>
          <w:rFonts w:ascii="宋体"/>
          <w:color w:val="auto"/>
          <w:szCs w:val="21"/>
          <w:highlight w:val="none"/>
        </w:rPr>
      </w:pPr>
      <w:r>
        <w:rPr>
          <w:rFonts w:hint="eastAsia" w:ascii="宋体" w:hAnsi="宋体"/>
          <w:color w:val="auto"/>
          <w:szCs w:val="21"/>
          <w:highlight w:val="none"/>
        </w:rPr>
        <w:t>建造师执业印章号：</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4993A00D">
      <w:pPr>
        <w:spacing w:line="360" w:lineRule="auto"/>
        <w:ind w:firstLine="420" w:firstLineChars="200"/>
        <w:rPr>
          <w:rFonts w:ascii="宋体"/>
          <w:color w:val="auto"/>
          <w:szCs w:val="21"/>
          <w:highlight w:val="none"/>
        </w:rPr>
      </w:pPr>
      <w:r>
        <w:rPr>
          <w:rFonts w:hint="eastAsia" w:ascii="宋体" w:hAnsi="宋体"/>
          <w:color w:val="auto"/>
          <w:szCs w:val="21"/>
          <w:highlight w:val="none"/>
        </w:rPr>
        <w:t>安全生产考核合格证书号：</w:t>
      </w:r>
      <w:r>
        <w:rPr>
          <w:rFonts w:ascii="宋体" w:hAnsi="宋体"/>
          <w:color w:val="auto"/>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olor w:val="auto"/>
          <w:szCs w:val="21"/>
          <w:highlight w:val="none"/>
        </w:rPr>
        <w:t>。</w:t>
      </w:r>
    </w:p>
    <w:p w14:paraId="40B60743">
      <w:pPr>
        <w:spacing w:line="360" w:lineRule="auto"/>
        <w:ind w:firstLine="420" w:firstLineChars="200"/>
        <w:rPr>
          <w:rFonts w:ascii="宋体"/>
          <w:color w:val="auto"/>
          <w:highlight w:val="none"/>
        </w:rPr>
      </w:pPr>
      <w:bookmarkStart w:id="699" w:name="_Toc479505741"/>
      <w:bookmarkStart w:id="700" w:name="_Toc480303468"/>
      <w:bookmarkStart w:id="701" w:name="_Toc477964597"/>
      <w:r>
        <w:rPr>
          <w:rFonts w:hint="eastAsia" w:ascii="宋体" w:hAnsi="宋体"/>
          <w:color w:val="auto"/>
          <w:highlight w:val="none"/>
        </w:rPr>
        <w:t>九、合同文件的组成</w:t>
      </w:r>
      <w:bookmarkEnd w:id="699"/>
      <w:bookmarkEnd w:id="700"/>
      <w:bookmarkEnd w:id="701"/>
    </w:p>
    <w:p w14:paraId="47CC476D">
      <w:pPr>
        <w:spacing w:line="360" w:lineRule="auto"/>
        <w:ind w:firstLine="420" w:firstLineChars="200"/>
        <w:rPr>
          <w:rFonts w:ascii="宋体"/>
          <w:color w:val="auto"/>
          <w:szCs w:val="21"/>
          <w:highlight w:val="none"/>
        </w:rPr>
      </w:pPr>
      <w:r>
        <w:rPr>
          <w:rFonts w:hint="eastAsia" w:ascii="宋体" w:hAnsi="宋体"/>
          <w:color w:val="auto"/>
          <w:szCs w:val="21"/>
          <w:highlight w:val="none"/>
        </w:rPr>
        <w:t>下列文件共同构成合同文件：</w:t>
      </w:r>
    </w:p>
    <w:p w14:paraId="5B7C9D5F">
      <w:pPr>
        <w:spacing w:line="360" w:lineRule="auto"/>
        <w:ind w:firstLine="420" w:firstLineChars="200"/>
        <w:rPr>
          <w:rFonts w:ascii="宋体"/>
          <w:color w:val="auto"/>
          <w:highlight w:val="none"/>
        </w:rPr>
      </w:pPr>
      <w:r>
        <w:rPr>
          <w:rFonts w:ascii="宋体" w:hAnsi="宋体"/>
          <w:color w:val="auto"/>
          <w:highlight w:val="none"/>
        </w:rPr>
        <w:t>1</w:t>
      </w:r>
      <w:r>
        <w:rPr>
          <w:rFonts w:hint="eastAsia" w:ascii="宋体" w:hAnsi="宋体"/>
          <w:color w:val="auto"/>
          <w:highlight w:val="none"/>
        </w:rPr>
        <w:t>、本协议书；</w:t>
      </w:r>
    </w:p>
    <w:p w14:paraId="006037AA">
      <w:pPr>
        <w:spacing w:line="360" w:lineRule="auto"/>
        <w:ind w:firstLine="420" w:firstLineChars="200"/>
        <w:rPr>
          <w:rFonts w:ascii="宋体"/>
          <w:color w:val="auto"/>
          <w:highlight w:val="none"/>
        </w:rPr>
      </w:pPr>
      <w:r>
        <w:rPr>
          <w:rFonts w:ascii="宋体" w:hAnsi="宋体"/>
          <w:color w:val="auto"/>
          <w:highlight w:val="none"/>
        </w:rPr>
        <w:t>2</w:t>
      </w:r>
      <w:r>
        <w:rPr>
          <w:rFonts w:hint="eastAsia" w:ascii="宋体" w:hAnsi="宋体"/>
          <w:color w:val="auto"/>
          <w:highlight w:val="none"/>
        </w:rPr>
        <w:t>、中标通知书；</w:t>
      </w:r>
    </w:p>
    <w:p w14:paraId="577220CA">
      <w:pPr>
        <w:spacing w:line="360" w:lineRule="auto"/>
        <w:ind w:firstLine="420" w:firstLineChars="200"/>
        <w:rPr>
          <w:rFonts w:ascii="宋体"/>
          <w:color w:val="auto"/>
          <w:highlight w:val="none"/>
        </w:rPr>
      </w:pPr>
      <w:r>
        <w:rPr>
          <w:rFonts w:ascii="宋体" w:hAnsi="宋体"/>
          <w:color w:val="auto"/>
          <w:highlight w:val="none"/>
        </w:rPr>
        <w:t>3</w:t>
      </w:r>
      <w:r>
        <w:rPr>
          <w:rFonts w:hint="eastAsia" w:ascii="宋体" w:hAnsi="宋体"/>
          <w:color w:val="auto"/>
          <w:highlight w:val="none"/>
        </w:rPr>
        <w:t>、</w:t>
      </w:r>
      <w:r>
        <w:rPr>
          <w:rFonts w:hint="eastAsia" w:ascii="宋体" w:hAnsi="宋体"/>
          <w:color w:val="auto"/>
          <w:szCs w:val="21"/>
          <w:highlight w:val="none"/>
        </w:rPr>
        <w:t>投标函及投标函附录</w:t>
      </w:r>
      <w:r>
        <w:rPr>
          <w:rFonts w:hint="eastAsia" w:ascii="宋体" w:hAnsi="宋体"/>
          <w:color w:val="auto"/>
          <w:highlight w:val="none"/>
        </w:rPr>
        <w:t>；</w:t>
      </w:r>
    </w:p>
    <w:p w14:paraId="0D6325E6">
      <w:pPr>
        <w:spacing w:line="360" w:lineRule="auto"/>
        <w:ind w:firstLine="420" w:firstLineChars="200"/>
        <w:rPr>
          <w:rFonts w:ascii="宋体"/>
          <w:color w:val="auto"/>
          <w:highlight w:val="none"/>
        </w:rPr>
      </w:pPr>
      <w:r>
        <w:rPr>
          <w:rFonts w:ascii="宋体" w:hAnsi="宋体"/>
          <w:color w:val="auto"/>
          <w:highlight w:val="none"/>
        </w:rPr>
        <w:t>4</w:t>
      </w:r>
      <w:r>
        <w:rPr>
          <w:rFonts w:hint="eastAsia" w:ascii="宋体" w:hAnsi="宋体"/>
          <w:color w:val="auto"/>
          <w:highlight w:val="none"/>
        </w:rPr>
        <w:t>、合同条款专用部分；</w:t>
      </w:r>
    </w:p>
    <w:p w14:paraId="512CEB9C">
      <w:pPr>
        <w:spacing w:line="360" w:lineRule="auto"/>
        <w:ind w:firstLine="420" w:firstLineChars="200"/>
        <w:rPr>
          <w:rFonts w:ascii="宋体"/>
          <w:color w:val="auto"/>
          <w:highlight w:val="none"/>
        </w:rPr>
      </w:pPr>
      <w:r>
        <w:rPr>
          <w:rFonts w:ascii="宋体" w:hAnsi="宋体"/>
          <w:color w:val="auto"/>
          <w:highlight w:val="none"/>
        </w:rPr>
        <w:t>5</w:t>
      </w:r>
      <w:r>
        <w:rPr>
          <w:rFonts w:hint="eastAsia" w:ascii="宋体" w:hAnsi="宋体"/>
          <w:color w:val="auto"/>
          <w:highlight w:val="none"/>
        </w:rPr>
        <w:t>、合同条款通用部分；</w:t>
      </w:r>
    </w:p>
    <w:p w14:paraId="144BBF2D">
      <w:pPr>
        <w:spacing w:line="360" w:lineRule="auto"/>
        <w:ind w:firstLine="420" w:firstLineChars="200"/>
        <w:rPr>
          <w:rFonts w:ascii="宋体"/>
          <w:color w:val="auto"/>
          <w:highlight w:val="none"/>
        </w:rPr>
      </w:pPr>
      <w:r>
        <w:rPr>
          <w:rFonts w:ascii="宋体" w:hAnsi="宋体"/>
          <w:color w:val="auto"/>
          <w:highlight w:val="none"/>
        </w:rPr>
        <w:t>6</w:t>
      </w:r>
      <w:r>
        <w:rPr>
          <w:rFonts w:hint="eastAsia" w:ascii="宋体" w:hAnsi="宋体"/>
          <w:color w:val="auto"/>
          <w:highlight w:val="none"/>
        </w:rPr>
        <w:t>、</w:t>
      </w:r>
      <w:r>
        <w:rPr>
          <w:rFonts w:hint="eastAsia" w:ascii="宋体" w:hAnsi="宋体"/>
          <w:color w:val="auto"/>
          <w:szCs w:val="21"/>
          <w:highlight w:val="none"/>
        </w:rPr>
        <w:t>技术标准和要求；</w:t>
      </w:r>
    </w:p>
    <w:p w14:paraId="22D0A4A4">
      <w:pPr>
        <w:spacing w:line="360" w:lineRule="auto"/>
        <w:ind w:firstLine="420" w:firstLineChars="200"/>
        <w:rPr>
          <w:rFonts w:ascii="宋体"/>
          <w:color w:val="auto"/>
          <w:highlight w:val="none"/>
        </w:rPr>
      </w:pPr>
      <w:r>
        <w:rPr>
          <w:rFonts w:ascii="宋体" w:hAnsi="宋体"/>
          <w:color w:val="auto"/>
          <w:highlight w:val="none"/>
        </w:rPr>
        <w:t>7</w:t>
      </w:r>
      <w:r>
        <w:rPr>
          <w:rFonts w:hint="eastAsia" w:ascii="宋体" w:hAnsi="宋体"/>
          <w:color w:val="auto"/>
          <w:highlight w:val="none"/>
        </w:rPr>
        <w:t>、图纸；</w:t>
      </w:r>
    </w:p>
    <w:p w14:paraId="0D8E5149">
      <w:pPr>
        <w:spacing w:line="360" w:lineRule="auto"/>
        <w:ind w:firstLine="420" w:firstLineChars="200"/>
        <w:rPr>
          <w:rFonts w:ascii="宋体"/>
          <w:color w:val="auto"/>
          <w:highlight w:val="none"/>
        </w:rPr>
      </w:pPr>
      <w:r>
        <w:rPr>
          <w:rFonts w:ascii="宋体" w:hAnsi="宋体"/>
          <w:color w:val="auto"/>
          <w:highlight w:val="none"/>
        </w:rPr>
        <w:t>8</w:t>
      </w:r>
      <w:r>
        <w:rPr>
          <w:rFonts w:hint="eastAsia" w:ascii="宋体" w:hAnsi="宋体"/>
          <w:color w:val="auto"/>
          <w:highlight w:val="none"/>
        </w:rPr>
        <w:t>、已标价工程量清单；</w:t>
      </w:r>
    </w:p>
    <w:p w14:paraId="794E8732">
      <w:pPr>
        <w:spacing w:line="360" w:lineRule="auto"/>
        <w:ind w:firstLine="420" w:firstLineChars="200"/>
        <w:rPr>
          <w:rFonts w:ascii="宋体"/>
          <w:color w:val="auto"/>
          <w:highlight w:val="none"/>
        </w:rPr>
      </w:pPr>
      <w:r>
        <w:rPr>
          <w:rFonts w:ascii="宋体" w:hAnsi="宋体"/>
          <w:color w:val="auto"/>
          <w:highlight w:val="none"/>
        </w:rPr>
        <w:t>9</w:t>
      </w:r>
      <w:r>
        <w:rPr>
          <w:rFonts w:hint="eastAsia" w:ascii="宋体" w:hAnsi="宋体"/>
          <w:color w:val="auto"/>
          <w:highlight w:val="none"/>
        </w:rPr>
        <w:t>、其他合同文件。</w:t>
      </w:r>
    </w:p>
    <w:p w14:paraId="31773DF0">
      <w:pPr>
        <w:spacing w:line="360" w:lineRule="auto"/>
        <w:ind w:firstLine="420" w:firstLineChars="200"/>
        <w:rPr>
          <w:rFonts w:ascii="宋体"/>
          <w:color w:val="auto"/>
          <w:szCs w:val="21"/>
          <w:highlight w:val="none"/>
        </w:rPr>
      </w:pPr>
      <w:r>
        <w:rPr>
          <w:rFonts w:hint="eastAsia" w:ascii="宋体" w:hAnsi="宋体"/>
          <w:color w:val="auto"/>
          <w:szCs w:val="21"/>
          <w:highlight w:val="none"/>
        </w:rPr>
        <w:t>上述文件互相补充和解释，如有不明确或不一致之处，以合同约定次序在先者为准。</w:t>
      </w:r>
    </w:p>
    <w:p w14:paraId="3F259C07">
      <w:pPr>
        <w:spacing w:line="360" w:lineRule="auto"/>
        <w:ind w:firstLine="420" w:firstLineChars="200"/>
        <w:rPr>
          <w:rFonts w:ascii="宋体"/>
          <w:color w:val="auto"/>
          <w:highlight w:val="none"/>
        </w:rPr>
      </w:pPr>
      <w:bookmarkStart w:id="702" w:name="_Toc477964598"/>
      <w:bookmarkStart w:id="703" w:name="_Toc479505742"/>
      <w:bookmarkStart w:id="704" w:name="_Toc480303469"/>
      <w:r>
        <w:rPr>
          <w:rFonts w:hint="eastAsia" w:ascii="宋体" w:hAnsi="宋体"/>
          <w:color w:val="auto"/>
          <w:highlight w:val="none"/>
        </w:rPr>
        <w:t>十、本协议书中有关词语定义与合同条款中的定义相同。</w:t>
      </w:r>
      <w:bookmarkEnd w:id="702"/>
      <w:bookmarkEnd w:id="703"/>
      <w:bookmarkEnd w:id="704"/>
    </w:p>
    <w:p w14:paraId="520B49AD">
      <w:pPr>
        <w:spacing w:line="360" w:lineRule="auto"/>
        <w:ind w:firstLine="420" w:firstLineChars="200"/>
        <w:rPr>
          <w:rFonts w:ascii="宋体"/>
          <w:color w:val="auto"/>
          <w:highlight w:val="none"/>
        </w:rPr>
      </w:pPr>
      <w:bookmarkStart w:id="705" w:name="_Toc477964599"/>
      <w:bookmarkStart w:id="706" w:name="_Toc479505743"/>
      <w:bookmarkStart w:id="707" w:name="_Toc480303470"/>
      <w:r>
        <w:rPr>
          <w:rFonts w:hint="eastAsia" w:ascii="宋体" w:hAnsi="宋体"/>
          <w:color w:val="auto"/>
          <w:highlight w:val="none"/>
        </w:rPr>
        <w:t>十一、承包人承诺按照合同约定进行施工、竣工、交付并承担质量缺陷保修责任。</w:t>
      </w:r>
      <w:bookmarkEnd w:id="705"/>
      <w:bookmarkEnd w:id="706"/>
      <w:bookmarkEnd w:id="707"/>
    </w:p>
    <w:p w14:paraId="247DBAF5">
      <w:pPr>
        <w:spacing w:line="360" w:lineRule="auto"/>
        <w:ind w:firstLine="420" w:firstLineChars="200"/>
        <w:rPr>
          <w:rFonts w:ascii="宋体"/>
          <w:color w:val="auto"/>
          <w:highlight w:val="none"/>
        </w:rPr>
      </w:pPr>
      <w:bookmarkStart w:id="708" w:name="_Toc480303471"/>
      <w:bookmarkStart w:id="709" w:name="_Toc477964600"/>
      <w:bookmarkStart w:id="710" w:name="_Toc479505744"/>
      <w:r>
        <w:rPr>
          <w:rFonts w:hint="eastAsia" w:ascii="宋体" w:hAnsi="宋体"/>
          <w:color w:val="auto"/>
          <w:highlight w:val="none"/>
        </w:rPr>
        <w:t>十二、发包人承诺按照合同约定的条件、期限和方式向承包人支付合同价款。</w:t>
      </w:r>
      <w:bookmarkEnd w:id="708"/>
      <w:bookmarkEnd w:id="709"/>
      <w:bookmarkEnd w:id="710"/>
    </w:p>
    <w:p w14:paraId="07BA8B37">
      <w:pPr>
        <w:spacing w:line="360" w:lineRule="auto"/>
        <w:ind w:firstLine="420" w:firstLineChars="200"/>
        <w:rPr>
          <w:rFonts w:ascii="宋体"/>
          <w:color w:val="auto"/>
          <w:highlight w:val="none"/>
          <w:u w:val="single"/>
        </w:rPr>
      </w:pPr>
      <w:bookmarkStart w:id="711" w:name="_Toc480303472"/>
      <w:bookmarkStart w:id="712" w:name="_Toc477964601"/>
      <w:bookmarkStart w:id="713" w:name="_Toc479505745"/>
      <w:r>
        <w:rPr>
          <w:rFonts w:hint="eastAsia" w:ascii="宋体" w:hAnsi="宋体"/>
          <w:color w:val="auto"/>
          <w:highlight w:val="none"/>
        </w:rPr>
        <w:t>十三、本协议书连同其他合同文件正本一式两份，合同双方各执一份；副本一式</w:t>
      </w:r>
      <w:r>
        <w:rPr>
          <w:rFonts w:ascii="宋体" w:hAnsi="宋体"/>
          <w:color w:val="auto"/>
          <w:highlight w:val="none"/>
          <w:u w:val="single"/>
        </w:rPr>
        <w:t xml:space="preserve"> </w:t>
      </w:r>
      <w:r>
        <w:rPr>
          <w:rFonts w:hint="eastAsia" w:ascii="宋体" w:hAnsi="宋体"/>
          <w:color w:val="auto"/>
          <w:highlight w:val="none"/>
          <w:u w:val="single"/>
          <w:lang w:eastAsia="zh-CN"/>
        </w:rPr>
        <w:t>陆</w:t>
      </w:r>
      <w:r>
        <w:rPr>
          <w:rFonts w:ascii="宋体" w:hAnsi="宋体"/>
          <w:color w:val="auto"/>
          <w:highlight w:val="none"/>
          <w:u w:val="single"/>
        </w:rPr>
        <w:t xml:space="preserve"> </w:t>
      </w:r>
    </w:p>
    <w:p w14:paraId="78807548">
      <w:pPr>
        <w:spacing w:line="360" w:lineRule="auto"/>
        <w:rPr>
          <w:rFonts w:ascii="宋体"/>
          <w:color w:val="auto"/>
          <w:highlight w:val="none"/>
        </w:rPr>
      </w:pPr>
      <w:r>
        <w:rPr>
          <w:rFonts w:hint="eastAsia" w:ascii="宋体" w:hAnsi="宋体"/>
          <w:color w:val="auto"/>
          <w:highlight w:val="none"/>
        </w:rPr>
        <w:t>份</w:t>
      </w:r>
      <w:r>
        <w:rPr>
          <w:rFonts w:hint="eastAsia" w:ascii="宋体" w:hAnsi="宋体"/>
          <w:color w:val="auto"/>
          <w:highlight w:val="none"/>
          <w:lang w:eastAsia="zh-CN"/>
        </w:rPr>
        <w:t>，甲乙双方各执</w:t>
      </w:r>
      <w:r>
        <w:rPr>
          <w:rFonts w:hint="eastAsia" w:ascii="宋体" w:hAnsi="宋体"/>
          <w:color w:val="auto"/>
          <w:highlight w:val="none"/>
          <w:u w:val="single"/>
          <w:lang w:eastAsia="zh-CN"/>
        </w:rPr>
        <w:t>叁</w:t>
      </w:r>
      <w:r>
        <w:rPr>
          <w:rFonts w:hint="eastAsia" w:ascii="宋体" w:hAnsi="宋体"/>
          <w:color w:val="auto"/>
          <w:highlight w:val="none"/>
          <w:lang w:eastAsia="zh-CN"/>
        </w:rPr>
        <w:t>份</w:t>
      </w:r>
      <w:r>
        <w:rPr>
          <w:rFonts w:hint="eastAsia" w:ascii="宋体" w:hAnsi="宋体"/>
          <w:color w:val="auto"/>
          <w:highlight w:val="none"/>
        </w:rPr>
        <w:t>。</w:t>
      </w:r>
      <w:bookmarkEnd w:id="711"/>
      <w:bookmarkEnd w:id="712"/>
      <w:bookmarkEnd w:id="713"/>
    </w:p>
    <w:p w14:paraId="42817982">
      <w:pPr>
        <w:spacing w:line="360" w:lineRule="auto"/>
        <w:ind w:firstLine="420" w:firstLineChars="200"/>
        <w:rPr>
          <w:rFonts w:ascii="宋体"/>
          <w:color w:val="auto"/>
          <w:highlight w:val="none"/>
        </w:rPr>
      </w:pPr>
      <w:bookmarkStart w:id="714" w:name="_Toc477964602"/>
      <w:bookmarkStart w:id="715" w:name="_Toc480303473"/>
      <w:bookmarkStart w:id="716" w:name="_Toc479505746"/>
      <w:r>
        <w:rPr>
          <w:rFonts w:hint="eastAsia" w:ascii="宋体" w:hAnsi="宋体"/>
          <w:color w:val="auto"/>
          <w:highlight w:val="none"/>
        </w:rPr>
        <w:t>十四、合同未尽事宜，双方另行签订补充协议，但不得背离本协议第九条所约定的合同文件的实质性内容。补充协议是合同文件的组成部分。</w:t>
      </w:r>
      <w:bookmarkEnd w:id="714"/>
      <w:bookmarkEnd w:id="715"/>
      <w:bookmarkEnd w:id="716"/>
    </w:p>
    <w:p w14:paraId="6A0B1B0F">
      <w:pPr>
        <w:spacing w:line="360" w:lineRule="auto"/>
        <w:rPr>
          <w:rFonts w:ascii="宋体"/>
          <w:color w:val="auto"/>
          <w:szCs w:val="21"/>
          <w:highlight w:val="none"/>
          <w:u w:val="single"/>
        </w:rPr>
      </w:pPr>
    </w:p>
    <w:p w14:paraId="54B9A2AA">
      <w:pPr>
        <w:spacing w:line="360" w:lineRule="auto"/>
        <w:rPr>
          <w:rFonts w:ascii="宋体"/>
          <w:b/>
          <w:bCs/>
          <w:color w:val="auto"/>
          <w:szCs w:val="21"/>
          <w:highlight w:val="none"/>
        </w:rPr>
      </w:pPr>
    </w:p>
    <w:p w14:paraId="609277D3">
      <w:pPr>
        <w:spacing w:line="360" w:lineRule="auto"/>
        <w:rPr>
          <w:rFonts w:hint="eastAsia" w:ascii="宋体" w:hAnsi="宋体" w:cs="宋体"/>
          <w:color w:val="auto"/>
          <w:szCs w:val="21"/>
          <w:highlight w:val="none"/>
          <w:u w:val="single"/>
        </w:rPr>
      </w:pPr>
      <w:r>
        <w:rPr>
          <w:rFonts w:hint="eastAsia" w:ascii="宋体" w:hAnsi="宋体"/>
          <w:bCs/>
          <w:color w:val="auto"/>
          <w:szCs w:val="21"/>
          <w:highlight w:val="none"/>
        </w:rPr>
        <w:t>发包人：</w:t>
      </w:r>
      <w:r>
        <w:rPr>
          <w:rFonts w:ascii="宋体" w:hAnsi="宋体"/>
          <w:color w:val="auto"/>
          <w:szCs w:val="21"/>
          <w:highlight w:val="none"/>
          <w:u w:val="single"/>
        </w:rPr>
        <w:t xml:space="preserve"> </w:t>
      </w:r>
      <w:r>
        <w:rPr>
          <w:rFonts w:hint="eastAsia" w:ascii="宋体" w:hAnsi="宋体" w:cs="宋体"/>
          <w:color w:val="auto"/>
          <w:sz w:val="21"/>
          <w:szCs w:val="21"/>
          <w:highlight w:val="none"/>
          <w:u w:val="single"/>
          <w:lang w:eastAsia="zh-CN"/>
        </w:rPr>
        <w:t>北京市昌平区延寿镇人民政府</w:t>
      </w:r>
      <w:r>
        <w:rPr>
          <w:rFonts w:hint="eastAsia" w:ascii="宋体" w:hAnsi="宋体" w:cs="宋体"/>
          <w:color w:val="auto"/>
          <w:sz w:val="21"/>
          <w:szCs w:val="21"/>
          <w:highlight w:val="none"/>
          <w:u w:val="single"/>
          <w:lang w:val="en-US" w:eastAsia="zh-CN"/>
        </w:rPr>
        <w:t xml:space="preserve">      </w:t>
      </w:r>
      <w:r>
        <w:rPr>
          <w:rFonts w:hint="eastAsia" w:ascii="宋体" w:hAnsi="宋体"/>
          <w:bCs/>
          <w:color w:val="auto"/>
          <w:szCs w:val="21"/>
          <w:highlight w:val="none"/>
        </w:rPr>
        <w:t>承包人：</w:t>
      </w:r>
      <w:r>
        <w:rPr>
          <w:rFonts w:ascii="宋体" w:hAnsi="宋体"/>
          <w:color w:val="auto"/>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Cs w:val="21"/>
          <w:highlight w:val="none"/>
          <w:u w:val="single"/>
        </w:rPr>
        <w:t xml:space="preserve"> </w:t>
      </w:r>
    </w:p>
    <w:p w14:paraId="529240A2">
      <w:pPr>
        <w:spacing w:line="360" w:lineRule="auto"/>
        <w:ind w:firstLine="630" w:firstLineChars="300"/>
        <w:rPr>
          <w:rFonts w:ascii="宋体"/>
          <w:color w:val="auto"/>
          <w:szCs w:val="21"/>
          <w:highlight w:val="none"/>
        </w:rPr>
      </w:pPr>
      <w:r>
        <w:rPr>
          <w:rFonts w:hint="eastAsia" w:ascii="宋体" w:hAnsi="宋体"/>
          <w:color w:val="auto"/>
          <w:szCs w:val="21"/>
          <w:highlight w:val="none"/>
        </w:rPr>
        <w:t>（盖单位章）</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（盖单位章）</w:t>
      </w:r>
    </w:p>
    <w:p w14:paraId="1AD2D3CB">
      <w:pPr>
        <w:spacing w:line="360" w:lineRule="auto"/>
        <w:rPr>
          <w:rFonts w:ascii="宋体"/>
          <w:color w:val="auto"/>
          <w:szCs w:val="21"/>
          <w:highlight w:val="none"/>
        </w:rPr>
      </w:pPr>
    </w:p>
    <w:p w14:paraId="4CA1FF9F">
      <w:pPr>
        <w:spacing w:line="360" w:lineRule="auto"/>
        <w:rPr>
          <w:rFonts w:ascii="宋体"/>
          <w:color w:val="auto"/>
          <w:szCs w:val="21"/>
          <w:highlight w:val="none"/>
        </w:rPr>
      </w:pPr>
      <w:r>
        <w:rPr>
          <w:rFonts w:hint="eastAsia" w:ascii="宋体" w:hAnsi="宋体"/>
          <w:bCs/>
          <w:color w:val="auto"/>
          <w:szCs w:val="21"/>
          <w:highlight w:val="none"/>
        </w:rPr>
        <w:t>法定代表人或其</w:t>
      </w:r>
      <w:r>
        <w:rPr>
          <w:rFonts w:ascii="宋体" w:hAnsi="宋体"/>
          <w:color w:val="FF0000"/>
          <w:szCs w:val="21"/>
          <w:highlight w:val="none"/>
        </w:rPr>
        <w:t xml:space="preserve">    </w:t>
      </w:r>
      <w:r>
        <w:rPr>
          <w:rFonts w:ascii="宋体" w:hAnsi="宋体"/>
          <w:color w:val="auto"/>
          <w:szCs w:val="21"/>
          <w:highlight w:val="none"/>
        </w:rPr>
        <w:t xml:space="preserve">                       </w:t>
      </w:r>
      <w:r>
        <w:rPr>
          <w:rFonts w:hint="eastAsia" w:ascii="宋体" w:hAnsi="宋体"/>
          <w:bCs/>
          <w:color w:val="auto"/>
          <w:szCs w:val="21"/>
          <w:highlight w:val="none"/>
        </w:rPr>
        <w:t>法定代表人或其</w:t>
      </w:r>
    </w:p>
    <w:p w14:paraId="2B5B4697">
      <w:pPr>
        <w:spacing w:line="360" w:lineRule="auto"/>
        <w:rPr>
          <w:rFonts w:ascii="宋体"/>
          <w:color w:val="auto"/>
          <w:szCs w:val="21"/>
          <w:highlight w:val="none"/>
        </w:rPr>
      </w:pPr>
      <w:r>
        <w:rPr>
          <w:rFonts w:hint="eastAsia" w:ascii="宋体" w:hAnsi="宋体"/>
          <w:bCs/>
          <w:color w:val="auto"/>
          <w:szCs w:val="21"/>
          <w:highlight w:val="none"/>
        </w:rPr>
        <w:t>委托代理人：</w:t>
      </w:r>
      <w:r>
        <w:rPr>
          <w:rFonts w:ascii="宋体" w:hAnsi="宋体"/>
          <w:color w:val="auto"/>
          <w:szCs w:val="21"/>
          <w:highlight w:val="none"/>
          <w:u w:val="single"/>
        </w:rPr>
        <w:t xml:space="preserve">                   </w:t>
      </w:r>
      <w:r>
        <w:rPr>
          <w:rFonts w:hint="eastAsia" w:ascii="宋体" w:hAnsi="宋体"/>
          <w:color w:val="auto"/>
          <w:szCs w:val="21"/>
          <w:highlight w:val="none"/>
        </w:rPr>
        <w:t>（签字）</w:t>
      </w:r>
      <w:r>
        <w:rPr>
          <w:rFonts w:ascii="宋体" w:hAnsi="宋体"/>
          <w:color w:val="auto"/>
          <w:szCs w:val="21"/>
          <w:highlight w:val="none"/>
        </w:rPr>
        <w:t xml:space="preserve"> </w:t>
      </w:r>
      <w:r>
        <w:rPr>
          <w:rFonts w:ascii="宋体" w:hAnsi="宋体"/>
          <w:bCs/>
          <w:color w:val="auto"/>
          <w:szCs w:val="21"/>
          <w:highlight w:val="none"/>
        </w:rPr>
        <w:t xml:space="preserve"> </w:t>
      </w:r>
      <w:r>
        <w:rPr>
          <w:rFonts w:hint="eastAsia" w:ascii="宋体" w:hAnsi="宋体"/>
          <w:bCs/>
          <w:color w:val="auto"/>
          <w:szCs w:val="21"/>
          <w:highlight w:val="none"/>
        </w:rPr>
        <w:t>委托代理人：</w:t>
      </w:r>
      <w:r>
        <w:rPr>
          <w:rFonts w:ascii="宋体" w:hAnsi="宋体"/>
          <w:color w:val="auto"/>
          <w:szCs w:val="21"/>
          <w:highlight w:val="none"/>
          <w:u w:val="single"/>
        </w:rPr>
        <w:t xml:space="preserve">                   </w:t>
      </w:r>
      <w:r>
        <w:rPr>
          <w:rFonts w:hint="eastAsia" w:ascii="宋体" w:hAnsi="宋体"/>
          <w:color w:val="auto"/>
          <w:szCs w:val="21"/>
          <w:highlight w:val="none"/>
        </w:rPr>
        <w:t>（签字）</w:t>
      </w:r>
    </w:p>
    <w:p w14:paraId="3A9A2D47">
      <w:pPr>
        <w:spacing w:line="360" w:lineRule="auto"/>
        <w:rPr>
          <w:rFonts w:ascii="宋体"/>
          <w:color w:val="auto"/>
          <w:szCs w:val="21"/>
          <w:highlight w:val="none"/>
          <w:u w:val="single"/>
        </w:rPr>
      </w:pPr>
    </w:p>
    <w:p w14:paraId="05027067">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日</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日</w:t>
      </w:r>
    </w:p>
    <w:p w14:paraId="2718E934">
      <w:pPr>
        <w:spacing w:line="360" w:lineRule="auto"/>
        <w:rPr>
          <w:rFonts w:ascii="宋体"/>
          <w:color w:val="auto"/>
          <w:szCs w:val="21"/>
          <w:highlight w:val="none"/>
        </w:rPr>
      </w:pPr>
    </w:p>
    <w:p w14:paraId="68113002">
      <w:pPr>
        <w:spacing w:line="360" w:lineRule="auto"/>
        <w:rPr>
          <w:rFonts w:ascii="宋体"/>
          <w:b/>
          <w:color w:val="auto"/>
          <w:szCs w:val="21"/>
          <w:highlight w:val="none"/>
        </w:rPr>
      </w:pPr>
      <w:r>
        <w:rPr>
          <w:rFonts w:hint="eastAsia" w:ascii="宋体" w:hAnsi="宋体"/>
          <w:color w:val="auto"/>
          <w:szCs w:val="21"/>
          <w:highlight w:val="none"/>
        </w:rPr>
        <w:t>签约地点：</w:t>
      </w:r>
      <w:r>
        <w:rPr>
          <w:rFonts w:ascii="宋体" w:hAnsi="宋体"/>
          <w:color w:val="auto"/>
          <w:szCs w:val="21"/>
          <w:highlight w:val="none"/>
          <w:u w:val="single"/>
        </w:rPr>
        <w:t xml:space="preserve">            </w:t>
      </w:r>
      <w:r>
        <w:rPr>
          <w:rFonts w:hint="eastAsia" w:ascii="宋体" w:hAnsi="宋体" w:cs="宋体"/>
          <w:color w:val="auto"/>
          <w:sz w:val="21"/>
          <w:szCs w:val="21"/>
          <w:highlight w:val="none"/>
          <w:u w:val="single"/>
          <w:lang w:eastAsia="zh-CN"/>
        </w:rPr>
        <w:t>北京市昌平区延寿镇人民政府</w:t>
      </w:r>
      <w:r>
        <w:rPr>
          <w:rFonts w:ascii="宋体" w:hAnsi="宋体"/>
          <w:color w:val="auto"/>
          <w:szCs w:val="21"/>
          <w:highlight w:val="none"/>
          <w:u w:val="single"/>
        </w:rPr>
        <w:t xml:space="preserve">                      </w:t>
      </w:r>
      <w:r>
        <w:rPr>
          <w:rFonts w:ascii="宋体" w:hAnsi="宋体"/>
          <w:b/>
          <w:color w:val="auto"/>
          <w:szCs w:val="21"/>
          <w:highlight w:val="none"/>
          <w:u w:val="single"/>
        </w:rPr>
        <w:t xml:space="preserve"> </w:t>
      </w:r>
    </w:p>
    <w:p w14:paraId="62C7D8C1">
      <w:pPr>
        <w:rPr>
          <w:highlight w:val="none"/>
        </w:rPr>
      </w:pPr>
    </w:p>
    <w:p w14:paraId="27DC1B5C">
      <w:pPr>
        <w:pStyle w:val="23"/>
        <w:rPr>
          <w:highlight w:val="none"/>
        </w:rPr>
      </w:pPr>
    </w:p>
    <w:p w14:paraId="21CBB6F1">
      <w:pPr>
        <w:pStyle w:val="23"/>
        <w:rPr>
          <w:highlight w:val="none"/>
        </w:rPr>
      </w:pPr>
    </w:p>
    <w:p w14:paraId="13A8FE44">
      <w:pPr>
        <w:pStyle w:val="23"/>
        <w:rPr>
          <w:highlight w:val="none"/>
        </w:rPr>
      </w:pPr>
    </w:p>
    <w:p w14:paraId="67C39980">
      <w:pPr>
        <w:pStyle w:val="23"/>
        <w:rPr>
          <w:highlight w:val="none"/>
        </w:rPr>
      </w:pPr>
    </w:p>
    <w:p w14:paraId="15E4D0EA">
      <w:pPr>
        <w:pStyle w:val="23"/>
        <w:rPr>
          <w:highlight w:val="none"/>
        </w:rPr>
      </w:pPr>
    </w:p>
    <w:p w14:paraId="2F689A0B">
      <w:pPr>
        <w:pStyle w:val="23"/>
        <w:rPr>
          <w:highlight w:val="none"/>
        </w:rPr>
      </w:pPr>
    </w:p>
    <w:p w14:paraId="317CC9F0">
      <w:pPr>
        <w:pStyle w:val="23"/>
        <w:rPr>
          <w:highlight w:val="none"/>
        </w:rPr>
      </w:pPr>
    </w:p>
    <w:p w14:paraId="19F75540">
      <w:pPr>
        <w:pStyle w:val="23"/>
        <w:rPr>
          <w:highlight w:val="none"/>
        </w:rPr>
      </w:pPr>
    </w:p>
    <w:p w14:paraId="3CC4650D">
      <w:pPr>
        <w:pStyle w:val="23"/>
        <w:rPr>
          <w:highlight w:val="none"/>
        </w:rPr>
      </w:pPr>
    </w:p>
    <w:p w14:paraId="1177787D">
      <w:pPr>
        <w:pStyle w:val="23"/>
        <w:rPr>
          <w:highlight w:val="none"/>
        </w:rPr>
      </w:pPr>
    </w:p>
    <w:p w14:paraId="02DF262B">
      <w:pPr>
        <w:pStyle w:val="23"/>
        <w:rPr>
          <w:highlight w:val="none"/>
        </w:rPr>
      </w:pPr>
    </w:p>
    <w:p w14:paraId="7EC11626">
      <w:pPr>
        <w:pStyle w:val="23"/>
        <w:rPr>
          <w:highlight w:val="none"/>
        </w:rPr>
      </w:pPr>
    </w:p>
    <w:p w14:paraId="01B26CE6">
      <w:pPr>
        <w:pStyle w:val="23"/>
        <w:rPr>
          <w:highlight w:val="none"/>
        </w:rPr>
      </w:pPr>
    </w:p>
    <w:p w14:paraId="01DA90E1">
      <w:pPr>
        <w:pStyle w:val="23"/>
        <w:rPr>
          <w:highlight w:val="none"/>
        </w:rPr>
      </w:pPr>
    </w:p>
    <w:p w14:paraId="312CB7AB">
      <w:pPr>
        <w:rPr>
          <w:rFonts w:hint="eastAsia"/>
          <w:b/>
          <w:color w:val="auto"/>
          <w:sz w:val="32"/>
          <w:szCs w:val="32"/>
          <w:highlight w:val="none"/>
        </w:rPr>
      </w:pPr>
      <w:bookmarkStart w:id="717" w:name="_Toc26459"/>
      <w:bookmarkStart w:id="718" w:name="_Toc497235933"/>
      <w:bookmarkStart w:id="719" w:name="_Toc490331664"/>
      <w:bookmarkStart w:id="720" w:name="_Toc486580373"/>
      <w:r>
        <w:rPr>
          <w:rFonts w:hint="eastAsia"/>
          <w:b/>
          <w:color w:val="auto"/>
          <w:sz w:val="32"/>
          <w:szCs w:val="32"/>
          <w:highlight w:val="none"/>
        </w:rPr>
        <w:br w:type="page"/>
      </w:r>
    </w:p>
    <w:p w14:paraId="5FE4F155">
      <w:pPr>
        <w:keepNext w:val="0"/>
        <w:keepLines w:val="0"/>
        <w:pageBreakBefore w:val="0"/>
        <w:widowControl w:val="0"/>
        <w:kinsoku/>
        <w:wordWrap/>
        <w:overflowPunct/>
        <w:topLinePunct w:val="0"/>
        <w:autoSpaceDE/>
        <w:autoSpaceDN/>
        <w:bidi w:val="0"/>
        <w:adjustRightInd/>
        <w:snapToGrid/>
        <w:jc w:val="center"/>
        <w:textAlignment w:val="auto"/>
        <w:outlineLvl w:val="1"/>
        <w:rPr>
          <w:b/>
          <w:color w:val="auto"/>
          <w:sz w:val="32"/>
          <w:szCs w:val="32"/>
          <w:highlight w:val="none"/>
        </w:rPr>
      </w:pPr>
      <w:r>
        <w:rPr>
          <w:rFonts w:hint="eastAsia"/>
          <w:b/>
          <w:color w:val="auto"/>
          <w:sz w:val="32"/>
          <w:szCs w:val="32"/>
          <w:highlight w:val="none"/>
        </w:rPr>
        <w:t>第</w:t>
      </w:r>
      <w:r>
        <w:rPr>
          <w:rFonts w:hint="eastAsia"/>
          <w:b/>
          <w:color w:val="auto"/>
          <w:sz w:val="32"/>
          <w:szCs w:val="32"/>
          <w:highlight w:val="none"/>
          <w:lang w:val="en-US" w:eastAsia="zh-CN"/>
        </w:rPr>
        <w:t>一部分</w:t>
      </w:r>
      <w:r>
        <w:rPr>
          <w:b/>
          <w:color w:val="auto"/>
          <w:sz w:val="32"/>
          <w:szCs w:val="32"/>
          <w:highlight w:val="none"/>
        </w:rPr>
        <w:t xml:space="preserve">  </w:t>
      </w:r>
      <w:r>
        <w:rPr>
          <w:rFonts w:hint="eastAsia"/>
          <w:b/>
          <w:color w:val="auto"/>
          <w:sz w:val="32"/>
          <w:szCs w:val="32"/>
          <w:highlight w:val="none"/>
        </w:rPr>
        <w:t>合同条款</w:t>
      </w:r>
      <w:r>
        <w:rPr>
          <w:rFonts w:hint="eastAsia"/>
          <w:b/>
          <w:color w:val="auto"/>
          <w:sz w:val="32"/>
          <w:szCs w:val="32"/>
          <w:highlight w:val="none"/>
          <w:lang w:val="en-US" w:eastAsia="zh-CN"/>
        </w:rPr>
        <w:t>通用</w:t>
      </w:r>
      <w:r>
        <w:rPr>
          <w:rFonts w:hint="eastAsia"/>
          <w:b/>
          <w:color w:val="auto"/>
          <w:sz w:val="32"/>
          <w:szCs w:val="32"/>
          <w:highlight w:val="none"/>
        </w:rPr>
        <w:t>部分</w:t>
      </w:r>
      <w:bookmarkEnd w:id="717"/>
      <w:bookmarkEnd w:id="718"/>
      <w:bookmarkEnd w:id="719"/>
      <w:bookmarkEnd w:id="720"/>
    </w:p>
    <w:p w14:paraId="508E4DC5">
      <w:pPr>
        <w:spacing w:line="360" w:lineRule="auto"/>
        <w:jc w:val="center"/>
        <w:rPr>
          <w:rFonts w:ascii="黑体" w:hAnsi="黑体" w:eastAsia="黑体"/>
          <w:color w:val="auto"/>
          <w:sz w:val="28"/>
          <w:szCs w:val="28"/>
          <w:highlight w:val="none"/>
        </w:rPr>
      </w:pPr>
    </w:p>
    <w:p w14:paraId="40955C4C">
      <w:pPr>
        <w:pStyle w:val="2"/>
        <w:rPr>
          <w:color w:val="auto"/>
          <w:sz w:val="32"/>
          <w:szCs w:val="32"/>
          <w:highlight w:val="none"/>
        </w:rPr>
      </w:pPr>
      <w:bookmarkStart w:id="721" w:name="_Toc22861"/>
      <w:bookmarkStart w:id="722" w:name="_Toc485323148"/>
      <w:bookmarkStart w:id="723" w:name="_Toc486580374"/>
      <w:bookmarkStart w:id="724" w:name="_Toc490331665"/>
      <w:bookmarkStart w:id="725" w:name="_Toc497456883"/>
      <w:bookmarkStart w:id="726" w:name="_Toc480303381"/>
      <w:bookmarkStart w:id="727" w:name="_Toc489280180"/>
      <w:r>
        <w:rPr>
          <w:rFonts w:hint="eastAsia"/>
          <w:color w:val="auto"/>
          <w:sz w:val="32"/>
          <w:szCs w:val="32"/>
          <w:highlight w:val="none"/>
        </w:rPr>
        <w:t>合同条款通用部分</w:t>
      </w:r>
      <w:bookmarkEnd w:id="721"/>
    </w:p>
    <w:p w14:paraId="0F831C68">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28" w:name="_Toc4661427"/>
      <w:bookmarkStart w:id="729" w:name="_Toc32408"/>
      <w:bookmarkStart w:id="730" w:name="_Toc14866684"/>
      <w:bookmarkStart w:id="731" w:name="_Toc11088926"/>
      <w:r>
        <w:rPr>
          <w:rFonts w:hint="eastAsia" w:ascii="宋体" w:hAnsi="宋体"/>
          <w:b w:val="0"/>
          <w:color w:val="auto"/>
          <w:sz w:val="21"/>
          <w:szCs w:val="21"/>
          <w:highlight w:val="none"/>
          <w:shd w:val="clear" w:color="auto" w:fill="FFFFFF"/>
        </w:rPr>
        <w:t>1.一般约定</w:t>
      </w:r>
      <w:bookmarkEnd w:id="728"/>
      <w:bookmarkEnd w:id="729"/>
      <w:bookmarkEnd w:id="730"/>
      <w:bookmarkEnd w:id="731"/>
    </w:p>
    <w:p w14:paraId="7058F8E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32" w:name="_BookMark_97"/>
      <w:bookmarkEnd w:id="732"/>
      <w:bookmarkStart w:id="733" w:name="_Toc11088927"/>
      <w:bookmarkStart w:id="734" w:name="_Toc4661428"/>
      <w:bookmarkStart w:id="735" w:name="_Toc24900"/>
      <w:bookmarkStart w:id="736" w:name="_Toc14866685"/>
      <w:r>
        <w:rPr>
          <w:rFonts w:hint="eastAsia" w:ascii="宋体" w:hAnsi="宋体" w:cs="宋体"/>
          <w:b w:val="0"/>
          <w:color w:val="auto"/>
          <w:sz w:val="21"/>
          <w:szCs w:val="21"/>
          <w:highlight w:val="none"/>
          <w:shd w:val="clear" w:color="auto" w:fill="FFFFFF"/>
        </w:rPr>
        <w:t>1.1  词语定义</w:t>
      </w:r>
      <w:bookmarkEnd w:id="733"/>
      <w:bookmarkEnd w:id="734"/>
      <w:bookmarkEnd w:id="735"/>
      <w:bookmarkEnd w:id="736"/>
    </w:p>
    <w:p w14:paraId="17B9921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合同条款通用部分、合同条款专用部分中的下列词语应具有本款所赋予的含义。</w:t>
      </w:r>
    </w:p>
    <w:p w14:paraId="0244E57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  合同</w:t>
      </w:r>
    </w:p>
    <w:p w14:paraId="47FC6524">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1.1.1.1  合同文件（或称合同）：指合同协议书、中标通知书、投标函及投标函附录、合同条款专用部分、合同条款通用部分、技术标准和要求、图纸、已标价工程量清单，以及其他合同文件。</w:t>
      </w:r>
    </w:p>
    <w:p w14:paraId="0C5B2659">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1.1.1.2  合同协议书：指第1.5款所指的合同协议书。</w:t>
      </w:r>
    </w:p>
    <w:p w14:paraId="0D65CA65">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1.1.1.3  中标通知书：指发包人通知承包人中标的函件。</w:t>
      </w:r>
    </w:p>
    <w:p w14:paraId="202F810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1.1.1.4  投标函：指构成合同文件组成部分的由承包人填写并签署的投标函。</w:t>
      </w:r>
    </w:p>
    <w:p w14:paraId="585180B9">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1.1.1.5  投标函附录：指附在投标函后构成合同文件的投标函附录。</w:t>
      </w:r>
    </w:p>
    <w:p w14:paraId="17F0204C">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1.1.1.6  合同条款：指构成合同文件组成部分的合同条款通用部分和（或）合同条款专用部分。</w:t>
      </w:r>
    </w:p>
    <w:p w14:paraId="214FB925">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1.1.1.7  技术标准和要求：指构成合同文件组成部分的名为技术标准和要求的文件，包括合同双方当事人约定对其所作的修改或补充。</w:t>
      </w:r>
    </w:p>
    <w:p w14:paraId="000FD442">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1.1.1.8  图纸：指包含在合同中的工程图纸，以及由发包人按合同约定提供的任何补充和修改的图纸，包括配套的说明。</w:t>
      </w:r>
    </w:p>
    <w:p w14:paraId="3ADF65A6">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1.1.1.9  已标价工程量清单：指构成合同文件组成部分的由承包人按照规定的格式和要求填写并标明价格的工程量清单。</w:t>
      </w:r>
    </w:p>
    <w:p w14:paraId="09C051AA">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1.1.1.10  其他合同文件：指经合同双方当事人确认构成合同文件的其他文件。</w:t>
      </w:r>
    </w:p>
    <w:p w14:paraId="2598E60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  合同当事人和人员</w:t>
      </w:r>
    </w:p>
    <w:p w14:paraId="1D19E9E9">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1.1.2.1  合同当事人：指发包人和（或）承包人。</w:t>
      </w:r>
    </w:p>
    <w:p w14:paraId="68C00EDD">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1.1.2.2  发包人：指合同协议书中约定，具有工程发包主体资格和承诺按照合同约定的条件、期限和方式向承包人支付工程价款的当事人，以及取得该当事人资格的合法继承人。发包人名称</w:t>
      </w:r>
      <w:r>
        <w:rPr>
          <w:rFonts w:ascii="宋体" w:hAnsi="宋体" w:cs="宋体"/>
          <w:color w:val="auto"/>
          <w:kern w:val="0"/>
          <w:szCs w:val="21"/>
          <w:highlight w:val="none"/>
          <w:shd w:val="clear" w:color="auto" w:fill="FFFFFF"/>
        </w:rPr>
        <w:t>见合同条款专用部分。</w:t>
      </w:r>
    </w:p>
    <w:p w14:paraId="7E07766A">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060A11B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1.1.2.4  承包人项目经理：指承包人派驻施工场地的全权负责人。</w:t>
      </w:r>
    </w:p>
    <w:p w14:paraId="4AEA6955">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1.1.2.5  分包人：指从承包人处分包合同中某一部分工程，并与其签订分包合同的分包人。</w:t>
      </w:r>
    </w:p>
    <w:p w14:paraId="4E24DADF">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1.1.2.6  监理人：指发包人委托的对合同履行实施管理的法人或其他组织。监理人名称见合同条款专用部分。</w:t>
      </w:r>
    </w:p>
    <w:p w14:paraId="74E3335A">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1.1.2.7  总监理工程师（总监）：指由监理人委派常驻施工场地对合同履行实施管理的全权负责人。</w:t>
      </w:r>
    </w:p>
    <w:p w14:paraId="02364ED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1.1.2.8  发包人代表：指由发包人指定的派驻施工场地（现场）的全权代表。发包人代表相关信息见合同条款专用部分。</w:t>
      </w:r>
    </w:p>
    <w:p w14:paraId="66084F30">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1.1.2.9  专业分包人：指根据合同条款第15.8.1项的约定，由发包人和承包人以招标方式选择的分包人。</w:t>
      </w:r>
    </w:p>
    <w:p w14:paraId="13378DE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1.1.2.10  专项供应商：指根据合同条款第15.8.1项的约定，由发包人和承包人以招标方式选择的供应商。</w:t>
      </w:r>
    </w:p>
    <w:p w14:paraId="184BBC7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1.1.2.11  独立承包人：指与发包人直接订立工程承包合同，负责实施与工程有关的其他工作的当事人。</w:t>
      </w:r>
    </w:p>
    <w:p w14:paraId="2BD4A31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  工程和设备</w:t>
      </w:r>
    </w:p>
    <w:p w14:paraId="104B9776">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  工程：指永久工程和（或）临时工程。</w:t>
      </w:r>
    </w:p>
    <w:p w14:paraId="39FD22D5">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1.1.3.2  永久工程：指按照合同约定所需建造、完成并移交给发包人的工程，包括工程设备。永久工程的约定见合同条款专用部分。</w:t>
      </w:r>
    </w:p>
    <w:p w14:paraId="73CF61ED">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1.1.3.3  临时工程：指为完成合同约定的永久工程所修建的各类临时性工程，不包括施工设备。临时工程的约定见合同条款专用部分。</w:t>
      </w:r>
    </w:p>
    <w:p w14:paraId="5EC2340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1.1.3.4  单位工程：指具有相对独立的设计文件，能够独立组织施工并能形成独立使用功能的永久工程的组成部分。</w:t>
      </w:r>
    </w:p>
    <w:p w14:paraId="398D0BD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1.1.3.5  工程设备：指构成或计划构成永久工程一部分的机电设备、金属结构设备、仪器装置及其他类似的设备和装置。</w:t>
      </w:r>
    </w:p>
    <w:p w14:paraId="18EE46E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1.1.3.6  施工设备：指为完成合同约定的各项工作所需的设备、器具和其他物品，不包括临时工程和材料。</w:t>
      </w:r>
    </w:p>
    <w:p w14:paraId="7BB4EDA3">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1.1.3.7  临时设施：指为完成合同约定的各项工作所服务的临时性生产和生活设施。</w:t>
      </w:r>
    </w:p>
    <w:p w14:paraId="04E5F544">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1.1.3.8  承包人设备：指承包人自带的施工设备。</w:t>
      </w:r>
    </w:p>
    <w:p w14:paraId="29A0FFC3">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1.1.3.9  施工场地（或称工地、现场）：指用于合同工程施工的场所，以及在合同中指定作为施工场地组成部分的其他场所，包括永久占地和临时占地。</w:t>
      </w:r>
    </w:p>
    <w:p w14:paraId="0F67FC6C">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1.1.3.10  永久占地：指为实施合同工程需永久占用的土地。永久占地的约定见合同条款专用部分。</w:t>
      </w:r>
    </w:p>
    <w:p w14:paraId="1BF464E1">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1.1.3.11  临时占地：指为实施合同工程需临时占用的土地。临时占地的约定见合同条款专用部分。</w:t>
      </w:r>
    </w:p>
    <w:p w14:paraId="4621025D">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1.1.3.12  材料：指构成或将构成永久工程组成部分的各类物品(工程设备除外)，包括合同中可能约定的承包人仅负责供应的材料。</w:t>
      </w:r>
    </w:p>
    <w:p w14:paraId="41F84E9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  日期</w:t>
      </w:r>
    </w:p>
    <w:p w14:paraId="3043FBA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1.1.4.1  开工通知：指监理人按第11.1款通知承包人开工的函件。</w:t>
      </w:r>
    </w:p>
    <w:p w14:paraId="21471E66">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1.1.4.2  开工日期：指监理人按第11.1款发出的开工通知中写明的开工日期。</w:t>
      </w:r>
    </w:p>
    <w:p w14:paraId="320B23D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1.1.4.3  工期：指承包人在投标函中承诺的完成合同工程所需的期限，包括按第11.3款、第11.4款和第11.6款约定所作的变更。</w:t>
      </w:r>
    </w:p>
    <w:p w14:paraId="62C6B4C1">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1.1.4.4  竣工日期：指第1.1.4.3目约定工期届满时的日期。实际竣工日期以工程接收证书中写明的日期为准。</w:t>
      </w:r>
    </w:p>
    <w:p w14:paraId="5CB1DB97">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1.1.4.5  缺陷责任期：指履行第19.2款约定的缺陷责任的期限，包括根据第19.3款约定所作的延长。缺陷责任期的具体期限见合同条款专用部分。</w:t>
      </w:r>
    </w:p>
    <w:p w14:paraId="29B466E3">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1.1.4.6  基准日期：指投标截止时间前28天的日期。</w:t>
      </w:r>
    </w:p>
    <w:p w14:paraId="252A127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1.1.4.7  天：除特别指明外，指日历天。合同中按天计算时间的，开始当天不计入，从次日开始计算。期限最后一天的截止时间为当天24:00。</w:t>
      </w:r>
    </w:p>
    <w:p w14:paraId="7301B74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1.1.4.8  保修期：是根据现行有关法律规定，在合同条款第19.7款中约定的由承包人负责对合同约定的保修范围内发生的质量问题履行保修义务并对造成的损失承担赔偿责任的期限。</w:t>
      </w:r>
    </w:p>
    <w:p w14:paraId="5680D01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  合同价格和费用</w:t>
      </w:r>
    </w:p>
    <w:p w14:paraId="76B200AC">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1.1.5.1  签约合同价：指合同协议书中写明的，包括了暂列金额、暂估价的合同总金额。</w:t>
      </w:r>
    </w:p>
    <w:p w14:paraId="0274B0BD">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1.1.5.2  合同价格：指承包人按合同约定完成了包括缺陷责任期内的全部承包工作后，发包人应付给承包人的金额，包括在履行合同过程中按合同约定进行的变更和调整。</w:t>
      </w:r>
    </w:p>
    <w:p w14:paraId="372F5C0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1.1.5.3  费用：指为履行合同所发生的或将要发生的所有合理开支，包括管理费和应分摊的其他费用，但不包括利润。</w:t>
      </w:r>
    </w:p>
    <w:p w14:paraId="713604F8">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1.1.5.4  暂列金额：指已标价工程量清单中所列的暂列金额，用于在签订协议书时尚未确定或不可预见变更的施工及其所需材料、工程设备、服务等的金额，包括以计日工方式支付的金额。</w:t>
      </w:r>
    </w:p>
    <w:p w14:paraId="6E66A1B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1.1.5.5  暂估价：指发包人在工程量清单中给定的用于支付必然发生但暂时不能确定价格的材料、设备以及专业工程的金额。</w:t>
      </w:r>
    </w:p>
    <w:p w14:paraId="72D0558D">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1.1.5.6  计日工：指对零星工作采取的一种计价方式，按合同中的计日工子目及其单价计价付款。</w:t>
      </w:r>
    </w:p>
    <w:p w14:paraId="62985B1B">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1.1.5.7  质量保证金（或称保留金）：指按第17.4.1项约定用于保证在缺陷责任期内履行缺陷修复义务的金额。</w:t>
      </w:r>
    </w:p>
    <w:p w14:paraId="4438418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1.1.6  书面形式</w:t>
      </w:r>
    </w:p>
    <w:p w14:paraId="3BDF160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书面形式：指合同文件、信函、电报、传真等可以有形地表现所载内容的形式。</w:t>
      </w:r>
    </w:p>
    <w:p w14:paraId="3500E87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1.1.7  争议评审组</w:t>
      </w:r>
    </w:p>
    <w:p w14:paraId="3E27ACD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w:t>
      </w:r>
      <w:r>
        <w:rPr>
          <w:rFonts w:hint="eastAsia" w:ascii="宋体" w:hAnsi="宋体" w:cs="宋体"/>
          <w:color w:val="auto"/>
          <w:kern w:val="0"/>
          <w:szCs w:val="21"/>
          <w:highlight w:val="none"/>
          <w:shd w:val="clear" w:color="auto" w:fill="FFFFFF"/>
          <w:lang w:eastAsia="zh-CN"/>
        </w:rPr>
        <w:t>作出</w:t>
      </w:r>
      <w:r>
        <w:rPr>
          <w:rFonts w:hint="eastAsia" w:ascii="宋体" w:hAnsi="宋体" w:cs="宋体"/>
          <w:color w:val="auto"/>
          <w:kern w:val="0"/>
          <w:szCs w:val="21"/>
          <w:highlight w:val="none"/>
          <w:shd w:val="clear" w:color="auto" w:fill="FFFFFF"/>
        </w:rPr>
        <w:t>约定。</w:t>
      </w:r>
    </w:p>
    <w:p w14:paraId="03691EE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1.1.8  其他需要补充的内容</w:t>
      </w:r>
    </w:p>
    <w:p w14:paraId="2243E41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其他需要补充的内容见合同条款专用部分。</w:t>
      </w:r>
    </w:p>
    <w:p w14:paraId="588A1A5E">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37" w:name="_BookMark_98"/>
      <w:bookmarkEnd w:id="737"/>
      <w:bookmarkStart w:id="738" w:name="_Toc13763"/>
      <w:bookmarkStart w:id="739" w:name="_Toc14866686"/>
      <w:bookmarkStart w:id="740" w:name="_Toc11088928"/>
      <w:bookmarkStart w:id="741" w:name="_Toc4661429"/>
      <w:r>
        <w:rPr>
          <w:rFonts w:hint="eastAsia" w:ascii="宋体" w:hAnsi="宋体" w:cs="宋体"/>
          <w:b w:val="0"/>
          <w:color w:val="auto"/>
          <w:sz w:val="21"/>
          <w:szCs w:val="21"/>
          <w:highlight w:val="none"/>
          <w:shd w:val="clear" w:color="auto" w:fill="FFFFFF"/>
        </w:rPr>
        <w:t>1.2  语言文字</w:t>
      </w:r>
      <w:bookmarkEnd w:id="738"/>
      <w:bookmarkEnd w:id="739"/>
      <w:bookmarkEnd w:id="740"/>
      <w:bookmarkEnd w:id="741"/>
    </w:p>
    <w:p w14:paraId="7B64AEA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除专用术语外，合同使用的语言文字为中文。必要时专用术语应附有中文注释。</w:t>
      </w:r>
    </w:p>
    <w:p w14:paraId="567EE02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42" w:name="_BookMark_99"/>
      <w:bookmarkEnd w:id="742"/>
      <w:bookmarkStart w:id="743" w:name="_Toc14866687"/>
      <w:bookmarkStart w:id="744" w:name="_Toc4661430"/>
      <w:bookmarkStart w:id="745" w:name="_Toc11088929"/>
      <w:bookmarkStart w:id="746" w:name="_Toc9775"/>
      <w:r>
        <w:rPr>
          <w:rFonts w:hint="eastAsia" w:ascii="宋体" w:hAnsi="宋体" w:cs="宋体"/>
          <w:b w:val="0"/>
          <w:color w:val="auto"/>
          <w:sz w:val="21"/>
          <w:szCs w:val="21"/>
          <w:highlight w:val="none"/>
          <w:shd w:val="clear" w:color="auto" w:fill="FFFFFF"/>
        </w:rPr>
        <w:t>1.3  法律</w:t>
      </w:r>
      <w:bookmarkEnd w:id="743"/>
      <w:bookmarkEnd w:id="744"/>
      <w:bookmarkEnd w:id="745"/>
      <w:bookmarkEnd w:id="746"/>
    </w:p>
    <w:p w14:paraId="48F6543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适用于合同的法律包括中华人民共和国法律、行政法规、部门规章，以及工程所在地的地方法规、自治条例、单行条例和地方政府规章。</w:t>
      </w:r>
    </w:p>
    <w:p w14:paraId="54A8B26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47" w:name="_BookMark_100"/>
      <w:bookmarkEnd w:id="747"/>
      <w:bookmarkStart w:id="748" w:name="_Toc14866688"/>
      <w:bookmarkStart w:id="749" w:name="_Toc4661431"/>
      <w:bookmarkStart w:id="750" w:name="_Toc11088930"/>
      <w:bookmarkStart w:id="751" w:name="_Toc8414"/>
      <w:r>
        <w:rPr>
          <w:rFonts w:hint="eastAsia" w:ascii="宋体" w:hAnsi="宋体" w:cs="宋体"/>
          <w:b w:val="0"/>
          <w:color w:val="auto"/>
          <w:sz w:val="21"/>
          <w:szCs w:val="21"/>
          <w:highlight w:val="none"/>
          <w:shd w:val="clear" w:color="auto" w:fill="FFFFFF"/>
        </w:rPr>
        <w:t>1.4  合同文件的优先顺序</w:t>
      </w:r>
      <w:bookmarkEnd w:id="748"/>
      <w:bookmarkEnd w:id="749"/>
      <w:bookmarkEnd w:id="750"/>
      <w:bookmarkEnd w:id="751"/>
    </w:p>
    <w:p w14:paraId="1533321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组成合同的各项文件应互相解释，互为说明。除合同条款专用部分另有约定外，解释合同文件的优先顺序如下：</w:t>
      </w:r>
    </w:p>
    <w:p w14:paraId="17507A0A">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（1）合同协议书；</w:t>
      </w:r>
    </w:p>
    <w:p w14:paraId="29346211">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（2）中标通知书；</w:t>
      </w:r>
    </w:p>
    <w:p w14:paraId="62958AEC">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（3）投标函及投标函附录；</w:t>
      </w:r>
    </w:p>
    <w:p w14:paraId="3C0C4586">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（4）合同条款专用部分；</w:t>
      </w:r>
    </w:p>
    <w:p w14:paraId="187E169B">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（5）合同条款通用部分；</w:t>
      </w:r>
    </w:p>
    <w:p w14:paraId="6BB1FC5D">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（6）技术标准和要求；</w:t>
      </w:r>
    </w:p>
    <w:p w14:paraId="206B776C">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（7）图纸；</w:t>
      </w:r>
    </w:p>
    <w:p w14:paraId="16E5066A">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（8）已标价工程量清单；</w:t>
      </w:r>
    </w:p>
    <w:p w14:paraId="355DF048">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（9）其他合同文件。</w:t>
      </w:r>
    </w:p>
    <w:p w14:paraId="2898E83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附注：构成合同文件的图纸与技术标准和要求之间有矛盾或者不一致的，应以其中要求较严格的标准为准。</w:t>
      </w:r>
    </w:p>
    <w:p w14:paraId="129A2D2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合同双方在合同履行过程中签署的不背离合同实质性内容的补充协议，应当视为合同文件的有效组成部分，其解释顺序视其内容与其他合同文件的相互关系而定。</w:t>
      </w:r>
    </w:p>
    <w:p w14:paraId="13605FA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52" w:name="_BookMark_101"/>
      <w:bookmarkEnd w:id="752"/>
      <w:bookmarkStart w:id="753" w:name="_Toc19433"/>
      <w:bookmarkStart w:id="754" w:name="_Toc14866689"/>
      <w:bookmarkStart w:id="755" w:name="_Toc4661432"/>
      <w:bookmarkStart w:id="756" w:name="_Toc11088931"/>
      <w:r>
        <w:rPr>
          <w:rFonts w:hint="eastAsia" w:ascii="宋体" w:hAnsi="宋体" w:cs="宋体"/>
          <w:b w:val="0"/>
          <w:color w:val="auto"/>
          <w:sz w:val="21"/>
          <w:szCs w:val="21"/>
          <w:highlight w:val="none"/>
          <w:shd w:val="clear" w:color="auto" w:fill="FFFFFF"/>
        </w:rPr>
        <w:t>1.5  合同协议书</w:t>
      </w:r>
      <w:bookmarkEnd w:id="753"/>
      <w:bookmarkEnd w:id="754"/>
      <w:bookmarkEnd w:id="755"/>
      <w:bookmarkEnd w:id="756"/>
    </w:p>
    <w:p w14:paraId="4AF05C7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见合同条款专用部分。</w:t>
      </w:r>
    </w:p>
    <w:p w14:paraId="3ACF4B07">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57" w:name="_BookMark_102"/>
      <w:bookmarkEnd w:id="757"/>
      <w:bookmarkStart w:id="758" w:name="_Toc11088932"/>
      <w:bookmarkStart w:id="759" w:name="_Toc15540"/>
      <w:bookmarkStart w:id="760" w:name="_Toc4661433"/>
      <w:bookmarkStart w:id="761" w:name="_Toc14866690"/>
      <w:r>
        <w:rPr>
          <w:rFonts w:hint="eastAsia" w:ascii="宋体" w:hAnsi="宋体" w:cs="宋体"/>
          <w:b w:val="0"/>
          <w:color w:val="auto"/>
          <w:sz w:val="21"/>
          <w:szCs w:val="21"/>
          <w:highlight w:val="none"/>
          <w:shd w:val="clear" w:color="auto" w:fill="FFFFFF"/>
        </w:rPr>
        <w:t>1.6  图纸和承包人文件</w:t>
      </w:r>
      <w:bookmarkEnd w:id="758"/>
      <w:bookmarkEnd w:id="759"/>
      <w:bookmarkEnd w:id="760"/>
      <w:bookmarkEnd w:id="761"/>
    </w:p>
    <w:p w14:paraId="3BB89D9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  图纸的提供</w:t>
      </w:r>
    </w:p>
    <w:p w14:paraId="7FF03AC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（1）发包人按照合同约定向承包人提供图纸。发包人未按时提供图纸造成工期延误的，按第11.3款的约定办理。承包人需要增加图纸套数的，发包人应代为复制，复制费用由承包人承担。</w:t>
      </w:r>
    </w:p>
    <w:p w14:paraId="49A9FDB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各最新版本图纸(包括第1.6.3项约定的图纸修改图)的最迟需求时间，监理人应当在收到图纸供应计划后7天内批复或提出修改意见，否则该图纸供应计划视为得到批准。</w:t>
      </w:r>
    </w:p>
    <w:p w14:paraId="69AAC9E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6EC5257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53A077B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（5）发包人提供图纸的期限、数量和其他约定见合同条款专用部分。</w:t>
      </w:r>
    </w:p>
    <w:p w14:paraId="3269E03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1.6.2  承包人提供的文件</w:t>
      </w:r>
    </w:p>
    <w:p w14:paraId="678BC7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1578D0C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（2）除合同条款第4.1.10项约定的由承包人提供的设计文件外，本项约定的其他应由承包人提供的文件，包括必要的加工图和大样图，均不能作为合同计量与支付的依据文件。</w:t>
      </w:r>
    </w:p>
    <w:p w14:paraId="1C2CD58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1.6.3  图纸的修改</w:t>
      </w:r>
    </w:p>
    <w:p w14:paraId="73C9E87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图纸需要修改和补充的，监理人应当按照合同条款第1.6.1（2）目约定的有合同约束力的图纸供应计划，签发图纸修改图给承包人。承包人应按修改后的图纸施工。</w:t>
      </w:r>
    </w:p>
    <w:p w14:paraId="7C434D9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1.6.4  图纸的错误</w:t>
      </w:r>
    </w:p>
    <w:p w14:paraId="2A3C5A7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承包人发现发包人提供的图纸存在明显错误或疏忽，应及时通知监理人。</w:t>
      </w:r>
    </w:p>
    <w:p w14:paraId="3FD98D5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1.6.5  图纸和承包人文件的保管</w:t>
      </w:r>
    </w:p>
    <w:p w14:paraId="2A06421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监理人和承包人均应在施工场地各保存一套完整的包含第1.6.1项、第1.6.2项、第1.6.3项约定内容的图纸和承包人文件。</w:t>
      </w:r>
    </w:p>
    <w:p w14:paraId="0CC72E6B">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62" w:name="_BookMark_103"/>
      <w:bookmarkEnd w:id="762"/>
      <w:bookmarkStart w:id="763" w:name="_Toc4661434"/>
      <w:bookmarkStart w:id="764" w:name="_Toc2817"/>
      <w:bookmarkStart w:id="765" w:name="_Toc14866691"/>
      <w:bookmarkStart w:id="766" w:name="_Toc11088933"/>
      <w:r>
        <w:rPr>
          <w:rFonts w:hint="eastAsia" w:ascii="宋体" w:hAnsi="宋体" w:cs="宋体"/>
          <w:b w:val="0"/>
          <w:color w:val="auto"/>
          <w:sz w:val="21"/>
          <w:szCs w:val="21"/>
          <w:highlight w:val="none"/>
          <w:shd w:val="clear" w:color="auto" w:fill="FFFFFF"/>
        </w:rPr>
        <w:t>1.7  联络</w:t>
      </w:r>
      <w:bookmarkEnd w:id="763"/>
      <w:bookmarkEnd w:id="764"/>
      <w:bookmarkEnd w:id="765"/>
      <w:bookmarkEnd w:id="766"/>
    </w:p>
    <w:p w14:paraId="27A874F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1.7.1  与合同有关的通知、批准、证明、证书、指示、要求、请求、同意、意见、确定和决定等，均应采用书面形式。</w:t>
      </w:r>
    </w:p>
    <w:p w14:paraId="3EC9DD7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1.7.2  第1.7.1项中的通知、批准、证明、证书、指示、要求、请求、同意、意见、确定和决定等来往函件，均应在合同约定的期限内送达指定地点和接收人，并办理签收手续。</w:t>
      </w:r>
    </w:p>
    <w:p w14:paraId="2C5458F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（1）联络来往信函的送达期限：合同约定了发出期限的，送达期限为合同约定的发出期限后的24小时内；合同约定了通知、提供或者报送期限的，通知、提供或者报送期限即为送达期限。</w:t>
      </w:r>
    </w:p>
    <w:p w14:paraId="43840B2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（2）发包人指定的接收人和接收地点见合同条款专用部分。</w:t>
      </w:r>
    </w:p>
    <w:p w14:paraId="1DFB600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（3）监理人指定的接收人和接收地点见合同条款专用部分。</w:t>
      </w:r>
    </w:p>
    <w:p w14:paraId="7376BE2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29B5F2C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26F6A93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5780332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67" w:name="_BookMark_104"/>
      <w:bookmarkEnd w:id="767"/>
      <w:bookmarkStart w:id="768" w:name="_Toc6845"/>
      <w:bookmarkStart w:id="769" w:name="_Toc11088934"/>
      <w:bookmarkStart w:id="770" w:name="_Toc14866692"/>
      <w:bookmarkStart w:id="771" w:name="_Toc4661435"/>
      <w:r>
        <w:rPr>
          <w:rFonts w:hint="eastAsia" w:ascii="宋体" w:hAnsi="宋体" w:cs="宋体"/>
          <w:b w:val="0"/>
          <w:color w:val="auto"/>
          <w:sz w:val="21"/>
          <w:szCs w:val="21"/>
          <w:highlight w:val="none"/>
          <w:shd w:val="clear" w:color="auto" w:fill="FFFFFF"/>
        </w:rPr>
        <w:t>1.8  转让</w:t>
      </w:r>
      <w:bookmarkEnd w:id="768"/>
      <w:bookmarkEnd w:id="769"/>
      <w:bookmarkEnd w:id="770"/>
      <w:bookmarkEnd w:id="771"/>
    </w:p>
    <w:p w14:paraId="6537751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除合同另有约定外，未经对方当事人同意，一方当事人不得将合同权利全部或部分转让给第三人，也不得全部或部分转移合同义务。</w:t>
      </w:r>
    </w:p>
    <w:p w14:paraId="3FD9BAE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72" w:name="_BookMark_105"/>
      <w:bookmarkEnd w:id="772"/>
      <w:bookmarkStart w:id="773" w:name="_Toc4661436"/>
      <w:bookmarkStart w:id="774" w:name="_Toc14866693"/>
      <w:bookmarkStart w:id="775" w:name="_Toc9618"/>
      <w:bookmarkStart w:id="776" w:name="_Toc11088935"/>
      <w:r>
        <w:rPr>
          <w:rFonts w:hint="eastAsia" w:ascii="宋体" w:hAnsi="宋体" w:cs="宋体"/>
          <w:b w:val="0"/>
          <w:color w:val="auto"/>
          <w:sz w:val="21"/>
          <w:szCs w:val="21"/>
          <w:highlight w:val="none"/>
          <w:shd w:val="clear" w:color="auto" w:fill="FFFFFF"/>
        </w:rPr>
        <w:t>1.9  严禁贿赂</w:t>
      </w:r>
      <w:bookmarkEnd w:id="773"/>
      <w:bookmarkEnd w:id="774"/>
      <w:bookmarkEnd w:id="775"/>
      <w:bookmarkEnd w:id="776"/>
    </w:p>
    <w:p w14:paraId="425F598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合同双方当事人不得以贿赂或变相贿赂的方式，谋取不当利益或损害对方权益。因贿赂造成对方损失的，行为人应赔偿损失，并承担相应的法律责任。</w:t>
      </w:r>
    </w:p>
    <w:p w14:paraId="702D6FD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77" w:name="_BookMark_106"/>
      <w:bookmarkEnd w:id="777"/>
      <w:bookmarkStart w:id="778" w:name="_Toc4661437"/>
      <w:bookmarkStart w:id="779" w:name="_Toc11088936"/>
      <w:bookmarkStart w:id="780" w:name="_Toc6434"/>
      <w:bookmarkStart w:id="781" w:name="_Toc14866694"/>
      <w:r>
        <w:rPr>
          <w:rFonts w:hint="eastAsia" w:ascii="宋体" w:hAnsi="宋体" w:cs="宋体"/>
          <w:b w:val="0"/>
          <w:color w:val="auto"/>
          <w:sz w:val="21"/>
          <w:szCs w:val="21"/>
          <w:highlight w:val="none"/>
          <w:shd w:val="clear" w:color="auto" w:fill="FFFFFF"/>
        </w:rPr>
        <w:t>1.10  化石、文物</w:t>
      </w:r>
      <w:bookmarkEnd w:id="778"/>
      <w:bookmarkEnd w:id="779"/>
      <w:bookmarkEnd w:id="780"/>
      <w:bookmarkEnd w:id="781"/>
    </w:p>
    <w:p w14:paraId="77C7FB2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13A1039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1.10.2  承包人发现文物后不及时报告或隐瞒不报，致使文物丢失或损坏的，应赔偿损失，并承担相应的法律责任。</w:t>
      </w:r>
    </w:p>
    <w:p w14:paraId="685E0C67">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82" w:name="_BookMark_107"/>
      <w:bookmarkEnd w:id="782"/>
      <w:bookmarkStart w:id="783" w:name="_Toc31667"/>
      <w:bookmarkStart w:id="784" w:name="_Toc11088937"/>
      <w:bookmarkStart w:id="785" w:name="_Toc14866695"/>
      <w:bookmarkStart w:id="786" w:name="_Toc4661438"/>
      <w:r>
        <w:rPr>
          <w:rFonts w:hint="eastAsia" w:ascii="宋体" w:hAnsi="宋体" w:cs="宋体"/>
          <w:b w:val="0"/>
          <w:color w:val="auto"/>
          <w:sz w:val="21"/>
          <w:szCs w:val="21"/>
          <w:highlight w:val="none"/>
          <w:shd w:val="clear" w:color="auto" w:fill="FFFFFF"/>
        </w:rPr>
        <w:t>1.11  专利技术</w:t>
      </w:r>
      <w:bookmarkEnd w:id="783"/>
      <w:bookmarkEnd w:id="784"/>
      <w:bookmarkEnd w:id="785"/>
      <w:bookmarkEnd w:id="786"/>
    </w:p>
    <w:p w14:paraId="46B6998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1.11.1  承包人在使用任何材料、承包人设备、工程设备或采用施工工艺时，因侵犯专利权或其他知识产权所引起的责任，由承包人承担，但由于遵照发包人提供的设计或技术标准和要求引起的除外。</w:t>
      </w:r>
    </w:p>
    <w:p w14:paraId="1FD8966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1.11.2  承包人在投标文件中采用专利技术的，专利技术的使用费包含在投标报价内。</w:t>
      </w:r>
    </w:p>
    <w:p w14:paraId="53E2968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1.11.3  承包人的技术秘密和声明需要保密的资料和信息，发包人和监理人不得为合同以外的目的泄露给他人。</w:t>
      </w:r>
    </w:p>
    <w:p w14:paraId="5A36FC52">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87" w:name="_BookMark_108"/>
      <w:bookmarkEnd w:id="787"/>
      <w:bookmarkStart w:id="788" w:name="_Toc4661439"/>
      <w:bookmarkStart w:id="789" w:name="_Toc14866696"/>
      <w:bookmarkStart w:id="790" w:name="_Toc11088938"/>
      <w:bookmarkStart w:id="791" w:name="_Toc28654"/>
      <w:r>
        <w:rPr>
          <w:rFonts w:hint="eastAsia" w:ascii="宋体" w:hAnsi="宋体" w:cs="宋体"/>
          <w:b w:val="0"/>
          <w:color w:val="auto"/>
          <w:sz w:val="21"/>
          <w:szCs w:val="21"/>
          <w:highlight w:val="none"/>
          <w:shd w:val="clear" w:color="auto" w:fill="FFFFFF"/>
        </w:rPr>
        <w:t>1.12  图纸和文件的保密</w:t>
      </w:r>
      <w:bookmarkEnd w:id="788"/>
      <w:bookmarkEnd w:id="789"/>
      <w:bookmarkEnd w:id="790"/>
      <w:bookmarkEnd w:id="791"/>
    </w:p>
    <w:p w14:paraId="4E59AF7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1.12.1  发包人提供的图纸和文件，未经发包人同意，承包人不得为合同以外的目的泄露给他人或公开发表与引用。</w:t>
      </w:r>
    </w:p>
    <w:p w14:paraId="6C24955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1.12.2  承包人提供的文件，未经承包人同意，发包人和监理人不得为合同以外的目的泄露给他人或公开发表与引用。</w:t>
      </w:r>
    </w:p>
    <w:p w14:paraId="725C644E">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92" w:name="_BookMark_109"/>
      <w:bookmarkEnd w:id="792"/>
      <w:bookmarkStart w:id="793" w:name="_Toc1129"/>
      <w:bookmarkStart w:id="794" w:name="_Toc4661440"/>
      <w:bookmarkStart w:id="795" w:name="_Toc11088939"/>
      <w:bookmarkStart w:id="796" w:name="_Toc14866697"/>
      <w:r>
        <w:rPr>
          <w:rFonts w:hint="eastAsia" w:ascii="宋体" w:hAnsi="宋体"/>
          <w:b w:val="0"/>
          <w:color w:val="auto"/>
          <w:sz w:val="21"/>
          <w:szCs w:val="21"/>
          <w:highlight w:val="none"/>
          <w:shd w:val="clear" w:color="auto" w:fill="FFFFFF"/>
        </w:rPr>
        <w:t>2.发包人义务</w:t>
      </w:r>
      <w:bookmarkEnd w:id="793"/>
      <w:bookmarkEnd w:id="794"/>
      <w:bookmarkEnd w:id="795"/>
      <w:bookmarkEnd w:id="796"/>
    </w:p>
    <w:p w14:paraId="3BCD5BAB">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797" w:name="_BookMark_110"/>
      <w:bookmarkEnd w:id="797"/>
      <w:bookmarkStart w:id="798" w:name="_Toc14866698"/>
      <w:bookmarkStart w:id="799" w:name="_Toc25767"/>
      <w:bookmarkStart w:id="800" w:name="_Toc4661441"/>
      <w:bookmarkStart w:id="801" w:name="_Toc11088940"/>
      <w:r>
        <w:rPr>
          <w:rFonts w:hint="eastAsia" w:ascii="宋体" w:hAnsi="宋体" w:cs="宋体"/>
          <w:b w:val="0"/>
          <w:color w:val="auto"/>
          <w:sz w:val="21"/>
          <w:szCs w:val="21"/>
          <w:highlight w:val="none"/>
          <w:shd w:val="clear" w:color="auto" w:fill="FFFFFF"/>
        </w:rPr>
        <w:t>2.1  遵守法律</w:t>
      </w:r>
      <w:bookmarkEnd w:id="798"/>
      <w:bookmarkEnd w:id="799"/>
      <w:bookmarkEnd w:id="800"/>
      <w:bookmarkEnd w:id="801"/>
    </w:p>
    <w:p w14:paraId="5A1D6F3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发包人在履行合同过程中应遵守法律，并保证承包人免于承担因发包人违反法律而引起的任何责任。</w:t>
      </w:r>
    </w:p>
    <w:p w14:paraId="6C554B52">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02" w:name="_BookMark_111"/>
      <w:bookmarkEnd w:id="802"/>
      <w:bookmarkStart w:id="803" w:name="_Toc22349"/>
      <w:bookmarkStart w:id="804" w:name="_Toc4661442"/>
      <w:bookmarkStart w:id="805" w:name="_Toc11088941"/>
      <w:bookmarkStart w:id="806" w:name="_Toc14866699"/>
      <w:r>
        <w:rPr>
          <w:rFonts w:hint="eastAsia" w:ascii="宋体" w:hAnsi="宋体" w:cs="宋体"/>
          <w:b w:val="0"/>
          <w:color w:val="auto"/>
          <w:sz w:val="21"/>
          <w:szCs w:val="21"/>
          <w:highlight w:val="none"/>
          <w:shd w:val="clear" w:color="auto" w:fill="FFFFFF"/>
        </w:rPr>
        <w:t>2.2  发出开工通知</w:t>
      </w:r>
      <w:bookmarkEnd w:id="803"/>
      <w:bookmarkEnd w:id="804"/>
      <w:bookmarkEnd w:id="805"/>
      <w:bookmarkEnd w:id="806"/>
    </w:p>
    <w:p w14:paraId="18F9F2B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发包人应委托监理人按第11.1款的约定向承包人发出开工通知。</w:t>
      </w:r>
    </w:p>
    <w:p w14:paraId="17CC01A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07" w:name="_BookMark_112"/>
      <w:bookmarkEnd w:id="807"/>
      <w:bookmarkStart w:id="808" w:name="_Toc11088942"/>
      <w:bookmarkStart w:id="809" w:name="_Toc16366"/>
      <w:bookmarkStart w:id="810" w:name="_Toc4661443"/>
      <w:bookmarkStart w:id="811" w:name="_Toc14866700"/>
      <w:r>
        <w:rPr>
          <w:rFonts w:hint="eastAsia" w:ascii="宋体" w:hAnsi="宋体" w:cs="宋体"/>
          <w:b w:val="0"/>
          <w:color w:val="auto"/>
          <w:sz w:val="21"/>
          <w:szCs w:val="21"/>
          <w:highlight w:val="none"/>
          <w:shd w:val="clear" w:color="auto" w:fill="FFFFFF"/>
        </w:rPr>
        <w:t>2.3  提供施工场地</w:t>
      </w:r>
      <w:bookmarkEnd w:id="808"/>
      <w:bookmarkEnd w:id="809"/>
      <w:bookmarkEnd w:id="810"/>
      <w:bookmarkEnd w:id="811"/>
    </w:p>
    <w:p w14:paraId="2452FD7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发包人应在约定期限前确保施工场地具备施工条件并移交给承包人，具体施工条件在 “技术标准和要求”第一节“一般要求”中约定。发包人最迟应当在移交施工场地的同时向承包人提供施工场地内地下管线和地下设施等有关资料，并保证资料的真实、准确和完整。发包人移交施工场地的期限见合同条款专用部分。</w:t>
      </w:r>
    </w:p>
    <w:p w14:paraId="49ED84F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812" w:name="_BookMark_113"/>
      <w:bookmarkEnd w:id="812"/>
      <w:bookmarkStart w:id="813" w:name="_Toc11088943"/>
      <w:bookmarkStart w:id="814" w:name="_Toc5186"/>
      <w:bookmarkStart w:id="815" w:name="_Toc14866701"/>
      <w:bookmarkStart w:id="816" w:name="_Toc4661444"/>
      <w:r>
        <w:rPr>
          <w:rFonts w:hint="eastAsia" w:ascii="宋体" w:hAnsi="宋体" w:cs="宋体"/>
          <w:b w:val="0"/>
          <w:bCs w:val="0"/>
          <w:color w:val="auto"/>
          <w:sz w:val="21"/>
          <w:szCs w:val="21"/>
          <w:highlight w:val="none"/>
          <w:shd w:val="clear" w:color="auto" w:fill="FFFFFF"/>
        </w:rPr>
        <w:t>2.4  协助承包人办理证件和批件</w:t>
      </w:r>
      <w:bookmarkEnd w:id="813"/>
      <w:bookmarkEnd w:id="814"/>
      <w:bookmarkEnd w:id="815"/>
      <w:bookmarkEnd w:id="816"/>
    </w:p>
    <w:p w14:paraId="41D6C44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发包人应协助承包人办理法律规定的有关施工证件和批件。</w:t>
      </w:r>
    </w:p>
    <w:p w14:paraId="505BB9D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17" w:name="_BookMark_114"/>
      <w:bookmarkEnd w:id="817"/>
      <w:bookmarkStart w:id="818" w:name="_Toc11088944"/>
      <w:bookmarkStart w:id="819" w:name="_Toc4661445"/>
      <w:bookmarkStart w:id="820" w:name="_Toc15570"/>
      <w:bookmarkStart w:id="821" w:name="_Toc14866702"/>
      <w:r>
        <w:rPr>
          <w:rFonts w:hint="eastAsia" w:ascii="宋体" w:hAnsi="宋体" w:cs="宋体"/>
          <w:b w:val="0"/>
          <w:color w:val="auto"/>
          <w:sz w:val="21"/>
          <w:szCs w:val="21"/>
          <w:highlight w:val="none"/>
          <w:shd w:val="clear" w:color="auto" w:fill="FFFFFF"/>
        </w:rPr>
        <w:t>2.5  组织设计交底</w:t>
      </w:r>
      <w:bookmarkEnd w:id="818"/>
      <w:bookmarkEnd w:id="819"/>
      <w:bookmarkEnd w:id="820"/>
      <w:bookmarkEnd w:id="821"/>
    </w:p>
    <w:p w14:paraId="1D32030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发包人应根据批准的合同进度计划，组织设计单位向承包人进行设计交底。</w:t>
      </w:r>
    </w:p>
    <w:p w14:paraId="3A3F562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4E7987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22" w:name="_BookMark_115"/>
      <w:bookmarkEnd w:id="822"/>
      <w:bookmarkStart w:id="823" w:name="_Toc4661446"/>
      <w:bookmarkStart w:id="824" w:name="_Toc11088945"/>
      <w:bookmarkStart w:id="825" w:name="_Toc14866703"/>
      <w:bookmarkStart w:id="826" w:name="_Toc8683"/>
      <w:r>
        <w:rPr>
          <w:rFonts w:hint="eastAsia" w:ascii="宋体" w:hAnsi="宋体" w:cs="宋体"/>
          <w:b w:val="0"/>
          <w:color w:val="auto"/>
          <w:sz w:val="21"/>
          <w:szCs w:val="21"/>
          <w:highlight w:val="none"/>
          <w:shd w:val="clear" w:color="auto" w:fill="FFFFFF"/>
        </w:rPr>
        <w:t>2.6  支付合同价款</w:t>
      </w:r>
      <w:bookmarkEnd w:id="823"/>
      <w:bookmarkEnd w:id="824"/>
      <w:bookmarkEnd w:id="825"/>
      <w:bookmarkEnd w:id="826"/>
    </w:p>
    <w:p w14:paraId="05E13EE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发包人应按合同约定向承包人及时支付合同价款。</w:t>
      </w:r>
    </w:p>
    <w:p w14:paraId="5EA27D55">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27" w:name="_BookMark_116"/>
      <w:bookmarkEnd w:id="827"/>
      <w:bookmarkStart w:id="828" w:name="_Toc4661447"/>
      <w:bookmarkStart w:id="829" w:name="_Toc11088946"/>
      <w:bookmarkStart w:id="830" w:name="_Toc10230"/>
      <w:bookmarkStart w:id="831" w:name="_Toc14866704"/>
      <w:r>
        <w:rPr>
          <w:rFonts w:hint="eastAsia" w:ascii="宋体" w:hAnsi="宋体" w:cs="宋体"/>
          <w:b w:val="0"/>
          <w:color w:val="auto"/>
          <w:sz w:val="21"/>
          <w:szCs w:val="21"/>
          <w:highlight w:val="none"/>
          <w:shd w:val="clear" w:color="auto" w:fill="FFFFFF"/>
        </w:rPr>
        <w:t>2.7  组织竣工验收</w:t>
      </w:r>
      <w:bookmarkEnd w:id="828"/>
      <w:bookmarkEnd w:id="829"/>
      <w:bookmarkEnd w:id="830"/>
      <w:bookmarkEnd w:id="831"/>
    </w:p>
    <w:p w14:paraId="37DF6DB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发包人应按合同约定及时组织竣工验收。</w:t>
      </w:r>
    </w:p>
    <w:p w14:paraId="383AA4C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32" w:name="_BookMark_117"/>
      <w:bookmarkEnd w:id="832"/>
      <w:bookmarkStart w:id="833" w:name="_Toc11088947"/>
      <w:bookmarkStart w:id="834" w:name="_Toc14866705"/>
      <w:bookmarkStart w:id="835" w:name="_Toc4661448"/>
      <w:bookmarkStart w:id="836" w:name="_Toc16579"/>
      <w:r>
        <w:rPr>
          <w:rFonts w:hint="eastAsia" w:ascii="宋体" w:hAnsi="宋体" w:cs="宋体"/>
          <w:b w:val="0"/>
          <w:color w:val="auto"/>
          <w:sz w:val="21"/>
          <w:szCs w:val="21"/>
          <w:highlight w:val="none"/>
          <w:shd w:val="clear" w:color="auto" w:fill="FFFFFF"/>
        </w:rPr>
        <w:t>2.8  向承包人提交支付担保</w:t>
      </w:r>
      <w:bookmarkEnd w:id="833"/>
      <w:bookmarkEnd w:id="834"/>
      <w:bookmarkEnd w:id="835"/>
      <w:bookmarkEnd w:id="836"/>
    </w:p>
    <w:p w14:paraId="50E2724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62893E8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（2）支付担保的有效期应当自本合同生效之日起至发包人实际支付竣工付款之日止。</w:t>
      </w:r>
    </w:p>
    <w:p w14:paraId="7D7EA5B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（3）发包人无法获得一份不带具体截止日期的履约担保，支付担保中应当约定有“变更工程竣工付款支付日期的，保证期间按照变更后的竣工付款支付日期做相应调整”或类似约定的条款。</w:t>
      </w:r>
    </w:p>
    <w:p w14:paraId="6CAEED2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（4）支付担保应当在发包人付清竣工付款之日后28天内退还给发包人；承包人不承担发包人与支付担保有关的任何利息或其它类似的费用或者收益。</w:t>
      </w:r>
    </w:p>
    <w:p w14:paraId="056D724D">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37" w:name="_BookMark_118"/>
      <w:bookmarkEnd w:id="837"/>
      <w:bookmarkStart w:id="838" w:name="_Toc11088948"/>
      <w:bookmarkStart w:id="839" w:name="_Toc21697"/>
      <w:bookmarkStart w:id="840" w:name="_Toc14866706"/>
      <w:bookmarkStart w:id="841" w:name="_Toc4661449"/>
      <w:r>
        <w:rPr>
          <w:rFonts w:hint="eastAsia" w:ascii="宋体" w:hAnsi="宋体" w:cs="宋体"/>
          <w:b w:val="0"/>
          <w:color w:val="auto"/>
          <w:sz w:val="21"/>
          <w:szCs w:val="21"/>
          <w:highlight w:val="none"/>
          <w:shd w:val="clear" w:color="auto" w:fill="FFFFFF"/>
        </w:rPr>
        <w:t>2.9  办理工程质量监督手续</w:t>
      </w:r>
      <w:bookmarkEnd w:id="838"/>
      <w:bookmarkEnd w:id="839"/>
      <w:bookmarkEnd w:id="840"/>
      <w:bookmarkEnd w:id="841"/>
    </w:p>
    <w:p w14:paraId="5CDBE86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发包人应按有关规定及时办理工程质量监督手续。</w:t>
      </w:r>
    </w:p>
    <w:p w14:paraId="00F198B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42" w:name="_BookMark_119"/>
      <w:bookmarkEnd w:id="842"/>
      <w:bookmarkStart w:id="843" w:name="_Toc4661450"/>
      <w:bookmarkStart w:id="844" w:name="_Toc11088949"/>
      <w:bookmarkStart w:id="845" w:name="_Toc8197"/>
      <w:bookmarkStart w:id="846" w:name="_Toc14866707"/>
      <w:r>
        <w:rPr>
          <w:rFonts w:hint="eastAsia" w:ascii="宋体" w:hAnsi="宋体" w:cs="宋体"/>
          <w:b w:val="0"/>
          <w:color w:val="auto"/>
          <w:sz w:val="21"/>
          <w:szCs w:val="21"/>
          <w:highlight w:val="none"/>
          <w:shd w:val="clear" w:color="auto" w:fill="FFFFFF"/>
        </w:rPr>
        <w:t>2.10  环境保护责任</w:t>
      </w:r>
      <w:bookmarkEnd w:id="843"/>
      <w:bookmarkEnd w:id="844"/>
      <w:bookmarkEnd w:id="845"/>
      <w:bookmarkEnd w:id="846"/>
    </w:p>
    <w:p w14:paraId="270A3AD7">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发包人对建筑垃圾处理、施工扬尘治理负总责。</w:t>
      </w:r>
    </w:p>
    <w:p w14:paraId="4DCAF00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47" w:name="_BookMark_120"/>
      <w:bookmarkEnd w:id="847"/>
      <w:bookmarkStart w:id="848" w:name="_Toc14866708"/>
      <w:bookmarkStart w:id="849" w:name="_Toc301"/>
      <w:bookmarkStart w:id="850" w:name="_Toc4661451"/>
      <w:bookmarkStart w:id="851" w:name="_Toc11088950"/>
      <w:r>
        <w:rPr>
          <w:rFonts w:hint="eastAsia" w:ascii="宋体" w:hAnsi="宋体" w:cs="宋体"/>
          <w:b w:val="0"/>
          <w:color w:val="auto"/>
          <w:sz w:val="21"/>
          <w:szCs w:val="21"/>
          <w:highlight w:val="none"/>
          <w:shd w:val="clear" w:color="auto" w:fill="FFFFFF"/>
        </w:rPr>
        <w:t>2.11  移交工程档案</w:t>
      </w:r>
      <w:bookmarkEnd w:id="848"/>
      <w:bookmarkEnd w:id="849"/>
      <w:bookmarkEnd w:id="850"/>
      <w:bookmarkEnd w:id="851"/>
    </w:p>
    <w:p w14:paraId="3A85BD9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发包人应根据建设行政主管部门和（或）城市建设档案管理机构的规定，收集、整理、立卷、归档工程资料，并按规定时间向建设行政主管部门或者城市建设档案管理机构移交规定的工程档案。</w:t>
      </w:r>
    </w:p>
    <w:p w14:paraId="493A5139">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52" w:name="_BookMark_121"/>
      <w:bookmarkEnd w:id="852"/>
      <w:bookmarkStart w:id="853" w:name="_Toc19144"/>
      <w:bookmarkStart w:id="854" w:name="_Toc14866709"/>
      <w:bookmarkStart w:id="855" w:name="_Toc4661452"/>
      <w:bookmarkStart w:id="856" w:name="_Toc11088951"/>
      <w:r>
        <w:rPr>
          <w:rFonts w:hint="eastAsia" w:ascii="宋体" w:hAnsi="宋体" w:cs="宋体"/>
          <w:b w:val="0"/>
          <w:color w:val="auto"/>
          <w:sz w:val="21"/>
          <w:szCs w:val="21"/>
          <w:highlight w:val="none"/>
          <w:shd w:val="clear" w:color="auto" w:fill="FFFFFF"/>
        </w:rPr>
        <w:t>2.12  批准和确认</w:t>
      </w:r>
      <w:bookmarkEnd w:id="853"/>
      <w:bookmarkEnd w:id="854"/>
      <w:bookmarkEnd w:id="855"/>
      <w:bookmarkEnd w:id="856"/>
    </w:p>
    <w:p w14:paraId="0651A65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4AF7796D">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57" w:name="_BookMark_122"/>
      <w:bookmarkEnd w:id="857"/>
      <w:bookmarkStart w:id="858" w:name="_Toc14866710"/>
      <w:bookmarkStart w:id="859" w:name="_Toc4661453"/>
      <w:bookmarkStart w:id="860" w:name="_Toc17650"/>
      <w:bookmarkStart w:id="861" w:name="_Toc11088952"/>
      <w:r>
        <w:rPr>
          <w:rFonts w:hint="eastAsia" w:ascii="宋体" w:hAnsi="宋体" w:cs="宋体"/>
          <w:b w:val="0"/>
          <w:color w:val="auto"/>
          <w:sz w:val="21"/>
          <w:szCs w:val="21"/>
          <w:highlight w:val="none"/>
          <w:shd w:val="clear" w:color="auto" w:fill="FFFFFF"/>
        </w:rPr>
        <w:t>2.13  其他义务</w:t>
      </w:r>
      <w:bookmarkEnd w:id="858"/>
      <w:bookmarkEnd w:id="859"/>
      <w:bookmarkEnd w:id="860"/>
      <w:bookmarkEnd w:id="861"/>
    </w:p>
    <w:p w14:paraId="34E3AB3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发包人应履行的其他义务见合同条款专用部分</w:t>
      </w:r>
      <w:r>
        <w:rPr>
          <w:rFonts w:hint="eastAsia" w:ascii="宋体" w:hAnsi="宋体" w:cs="黑体"/>
          <w:color w:val="auto"/>
          <w:kern w:val="0"/>
          <w:szCs w:val="21"/>
          <w:highlight w:val="none"/>
          <w:shd w:val="clear" w:color="auto" w:fill="FFFFFF"/>
        </w:rPr>
        <w:t>。</w:t>
      </w:r>
    </w:p>
    <w:p w14:paraId="351C47E8">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62" w:name="_BookMark_123"/>
      <w:bookmarkEnd w:id="862"/>
      <w:bookmarkStart w:id="863" w:name="_Toc4661454"/>
      <w:bookmarkStart w:id="864" w:name="_Toc14866711"/>
      <w:bookmarkStart w:id="865" w:name="_Toc14068"/>
      <w:bookmarkStart w:id="866" w:name="_Toc11088953"/>
      <w:r>
        <w:rPr>
          <w:rFonts w:hint="eastAsia" w:ascii="宋体" w:hAnsi="宋体"/>
          <w:b w:val="0"/>
          <w:color w:val="auto"/>
          <w:sz w:val="21"/>
          <w:szCs w:val="21"/>
          <w:highlight w:val="none"/>
          <w:shd w:val="clear" w:color="auto" w:fill="FFFFFF"/>
        </w:rPr>
        <w:t>3.监理人</w:t>
      </w:r>
      <w:bookmarkEnd w:id="863"/>
      <w:bookmarkEnd w:id="864"/>
      <w:bookmarkEnd w:id="865"/>
      <w:bookmarkEnd w:id="866"/>
    </w:p>
    <w:p w14:paraId="0A74A8C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67" w:name="_BookMark_124"/>
      <w:bookmarkEnd w:id="867"/>
      <w:bookmarkStart w:id="868" w:name="_Toc11088954"/>
      <w:bookmarkStart w:id="869" w:name="_Toc14866712"/>
      <w:bookmarkStart w:id="870" w:name="_Toc20253"/>
      <w:bookmarkStart w:id="871" w:name="_Toc4661455"/>
      <w:r>
        <w:rPr>
          <w:rFonts w:hint="eastAsia" w:ascii="宋体" w:hAnsi="宋体" w:cs="宋体"/>
          <w:b w:val="0"/>
          <w:color w:val="auto"/>
          <w:sz w:val="21"/>
          <w:szCs w:val="21"/>
          <w:highlight w:val="none"/>
          <w:shd w:val="clear" w:color="auto" w:fill="FFFFFF"/>
        </w:rPr>
        <w:t>3.1  监理人的职责和权力</w:t>
      </w:r>
      <w:bookmarkEnd w:id="868"/>
      <w:bookmarkEnd w:id="869"/>
      <w:bookmarkEnd w:id="870"/>
      <w:bookmarkEnd w:id="871"/>
    </w:p>
    <w:p w14:paraId="192BBFF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r>
        <w:rPr>
          <w:rFonts w:hint="eastAsia" w:ascii="宋体" w:hAnsi="宋体" w:cs="黑体"/>
          <w:color w:val="auto"/>
          <w:kern w:val="0"/>
          <w:szCs w:val="21"/>
          <w:highlight w:val="none"/>
          <w:shd w:val="clear" w:color="auto" w:fill="FFFFFF"/>
        </w:rPr>
        <w:t>。</w:t>
      </w:r>
    </w:p>
    <w:p w14:paraId="4E24829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3.1.2  监理人发出的任何指示应视为已得到发包人的批准，但监理人无权免除或变更合同约定的发包人和承包人的权利、义务和责任。</w:t>
      </w:r>
    </w:p>
    <w:p w14:paraId="0890FA0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3.1.3  合同约定应由承包人承担的义务和责任，不因监理人对承包人提交文件的审查或批准，对工程、材料和设备的检查和检验，以及为实施监理作出的指示等职务行为而减轻或解除。</w:t>
      </w:r>
    </w:p>
    <w:p w14:paraId="1DCC7698">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72" w:name="_BookMark_125"/>
      <w:bookmarkEnd w:id="872"/>
      <w:bookmarkStart w:id="873" w:name="_Toc19717"/>
      <w:bookmarkStart w:id="874" w:name="_Toc11088955"/>
      <w:bookmarkStart w:id="875" w:name="_Toc14866713"/>
      <w:bookmarkStart w:id="876" w:name="_Toc4661456"/>
      <w:r>
        <w:rPr>
          <w:rFonts w:hint="eastAsia" w:ascii="宋体" w:hAnsi="宋体" w:cs="宋体"/>
          <w:b w:val="0"/>
          <w:color w:val="auto"/>
          <w:sz w:val="21"/>
          <w:szCs w:val="21"/>
          <w:highlight w:val="none"/>
          <w:shd w:val="clear" w:color="auto" w:fill="FFFFFF"/>
        </w:rPr>
        <w:t>3.2  总监理工程师</w:t>
      </w:r>
      <w:bookmarkEnd w:id="873"/>
      <w:bookmarkEnd w:id="874"/>
      <w:bookmarkEnd w:id="875"/>
      <w:bookmarkEnd w:id="876"/>
    </w:p>
    <w:p w14:paraId="6BA3224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发包人应在发出开工通知前将总监理工程师的任命通知承包人。总监理工程师更换时，应在调离14天前通知承包人。总监理工程师短期离开施工场地的，应委派代表代行其职责，并通知承包人。</w:t>
      </w:r>
    </w:p>
    <w:p w14:paraId="4E883681">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77" w:name="_BookMark_126"/>
      <w:bookmarkEnd w:id="877"/>
      <w:bookmarkStart w:id="878" w:name="_Toc11088956"/>
      <w:bookmarkStart w:id="879" w:name="_Toc14866714"/>
      <w:bookmarkStart w:id="880" w:name="_Toc4661457"/>
      <w:bookmarkStart w:id="881" w:name="_Toc3414"/>
      <w:r>
        <w:rPr>
          <w:rFonts w:hint="eastAsia" w:ascii="宋体" w:hAnsi="宋体" w:cs="宋体"/>
          <w:b w:val="0"/>
          <w:color w:val="auto"/>
          <w:sz w:val="21"/>
          <w:szCs w:val="21"/>
          <w:highlight w:val="none"/>
          <w:shd w:val="clear" w:color="auto" w:fill="FFFFFF"/>
        </w:rPr>
        <w:t>3.3  监理人员</w:t>
      </w:r>
      <w:bookmarkEnd w:id="878"/>
      <w:bookmarkEnd w:id="879"/>
      <w:bookmarkEnd w:id="880"/>
      <w:bookmarkEnd w:id="881"/>
    </w:p>
    <w:p w14:paraId="2D9D7A4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55DD098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3.3.2  监理人员对承包人的任何工作、工程或其采用的材料和工程设备未在约定的或合理的期限内提出否定意见的，视为已获批准，但不影响监理人在以后拒绝该项工作、工程、材料或工程设备的权利。</w:t>
      </w:r>
    </w:p>
    <w:p w14:paraId="1B0F1C9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3.3.3  承包人对总监理工程师授权的监理人员发出的指示有疑问的，可向总监理工程师提出书面异议，总监理工程师应在48小时内对该指示予以确认、更改或撤销。</w:t>
      </w:r>
    </w:p>
    <w:p w14:paraId="59C09EB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3.3.4  总监理工程师不应将合同条款通用部分第3.5款约定应由总监理工程师作出确定的权力授权或者委托给其他监理人员。</w:t>
      </w:r>
    </w:p>
    <w:p w14:paraId="083165E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82" w:name="_BookMark_127"/>
      <w:bookmarkEnd w:id="882"/>
      <w:bookmarkStart w:id="883" w:name="_Toc11088957"/>
      <w:bookmarkStart w:id="884" w:name="_Toc14866715"/>
      <w:bookmarkStart w:id="885" w:name="_Toc14002"/>
      <w:bookmarkStart w:id="886" w:name="_Toc4661458"/>
      <w:r>
        <w:rPr>
          <w:rFonts w:hint="eastAsia" w:ascii="宋体" w:hAnsi="宋体" w:cs="宋体"/>
          <w:b w:val="0"/>
          <w:color w:val="auto"/>
          <w:sz w:val="21"/>
          <w:szCs w:val="21"/>
          <w:highlight w:val="none"/>
          <w:shd w:val="clear" w:color="auto" w:fill="FFFFFF"/>
        </w:rPr>
        <w:t>3.4  监理人的指示</w:t>
      </w:r>
      <w:bookmarkEnd w:id="883"/>
      <w:bookmarkEnd w:id="884"/>
      <w:bookmarkEnd w:id="885"/>
      <w:bookmarkEnd w:id="886"/>
    </w:p>
    <w:p w14:paraId="0507240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3.4.1  监理人应按第3.1款的约定向承包人发出指示，监理人的指示应加盖监理人授权的施工场地机构章，并由总监理工程师或总监理工程师按第3.3.1项约定授权的监理人员签字。</w:t>
      </w:r>
    </w:p>
    <w:p w14:paraId="2E3E747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3.4.2  承包人收到监理人按第3.4.1项作出的指示后，应遵照执行。指示构成变更的，应按第15条处理。</w:t>
      </w:r>
    </w:p>
    <w:p w14:paraId="455A6A5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F6939E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3.4.4  除合同另有约定外，承包人只从总监理工程师或按第3.3.1项被授权的监理人员处取得指示。</w:t>
      </w:r>
    </w:p>
    <w:p w14:paraId="030B964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3.4.5  由于监理人未能按合同约定发出指示、指示延误或指示错误而导致承包人费用增加和（或）工期延误的，由发包人承担赔偿责任。 </w:t>
      </w:r>
    </w:p>
    <w:p w14:paraId="3FA6B11F">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87" w:name="_BookMark_128"/>
      <w:bookmarkEnd w:id="887"/>
      <w:bookmarkStart w:id="888" w:name="_Toc29283"/>
      <w:bookmarkStart w:id="889" w:name="_Toc11088958"/>
      <w:bookmarkStart w:id="890" w:name="_Toc14866716"/>
      <w:bookmarkStart w:id="891" w:name="_Toc4661459"/>
      <w:r>
        <w:rPr>
          <w:rFonts w:hint="eastAsia" w:ascii="宋体" w:hAnsi="宋体" w:cs="宋体"/>
          <w:b w:val="0"/>
          <w:color w:val="auto"/>
          <w:sz w:val="21"/>
          <w:szCs w:val="21"/>
          <w:highlight w:val="none"/>
          <w:shd w:val="clear" w:color="auto" w:fill="FFFFFF"/>
        </w:rPr>
        <w:t>3.5  商定或确定</w:t>
      </w:r>
      <w:bookmarkEnd w:id="888"/>
      <w:bookmarkEnd w:id="889"/>
      <w:bookmarkEnd w:id="890"/>
      <w:bookmarkEnd w:id="891"/>
    </w:p>
    <w:p w14:paraId="308C2E2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3.5.1  总监理工程师应按照本款对任何事项进行商定或确定时，总监理工程师应与合同当事人协商，尽量达成一致。不能达成一致的，总监理工程师应认真研究后审慎确定。</w:t>
      </w:r>
    </w:p>
    <w:p w14:paraId="5BF3831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5AC3DEEF">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92" w:name="_BookMark_129"/>
      <w:bookmarkEnd w:id="892"/>
      <w:bookmarkStart w:id="893" w:name="_Toc29678"/>
      <w:bookmarkStart w:id="894" w:name="_Toc4661460"/>
      <w:bookmarkStart w:id="895" w:name="_Toc14866717"/>
      <w:bookmarkStart w:id="896" w:name="_Toc11088959"/>
      <w:r>
        <w:rPr>
          <w:rFonts w:hint="eastAsia" w:ascii="宋体" w:hAnsi="宋体" w:cs="宋体"/>
          <w:b w:val="0"/>
          <w:color w:val="auto"/>
          <w:sz w:val="21"/>
          <w:szCs w:val="21"/>
          <w:highlight w:val="none"/>
          <w:shd w:val="clear" w:color="auto" w:fill="FFFFFF"/>
        </w:rPr>
        <w:t>3.6  监理人的宽恕</w:t>
      </w:r>
      <w:bookmarkEnd w:id="893"/>
      <w:bookmarkEnd w:id="894"/>
      <w:bookmarkEnd w:id="895"/>
      <w:bookmarkEnd w:id="896"/>
    </w:p>
    <w:p w14:paraId="5C64EF8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59FBDF35">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897" w:name="_BookMark_130"/>
      <w:bookmarkEnd w:id="897"/>
      <w:bookmarkStart w:id="898" w:name="_Toc14866718"/>
      <w:bookmarkStart w:id="899" w:name="_Toc32167"/>
      <w:bookmarkStart w:id="900" w:name="_Toc11088960"/>
      <w:bookmarkStart w:id="901" w:name="_Toc4661461"/>
      <w:r>
        <w:rPr>
          <w:rFonts w:hint="eastAsia" w:ascii="宋体" w:hAnsi="宋体"/>
          <w:b w:val="0"/>
          <w:color w:val="auto"/>
          <w:sz w:val="21"/>
          <w:szCs w:val="21"/>
          <w:highlight w:val="none"/>
          <w:shd w:val="clear" w:color="auto" w:fill="FFFFFF"/>
        </w:rPr>
        <w:t>4.承包人</w:t>
      </w:r>
      <w:bookmarkEnd w:id="898"/>
      <w:bookmarkEnd w:id="899"/>
      <w:bookmarkEnd w:id="900"/>
      <w:bookmarkEnd w:id="901"/>
    </w:p>
    <w:p w14:paraId="6F0EC9A3">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02" w:name="_BookMark_131"/>
      <w:bookmarkEnd w:id="902"/>
      <w:bookmarkStart w:id="903" w:name="_Toc11088961"/>
      <w:bookmarkStart w:id="904" w:name="_Toc4661462"/>
      <w:bookmarkStart w:id="905" w:name="_Toc14866719"/>
      <w:bookmarkStart w:id="906" w:name="_Toc28898"/>
      <w:r>
        <w:rPr>
          <w:rFonts w:hint="eastAsia" w:ascii="宋体" w:hAnsi="宋体" w:cs="宋体"/>
          <w:b w:val="0"/>
          <w:color w:val="auto"/>
          <w:sz w:val="21"/>
          <w:szCs w:val="21"/>
          <w:highlight w:val="none"/>
          <w:shd w:val="clear" w:color="auto" w:fill="FFFFFF"/>
        </w:rPr>
        <w:t>4.1  承包人的一般义务</w:t>
      </w:r>
      <w:bookmarkEnd w:id="903"/>
      <w:bookmarkEnd w:id="904"/>
      <w:bookmarkEnd w:id="905"/>
      <w:bookmarkEnd w:id="906"/>
    </w:p>
    <w:p w14:paraId="79E3DA2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4.1.1  遵守法律</w:t>
      </w:r>
    </w:p>
    <w:p w14:paraId="3660B52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承包人在履行合同过程中应遵守法律，并保证发包人免于承担因承包人违反法律而引起的任何责任。</w:t>
      </w:r>
    </w:p>
    <w:p w14:paraId="407ABB9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4.1.2  依法纳税</w:t>
      </w:r>
    </w:p>
    <w:p w14:paraId="2A112E6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承包人应按有关法律规定纳税，应缴纳的税金包括在合同价格内。</w:t>
      </w:r>
    </w:p>
    <w:p w14:paraId="1DB242C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4.1.3  完成各项承包工作</w:t>
      </w:r>
    </w:p>
    <w:p w14:paraId="59EE9DE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00F37BD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1BE7FD2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4.1.4  对施工作业和施工方法的完备性负责</w:t>
      </w:r>
    </w:p>
    <w:p w14:paraId="7D5A6A9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承包人应按合同约定的工作内容和施工进度要求，编制施工组织设计和施工措施计划，并对所有施工作业和施工方法的完备性和安全可靠性负责。</w:t>
      </w:r>
    </w:p>
    <w:p w14:paraId="58283AE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4.1.5  保证工程施工和人员的安全</w:t>
      </w:r>
    </w:p>
    <w:p w14:paraId="0BC9443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承包人应按照第9.2款约定采取施工安全措施，确保工程及其人员、材料、设备和设施的安全，防止因工程施工造成的人身伤害和财产损失。</w:t>
      </w:r>
    </w:p>
    <w:p w14:paraId="3A36DDD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4.1.6  负责施工场地及其周边环境与生态的保护工作</w:t>
      </w:r>
    </w:p>
    <w:p w14:paraId="2CDC3EA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承包人应按照第9.4款约定负责施工场地及其周边环境与生态的保护工作。</w:t>
      </w:r>
    </w:p>
    <w:p w14:paraId="7792AF2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4.1.7  避免施工对公众与他人的利益造成损害</w:t>
      </w:r>
    </w:p>
    <w:p w14:paraId="3337F84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D475E4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4.1.8  为他人提供方便</w:t>
      </w:r>
    </w:p>
    <w:p w14:paraId="1DE6CF3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承包人应当对在施工场地或者附近实施与合同工程有关的其他工作的独立承包人履行管理、协调、配合、照管和服务义务，由此发生的费用被认为已经包括在承包人的签约合同价（投标总报价）中，具体工作内容和要求</w:t>
      </w:r>
      <w:r>
        <w:rPr>
          <w:rFonts w:hint="eastAsia" w:ascii="宋体" w:hAnsi="宋体" w:cs="黑体"/>
          <w:color w:val="auto"/>
          <w:kern w:val="0"/>
          <w:szCs w:val="21"/>
          <w:highlight w:val="none"/>
          <w:shd w:val="clear" w:color="auto" w:fill="FFFFFF"/>
        </w:rPr>
        <w:t>见合同条款专用部分。</w:t>
      </w:r>
    </w:p>
    <w:p w14:paraId="50C716C9">
      <w:pPr>
        <w:widowControl/>
        <w:snapToGrid w:val="0"/>
        <w:spacing w:line="360" w:lineRule="auto"/>
        <w:ind w:left="210" w:leftChars="100" w:firstLine="321"/>
        <w:jc w:val="left"/>
        <w:rPr>
          <w:rFonts w:ascii="宋体" w:hAnsi="宋体" w:cs="Arial"/>
          <w:color w:val="auto"/>
          <w:szCs w:val="21"/>
          <w:highlight w:val="none"/>
        </w:rPr>
      </w:pPr>
      <w:r>
        <w:rPr>
          <w:rFonts w:hint="eastAsia" w:ascii="宋体" w:hAnsi="宋体" w:cs="宋体"/>
          <w:color w:val="auto"/>
          <w:spacing w:val="2"/>
          <w:kern w:val="0"/>
          <w:szCs w:val="21"/>
          <w:highlight w:val="none"/>
          <w:shd w:val="clear" w:color="auto" w:fill="FFFFFF"/>
        </w:rPr>
        <w:t>（2）承包人还应按照监理人指示为独立承包人以外的他人在施工场地或者附近实施与合同工程有关的其他工作提供可能的条件，可能发生费用由监理人按合同条款通用部分第3.5款商定或者确定。</w:t>
      </w:r>
    </w:p>
    <w:p w14:paraId="6E899FE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4.1.9  工程的维护和照管</w:t>
      </w:r>
    </w:p>
    <w:p w14:paraId="1A54ACA2">
      <w:pPr>
        <w:widowControl/>
        <w:snapToGrid w:val="0"/>
        <w:spacing w:line="360" w:lineRule="auto"/>
        <w:ind w:left="210" w:leftChars="100" w:firstLine="428"/>
        <w:jc w:val="left"/>
        <w:rPr>
          <w:rFonts w:ascii="宋体" w:hAnsi="宋体" w:cs="Arial"/>
          <w:color w:val="auto"/>
          <w:szCs w:val="21"/>
          <w:highlight w:val="none"/>
        </w:rPr>
      </w:pPr>
      <w:r>
        <w:rPr>
          <w:rFonts w:hint="eastAsia" w:ascii="宋体" w:hAnsi="宋体" w:cs="宋体"/>
          <w:color w:val="auto"/>
          <w:spacing w:val="2"/>
          <w:kern w:val="0"/>
          <w:szCs w:val="21"/>
          <w:highlight w:val="none"/>
          <w:shd w:val="clear" w:color="auto" w:fill="FFFFFF"/>
        </w:rPr>
        <w:t>工程接收证书颁发前，承包人应负责照管和维护工程。工程接收证书颁发时尚有部分未竣工工程的，承包人还应负责该未竣工工程的照管和维护工作，直至竣工后移交给发包人为</w:t>
      </w:r>
      <w:r>
        <w:rPr>
          <w:rFonts w:hint="eastAsia" w:ascii="宋体" w:hAnsi="宋体" w:cs="宋体"/>
          <w:color w:val="auto"/>
          <w:kern w:val="0"/>
          <w:szCs w:val="21"/>
          <w:highlight w:val="none"/>
          <w:shd w:val="clear" w:color="auto" w:fill="FFFFFF"/>
        </w:rPr>
        <w:t>止。</w:t>
      </w:r>
    </w:p>
    <w:p w14:paraId="3174282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4.1.10  承包人的设计工作 </w:t>
      </w:r>
    </w:p>
    <w:p w14:paraId="5111A3C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见合同条款专用部分。</w:t>
      </w:r>
    </w:p>
    <w:p w14:paraId="79BBFDF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4.1.11  农民工工资保证金</w:t>
      </w:r>
    </w:p>
    <w:p w14:paraId="51100A8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承包人应在银行设立工资保证金专用账户，专项用于发生欠薪时支付农民工工资的应急保障。账户内资金启用应当经建设主管部门和劳动保障行政部门批准。</w:t>
      </w:r>
    </w:p>
    <w:p w14:paraId="14A81B3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4.1.12  其他义务</w:t>
      </w:r>
    </w:p>
    <w:p w14:paraId="35FDC23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承包人应履行的其他义务见合同条款专用部分。</w:t>
      </w:r>
    </w:p>
    <w:p w14:paraId="4898FE75">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07" w:name="_BookMark_132"/>
      <w:bookmarkEnd w:id="907"/>
      <w:bookmarkStart w:id="908" w:name="_Toc4661463"/>
      <w:bookmarkStart w:id="909" w:name="_Toc14866720"/>
      <w:bookmarkStart w:id="910" w:name="_Toc27859"/>
      <w:bookmarkStart w:id="911" w:name="_Toc11088962"/>
      <w:r>
        <w:rPr>
          <w:rFonts w:hint="eastAsia" w:ascii="宋体" w:hAnsi="宋体" w:cs="宋体"/>
          <w:b w:val="0"/>
          <w:color w:val="auto"/>
          <w:sz w:val="21"/>
          <w:szCs w:val="21"/>
          <w:highlight w:val="none"/>
          <w:shd w:val="clear" w:color="auto" w:fill="FFFFFF"/>
        </w:rPr>
        <w:t>4.2  履约担保</w:t>
      </w:r>
      <w:bookmarkEnd w:id="908"/>
      <w:bookmarkEnd w:id="909"/>
      <w:bookmarkEnd w:id="910"/>
      <w:bookmarkEnd w:id="911"/>
    </w:p>
    <w:p w14:paraId="6C845B1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4.2.1  履约担保的格式和金额</w:t>
      </w:r>
    </w:p>
    <w:p w14:paraId="724A382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5F53A5D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4.2.2  履约担保的有效期</w:t>
      </w:r>
    </w:p>
    <w:p w14:paraId="4EB3DAA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7072C0B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4.2.3  履约担保的退还</w:t>
      </w:r>
    </w:p>
    <w:p w14:paraId="28D9A7A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履约担保应在监理人向承包人颁发（出具）工程接收证书之日后28天内退还给承包人。发包人不承担承包人与履约担保有关的任何利息或其它类似的费用或者收益。</w:t>
      </w:r>
    </w:p>
    <w:p w14:paraId="5CE5233D">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4.2.4  通知义务</w:t>
      </w:r>
    </w:p>
    <w:p w14:paraId="3EA1900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73CC4A7B">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12" w:name="_BookMark_133"/>
      <w:bookmarkEnd w:id="912"/>
      <w:bookmarkStart w:id="913" w:name="_Toc30716"/>
      <w:bookmarkStart w:id="914" w:name="_Toc11088963"/>
      <w:bookmarkStart w:id="915" w:name="_Toc4661464"/>
      <w:bookmarkStart w:id="916" w:name="_Toc14866721"/>
      <w:r>
        <w:rPr>
          <w:rFonts w:hint="eastAsia" w:ascii="宋体" w:hAnsi="宋体" w:cs="宋体"/>
          <w:b w:val="0"/>
          <w:color w:val="auto"/>
          <w:sz w:val="21"/>
          <w:szCs w:val="21"/>
          <w:highlight w:val="none"/>
          <w:shd w:val="clear" w:color="auto" w:fill="FFFFFF"/>
        </w:rPr>
        <w:t>4.3  分包</w:t>
      </w:r>
      <w:bookmarkEnd w:id="913"/>
      <w:bookmarkEnd w:id="914"/>
      <w:bookmarkEnd w:id="915"/>
      <w:bookmarkEnd w:id="916"/>
    </w:p>
    <w:p w14:paraId="7BDBA99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4.3.1  承包人不得将其承包的全部工程转包给第三人，或将其承包的全部工程肢解后以分包的名义转包给第三人。</w:t>
      </w:r>
    </w:p>
    <w:p w14:paraId="4B3C98DF">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4.3.2  承包人不得将工程主体、关键性工作分包给第三人。</w:t>
      </w:r>
    </w:p>
    <w:p w14:paraId="0883AEB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4.3.3  未经发包人同意，承包人不得将其自行施工范围工程的其他部分或工作分包给第三人。发包人同意承包人分包的非主体、非关键性工作包括：</w:t>
      </w:r>
    </w:p>
    <w:p w14:paraId="77216AB2">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（1）投标函附录约定的分包工程；</w:t>
      </w:r>
    </w:p>
    <w:p w14:paraId="030349F3">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16E2DC53">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6D557A0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4.3.5  在相关分包合同签订并报送有关建设行政主管部门备案后7天内，承包人应当将一份副本提交给监理人，承包人应保障分包工作不得再次分包。</w:t>
      </w:r>
    </w:p>
    <w:p w14:paraId="0C0553C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4.3.6  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5B0FEFF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4.3.7  未经发包人和监理人审批同意的分包工程和分包人，发包人有权拒绝验收分包工程和支付相应款项，由此引起的承包人费用增加和（或）延误的工期由承包人承担。</w:t>
      </w:r>
    </w:p>
    <w:p w14:paraId="71B971F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4.3.8  分包人的资格能力应与其分包工程的标准和规模相适应。</w:t>
      </w:r>
    </w:p>
    <w:p w14:paraId="4ACC3B4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4.3.9  发包人同意的分包工程，承包人应向发包人和监理人提供合同副本。</w:t>
      </w:r>
    </w:p>
    <w:p w14:paraId="3D7C4D5C">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4.3.10  承包人应与分包人就分包工程向发包人承担连带责任。</w:t>
      </w:r>
    </w:p>
    <w:p w14:paraId="7E7EB5CE">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17" w:name="_BookMark_134"/>
      <w:bookmarkEnd w:id="917"/>
      <w:bookmarkStart w:id="918" w:name="_Toc14866722"/>
      <w:bookmarkStart w:id="919" w:name="_Toc16656"/>
      <w:bookmarkStart w:id="920" w:name="_Toc4661465"/>
      <w:bookmarkStart w:id="921" w:name="_Toc11088964"/>
      <w:r>
        <w:rPr>
          <w:rFonts w:hint="eastAsia" w:ascii="宋体" w:hAnsi="宋体" w:cs="宋体"/>
          <w:b w:val="0"/>
          <w:color w:val="auto"/>
          <w:sz w:val="21"/>
          <w:szCs w:val="21"/>
          <w:highlight w:val="none"/>
          <w:shd w:val="clear" w:color="auto" w:fill="FFFFFF"/>
        </w:rPr>
        <w:t>4.4  联合体</w:t>
      </w:r>
      <w:bookmarkEnd w:id="918"/>
      <w:bookmarkEnd w:id="919"/>
      <w:bookmarkEnd w:id="920"/>
      <w:bookmarkEnd w:id="921"/>
    </w:p>
    <w:p w14:paraId="2970C2A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4.4.1  联合体各方应共同与发包人签订合同协议书。联合体各方应为履行合同承担连带责任。</w:t>
      </w:r>
    </w:p>
    <w:p w14:paraId="6D21A1C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4.4.2  联合体协议经发包人确认后作为合同附件。在履行合同过程中，未经发包人同意，不得修改联合体协议。</w:t>
      </w:r>
    </w:p>
    <w:p w14:paraId="31E4B42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4.4.3  联合体牵头人负责与发包人和监理人联系，并接受指示，负责组织联合体各成员全面履行合同。</w:t>
      </w:r>
    </w:p>
    <w:p w14:paraId="68223CAD">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22" w:name="_BookMark_135"/>
      <w:bookmarkEnd w:id="922"/>
      <w:bookmarkStart w:id="923" w:name="_Toc4661466"/>
      <w:bookmarkStart w:id="924" w:name="_Toc11088965"/>
      <w:bookmarkStart w:id="925" w:name="_Toc31452"/>
      <w:bookmarkStart w:id="926" w:name="_Toc14866723"/>
      <w:r>
        <w:rPr>
          <w:rFonts w:hint="eastAsia" w:ascii="宋体" w:hAnsi="宋体" w:cs="宋体"/>
          <w:b w:val="0"/>
          <w:color w:val="auto"/>
          <w:sz w:val="21"/>
          <w:szCs w:val="21"/>
          <w:highlight w:val="none"/>
          <w:shd w:val="clear" w:color="auto" w:fill="FFFFFF"/>
        </w:rPr>
        <w:t>4.5  承包人项目经理</w:t>
      </w:r>
      <w:bookmarkEnd w:id="923"/>
      <w:bookmarkEnd w:id="924"/>
      <w:bookmarkEnd w:id="925"/>
      <w:bookmarkEnd w:id="926"/>
    </w:p>
    <w:p w14:paraId="0AB7E09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14天前通知发包人和监理人。承包人项目经理短期离开施工场地，应事先征得监理人同意，并委派代表代行其职责。</w:t>
      </w:r>
    </w:p>
    <w:p w14:paraId="1490FB0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4719916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4.5.3  承包人为履行合同发出的一切函件均应盖有承包人授权的施工场地管理机构章，并由承包人项目经理或其授权代表签字。</w:t>
      </w:r>
    </w:p>
    <w:p w14:paraId="25A62EA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4.5.4  承包人项目经理可以授权其下属人员履行其某项职责，但事先应将这些人员的姓名和授权范围通知监理人。</w:t>
      </w:r>
    </w:p>
    <w:p w14:paraId="7A5695AC">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27" w:name="_BookMark_136"/>
      <w:bookmarkEnd w:id="927"/>
      <w:bookmarkStart w:id="928" w:name="_Toc20560"/>
      <w:bookmarkStart w:id="929" w:name="_Toc4661467"/>
      <w:bookmarkStart w:id="930" w:name="_Toc11088966"/>
      <w:bookmarkStart w:id="931" w:name="_Toc14866724"/>
      <w:r>
        <w:rPr>
          <w:rFonts w:hint="eastAsia" w:ascii="宋体" w:hAnsi="宋体" w:cs="宋体"/>
          <w:b w:val="0"/>
          <w:color w:val="auto"/>
          <w:sz w:val="21"/>
          <w:szCs w:val="21"/>
          <w:highlight w:val="none"/>
          <w:shd w:val="clear" w:color="auto" w:fill="FFFFFF"/>
        </w:rPr>
        <w:t>4.6  承包人人员的管理</w:t>
      </w:r>
      <w:bookmarkEnd w:id="928"/>
      <w:bookmarkEnd w:id="929"/>
      <w:bookmarkEnd w:id="930"/>
      <w:bookmarkEnd w:id="931"/>
    </w:p>
    <w:p w14:paraId="0A8F5FD4">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34CCFEB8">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4.6.2  为完成合同约定的各项工作，承包人应向施工场地派遣或雇佣足够数量的下列人员：</w:t>
      </w:r>
    </w:p>
    <w:p w14:paraId="362E95D9">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（1）具有相应资格的专业技工和合格的普工；</w:t>
      </w:r>
    </w:p>
    <w:p w14:paraId="3DAFB05A">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（2）具有相应施工经验的技术人员；</w:t>
      </w:r>
    </w:p>
    <w:p w14:paraId="4C2911E1">
      <w:pPr>
        <w:widowControl/>
        <w:snapToGrid w:val="0"/>
        <w:spacing w:line="360" w:lineRule="auto"/>
        <w:ind w:left="210" w:leftChars="100" w:firstLine="315"/>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（3）具有相应岗位资格的各级管理人员。</w:t>
      </w:r>
    </w:p>
    <w:p w14:paraId="06B22E5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4.6.3  承包人安排在施工场地的主要管理人员和技术骨干应相对稳定。承包人更换主要管理人员和技术骨干时，应取得监理人的同意。</w:t>
      </w:r>
    </w:p>
    <w:p w14:paraId="1AF920E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4.6.4  特殊岗位的工作人员均应持有相应的资格证明，监理人有权随时检查。监理人认为有必要时，可进行现场考核。</w:t>
      </w:r>
    </w:p>
    <w:p w14:paraId="055A2045">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32" w:name="_BookMark_137"/>
      <w:bookmarkEnd w:id="932"/>
      <w:bookmarkStart w:id="933" w:name="_Toc11088967"/>
      <w:bookmarkStart w:id="934" w:name="_Toc16795"/>
      <w:bookmarkStart w:id="935" w:name="_Toc14866725"/>
      <w:bookmarkStart w:id="936" w:name="_Toc4661468"/>
      <w:r>
        <w:rPr>
          <w:rFonts w:hint="eastAsia" w:ascii="宋体" w:hAnsi="宋体" w:cs="宋体"/>
          <w:b w:val="0"/>
          <w:color w:val="auto"/>
          <w:sz w:val="21"/>
          <w:szCs w:val="21"/>
          <w:highlight w:val="none"/>
          <w:shd w:val="clear" w:color="auto" w:fill="FFFFFF"/>
        </w:rPr>
        <w:t>4.7  撤换承包人项目经理和其他人员</w:t>
      </w:r>
      <w:bookmarkEnd w:id="933"/>
      <w:bookmarkEnd w:id="934"/>
      <w:bookmarkEnd w:id="935"/>
      <w:bookmarkEnd w:id="936"/>
    </w:p>
    <w:p w14:paraId="33C9ECC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承包人应对其项目经理和其他人员进行有效管理。监理人要求撤换不能胜任本职工作、行为不端或玩忽职守的承包人项目经理和其他人员的，承包人应予以撤换。</w:t>
      </w:r>
    </w:p>
    <w:p w14:paraId="2E4FDB84">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37" w:name="_BookMark_138"/>
      <w:bookmarkEnd w:id="937"/>
      <w:bookmarkStart w:id="938" w:name="_Toc11088968"/>
      <w:bookmarkStart w:id="939" w:name="_Toc14866726"/>
      <w:bookmarkStart w:id="940" w:name="_Toc27193"/>
      <w:bookmarkStart w:id="941" w:name="_Toc4661469"/>
      <w:r>
        <w:rPr>
          <w:rFonts w:hint="eastAsia" w:ascii="宋体" w:hAnsi="宋体" w:cs="宋体"/>
          <w:b w:val="0"/>
          <w:color w:val="auto"/>
          <w:sz w:val="21"/>
          <w:szCs w:val="21"/>
          <w:highlight w:val="none"/>
          <w:shd w:val="clear" w:color="auto" w:fill="FFFFFF"/>
        </w:rPr>
        <w:t>4.8  保障承包人人员的合法权益</w:t>
      </w:r>
      <w:bookmarkEnd w:id="938"/>
      <w:bookmarkEnd w:id="939"/>
      <w:bookmarkEnd w:id="940"/>
      <w:bookmarkEnd w:id="941"/>
    </w:p>
    <w:p w14:paraId="481D88C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4.8.1  承包人应与其雇佣的人员签订劳动合同，并按时发放工资。</w:t>
      </w:r>
    </w:p>
    <w:p w14:paraId="766E2610">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4.8.2  承包人应按劳动法的规定安排工作时间，保证其雇佣人员享有休息和休假的权利。因工程施工的特殊需要占用休假日或延长工作时间的，应不超过法律规定的限度，并按法律规定给予补休或付酬。</w:t>
      </w:r>
    </w:p>
    <w:p w14:paraId="3A644DF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4.8.3  承包人应为其雇佣人员提供必要的食宿条件，以及符合环境保护和卫生要求的生活环境，在远离城镇的施工场地，还应配备必要的伤病防治和急救的医务人员与医疗设施。</w:t>
      </w:r>
    </w:p>
    <w:p w14:paraId="38FA541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E8F8E82">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4.8.5  承包人应按有关法律规定和合同约定，为其雇佣人员办理保险。</w:t>
      </w:r>
    </w:p>
    <w:p w14:paraId="6AAAF546">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4.8.6  承包人应负责处理其雇佣人员因工伤亡事故的善后事宜。</w:t>
      </w:r>
    </w:p>
    <w:p w14:paraId="0256CC06">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42" w:name="_BookMark_139"/>
      <w:bookmarkEnd w:id="942"/>
      <w:bookmarkStart w:id="943" w:name="_Toc18064"/>
      <w:bookmarkStart w:id="944" w:name="_Toc11088969"/>
      <w:bookmarkStart w:id="945" w:name="_Toc4661470"/>
      <w:bookmarkStart w:id="946" w:name="_Toc14866727"/>
      <w:r>
        <w:rPr>
          <w:rFonts w:hint="eastAsia" w:ascii="宋体" w:hAnsi="宋体" w:cs="宋体"/>
          <w:b w:val="0"/>
          <w:color w:val="auto"/>
          <w:sz w:val="21"/>
          <w:szCs w:val="21"/>
          <w:highlight w:val="none"/>
          <w:shd w:val="clear" w:color="auto" w:fill="FFFFFF"/>
        </w:rPr>
        <w:t>4.9  工程价款应专款专用</w:t>
      </w:r>
      <w:bookmarkEnd w:id="943"/>
      <w:bookmarkEnd w:id="944"/>
      <w:bookmarkEnd w:id="945"/>
      <w:bookmarkEnd w:id="946"/>
    </w:p>
    <w:p w14:paraId="1A48E981">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发包人按合同约定支付给承包人的各项价款应专用于合同工程。</w:t>
      </w:r>
    </w:p>
    <w:p w14:paraId="492CD5F2">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47" w:name="_BookMark_140"/>
      <w:bookmarkEnd w:id="947"/>
      <w:bookmarkStart w:id="948" w:name="_Toc3044"/>
      <w:bookmarkStart w:id="949" w:name="_Toc11088970"/>
      <w:bookmarkStart w:id="950" w:name="_Toc14866728"/>
      <w:bookmarkStart w:id="951" w:name="_Toc4661471"/>
      <w:r>
        <w:rPr>
          <w:rFonts w:hint="eastAsia" w:ascii="宋体" w:hAnsi="宋体" w:cs="宋体"/>
          <w:b w:val="0"/>
          <w:color w:val="auto"/>
          <w:sz w:val="21"/>
          <w:szCs w:val="21"/>
          <w:highlight w:val="none"/>
          <w:shd w:val="clear" w:color="auto" w:fill="FFFFFF"/>
        </w:rPr>
        <w:t>4.10  承包人现场查勘</w:t>
      </w:r>
      <w:bookmarkEnd w:id="948"/>
      <w:bookmarkEnd w:id="949"/>
      <w:bookmarkEnd w:id="950"/>
      <w:bookmarkEnd w:id="951"/>
    </w:p>
    <w:p w14:paraId="56483EE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4.10.1  发包人应将其持有的现场地质勘探资料、水文气象资料提供给承包人，并对其准确性负责。但承包人应对其阅读上述有关资料后所作出的解释和推断负责。</w:t>
      </w:r>
    </w:p>
    <w:p w14:paraId="1FA60F8B">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2FC13B8">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52" w:name="_BookMark_141"/>
      <w:bookmarkEnd w:id="952"/>
      <w:bookmarkStart w:id="953" w:name="_Toc14866729"/>
      <w:bookmarkStart w:id="954" w:name="_Toc4661472"/>
      <w:bookmarkStart w:id="955" w:name="_Toc22030"/>
      <w:bookmarkStart w:id="956" w:name="_Toc11088971"/>
      <w:r>
        <w:rPr>
          <w:rFonts w:hint="eastAsia" w:ascii="宋体" w:hAnsi="宋体" w:cs="宋体"/>
          <w:b w:val="0"/>
          <w:color w:val="auto"/>
          <w:sz w:val="21"/>
          <w:szCs w:val="21"/>
          <w:highlight w:val="none"/>
          <w:shd w:val="clear" w:color="auto" w:fill="FFFFFF"/>
        </w:rPr>
        <w:t>4.11  不利物质条件</w:t>
      </w:r>
      <w:bookmarkEnd w:id="953"/>
      <w:bookmarkEnd w:id="954"/>
      <w:bookmarkEnd w:id="955"/>
      <w:bookmarkEnd w:id="956"/>
    </w:p>
    <w:p w14:paraId="15E4AE17">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4.11.1  不利物质条件一般是指承包人在施工场地遇到的不可预见的自然物质条件、非自然的物质障碍和污染物，包括地下和水文条件，但不包括气候条件。不利物质条件的具体范围见合同条款专用部分。</w:t>
      </w:r>
    </w:p>
    <w:p w14:paraId="2E0328E5">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4.11.2  承包人遇到不利物质条件时，应采取适应不利物质条件的合理措施继续施工，并及时通知监理人。监理人应当及时发出指示，指示构成变更的，按第15条约定办理。监理人没有发出指示的，承包人因采取合理措施增加的费用和（或）工期延误，由发包人承担。</w:t>
      </w:r>
    </w:p>
    <w:p w14:paraId="04809F28">
      <w:pPr>
        <w:pStyle w:val="3"/>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57" w:name="_BookMark_142"/>
      <w:bookmarkEnd w:id="957"/>
      <w:bookmarkStart w:id="958" w:name="_Toc14866730"/>
      <w:bookmarkStart w:id="959" w:name="_Toc4661473"/>
      <w:bookmarkStart w:id="960" w:name="_Toc28046"/>
      <w:bookmarkStart w:id="961" w:name="_Toc11088972"/>
      <w:r>
        <w:rPr>
          <w:rFonts w:hint="eastAsia" w:ascii="宋体" w:hAnsi="宋体"/>
          <w:b w:val="0"/>
          <w:color w:val="auto"/>
          <w:sz w:val="21"/>
          <w:szCs w:val="21"/>
          <w:highlight w:val="none"/>
          <w:shd w:val="clear" w:color="auto" w:fill="FFFFFF"/>
        </w:rPr>
        <w:t>5.材料和工程设备</w:t>
      </w:r>
      <w:bookmarkEnd w:id="958"/>
      <w:bookmarkEnd w:id="959"/>
      <w:bookmarkEnd w:id="960"/>
      <w:bookmarkEnd w:id="961"/>
    </w:p>
    <w:p w14:paraId="79822540">
      <w:pPr>
        <w:pStyle w:val="4"/>
        <w:keepNext w:val="0"/>
        <w:keepLines w:val="0"/>
        <w:widowControl/>
        <w:snapToGrid w:val="0"/>
        <w:spacing w:before="0" w:after="0" w:line="360" w:lineRule="auto"/>
        <w:ind w:left="210" w:leftChars="100"/>
        <w:jc w:val="left"/>
        <w:rPr>
          <w:rFonts w:ascii="宋体" w:hAnsi="宋体"/>
          <w:color w:val="auto"/>
          <w:sz w:val="21"/>
          <w:szCs w:val="21"/>
          <w:highlight w:val="none"/>
        </w:rPr>
      </w:pPr>
      <w:bookmarkStart w:id="962" w:name="_BookMark_143"/>
      <w:bookmarkEnd w:id="962"/>
      <w:bookmarkStart w:id="963" w:name="_Toc14866731"/>
      <w:bookmarkStart w:id="964" w:name="_Toc14279"/>
      <w:bookmarkStart w:id="965" w:name="_Toc4661474"/>
      <w:bookmarkStart w:id="966" w:name="_Toc11088973"/>
      <w:r>
        <w:rPr>
          <w:rFonts w:hint="eastAsia" w:ascii="宋体" w:hAnsi="宋体" w:cs="宋体"/>
          <w:b w:val="0"/>
          <w:color w:val="auto"/>
          <w:sz w:val="21"/>
          <w:szCs w:val="21"/>
          <w:highlight w:val="none"/>
          <w:shd w:val="clear" w:color="auto" w:fill="FFFFFF"/>
        </w:rPr>
        <w:t>5.1  承包人提供的材料和工程设备</w:t>
      </w:r>
      <w:bookmarkEnd w:id="963"/>
      <w:bookmarkEnd w:id="964"/>
      <w:bookmarkEnd w:id="965"/>
      <w:bookmarkEnd w:id="966"/>
    </w:p>
    <w:p w14:paraId="059F7AC9">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5.1.1  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项的约定，由发包人和承包人以招标方式确定专项供应商。承包人负责提供的主要材料和工程设备清单见合同条款专用部分“附件三：承包人提供的材料和工程设备一览表”</w:t>
      </w:r>
      <w:r>
        <w:rPr>
          <w:rFonts w:hint="eastAsia" w:ascii="宋体" w:hAnsi="宋体" w:cs="黑体"/>
          <w:color w:val="auto"/>
          <w:kern w:val="0"/>
          <w:szCs w:val="21"/>
          <w:highlight w:val="none"/>
          <w:shd w:val="clear" w:color="auto" w:fill="FFFFFF"/>
        </w:rPr>
        <w:t>。</w:t>
      </w:r>
    </w:p>
    <w:p w14:paraId="0246F24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5.1.2  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79E1893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109676C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67" w:name="_BookMark_144"/>
      <w:bookmarkEnd w:id="967"/>
      <w:bookmarkStart w:id="968" w:name="_Toc3808"/>
      <w:bookmarkStart w:id="969" w:name="_Toc14866732"/>
      <w:bookmarkStart w:id="970" w:name="_Toc4661475"/>
      <w:bookmarkStart w:id="971" w:name="_Toc11088974"/>
      <w:r>
        <w:rPr>
          <w:rFonts w:hint="eastAsia" w:ascii="宋体" w:hAnsi="宋体" w:cs="宋体"/>
          <w:b w:val="0"/>
          <w:bCs w:val="0"/>
          <w:color w:val="auto"/>
          <w:sz w:val="21"/>
          <w:szCs w:val="21"/>
          <w:highlight w:val="none"/>
          <w:shd w:val="clear" w:color="auto" w:fill="FFFFFF"/>
        </w:rPr>
        <w:t>5.2  发包人提供的材料和工程设备</w:t>
      </w:r>
      <w:bookmarkEnd w:id="968"/>
      <w:bookmarkEnd w:id="969"/>
      <w:bookmarkEnd w:id="970"/>
      <w:bookmarkEnd w:id="971"/>
    </w:p>
    <w:p w14:paraId="3D5FE0B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5.2.1  发包人负责提供的材料和工程设备的名称、规格、数量、价格、交货方式、交货地点和计划交货日期等见合同条款专用部分“附件四：发包人提供的材料和工程设备一览表”。</w:t>
      </w:r>
    </w:p>
    <w:p w14:paraId="025B8FA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5.2.2  承包人应根据合同进度计划的安排，向监理人报送要求发包人交货的日期计划。发包人应按照监理人与合同双方当事人商定的交货日期，向承包人提交材料和工程设备。</w:t>
      </w:r>
    </w:p>
    <w:p w14:paraId="7CA465D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5.2.3  发包人应在材料和工程设备到货7天前通知承包人，承包人应会同监理人在约定的时间内，赴交货地点共同进行验收。由发包人提供的材料和工程设备验收后，由承包人负责接收、运输和保管。</w:t>
      </w:r>
    </w:p>
    <w:p w14:paraId="2D62D52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5.2.4  发包人要求向承包人提前交货的，承包人不得拒绝，但发包人应承担承包人由此增加的费用。 </w:t>
      </w:r>
    </w:p>
    <w:p w14:paraId="6D95A19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5.2.5  承包人要求更改交货日期或地点的，应事先报请监理人批准。由于承包人要求更改交货时间或地点所增加的费用和（或）工期延误由承包人承担。 </w:t>
      </w:r>
    </w:p>
    <w:p w14:paraId="058C1F8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1642BBE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72" w:name="_BookMark_145"/>
      <w:bookmarkEnd w:id="972"/>
      <w:bookmarkStart w:id="973" w:name="_Toc28793"/>
      <w:bookmarkStart w:id="974" w:name="_Toc4661476"/>
      <w:bookmarkStart w:id="975" w:name="_Toc14866733"/>
      <w:bookmarkStart w:id="976" w:name="_Toc11088975"/>
      <w:r>
        <w:rPr>
          <w:rFonts w:hint="eastAsia" w:ascii="宋体" w:hAnsi="宋体" w:cs="宋体"/>
          <w:b w:val="0"/>
          <w:bCs w:val="0"/>
          <w:color w:val="auto"/>
          <w:sz w:val="21"/>
          <w:szCs w:val="21"/>
          <w:highlight w:val="none"/>
          <w:shd w:val="clear" w:color="auto" w:fill="FFFFFF"/>
        </w:rPr>
        <w:t>5.3  材料和工程设备专用于合同工程</w:t>
      </w:r>
      <w:bookmarkEnd w:id="973"/>
      <w:bookmarkEnd w:id="974"/>
      <w:bookmarkEnd w:id="975"/>
      <w:bookmarkEnd w:id="976"/>
    </w:p>
    <w:p w14:paraId="714376E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5.3.1  运入施工场地的材料、工程设备，包括备品备件、安装专用工器具与随机资料，必须专用于合同工程，未经监理人同意，承包人不得运出施工场地或挪作他用。</w:t>
      </w:r>
    </w:p>
    <w:p w14:paraId="319D4EE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1658829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77" w:name="_BookMark_146"/>
      <w:bookmarkEnd w:id="977"/>
      <w:bookmarkStart w:id="978" w:name="_Toc15989"/>
      <w:bookmarkStart w:id="979" w:name="_Toc14866734"/>
      <w:bookmarkStart w:id="980" w:name="_Toc4661477"/>
      <w:bookmarkStart w:id="981" w:name="_Toc11088976"/>
      <w:r>
        <w:rPr>
          <w:rFonts w:hint="eastAsia" w:ascii="宋体" w:hAnsi="宋体" w:cs="宋体"/>
          <w:b w:val="0"/>
          <w:bCs w:val="0"/>
          <w:color w:val="auto"/>
          <w:sz w:val="21"/>
          <w:szCs w:val="21"/>
          <w:highlight w:val="none"/>
          <w:shd w:val="clear" w:color="auto" w:fill="FFFFFF"/>
        </w:rPr>
        <w:t>5.4  禁止使用不合格的材料和工程设备</w:t>
      </w:r>
      <w:bookmarkEnd w:id="978"/>
      <w:bookmarkEnd w:id="979"/>
      <w:bookmarkEnd w:id="980"/>
      <w:bookmarkEnd w:id="981"/>
    </w:p>
    <w:p w14:paraId="7E4BBA4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5.4.1  监理人有权拒绝承包人提供的不合格材料或工程设备，并要求承包人立即进行更换。监理人应在更换后再次进行检查和检验，由此增加的费用和（或）工期延误由承包人承担。</w:t>
      </w:r>
    </w:p>
    <w:p w14:paraId="509ECEB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5.4.2  监理人发现承包人使用了不合格的材料和工程设备，应即时发出指示要求承包人立即改正，并禁止在工程中继续使用不合格的材料和工程设备。</w:t>
      </w:r>
    </w:p>
    <w:p w14:paraId="40F66C2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5.4.3  发包人提供的材料或工程设备不符合合同要求的，承包人有权拒绝，并可要求发包人更换，由此增加的费用和（或）工期延误由发包人承担。</w:t>
      </w:r>
    </w:p>
    <w:p w14:paraId="155F1145">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982" w:name="_BookMark_147"/>
      <w:bookmarkEnd w:id="982"/>
      <w:bookmarkStart w:id="983" w:name="_Toc17884"/>
      <w:bookmarkStart w:id="984" w:name="_Toc11088977"/>
      <w:bookmarkStart w:id="985" w:name="_Toc4661478"/>
      <w:bookmarkStart w:id="986" w:name="_Toc14866735"/>
      <w:r>
        <w:rPr>
          <w:rFonts w:hint="eastAsia" w:ascii="宋体" w:hAnsi="宋体"/>
          <w:b w:val="0"/>
          <w:bCs w:val="0"/>
          <w:color w:val="auto"/>
          <w:sz w:val="21"/>
          <w:szCs w:val="21"/>
          <w:highlight w:val="none"/>
          <w:shd w:val="clear" w:color="auto" w:fill="FFFFFF"/>
        </w:rPr>
        <w:t>6.施工设备和临时设施</w:t>
      </w:r>
      <w:bookmarkEnd w:id="983"/>
      <w:bookmarkEnd w:id="984"/>
      <w:bookmarkEnd w:id="985"/>
      <w:bookmarkEnd w:id="986"/>
    </w:p>
    <w:p w14:paraId="0C6D102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87" w:name="_BookMark_148"/>
      <w:bookmarkEnd w:id="987"/>
      <w:bookmarkStart w:id="988" w:name="_Toc16003"/>
      <w:bookmarkStart w:id="989" w:name="_Toc4661479"/>
      <w:bookmarkStart w:id="990" w:name="_Toc14866736"/>
      <w:bookmarkStart w:id="991" w:name="_Toc11088978"/>
      <w:r>
        <w:rPr>
          <w:rFonts w:hint="eastAsia" w:ascii="宋体" w:hAnsi="宋体" w:cs="宋体"/>
          <w:b w:val="0"/>
          <w:bCs w:val="0"/>
          <w:color w:val="auto"/>
          <w:sz w:val="21"/>
          <w:szCs w:val="21"/>
          <w:highlight w:val="none"/>
          <w:shd w:val="clear" w:color="auto" w:fill="FFFFFF"/>
        </w:rPr>
        <w:t>6.1  承包人提供的施工设备和临时设施</w:t>
      </w:r>
      <w:bookmarkEnd w:id="988"/>
      <w:bookmarkEnd w:id="989"/>
      <w:bookmarkEnd w:id="990"/>
      <w:bookmarkEnd w:id="991"/>
    </w:p>
    <w:p w14:paraId="018E159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6.1.1  承包人应按合同进度计划的要求，及时配置施工设备和修建临时设施。进入施工场地的承包人设备需经监理人核查后才能投入使用。承包人更换合同约定的承包人设备的，应报监理人批准。</w:t>
      </w:r>
    </w:p>
    <w:p w14:paraId="52280EF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6.1.2  除合同另有约定外，承包人应承担自行修建临时设施的费用，需要临时占地的，应由发包人办理申请手续并承担相应费用。承包人自行修建临时设施的范围以及所需临时占地见合同条款专用部分。</w:t>
      </w:r>
    </w:p>
    <w:p w14:paraId="12637A0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92" w:name="_BookMark_149"/>
      <w:bookmarkEnd w:id="992"/>
      <w:bookmarkStart w:id="993" w:name="_Toc4661480"/>
      <w:bookmarkStart w:id="994" w:name="_Toc11088979"/>
      <w:bookmarkStart w:id="995" w:name="_Toc16170"/>
      <w:bookmarkStart w:id="996" w:name="_Toc14866737"/>
      <w:r>
        <w:rPr>
          <w:rFonts w:hint="eastAsia" w:ascii="宋体" w:hAnsi="宋体" w:cs="宋体"/>
          <w:b w:val="0"/>
          <w:bCs w:val="0"/>
          <w:color w:val="auto"/>
          <w:sz w:val="21"/>
          <w:szCs w:val="21"/>
          <w:highlight w:val="none"/>
          <w:shd w:val="clear" w:color="auto" w:fill="FFFFFF"/>
        </w:rPr>
        <w:t>6.2  发包人提供的施工设备和临时设施</w:t>
      </w:r>
      <w:bookmarkEnd w:id="993"/>
      <w:bookmarkEnd w:id="994"/>
      <w:bookmarkEnd w:id="995"/>
      <w:bookmarkEnd w:id="996"/>
    </w:p>
    <w:p w14:paraId="164155D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发包人提供的施工设备或临时设施，以及相关运行、维护、拆除、清运费用的承担人见合同条款专用部分。</w:t>
      </w:r>
    </w:p>
    <w:p w14:paraId="60810DB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997" w:name="_BookMark_150"/>
      <w:bookmarkEnd w:id="997"/>
      <w:bookmarkStart w:id="998" w:name="_Toc11088980"/>
      <w:bookmarkStart w:id="999" w:name="_Toc4661481"/>
      <w:bookmarkStart w:id="1000" w:name="_Toc30673"/>
      <w:bookmarkStart w:id="1001" w:name="_Toc14866738"/>
      <w:r>
        <w:rPr>
          <w:rFonts w:hint="eastAsia" w:ascii="宋体" w:hAnsi="宋体" w:cs="宋体"/>
          <w:b w:val="0"/>
          <w:bCs w:val="0"/>
          <w:color w:val="auto"/>
          <w:sz w:val="21"/>
          <w:szCs w:val="21"/>
          <w:highlight w:val="none"/>
          <w:shd w:val="clear" w:color="auto" w:fill="FFFFFF"/>
        </w:rPr>
        <w:t>6.3  要求承包人增加或更换施工设备</w:t>
      </w:r>
      <w:bookmarkEnd w:id="998"/>
      <w:bookmarkEnd w:id="999"/>
      <w:bookmarkEnd w:id="1000"/>
      <w:bookmarkEnd w:id="1001"/>
    </w:p>
    <w:p w14:paraId="4DE06FA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承包人使用的施工设备不能满足合同进度计划和（或）质量要求时，监理人有权要求承包人增加或更换施工设备，承包人应及时增加或更换，由此增加的费用和（或）工期延误由承包人承担。</w:t>
      </w:r>
    </w:p>
    <w:p w14:paraId="51D8BF3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02" w:name="_BookMark_151"/>
      <w:bookmarkEnd w:id="1002"/>
      <w:bookmarkStart w:id="1003" w:name="_Toc14866739"/>
      <w:bookmarkStart w:id="1004" w:name="_Toc28344"/>
      <w:bookmarkStart w:id="1005" w:name="_Toc4661482"/>
      <w:bookmarkStart w:id="1006" w:name="_Toc11088981"/>
      <w:r>
        <w:rPr>
          <w:rFonts w:hint="eastAsia" w:ascii="宋体" w:hAnsi="宋体" w:cs="宋体"/>
          <w:b w:val="0"/>
          <w:bCs w:val="0"/>
          <w:color w:val="auto"/>
          <w:sz w:val="21"/>
          <w:szCs w:val="21"/>
          <w:highlight w:val="none"/>
          <w:shd w:val="clear" w:color="auto" w:fill="FFFFFF"/>
        </w:rPr>
        <w:t>6.4  施工设备和临时设施专用于合同工程</w:t>
      </w:r>
      <w:bookmarkEnd w:id="1003"/>
      <w:bookmarkEnd w:id="1004"/>
      <w:bookmarkEnd w:id="1005"/>
      <w:bookmarkEnd w:id="1006"/>
    </w:p>
    <w:p w14:paraId="05D5063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6.4.1  除为第4.1.8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5F181A5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6.4.2  经监理人同意，承包人可根据合同进度计划撤走闲置的施工设备。</w:t>
      </w:r>
    </w:p>
    <w:p w14:paraId="5295EF35">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07" w:name="_BookMark_152"/>
      <w:bookmarkEnd w:id="1007"/>
      <w:bookmarkStart w:id="1008" w:name="_Toc30051"/>
      <w:bookmarkStart w:id="1009" w:name="_Toc11088982"/>
      <w:bookmarkStart w:id="1010" w:name="_Toc4661483"/>
      <w:bookmarkStart w:id="1011" w:name="_Toc14866740"/>
      <w:r>
        <w:rPr>
          <w:rFonts w:hint="eastAsia" w:ascii="宋体" w:hAnsi="宋体"/>
          <w:b w:val="0"/>
          <w:bCs w:val="0"/>
          <w:color w:val="auto"/>
          <w:sz w:val="21"/>
          <w:szCs w:val="21"/>
          <w:highlight w:val="none"/>
          <w:shd w:val="clear" w:color="auto" w:fill="FFFFFF"/>
        </w:rPr>
        <w:t>7.交通运输</w:t>
      </w:r>
      <w:bookmarkEnd w:id="1008"/>
      <w:bookmarkEnd w:id="1009"/>
      <w:bookmarkEnd w:id="1010"/>
      <w:bookmarkEnd w:id="1011"/>
    </w:p>
    <w:p w14:paraId="2314681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12" w:name="_BookMark_153"/>
      <w:bookmarkEnd w:id="1012"/>
      <w:bookmarkStart w:id="1013" w:name="_Toc14866741"/>
      <w:bookmarkStart w:id="1014" w:name="_Toc4661484"/>
      <w:bookmarkStart w:id="1015" w:name="_Toc30066"/>
      <w:bookmarkStart w:id="1016" w:name="_Toc11088983"/>
      <w:r>
        <w:rPr>
          <w:rFonts w:hint="eastAsia" w:ascii="宋体" w:hAnsi="宋体" w:cs="宋体"/>
          <w:b w:val="0"/>
          <w:bCs w:val="0"/>
          <w:color w:val="auto"/>
          <w:sz w:val="21"/>
          <w:szCs w:val="21"/>
          <w:highlight w:val="none"/>
          <w:shd w:val="clear" w:color="auto" w:fill="FFFFFF"/>
        </w:rPr>
        <w:t>7.1  道路通行权和场外设施</w:t>
      </w:r>
      <w:bookmarkEnd w:id="1013"/>
      <w:bookmarkEnd w:id="1014"/>
      <w:bookmarkEnd w:id="1015"/>
      <w:bookmarkEnd w:id="1016"/>
    </w:p>
    <w:p w14:paraId="1AADEF7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145C39D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17" w:name="_BookMark_154"/>
      <w:bookmarkEnd w:id="1017"/>
      <w:bookmarkStart w:id="1018" w:name="_Toc11088984"/>
      <w:bookmarkStart w:id="1019" w:name="_Toc14866742"/>
      <w:bookmarkStart w:id="1020" w:name="_Toc4661485"/>
      <w:bookmarkStart w:id="1021" w:name="_Toc30533"/>
      <w:r>
        <w:rPr>
          <w:rFonts w:hint="eastAsia" w:ascii="宋体" w:hAnsi="宋体" w:cs="宋体"/>
          <w:b w:val="0"/>
          <w:bCs w:val="0"/>
          <w:color w:val="auto"/>
          <w:sz w:val="21"/>
          <w:szCs w:val="21"/>
          <w:highlight w:val="none"/>
          <w:shd w:val="clear" w:color="auto" w:fill="FFFFFF"/>
        </w:rPr>
        <w:t>7.2  场内施工道路</w:t>
      </w:r>
      <w:bookmarkEnd w:id="1018"/>
      <w:bookmarkEnd w:id="1019"/>
      <w:bookmarkEnd w:id="1020"/>
      <w:bookmarkEnd w:id="1021"/>
    </w:p>
    <w:p w14:paraId="7744366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7.2.1  除合同条款专用部分另有约定外，承包人应负责修建、维修、养护和管理施工所需的临时道路和交通设施，包括维修、养护和管理发包人提供的道路和交通设施，并承担相应费用。</w:t>
      </w:r>
    </w:p>
    <w:p w14:paraId="619FB52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7.2.2  发包人和监理人有权无偿使用承包人修建的临时道路和交通设施，不需要交纳任何费用。</w:t>
      </w:r>
    </w:p>
    <w:p w14:paraId="04E1B7C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22" w:name="_BookMark_155"/>
      <w:bookmarkEnd w:id="1022"/>
      <w:bookmarkStart w:id="1023" w:name="_Toc11088985"/>
      <w:bookmarkStart w:id="1024" w:name="_Toc4622"/>
      <w:bookmarkStart w:id="1025" w:name="_Toc14866743"/>
      <w:bookmarkStart w:id="1026" w:name="_Toc4661486"/>
      <w:r>
        <w:rPr>
          <w:rFonts w:hint="eastAsia" w:ascii="宋体" w:hAnsi="宋体" w:cs="宋体"/>
          <w:b w:val="0"/>
          <w:bCs w:val="0"/>
          <w:color w:val="auto"/>
          <w:sz w:val="21"/>
          <w:szCs w:val="21"/>
          <w:highlight w:val="none"/>
          <w:shd w:val="clear" w:color="auto" w:fill="FFFFFF"/>
        </w:rPr>
        <w:t>7.3  场外交通</w:t>
      </w:r>
      <w:bookmarkEnd w:id="1023"/>
      <w:bookmarkEnd w:id="1024"/>
      <w:bookmarkEnd w:id="1025"/>
      <w:bookmarkEnd w:id="1026"/>
    </w:p>
    <w:p w14:paraId="58FD625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7.3.1  承包人车辆外出行驶所需的场外公共道路的通行费、养路费和税款等由承包人承担。</w:t>
      </w:r>
    </w:p>
    <w:p w14:paraId="2C1CA9A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7.3.2  承包人应遵守有关交通法规，严格按照道路和桥梁的限制荷重安全行驶，并服从交通管理部门的检查和监督。</w:t>
      </w:r>
    </w:p>
    <w:p w14:paraId="1082EF5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27" w:name="_BookMark_156"/>
      <w:bookmarkEnd w:id="1027"/>
      <w:bookmarkStart w:id="1028" w:name="_Toc12211"/>
      <w:bookmarkStart w:id="1029" w:name="_Toc4661487"/>
      <w:bookmarkStart w:id="1030" w:name="_Toc11088986"/>
      <w:bookmarkStart w:id="1031" w:name="_Toc14866744"/>
      <w:r>
        <w:rPr>
          <w:rFonts w:hint="eastAsia" w:ascii="宋体" w:hAnsi="宋体" w:cs="宋体"/>
          <w:b w:val="0"/>
          <w:bCs w:val="0"/>
          <w:color w:val="auto"/>
          <w:sz w:val="21"/>
          <w:szCs w:val="21"/>
          <w:highlight w:val="none"/>
          <w:shd w:val="clear" w:color="auto" w:fill="FFFFFF"/>
        </w:rPr>
        <w:t>7.4  超大件和超重件的运输</w:t>
      </w:r>
      <w:bookmarkEnd w:id="1028"/>
      <w:bookmarkEnd w:id="1029"/>
      <w:bookmarkEnd w:id="1030"/>
      <w:bookmarkEnd w:id="1031"/>
    </w:p>
    <w:p w14:paraId="794400F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7D7B505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32" w:name="_BookMark_157"/>
      <w:bookmarkEnd w:id="1032"/>
      <w:bookmarkStart w:id="1033" w:name="_Toc4661488"/>
      <w:bookmarkStart w:id="1034" w:name="_Toc11088987"/>
      <w:bookmarkStart w:id="1035" w:name="_Toc32049"/>
      <w:bookmarkStart w:id="1036" w:name="_Toc14866745"/>
      <w:r>
        <w:rPr>
          <w:rFonts w:hint="eastAsia" w:ascii="宋体" w:hAnsi="宋体" w:cs="宋体"/>
          <w:b w:val="0"/>
          <w:bCs w:val="0"/>
          <w:color w:val="auto"/>
          <w:sz w:val="21"/>
          <w:szCs w:val="21"/>
          <w:highlight w:val="none"/>
          <w:shd w:val="clear" w:color="auto" w:fill="FFFFFF"/>
        </w:rPr>
        <w:t>7.5  道路和桥梁的损坏责任</w:t>
      </w:r>
      <w:bookmarkEnd w:id="1033"/>
      <w:bookmarkEnd w:id="1034"/>
      <w:bookmarkEnd w:id="1035"/>
      <w:bookmarkEnd w:id="1036"/>
    </w:p>
    <w:p w14:paraId="6B678C2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因承包人运输造成施工场地内外公共道路和桥梁损坏的，由承包人承担修复损坏的全部费用和可能引起的赔偿。</w:t>
      </w:r>
    </w:p>
    <w:p w14:paraId="45177E1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37" w:name="_BookMark_158"/>
      <w:bookmarkEnd w:id="1037"/>
      <w:bookmarkStart w:id="1038" w:name="_Toc11088988"/>
      <w:bookmarkStart w:id="1039" w:name="_Toc4133"/>
      <w:bookmarkStart w:id="1040" w:name="_Toc4661489"/>
      <w:bookmarkStart w:id="1041" w:name="_Toc14866746"/>
      <w:r>
        <w:rPr>
          <w:rFonts w:hint="eastAsia" w:ascii="宋体" w:hAnsi="宋体" w:cs="宋体"/>
          <w:b w:val="0"/>
          <w:bCs w:val="0"/>
          <w:color w:val="auto"/>
          <w:sz w:val="21"/>
          <w:szCs w:val="21"/>
          <w:highlight w:val="none"/>
          <w:shd w:val="clear" w:color="auto" w:fill="FFFFFF"/>
        </w:rPr>
        <w:t>7.6  水路和航空运输</w:t>
      </w:r>
      <w:bookmarkEnd w:id="1038"/>
      <w:bookmarkEnd w:id="1039"/>
      <w:bookmarkEnd w:id="1040"/>
      <w:bookmarkEnd w:id="1041"/>
    </w:p>
    <w:p w14:paraId="02F0B0B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本条上述各款的内容适用于水路运输和航空运输，其中“道路”一词的涵义包括河道、航线、船闸、机场、码头、堤防以及水路或航空运输中其他相似结构物；“车辆”一词的涵义包括船舶和飞机等。</w:t>
      </w:r>
    </w:p>
    <w:p w14:paraId="13D9A2FF">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42" w:name="_BookMark_159"/>
      <w:bookmarkEnd w:id="1042"/>
      <w:bookmarkStart w:id="1043" w:name="_Toc4661490"/>
      <w:bookmarkStart w:id="1044" w:name="_Toc22770"/>
      <w:bookmarkStart w:id="1045" w:name="_Toc11088989"/>
      <w:bookmarkStart w:id="1046" w:name="_Toc14866747"/>
      <w:r>
        <w:rPr>
          <w:rFonts w:hint="eastAsia" w:ascii="宋体" w:hAnsi="宋体"/>
          <w:b w:val="0"/>
          <w:bCs w:val="0"/>
          <w:color w:val="auto"/>
          <w:sz w:val="21"/>
          <w:szCs w:val="21"/>
          <w:highlight w:val="none"/>
          <w:shd w:val="clear" w:color="auto" w:fill="FFFFFF"/>
        </w:rPr>
        <w:t>8.测量放线</w:t>
      </w:r>
      <w:bookmarkEnd w:id="1043"/>
      <w:bookmarkEnd w:id="1044"/>
      <w:bookmarkEnd w:id="1045"/>
      <w:bookmarkEnd w:id="1046"/>
    </w:p>
    <w:p w14:paraId="376E435E">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47" w:name="_BookMark_160"/>
      <w:bookmarkEnd w:id="1047"/>
      <w:bookmarkStart w:id="1048" w:name="_Toc11088990"/>
      <w:bookmarkStart w:id="1049" w:name="_Toc4661491"/>
      <w:bookmarkStart w:id="1050" w:name="_Toc23995"/>
      <w:bookmarkStart w:id="1051" w:name="_Toc14866748"/>
      <w:r>
        <w:rPr>
          <w:rFonts w:hint="eastAsia" w:ascii="宋体" w:hAnsi="宋体" w:cs="宋体"/>
          <w:b w:val="0"/>
          <w:bCs w:val="0"/>
          <w:color w:val="auto"/>
          <w:sz w:val="21"/>
          <w:szCs w:val="21"/>
          <w:highlight w:val="none"/>
          <w:shd w:val="clear" w:color="auto" w:fill="FFFFFF"/>
        </w:rPr>
        <w:t>8.1  施工控制网</w:t>
      </w:r>
      <w:bookmarkEnd w:id="1048"/>
      <w:bookmarkEnd w:id="1049"/>
      <w:bookmarkEnd w:id="1050"/>
      <w:bookmarkEnd w:id="1051"/>
    </w:p>
    <w:p w14:paraId="246D904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8.1.1  发包人应在合同约定的期限内，通过监理人向承包人提供测量基准点、基准线和水准点及其书面资料。向承包人提供测量基准点、基准线和水准点及其书面资料的期限见合同条款专用部分。</w:t>
      </w:r>
    </w:p>
    <w:p w14:paraId="68793C0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8.1.2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7DD9AD3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8.1.3  承包人应负责管理施工控制网点。施工控制网点丢失或损坏的，承包人应及时修复，并承担施工控制网点的管理与修复费用。工程竣工后将施工控制网点移交发包人。</w:t>
      </w:r>
    </w:p>
    <w:p w14:paraId="64D9BA5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52" w:name="_BookMark_161"/>
      <w:bookmarkEnd w:id="1052"/>
      <w:bookmarkStart w:id="1053" w:name="_Toc14866749"/>
      <w:bookmarkStart w:id="1054" w:name="_Toc11088991"/>
      <w:bookmarkStart w:id="1055" w:name="_Toc17733"/>
      <w:bookmarkStart w:id="1056" w:name="_Toc4661492"/>
      <w:r>
        <w:rPr>
          <w:rFonts w:hint="eastAsia" w:ascii="宋体" w:hAnsi="宋体" w:cs="宋体"/>
          <w:b w:val="0"/>
          <w:bCs w:val="0"/>
          <w:color w:val="auto"/>
          <w:sz w:val="21"/>
          <w:szCs w:val="21"/>
          <w:highlight w:val="none"/>
          <w:shd w:val="clear" w:color="auto" w:fill="FFFFFF"/>
        </w:rPr>
        <w:t>8.2  施工测量</w:t>
      </w:r>
      <w:bookmarkEnd w:id="1053"/>
      <w:bookmarkEnd w:id="1054"/>
      <w:bookmarkEnd w:id="1055"/>
      <w:bookmarkEnd w:id="1056"/>
    </w:p>
    <w:p w14:paraId="144ACF8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8.2.1  承包人应负责施工过程中的全部施工测量放线工作，并配置合格的人员、仪器、设备和其他物品。</w:t>
      </w:r>
    </w:p>
    <w:p w14:paraId="0C4ACCC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8.2.2  监理人可以指示承包人进行抽样复测，当复测中发现错误或出现超过合同约定的误差时，承包人应按监理人指示进行修正或补测，并承担相应的复测费用。</w:t>
      </w:r>
    </w:p>
    <w:p w14:paraId="6B99A2A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57" w:name="_BookMark_162"/>
      <w:bookmarkEnd w:id="1057"/>
      <w:bookmarkStart w:id="1058" w:name="_Toc11088992"/>
      <w:bookmarkStart w:id="1059" w:name="_Toc4661493"/>
      <w:bookmarkStart w:id="1060" w:name="_Toc12965"/>
      <w:bookmarkStart w:id="1061" w:name="_Toc14866750"/>
      <w:r>
        <w:rPr>
          <w:rFonts w:hint="eastAsia" w:ascii="宋体" w:hAnsi="宋体" w:cs="宋体"/>
          <w:b w:val="0"/>
          <w:bCs w:val="0"/>
          <w:color w:val="auto"/>
          <w:sz w:val="21"/>
          <w:szCs w:val="21"/>
          <w:highlight w:val="none"/>
          <w:shd w:val="clear" w:color="auto" w:fill="FFFFFF"/>
        </w:rPr>
        <w:t>8.3  基准资料错误的责任</w:t>
      </w:r>
      <w:bookmarkEnd w:id="1058"/>
      <w:bookmarkEnd w:id="1059"/>
      <w:bookmarkEnd w:id="1060"/>
      <w:bookmarkEnd w:id="1061"/>
    </w:p>
    <w:p w14:paraId="1993A80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4C49DD0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62" w:name="_BookMark_163"/>
      <w:bookmarkEnd w:id="1062"/>
      <w:bookmarkStart w:id="1063" w:name="_Toc11642"/>
      <w:bookmarkStart w:id="1064" w:name="_Toc4661494"/>
      <w:bookmarkStart w:id="1065" w:name="_Toc11088993"/>
      <w:bookmarkStart w:id="1066" w:name="_Toc14866751"/>
      <w:r>
        <w:rPr>
          <w:rFonts w:hint="eastAsia" w:ascii="宋体" w:hAnsi="宋体" w:cs="宋体"/>
          <w:b w:val="0"/>
          <w:bCs w:val="0"/>
          <w:color w:val="auto"/>
          <w:sz w:val="21"/>
          <w:szCs w:val="21"/>
          <w:highlight w:val="none"/>
          <w:shd w:val="clear" w:color="auto" w:fill="FFFFFF"/>
        </w:rPr>
        <w:t>8.4  监理人使用施工控制网</w:t>
      </w:r>
      <w:bookmarkEnd w:id="1063"/>
      <w:bookmarkEnd w:id="1064"/>
      <w:bookmarkEnd w:id="1065"/>
      <w:bookmarkEnd w:id="1066"/>
    </w:p>
    <w:p w14:paraId="3CB97AC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监理人需要使用施工控制网的，承包人应提供必要的协助，发包人不再为此支付费用。</w:t>
      </w:r>
    </w:p>
    <w:p w14:paraId="58254078">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67" w:name="_BookMark_164"/>
      <w:bookmarkEnd w:id="1067"/>
      <w:bookmarkStart w:id="1068" w:name="_Toc4661495"/>
      <w:bookmarkStart w:id="1069" w:name="_Toc10064"/>
      <w:bookmarkStart w:id="1070" w:name="_Toc14866752"/>
      <w:bookmarkStart w:id="1071" w:name="_Toc11088994"/>
      <w:r>
        <w:rPr>
          <w:rFonts w:hint="eastAsia" w:ascii="宋体" w:hAnsi="宋体"/>
          <w:b w:val="0"/>
          <w:bCs w:val="0"/>
          <w:color w:val="auto"/>
          <w:sz w:val="21"/>
          <w:szCs w:val="21"/>
          <w:highlight w:val="none"/>
          <w:shd w:val="clear" w:color="auto" w:fill="FFFFFF"/>
        </w:rPr>
        <w:t>9.施工安全、治安保卫和环境保护</w:t>
      </w:r>
      <w:bookmarkEnd w:id="1068"/>
      <w:bookmarkEnd w:id="1069"/>
      <w:bookmarkEnd w:id="1070"/>
      <w:bookmarkEnd w:id="1071"/>
    </w:p>
    <w:p w14:paraId="7B4AA9E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72" w:name="_BookMark_165"/>
      <w:bookmarkEnd w:id="1072"/>
      <w:bookmarkStart w:id="1073" w:name="_Toc4661496"/>
      <w:bookmarkStart w:id="1074" w:name="_Toc14866753"/>
      <w:bookmarkStart w:id="1075" w:name="_Toc8505"/>
      <w:bookmarkStart w:id="1076" w:name="_Toc11088995"/>
      <w:r>
        <w:rPr>
          <w:rFonts w:hint="eastAsia" w:ascii="宋体" w:hAnsi="宋体" w:cs="宋体"/>
          <w:b w:val="0"/>
          <w:bCs w:val="0"/>
          <w:color w:val="auto"/>
          <w:sz w:val="21"/>
          <w:szCs w:val="21"/>
          <w:highlight w:val="none"/>
          <w:shd w:val="clear" w:color="auto" w:fill="FFFFFF"/>
        </w:rPr>
        <w:t>9.1  发包人的施工安全责任</w:t>
      </w:r>
      <w:bookmarkEnd w:id="1073"/>
      <w:bookmarkEnd w:id="1074"/>
      <w:bookmarkEnd w:id="1075"/>
      <w:bookmarkEnd w:id="1076"/>
    </w:p>
    <w:p w14:paraId="52A23B7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9.1.1  发包人应按合同约定履行安全职责，授权监理人按合同约定的安全工作内容监督、检查承包人安全工作的实施，组织承包人和有关单位进行安全检查。</w:t>
      </w:r>
    </w:p>
    <w:p w14:paraId="4A671BE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9.1.2  发包人应对其现场机构雇佣的全部人员的工伤事故承担责任，但由于承包人原因造成发包人人员工伤的，应由承包人承担责任。</w:t>
      </w:r>
    </w:p>
    <w:p w14:paraId="7735667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9.1.3  发包人应负责赔偿以下各种情况造成的第三者人身伤亡和财产损失：</w:t>
      </w:r>
    </w:p>
    <w:p w14:paraId="5339C653">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（1）工程或工程的任何部分对土地的占用所造成的第三者财产损失；</w:t>
      </w:r>
    </w:p>
    <w:p w14:paraId="7239EC4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（2）由于发包人原因在施工场地及其毗邻地带造成的第三者人身伤亡和财产损失。</w:t>
      </w:r>
    </w:p>
    <w:p w14:paraId="25C0929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77" w:name="_BookMark_166"/>
      <w:bookmarkEnd w:id="1077"/>
      <w:bookmarkStart w:id="1078" w:name="_Toc14866754"/>
      <w:bookmarkStart w:id="1079" w:name="_Toc18924"/>
      <w:bookmarkStart w:id="1080" w:name="_Toc11088996"/>
      <w:bookmarkStart w:id="1081" w:name="_Toc4661497"/>
      <w:r>
        <w:rPr>
          <w:rFonts w:hint="eastAsia" w:ascii="宋体" w:hAnsi="宋体" w:cs="宋体"/>
          <w:b w:val="0"/>
          <w:bCs w:val="0"/>
          <w:color w:val="auto"/>
          <w:sz w:val="21"/>
          <w:szCs w:val="21"/>
          <w:highlight w:val="none"/>
          <w:shd w:val="clear" w:color="auto" w:fill="FFFFFF"/>
        </w:rPr>
        <w:t>9.2  承包人的施工安全责任</w:t>
      </w:r>
      <w:bookmarkEnd w:id="1078"/>
      <w:bookmarkEnd w:id="1079"/>
      <w:bookmarkEnd w:id="1080"/>
      <w:bookmarkEnd w:id="1081"/>
    </w:p>
    <w:p w14:paraId="4AA74C2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3282510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9.2.2  承包人应加强施工作业安全管理，特别应加强易燃、易爆材料、火工器材、有毒与腐蚀性材料、挥发性有机物和其他危险品的管理，以及对爆破作业和地下工程施工等危险作业的管理。</w:t>
      </w:r>
    </w:p>
    <w:p w14:paraId="0F123A9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9.2.3  承包人应严格按照国家安全标准制定施工安全操作规程，配备必要的安全生产和劳动保护设施，加强对承包人人员的安全教育，并发放安全工作手册和劳动保护用具。</w:t>
      </w:r>
    </w:p>
    <w:p w14:paraId="7866B77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9.2.4  承包人应按监理人的指示制定应对灾害的紧急预案，报送监理人审批。承包人还应按预案做好安全检查，配置必要的救助物资和器材，切实保护好有关人员的人身和财产安全。</w:t>
      </w:r>
    </w:p>
    <w:p w14:paraId="484902F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1EEDEE7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9.2.6  承包人应对其履行合同所雇佣的全部人员，包括分包人人员的工伤事故承担责任，但由于发包人原因造成承包人人员工伤事故的，应由发包人承担责任。</w:t>
      </w:r>
    </w:p>
    <w:p w14:paraId="0DFD402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9.2.7  由于承包人原因在施工场地内及其毗邻地带造成的第三者人员伤亡和财产损失，由承包人负责赔偿。</w:t>
      </w:r>
    </w:p>
    <w:p w14:paraId="4F75B36E">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82" w:name="_BookMark_167"/>
      <w:bookmarkEnd w:id="1082"/>
      <w:bookmarkStart w:id="1083" w:name="_Toc14866755"/>
      <w:bookmarkStart w:id="1084" w:name="_Toc26234"/>
      <w:bookmarkStart w:id="1085" w:name="_Toc11088997"/>
      <w:bookmarkStart w:id="1086" w:name="_Toc4661498"/>
      <w:r>
        <w:rPr>
          <w:rFonts w:hint="eastAsia" w:ascii="宋体" w:hAnsi="宋体" w:cs="宋体"/>
          <w:b w:val="0"/>
          <w:bCs w:val="0"/>
          <w:color w:val="auto"/>
          <w:sz w:val="21"/>
          <w:szCs w:val="21"/>
          <w:highlight w:val="none"/>
          <w:shd w:val="clear" w:color="auto" w:fill="FFFFFF"/>
        </w:rPr>
        <w:t>9.3  治安保卫</w:t>
      </w:r>
      <w:bookmarkEnd w:id="1083"/>
      <w:bookmarkEnd w:id="1084"/>
      <w:bookmarkEnd w:id="1085"/>
      <w:bookmarkEnd w:id="1086"/>
    </w:p>
    <w:p w14:paraId="097CBEA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9.3.1  发包人应与当地公安部门协商，在现场建立治安管理机构或联防组织，负责统一管理施工场地的治安保卫事项，履行合同工程的治安保卫职责。</w:t>
      </w:r>
    </w:p>
    <w:p w14:paraId="71582A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9.3.2  发包人和承包人除应协助现场治安管理机构或联防组织维护施工场地的社会治安外，还应做好包括生活区在内的各自管辖区的治安保卫工作。</w:t>
      </w:r>
    </w:p>
    <w:p w14:paraId="3789EE9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30E76B9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87" w:name="_BookMark_168"/>
      <w:bookmarkEnd w:id="1087"/>
      <w:bookmarkStart w:id="1088" w:name="_Toc4661499"/>
      <w:bookmarkStart w:id="1089" w:name="_Toc11088998"/>
      <w:bookmarkStart w:id="1090" w:name="_Toc14866756"/>
      <w:bookmarkStart w:id="1091" w:name="_Toc32524"/>
      <w:r>
        <w:rPr>
          <w:rFonts w:hint="eastAsia" w:ascii="宋体" w:hAnsi="宋体" w:cs="宋体"/>
          <w:b w:val="0"/>
          <w:bCs w:val="0"/>
          <w:color w:val="auto"/>
          <w:sz w:val="21"/>
          <w:szCs w:val="21"/>
          <w:highlight w:val="none"/>
          <w:shd w:val="clear" w:color="auto" w:fill="FFFFFF"/>
        </w:rPr>
        <w:t>9.4  环境保护</w:t>
      </w:r>
      <w:bookmarkEnd w:id="1088"/>
      <w:bookmarkEnd w:id="1089"/>
      <w:bookmarkEnd w:id="1090"/>
      <w:bookmarkEnd w:id="1091"/>
    </w:p>
    <w:p w14:paraId="337D539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9.4.1  承包人在施工过程中，应遵守有关环境保护的法律，履行合同约定的环境保护义务，并对违反法律和合同约定义务所造成的环境破坏、人身伤害和财产损失负责。</w:t>
      </w:r>
    </w:p>
    <w:p w14:paraId="2CC0CEE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18B1D32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9.4.3  承包人应在合同条款专用部分约定的时限内，按合同约定的环保工作内容，编制施工环保措施计划（包含第9.4.2项约定的实施方案内容），报送监理人审批。监理人在合同条款专用部分约定的期限内给予批复。</w:t>
      </w:r>
    </w:p>
    <w:p w14:paraId="4AA2806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9.4.4  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26F910D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9.4.5  承包人应按合同约定采取有效措施，对施工开挖的边坡及时进行支护,维护排水设施，并进行</w:t>
      </w:r>
      <w:r>
        <w:rPr>
          <w:rFonts w:hint="eastAsia" w:ascii="宋体" w:hAnsi="宋体" w:cs="宋体"/>
          <w:color w:val="auto"/>
          <w:kern w:val="0"/>
          <w:szCs w:val="21"/>
          <w:highlight w:val="none"/>
          <w:shd w:val="clear" w:color="auto" w:fill="FFFFFF"/>
          <w:lang w:eastAsia="zh-CN"/>
        </w:rPr>
        <w:t>水土保持</w:t>
      </w:r>
      <w:r>
        <w:rPr>
          <w:rFonts w:hint="eastAsia" w:ascii="宋体" w:hAnsi="宋体" w:cs="宋体"/>
          <w:color w:val="auto"/>
          <w:kern w:val="0"/>
          <w:szCs w:val="21"/>
          <w:highlight w:val="none"/>
          <w:shd w:val="clear" w:color="auto" w:fill="FFFFFF"/>
        </w:rPr>
        <w:t>，避免因施工造成的地质灾害。</w:t>
      </w:r>
    </w:p>
    <w:p w14:paraId="309F73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9.4.6  承包人应按国家饮用水管理标准定期对饮用水源进行监测，防止施工活动污染饮用水源。</w:t>
      </w:r>
    </w:p>
    <w:p w14:paraId="2907322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9.4.7  承包人应按合同约定，加强对噪声、粉尘、废气、废水和废油的控制，努力降低噪声，控制粉尘和废气浓度，做好废水和废油的治理和排放。</w:t>
      </w:r>
    </w:p>
    <w:p w14:paraId="7FE8751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092" w:name="_BookMark_169"/>
      <w:bookmarkEnd w:id="1092"/>
      <w:bookmarkStart w:id="1093" w:name="_Toc4661500"/>
      <w:bookmarkStart w:id="1094" w:name="_Toc5139"/>
      <w:bookmarkStart w:id="1095" w:name="_Toc11088999"/>
      <w:bookmarkStart w:id="1096" w:name="_Toc14866757"/>
      <w:r>
        <w:rPr>
          <w:rFonts w:hint="eastAsia" w:ascii="宋体" w:hAnsi="宋体" w:cs="宋体"/>
          <w:b w:val="0"/>
          <w:bCs w:val="0"/>
          <w:color w:val="auto"/>
          <w:sz w:val="21"/>
          <w:szCs w:val="21"/>
          <w:highlight w:val="none"/>
          <w:shd w:val="clear" w:color="auto" w:fill="FFFFFF"/>
        </w:rPr>
        <w:t>9.5  事故处理</w:t>
      </w:r>
      <w:bookmarkEnd w:id="1093"/>
      <w:bookmarkEnd w:id="1094"/>
      <w:bookmarkEnd w:id="1095"/>
      <w:bookmarkEnd w:id="1096"/>
    </w:p>
    <w:p w14:paraId="2352F80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4B248D3B">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097" w:name="_BookMark_170"/>
      <w:bookmarkEnd w:id="1097"/>
      <w:bookmarkStart w:id="1098" w:name="_Toc4661501"/>
      <w:bookmarkStart w:id="1099" w:name="_Toc14866758"/>
      <w:bookmarkStart w:id="1100" w:name="_Toc11089000"/>
      <w:bookmarkStart w:id="1101" w:name="_Toc31865"/>
      <w:r>
        <w:rPr>
          <w:rFonts w:hint="eastAsia" w:ascii="宋体" w:hAnsi="宋体"/>
          <w:b w:val="0"/>
          <w:bCs w:val="0"/>
          <w:color w:val="auto"/>
          <w:sz w:val="21"/>
          <w:szCs w:val="21"/>
          <w:highlight w:val="none"/>
          <w:shd w:val="clear" w:color="auto" w:fill="FFFFFF"/>
        </w:rPr>
        <w:t>10.进度计划</w:t>
      </w:r>
      <w:bookmarkEnd w:id="1098"/>
      <w:bookmarkEnd w:id="1099"/>
      <w:bookmarkEnd w:id="1100"/>
      <w:bookmarkEnd w:id="1101"/>
    </w:p>
    <w:p w14:paraId="6DD88C6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02" w:name="_BookMark_171"/>
      <w:bookmarkEnd w:id="1102"/>
      <w:bookmarkStart w:id="1103" w:name="_Toc14866759"/>
      <w:bookmarkStart w:id="1104" w:name="_Toc16845"/>
      <w:bookmarkStart w:id="1105" w:name="_Toc4661502"/>
      <w:bookmarkStart w:id="1106" w:name="_Toc11089001"/>
      <w:r>
        <w:rPr>
          <w:rFonts w:hint="eastAsia" w:ascii="宋体" w:hAnsi="宋体" w:cs="宋体"/>
          <w:b w:val="0"/>
          <w:bCs w:val="0"/>
          <w:color w:val="auto"/>
          <w:sz w:val="21"/>
          <w:szCs w:val="21"/>
          <w:highlight w:val="none"/>
          <w:shd w:val="clear" w:color="auto" w:fill="FFFFFF"/>
        </w:rPr>
        <w:t>10.1  合同进度计划</w:t>
      </w:r>
      <w:bookmarkEnd w:id="1103"/>
      <w:bookmarkEnd w:id="1104"/>
      <w:bookmarkEnd w:id="1105"/>
      <w:bookmarkEnd w:id="1106"/>
    </w:p>
    <w:p w14:paraId="3966AD8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10.1.1  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2072EF5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10.1.2  承包人还应根据合同进度计划，按照第10.1.1项相关约定编制更为详细的分阶段或分项进度计划，报监理人审批。承包人编制分阶段或分项施工进度计划和施工方案说明的内容及时限要求见合同条款专用部分。</w:t>
      </w:r>
    </w:p>
    <w:p w14:paraId="15B2EA9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39ECEBC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07" w:name="_BookMark_172"/>
      <w:bookmarkEnd w:id="1107"/>
      <w:bookmarkStart w:id="1108" w:name="_Toc22380"/>
      <w:bookmarkStart w:id="1109" w:name="_Toc4661503"/>
      <w:bookmarkStart w:id="1110" w:name="_Toc11089002"/>
      <w:bookmarkStart w:id="1111" w:name="_Toc14866760"/>
      <w:r>
        <w:rPr>
          <w:rFonts w:hint="eastAsia" w:ascii="宋体" w:hAnsi="宋体" w:cs="宋体"/>
          <w:b w:val="0"/>
          <w:bCs w:val="0"/>
          <w:color w:val="auto"/>
          <w:sz w:val="21"/>
          <w:szCs w:val="21"/>
          <w:highlight w:val="none"/>
          <w:shd w:val="clear" w:color="auto" w:fill="FFFFFF"/>
        </w:rPr>
        <w:t>10.2  合同进度计划的修订</w:t>
      </w:r>
      <w:bookmarkEnd w:id="1108"/>
      <w:bookmarkEnd w:id="1109"/>
      <w:bookmarkEnd w:id="1110"/>
      <w:bookmarkEnd w:id="1111"/>
    </w:p>
    <w:p w14:paraId="397B4CA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10.2.1  不论何种原因造成工程的实际进度与第10.1款的合同进度计划不符时，承包人可以在合同条款专用部分约定的期限内向监理人提交修订合同进度计划的申请报告，并附有关措施和相关资料，报监理人审批；</w:t>
      </w:r>
    </w:p>
    <w:p w14:paraId="7211E4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10.2.2  监理人也可以直接向承包人作出修订合同进度计划的指示，承包人应按该指示修订合同进度计划，报监理人审批。监理人应在合同条款专用部分约定的期限内完成批复。监理人在批复前应获得发包人同意。</w:t>
      </w:r>
    </w:p>
    <w:p w14:paraId="68CD52C5">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112" w:name="_BookMark_173"/>
      <w:bookmarkEnd w:id="1112"/>
      <w:bookmarkStart w:id="1113" w:name="_Toc11089003"/>
      <w:bookmarkStart w:id="1114" w:name="_Toc14866761"/>
      <w:bookmarkStart w:id="1115" w:name="_Toc555"/>
      <w:bookmarkStart w:id="1116" w:name="_Toc4661504"/>
      <w:r>
        <w:rPr>
          <w:rFonts w:hint="eastAsia" w:ascii="宋体" w:hAnsi="宋体"/>
          <w:b w:val="0"/>
          <w:bCs w:val="0"/>
          <w:color w:val="auto"/>
          <w:sz w:val="21"/>
          <w:szCs w:val="21"/>
          <w:highlight w:val="none"/>
          <w:shd w:val="clear" w:color="auto" w:fill="FFFFFF"/>
        </w:rPr>
        <w:t>11.开工和竣工</w:t>
      </w:r>
      <w:bookmarkEnd w:id="1113"/>
      <w:bookmarkEnd w:id="1114"/>
      <w:bookmarkEnd w:id="1115"/>
      <w:bookmarkEnd w:id="1116"/>
    </w:p>
    <w:p w14:paraId="2E4B66B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17" w:name="_BookMark_174"/>
      <w:bookmarkEnd w:id="1117"/>
      <w:bookmarkStart w:id="1118" w:name="_Toc11089004"/>
      <w:bookmarkStart w:id="1119" w:name="_Toc10700"/>
      <w:bookmarkStart w:id="1120" w:name="_Toc4661505"/>
      <w:bookmarkStart w:id="1121" w:name="_Toc14866762"/>
      <w:r>
        <w:rPr>
          <w:rFonts w:hint="eastAsia" w:ascii="宋体" w:hAnsi="宋体" w:cs="宋体"/>
          <w:b w:val="0"/>
          <w:bCs w:val="0"/>
          <w:color w:val="auto"/>
          <w:sz w:val="21"/>
          <w:szCs w:val="21"/>
          <w:highlight w:val="none"/>
          <w:shd w:val="clear" w:color="auto" w:fill="FFFFFF"/>
        </w:rPr>
        <w:t>11.1  开工</w:t>
      </w:r>
      <w:bookmarkEnd w:id="1118"/>
      <w:bookmarkEnd w:id="1119"/>
      <w:bookmarkEnd w:id="1120"/>
      <w:bookmarkEnd w:id="1121"/>
    </w:p>
    <w:p w14:paraId="4363719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11.1.1  监理人应在开工日期7天前向承包人发出开工通知。监理人在发出开工通知前应获得发包人同意。工期自监理人发出的开工通知中载明的开工日期起计算。承包人应在开工日期后尽快施工。</w:t>
      </w:r>
    </w:p>
    <w:p w14:paraId="7DD8A2D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2D3452F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22" w:name="_BookMark_175"/>
      <w:bookmarkEnd w:id="1122"/>
      <w:bookmarkStart w:id="1123" w:name="_Toc11089005"/>
      <w:bookmarkStart w:id="1124" w:name="_Toc14866763"/>
      <w:bookmarkStart w:id="1125" w:name="_Toc15165"/>
      <w:bookmarkStart w:id="1126" w:name="_Toc4661506"/>
      <w:r>
        <w:rPr>
          <w:rFonts w:hint="eastAsia" w:ascii="宋体" w:hAnsi="宋体" w:cs="宋体"/>
          <w:b w:val="0"/>
          <w:bCs w:val="0"/>
          <w:color w:val="auto"/>
          <w:sz w:val="21"/>
          <w:szCs w:val="21"/>
          <w:highlight w:val="none"/>
          <w:shd w:val="clear" w:color="auto" w:fill="FFFFFF"/>
        </w:rPr>
        <w:t>11.2  竣工</w:t>
      </w:r>
      <w:bookmarkEnd w:id="1123"/>
      <w:bookmarkEnd w:id="1124"/>
      <w:bookmarkEnd w:id="1125"/>
      <w:bookmarkEnd w:id="1126"/>
    </w:p>
    <w:p w14:paraId="6E36FB6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承包人应在第1.1.4.3目约定的期限内完成合同工程。实际竣工日期在接收证书中写明。</w:t>
      </w:r>
    </w:p>
    <w:p w14:paraId="651A92D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27" w:name="_BookMark_176"/>
      <w:bookmarkEnd w:id="1127"/>
      <w:bookmarkStart w:id="1128" w:name="_Toc11089006"/>
      <w:bookmarkStart w:id="1129" w:name="_Toc14866764"/>
      <w:bookmarkStart w:id="1130" w:name="_Toc11811"/>
      <w:bookmarkStart w:id="1131" w:name="_Toc4661507"/>
      <w:r>
        <w:rPr>
          <w:rFonts w:hint="eastAsia" w:ascii="宋体" w:hAnsi="宋体" w:cs="宋体"/>
          <w:b w:val="0"/>
          <w:bCs w:val="0"/>
          <w:color w:val="auto"/>
          <w:sz w:val="21"/>
          <w:szCs w:val="21"/>
          <w:highlight w:val="none"/>
          <w:shd w:val="clear" w:color="auto" w:fill="FFFFFF"/>
        </w:rPr>
        <w:t>11.3  发包人的工期延误</w:t>
      </w:r>
      <w:bookmarkEnd w:id="1128"/>
      <w:bookmarkEnd w:id="1129"/>
      <w:bookmarkEnd w:id="1130"/>
      <w:bookmarkEnd w:id="1131"/>
    </w:p>
    <w:p w14:paraId="62E1EE1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在履行合同过程中，由于发包人的下列原因造成承包人关键线路工期延误的，承包人有权要求发包人延长工期和（或）增加费用，并支付合理利润。需要修订合同进度计划的，按照第10.2款的约定办理。</w:t>
      </w:r>
    </w:p>
    <w:p w14:paraId="59E7A9A0">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（1）增加合同工作内容；</w:t>
      </w:r>
    </w:p>
    <w:p w14:paraId="049CD77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（2）改变合同中任何一项工作的质量要求或其他特性；</w:t>
      </w:r>
    </w:p>
    <w:p w14:paraId="1652BD8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（3）发包人迟延提供材料、工程设备或变更交货地点的；</w:t>
      </w:r>
    </w:p>
    <w:p w14:paraId="7C83FE27">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（4）因发包人原因导致的暂停施工；</w:t>
      </w:r>
    </w:p>
    <w:p w14:paraId="66EE9AC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（5）提供图纸延误；</w:t>
      </w:r>
    </w:p>
    <w:p w14:paraId="3B44889A">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（6）未按合同约定及时支付预付款、进度款；</w:t>
      </w:r>
    </w:p>
    <w:p w14:paraId="234EDA1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（7）因发包人原因不能按照监理人发出的开工通知中载明的开工日期开工； </w:t>
      </w:r>
    </w:p>
    <w:p w14:paraId="0B7E801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（8）发包人造成工期延误的其他原因见合同条款专用部分。</w:t>
      </w:r>
    </w:p>
    <w:p w14:paraId="61B0299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32" w:name="_BookMark_177"/>
      <w:bookmarkEnd w:id="1132"/>
      <w:bookmarkStart w:id="1133" w:name="_Toc11089007"/>
      <w:bookmarkStart w:id="1134" w:name="_Toc4661508"/>
      <w:bookmarkStart w:id="1135" w:name="_Toc24372"/>
      <w:bookmarkStart w:id="1136" w:name="_Toc14866765"/>
      <w:r>
        <w:rPr>
          <w:rFonts w:hint="eastAsia" w:ascii="宋体" w:hAnsi="宋体" w:cs="宋体"/>
          <w:b w:val="0"/>
          <w:bCs w:val="0"/>
          <w:color w:val="auto"/>
          <w:sz w:val="21"/>
          <w:szCs w:val="21"/>
          <w:highlight w:val="none"/>
          <w:shd w:val="clear" w:color="auto" w:fill="FFFFFF"/>
        </w:rPr>
        <w:t>11.4  异常恶劣的气候条件</w:t>
      </w:r>
      <w:bookmarkEnd w:id="1133"/>
      <w:bookmarkEnd w:id="1134"/>
      <w:bookmarkEnd w:id="1135"/>
      <w:bookmarkEnd w:id="1136"/>
    </w:p>
    <w:p w14:paraId="789C2F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由于出现异常恶劣气候的条件导致工期延误的，承包人有权要求发包人延长工期。异常恶劣的气候条件的范围和标准见合同条款专用部分。</w:t>
      </w:r>
    </w:p>
    <w:p w14:paraId="4A02D12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37" w:name="_BookMark_178"/>
      <w:bookmarkEnd w:id="1137"/>
      <w:bookmarkStart w:id="1138" w:name="_Toc4661509"/>
      <w:bookmarkStart w:id="1139" w:name="_Toc28770"/>
      <w:bookmarkStart w:id="1140" w:name="_Toc14866766"/>
      <w:bookmarkStart w:id="1141" w:name="_Toc11089008"/>
      <w:r>
        <w:rPr>
          <w:rFonts w:hint="eastAsia" w:ascii="宋体" w:hAnsi="宋体" w:cs="宋体"/>
          <w:b w:val="0"/>
          <w:bCs w:val="0"/>
          <w:color w:val="auto"/>
          <w:sz w:val="21"/>
          <w:szCs w:val="21"/>
          <w:highlight w:val="none"/>
          <w:shd w:val="clear" w:color="auto" w:fill="FFFFFF"/>
        </w:rPr>
        <w:t>11.5  承包人的工期延误</w:t>
      </w:r>
      <w:bookmarkEnd w:id="1138"/>
      <w:bookmarkEnd w:id="1139"/>
      <w:bookmarkEnd w:id="1140"/>
      <w:bookmarkEnd w:id="1141"/>
    </w:p>
    <w:p w14:paraId="29C8233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11.5.1  由于承包人原因，未能按合同进度计划完成工作，或监理人认为承包人施工进度不能满足合同工期要求的，承包人应采取措施加快进度，并承担加快进度所增加的费用。</w:t>
      </w:r>
    </w:p>
    <w:p w14:paraId="2B02BF8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70B00FF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监理人未在规定的期限内发出本款约定的书面通知的，发包人丧失主张逾期竣工违约金的权利。</w:t>
      </w:r>
    </w:p>
    <w:p w14:paraId="4949F88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11.5.3  承包人支付逾期竣工违约金，不免除承包人完成工程及修补缺陷的义务。</w:t>
      </w:r>
    </w:p>
    <w:p w14:paraId="5A159AC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42" w:name="_BookMark_179"/>
      <w:bookmarkEnd w:id="1142"/>
      <w:bookmarkStart w:id="1143" w:name="_Toc14866767"/>
      <w:bookmarkStart w:id="1144" w:name="_Toc4661510"/>
      <w:bookmarkStart w:id="1145" w:name="_Toc19106"/>
      <w:bookmarkStart w:id="1146" w:name="_Toc11089009"/>
      <w:r>
        <w:rPr>
          <w:rFonts w:hint="eastAsia" w:ascii="宋体" w:hAnsi="宋体" w:cs="宋体"/>
          <w:b w:val="0"/>
          <w:bCs w:val="0"/>
          <w:color w:val="auto"/>
          <w:sz w:val="21"/>
          <w:szCs w:val="21"/>
          <w:highlight w:val="none"/>
          <w:shd w:val="clear" w:color="auto" w:fill="FFFFFF"/>
        </w:rPr>
        <w:t>11.6  工期提前</w:t>
      </w:r>
      <w:bookmarkEnd w:id="1143"/>
      <w:bookmarkEnd w:id="1144"/>
      <w:bookmarkEnd w:id="1145"/>
      <w:bookmarkEnd w:id="1146"/>
    </w:p>
    <w:p w14:paraId="19F4E28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发包人要求承包人提前竣工，或承包人提出提前竣工的建议能够给发包人带来效益的，应由监理人与承包人</w:t>
      </w:r>
      <w:r>
        <w:rPr>
          <w:rFonts w:hint="eastAsia" w:ascii="宋体" w:hAnsi="宋体" w:cs="宋体"/>
          <w:color w:val="auto"/>
          <w:kern w:val="0"/>
          <w:szCs w:val="21"/>
          <w:highlight w:val="none"/>
          <w:shd w:val="clear" w:color="auto" w:fill="FFFFFF"/>
          <w:lang w:eastAsia="zh-CN"/>
        </w:rPr>
        <w:t>协商</w:t>
      </w:r>
      <w:r>
        <w:rPr>
          <w:rFonts w:hint="eastAsia" w:ascii="宋体" w:hAnsi="宋体" w:cs="宋体"/>
          <w:color w:val="auto"/>
          <w:kern w:val="0"/>
          <w:szCs w:val="21"/>
          <w:highlight w:val="none"/>
          <w:shd w:val="clear" w:color="auto" w:fill="FFFFFF"/>
        </w:rPr>
        <w:t>采取加快工程进度的措施和修订合同进度计划。发包人应承担承包人由此增加的费用，并向承包人支付相应的奖金。提前竣工的奖励办法见合同条款专用部分。</w:t>
      </w:r>
    </w:p>
    <w:p w14:paraId="1971BE74">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147" w:name="_BookMark_180"/>
      <w:bookmarkEnd w:id="1147"/>
      <w:bookmarkStart w:id="1148" w:name="_Toc14866768"/>
      <w:bookmarkStart w:id="1149" w:name="_Toc25012"/>
      <w:bookmarkStart w:id="1150" w:name="_Toc4661511"/>
      <w:bookmarkStart w:id="1151" w:name="_Toc11089010"/>
      <w:r>
        <w:rPr>
          <w:rFonts w:hint="eastAsia" w:ascii="宋体" w:hAnsi="宋体"/>
          <w:b w:val="0"/>
          <w:bCs w:val="0"/>
          <w:color w:val="auto"/>
          <w:sz w:val="21"/>
          <w:szCs w:val="21"/>
          <w:highlight w:val="none"/>
          <w:shd w:val="clear" w:color="auto" w:fill="FFFFFF"/>
        </w:rPr>
        <w:t>12.暂停施工</w:t>
      </w:r>
      <w:bookmarkEnd w:id="1148"/>
      <w:bookmarkEnd w:id="1149"/>
      <w:bookmarkEnd w:id="1150"/>
      <w:bookmarkEnd w:id="1151"/>
    </w:p>
    <w:p w14:paraId="283433C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52" w:name="_BookMark_181"/>
      <w:bookmarkEnd w:id="1152"/>
      <w:bookmarkStart w:id="1153" w:name="_Toc14866769"/>
      <w:bookmarkStart w:id="1154" w:name="_Toc32122"/>
      <w:bookmarkStart w:id="1155" w:name="_Toc11089011"/>
      <w:bookmarkStart w:id="1156" w:name="_Toc4661512"/>
      <w:r>
        <w:rPr>
          <w:rFonts w:hint="eastAsia" w:ascii="宋体" w:hAnsi="宋体" w:cs="宋体"/>
          <w:b w:val="0"/>
          <w:bCs w:val="0"/>
          <w:color w:val="auto"/>
          <w:sz w:val="21"/>
          <w:szCs w:val="21"/>
          <w:highlight w:val="none"/>
          <w:shd w:val="clear" w:color="auto" w:fill="FFFFFF"/>
        </w:rPr>
        <w:t>12.1  承包人暂停施工的责任</w:t>
      </w:r>
      <w:bookmarkEnd w:id="1153"/>
      <w:bookmarkEnd w:id="1154"/>
      <w:bookmarkEnd w:id="1155"/>
      <w:bookmarkEnd w:id="1156"/>
    </w:p>
    <w:p w14:paraId="4C810CA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因下列情形暂停施工增加的费用和（或）工期延误由承包人承担：</w:t>
      </w:r>
    </w:p>
    <w:p w14:paraId="5501E88F">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（1）承包人违约引起的暂停施工；</w:t>
      </w:r>
    </w:p>
    <w:p w14:paraId="2F1ECDC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（2）由于承包人原因为工程合理施工和安全保障所必需的暂停施工；</w:t>
      </w:r>
    </w:p>
    <w:p w14:paraId="2CB0C9D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（3）承包人擅自暂停施工；</w:t>
      </w:r>
    </w:p>
    <w:p w14:paraId="2D4C300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（4）承包人承担暂停施工责任的其他情形见合同条款专用部分。</w:t>
      </w:r>
    </w:p>
    <w:p w14:paraId="0613940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57" w:name="_BookMark_182"/>
      <w:bookmarkEnd w:id="1157"/>
      <w:bookmarkStart w:id="1158" w:name="_Toc4661513"/>
      <w:bookmarkStart w:id="1159" w:name="_Toc20455"/>
      <w:bookmarkStart w:id="1160" w:name="_Toc14866770"/>
      <w:bookmarkStart w:id="1161" w:name="_Toc11089012"/>
      <w:r>
        <w:rPr>
          <w:rFonts w:hint="eastAsia" w:ascii="宋体" w:hAnsi="宋体" w:cs="宋体"/>
          <w:b w:val="0"/>
          <w:bCs w:val="0"/>
          <w:color w:val="auto"/>
          <w:sz w:val="21"/>
          <w:szCs w:val="21"/>
          <w:highlight w:val="none"/>
          <w:shd w:val="clear" w:color="auto" w:fill="FFFFFF"/>
        </w:rPr>
        <w:t>12.2  发包人暂停施工的责任</w:t>
      </w:r>
      <w:bookmarkEnd w:id="1158"/>
      <w:bookmarkEnd w:id="1159"/>
      <w:bookmarkEnd w:id="1160"/>
      <w:bookmarkEnd w:id="1161"/>
    </w:p>
    <w:p w14:paraId="47DBA59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由于发包人原因引起的暂停施工造成工期延误的，承包人有权要求发包人延长工期和（或）增加费用，并支付合理利润。</w:t>
      </w:r>
    </w:p>
    <w:p w14:paraId="79EA00E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62" w:name="_BookMark_183"/>
      <w:bookmarkEnd w:id="1162"/>
      <w:bookmarkStart w:id="1163" w:name="_Toc14866771"/>
      <w:bookmarkStart w:id="1164" w:name="_Toc19790"/>
      <w:bookmarkStart w:id="1165" w:name="_Toc4661514"/>
      <w:bookmarkStart w:id="1166" w:name="_Toc11089013"/>
      <w:r>
        <w:rPr>
          <w:rFonts w:hint="eastAsia" w:ascii="宋体" w:hAnsi="宋体" w:cs="宋体"/>
          <w:b w:val="0"/>
          <w:bCs w:val="0"/>
          <w:color w:val="auto"/>
          <w:sz w:val="21"/>
          <w:szCs w:val="21"/>
          <w:highlight w:val="none"/>
          <w:shd w:val="clear" w:color="auto" w:fill="FFFFFF"/>
        </w:rPr>
        <w:t>12.3  监理人暂停施工指示</w:t>
      </w:r>
      <w:bookmarkEnd w:id="1163"/>
      <w:bookmarkEnd w:id="1164"/>
      <w:bookmarkEnd w:id="1165"/>
      <w:bookmarkEnd w:id="1166"/>
    </w:p>
    <w:p w14:paraId="29D8A27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12.3.1  监理人认为有必要时，可向承包人作出暂停施工的指示，承包人应按监理人指示暂停施工。不论由于何种原因引起的暂停施工，暂停施工期间承包人应负责妥善保护工程并提供安全保障。</w:t>
      </w:r>
    </w:p>
    <w:p w14:paraId="16AC8F6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1676E35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67" w:name="_BookMark_184"/>
      <w:bookmarkEnd w:id="1167"/>
      <w:bookmarkStart w:id="1168" w:name="_Toc11089014"/>
      <w:bookmarkStart w:id="1169" w:name="_Toc1343"/>
      <w:bookmarkStart w:id="1170" w:name="_Toc14866772"/>
      <w:bookmarkStart w:id="1171" w:name="_Toc4661515"/>
      <w:r>
        <w:rPr>
          <w:rFonts w:hint="eastAsia" w:ascii="宋体" w:hAnsi="宋体" w:cs="宋体"/>
          <w:b w:val="0"/>
          <w:bCs w:val="0"/>
          <w:color w:val="auto"/>
          <w:sz w:val="21"/>
          <w:szCs w:val="21"/>
          <w:highlight w:val="none"/>
          <w:shd w:val="clear" w:color="auto" w:fill="FFFFFF"/>
        </w:rPr>
        <w:t>12.4  暂停施工后的复工</w:t>
      </w:r>
      <w:bookmarkEnd w:id="1168"/>
      <w:bookmarkEnd w:id="1169"/>
      <w:bookmarkEnd w:id="1170"/>
      <w:bookmarkEnd w:id="1171"/>
    </w:p>
    <w:p w14:paraId="3A4DCE3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2F61364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12.4.2  承包人无故拖延和拒绝复工的，由此增加的费用和工期延误由承包人承担；因发包人原因无法按时复工的，承包人有权要求发包人延长工期和（或）增加费用，并支付合理利润。</w:t>
      </w:r>
    </w:p>
    <w:p w14:paraId="42E3BC4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12.4.3  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11DBE2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6451884A">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72" w:name="_BookMark_185"/>
      <w:bookmarkEnd w:id="1172"/>
      <w:bookmarkStart w:id="1173" w:name="_Toc14866773"/>
      <w:bookmarkStart w:id="1174" w:name="_Toc4661516"/>
      <w:bookmarkStart w:id="1175" w:name="_Toc25193"/>
      <w:bookmarkStart w:id="1176" w:name="_Toc11089015"/>
      <w:r>
        <w:rPr>
          <w:rFonts w:hint="eastAsia" w:ascii="宋体" w:hAnsi="宋体" w:cs="宋体"/>
          <w:b w:val="0"/>
          <w:bCs w:val="0"/>
          <w:color w:val="auto"/>
          <w:sz w:val="21"/>
          <w:szCs w:val="21"/>
          <w:highlight w:val="none"/>
          <w:shd w:val="clear" w:color="auto" w:fill="FFFFFF"/>
        </w:rPr>
        <w:t>12.5  暂停施工持续56天以上</w:t>
      </w:r>
      <w:bookmarkEnd w:id="1173"/>
      <w:bookmarkEnd w:id="1174"/>
      <w:bookmarkEnd w:id="1175"/>
      <w:bookmarkEnd w:id="1176"/>
    </w:p>
    <w:p w14:paraId="6B29E48A">
      <w:pPr>
        <w:widowControl/>
        <w:snapToGrid w:val="0"/>
        <w:spacing w:line="360" w:lineRule="auto"/>
        <w:ind w:left="210" w:leftChars="100" w:firstLine="412"/>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1F0FA46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12.5.2  由于承包人责任引起的暂停施工，如承包人在收到监理人暂停施工指示后56天内不认真采取有效的复工措施，造成工期延误，可视为承包人违约，应按第22.1款的规定办理。</w:t>
      </w:r>
    </w:p>
    <w:p w14:paraId="3154FBBC">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177" w:name="_BookMark_186"/>
      <w:bookmarkEnd w:id="1177"/>
      <w:bookmarkStart w:id="1178" w:name="_Toc11089016"/>
      <w:bookmarkStart w:id="1179" w:name="_Toc14866774"/>
      <w:bookmarkStart w:id="1180" w:name="_Toc4661517"/>
      <w:bookmarkStart w:id="1181" w:name="_Toc15272"/>
      <w:r>
        <w:rPr>
          <w:rFonts w:hint="eastAsia" w:ascii="宋体" w:hAnsi="宋体"/>
          <w:b w:val="0"/>
          <w:bCs w:val="0"/>
          <w:color w:val="auto"/>
          <w:sz w:val="21"/>
          <w:szCs w:val="21"/>
          <w:highlight w:val="none"/>
          <w:shd w:val="clear" w:color="auto" w:fill="FFFFFF"/>
        </w:rPr>
        <w:t>13.工程质量</w:t>
      </w:r>
      <w:bookmarkEnd w:id="1178"/>
      <w:bookmarkEnd w:id="1179"/>
      <w:bookmarkEnd w:id="1180"/>
      <w:bookmarkEnd w:id="1181"/>
    </w:p>
    <w:p w14:paraId="1CBE5D0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82" w:name="_BookMark_187"/>
      <w:bookmarkEnd w:id="1182"/>
      <w:bookmarkStart w:id="1183" w:name="_Toc4661518"/>
      <w:bookmarkStart w:id="1184" w:name="_Toc7849"/>
      <w:bookmarkStart w:id="1185" w:name="_Toc14866775"/>
      <w:bookmarkStart w:id="1186" w:name="_Toc11089017"/>
      <w:r>
        <w:rPr>
          <w:rFonts w:hint="eastAsia" w:ascii="宋体" w:hAnsi="宋体" w:cs="宋体"/>
          <w:b w:val="0"/>
          <w:bCs w:val="0"/>
          <w:color w:val="auto"/>
          <w:sz w:val="21"/>
          <w:szCs w:val="21"/>
          <w:highlight w:val="none"/>
          <w:shd w:val="clear" w:color="auto" w:fill="FFFFFF"/>
        </w:rPr>
        <w:t>13.1  工程质量要求</w:t>
      </w:r>
      <w:bookmarkEnd w:id="1183"/>
      <w:bookmarkEnd w:id="1184"/>
      <w:bookmarkEnd w:id="1185"/>
      <w:bookmarkEnd w:id="1186"/>
    </w:p>
    <w:p w14:paraId="041B2BF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13.1.1  工程质量验收按合同约定验收标准执行。</w:t>
      </w:r>
    </w:p>
    <w:p w14:paraId="6096051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13.1.2  因承包人原因造成工程质量达不到合同约定验收标准的，监理人有权要求承包人返工直至符合合同要求为止，由此造成的费用增加和（或）工期延误由承包人承担。</w:t>
      </w:r>
    </w:p>
    <w:p w14:paraId="747067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13.1.3  因发包人原因造成工程质量达不到合同约定验收标准的，发包人应承担由于承包人返工造成的费用增加和（或）工期延误，并支付承包人合理利润。</w:t>
      </w:r>
    </w:p>
    <w:p w14:paraId="3ED0E07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87" w:name="_BookMark_188"/>
      <w:bookmarkEnd w:id="1187"/>
      <w:bookmarkStart w:id="1188" w:name="_Toc11089018"/>
      <w:bookmarkStart w:id="1189" w:name="_Toc14866776"/>
      <w:bookmarkStart w:id="1190" w:name="_Toc9883"/>
      <w:bookmarkStart w:id="1191" w:name="_Toc4661519"/>
      <w:r>
        <w:rPr>
          <w:rFonts w:hint="eastAsia" w:ascii="宋体" w:hAnsi="宋体" w:cs="宋体"/>
          <w:b w:val="0"/>
          <w:bCs w:val="0"/>
          <w:color w:val="auto"/>
          <w:sz w:val="21"/>
          <w:szCs w:val="21"/>
          <w:highlight w:val="none"/>
          <w:shd w:val="clear" w:color="auto" w:fill="FFFFFF"/>
        </w:rPr>
        <w:t>13.2  承包人的质量管理</w:t>
      </w:r>
      <w:bookmarkEnd w:id="1188"/>
      <w:bookmarkEnd w:id="1189"/>
      <w:bookmarkEnd w:id="1190"/>
      <w:bookmarkEnd w:id="1191"/>
    </w:p>
    <w:p w14:paraId="7BDC849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0F0AB10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13.2.2  承包人应加强对施工人员的质量教育和技术培训，定期考核施工人员的劳动技能，严格执行规范和操作规程。</w:t>
      </w:r>
    </w:p>
    <w:p w14:paraId="23F5F3E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92" w:name="_BookMark_189"/>
      <w:bookmarkEnd w:id="1192"/>
      <w:bookmarkStart w:id="1193" w:name="_Toc17487"/>
      <w:bookmarkStart w:id="1194" w:name="_Toc4661520"/>
      <w:bookmarkStart w:id="1195" w:name="_Toc11089019"/>
      <w:bookmarkStart w:id="1196" w:name="_Toc14866777"/>
      <w:r>
        <w:rPr>
          <w:rFonts w:hint="eastAsia" w:ascii="宋体" w:hAnsi="宋体" w:cs="宋体"/>
          <w:b w:val="0"/>
          <w:bCs w:val="0"/>
          <w:color w:val="auto"/>
          <w:sz w:val="21"/>
          <w:szCs w:val="21"/>
          <w:highlight w:val="none"/>
          <w:shd w:val="clear" w:color="auto" w:fill="FFFFFF"/>
        </w:rPr>
        <w:t>13.3  承包人的质量检查</w:t>
      </w:r>
      <w:bookmarkEnd w:id="1193"/>
      <w:bookmarkEnd w:id="1194"/>
      <w:bookmarkEnd w:id="1195"/>
      <w:bookmarkEnd w:id="1196"/>
    </w:p>
    <w:p w14:paraId="416E7E0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43760FA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197" w:name="_BookMark_190"/>
      <w:bookmarkEnd w:id="1197"/>
      <w:bookmarkStart w:id="1198" w:name="_Toc4661521"/>
      <w:bookmarkStart w:id="1199" w:name="_Toc14866778"/>
      <w:bookmarkStart w:id="1200" w:name="_Toc12615"/>
      <w:bookmarkStart w:id="1201" w:name="_Toc11089020"/>
      <w:r>
        <w:rPr>
          <w:rFonts w:hint="eastAsia" w:ascii="宋体" w:hAnsi="宋体" w:cs="宋体"/>
          <w:b w:val="0"/>
          <w:bCs w:val="0"/>
          <w:color w:val="auto"/>
          <w:sz w:val="21"/>
          <w:szCs w:val="21"/>
          <w:highlight w:val="none"/>
          <w:shd w:val="clear" w:color="auto" w:fill="FFFFFF"/>
        </w:rPr>
        <w:t>13.4  监理人的质量检查</w:t>
      </w:r>
      <w:bookmarkEnd w:id="1198"/>
      <w:bookmarkEnd w:id="1199"/>
      <w:bookmarkEnd w:id="1200"/>
      <w:bookmarkEnd w:id="1201"/>
    </w:p>
    <w:p w14:paraId="4BA838C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037A0BF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02" w:name="_BookMark_191"/>
      <w:bookmarkEnd w:id="1202"/>
      <w:bookmarkStart w:id="1203" w:name="_Toc11089021"/>
      <w:bookmarkStart w:id="1204" w:name="_Toc4661522"/>
      <w:bookmarkStart w:id="1205" w:name="_Toc9241"/>
      <w:bookmarkStart w:id="1206" w:name="_Toc14866779"/>
      <w:r>
        <w:rPr>
          <w:rFonts w:hint="eastAsia" w:ascii="宋体" w:hAnsi="宋体" w:cs="宋体"/>
          <w:b w:val="0"/>
          <w:bCs w:val="0"/>
          <w:color w:val="auto"/>
          <w:sz w:val="21"/>
          <w:szCs w:val="21"/>
          <w:highlight w:val="none"/>
          <w:shd w:val="clear" w:color="auto" w:fill="FFFFFF"/>
        </w:rPr>
        <w:t>13.5  工程隐蔽部位覆盖前的检查</w:t>
      </w:r>
      <w:bookmarkEnd w:id="1203"/>
      <w:bookmarkEnd w:id="1204"/>
      <w:bookmarkEnd w:id="1205"/>
      <w:bookmarkEnd w:id="1206"/>
    </w:p>
    <w:p w14:paraId="70CA53B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13.5.1  通知监理人检查</w:t>
      </w:r>
    </w:p>
    <w:p w14:paraId="557C926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20F79C9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13.5.2  监理人未到场检查</w:t>
      </w:r>
    </w:p>
    <w:p w14:paraId="1E0B461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08F7057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13.5.3  监理人重新检查</w:t>
      </w:r>
    </w:p>
    <w:p w14:paraId="7128693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83A6B8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13.5.4  承包人私自覆盖</w:t>
      </w:r>
    </w:p>
    <w:p w14:paraId="2FE4C7D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承包人未通知监理人到场检查，私自将工程隐蔽部位覆盖的，监理人有权指示承包人钻孔探测或揭开检查，由此增加的费用和（或）工期延误由承包人承担。</w:t>
      </w:r>
    </w:p>
    <w:p w14:paraId="30EF401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07" w:name="_BookMark_192"/>
      <w:bookmarkEnd w:id="1207"/>
      <w:bookmarkStart w:id="1208" w:name="_Toc11089022"/>
      <w:bookmarkStart w:id="1209" w:name="_Toc15014"/>
      <w:bookmarkStart w:id="1210" w:name="_Toc14866780"/>
      <w:bookmarkStart w:id="1211" w:name="_Toc4661523"/>
      <w:r>
        <w:rPr>
          <w:rFonts w:hint="eastAsia" w:ascii="宋体" w:hAnsi="宋体" w:cs="宋体"/>
          <w:b w:val="0"/>
          <w:bCs w:val="0"/>
          <w:color w:val="auto"/>
          <w:sz w:val="21"/>
          <w:szCs w:val="21"/>
          <w:highlight w:val="none"/>
          <w:shd w:val="clear" w:color="auto" w:fill="FFFFFF"/>
        </w:rPr>
        <w:t>13.6  清除不合格工程</w:t>
      </w:r>
      <w:bookmarkEnd w:id="1208"/>
      <w:bookmarkEnd w:id="1209"/>
      <w:bookmarkEnd w:id="1210"/>
      <w:bookmarkEnd w:id="1211"/>
    </w:p>
    <w:p w14:paraId="4912A8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637C214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13.6.2  由于发包人提供的材料或工程设备不合格造成的工程不合格，需要承包人采取措施补救的，发包人应承担由此增加的费用和（或）工期延误，并支付承包人合理利润。</w:t>
      </w:r>
    </w:p>
    <w:p w14:paraId="50B31E9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12" w:name="_BookMark_193"/>
      <w:bookmarkEnd w:id="1212"/>
      <w:bookmarkStart w:id="1213" w:name="_Toc14866781"/>
      <w:bookmarkStart w:id="1214" w:name="_Toc4661524"/>
      <w:bookmarkStart w:id="1215" w:name="_Toc11089023"/>
      <w:bookmarkStart w:id="1216" w:name="_Toc5475"/>
      <w:r>
        <w:rPr>
          <w:rFonts w:hint="eastAsia" w:ascii="宋体" w:hAnsi="宋体" w:cs="宋体"/>
          <w:b w:val="0"/>
          <w:bCs w:val="0"/>
          <w:color w:val="auto"/>
          <w:sz w:val="21"/>
          <w:szCs w:val="21"/>
          <w:highlight w:val="none"/>
          <w:shd w:val="clear" w:color="auto" w:fill="FFFFFF"/>
        </w:rPr>
        <w:t>13.7  质量争议</w:t>
      </w:r>
      <w:bookmarkEnd w:id="1213"/>
      <w:bookmarkEnd w:id="1214"/>
      <w:bookmarkEnd w:id="1215"/>
      <w:bookmarkEnd w:id="1216"/>
    </w:p>
    <w:p w14:paraId="5A29480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EB9E284">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17" w:name="_BookMark_194"/>
      <w:bookmarkEnd w:id="1217"/>
      <w:bookmarkStart w:id="1218" w:name="_Toc4661525"/>
      <w:bookmarkStart w:id="1219" w:name="_Toc14866782"/>
      <w:bookmarkStart w:id="1220" w:name="_Toc10162"/>
      <w:bookmarkStart w:id="1221" w:name="_Toc11089024"/>
      <w:r>
        <w:rPr>
          <w:rFonts w:hint="eastAsia" w:ascii="宋体" w:hAnsi="宋体"/>
          <w:b w:val="0"/>
          <w:bCs w:val="0"/>
          <w:color w:val="auto"/>
          <w:sz w:val="21"/>
          <w:szCs w:val="21"/>
          <w:highlight w:val="none"/>
          <w:shd w:val="clear" w:color="auto" w:fill="FFFFFF"/>
        </w:rPr>
        <w:t>14.试验和检验</w:t>
      </w:r>
      <w:bookmarkEnd w:id="1218"/>
      <w:bookmarkEnd w:id="1219"/>
      <w:bookmarkEnd w:id="1220"/>
      <w:bookmarkEnd w:id="1221"/>
    </w:p>
    <w:p w14:paraId="1BD86E1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22" w:name="_BookMark_195"/>
      <w:bookmarkEnd w:id="1222"/>
      <w:bookmarkStart w:id="1223" w:name="_Toc20517"/>
      <w:bookmarkStart w:id="1224" w:name="_Toc11089025"/>
      <w:bookmarkStart w:id="1225" w:name="_Toc4661526"/>
      <w:bookmarkStart w:id="1226" w:name="_Toc14866783"/>
      <w:r>
        <w:rPr>
          <w:rFonts w:hint="eastAsia" w:ascii="宋体" w:hAnsi="宋体" w:cs="宋体"/>
          <w:b w:val="0"/>
          <w:bCs w:val="0"/>
          <w:color w:val="auto"/>
          <w:sz w:val="21"/>
          <w:szCs w:val="21"/>
          <w:highlight w:val="none"/>
          <w:shd w:val="clear" w:color="auto" w:fill="FFFFFF"/>
        </w:rPr>
        <w:t>14.1  材料、工程设备和工程的试验和检验</w:t>
      </w:r>
      <w:bookmarkEnd w:id="1223"/>
      <w:bookmarkEnd w:id="1224"/>
      <w:bookmarkEnd w:id="1225"/>
      <w:bookmarkEnd w:id="1226"/>
    </w:p>
    <w:p w14:paraId="3CB8E82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168422E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14.1.2  监理人未按合同约定派员参加试验和检验的，除监理人另有指示外，承包人可自行试验和检验，并应立即将试验和检验结果报送监理人，监理人应签字确认。</w:t>
      </w:r>
    </w:p>
    <w:p w14:paraId="056A3CE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6B5FB28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27" w:name="_BookMark_196"/>
      <w:bookmarkEnd w:id="1227"/>
      <w:bookmarkStart w:id="1228" w:name="_Toc11089026"/>
      <w:bookmarkStart w:id="1229" w:name="_Toc9177"/>
      <w:bookmarkStart w:id="1230" w:name="_Toc14866784"/>
      <w:bookmarkStart w:id="1231" w:name="_Toc4661527"/>
      <w:r>
        <w:rPr>
          <w:rFonts w:hint="eastAsia" w:ascii="宋体" w:hAnsi="宋体" w:cs="宋体"/>
          <w:b w:val="0"/>
          <w:bCs w:val="0"/>
          <w:color w:val="auto"/>
          <w:sz w:val="21"/>
          <w:szCs w:val="21"/>
          <w:highlight w:val="none"/>
          <w:shd w:val="clear" w:color="auto" w:fill="FFFFFF"/>
        </w:rPr>
        <w:t>14.2  现场材料试验</w:t>
      </w:r>
      <w:bookmarkEnd w:id="1228"/>
      <w:bookmarkEnd w:id="1229"/>
      <w:bookmarkEnd w:id="1230"/>
      <w:bookmarkEnd w:id="1231"/>
    </w:p>
    <w:p w14:paraId="40363CE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14.2.1  承包人根据合同约定或监理人指示进行的现场材料试验，应由承包人提供试验场所、试验人员、试验设备器材以及其他必要的试验条件。</w:t>
      </w:r>
    </w:p>
    <w:p w14:paraId="2C8E624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14.2.2  监理人在必要时可以使用承包人的试验场所、试验设备器材以及其他试验条件，进行以工程质量检查为目的的复核性材料试验，承包人应予以协助。</w:t>
      </w:r>
    </w:p>
    <w:p w14:paraId="18DC5FEE">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32" w:name="_BookMark_197"/>
      <w:bookmarkEnd w:id="1232"/>
      <w:bookmarkStart w:id="1233" w:name="_Toc14866785"/>
      <w:bookmarkStart w:id="1234" w:name="_Toc4661528"/>
      <w:bookmarkStart w:id="1235" w:name="_Toc16389"/>
      <w:bookmarkStart w:id="1236" w:name="_Toc11089027"/>
      <w:r>
        <w:rPr>
          <w:rFonts w:hint="eastAsia" w:ascii="宋体" w:hAnsi="宋体" w:cs="宋体"/>
          <w:b w:val="0"/>
          <w:bCs w:val="0"/>
          <w:color w:val="auto"/>
          <w:sz w:val="21"/>
          <w:szCs w:val="21"/>
          <w:highlight w:val="none"/>
          <w:shd w:val="clear" w:color="auto" w:fill="FFFFFF"/>
        </w:rPr>
        <w:t>14.3  现场工艺试验</w:t>
      </w:r>
      <w:bookmarkEnd w:id="1233"/>
      <w:bookmarkEnd w:id="1234"/>
      <w:bookmarkEnd w:id="1235"/>
      <w:bookmarkEnd w:id="1236"/>
    </w:p>
    <w:p w14:paraId="65C6C61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承包人应按合同约定或监理人指示进行现场工艺试验。对大型的现场工艺试验，监理人认为必要时，应由承包人根据监理人提出的工艺试验要求，编制工艺试验措施计划，报送监理人审批。</w:t>
      </w:r>
    </w:p>
    <w:p w14:paraId="62E99DED">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37" w:name="_BookMark_198"/>
      <w:bookmarkEnd w:id="1237"/>
      <w:bookmarkStart w:id="1238" w:name="_Toc4661529"/>
      <w:bookmarkStart w:id="1239" w:name="_Toc11089028"/>
      <w:bookmarkStart w:id="1240" w:name="_Toc27221"/>
      <w:bookmarkStart w:id="1241" w:name="_Toc14866786"/>
      <w:r>
        <w:rPr>
          <w:rFonts w:hint="eastAsia" w:ascii="宋体" w:hAnsi="宋体"/>
          <w:b w:val="0"/>
          <w:bCs w:val="0"/>
          <w:color w:val="auto"/>
          <w:sz w:val="21"/>
          <w:szCs w:val="21"/>
          <w:highlight w:val="none"/>
          <w:shd w:val="clear" w:color="auto" w:fill="FFFFFF"/>
        </w:rPr>
        <w:t>15.变更</w:t>
      </w:r>
      <w:bookmarkEnd w:id="1238"/>
      <w:bookmarkEnd w:id="1239"/>
      <w:bookmarkEnd w:id="1240"/>
      <w:bookmarkEnd w:id="1241"/>
    </w:p>
    <w:p w14:paraId="6B46EBF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42" w:name="_BookMark_199"/>
      <w:bookmarkEnd w:id="1242"/>
      <w:bookmarkStart w:id="1243" w:name="_Toc24793"/>
      <w:bookmarkStart w:id="1244" w:name="_Toc11089029"/>
      <w:bookmarkStart w:id="1245" w:name="_Toc14866787"/>
      <w:bookmarkStart w:id="1246" w:name="_Toc4661530"/>
      <w:r>
        <w:rPr>
          <w:rFonts w:hint="eastAsia" w:ascii="宋体" w:hAnsi="宋体" w:cs="宋体"/>
          <w:b w:val="0"/>
          <w:bCs w:val="0"/>
          <w:color w:val="auto"/>
          <w:sz w:val="21"/>
          <w:szCs w:val="21"/>
          <w:highlight w:val="none"/>
          <w:shd w:val="clear" w:color="auto" w:fill="FFFFFF"/>
        </w:rPr>
        <w:t>15.1  变更的范围和内容</w:t>
      </w:r>
      <w:bookmarkEnd w:id="1243"/>
      <w:bookmarkEnd w:id="1244"/>
      <w:bookmarkEnd w:id="1245"/>
      <w:bookmarkEnd w:id="1246"/>
    </w:p>
    <w:p w14:paraId="675DBD0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15.1.1  在履行合同中发生以下情形之一，应按照本条规定进行变更。</w:t>
      </w:r>
    </w:p>
    <w:p w14:paraId="580D3CF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（1）取消合同中任何一项工作，但被取消的工作不能转由发包人或其他人实施；</w:t>
      </w:r>
    </w:p>
    <w:p w14:paraId="64CD5420">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（2）改变合同中任何一项工作的质量或其他特性；</w:t>
      </w:r>
    </w:p>
    <w:p w14:paraId="58141356">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（3）改变合同工程的基线、标高、位置或尺寸；</w:t>
      </w:r>
    </w:p>
    <w:p w14:paraId="6EE93D50">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（4）改变合同中任何一项工作的施工时间或改变已批准的施工工艺或顺序；</w:t>
      </w:r>
    </w:p>
    <w:p w14:paraId="396F818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（5）为完成工程需要追加的额外工作；</w:t>
      </w:r>
    </w:p>
    <w:p w14:paraId="3C48BF4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（6）变更的其他情形见合同条款专用部分。</w:t>
      </w:r>
    </w:p>
    <w:p w14:paraId="31B8BAD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23.1（1）项的约定，在上述28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4C43141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47" w:name="_BookMark_200"/>
      <w:bookmarkEnd w:id="1247"/>
      <w:bookmarkStart w:id="1248" w:name="_Toc14866788"/>
      <w:bookmarkStart w:id="1249" w:name="_Toc4661531"/>
      <w:bookmarkStart w:id="1250" w:name="_Toc11089030"/>
      <w:bookmarkStart w:id="1251" w:name="_Toc1824"/>
      <w:r>
        <w:rPr>
          <w:rFonts w:hint="eastAsia" w:ascii="宋体" w:hAnsi="宋体" w:cs="宋体"/>
          <w:b w:val="0"/>
          <w:bCs w:val="0"/>
          <w:color w:val="auto"/>
          <w:sz w:val="21"/>
          <w:szCs w:val="21"/>
          <w:highlight w:val="none"/>
          <w:shd w:val="clear" w:color="auto" w:fill="FFFFFF"/>
        </w:rPr>
        <w:t>15.2  变更权</w:t>
      </w:r>
      <w:bookmarkEnd w:id="1248"/>
      <w:bookmarkEnd w:id="1249"/>
      <w:bookmarkEnd w:id="1250"/>
      <w:bookmarkEnd w:id="1251"/>
    </w:p>
    <w:p w14:paraId="2EACD5A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在履行合同过程中，经发包人同意，监理人可按第15.3款约定的变更程序向承包人作出变更指示，承包人应遵照执行。没有监理人的变更指示，承包人不得擅自变更。</w:t>
      </w:r>
    </w:p>
    <w:p w14:paraId="4456AD4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52" w:name="_BookMark_201"/>
      <w:bookmarkEnd w:id="1252"/>
      <w:bookmarkStart w:id="1253" w:name="_Toc14866789"/>
      <w:bookmarkStart w:id="1254" w:name="_Toc11089031"/>
      <w:bookmarkStart w:id="1255" w:name="_Toc4661532"/>
      <w:bookmarkStart w:id="1256" w:name="_Toc30791"/>
      <w:r>
        <w:rPr>
          <w:rFonts w:hint="eastAsia" w:ascii="宋体" w:hAnsi="宋体" w:cs="宋体"/>
          <w:b w:val="0"/>
          <w:bCs w:val="0"/>
          <w:color w:val="auto"/>
          <w:sz w:val="21"/>
          <w:szCs w:val="21"/>
          <w:highlight w:val="none"/>
          <w:shd w:val="clear" w:color="auto" w:fill="FFFFFF"/>
        </w:rPr>
        <w:t>15.3  变更程序</w:t>
      </w:r>
      <w:bookmarkEnd w:id="1253"/>
      <w:bookmarkEnd w:id="1254"/>
      <w:bookmarkEnd w:id="1255"/>
      <w:bookmarkEnd w:id="1256"/>
    </w:p>
    <w:p w14:paraId="16515FF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15.3.1  变更的提出</w:t>
      </w:r>
    </w:p>
    <w:p w14:paraId="7912E5A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464B5A51">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（2）在合同履行过程中，发生第15.1.1项约定情形的，监理人应按照第15.3.3项约定向承包人发出变更指示。</w:t>
      </w:r>
    </w:p>
    <w:p w14:paraId="5DD38217">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收到监理人按合同约定发出的图纸和文件，经检查认为其中存在第15.1.1项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6A03C90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（4）若承包人收到监理人的变更意向书后认为难以实施此项变更，应立即通知监理人，说明原因并附详细依据。监理人与承包人和发包人协商后确定撤销、改变或不改变原变更意向书。</w:t>
      </w:r>
    </w:p>
    <w:p w14:paraId="154840B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15.3.2  变更估价</w:t>
      </w:r>
    </w:p>
    <w:p w14:paraId="32C45407">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见合同条款专用部分。</w:t>
      </w:r>
    </w:p>
    <w:p w14:paraId="3496EAA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（2）变更工作影响工期的，承包人应提出调整工期的具体细节。监理人认为有必要时，可要求承包人提交要求提前或延长工期的施工进度计划，及相应施工措施等详细资料。</w:t>
      </w:r>
    </w:p>
    <w:p w14:paraId="118B6EF8">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（3）除合同条款专用部分对期限另有约定外，监理人收到承包人变更报价书后的14天内，根据第15.4款约定的估价原则，按照第3.5款商定或确定变更价格。监理人商定或确定变更价格的期限见合同条款专用部分。</w:t>
      </w:r>
    </w:p>
    <w:p w14:paraId="498C8CF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（4）收到变更指示后，如承包人未在规定的期限内提交变更报价书的，监理人可自行决定是否调整合同价款以及如果监理人决定调整合同价款时，相应调整的具体金额。</w:t>
      </w:r>
    </w:p>
    <w:p w14:paraId="0DAD5E5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15.3.3  变更指示</w:t>
      </w:r>
    </w:p>
    <w:p w14:paraId="23F72E4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（1）变更指示只能由监理人发出。</w:t>
      </w:r>
    </w:p>
    <w:p w14:paraId="212B6E8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（2）变更指示应说明变更的目的、范围、变更内容以及变更的工程量及其进度和技术要求，并附有关图纸和文件。承包人收到变更指示后，应按变更指示进行变更工作。</w:t>
      </w:r>
    </w:p>
    <w:p w14:paraId="3BE09BC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57" w:name="_BookMark_202"/>
      <w:bookmarkEnd w:id="1257"/>
      <w:bookmarkStart w:id="1258" w:name="_Toc14866790"/>
      <w:bookmarkStart w:id="1259" w:name="_Toc11089032"/>
      <w:bookmarkStart w:id="1260" w:name="_Toc13455"/>
      <w:bookmarkStart w:id="1261" w:name="_Toc4661533"/>
      <w:r>
        <w:rPr>
          <w:rFonts w:hint="eastAsia" w:ascii="宋体" w:hAnsi="宋体" w:cs="宋体"/>
          <w:b w:val="0"/>
          <w:bCs w:val="0"/>
          <w:color w:val="auto"/>
          <w:sz w:val="21"/>
          <w:szCs w:val="21"/>
          <w:highlight w:val="none"/>
          <w:shd w:val="clear" w:color="auto" w:fill="FFFFFF"/>
        </w:rPr>
        <w:t>15.4  变更的估价原则</w:t>
      </w:r>
      <w:bookmarkEnd w:id="1258"/>
      <w:bookmarkEnd w:id="1259"/>
      <w:bookmarkEnd w:id="1260"/>
      <w:bookmarkEnd w:id="1261"/>
    </w:p>
    <w:p w14:paraId="3C237F1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因工程量清单漏项（仅适用于合同协议书约定采用单价合同形式时）或变更引起的价格调整按照本款约定处理。</w:t>
      </w:r>
    </w:p>
    <w:p w14:paraId="6688DB9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15.4.1  已标价工程量清单中有适用于变更工作的子目的，采用该子目的单价。</w:t>
      </w:r>
    </w:p>
    <w:p w14:paraId="5A21A6B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15.4.2  已标价工程量清单中无适用于变更工作的子目，但有类似子目的，可在合理范围内参照类似子目的单价，由监理人按第3.5款商定或确定变更工作的单价。</w:t>
      </w:r>
    </w:p>
    <w:p w14:paraId="17D6CED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15.4.3  已标价工程量清单中无适用或类似子目的单价，可按照成本加利润的原则，由监理人按第3.5款商定或确定变更工作的单价。</w:t>
      </w:r>
    </w:p>
    <w:p w14:paraId="12F72EC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16D966B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3F66331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15.4.6  因变更引起价格调整的其他处理方式见合同条款专用部分。</w:t>
      </w:r>
    </w:p>
    <w:p w14:paraId="6CC60D3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62" w:name="_BookMark_203"/>
      <w:bookmarkEnd w:id="1262"/>
      <w:bookmarkStart w:id="1263" w:name="_Toc4661534"/>
      <w:bookmarkStart w:id="1264" w:name="_Toc11089033"/>
      <w:bookmarkStart w:id="1265" w:name="_Toc23916"/>
      <w:bookmarkStart w:id="1266" w:name="_Toc14866791"/>
      <w:r>
        <w:rPr>
          <w:rFonts w:hint="eastAsia" w:ascii="宋体" w:hAnsi="宋体" w:cs="宋体"/>
          <w:b w:val="0"/>
          <w:bCs w:val="0"/>
          <w:color w:val="auto"/>
          <w:sz w:val="21"/>
          <w:szCs w:val="21"/>
          <w:highlight w:val="none"/>
          <w:shd w:val="clear" w:color="auto" w:fill="FFFFFF"/>
        </w:rPr>
        <w:t>15.5  承包人的合理化建议</w:t>
      </w:r>
      <w:bookmarkEnd w:id="1263"/>
      <w:bookmarkEnd w:id="1264"/>
      <w:bookmarkEnd w:id="1265"/>
      <w:bookmarkEnd w:id="1266"/>
    </w:p>
    <w:p w14:paraId="7A43BB9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6350F25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15.5.2  承包人提出的合理化建议降低了合同价格、缩短了工期或者提高了工程经济效益的，发包人可按国家有关规定给予奖励。对承包人提出合理化建议的奖励方法见合同条款专用部分。</w:t>
      </w:r>
    </w:p>
    <w:p w14:paraId="78FF783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67" w:name="_BookMark_204"/>
      <w:bookmarkEnd w:id="1267"/>
      <w:bookmarkStart w:id="1268" w:name="_Toc14866792"/>
      <w:bookmarkStart w:id="1269" w:name="_Toc4661535"/>
      <w:bookmarkStart w:id="1270" w:name="_Toc11089034"/>
      <w:bookmarkStart w:id="1271" w:name="_Toc25320"/>
      <w:r>
        <w:rPr>
          <w:rFonts w:hint="eastAsia" w:ascii="宋体" w:hAnsi="宋体" w:cs="宋体"/>
          <w:b w:val="0"/>
          <w:bCs w:val="0"/>
          <w:color w:val="auto"/>
          <w:sz w:val="21"/>
          <w:szCs w:val="21"/>
          <w:highlight w:val="none"/>
          <w:shd w:val="clear" w:color="auto" w:fill="FFFFFF"/>
        </w:rPr>
        <w:t>15.6  暂列金额</w:t>
      </w:r>
      <w:bookmarkEnd w:id="1268"/>
      <w:bookmarkEnd w:id="1269"/>
      <w:bookmarkEnd w:id="1270"/>
      <w:bookmarkEnd w:id="1271"/>
    </w:p>
    <w:p w14:paraId="2DAD61A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暂列金额只能按照监理人的指示使用，并对合同价格进行相应调整。</w:t>
      </w:r>
    </w:p>
    <w:p w14:paraId="078BF3C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72" w:name="_BookMark_205"/>
      <w:bookmarkEnd w:id="1272"/>
      <w:bookmarkStart w:id="1273" w:name="_Toc14866793"/>
      <w:bookmarkStart w:id="1274" w:name="_Toc11089035"/>
      <w:bookmarkStart w:id="1275" w:name="_Toc4661536"/>
      <w:bookmarkStart w:id="1276" w:name="_Toc18093"/>
      <w:r>
        <w:rPr>
          <w:rFonts w:hint="eastAsia" w:ascii="宋体" w:hAnsi="宋体" w:cs="宋体"/>
          <w:b w:val="0"/>
          <w:bCs w:val="0"/>
          <w:color w:val="auto"/>
          <w:sz w:val="21"/>
          <w:szCs w:val="21"/>
          <w:highlight w:val="none"/>
          <w:shd w:val="clear" w:color="auto" w:fill="FFFFFF"/>
        </w:rPr>
        <w:t>15.7  计日工</w:t>
      </w:r>
      <w:bookmarkEnd w:id="1273"/>
      <w:bookmarkEnd w:id="1274"/>
      <w:bookmarkEnd w:id="1275"/>
      <w:bookmarkEnd w:id="1276"/>
    </w:p>
    <w:p w14:paraId="63C488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15.7.1  发包人认为有必要时，由监理人通知承包人以计日工方式实施变更的零星工作。其价款按列入已标价工程量清单中的计日工计价子目及其单价进行计算。</w:t>
      </w:r>
    </w:p>
    <w:p w14:paraId="557BE9D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15.7.2  采用计日工计价的任何一项变更工作，应从暂列金额中支付，承包人应在该项变更的实施过程中，每天提交以下报表和有关凭证报送监理人审批：</w:t>
      </w:r>
    </w:p>
    <w:p w14:paraId="421C9DC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（1）工作名称、内容和数量；</w:t>
      </w:r>
    </w:p>
    <w:p w14:paraId="031801B4">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（2）投入该工作所有人员的姓名、工种、级别和耗用工时；</w:t>
      </w:r>
    </w:p>
    <w:p w14:paraId="2A0A4BC1">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（3）投入该工作的材料类别和数量；</w:t>
      </w:r>
    </w:p>
    <w:p w14:paraId="0CBD9A9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（4）投入该工作的施工设备型号、台数和耗用台时；</w:t>
      </w:r>
    </w:p>
    <w:p w14:paraId="5FF5547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（5）监理人要求提交的其他资料和凭证。</w:t>
      </w:r>
    </w:p>
    <w:p w14:paraId="42C4B07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15.7.3  计日工由承包人汇总后，按第17.3.2项的约定列入进度付款申请单，由监理人复核并经发包人同意后列入进度付款。</w:t>
      </w:r>
    </w:p>
    <w:p w14:paraId="07E511E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77" w:name="_BookMark_206"/>
      <w:bookmarkEnd w:id="1277"/>
      <w:bookmarkStart w:id="1278" w:name="_Toc4661537"/>
      <w:bookmarkStart w:id="1279" w:name="_Toc8547"/>
      <w:bookmarkStart w:id="1280" w:name="_Toc14866794"/>
      <w:bookmarkStart w:id="1281" w:name="_Toc11089036"/>
      <w:r>
        <w:rPr>
          <w:rFonts w:hint="eastAsia" w:ascii="宋体" w:hAnsi="宋体" w:cs="宋体"/>
          <w:b w:val="0"/>
          <w:bCs w:val="0"/>
          <w:color w:val="auto"/>
          <w:sz w:val="21"/>
          <w:szCs w:val="21"/>
          <w:highlight w:val="none"/>
          <w:shd w:val="clear" w:color="auto" w:fill="FFFFFF"/>
        </w:rPr>
        <w:t>15.8  暂估价</w:t>
      </w:r>
      <w:bookmarkEnd w:id="1278"/>
      <w:bookmarkEnd w:id="1279"/>
      <w:bookmarkEnd w:id="1280"/>
      <w:bookmarkEnd w:id="1281"/>
    </w:p>
    <w:p w14:paraId="17F07C3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 </w:t>
      </w:r>
    </w:p>
    <w:p w14:paraId="59BF5CF1">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（1）由承包人作为招标人，依法组织招标工作并接受有管辖权的建设工程招标投标行政监督部门的监督。</w:t>
      </w:r>
    </w:p>
    <w:p w14:paraId="55ACF53C">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（2）与组织招标工作有关的费用应当被认为已经包括在承包人的签约合同价（投标总报价）中。</w:t>
      </w:r>
    </w:p>
    <w:p w14:paraId="479807A7">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（3）中标金额与工程量清单中所列的暂估价的金额差以及相应的税金等其他费用列入合同价格。</w:t>
      </w:r>
    </w:p>
    <w:p w14:paraId="0E5FBF6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721D27C7">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579BF53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（6）如果发、承包任何一方委派评标代表，评标委员会应当由七人以上单数构成。除发包人或者承包人自愿放弃委派评标代表的权利外，招标人评标代表应当分别由发包人和承包人等额委派。</w:t>
      </w:r>
    </w:p>
    <w:p w14:paraId="79ADAF52">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61FE0574">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8）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10F49C05">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7F23945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EF844BE">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（11）发包人对承包人报送文件进行审批或提出的修改意见应当合理，并符合现行有关法律法规的规定。</w:t>
      </w:r>
    </w:p>
    <w:p w14:paraId="3717C45D">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27B625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318BD7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w:t>
      </w:r>
    </w:p>
    <w:p w14:paraId="2D43B42C">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82" w:name="_BookMark_207"/>
      <w:bookmarkEnd w:id="1282"/>
      <w:bookmarkStart w:id="1283" w:name="_Toc5920"/>
      <w:bookmarkStart w:id="1284" w:name="_Toc14866795"/>
      <w:bookmarkStart w:id="1285" w:name="_Toc4661538"/>
      <w:bookmarkStart w:id="1286" w:name="_Toc11089037"/>
      <w:r>
        <w:rPr>
          <w:rFonts w:hint="eastAsia" w:ascii="宋体" w:hAnsi="宋体"/>
          <w:b w:val="0"/>
          <w:bCs w:val="0"/>
          <w:color w:val="auto"/>
          <w:sz w:val="21"/>
          <w:szCs w:val="21"/>
          <w:highlight w:val="none"/>
          <w:shd w:val="clear" w:color="auto" w:fill="FFFFFF"/>
        </w:rPr>
        <w:t>16.价格调整</w:t>
      </w:r>
      <w:bookmarkEnd w:id="1283"/>
      <w:bookmarkEnd w:id="1284"/>
      <w:bookmarkEnd w:id="1285"/>
      <w:bookmarkEnd w:id="1286"/>
    </w:p>
    <w:p w14:paraId="41C8853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87" w:name="_BookMark_208"/>
      <w:bookmarkEnd w:id="1287"/>
      <w:bookmarkStart w:id="1288" w:name="_Toc11089038"/>
      <w:bookmarkStart w:id="1289" w:name="_Toc4661539"/>
      <w:bookmarkStart w:id="1290" w:name="_Toc7289"/>
      <w:bookmarkStart w:id="1291" w:name="_Toc14866796"/>
      <w:r>
        <w:rPr>
          <w:rFonts w:hint="eastAsia" w:ascii="宋体" w:hAnsi="宋体" w:cs="宋体"/>
          <w:b w:val="0"/>
          <w:bCs w:val="0"/>
          <w:color w:val="auto"/>
          <w:sz w:val="21"/>
          <w:szCs w:val="21"/>
          <w:highlight w:val="none"/>
          <w:shd w:val="clear" w:color="auto" w:fill="FFFFFF"/>
        </w:rPr>
        <w:t>16.1  物价波动引起的价格调整</w:t>
      </w:r>
      <w:bookmarkEnd w:id="1288"/>
      <w:bookmarkEnd w:id="1289"/>
      <w:bookmarkEnd w:id="1290"/>
      <w:bookmarkEnd w:id="1291"/>
    </w:p>
    <w:p w14:paraId="4E38D41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除合同条款专用部分另有约定外，因物价波动引起的价格调整按照本款约定处理。</w:t>
      </w:r>
    </w:p>
    <w:p w14:paraId="5C96BCC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16.1.1  采用价格指数调整价格差额</w:t>
      </w:r>
    </w:p>
    <w:p w14:paraId="6DD2E17E">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16.1.1.1  价格调整公式</w:t>
      </w:r>
    </w:p>
    <w:p w14:paraId="0A304B7C">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因人工、材料和设备等价格波动影响合同价格时，根据投标函附录中的价格指数和权重表约定的数据，按以下公式计算差额并调整合同价格。</w:t>
      </w:r>
    </w:p>
    <w:p w14:paraId="4B602F1B">
      <w:pPr>
        <w:widowControl/>
        <w:snapToGrid w:val="0"/>
        <w:spacing w:line="360" w:lineRule="auto"/>
        <w:ind w:left="210" w:leftChars="100" w:right="248" w:firstLine="836"/>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drawing>
          <wp:inline distT="0" distB="0" distL="114300" distR="114300">
            <wp:extent cx="3912235" cy="516890"/>
            <wp:effectExtent l="0" t="0" r="12065" b="165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32"/>
                    <a:stretch>
                      <a:fillRect/>
                    </a:stretch>
                  </pic:blipFill>
                  <pic:spPr>
                    <a:xfrm>
                      <a:off x="0" y="0"/>
                      <a:ext cx="3912235" cy="516890"/>
                    </a:xfrm>
                    <a:prstGeom prst="rect">
                      <a:avLst/>
                    </a:prstGeom>
                    <a:noFill/>
                    <a:ln>
                      <a:noFill/>
                    </a:ln>
                  </pic:spPr>
                </pic:pic>
              </a:graphicData>
            </a:graphic>
          </wp:inline>
        </w:drawing>
      </w:r>
    </w:p>
    <w:p w14:paraId="5099D2E5">
      <w:pPr>
        <w:widowControl/>
        <w:snapToGrid w:val="0"/>
        <w:spacing w:line="360" w:lineRule="auto"/>
        <w:ind w:left="210" w:leftChars="100" w:firstLine="420"/>
        <w:jc w:val="left"/>
        <w:rPr>
          <w:rFonts w:ascii="宋体" w:hAnsi="宋体" w:cs="Arial"/>
          <w:color w:val="auto"/>
          <w:szCs w:val="21"/>
          <w:highlight w:val="none"/>
        </w:rPr>
      </w:pPr>
    </w:p>
    <w:p w14:paraId="35AFA03A">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式中：△P -- 需调整的价格差额；</w:t>
      </w:r>
    </w:p>
    <w:p w14:paraId="52F5A4DD">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P</w:t>
      </w:r>
      <w:r>
        <w:rPr>
          <w:rFonts w:ascii="宋体" w:hAnsi="宋体" w:cs="Arial"/>
          <w:color w:val="auto"/>
          <w:kern w:val="0"/>
          <w:szCs w:val="21"/>
          <w:highlight w:val="none"/>
          <w:shd w:val="clear" w:color="auto" w:fill="FFFFFF"/>
        </w:rPr>
        <w:t>0</w:t>
      </w:r>
      <w:r>
        <w:rPr>
          <w:rFonts w:hint="eastAsia" w:ascii="宋体" w:hAnsi="宋体" w:cs="宋体"/>
          <w:color w:val="auto"/>
          <w:kern w:val="0"/>
          <w:szCs w:val="21"/>
          <w:highlight w:val="none"/>
          <w:shd w:val="clear" w:color="auto" w:fill="FFFFFF"/>
        </w:rPr>
        <w:t xml:space="preserve"> -- 第</w:t>
      </w:r>
      <w:r>
        <w:rPr>
          <w:rFonts w:ascii="宋体" w:hAnsi="宋体" w:cs="Arial"/>
          <w:color w:val="auto"/>
          <w:kern w:val="0"/>
          <w:szCs w:val="21"/>
          <w:highlight w:val="none"/>
          <w:shd w:val="clear" w:color="auto" w:fill="FFFFFF"/>
        </w:rPr>
        <w:t>17.3.3</w:t>
      </w:r>
      <w:r>
        <w:rPr>
          <w:rFonts w:hint="eastAsia" w:ascii="宋体" w:hAnsi="宋体" w:cs="宋体"/>
          <w:color w:val="auto"/>
          <w:kern w:val="0"/>
          <w:szCs w:val="21"/>
          <w:highlight w:val="none"/>
          <w:shd w:val="clear" w:color="auto" w:fill="FFFFFF"/>
        </w:rPr>
        <w:t>项、第</w:t>
      </w:r>
      <w:r>
        <w:rPr>
          <w:rFonts w:ascii="宋体" w:hAnsi="宋体" w:cs="Arial"/>
          <w:color w:val="auto"/>
          <w:kern w:val="0"/>
          <w:szCs w:val="21"/>
          <w:highlight w:val="none"/>
          <w:shd w:val="clear" w:color="auto" w:fill="FFFFFF"/>
        </w:rPr>
        <w:t>17.5.2</w:t>
      </w:r>
      <w:r>
        <w:rPr>
          <w:rFonts w:hint="eastAsia" w:ascii="宋体" w:hAnsi="宋体" w:cs="宋体"/>
          <w:color w:val="auto"/>
          <w:kern w:val="0"/>
          <w:szCs w:val="21"/>
          <w:highlight w:val="none"/>
          <w:shd w:val="clear" w:color="auto" w:fill="FFFFFF"/>
        </w:rPr>
        <w:t>项和第</w:t>
      </w:r>
      <w:r>
        <w:rPr>
          <w:rFonts w:ascii="宋体" w:hAnsi="宋体" w:cs="Arial"/>
          <w:color w:val="auto"/>
          <w:kern w:val="0"/>
          <w:szCs w:val="21"/>
          <w:highlight w:val="none"/>
          <w:shd w:val="clear" w:color="auto" w:fill="FFFFFF"/>
        </w:rPr>
        <w:t>17.6.2</w:t>
      </w:r>
      <w:r>
        <w:rPr>
          <w:rFonts w:hint="eastAsia" w:ascii="宋体" w:hAnsi="宋体" w:cs="宋体"/>
          <w:color w:val="auto"/>
          <w:kern w:val="0"/>
          <w:szCs w:val="21"/>
          <w:highlight w:val="none"/>
          <w:shd w:val="clear" w:color="auto" w:fill="FFFFFF"/>
        </w:rPr>
        <w:t>项约定的付款证书中承包人应得到的已完成工程量的金额。此项金额应不包括价格调整、不计质量保证金的扣留和支付、预付款的支付和扣回。第</w:t>
      </w:r>
      <w:r>
        <w:rPr>
          <w:rFonts w:ascii="宋体" w:hAnsi="宋体" w:cs="Arial"/>
          <w:color w:val="auto"/>
          <w:kern w:val="0"/>
          <w:szCs w:val="21"/>
          <w:highlight w:val="none"/>
          <w:shd w:val="clear" w:color="auto" w:fill="FFFFFF"/>
        </w:rPr>
        <w:t>15</w:t>
      </w:r>
      <w:r>
        <w:rPr>
          <w:rFonts w:hint="eastAsia" w:ascii="宋体" w:hAnsi="宋体" w:cs="宋体"/>
          <w:color w:val="auto"/>
          <w:kern w:val="0"/>
          <w:szCs w:val="21"/>
          <w:highlight w:val="none"/>
          <w:shd w:val="clear" w:color="auto" w:fill="FFFFFF"/>
        </w:rPr>
        <w:t>条约定的变更及其他金额已按现行价格计价的，也不计在内；</w:t>
      </w:r>
    </w:p>
    <w:p w14:paraId="657C15DB">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A -- 定值权重(即不调部分的权重)；</w:t>
      </w:r>
    </w:p>
    <w:p w14:paraId="33029E4B">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B</w:t>
      </w:r>
      <w:r>
        <w:rPr>
          <w:rFonts w:ascii="宋体" w:hAnsi="宋体" w:cs="Arial"/>
          <w:color w:val="auto"/>
          <w:kern w:val="0"/>
          <w:szCs w:val="21"/>
          <w:highlight w:val="none"/>
          <w:shd w:val="clear" w:color="auto" w:fill="FFFFFF"/>
        </w:rPr>
        <w:t>1;</w:t>
      </w:r>
      <w:r>
        <w:rPr>
          <w:rFonts w:hint="eastAsia" w:ascii="宋体" w:hAnsi="宋体" w:cs="宋体"/>
          <w:color w:val="auto"/>
          <w:kern w:val="0"/>
          <w:szCs w:val="21"/>
          <w:highlight w:val="none"/>
          <w:shd w:val="clear" w:color="auto" w:fill="FFFFFF"/>
        </w:rPr>
        <w:t xml:space="preserve"> B</w:t>
      </w:r>
      <w:r>
        <w:rPr>
          <w:rFonts w:ascii="宋体" w:hAnsi="宋体" w:cs="Arial"/>
          <w:color w:val="auto"/>
          <w:kern w:val="0"/>
          <w:szCs w:val="21"/>
          <w:highlight w:val="none"/>
          <w:shd w:val="clear" w:color="auto" w:fill="FFFFFF"/>
        </w:rPr>
        <w:t>2</w:t>
      </w:r>
      <w:r>
        <w:rPr>
          <w:rFonts w:hint="eastAsia" w:ascii="宋体" w:hAnsi="宋体" w:cs="宋体"/>
          <w:color w:val="auto"/>
          <w:kern w:val="0"/>
          <w:szCs w:val="21"/>
          <w:highlight w:val="none"/>
          <w:shd w:val="clear" w:color="auto" w:fill="FFFFFF"/>
        </w:rPr>
        <w:t xml:space="preserve"> ;B</w:t>
      </w:r>
      <w:r>
        <w:rPr>
          <w:rFonts w:ascii="宋体" w:hAnsi="宋体" w:cs="Arial"/>
          <w:color w:val="auto"/>
          <w:kern w:val="0"/>
          <w:szCs w:val="21"/>
          <w:highlight w:val="none"/>
          <w:shd w:val="clear" w:color="auto" w:fill="FFFFFF"/>
        </w:rPr>
        <w:t>3</w:t>
      </w:r>
      <w:r>
        <w:rPr>
          <w:rFonts w:hint="eastAsia" w:ascii="宋体" w:hAnsi="宋体" w:cs="宋体"/>
          <w:color w:val="auto"/>
          <w:kern w:val="0"/>
          <w:szCs w:val="21"/>
          <w:highlight w:val="none"/>
          <w:shd w:val="clear" w:color="auto" w:fill="FFFFFF"/>
        </w:rPr>
        <w:t>·····B</w:t>
      </w:r>
      <w:r>
        <w:rPr>
          <w:rFonts w:ascii="宋体" w:hAnsi="宋体" w:cs="Arial"/>
          <w:color w:val="auto"/>
          <w:kern w:val="0"/>
          <w:szCs w:val="21"/>
          <w:highlight w:val="none"/>
          <w:shd w:val="clear" w:color="auto" w:fill="FFFFFF"/>
        </w:rPr>
        <w:t>n</w:t>
      </w:r>
      <w:r>
        <w:rPr>
          <w:rFonts w:hint="eastAsia" w:ascii="宋体" w:hAnsi="宋体" w:cs="宋体"/>
          <w:color w:val="auto"/>
          <w:kern w:val="0"/>
          <w:szCs w:val="21"/>
          <w:highlight w:val="none"/>
          <w:shd w:val="clear" w:color="auto" w:fill="FFFFFF"/>
        </w:rPr>
        <w:t xml:space="preserve"> -- 各可调因子的变值权重(即可调部分的权重)为各可调因子在投标函投标总报价中所占的比例；</w:t>
      </w:r>
    </w:p>
    <w:p w14:paraId="3C45D845">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t1</w:t>
      </w: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t2</w:t>
      </w: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t3</w:t>
      </w:r>
      <w:r>
        <w:rPr>
          <w:rFonts w:hint="eastAsia" w:ascii="宋体" w:hAnsi="宋体" w:cs="宋体"/>
          <w:color w:val="auto"/>
          <w:kern w:val="0"/>
          <w:szCs w:val="21"/>
          <w:highlight w:val="none"/>
          <w:shd w:val="clear" w:color="auto" w:fill="FFFFFF"/>
        </w:rPr>
        <w:t>·····F</w:t>
      </w:r>
      <w:r>
        <w:rPr>
          <w:rFonts w:ascii="宋体" w:hAnsi="宋体" w:cs="Arial"/>
          <w:color w:val="auto"/>
          <w:kern w:val="0"/>
          <w:szCs w:val="21"/>
          <w:highlight w:val="none"/>
          <w:shd w:val="clear" w:color="auto" w:fill="FFFFFF"/>
        </w:rPr>
        <w:t>tn</w:t>
      </w:r>
      <w:r>
        <w:rPr>
          <w:rFonts w:hint="eastAsia" w:ascii="宋体" w:hAnsi="宋体" w:cs="宋体"/>
          <w:color w:val="auto"/>
          <w:kern w:val="0"/>
          <w:szCs w:val="21"/>
          <w:highlight w:val="none"/>
          <w:shd w:val="clear" w:color="auto" w:fill="FFFFFF"/>
        </w:rPr>
        <w:t xml:space="preserve"> -- 各可调因子的现行价格指数，指第</w:t>
      </w:r>
      <w:r>
        <w:rPr>
          <w:rFonts w:ascii="宋体" w:hAnsi="宋体" w:cs="Arial"/>
          <w:color w:val="auto"/>
          <w:kern w:val="0"/>
          <w:szCs w:val="21"/>
          <w:highlight w:val="none"/>
          <w:shd w:val="clear" w:color="auto" w:fill="FFFFFF"/>
        </w:rPr>
        <w:t>17.3.3</w:t>
      </w:r>
      <w:r>
        <w:rPr>
          <w:rFonts w:hint="eastAsia" w:ascii="宋体" w:hAnsi="宋体" w:cs="宋体"/>
          <w:color w:val="auto"/>
          <w:kern w:val="0"/>
          <w:szCs w:val="21"/>
          <w:highlight w:val="none"/>
          <w:shd w:val="clear" w:color="auto" w:fill="FFFFFF"/>
        </w:rPr>
        <w:t>项、第</w:t>
      </w:r>
      <w:r>
        <w:rPr>
          <w:rFonts w:ascii="宋体" w:hAnsi="宋体" w:cs="Arial"/>
          <w:color w:val="auto"/>
          <w:kern w:val="0"/>
          <w:szCs w:val="21"/>
          <w:highlight w:val="none"/>
          <w:shd w:val="clear" w:color="auto" w:fill="FFFFFF"/>
        </w:rPr>
        <w:t>17.5.2</w:t>
      </w:r>
      <w:r>
        <w:rPr>
          <w:rFonts w:hint="eastAsia" w:ascii="宋体" w:hAnsi="宋体" w:cs="宋体"/>
          <w:color w:val="auto"/>
          <w:kern w:val="0"/>
          <w:szCs w:val="21"/>
          <w:highlight w:val="none"/>
          <w:shd w:val="clear" w:color="auto" w:fill="FFFFFF"/>
        </w:rPr>
        <w:t>项和第</w:t>
      </w:r>
      <w:r>
        <w:rPr>
          <w:rFonts w:ascii="宋体" w:hAnsi="宋体" w:cs="Arial"/>
          <w:color w:val="auto"/>
          <w:kern w:val="0"/>
          <w:szCs w:val="21"/>
          <w:highlight w:val="none"/>
          <w:shd w:val="clear" w:color="auto" w:fill="FFFFFF"/>
        </w:rPr>
        <w:t>17.6.2</w:t>
      </w:r>
      <w:r>
        <w:rPr>
          <w:rFonts w:hint="eastAsia" w:ascii="宋体" w:hAnsi="宋体" w:cs="宋体"/>
          <w:color w:val="auto"/>
          <w:kern w:val="0"/>
          <w:szCs w:val="21"/>
          <w:highlight w:val="none"/>
          <w:shd w:val="clear" w:color="auto" w:fill="FFFFFF"/>
        </w:rPr>
        <w:t>项约定的付款证书相关周期最后一天的前</w:t>
      </w:r>
      <w:r>
        <w:rPr>
          <w:rFonts w:ascii="宋体" w:hAnsi="宋体" w:cs="Arial"/>
          <w:color w:val="auto"/>
          <w:kern w:val="0"/>
          <w:szCs w:val="21"/>
          <w:highlight w:val="none"/>
          <w:shd w:val="clear" w:color="auto" w:fill="FFFFFF"/>
        </w:rPr>
        <w:t>42</w:t>
      </w:r>
      <w:r>
        <w:rPr>
          <w:rFonts w:hint="eastAsia" w:ascii="宋体" w:hAnsi="宋体" w:cs="宋体"/>
          <w:color w:val="auto"/>
          <w:kern w:val="0"/>
          <w:szCs w:val="21"/>
          <w:highlight w:val="none"/>
          <w:shd w:val="clear" w:color="auto" w:fill="FFFFFF"/>
        </w:rPr>
        <w:t>天的各可调因子的价格指数；</w:t>
      </w:r>
    </w:p>
    <w:p w14:paraId="19FB1527">
      <w:pPr>
        <w:widowControl/>
        <w:snapToGrid w:val="0"/>
        <w:spacing w:line="360" w:lineRule="auto"/>
        <w:ind w:left="210" w:leftChars="10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o1</w:t>
      </w:r>
      <w:r>
        <w:rPr>
          <w:rFonts w:hint="eastAsia" w:ascii="宋体" w:hAnsi="宋体" w:cs="宋体"/>
          <w:color w:val="auto"/>
          <w:kern w:val="0"/>
          <w:szCs w:val="21"/>
          <w:highlight w:val="none"/>
          <w:shd w:val="clear" w:color="auto" w:fill="FFFFFF"/>
        </w:rPr>
        <w:t>; F</w:t>
      </w:r>
      <w:r>
        <w:rPr>
          <w:rFonts w:ascii="宋体" w:hAnsi="宋体" w:cs="Arial"/>
          <w:color w:val="auto"/>
          <w:kern w:val="0"/>
          <w:szCs w:val="21"/>
          <w:highlight w:val="none"/>
          <w:shd w:val="clear" w:color="auto" w:fill="FFFFFF"/>
        </w:rPr>
        <w:t>o2;</w:t>
      </w:r>
      <w:r>
        <w:rPr>
          <w:rFonts w:hint="eastAsia" w:ascii="宋体" w:hAnsi="宋体" w:cs="宋体"/>
          <w:color w:val="auto"/>
          <w:kern w:val="0"/>
          <w:szCs w:val="21"/>
          <w:highlight w:val="none"/>
          <w:shd w:val="clear" w:color="auto" w:fill="FFFFFF"/>
        </w:rPr>
        <w:t xml:space="preserve"> F</w:t>
      </w:r>
      <w:r>
        <w:rPr>
          <w:rFonts w:ascii="宋体" w:hAnsi="宋体" w:cs="Arial"/>
          <w:color w:val="auto"/>
          <w:kern w:val="0"/>
          <w:szCs w:val="21"/>
          <w:highlight w:val="none"/>
          <w:shd w:val="clear" w:color="auto" w:fill="FFFFFF"/>
        </w:rPr>
        <w:t>o3</w:t>
      </w:r>
      <w:r>
        <w:rPr>
          <w:rFonts w:hint="eastAsia" w:ascii="宋体" w:hAnsi="宋体" w:cs="宋体"/>
          <w:color w:val="auto"/>
          <w:kern w:val="0"/>
          <w:szCs w:val="21"/>
          <w:highlight w:val="none"/>
          <w:shd w:val="clear" w:color="auto" w:fill="FFFFFF"/>
        </w:rPr>
        <w:t>·····F</w:t>
      </w:r>
      <w:r>
        <w:rPr>
          <w:rFonts w:ascii="宋体" w:hAnsi="宋体" w:cs="Arial"/>
          <w:color w:val="auto"/>
          <w:kern w:val="0"/>
          <w:szCs w:val="21"/>
          <w:highlight w:val="none"/>
          <w:shd w:val="clear" w:color="auto" w:fill="FFFFFF"/>
        </w:rPr>
        <w:t>on</w:t>
      </w:r>
      <w:r>
        <w:rPr>
          <w:rFonts w:hint="eastAsia" w:ascii="宋体" w:hAnsi="宋体" w:cs="宋体"/>
          <w:color w:val="auto"/>
          <w:kern w:val="0"/>
          <w:szCs w:val="21"/>
          <w:highlight w:val="none"/>
          <w:shd w:val="clear" w:color="auto" w:fill="FFFFFF"/>
        </w:rPr>
        <w:t xml:space="preserve"> -- 各可调因子的基本价格指数，指基准日期的各可调因子的价格指数。</w:t>
      </w:r>
    </w:p>
    <w:p w14:paraId="424E9594">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3881D924">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16.1.1.2  暂时确定调整差额</w:t>
      </w:r>
    </w:p>
    <w:p w14:paraId="7C7E97C2">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在计算调整差额时得不到现行价格指数的，可暂用上一次价格指数计算，并在以后的付款中再按实际价格指数进行调整。</w:t>
      </w:r>
    </w:p>
    <w:p w14:paraId="5C549697">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16.1.1.3  权重的调整</w:t>
      </w:r>
    </w:p>
    <w:p w14:paraId="7F9D644C">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按第15.1款约定的变更导致原定合同中的权重不合理时，由监理人与承包人和发包人协商后进行调整。</w:t>
      </w:r>
    </w:p>
    <w:p w14:paraId="15E6894F">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16.1.1.4  承包人工期延误后的价格调整</w:t>
      </w:r>
    </w:p>
    <w:p w14:paraId="07319653">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59B6E35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16.1.2  采用造价信息调整价格差额</w:t>
      </w:r>
    </w:p>
    <w:p w14:paraId="180B4AAE">
      <w:pPr>
        <w:widowControl/>
        <w:snapToGrid w:val="0"/>
        <w:spacing w:line="360" w:lineRule="auto"/>
        <w:ind w:left="210" w:leftChars="100" w:firstLine="42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施工期内，因人工、材料、设备和机械台班价格波动影响合同价格时，需要进行价格调整的，其价格和数量应由监理人审核，监理人确认需调整的内容、范围、价格和数量作为调整工程合同价格差额的依据。</w:t>
      </w:r>
    </w:p>
    <w:p w14:paraId="4B58264D">
      <w:pPr>
        <w:widowControl/>
        <w:snapToGrid w:val="0"/>
        <w:spacing w:line="360" w:lineRule="auto"/>
        <w:ind w:left="210" w:leftChars="100" w:firstLine="630"/>
        <w:jc w:val="left"/>
        <w:rPr>
          <w:rFonts w:ascii="宋体" w:hAnsi="宋体" w:cs="Arial"/>
          <w:color w:val="auto"/>
          <w:szCs w:val="21"/>
          <w:highlight w:val="none"/>
        </w:rPr>
      </w:pPr>
      <w:r>
        <w:rPr>
          <w:rFonts w:hint="eastAsia" w:ascii="宋体" w:hAnsi="宋体" w:cs="宋体"/>
          <w:color w:val="auto"/>
          <w:kern w:val="0"/>
          <w:szCs w:val="21"/>
          <w:highlight w:val="none"/>
          <w:shd w:val="clear" w:color="auto" w:fill="FFFFFF"/>
        </w:rPr>
        <w:t>16.1.2.1  引起价格调整的物价波动风险范围及幅度</w:t>
      </w:r>
    </w:p>
    <w:p w14:paraId="328E6100">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712F4C73">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16.1.2.2  物价波动变化幅度的计算方法</w:t>
      </w:r>
    </w:p>
    <w:p w14:paraId="4E4BB4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（1）投标报价基准期确定的人工、材料、设备和机械台班的市场价格即为基准价。投标报价基准期见合同条款专用部分。</w:t>
      </w:r>
    </w:p>
    <w:p w14:paraId="7E80A7D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540EE4F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（3）合同施工期市场价格的确定方法见合同条款专用部分。</w:t>
      </w:r>
    </w:p>
    <w:p w14:paraId="4E591FC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（4）物价波动变化幅度的计算方法：</w:t>
      </w:r>
    </w:p>
    <w:p w14:paraId="25E19AFE">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1）当承包人投标报价中的单价低于基准价时：</w:t>
      </w:r>
    </w:p>
    <w:p w14:paraId="57F8CEE7">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物价波动变化幅度（涨幅）=（施工期市场价-基准价）/基准价×100%</w:t>
      </w:r>
    </w:p>
    <w:p w14:paraId="2E8B9BE8">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物价波动变化幅度（跌幅）=（施工期市场价-投标单价）/投标单价×100%</w:t>
      </w:r>
    </w:p>
    <w:p w14:paraId="4B84BC7C">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2）当承包人投标报价中的单价高于基准价时：</w:t>
      </w:r>
    </w:p>
    <w:p w14:paraId="1F2B6648">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物价波动变化幅度（涨幅）=（施工期市场价-投标单价）/投标单价×100%</w:t>
      </w:r>
    </w:p>
    <w:p w14:paraId="7AE8DF6F">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物价波动变化幅度（跌幅）=（施工期市场价-基准价）/基准价×100%</w:t>
      </w:r>
    </w:p>
    <w:p w14:paraId="766D1D98">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3）当承包人投标报价中的单价等于基准价时：</w:t>
      </w:r>
    </w:p>
    <w:p w14:paraId="2B24C6A8">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物价波动变化幅度=（施工期市场价-基准价）/基准价×100%</w:t>
      </w:r>
    </w:p>
    <w:p w14:paraId="2C6889E9">
      <w:pPr>
        <w:widowControl/>
        <w:snapToGrid w:val="0"/>
        <w:spacing w:line="360" w:lineRule="auto"/>
        <w:ind w:left="210" w:leftChars="100" w:firstLine="63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16.1.2.3  物价波动引起价格调整的方法</w:t>
      </w:r>
    </w:p>
    <w:p w14:paraId="4F6CCA4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（1）第16.1.2.1目中约定的人工、材料、设备和机械台班的物价波动变化幅度超过风险幅度时，其计算价格调整差额的方法见合同条款专用部分。</w:t>
      </w:r>
    </w:p>
    <w:p w14:paraId="1C25F6D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（2）第16.1.2.1目中约定的人工的物价波动变化幅度超过风险幅度时，应当计算全部价格差额，其价格差额由发包人承担或受益，其价格差额不计取规费，只计取税金。</w:t>
      </w:r>
    </w:p>
    <w:p w14:paraId="266E5BD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（3）第16.1.2.1目中约定的材料、设备和机械台班的物价波动变化幅度超过风险幅度时，应当计算超过部分的价格差额，其价格差额由发包人承担或受益，其价格差额不计取规费，只计取税金。</w:t>
      </w:r>
    </w:p>
    <w:p w14:paraId="3CB0EB0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16.1.2.4  物价波动引起价格调整的其他约定见合同条款专用部分。</w:t>
      </w:r>
    </w:p>
    <w:p w14:paraId="6BF97E1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16.1.3  物价波动引起价格调整的其他方法见合同条款专用部分。</w:t>
      </w:r>
    </w:p>
    <w:p w14:paraId="2503071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292" w:name="_BookMark_209"/>
      <w:bookmarkEnd w:id="1292"/>
      <w:bookmarkStart w:id="1293" w:name="_Toc14866797"/>
      <w:bookmarkStart w:id="1294" w:name="_Toc4661540"/>
      <w:bookmarkStart w:id="1295" w:name="_Toc12337"/>
      <w:bookmarkStart w:id="1296" w:name="_Toc11089039"/>
      <w:r>
        <w:rPr>
          <w:rFonts w:hint="eastAsia" w:ascii="宋体" w:hAnsi="宋体" w:cs="宋体"/>
          <w:b w:val="0"/>
          <w:bCs w:val="0"/>
          <w:color w:val="auto"/>
          <w:sz w:val="21"/>
          <w:szCs w:val="21"/>
          <w:highlight w:val="none"/>
          <w:shd w:val="clear" w:color="auto" w:fill="FFFFFF"/>
        </w:rPr>
        <w:t>16.2  法律变化引起的价格调整</w:t>
      </w:r>
      <w:bookmarkEnd w:id="1293"/>
      <w:bookmarkEnd w:id="1294"/>
      <w:bookmarkEnd w:id="1295"/>
      <w:bookmarkEnd w:id="1296"/>
    </w:p>
    <w:p w14:paraId="246B8F4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D32E87F">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297" w:name="_BookMark_210"/>
      <w:bookmarkEnd w:id="1297"/>
      <w:bookmarkStart w:id="1298" w:name="_Toc17265"/>
      <w:bookmarkStart w:id="1299" w:name="_Toc11089040"/>
      <w:bookmarkStart w:id="1300" w:name="_Toc4661541"/>
      <w:bookmarkStart w:id="1301" w:name="_Toc14866798"/>
      <w:r>
        <w:rPr>
          <w:rFonts w:hint="eastAsia" w:ascii="宋体" w:hAnsi="宋体"/>
          <w:b w:val="0"/>
          <w:bCs w:val="0"/>
          <w:color w:val="auto"/>
          <w:sz w:val="21"/>
          <w:szCs w:val="21"/>
          <w:highlight w:val="none"/>
          <w:shd w:val="clear" w:color="auto" w:fill="FFFFFF"/>
        </w:rPr>
        <w:t>17.计量与支付</w:t>
      </w:r>
      <w:bookmarkEnd w:id="1298"/>
      <w:bookmarkEnd w:id="1299"/>
      <w:bookmarkEnd w:id="1300"/>
      <w:bookmarkEnd w:id="1301"/>
    </w:p>
    <w:p w14:paraId="2C19CE2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02" w:name="_BookMark_211"/>
      <w:bookmarkEnd w:id="1302"/>
      <w:bookmarkStart w:id="1303" w:name="_Toc12650"/>
      <w:bookmarkStart w:id="1304" w:name="_Toc11089041"/>
      <w:bookmarkStart w:id="1305" w:name="_Toc14866799"/>
      <w:bookmarkStart w:id="1306" w:name="_Toc4661542"/>
      <w:r>
        <w:rPr>
          <w:rFonts w:hint="eastAsia" w:ascii="宋体" w:hAnsi="宋体" w:cs="宋体"/>
          <w:b w:val="0"/>
          <w:bCs w:val="0"/>
          <w:color w:val="auto"/>
          <w:sz w:val="21"/>
          <w:szCs w:val="21"/>
          <w:highlight w:val="none"/>
          <w:shd w:val="clear" w:color="auto" w:fill="FFFFFF"/>
        </w:rPr>
        <w:t>17.1  计量</w:t>
      </w:r>
      <w:bookmarkEnd w:id="1303"/>
      <w:bookmarkEnd w:id="1304"/>
      <w:bookmarkEnd w:id="1305"/>
      <w:bookmarkEnd w:id="1306"/>
    </w:p>
    <w:p w14:paraId="56D6096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17.1.1  计量单位</w:t>
      </w:r>
    </w:p>
    <w:p w14:paraId="3CBDD3F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计量采用国家法定的计量单位。</w:t>
      </w:r>
    </w:p>
    <w:p w14:paraId="6AC97D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17.1.2  计量方法</w:t>
      </w:r>
    </w:p>
    <w:p w14:paraId="253BA2F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工程量计算规则执行工程量清单中约定的计量计价规范版本。除合同另有约定外，承包人实际完成的工程量按约定的工程量计算规则和有合同约束力的图纸进行计量。</w:t>
      </w:r>
    </w:p>
    <w:p w14:paraId="65BD492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17.1.3  计量周期</w:t>
      </w:r>
    </w:p>
    <w:p w14:paraId="62F834C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（1）本合同的计量周期为月，当月计量截止日期（不含当日）和下月计量起始日期（含当日）见合同条款专用部分。</w:t>
      </w:r>
    </w:p>
    <w:p w14:paraId="3DC9746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（2）单价子目已完成工程量是否按月计量见合同条款专用部分。</w:t>
      </w:r>
    </w:p>
    <w:p w14:paraId="420E889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（3）总价子目计量方法见合同条款专用部分。</w:t>
      </w:r>
    </w:p>
    <w:p w14:paraId="1E56711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17.1.4  单价子目的计量</w:t>
      </w:r>
    </w:p>
    <w:p w14:paraId="5586AEA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（1）已标价工程量清单中的单价子目工程量为估算工程量。结算工程量是承包人实际完成的，并按合同约定的计量方法进行计量的工程量。</w:t>
      </w:r>
    </w:p>
    <w:p w14:paraId="458FD2E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（2）承包人对已完成的工程进行计量，向监理人提交进度付款申请单、已完成工程量报表和有关计量资料。</w:t>
      </w:r>
    </w:p>
    <w:p w14:paraId="649ED28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6633B99">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（4）监理人认为有必要时，可通知承包人共同进行联合测量、计量，承包人应遵照执行。</w:t>
      </w:r>
    </w:p>
    <w:p w14:paraId="4D010DF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21063D1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（6）监理人应在收到承包人提交的工程量报表后的7天内进行复核，监理人未在约定时间内复核的，承包人提交的工程量报表中的工程量视为承包人实际完成的工程量，据此计算工程价款。</w:t>
      </w:r>
    </w:p>
    <w:p w14:paraId="53F8983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w:t>
      </w:r>
      <w:r>
        <w:rPr>
          <w:rFonts w:hint="eastAsia" w:ascii="宋体" w:hAnsi="宋体" w:cs="宋体"/>
          <w:color w:val="auto"/>
          <w:kern w:val="0"/>
          <w:szCs w:val="21"/>
          <w:highlight w:val="none"/>
          <w:shd w:val="clear" w:color="auto" w:fill="FFFFFF"/>
          <w:lang w:val="en-US" w:eastAsia="zh-CN"/>
        </w:rPr>
        <w:t>5</w:t>
      </w:r>
      <w:r>
        <w:rPr>
          <w:rFonts w:hint="eastAsia" w:ascii="宋体" w:hAnsi="宋体" w:cs="宋体"/>
          <w:color w:val="auto"/>
          <w:kern w:val="0"/>
          <w:szCs w:val="21"/>
          <w:highlight w:val="none"/>
          <w:shd w:val="clear" w:color="auto" w:fill="FFFFFF"/>
        </w:rPr>
        <w:t xml:space="preserve">  总价子目的计量（适用于采用支付分解报告）</w:t>
      </w:r>
    </w:p>
    <w:p w14:paraId="352CA62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5E362E7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（1）总价子目的价格调整方法见合同条款专用部分。</w:t>
      </w:r>
    </w:p>
    <w:p w14:paraId="5D7C99D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（2）列入每月进度付款申请单中各总价子目的价值为有合同约束力的支付分解表中对应月份的总价子目总价值。</w:t>
      </w:r>
    </w:p>
    <w:p w14:paraId="08A9C1D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（3）监理人根据有合同约束力的支付分解表复核列入每月进度付款申请单中的总价子目的总价值。</w:t>
      </w:r>
    </w:p>
    <w:p w14:paraId="7AF9B0C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（4）除按照第15条约定的变更外，在竣工结算时总价子目的工程量不应当重新计量，签约合同价所基于的工程量即是用于竣工结算的最终工程量。</w:t>
      </w:r>
    </w:p>
    <w:p w14:paraId="08F6481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17.1.</w:t>
      </w:r>
      <w:r>
        <w:rPr>
          <w:rFonts w:hint="eastAsia" w:ascii="宋体" w:hAnsi="宋体" w:cs="宋体"/>
          <w:color w:val="auto"/>
          <w:kern w:val="0"/>
          <w:szCs w:val="21"/>
          <w:highlight w:val="none"/>
          <w:shd w:val="clear" w:color="auto" w:fill="FFFFFF"/>
          <w:lang w:val="en-US" w:eastAsia="zh-CN"/>
        </w:rPr>
        <w:t>6</w:t>
      </w:r>
      <w:r>
        <w:rPr>
          <w:rFonts w:hint="eastAsia" w:ascii="宋体" w:hAnsi="宋体" w:cs="宋体"/>
          <w:color w:val="auto"/>
          <w:kern w:val="0"/>
          <w:szCs w:val="21"/>
          <w:highlight w:val="none"/>
          <w:shd w:val="clear" w:color="auto" w:fill="FFFFFF"/>
        </w:rPr>
        <w:t xml:space="preserve">  总价子目的计量（适用于采用按实际完成工程量计量）</w:t>
      </w:r>
    </w:p>
    <w:p w14:paraId="57EFE8F8">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（1）总价子目的计量和支付应以总价为基础，对承包人实际完成的工程量进行计量，是进行工程目标管理和控制进度款支付的依据。总价子目的价格调整方法见合同条款专用部分。</w:t>
      </w:r>
    </w:p>
    <w:p w14:paraId="578E1D1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14:paraId="36EC306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4CBD156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（4）监理人应在收到承包人提交的工程量报表后的7天内进行复核，监理人未在约定时间内复核的，承包人提交的工程量报表中的工程量视为承包人实际完成的工程量，据此计算工程价款。</w:t>
      </w:r>
    </w:p>
    <w:p w14:paraId="5844819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（5）除按照第15条约定的变更外，在竣工结算时总价子目的工程量不应当重新计量，签约合同价所基于的工程量即是用于竣工结算的最终工程量。</w:t>
      </w:r>
    </w:p>
    <w:p w14:paraId="4E105CD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07" w:name="_BookMark_212"/>
      <w:bookmarkEnd w:id="1307"/>
      <w:bookmarkStart w:id="1308" w:name="_Toc4661543"/>
      <w:bookmarkStart w:id="1309" w:name="_Toc14866800"/>
      <w:bookmarkStart w:id="1310" w:name="_Toc30598"/>
      <w:bookmarkStart w:id="1311" w:name="_Toc11089042"/>
      <w:r>
        <w:rPr>
          <w:rFonts w:hint="eastAsia" w:ascii="宋体" w:hAnsi="宋体" w:cs="宋体"/>
          <w:b w:val="0"/>
          <w:bCs w:val="0"/>
          <w:color w:val="auto"/>
          <w:sz w:val="21"/>
          <w:szCs w:val="21"/>
          <w:highlight w:val="none"/>
          <w:shd w:val="clear" w:color="auto" w:fill="FFFFFF"/>
        </w:rPr>
        <w:t>17.2  预付款</w:t>
      </w:r>
      <w:bookmarkEnd w:id="1308"/>
      <w:bookmarkEnd w:id="1309"/>
      <w:bookmarkEnd w:id="1310"/>
      <w:bookmarkEnd w:id="1311"/>
    </w:p>
    <w:p w14:paraId="03FA97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17.2.1  预付款</w:t>
      </w:r>
    </w:p>
    <w:p w14:paraId="3F7FC98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预付款用于承包人为合同工程施工购置材料、工程设备、施工设备、修建临时设施以及组织施工队伍进场等。预付款必须专用于合同工程。预付款的额度和预付办法以及支付时间见合同条款专用部分。</w:t>
      </w:r>
    </w:p>
    <w:p w14:paraId="65EA2AC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安全文明施工费用的预付不受上述预付办法和支付时间约定的制约，发包人应当在不迟于第11.1.1项约定的开工日期前的7天内将安全文明施工费用的预付款一次性拨付给承包人。安全文明施工费用预付款额度见合同条款专用部分。</w:t>
      </w:r>
    </w:p>
    <w:p w14:paraId="202E338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其他预付款约定见合同条款专用部分。</w:t>
      </w:r>
    </w:p>
    <w:p w14:paraId="2673D4E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发包人逾期支付合同约定的预付款，除承担第22.2款约定的违约责任外，还应向承包人支付按第17.3.3(2)目约定的标准和方法计算的逾期付款违约金。</w:t>
      </w:r>
    </w:p>
    <w:p w14:paraId="0A74AF3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17.2.2  预付款的扣回与还清</w:t>
      </w:r>
    </w:p>
    <w:p w14:paraId="09682D6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099FC31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12" w:name="_BookMark_213"/>
      <w:bookmarkEnd w:id="1312"/>
      <w:bookmarkStart w:id="1313" w:name="_Toc4661544"/>
      <w:bookmarkStart w:id="1314" w:name="_Toc11089043"/>
      <w:bookmarkStart w:id="1315" w:name="_Toc14866801"/>
      <w:bookmarkStart w:id="1316" w:name="_Toc8074"/>
      <w:r>
        <w:rPr>
          <w:rFonts w:hint="eastAsia" w:ascii="宋体" w:hAnsi="宋体" w:cs="宋体"/>
          <w:b w:val="0"/>
          <w:bCs w:val="0"/>
          <w:color w:val="auto"/>
          <w:sz w:val="21"/>
          <w:szCs w:val="21"/>
          <w:highlight w:val="none"/>
          <w:shd w:val="clear" w:color="auto" w:fill="FFFFFF"/>
        </w:rPr>
        <w:t>17.3  工程进度付款</w:t>
      </w:r>
      <w:bookmarkEnd w:id="1313"/>
      <w:bookmarkEnd w:id="1314"/>
      <w:bookmarkEnd w:id="1315"/>
      <w:bookmarkEnd w:id="1316"/>
    </w:p>
    <w:p w14:paraId="59CEE3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17.3.1  付款周期</w:t>
      </w:r>
    </w:p>
    <w:p w14:paraId="01D7ED0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付款周期同计量周期。</w:t>
      </w:r>
    </w:p>
    <w:p w14:paraId="742A33E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17.3.2  进度付款申请单</w:t>
      </w:r>
    </w:p>
    <w:p w14:paraId="4D39D37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承包人应在每个付款周期末，按监理人批准的格式和合同约定的份数，向监理人提交进度付款申请单，并附相应的支持性证明文件。承包人提交进度付款申请单份数见合同条款专用部分。</w:t>
      </w:r>
    </w:p>
    <w:p w14:paraId="4773174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承包人报送监理人的进度付款申请单应包括下列内容：</w:t>
      </w:r>
    </w:p>
    <w:p w14:paraId="265B8179">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（1）截至本次付款周期末已实施工程的价款；</w:t>
      </w:r>
    </w:p>
    <w:p w14:paraId="735EB1F5">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（2）根据第15条应增加和扣减的变更金额；</w:t>
      </w:r>
    </w:p>
    <w:p w14:paraId="5FD86703">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（3）根据第23条应增加和扣减的索赔金额；</w:t>
      </w:r>
    </w:p>
    <w:p w14:paraId="4A0557A4">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（4）根据第17.2款约定应支付的预付款和扣减的返还预付款；</w:t>
      </w:r>
    </w:p>
    <w:p w14:paraId="10843F6F">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（5）根据第17.4.1项约定应扣减的质量保证金；</w:t>
      </w:r>
    </w:p>
    <w:p w14:paraId="021E0C0A">
      <w:pPr>
        <w:widowControl/>
        <w:snapToGrid w:val="0"/>
        <w:spacing w:line="360" w:lineRule="auto"/>
        <w:ind w:left="210" w:leftChars="100" w:firstLine="315"/>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（6）根据合同应增加和（或）扣减的其他内容金额见合同条款专用部分。</w:t>
      </w:r>
    </w:p>
    <w:p w14:paraId="2EF1B2D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17.3.3  进度付款证书和支付时间</w:t>
      </w:r>
    </w:p>
    <w:p w14:paraId="7B2521C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CD707E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14:paraId="73EC062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（3）监理人出具进度付款证书，不应视为监理人已同意、批准或接受了承包人完成的该部分工作。</w:t>
      </w:r>
    </w:p>
    <w:p w14:paraId="03DE71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（4）进度付款涉及政府投资资金的，按照国库集中支付等国家相关规定和合同约定办理。进度付款涉及政府性资金的支付方法见合同条款专用部分。</w:t>
      </w:r>
    </w:p>
    <w:p w14:paraId="64469C3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17.3.4  工程进度付款的修正</w:t>
      </w:r>
    </w:p>
    <w:p w14:paraId="42FFE37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在对以往历次已签发的进度付款证书进行汇总和复核中发现错、漏或重复的，监理人有权予以修正，承包人也有权提出修正申请。经双方复核同意的修正，应在本次进度付款中支付或扣除。</w:t>
      </w:r>
    </w:p>
    <w:p w14:paraId="5A71A04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17.3.5  临时付款证书</w:t>
      </w:r>
    </w:p>
    <w:p w14:paraId="22DA80D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277921D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对临时付款证书中承包人有异议部分的金额，承包人应当按照监理人要求，提交进一步的支持性文件，经监理人进一步审核并认可的应付金额，应当按第17.3.4项的约定</w:t>
      </w:r>
      <w:r>
        <w:rPr>
          <w:rFonts w:hint="eastAsia" w:ascii="宋体" w:hAnsi="宋体" w:cs="宋体"/>
          <w:color w:val="auto"/>
          <w:kern w:val="0"/>
          <w:szCs w:val="21"/>
          <w:highlight w:val="none"/>
          <w:shd w:val="clear" w:color="auto" w:fill="FFFFFF"/>
          <w:lang w:eastAsia="zh-CN"/>
        </w:rPr>
        <w:t>纳入</w:t>
      </w:r>
      <w:r>
        <w:rPr>
          <w:rFonts w:hint="eastAsia" w:ascii="宋体" w:hAnsi="宋体" w:cs="宋体"/>
          <w:color w:val="auto"/>
          <w:kern w:val="0"/>
          <w:szCs w:val="21"/>
          <w:highlight w:val="none"/>
          <w:shd w:val="clear" w:color="auto" w:fill="FFFFFF"/>
        </w:rPr>
        <w:t>下一期进度付款证书中。经过进一步努力，承包人仍有异议的，按合同条款第24条的约定办理。</w:t>
      </w:r>
    </w:p>
    <w:p w14:paraId="616EBA6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1A2A711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17" w:name="_BookMark_214"/>
      <w:bookmarkEnd w:id="1317"/>
      <w:bookmarkStart w:id="1318" w:name="_Toc14866802"/>
      <w:bookmarkStart w:id="1319" w:name="_Toc31012"/>
      <w:bookmarkStart w:id="1320" w:name="_Toc4661545"/>
      <w:bookmarkStart w:id="1321" w:name="_Toc11089044"/>
      <w:r>
        <w:rPr>
          <w:rFonts w:hint="eastAsia" w:ascii="宋体" w:hAnsi="宋体" w:cs="宋体"/>
          <w:b w:val="0"/>
          <w:bCs w:val="0"/>
          <w:color w:val="auto"/>
          <w:sz w:val="21"/>
          <w:szCs w:val="21"/>
          <w:highlight w:val="none"/>
          <w:shd w:val="clear" w:color="auto" w:fill="FFFFFF"/>
        </w:rPr>
        <w:t>17.4  质量保证金</w:t>
      </w:r>
      <w:bookmarkEnd w:id="1318"/>
      <w:bookmarkEnd w:id="1319"/>
      <w:bookmarkEnd w:id="1320"/>
      <w:bookmarkEnd w:id="1321"/>
    </w:p>
    <w:p w14:paraId="13ACEF2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17.4.1  质量保证金处理</w:t>
      </w:r>
    </w:p>
    <w:p w14:paraId="10FED04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合同条款专用部分第4.2.1项约定不提交履约担保，采用扣留质量保证金的，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w:t>
      </w:r>
    </w:p>
    <w:p w14:paraId="335BF19F">
      <w:pPr>
        <w:widowControl/>
        <w:snapToGrid w:val="0"/>
        <w:spacing w:line="360" w:lineRule="auto"/>
        <w:ind w:left="210" w:leftChars="10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采用质量保证金保函担保形式的，工程竣工前，不得扣留质量保证金。</w:t>
      </w:r>
    </w:p>
    <w:p w14:paraId="25921F3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（2）合同条款专用部分第4.2.1项约定提交履约担保，采用扣留质量保证金的，在第17.5款竣工结算中，应当按照竣工结算合同总价约定的比例扣留质量保证金，</w:t>
      </w:r>
      <w:r>
        <w:rPr>
          <w:rFonts w:hint="eastAsia" w:ascii="宋体" w:hAnsi="宋体" w:cs="宋体"/>
          <w:color w:val="auto"/>
          <w:kern w:val="0"/>
          <w:szCs w:val="21"/>
          <w:highlight w:val="none"/>
          <w:shd w:val="clear" w:color="auto" w:fill="FFFFFF"/>
          <w:lang w:eastAsia="zh-CN"/>
        </w:rPr>
        <w:t>应当</w:t>
      </w:r>
      <w:r>
        <w:rPr>
          <w:rFonts w:hint="eastAsia" w:ascii="宋体" w:hAnsi="宋体" w:cs="宋体"/>
          <w:color w:val="auto"/>
          <w:kern w:val="0"/>
          <w:szCs w:val="21"/>
          <w:highlight w:val="none"/>
          <w:shd w:val="clear" w:color="auto" w:fill="FFFFFF"/>
        </w:rPr>
        <w:t>支付的竣工付款金额不足应扣留的质量保证金金额时，承包人应</w:t>
      </w:r>
      <w:r>
        <w:rPr>
          <w:rFonts w:hint="eastAsia" w:ascii="宋体" w:hAnsi="宋体" w:cs="宋体"/>
          <w:color w:val="auto"/>
          <w:kern w:val="0"/>
          <w:szCs w:val="21"/>
          <w:highlight w:val="none"/>
          <w:shd w:val="clear" w:color="auto" w:fill="FFFFFF"/>
          <w:lang w:eastAsia="zh-CN"/>
        </w:rPr>
        <w:t>返还</w:t>
      </w:r>
      <w:r>
        <w:rPr>
          <w:rFonts w:hint="eastAsia" w:ascii="宋体" w:hAnsi="宋体" w:cs="宋体"/>
          <w:color w:val="auto"/>
          <w:kern w:val="0"/>
          <w:szCs w:val="21"/>
          <w:highlight w:val="none"/>
          <w:shd w:val="clear" w:color="auto" w:fill="FFFFFF"/>
        </w:rPr>
        <w:t>差额部分；采用质量保证金保函担保形式的，工程竣工前，不得扣留质量保证金；</w:t>
      </w:r>
    </w:p>
    <w:p w14:paraId="75C780A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（3）质量保证金的形式与约定比例见合同条款专用部分。</w:t>
      </w:r>
    </w:p>
    <w:p w14:paraId="0F1B848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229620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798ED46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22" w:name="_BookMark_215"/>
      <w:bookmarkEnd w:id="1322"/>
      <w:bookmarkStart w:id="1323" w:name="_Toc11089045"/>
      <w:bookmarkStart w:id="1324" w:name="_Toc4661546"/>
      <w:bookmarkStart w:id="1325" w:name="_Toc30035"/>
      <w:bookmarkStart w:id="1326" w:name="_Toc14866803"/>
      <w:r>
        <w:rPr>
          <w:rFonts w:hint="eastAsia" w:ascii="宋体" w:hAnsi="宋体" w:cs="宋体"/>
          <w:b w:val="0"/>
          <w:bCs w:val="0"/>
          <w:color w:val="auto"/>
          <w:sz w:val="21"/>
          <w:szCs w:val="21"/>
          <w:highlight w:val="none"/>
          <w:shd w:val="clear" w:color="auto" w:fill="FFFFFF"/>
        </w:rPr>
        <w:t>17.5  竣工结算</w:t>
      </w:r>
      <w:bookmarkEnd w:id="1323"/>
      <w:bookmarkEnd w:id="1324"/>
      <w:bookmarkEnd w:id="1325"/>
      <w:bookmarkEnd w:id="1326"/>
    </w:p>
    <w:p w14:paraId="3D6221D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17.5.1  竣工付款申请单</w:t>
      </w:r>
    </w:p>
    <w:p w14:paraId="72E16AF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（1）工程接收证书颁发后，承包人应按合同约定的份数和期限向监理人提交竣工付款申请单，并提供相关证明材料。承包人提交竣工付款申请单份数和期限见合同条款专用部分。</w:t>
      </w:r>
    </w:p>
    <w:p w14:paraId="638918E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6BC2475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（3）监理人对竣工付款申请单有异议的，有权要求承包人进行修正和提供补充资料。经监理人和承包人协商后，由承包人向监理人提交修正后的竣工付款申请单。</w:t>
      </w:r>
    </w:p>
    <w:p w14:paraId="5873C1F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未按本项约定的期限和内容提交竣工付款申请单或者未按第17.5.1（3)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0C353DF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17.5.2  竣工付款证书及支付时间</w:t>
      </w:r>
    </w:p>
    <w:p w14:paraId="672D4EC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7A79B81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（2）发包人应在监理人出具竣工付款证书后的14天内，将应支付款支付给承包人。发包人不按期支付的，按第17.3.3（2）目的约定，将逾期付款违约金支付给承包人。</w:t>
      </w:r>
    </w:p>
    <w:p w14:paraId="39BCD2F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（3）承包人对发包人签认的竣工付款证书有异议的，发包人可出具竣工付款申请单中与承包人达成一致意见部分的临时付款证书。存在争议的部分，按第24条“争议的解决”的约定办理。</w:t>
      </w:r>
    </w:p>
    <w:p w14:paraId="305D3CA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（4）竣工付款涉及政府投资资金的，按第17.3.3（4）目的约定办理。</w:t>
      </w:r>
    </w:p>
    <w:p w14:paraId="1DD99B6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17.5.3  除第17.5.4项约定的情况外，发包人和承包人应当在监理人颁发（出具）工程接收证书后56天内办清竣工结算和竣工付款。</w:t>
      </w:r>
    </w:p>
    <w:p w14:paraId="72FAB26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1E43FAF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27" w:name="_BookMark_216"/>
      <w:bookmarkEnd w:id="1327"/>
      <w:bookmarkStart w:id="1328" w:name="_Toc4661547"/>
      <w:bookmarkStart w:id="1329" w:name="_Toc11089046"/>
      <w:bookmarkStart w:id="1330" w:name="_Toc14866804"/>
      <w:bookmarkStart w:id="1331" w:name="_Toc11266"/>
      <w:r>
        <w:rPr>
          <w:rFonts w:hint="eastAsia" w:ascii="宋体" w:hAnsi="宋体" w:cs="宋体"/>
          <w:b w:val="0"/>
          <w:bCs w:val="0"/>
          <w:color w:val="auto"/>
          <w:sz w:val="21"/>
          <w:szCs w:val="21"/>
          <w:highlight w:val="none"/>
          <w:shd w:val="clear" w:color="auto" w:fill="FFFFFF"/>
        </w:rPr>
        <w:t>17.6  最终结清</w:t>
      </w:r>
      <w:bookmarkEnd w:id="1328"/>
      <w:bookmarkEnd w:id="1329"/>
      <w:bookmarkEnd w:id="1330"/>
      <w:bookmarkEnd w:id="1331"/>
    </w:p>
    <w:p w14:paraId="41C7F53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17.6.1  最终结清申请单</w:t>
      </w:r>
    </w:p>
    <w:p w14:paraId="434FEDE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（1）缺陷责任期终止证书签发后，承包人可按合同约定的份数和期限向监理人提交最终结清申请单，并提供相关证明材料。承包人提交最终结清申请单的份数和期限见合同条款专用部分。</w:t>
      </w:r>
    </w:p>
    <w:p w14:paraId="3FD84F2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发包人向承包人支付质量保证金利息的，承包人应按照约定的利息计算方法计算利息，并列入最终结清申请单中。是否支付质量保证金利息及利息计算方法见合同条款专用部分。</w:t>
      </w:r>
    </w:p>
    <w:p w14:paraId="089C074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（2）发包人对最终结清申请单内容有异议的，有权要求承包人进行修正和提供补充资料，由承包人向监理人提交修正后的最终结清申请单。</w:t>
      </w:r>
    </w:p>
    <w:p w14:paraId="433CB9F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17.6.2  最终结清证书和支付时间</w:t>
      </w:r>
    </w:p>
    <w:p w14:paraId="654BBC5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1FB32E1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（2）发包人应在监理人出具最终结清证书后的14天内，将应支付款支付给承包人。发包人不按期支付的，按第17.3.3（2）目的约定，将逾期付款违约金支付给承包人。</w:t>
      </w:r>
    </w:p>
    <w:p w14:paraId="21B76F3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（3）承包人对发包人签认的最终结清证书有异议的，按第24条“争议的解决”的约定办理。</w:t>
      </w:r>
    </w:p>
    <w:p w14:paraId="3E532EB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（4）最终结清付款涉及政府投资资金的，按第17.3.3（4）目的约定办理。</w:t>
      </w:r>
    </w:p>
    <w:p w14:paraId="132E8713">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332" w:name="_BookMark_217"/>
      <w:bookmarkEnd w:id="1332"/>
      <w:bookmarkStart w:id="1333" w:name="_Toc29614"/>
      <w:bookmarkStart w:id="1334" w:name="_Toc14866805"/>
      <w:bookmarkStart w:id="1335" w:name="_Toc11089047"/>
      <w:bookmarkStart w:id="1336" w:name="_Toc4661548"/>
      <w:r>
        <w:rPr>
          <w:rFonts w:hint="eastAsia" w:ascii="宋体" w:hAnsi="宋体"/>
          <w:b w:val="0"/>
          <w:bCs w:val="0"/>
          <w:color w:val="auto"/>
          <w:sz w:val="21"/>
          <w:szCs w:val="21"/>
          <w:highlight w:val="none"/>
          <w:shd w:val="clear" w:color="auto" w:fill="FFFFFF"/>
        </w:rPr>
        <w:t>18.竣工验收</w:t>
      </w:r>
      <w:bookmarkEnd w:id="1333"/>
      <w:bookmarkEnd w:id="1334"/>
      <w:bookmarkEnd w:id="1335"/>
      <w:bookmarkEnd w:id="1336"/>
    </w:p>
    <w:p w14:paraId="6D51C44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37" w:name="_BookMark_218"/>
      <w:bookmarkEnd w:id="1337"/>
      <w:bookmarkStart w:id="1338" w:name="_Toc4661549"/>
      <w:bookmarkStart w:id="1339" w:name="_Toc11089048"/>
      <w:bookmarkStart w:id="1340" w:name="_Toc20780"/>
      <w:bookmarkStart w:id="1341" w:name="_Toc14866806"/>
      <w:r>
        <w:rPr>
          <w:rFonts w:hint="eastAsia" w:ascii="宋体" w:hAnsi="宋体" w:cs="宋体"/>
          <w:b w:val="0"/>
          <w:bCs w:val="0"/>
          <w:color w:val="auto"/>
          <w:sz w:val="21"/>
          <w:szCs w:val="21"/>
          <w:highlight w:val="none"/>
          <w:shd w:val="clear" w:color="auto" w:fill="FFFFFF"/>
        </w:rPr>
        <w:t>18.1  竣工验收的含义</w:t>
      </w:r>
      <w:bookmarkEnd w:id="1338"/>
      <w:bookmarkEnd w:id="1339"/>
      <w:bookmarkEnd w:id="1340"/>
      <w:bookmarkEnd w:id="1341"/>
    </w:p>
    <w:p w14:paraId="0634471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18.1.1  竣工验收指承包人完成了全部合同工作后，发包人按合同要求进行的验收。</w:t>
      </w:r>
    </w:p>
    <w:p w14:paraId="0D294FE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18.1.2  国家验收是政府有关部门根据法律、规范、规程和政策要求，针对发包人全面组织实施的整个工程正式交付投运前的验收。</w:t>
      </w:r>
    </w:p>
    <w:p w14:paraId="5E584B2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7637D80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42" w:name="_BookMark_219"/>
      <w:bookmarkEnd w:id="1342"/>
      <w:bookmarkStart w:id="1343" w:name="_Toc4661550"/>
      <w:bookmarkStart w:id="1344" w:name="_Toc29726"/>
      <w:bookmarkStart w:id="1345" w:name="_Toc14866807"/>
      <w:bookmarkStart w:id="1346" w:name="_Toc11089049"/>
      <w:r>
        <w:rPr>
          <w:rFonts w:hint="eastAsia" w:ascii="宋体" w:hAnsi="宋体" w:cs="宋体"/>
          <w:b w:val="0"/>
          <w:bCs w:val="0"/>
          <w:color w:val="auto"/>
          <w:sz w:val="21"/>
          <w:szCs w:val="21"/>
          <w:highlight w:val="none"/>
          <w:shd w:val="clear" w:color="auto" w:fill="FFFFFF"/>
        </w:rPr>
        <w:t>18.2  竣工验收申请报告</w:t>
      </w:r>
      <w:bookmarkEnd w:id="1343"/>
      <w:bookmarkEnd w:id="1344"/>
      <w:bookmarkEnd w:id="1345"/>
      <w:bookmarkEnd w:id="1346"/>
    </w:p>
    <w:p w14:paraId="6ECD2C8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当工程具备以下条件时，承包人即可向监理人报送竣工验收申请报告：</w:t>
      </w:r>
    </w:p>
    <w:p w14:paraId="6E05019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（1）除监理人同意列入缺陷责任期内完成的尾工（甩项）工程和缺陷修补工作外，合同范围内的全部单位工程以及有关工作，包括合同要求的试验、试运行以及检验和验收均已完成，并符合合同要求；</w:t>
      </w:r>
    </w:p>
    <w:p w14:paraId="3936639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7AEECA3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（3）已按监理人的要求编制了在缺陷责任期内需完成的尾工（甩项）工程，和缺陷修补工作清单等相应施工计划；</w:t>
      </w:r>
    </w:p>
    <w:p w14:paraId="4ABD0F1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（4）监理人要求在竣工验收前应完成的其他工作；</w:t>
      </w:r>
    </w:p>
    <w:p w14:paraId="63A5904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（5）监理人要求提交的竣工验收资料清单。</w:t>
      </w:r>
    </w:p>
    <w:p w14:paraId="166C74B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47" w:name="_BookMark_220"/>
      <w:bookmarkEnd w:id="1347"/>
      <w:bookmarkStart w:id="1348" w:name="_Toc3638"/>
      <w:bookmarkStart w:id="1349" w:name="_Toc14866808"/>
      <w:bookmarkStart w:id="1350" w:name="_Toc11089050"/>
      <w:bookmarkStart w:id="1351" w:name="_Toc4661551"/>
      <w:r>
        <w:rPr>
          <w:rFonts w:hint="eastAsia" w:ascii="宋体" w:hAnsi="宋体" w:cs="宋体"/>
          <w:b w:val="0"/>
          <w:bCs w:val="0"/>
          <w:color w:val="auto"/>
          <w:sz w:val="21"/>
          <w:szCs w:val="21"/>
          <w:highlight w:val="none"/>
          <w:shd w:val="clear" w:color="auto" w:fill="FFFFFF"/>
        </w:rPr>
        <w:t>18.3  验收</w:t>
      </w:r>
      <w:bookmarkEnd w:id="1348"/>
      <w:bookmarkEnd w:id="1349"/>
      <w:bookmarkEnd w:id="1350"/>
      <w:bookmarkEnd w:id="1351"/>
    </w:p>
    <w:p w14:paraId="7448DB7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监理人收到承包人按第18.2款约定提交的竣工验收申请报告后，应审查申请报告的各项内容，并按以下不同情况进行处理。</w:t>
      </w:r>
    </w:p>
    <w:p w14:paraId="025ADD0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18.3.1  监理人审查后认为尚不具备竣工验收条件的，应在收到竣工验收申请报告后的28天内通知承包人，并指出在颁发接收证书前承包人需进行的工作内容。承包人完成监理人通知的全部工作内容后，应再次提交竣工验收申请报告，直至监理人同意为止。</w:t>
      </w:r>
    </w:p>
    <w:p w14:paraId="756AA79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18.3.2  监理人审查后认为已具备竣工验收条件的，应在收到竣工验收申请报告后的28天内提请发包人进行工程验收。</w:t>
      </w:r>
    </w:p>
    <w:p w14:paraId="252EBAE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18.3.3  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3933FF1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18.3.4  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4FEEC94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18.3.5  经验收合格的工程, 实际竣工日期为承包人按照第18.2款提交竣工验收申请报告或按照本款重新提交竣工验收申请报告的日期（以两者中时间在后者为准）。</w:t>
      </w:r>
    </w:p>
    <w:p w14:paraId="72F4375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18.3.6  发包人在收到承包人竣工验收申请报告56天后未进行验收的，视为验收合格，实际竣工日期以提交竣工验收申请报告的日期为准，但发包人由于不可抗力不能进行验收的除外。</w:t>
      </w:r>
    </w:p>
    <w:p w14:paraId="1D11B65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52" w:name="_BookMark_221"/>
      <w:bookmarkEnd w:id="1352"/>
      <w:bookmarkStart w:id="1353" w:name="_Toc14866809"/>
      <w:bookmarkStart w:id="1354" w:name="_Toc22422"/>
      <w:bookmarkStart w:id="1355" w:name="_Toc4661552"/>
      <w:bookmarkStart w:id="1356" w:name="_Toc11089051"/>
      <w:r>
        <w:rPr>
          <w:rFonts w:hint="eastAsia" w:ascii="宋体" w:hAnsi="宋体" w:cs="宋体"/>
          <w:b w:val="0"/>
          <w:bCs w:val="0"/>
          <w:color w:val="auto"/>
          <w:sz w:val="21"/>
          <w:szCs w:val="21"/>
          <w:highlight w:val="none"/>
          <w:shd w:val="clear" w:color="auto" w:fill="FFFFFF"/>
        </w:rPr>
        <w:t>18.4  单位工程验收</w:t>
      </w:r>
      <w:bookmarkEnd w:id="1353"/>
      <w:bookmarkEnd w:id="1354"/>
      <w:bookmarkEnd w:id="1355"/>
      <w:bookmarkEnd w:id="1356"/>
    </w:p>
    <w:p w14:paraId="41D99BF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6F50114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18.4.2  发包人在全部工程竣工前，使用已接收的单位工程导致承包人费用增加的，发包人应承担由此增加的费用和（或）工期延误，并支付承包人合理利润。</w:t>
      </w:r>
    </w:p>
    <w:p w14:paraId="0B5104D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57" w:name="_BookMark_222"/>
      <w:bookmarkEnd w:id="1357"/>
      <w:bookmarkStart w:id="1358" w:name="_Toc4911"/>
      <w:bookmarkStart w:id="1359" w:name="_Toc11089052"/>
      <w:bookmarkStart w:id="1360" w:name="_Toc4661553"/>
      <w:bookmarkStart w:id="1361" w:name="_Toc14866810"/>
      <w:r>
        <w:rPr>
          <w:rFonts w:hint="eastAsia" w:ascii="宋体" w:hAnsi="宋体" w:cs="宋体"/>
          <w:b w:val="0"/>
          <w:bCs w:val="0"/>
          <w:color w:val="auto"/>
          <w:sz w:val="21"/>
          <w:szCs w:val="21"/>
          <w:highlight w:val="none"/>
          <w:shd w:val="clear" w:color="auto" w:fill="FFFFFF"/>
        </w:rPr>
        <w:t>18.5  施工期运行</w:t>
      </w:r>
      <w:bookmarkEnd w:id="1358"/>
      <w:bookmarkEnd w:id="1359"/>
      <w:bookmarkEnd w:id="1360"/>
      <w:bookmarkEnd w:id="1361"/>
    </w:p>
    <w:p w14:paraId="278E38C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18.5.1  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1130F74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18.5.2  在施工期运行中发现工程或工程设备损坏或存在缺陷的，由承包人按第19.2款约定进行修复。</w:t>
      </w:r>
    </w:p>
    <w:p w14:paraId="11DFF552">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62" w:name="_BookMark_223"/>
      <w:bookmarkEnd w:id="1362"/>
      <w:bookmarkStart w:id="1363" w:name="_Toc4661554"/>
      <w:bookmarkStart w:id="1364" w:name="_Toc11089053"/>
      <w:bookmarkStart w:id="1365" w:name="_Toc14866811"/>
      <w:bookmarkStart w:id="1366" w:name="_Toc15659"/>
      <w:r>
        <w:rPr>
          <w:rFonts w:hint="eastAsia" w:ascii="宋体" w:hAnsi="宋体" w:cs="宋体"/>
          <w:b w:val="0"/>
          <w:bCs w:val="0"/>
          <w:color w:val="auto"/>
          <w:sz w:val="21"/>
          <w:szCs w:val="21"/>
          <w:highlight w:val="none"/>
          <w:shd w:val="clear" w:color="auto" w:fill="FFFFFF"/>
        </w:rPr>
        <w:t>18.6  试运行</w:t>
      </w:r>
      <w:bookmarkEnd w:id="1363"/>
      <w:bookmarkEnd w:id="1364"/>
      <w:bookmarkEnd w:id="1365"/>
      <w:bookmarkEnd w:id="1366"/>
    </w:p>
    <w:p w14:paraId="06B35F6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18.6.1  工程及工程设备试运行的组织与费用承担</w:t>
      </w:r>
    </w:p>
    <w:p w14:paraId="616066B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（1）工程设备安装具备单机无负荷试运行条件，由承包人组织试运行，费用由承包人承担。</w:t>
      </w:r>
    </w:p>
    <w:p w14:paraId="4D42882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（2）工程设备安装具备无负荷联动试运行条件，由发包人组织试运行，费用由发包人承担。</w:t>
      </w:r>
    </w:p>
    <w:p w14:paraId="78D77F3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（3）投料试运行应在工程竣工验收后由发包人负责，如发包人要求在工程竣工验收前进行或需要承包人配合时，应征得承包人同意，另行签订补充协议。</w:t>
      </w:r>
    </w:p>
    <w:p w14:paraId="5AEE5EB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0404E8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67" w:name="_BookMark_224"/>
      <w:bookmarkEnd w:id="1367"/>
      <w:bookmarkStart w:id="1368" w:name="_Toc4661555"/>
      <w:bookmarkStart w:id="1369" w:name="_Toc11089054"/>
      <w:bookmarkStart w:id="1370" w:name="_Toc14866812"/>
      <w:bookmarkStart w:id="1371" w:name="_Toc32017"/>
      <w:r>
        <w:rPr>
          <w:rFonts w:hint="eastAsia" w:ascii="宋体" w:hAnsi="宋体" w:cs="宋体"/>
          <w:b w:val="0"/>
          <w:bCs w:val="0"/>
          <w:color w:val="auto"/>
          <w:sz w:val="21"/>
          <w:szCs w:val="21"/>
          <w:highlight w:val="none"/>
          <w:shd w:val="clear" w:color="auto" w:fill="FFFFFF"/>
        </w:rPr>
        <w:t>18.7  竣工清场</w:t>
      </w:r>
      <w:bookmarkEnd w:id="1368"/>
      <w:bookmarkEnd w:id="1369"/>
      <w:bookmarkEnd w:id="1370"/>
      <w:bookmarkEnd w:id="1371"/>
    </w:p>
    <w:p w14:paraId="05D4B21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18.7.1  监理人颁发（出具）工程接收证书后，承包人负责按照以下要求对施工场地进行清理，直至监理人检验合格为止。竣工清场费用由承包人承担。</w:t>
      </w:r>
    </w:p>
    <w:p w14:paraId="2F1DE0E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（1）施工场地内残留的垃圾已全部清除出场；</w:t>
      </w:r>
    </w:p>
    <w:p w14:paraId="7FCDA70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（2）临时工程已拆除，场地已按合同要求进行清理、平整或复原；</w:t>
      </w:r>
    </w:p>
    <w:p w14:paraId="7966E9C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（3）按合同约定应撤离的承包人设备和剩余的材料，包括废弃的施工设备和材料，已按计划撤离施工场地；</w:t>
      </w:r>
    </w:p>
    <w:p w14:paraId="3182F2F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（4）工程建筑物周边及其附近道路、河道的施工堆积物，已按监理人指示全部清理；</w:t>
      </w:r>
    </w:p>
    <w:p w14:paraId="4B5F835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（5）监理人指示的其他场地清理工作已全部完成。</w:t>
      </w:r>
    </w:p>
    <w:p w14:paraId="70B209A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18.7.2  承包人未按监理人的要求恢复临时占地，或者场地清理未达到合同约定的，发包人有权委托其他人恢复或清理，所发生的金额从拟支付给承包人的款项中扣除。</w:t>
      </w:r>
    </w:p>
    <w:p w14:paraId="59E78DB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72" w:name="_BookMark_225"/>
      <w:bookmarkEnd w:id="1372"/>
      <w:bookmarkStart w:id="1373" w:name="_Toc4661556"/>
      <w:bookmarkStart w:id="1374" w:name="_Toc14866813"/>
      <w:bookmarkStart w:id="1375" w:name="_Toc18241"/>
      <w:bookmarkStart w:id="1376" w:name="_Toc11089055"/>
      <w:r>
        <w:rPr>
          <w:rFonts w:hint="eastAsia" w:ascii="宋体" w:hAnsi="宋体" w:cs="宋体"/>
          <w:b w:val="0"/>
          <w:bCs w:val="0"/>
          <w:color w:val="auto"/>
          <w:sz w:val="21"/>
          <w:szCs w:val="21"/>
          <w:highlight w:val="none"/>
          <w:shd w:val="clear" w:color="auto" w:fill="FFFFFF"/>
        </w:rPr>
        <w:t>18.8  施工队伍的撤离</w:t>
      </w:r>
      <w:bookmarkEnd w:id="1373"/>
      <w:bookmarkEnd w:id="1374"/>
      <w:bookmarkEnd w:id="1375"/>
      <w:bookmarkEnd w:id="1376"/>
    </w:p>
    <w:p w14:paraId="7E8AD02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18.8.1  工程接收证书颁发后的56天内，除了经监理人同意需在缺陷责任期内继续工作和使用的人员、施工设备和临时工程外，其余的人员、施工设备和临时工程均应撤离施工场地或拆除。</w:t>
      </w:r>
    </w:p>
    <w:p w14:paraId="671E7CF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18.8.2  承包人撤离施工场地（现场）时，监理人和承包人应当办理永久工程和施工场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w:t>
      </w:r>
    </w:p>
    <w:p w14:paraId="60D9DB8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18.8.3  缺陷责任期满时，承包人的人员和施工设备应在合同约定期限内全部撤离施工场地。撤离施工场地的期限要求见合同条款专用部分。</w:t>
      </w:r>
    </w:p>
    <w:p w14:paraId="4A7DD4F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77" w:name="_BookMark_226"/>
      <w:bookmarkEnd w:id="1377"/>
      <w:bookmarkStart w:id="1378" w:name="_Toc4661557"/>
      <w:bookmarkStart w:id="1379" w:name="_Toc14866814"/>
      <w:bookmarkStart w:id="1380" w:name="_Toc16571"/>
      <w:bookmarkStart w:id="1381" w:name="_Toc11089056"/>
      <w:r>
        <w:rPr>
          <w:rFonts w:hint="eastAsia" w:ascii="宋体" w:hAnsi="宋体" w:cs="宋体"/>
          <w:b w:val="0"/>
          <w:bCs w:val="0"/>
          <w:color w:val="auto"/>
          <w:sz w:val="21"/>
          <w:szCs w:val="21"/>
          <w:highlight w:val="none"/>
          <w:shd w:val="clear" w:color="auto" w:fill="FFFFFF"/>
        </w:rPr>
        <w:t>18.9  中间验收</w:t>
      </w:r>
      <w:bookmarkEnd w:id="1378"/>
      <w:bookmarkEnd w:id="1379"/>
      <w:bookmarkEnd w:id="1380"/>
      <w:bookmarkEnd w:id="1381"/>
    </w:p>
    <w:p w14:paraId="4B2D9DD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18.9.1  本工程需要按照合同约定进行中间验收。进行中间验收的部位见合同条款专用部分。</w:t>
      </w:r>
    </w:p>
    <w:p w14:paraId="1CE52EC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7CF1D81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18.9.3  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7979937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经监理人验收后工程质量符合约定的验收标准，但验收24小时后监理人仍不在验收记录上签字的，视为监理人已经认可验收记录，承包人可继续施工。</w:t>
      </w:r>
    </w:p>
    <w:p w14:paraId="1C50582F">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382" w:name="_BookMark_227"/>
      <w:bookmarkEnd w:id="1382"/>
      <w:bookmarkStart w:id="1383" w:name="_Toc4661558"/>
      <w:bookmarkStart w:id="1384" w:name="_Toc11089057"/>
      <w:bookmarkStart w:id="1385" w:name="_Toc11035"/>
      <w:bookmarkStart w:id="1386" w:name="_Toc14866815"/>
      <w:r>
        <w:rPr>
          <w:rFonts w:hint="eastAsia" w:ascii="宋体" w:hAnsi="宋体"/>
          <w:b w:val="0"/>
          <w:bCs w:val="0"/>
          <w:color w:val="auto"/>
          <w:sz w:val="21"/>
          <w:szCs w:val="21"/>
          <w:highlight w:val="none"/>
          <w:shd w:val="clear" w:color="auto" w:fill="FFFFFF"/>
        </w:rPr>
        <w:t>19.缺陷责任与保修责任</w:t>
      </w:r>
      <w:bookmarkEnd w:id="1383"/>
      <w:bookmarkEnd w:id="1384"/>
      <w:bookmarkEnd w:id="1385"/>
      <w:bookmarkEnd w:id="1386"/>
    </w:p>
    <w:p w14:paraId="352CAEE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87" w:name="_BookMark_228"/>
      <w:bookmarkEnd w:id="1387"/>
      <w:bookmarkStart w:id="1388" w:name="_Toc2751"/>
      <w:bookmarkStart w:id="1389" w:name="_Toc14866816"/>
      <w:bookmarkStart w:id="1390" w:name="_Toc4661559"/>
      <w:bookmarkStart w:id="1391" w:name="_Toc11089058"/>
      <w:r>
        <w:rPr>
          <w:rFonts w:hint="eastAsia" w:ascii="宋体" w:hAnsi="宋体" w:cs="宋体"/>
          <w:b w:val="0"/>
          <w:bCs w:val="0"/>
          <w:color w:val="auto"/>
          <w:sz w:val="21"/>
          <w:szCs w:val="21"/>
          <w:highlight w:val="none"/>
          <w:shd w:val="clear" w:color="auto" w:fill="FFFFFF"/>
        </w:rPr>
        <w:t>19.1  缺陷责任期的起算时间</w:t>
      </w:r>
      <w:bookmarkEnd w:id="1388"/>
      <w:bookmarkEnd w:id="1389"/>
      <w:bookmarkEnd w:id="1390"/>
      <w:bookmarkEnd w:id="1391"/>
    </w:p>
    <w:p w14:paraId="1E5448C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缺陷责任期自实际竣工日期起计算。在全部工程竣工验收前，已经发包人提前验收的单位工程，其缺陷责任期的起算日期相应提前。</w:t>
      </w:r>
    </w:p>
    <w:p w14:paraId="4C323FD1">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92" w:name="_BookMark_229"/>
      <w:bookmarkEnd w:id="1392"/>
      <w:bookmarkStart w:id="1393" w:name="_Toc4661560"/>
      <w:bookmarkStart w:id="1394" w:name="_Toc26107"/>
      <w:bookmarkStart w:id="1395" w:name="_Toc14866817"/>
      <w:bookmarkStart w:id="1396" w:name="_Toc11089059"/>
      <w:r>
        <w:rPr>
          <w:rFonts w:hint="eastAsia" w:ascii="宋体" w:hAnsi="宋体" w:cs="宋体"/>
          <w:b w:val="0"/>
          <w:bCs w:val="0"/>
          <w:color w:val="auto"/>
          <w:sz w:val="21"/>
          <w:szCs w:val="21"/>
          <w:highlight w:val="none"/>
          <w:shd w:val="clear" w:color="auto" w:fill="FFFFFF"/>
        </w:rPr>
        <w:t>19.2  缺陷责任</w:t>
      </w:r>
      <w:bookmarkEnd w:id="1393"/>
      <w:bookmarkEnd w:id="1394"/>
      <w:bookmarkEnd w:id="1395"/>
      <w:bookmarkEnd w:id="1396"/>
    </w:p>
    <w:p w14:paraId="69D6DFF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19.2.1  承包人应在缺陷责任期内对已交付使用的工程承担缺陷责任。</w:t>
      </w:r>
    </w:p>
    <w:p w14:paraId="5DF8FE5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1209756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5CA1D9F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19.2.4  承包人不能在合理时间内修复缺陷的，发包人可自行修复或委托其他人修复，所需费用和利润的承担，按第19.2.3项约定办理。</w:t>
      </w:r>
    </w:p>
    <w:p w14:paraId="15E03DB6">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397" w:name="_BookMark_230"/>
      <w:bookmarkEnd w:id="1397"/>
      <w:bookmarkStart w:id="1398" w:name="_Toc14866818"/>
      <w:bookmarkStart w:id="1399" w:name="_Toc11089060"/>
      <w:bookmarkStart w:id="1400" w:name="_Toc8832"/>
      <w:bookmarkStart w:id="1401" w:name="_Toc4661561"/>
      <w:r>
        <w:rPr>
          <w:rFonts w:hint="eastAsia" w:ascii="宋体" w:hAnsi="宋体" w:cs="宋体"/>
          <w:b w:val="0"/>
          <w:bCs w:val="0"/>
          <w:color w:val="auto"/>
          <w:sz w:val="21"/>
          <w:szCs w:val="21"/>
          <w:highlight w:val="none"/>
          <w:shd w:val="clear" w:color="auto" w:fill="FFFFFF"/>
        </w:rPr>
        <w:t>19.3  缺陷责任期的延长</w:t>
      </w:r>
      <w:bookmarkEnd w:id="1398"/>
      <w:bookmarkEnd w:id="1399"/>
      <w:bookmarkEnd w:id="1400"/>
      <w:bookmarkEnd w:id="1401"/>
    </w:p>
    <w:p w14:paraId="3DCEF4D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由于承包人原因造成某项缺陷或损坏，使某项工程或工程设备不能按原定目标使用，需要再次检查、检验和修复的，发包人有权要求承包人相应延长缺陷责任期，但缺陷责任期最长不超过2年。</w:t>
      </w:r>
    </w:p>
    <w:p w14:paraId="3611AB1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02" w:name="_BookMark_231"/>
      <w:bookmarkEnd w:id="1402"/>
      <w:bookmarkStart w:id="1403" w:name="_Toc11089061"/>
      <w:bookmarkStart w:id="1404" w:name="_Toc3125"/>
      <w:bookmarkStart w:id="1405" w:name="_Toc4661562"/>
      <w:bookmarkStart w:id="1406" w:name="_Toc14866819"/>
      <w:r>
        <w:rPr>
          <w:rFonts w:hint="eastAsia" w:ascii="宋体" w:hAnsi="宋体" w:cs="宋体"/>
          <w:b w:val="0"/>
          <w:bCs w:val="0"/>
          <w:color w:val="auto"/>
          <w:sz w:val="21"/>
          <w:szCs w:val="21"/>
          <w:highlight w:val="none"/>
          <w:shd w:val="clear" w:color="auto" w:fill="FFFFFF"/>
        </w:rPr>
        <w:t>19.4  进一步试验和试运行</w:t>
      </w:r>
      <w:bookmarkEnd w:id="1403"/>
      <w:bookmarkEnd w:id="1404"/>
      <w:bookmarkEnd w:id="1405"/>
      <w:bookmarkEnd w:id="1406"/>
    </w:p>
    <w:p w14:paraId="28A339D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任何一项缺陷或损坏修复后，经检查证明其影响了工程或工程设备的使用性能，承包人应重新进行合同约定的试验和试运行，试验和试运行的全部费用应由责任方承担。</w:t>
      </w:r>
    </w:p>
    <w:p w14:paraId="5845243B">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07" w:name="_BookMark_232"/>
      <w:bookmarkEnd w:id="1407"/>
      <w:bookmarkStart w:id="1408" w:name="_Toc4989"/>
      <w:bookmarkStart w:id="1409" w:name="_Toc14866820"/>
      <w:bookmarkStart w:id="1410" w:name="_Toc11089062"/>
      <w:bookmarkStart w:id="1411" w:name="_Toc4661563"/>
      <w:r>
        <w:rPr>
          <w:rFonts w:hint="eastAsia" w:ascii="宋体" w:hAnsi="宋体" w:cs="宋体"/>
          <w:b w:val="0"/>
          <w:bCs w:val="0"/>
          <w:color w:val="auto"/>
          <w:sz w:val="21"/>
          <w:szCs w:val="21"/>
          <w:highlight w:val="none"/>
          <w:shd w:val="clear" w:color="auto" w:fill="FFFFFF"/>
        </w:rPr>
        <w:t>19.5  承包人的进入权</w:t>
      </w:r>
      <w:bookmarkEnd w:id="1408"/>
      <w:bookmarkEnd w:id="1409"/>
      <w:bookmarkEnd w:id="1410"/>
      <w:bookmarkEnd w:id="1411"/>
    </w:p>
    <w:p w14:paraId="718F565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缺陷责任期内承包人为缺陷修复工作需要，有权进入工程现场，但应遵守发包人的保安和保密规定。</w:t>
      </w:r>
    </w:p>
    <w:p w14:paraId="50C9AC7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12" w:name="_BookMark_233"/>
      <w:bookmarkEnd w:id="1412"/>
      <w:bookmarkStart w:id="1413" w:name="_Toc2527"/>
      <w:bookmarkStart w:id="1414" w:name="_Toc14866821"/>
      <w:bookmarkStart w:id="1415" w:name="_Toc4661564"/>
      <w:bookmarkStart w:id="1416" w:name="_Toc11089063"/>
      <w:r>
        <w:rPr>
          <w:rFonts w:hint="eastAsia" w:ascii="宋体" w:hAnsi="宋体" w:cs="宋体"/>
          <w:b w:val="0"/>
          <w:bCs w:val="0"/>
          <w:color w:val="auto"/>
          <w:sz w:val="21"/>
          <w:szCs w:val="21"/>
          <w:highlight w:val="none"/>
          <w:shd w:val="clear" w:color="auto" w:fill="FFFFFF"/>
        </w:rPr>
        <w:t>19.6  缺陷责任期终止证书</w:t>
      </w:r>
      <w:bookmarkEnd w:id="1413"/>
      <w:bookmarkEnd w:id="1414"/>
      <w:bookmarkEnd w:id="1415"/>
      <w:bookmarkEnd w:id="1416"/>
    </w:p>
    <w:p w14:paraId="7B893A5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在第1.1.4.5目约定的缺陷责任期，包括根据第19.3款延长的期限终止后14天内，由监理人向承包人出具经发包人签认的缺陷责任期终止证书，并退还剩余的质量保证金或退还保函。</w:t>
      </w:r>
    </w:p>
    <w:p w14:paraId="11CD382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17" w:name="_BookMark_234"/>
      <w:bookmarkEnd w:id="1417"/>
      <w:bookmarkStart w:id="1418" w:name="_Toc4661565"/>
      <w:bookmarkStart w:id="1419" w:name="_Toc14866822"/>
      <w:bookmarkStart w:id="1420" w:name="_Toc13756"/>
      <w:bookmarkStart w:id="1421" w:name="_Toc11089064"/>
      <w:r>
        <w:rPr>
          <w:rFonts w:hint="eastAsia" w:ascii="宋体" w:hAnsi="宋体" w:cs="宋体"/>
          <w:b w:val="0"/>
          <w:bCs w:val="0"/>
          <w:color w:val="auto"/>
          <w:sz w:val="21"/>
          <w:szCs w:val="21"/>
          <w:highlight w:val="none"/>
          <w:shd w:val="clear" w:color="auto" w:fill="FFFFFF"/>
        </w:rPr>
        <w:t>19.7  保修责任</w:t>
      </w:r>
      <w:bookmarkEnd w:id="1418"/>
      <w:bookmarkEnd w:id="1419"/>
      <w:bookmarkEnd w:id="1420"/>
      <w:bookmarkEnd w:id="1421"/>
    </w:p>
    <w:p w14:paraId="3320DDB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见合同条款专用部分。</w:t>
      </w:r>
    </w:p>
    <w:p w14:paraId="6B41D68F">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285A406C">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22" w:name="_BookMark_235"/>
      <w:bookmarkEnd w:id="1422"/>
      <w:bookmarkStart w:id="1423" w:name="_Toc10760"/>
      <w:bookmarkStart w:id="1424" w:name="_Toc14866823"/>
      <w:bookmarkStart w:id="1425" w:name="_Toc4661566"/>
      <w:bookmarkStart w:id="1426" w:name="_Toc11089065"/>
      <w:r>
        <w:rPr>
          <w:rFonts w:hint="eastAsia" w:ascii="宋体" w:hAnsi="宋体"/>
          <w:b w:val="0"/>
          <w:bCs w:val="0"/>
          <w:color w:val="auto"/>
          <w:sz w:val="21"/>
          <w:szCs w:val="21"/>
          <w:highlight w:val="none"/>
          <w:shd w:val="clear" w:color="auto" w:fill="FFFFFF"/>
        </w:rPr>
        <w:t>20.保险</w:t>
      </w:r>
      <w:bookmarkEnd w:id="1423"/>
      <w:bookmarkEnd w:id="1424"/>
      <w:bookmarkEnd w:id="1425"/>
      <w:bookmarkEnd w:id="1426"/>
    </w:p>
    <w:p w14:paraId="3ADCAE9E">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27" w:name="_BookMark_236"/>
      <w:bookmarkEnd w:id="1427"/>
      <w:bookmarkStart w:id="1428" w:name="_Toc11089066"/>
      <w:bookmarkStart w:id="1429" w:name="_Toc14866824"/>
      <w:bookmarkStart w:id="1430" w:name="_Toc4661567"/>
      <w:bookmarkStart w:id="1431" w:name="_Toc13995"/>
      <w:r>
        <w:rPr>
          <w:rFonts w:hint="eastAsia" w:ascii="宋体" w:hAnsi="宋体" w:cs="宋体"/>
          <w:b w:val="0"/>
          <w:bCs w:val="0"/>
          <w:color w:val="auto"/>
          <w:sz w:val="21"/>
          <w:szCs w:val="21"/>
          <w:highlight w:val="none"/>
          <w:shd w:val="clear" w:color="auto" w:fill="FFFFFF"/>
        </w:rPr>
        <w:t>20.1  工程保险</w:t>
      </w:r>
      <w:bookmarkEnd w:id="1428"/>
      <w:bookmarkEnd w:id="1429"/>
      <w:bookmarkEnd w:id="1430"/>
      <w:bookmarkEnd w:id="1431"/>
    </w:p>
    <w:p w14:paraId="4D83537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承包人应以发包人和承包人的共同名义向双方同意的保险人投保建筑工程一切险、安装工程一切险。其具体的投保内容、保险金额、保险费率、保险期限等有关内容见合同条款专用部分。</w:t>
      </w:r>
    </w:p>
    <w:p w14:paraId="19A5B47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32" w:name="_BookMark_237"/>
      <w:bookmarkEnd w:id="1432"/>
      <w:bookmarkStart w:id="1433" w:name="_Toc11089067"/>
      <w:bookmarkStart w:id="1434" w:name="_Toc14866825"/>
      <w:bookmarkStart w:id="1435" w:name="_Toc8347"/>
      <w:bookmarkStart w:id="1436" w:name="_Toc4661568"/>
      <w:r>
        <w:rPr>
          <w:rFonts w:hint="eastAsia" w:ascii="宋体" w:hAnsi="宋体" w:cs="宋体"/>
          <w:b w:val="0"/>
          <w:bCs w:val="0"/>
          <w:color w:val="auto"/>
          <w:sz w:val="21"/>
          <w:szCs w:val="21"/>
          <w:highlight w:val="none"/>
          <w:shd w:val="clear" w:color="auto" w:fill="FFFFFF"/>
        </w:rPr>
        <w:t>20.2  人员工伤事故的保险</w:t>
      </w:r>
      <w:bookmarkEnd w:id="1433"/>
      <w:bookmarkEnd w:id="1434"/>
      <w:bookmarkEnd w:id="1435"/>
      <w:bookmarkEnd w:id="1436"/>
    </w:p>
    <w:p w14:paraId="0A23A15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20.2.1  承包人员工伤事故的保险</w:t>
      </w:r>
    </w:p>
    <w:p w14:paraId="62BD947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6E040C4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（2）承包人工伤事故保险期限自合同工程开工之日起至合同终止之日止。</w:t>
      </w:r>
    </w:p>
    <w:p w14:paraId="4FC3AEE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20.2.2  发包人员工伤事故的保险</w:t>
      </w:r>
    </w:p>
    <w:p w14:paraId="20A17B5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发包人应依照有关法律法规规定参加工伤保险，为其现场机构雇佣的全部人员，缴纳工伤保险费，并要求其监理人也进行此项保险。</w:t>
      </w:r>
    </w:p>
    <w:p w14:paraId="178971C8">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37" w:name="_BookMark_238"/>
      <w:bookmarkEnd w:id="1437"/>
      <w:bookmarkStart w:id="1438" w:name="_Toc14866826"/>
      <w:bookmarkStart w:id="1439" w:name="_Toc4661569"/>
      <w:bookmarkStart w:id="1440" w:name="_Toc11089068"/>
      <w:bookmarkStart w:id="1441" w:name="_Toc3574"/>
      <w:r>
        <w:rPr>
          <w:rFonts w:hint="eastAsia" w:ascii="宋体" w:hAnsi="宋体" w:cs="宋体"/>
          <w:b w:val="0"/>
          <w:bCs w:val="0"/>
          <w:color w:val="auto"/>
          <w:sz w:val="21"/>
          <w:szCs w:val="21"/>
          <w:highlight w:val="none"/>
          <w:shd w:val="clear" w:color="auto" w:fill="FFFFFF"/>
        </w:rPr>
        <w:t>20.3  人身意外伤害险</w:t>
      </w:r>
      <w:bookmarkEnd w:id="1438"/>
      <w:bookmarkEnd w:id="1439"/>
      <w:bookmarkEnd w:id="1440"/>
      <w:bookmarkEnd w:id="1441"/>
    </w:p>
    <w:p w14:paraId="0D284B9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20.3.1  发包人应在整个施工期间为其现场机构雇用的全部人员，投保人身意外伤害险，缴纳保险费，并要求其监理人也进行此项保险。</w:t>
      </w:r>
    </w:p>
    <w:p w14:paraId="5390B1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20.3.2  承包人应在整个施工期间为其现场机构雇用的全部人员，投保人身意外伤害险，缴纳保险费，并要求其分包人也进行此项保险。</w:t>
      </w:r>
    </w:p>
    <w:p w14:paraId="3C7DD4A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42" w:name="_BookMark_239"/>
      <w:bookmarkEnd w:id="1442"/>
      <w:bookmarkStart w:id="1443" w:name="_Toc4661570"/>
      <w:bookmarkStart w:id="1444" w:name="_Toc29778"/>
      <w:bookmarkStart w:id="1445" w:name="_Toc14866827"/>
      <w:bookmarkStart w:id="1446" w:name="_Toc11089069"/>
      <w:r>
        <w:rPr>
          <w:rFonts w:hint="eastAsia" w:ascii="宋体" w:hAnsi="宋体" w:cs="宋体"/>
          <w:b w:val="0"/>
          <w:bCs w:val="0"/>
          <w:color w:val="auto"/>
          <w:sz w:val="21"/>
          <w:szCs w:val="21"/>
          <w:highlight w:val="none"/>
          <w:shd w:val="clear" w:color="auto" w:fill="FFFFFF"/>
        </w:rPr>
        <w:t>20.4  第三者责任险</w:t>
      </w:r>
      <w:bookmarkEnd w:id="1443"/>
      <w:bookmarkEnd w:id="1444"/>
      <w:bookmarkEnd w:id="1445"/>
      <w:bookmarkEnd w:id="1446"/>
    </w:p>
    <w:p w14:paraId="0EDE883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F0AA66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20.4.2  在缺陷责任期终止证书颁发前，承包人应以承包人和发包人的共同名义，投保第20.4.1项约定的第三者责任险，其保险费率、保险金额、保险费承担人等有关内容见合同条款专用部分。</w:t>
      </w:r>
    </w:p>
    <w:p w14:paraId="0878F4A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47" w:name="_BookMark_240"/>
      <w:bookmarkEnd w:id="1447"/>
      <w:bookmarkStart w:id="1448" w:name="_Toc26146"/>
      <w:bookmarkStart w:id="1449" w:name="_Toc11089070"/>
      <w:bookmarkStart w:id="1450" w:name="_Toc14866828"/>
      <w:bookmarkStart w:id="1451" w:name="_Toc4661571"/>
      <w:r>
        <w:rPr>
          <w:rFonts w:hint="eastAsia" w:ascii="宋体" w:hAnsi="宋体" w:cs="宋体"/>
          <w:b w:val="0"/>
          <w:bCs w:val="0"/>
          <w:color w:val="auto"/>
          <w:sz w:val="21"/>
          <w:szCs w:val="21"/>
          <w:highlight w:val="none"/>
          <w:shd w:val="clear" w:color="auto" w:fill="FFFFFF"/>
        </w:rPr>
        <w:t>20.5  其他保险</w:t>
      </w:r>
      <w:bookmarkEnd w:id="1448"/>
      <w:bookmarkEnd w:id="1449"/>
      <w:bookmarkEnd w:id="1450"/>
      <w:bookmarkEnd w:id="1451"/>
    </w:p>
    <w:p w14:paraId="350E70F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承包人应为其施工设备、进场的材料和工程设备等办理保险。办理保险的险种见合同条款专用部分。</w:t>
      </w:r>
    </w:p>
    <w:p w14:paraId="2AB51C05">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52" w:name="_BookMark_241"/>
      <w:bookmarkEnd w:id="1452"/>
      <w:bookmarkStart w:id="1453" w:name="_Toc4661572"/>
      <w:bookmarkStart w:id="1454" w:name="_Toc11089071"/>
      <w:bookmarkStart w:id="1455" w:name="_Toc20851"/>
      <w:bookmarkStart w:id="1456" w:name="_Toc14866829"/>
      <w:r>
        <w:rPr>
          <w:rFonts w:hint="eastAsia" w:ascii="宋体" w:hAnsi="宋体" w:cs="宋体"/>
          <w:b w:val="0"/>
          <w:bCs w:val="0"/>
          <w:color w:val="auto"/>
          <w:sz w:val="21"/>
          <w:szCs w:val="21"/>
          <w:highlight w:val="none"/>
          <w:shd w:val="clear" w:color="auto" w:fill="FFFFFF"/>
        </w:rPr>
        <w:t>20.6  对各项保险的一般要求</w:t>
      </w:r>
      <w:bookmarkEnd w:id="1453"/>
      <w:bookmarkEnd w:id="1454"/>
      <w:bookmarkEnd w:id="1455"/>
      <w:bookmarkEnd w:id="1456"/>
    </w:p>
    <w:p w14:paraId="0E17BEB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20.6.1  保险凭证</w:t>
      </w:r>
    </w:p>
    <w:p w14:paraId="67628F0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承包人应在合同约定的期限内向发包人提交各项保险生效的证据和保险单副本，保险单必须与合同约定的条件保持一致。各项保险生效的证据和保险单副本的期限见合同条款专用部分。</w:t>
      </w:r>
    </w:p>
    <w:p w14:paraId="34ADABD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20.6.2  保险合同条款的变动</w:t>
      </w:r>
    </w:p>
    <w:p w14:paraId="1A9EEBD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承包人需要变动保险合同条款时，应事先征得发包人同意，并通知监理人。保险人作出变动的，承包人应在收到保险人通知后立即通知发包人和监理人。</w:t>
      </w:r>
    </w:p>
    <w:p w14:paraId="533370C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20.6.3  持续保险</w:t>
      </w:r>
    </w:p>
    <w:p w14:paraId="61AB838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承包人应与保险人保持联系，使保险人能够随时了解工程实施中的变动，并确保按保险合同条款要求持续保险。</w:t>
      </w:r>
    </w:p>
    <w:p w14:paraId="65DD6AA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20.6.4  保险金不足的补偿</w:t>
      </w:r>
    </w:p>
    <w:p w14:paraId="5E07751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保险金不足以补偿损失的，应由承包人和（或）发包人按合同约定负责补偿。保险金不足的补偿原则见合同条款专用部分。</w:t>
      </w:r>
    </w:p>
    <w:p w14:paraId="1BB073E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20.6.5  未按约定投保的补救</w:t>
      </w:r>
    </w:p>
    <w:p w14:paraId="296BD54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（1）由于负有投保义务的一方当事人未按合同约定办理保险，或未能使保险持续有效的，另一方当事人可代为办理，所需费用由对方当事人承担。</w:t>
      </w:r>
    </w:p>
    <w:p w14:paraId="617954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（2）由于负有投保义务的一方当事人未按合同约定办理某项保险，导致受益人未能得到保险人的赔偿，原应从该项保险得到的保险金应由负有投保义务的一方当事人支付。</w:t>
      </w:r>
    </w:p>
    <w:p w14:paraId="097BE12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20.6.6  报告义务</w:t>
      </w:r>
    </w:p>
    <w:p w14:paraId="3A9D33B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当保险事故发生时，投保人应按照保险单规定的条件和期限及时向保险人报告。</w:t>
      </w:r>
    </w:p>
    <w:p w14:paraId="3FB61DC7">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57" w:name="_BookMark_242"/>
      <w:bookmarkEnd w:id="1457"/>
      <w:bookmarkStart w:id="1458" w:name="_Toc4661573"/>
      <w:bookmarkStart w:id="1459" w:name="_Toc32495"/>
      <w:bookmarkStart w:id="1460" w:name="_Toc14866830"/>
      <w:bookmarkStart w:id="1461" w:name="_Toc11089072"/>
      <w:r>
        <w:rPr>
          <w:rFonts w:hint="eastAsia" w:ascii="宋体" w:hAnsi="宋体"/>
          <w:b w:val="0"/>
          <w:bCs w:val="0"/>
          <w:color w:val="auto"/>
          <w:sz w:val="21"/>
          <w:szCs w:val="21"/>
          <w:highlight w:val="none"/>
          <w:shd w:val="clear" w:color="auto" w:fill="FFFFFF"/>
        </w:rPr>
        <w:t>21.不可抗力</w:t>
      </w:r>
      <w:bookmarkEnd w:id="1458"/>
      <w:bookmarkEnd w:id="1459"/>
      <w:bookmarkEnd w:id="1460"/>
      <w:bookmarkEnd w:id="1461"/>
    </w:p>
    <w:p w14:paraId="2D4D8783">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62" w:name="_BookMark_243"/>
      <w:bookmarkEnd w:id="1462"/>
      <w:bookmarkStart w:id="1463" w:name="_Toc4661574"/>
      <w:bookmarkStart w:id="1464" w:name="_Toc11089073"/>
      <w:bookmarkStart w:id="1465" w:name="_Toc21281"/>
      <w:bookmarkStart w:id="1466" w:name="_Toc14866831"/>
      <w:r>
        <w:rPr>
          <w:rFonts w:hint="eastAsia" w:ascii="宋体" w:hAnsi="宋体" w:cs="宋体"/>
          <w:b w:val="0"/>
          <w:bCs w:val="0"/>
          <w:color w:val="auto"/>
          <w:sz w:val="21"/>
          <w:szCs w:val="21"/>
          <w:highlight w:val="none"/>
          <w:shd w:val="clear" w:color="auto" w:fill="FFFFFF"/>
        </w:rPr>
        <w:t>21.1  不可抗力的确认</w:t>
      </w:r>
      <w:bookmarkEnd w:id="1463"/>
      <w:bookmarkEnd w:id="1464"/>
      <w:bookmarkEnd w:id="1465"/>
      <w:bookmarkEnd w:id="1466"/>
    </w:p>
    <w:p w14:paraId="15801A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52B800A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524D1B8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67" w:name="_BookMark_244"/>
      <w:bookmarkEnd w:id="1467"/>
      <w:bookmarkStart w:id="1468" w:name="_Toc32713"/>
      <w:bookmarkStart w:id="1469" w:name="_Toc4661575"/>
      <w:bookmarkStart w:id="1470" w:name="_Toc11089074"/>
      <w:bookmarkStart w:id="1471" w:name="_Toc14866832"/>
      <w:r>
        <w:rPr>
          <w:rFonts w:hint="eastAsia" w:ascii="宋体" w:hAnsi="宋体" w:cs="宋体"/>
          <w:b w:val="0"/>
          <w:bCs w:val="0"/>
          <w:color w:val="auto"/>
          <w:sz w:val="21"/>
          <w:szCs w:val="21"/>
          <w:highlight w:val="none"/>
          <w:shd w:val="clear" w:color="auto" w:fill="FFFFFF"/>
        </w:rPr>
        <w:t>21.2  不可抗力的通知</w:t>
      </w:r>
      <w:bookmarkEnd w:id="1468"/>
      <w:bookmarkEnd w:id="1469"/>
      <w:bookmarkEnd w:id="1470"/>
      <w:bookmarkEnd w:id="1471"/>
    </w:p>
    <w:p w14:paraId="17A39B8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21.2.1  合同一方当事人遇到不可抗力事件，使其履行合同义务受到阻碍时，应立即通知合同另一方当事人和监理人，书面说明不可抗力和受阻碍的详细情况，并提供必要的证明。</w:t>
      </w:r>
    </w:p>
    <w:p w14:paraId="383D48C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21.2.2  如不可抗力持续发生，合同一方当事人应及时向合同另一方当事人和监理人提交中间报告，说明不可抗力和履行合同受阻的情况，并于不可抗力事件结束后28天内提交最终报告及有关资料。</w:t>
      </w:r>
    </w:p>
    <w:p w14:paraId="54A821AF">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72" w:name="_BookMark_245"/>
      <w:bookmarkEnd w:id="1472"/>
      <w:bookmarkStart w:id="1473" w:name="_Toc137"/>
      <w:bookmarkStart w:id="1474" w:name="_Toc11089075"/>
      <w:bookmarkStart w:id="1475" w:name="_Toc4661576"/>
      <w:bookmarkStart w:id="1476" w:name="_Toc14866833"/>
      <w:r>
        <w:rPr>
          <w:rFonts w:hint="eastAsia" w:ascii="宋体" w:hAnsi="宋体" w:cs="宋体"/>
          <w:b w:val="0"/>
          <w:bCs w:val="0"/>
          <w:color w:val="auto"/>
          <w:sz w:val="21"/>
          <w:szCs w:val="21"/>
          <w:highlight w:val="none"/>
          <w:shd w:val="clear" w:color="auto" w:fill="FFFFFF"/>
        </w:rPr>
        <w:t>21.3  不可抗力后果及其处理</w:t>
      </w:r>
      <w:bookmarkEnd w:id="1473"/>
      <w:bookmarkEnd w:id="1474"/>
      <w:bookmarkEnd w:id="1475"/>
      <w:bookmarkEnd w:id="1476"/>
    </w:p>
    <w:p w14:paraId="7F8DE38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21.3.1  不可抗力造成损害的责任</w:t>
      </w:r>
    </w:p>
    <w:p w14:paraId="4FB5DED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不可抗力导致的人员伤亡、财产损失、费用增加和（或）工期延误等后果，由合同双方按以下原则承担： </w:t>
      </w:r>
    </w:p>
    <w:p w14:paraId="5C987B5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（1）永久工程，包括已运至施工场地的材料和工程设备的损害，以及因工程损害造成的第三者人员伤亡和财产损失由发包人承担；</w:t>
      </w:r>
    </w:p>
    <w:p w14:paraId="264F7BC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（2）承包人设备的损坏由承包人承担；</w:t>
      </w:r>
    </w:p>
    <w:p w14:paraId="59DFE9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（3）发包人和承包人各自承担其人员伤亡和其他财产损失及其相关费用；</w:t>
      </w:r>
    </w:p>
    <w:p w14:paraId="7C0266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（4）承包人的停工损失由承包人承担，但停工期间应监理人要求照管工程和清理、修复工程的金额由发包人承担；</w:t>
      </w:r>
    </w:p>
    <w:p w14:paraId="45134B2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（5）不能按期竣工的，应合理延长工期，承包人不需支付逾期竣工违约金。发包人要求赶工的，承包人应采取赶工措施，赶工费用由发包人承担。</w:t>
      </w:r>
    </w:p>
    <w:p w14:paraId="495B68F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21.3.2  延迟履行期间发生的不可抗力</w:t>
      </w:r>
    </w:p>
    <w:p w14:paraId="6DCDF41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合同一方当事人延迟履行，在延迟履行期间发生不可抗力的，不免除其责任。</w:t>
      </w:r>
    </w:p>
    <w:p w14:paraId="0702165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21.3.3  避免和减少不可抗力损失</w:t>
      </w:r>
    </w:p>
    <w:p w14:paraId="6120874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不可抗力发生后，发包人和承包人均应采取措施尽量避免和减少损失的扩大，任何一方没有采取有效措施导致损失扩大的，应对扩大的损失承担责任。</w:t>
      </w:r>
    </w:p>
    <w:p w14:paraId="58715BE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21.3.4  因不可抗力解除合同</w:t>
      </w:r>
    </w:p>
    <w:p w14:paraId="353EA37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1C9D1651">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77" w:name="_BookMark_246"/>
      <w:bookmarkEnd w:id="1477"/>
      <w:bookmarkStart w:id="1478" w:name="_Toc14866834"/>
      <w:bookmarkStart w:id="1479" w:name="_Toc11089076"/>
      <w:bookmarkStart w:id="1480" w:name="_Toc4661577"/>
      <w:bookmarkStart w:id="1481" w:name="_Toc8918"/>
      <w:r>
        <w:rPr>
          <w:rFonts w:hint="eastAsia" w:ascii="宋体" w:hAnsi="宋体"/>
          <w:b w:val="0"/>
          <w:bCs w:val="0"/>
          <w:color w:val="auto"/>
          <w:sz w:val="21"/>
          <w:szCs w:val="21"/>
          <w:highlight w:val="none"/>
          <w:shd w:val="clear" w:color="auto" w:fill="FFFFFF"/>
        </w:rPr>
        <w:t>22.违约</w:t>
      </w:r>
      <w:bookmarkEnd w:id="1478"/>
      <w:bookmarkEnd w:id="1479"/>
      <w:bookmarkEnd w:id="1480"/>
      <w:bookmarkEnd w:id="1481"/>
    </w:p>
    <w:p w14:paraId="469EC98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82" w:name="_BookMark_247"/>
      <w:bookmarkEnd w:id="1482"/>
      <w:bookmarkStart w:id="1483" w:name="_Toc11089077"/>
      <w:bookmarkStart w:id="1484" w:name="_Toc4661578"/>
      <w:bookmarkStart w:id="1485" w:name="_Toc14866835"/>
      <w:bookmarkStart w:id="1486" w:name="_Toc25656"/>
      <w:r>
        <w:rPr>
          <w:rFonts w:hint="eastAsia" w:ascii="宋体" w:hAnsi="宋体" w:cs="宋体"/>
          <w:b w:val="0"/>
          <w:bCs w:val="0"/>
          <w:color w:val="auto"/>
          <w:sz w:val="21"/>
          <w:szCs w:val="21"/>
          <w:highlight w:val="none"/>
          <w:shd w:val="clear" w:color="auto" w:fill="FFFFFF"/>
        </w:rPr>
        <w:t>22.1  承包人违约</w:t>
      </w:r>
      <w:bookmarkEnd w:id="1483"/>
      <w:bookmarkEnd w:id="1484"/>
      <w:bookmarkEnd w:id="1485"/>
      <w:bookmarkEnd w:id="1486"/>
    </w:p>
    <w:p w14:paraId="41F8FDE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22.1.1  承包人违约的情形</w:t>
      </w:r>
    </w:p>
    <w:p w14:paraId="1812FED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在履行合同过程中发生的下列情况属承包人违约：</w:t>
      </w:r>
    </w:p>
    <w:p w14:paraId="779C349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（1）承包人违反第1.8款或第4.3款的约定，私自将合同的全部或部分权利转让给其他人，或私自将合同的全部或部分义务转移给其他人；</w:t>
      </w:r>
    </w:p>
    <w:p w14:paraId="5F9D52F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（2）承包人违反第5.3款或第6.4款的约定，未经监理人批准，私自将已按合同约定进入施工场地的施工设备、临时设施或材料撤离施工场地；</w:t>
      </w:r>
    </w:p>
    <w:p w14:paraId="0CE0407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（3）承包人违反第5.4款的约定使用了不合格材料或工程设备，工程质量达不到标准要求，又拒绝清除不合格工程；</w:t>
      </w:r>
    </w:p>
    <w:p w14:paraId="23AC796D">
      <w:pPr>
        <w:widowControl/>
        <w:snapToGrid w:val="0"/>
        <w:spacing w:line="360" w:lineRule="auto"/>
        <w:ind w:left="210" w:leftChars="100" w:firstLine="428"/>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（4）承包人未能按合同进度计划及时完成合同约定的工作，已造成或预期造成工期延误；</w:t>
      </w:r>
    </w:p>
    <w:p w14:paraId="4FAC7A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（5）承包人在缺陷责任期内，未能对工程接收证书所列的缺陷清单的内容或缺陷责任期内发生的缺陷进行修复，而又拒绝按监理人指示再进行修补；</w:t>
      </w:r>
    </w:p>
    <w:p w14:paraId="6F7AFDD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（6）承包人无法继续履行或明确表示不履行或实质上已停止履行合同；</w:t>
      </w:r>
    </w:p>
    <w:p w14:paraId="547C99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（7）承包人不按合同约定履行义务的其他情况。</w:t>
      </w:r>
    </w:p>
    <w:p w14:paraId="2AAD921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22.1.2  对承包人违约的处理</w:t>
      </w:r>
    </w:p>
    <w:p w14:paraId="2B81326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（1）承包人发生第22.1.1（6）目约定的违约情况时，发包人可通知承包人立即解除合同，并按有关法律处理。</w:t>
      </w:r>
    </w:p>
    <w:p w14:paraId="3A50C61E">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（2）承包人发生除第22.1.1（6）目约定以外的其他违约情况时，监理人可向承包人发出整改通知，要求其在指定的期限内改正。承包人应承担其违约所引起的费用增加和（或）工期延误。</w:t>
      </w:r>
    </w:p>
    <w:p w14:paraId="7509B65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（3）经检查证明承包人已采取了有效措施纠正违约行为，具备复工条件的，可由监理人签发复工通知复工。</w:t>
      </w:r>
    </w:p>
    <w:p w14:paraId="30F0BA9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22.1.3  承包人违约解除合同</w:t>
      </w:r>
    </w:p>
    <w:p w14:paraId="7706AD2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677B263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22.1.4  合同解除后的估价、付款和结清</w:t>
      </w:r>
    </w:p>
    <w:p w14:paraId="02302FD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（1）合同解除后，监理人按第3.5款商定或确定承包人实际完成工作的价值，以及承包人已提供的材料、施工设备、工程设备和临时工程等的价值。 </w:t>
      </w:r>
    </w:p>
    <w:p w14:paraId="383FC3F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（2）合同解除后，发包人应暂停对承包人的一切付款，查清各项付款和已扣款金额，包括承包人应支付的违约金。 </w:t>
      </w:r>
    </w:p>
    <w:p w14:paraId="698BC95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（3）合同解除后，发包人应按第23.4款的约定向承包人索赔由于解除合同给发包人造成的损失。</w:t>
      </w:r>
    </w:p>
    <w:p w14:paraId="4D43E9E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（4）合同双方确认上述往来款项后，出具最终结清付款证书，结清全部合同款项。</w:t>
      </w:r>
    </w:p>
    <w:p w14:paraId="1C0DAB8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（5）发包人和承包人未能就解除合同后的结清达成一致而形成争议的，按第24条的约定办理。</w:t>
      </w:r>
    </w:p>
    <w:p w14:paraId="000C5D4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22.1.5  协议利益的转让</w:t>
      </w:r>
    </w:p>
    <w:p w14:paraId="09B61FE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因承包人违约解除合同的，发包人有权要求承包人将其为实施合同而签订的材料和设备的订货协议或任何服务协议利益转让给发包人，并在解除合同后的14天内，依法办理转让手续。 </w:t>
      </w:r>
    </w:p>
    <w:p w14:paraId="171730A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22.1.6  紧急情况下无能力或不愿进行抢救</w:t>
      </w:r>
    </w:p>
    <w:p w14:paraId="3F54AC4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B0300D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87" w:name="_BookMark_248"/>
      <w:bookmarkEnd w:id="1487"/>
      <w:bookmarkStart w:id="1488" w:name="_Toc14866836"/>
      <w:bookmarkStart w:id="1489" w:name="_Toc11089078"/>
      <w:bookmarkStart w:id="1490" w:name="_Toc4661579"/>
      <w:bookmarkStart w:id="1491" w:name="_Toc9571"/>
      <w:r>
        <w:rPr>
          <w:rFonts w:hint="eastAsia" w:ascii="宋体" w:hAnsi="宋体" w:cs="宋体"/>
          <w:b w:val="0"/>
          <w:bCs w:val="0"/>
          <w:color w:val="auto"/>
          <w:sz w:val="21"/>
          <w:szCs w:val="21"/>
          <w:highlight w:val="none"/>
          <w:shd w:val="clear" w:color="auto" w:fill="FFFFFF"/>
        </w:rPr>
        <w:t>22.2  发包人违约</w:t>
      </w:r>
      <w:bookmarkEnd w:id="1488"/>
      <w:bookmarkEnd w:id="1489"/>
      <w:bookmarkEnd w:id="1490"/>
      <w:bookmarkEnd w:id="1491"/>
    </w:p>
    <w:p w14:paraId="6D75BD7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22.2.1  发包人违约的情形</w:t>
      </w:r>
    </w:p>
    <w:p w14:paraId="40153A3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在履行合同过程中发生的下列情形，属发包人违约：</w:t>
      </w:r>
    </w:p>
    <w:p w14:paraId="64A8A1D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（1）发包人未能按合同约定支付预付款或合同价款，或拖延、拒绝批准付款申请和支付凭证，导致付款延误的；</w:t>
      </w:r>
    </w:p>
    <w:p w14:paraId="17C5672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（2）发包人原因造成停工的；</w:t>
      </w:r>
    </w:p>
    <w:p w14:paraId="523D94A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（3）监理人无正当理由没有在约定期限内发出复工指示，导致承包人无法复工的；</w:t>
      </w:r>
    </w:p>
    <w:p w14:paraId="471CFF3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（4）发包人无法继续履行或明确表示不履行或实质上已停止履行合同的；</w:t>
      </w:r>
    </w:p>
    <w:p w14:paraId="207BB8C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（5）发包人不履行合同约定其他义务的。</w:t>
      </w:r>
    </w:p>
    <w:p w14:paraId="7641395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22.2.2  承包人有权暂停施工</w:t>
      </w:r>
    </w:p>
    <w:p w14:paraId="67E6948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0C9186B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22.2.3  发包人违约解除合同 </w:t>
      </w:r>
    </w:p>
    <w:p w14:paraId="6CC1738D">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（1）发生第22.2.1（4）目的违约情况时，承包人可书面通知发包人解除合同。   </w:t>
      </w:r>
    </w:p>
    <w:p w14:paraId="0E45087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（2）承包人按第22.2.2项暂停施工28天后，发包人仍不纠正违约行为的，承包人可向发包人发出解除合同通知。但承包人的这一行动不免除发包人承担的违约责任，也不影响承包人根据合同约定享有的索赔权利。</w:t>
      </w:r>
    </w:p>
    <w:p w14:paraId="208D407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22.2.4  解除合同后的付款</w:t>
      </w:r>
    </w:p>
    <w:p w14:paraId="25E6BCA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因发包人违约解除合同的，发包人应在解除合同后28天内向承包人支付下列金额，承包人应在此期限内及时向发包人提交要求支付下列金额的有关资料和凭证：</w:t>
      </w:r>
    </w:p>
    <w:p w14:paraId="36B7683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（1）合同解除日以前所完成工作的价款；</w:t>
      </w:r>
    </w:p>
    <w:p w14:paraId="59C8510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（2）承包人为该工程施工订购并已付款的材料、工程设备和其他物品的金额。发包人付还后，该材料、工程设备和其他物品归发包人所有；</w:t>
      </w:r>
    </w:p>
    <w:p w14:paraId="2566A70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（3）承包人为完成工程所发生的，而发包人未支付的金额；</w:t>
      </w:r>
    </w:p>
    <w:p w14:paraId="570D230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（4）承包人撤离施工场地以及遣散承包人人员的金额；</w:t>
      </w:r>
    </w:p>
    <w:p w14:paraId="378E6E0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（5）由于解除合同应赔偿的承包人损失；</w:t>
      </w:r>
    </w:p>
    <w:p w14:paraId="65DE73B5">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（6）按合同约定在合同解除日前应支付给承包人的其他金额。</w:t>
      </w:r>
    </w:p>
    <w:p w14:paraId="257BCC80">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发包人应按本项约定支付上述金额并退还质量保证金或退还质量保证金保函和履约担保，但有权要求承包人支付应偿还给发包人的各项金额。</w:t>
      </w:r>
    </w:p>
    <w:p w14:paraId="73B5AF12">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22.2.5  解除合同后的承包人撤离</w:t>
      </w:r>
    </w:p>
    <w:p w14:paraId="76D172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65F6112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492" w:name="_BookMark_249"/>
      <w:bookmarkEnd w:id="1492"/>
      <w:bookmarkStart w:id="1493" w:name="_Toc4661580"/>
      <w:bookmarkStart w:id="1494" w:name="_Toc14866837"/>
      <w:bookmarkStart w:id="1495" w:name="_Toc11089079"/>
      <w:bookmarkStart w:id="1496" w:name="_Toc5979"/>
      <w:r>
        <w:rPr>
          <w:rFonts w:hint="eastAsia" w:ascii="宋体" w:hAnsi="宋体" w:cs="宋体"/>
          <w:b w:val="0"/>
          <w:bCs w:val="0"/>
          <w:color w:val="auto"/>
          <w:sz w:val="21"/>
          <w:szCs w:val="21"/>
          <w:highlight w:val="none"/>
          <w:shd w:val="clear" w:color="auto" w:fill="FFFFFF"/>
        </w:rPr>
        <w:t>22.3  第三人造成的违约</w:t>
      </w:r>
      <w:bookmarkEnd w:id="1493"/>
      <w:bookmarkEnd w:id="1494"/>
      <w:bookmarkEnd w:id="1495"/>
      <w:bookmarkEnd w:id="1496"/>
    </w:p>
    <w:p w14:paraId="54C33FD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在履行合同过程中，一方当事人因第三人的原因造成违约的，应当向对方当事人承担违约责任。一方当事人和第三人之间的纠纷，依照法律规定或者按照约定解决。</w:t>
      </w:r>
    </w:p>
    <w:p w14:paraId="612610AD">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497" w:name="_BookMark_250"/>
      <w:bookmarkEnd w:id="1497"/>
      <w:bookmarkStart w:id="1498" w:name="_Toc4661581"/>
      <w:bookmarkStart w:id="1499" w:name="_Toc4283"/>
      <w:bookmarkStart w:id="1500" w:name="_Toc11089080"/>
      <w:bookmarkStart w:id="1501" w:name="_Toc14866838"/>
      <w:r>
        <w:rPr>
          <w:rFonts w:hint="eastAsia" w:ascii="宋体" w:hAnsi="宋体"/>
          <w:b w:val="0"/>
          <w:bCs w:val="0"/>
          <w:color w:val="auto"/>
          <w:sz w:val="21"/>
          <w:szCs w:val="21"/>
          <w:highlight w:val="none"/>
          <w:shd w:val="clear" w:color="auto" w:fill="FFFFFF"/>
        </w:rPr>
        <w:t>23.索赔</w:t>
      </w:r>
      <w:bookmarkEnd w:id="1498"/>
      <w:bookmarkEnd w:id="1499"/>
      <w:bookmarkEnd w:id="1500"/>
      <w:bookmarkEnd w:id="1501"/>
    </w:p>
    <w:p w14:paraId="40C3ABC7">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02" w:name="_BookMark_251"/>
      <w:bookmarkEnd w:id="1502"/>
      <w:bookmarkStart w:id="1503" w:name="_Toc14866839"/>
      <w:bookmarkStart w:id="1504" w:name="_Toc4661582"/>
      <w:bookmarkStart w:id="1505" w:name="_Toc10164"/>
      <w:bookmarkStart w:id="1506" w:name="_Toc11089081"/>
      <w:r>
        <w:rPr>
          <w:rFonts w:hint="eastAsia" w:ascii="宋体" w:hAnsi="宋体" w:cs="宋体"/>
          <w:b w:val="0"/>
          <w:bCs w:val="0"/>
          <w:color w:val="auto"/>
          <w:sz w:val="21"/>
          <w:szCs w:val="21"/>
          <w:highlight w:val="none"/>
          <w:shd w:val="clear" w:color="auto" w:fill="FFFFFF"/>
        </w:rPr>
        <w:t>23.1  承包人索赔的提出</w:t>
      </w:r>
      <w:bookmarkEnd w:id="1503"/>
      <w:bookmarkEnd w:id="1504"/>
      <w:bookmarkEnd w:id="1505"/>
      <w:bookmarkEnd w:id="1506"/>
    </w:p>
    <w:p w14:paraId="7217F9B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根据合同约定，承包人认为有权得到追加付款和（或）延长工期的，应按以下程序向发包人提出索赔：</w:t>
      </w:r>
    </w:p>
    <w:p w14:paraId="0F6C192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06A6A28">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（2）承包人应在发出索赔意向通知书后28天内，向监理人正式递交索赔通知书。索赔通知书应详细说明索赔理由以及要求追加的付款金额和（或）延长的工期，并附必要的记录和证明材料；</w:t>
      </w:r>
    </w:p>
    <w:p w14:paraId="122367F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（3）索赔事件具有连续影响的，承包人应按合理时间间隔继续递交延续索赔通知，说明连续影响的实际情况和记录，列出累计的追加付款金额和（或）工期延长天数；</w:t>
      </w:r>
    </w:p>
    <w:p w14:paraId="4E5B591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（4）在索赔事件影响结束后的28天内，承包人应向监理人递交最终索赔通知书，说明最终要求索赔的追加付款金额和延长的工期，并附必要的记录和证明材料。</w:t>
      </w:r>
    </w:p>
    <w:p w14:paraId="770C9D69">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07" w:name="_BookMark_252"/>
      <w:bookmarkEnd w:id="1507"/>
      <w:bookmarkStart w:id="1508" w:name="_Toc14866840"/>
      <w:bookmarkStart w:id="1509" w:name="_Toc4661583"/>
      <w:bookmarkStart w:id="1510" w:name="_Toc11089082"/>
      <w:bookmarkStart w:id="1511" w:name="_Toc18091"/>
      <w:r>
        <w:rPr>
          <w:rFonts w:hint="eastAsia" w:ascii="宋体" w:hAnsi="宋体" w:cs="宋体"/>
          <w:b w:val="0"/>
          <w:bCs w:val="0"/>
          <w:color w:val="auto"/>
          <w:sz w:val="21"/>
          <w:szCs w:val="21"/>
          <w:highlight w:val="none"/>
          <w:shd w:val="clear" w:color="auto" w:fill="FFFFFF"/>
        </w:rPr>
        <w:t>23.2  承包人索赔处理程序</w:t>
      </w:r>
      <w:bookmarkEnd w:id="1508"/>
      <w:bookmarkEnd w:id="1509"/>
      <w:bookmarkEnd w:id="1510"/>
      <w:bookmarkEnd w:id="1511"/>
    </w:p>
    <w:p w14:paraId="7CAF735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（1）监理人收到承包人提交的索赔通知书后，应及时审查索赔通知书的内容、查验承包人的记录和证明材料，必要时监理人可要求承包人提交全部原始记录副本。</w:t>
      </w:r>
    </w:p>
    <w:p w14:paraId="2612C74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（2）监理人应按第3.5款商定或确定追加的付款和（或）延长的工期，并在收到上述索赔通知书或有关索赔的进一步证明材料后的42天内，将索赔处理结果答复承包人。</w:t>
      </w:r>
    </w:p>
    <w:p w14:paraId="00C9BFD1">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（3）承包人接受索赔处理结果的，发包人应在作出索赔处理结果答复后28天内完成赔付。承包人不接受索赔处理结果的，按第24条的约定办理。</w:t>
      </w:r>
    </w:p>
    <w:p w14:paraId="1D16FB94">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12" w:name="_BookMark_253"/>
      <w:bookmarkEnd w:id="1512"/>
      <w:bookmarkStart w:id="1513" w:name="_Toc4661584"/>
      <w:bookmarkStart w:id="1514" w:name="_Toc11089083"/>
      <w:bookmarkStart w:id="1515" w:name="_Toc13965"/>
      <w:bookmarkStart w:id="1516" w:name="_Toc14866841"/>
      <w:r>
        <w:rPr>
          <w:rFonts w:hint="eastAsia" w:ascii="宋体" w:hAnsi="宋体" w:cs="宋体"/>
          <w:b w:val="0"/>
          <w:bCs w:val="0"/>
          <w:color w:val="auto"/>
          <w:sz w:val="21"/>
          <w:szCs w:val="21"/>
          <w:highlight w:val="none"/>
          <w:shd w:val="clear" w:color="auto" w:fill="FFFFFF"/>
        </w:rPr>
        <w:t>23.3  承包人提出索赔的期限</w:t>
      </w:r>
      <w:bookmarkEnd w:id="1513"/>
      <w:bookmarkEnd w:id="1514"/>
      <w:bookmarkEnd w:id="1515"/>
      <w:bookmarkEnd w:id="1516"/>
    </w:p>
    <w:p w14:paraId="3FCE3C4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23.3.1  承包人按第17.5款的约定接受了竣工付款证书后，应被认为已无权再提出在合同工程接收证书颁发前所发生的任何索赔。</w:t>
      </w:r>
    </w:p>
    <w:p w14:paraId="0B3ACF9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 xml:space="preserve">23.3.2  承包人按第17.6款的约定提交的最终结清申请单中，只限于提出工程接收证书颁发后发生的索赔。提出索赔的期限自接受最终结清证书时终止。 </w:t>
      </w:r>
    </w:p>
    <w:p w14:paraId="23531FB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17" w:name="_BookMark_254"/>
      <w:bookmarkEnd w:id="1517"/>
      <w:bookmarkStart w:id="1518" w:name="_Toc14866842"/>
      <w:bookmarkStart w:id="1519" w:name="_Toc22342"/>
      <w:bookmarkStart w:id="1520" w:name="_Toc11089084"/>
      <w:bookmarkStart w:id="1521" w:name="_Toc4661585"/>
      <w:r>
        <w:rPr>
          <w:rFonts w:hint="eastAsia" w:ascii="宋体" w:hAnsi="宋体" w:cs="宋体"/>
          <w:b w:val="0"/>
          <w:bCs w:val="0"/>
          <w:color w:val="auto"/>
          <w:sz w:val="21"/>
          <w:szCs w:val="21"/>
          <w:highlight w:val="none"/>
          <w:shd w:val="clear" w:color="auto" w:fill="FFFFFF"/>
        </w:rPr>
        <w:t>23.4  发包人的索赔</w:t>
      </w:r>
      <w:bookmarkEnd w:id="1518"/>
      <w:bookmarkEnd w:id="1519"/>
      <w:bookmarkEnd w:id="1520"/>
      <w:bookmarkEnd w:id="1521"/>
    </w:p>
    <w:p w14:paraId="4CBAAD59">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6079469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1ED346D4">
      <w:pPr>
        <w:pStyle w:val="3"/>
        <w:keepNext w:val="0"/>
        <w:keepLines w:val="0"/>
        <w:widowControl/>
        <w:snapToGrid w:val="0"/>
        <w:spacing w:before="0" w:after="0" w:line="360" w:lineRule="auto"/>
        <w:ind w:left="210" w:leftChars="100"/>
        <w:jc w:val="left"/>
        <w:rPr>
          <w:rFonts w:ascii="宋体" w:hAnsi="宋体"/>
          <w:b w:val="0"/>
          <w:bCs w:val="0"/>
          <w:color w:val="auto"/>
          <w:sz w:val="21"/>
          <w:szCs w:val="21"/>
          <w:highlight w:val="none"/>
          <w:shd w:val="clear" w:color="auto" w:fill="FFFFFF"/>
        </w:rPr>
      </w:pPr>
      <w:bookmarkStart w:id="1522" w:name="_BookMark_255"/>
      <w:bookmarkEnd w:id="1522"/>
      <w:bookmarkStart w:id="1523" w:name="_Toc24560"/>
      <w:bookmarkStart w:id="1524" w:name="_Toc4661586"/>
      <w:bookmarkStart w:id="1525" w:name="_Toc14866843"/>
      <w:bookmarkStart w:id="1526" w:name="_Toc11089085"/>
      <w:r>
        <w:rPr>
          <w:rFonts w:hint="eastAsia" w:ascii="宋体" w:hAnsi="宋体"/>
          <w:b w:val="0"/>
          <w:bCs w:val="0"/>
          <w:color w:val="auto"/>
          <w:sz w:val="21"/>
          <w:szCs w:val="21"/>
          <w:highlight w:val="none"/>
          <w:shd w:val="clear" w:color="auto" w:fill="FFFFFF"/>
        </w:rPr>
        <w:t>24.争议的解决</w:t>
      </w:r>
      <w:bookmarkEnd w:id="1523"/>
      <w:bookmarkEnd w:id="1524"/>
      <w:bookmarkEnd w:id="1525"/>
      <w:bookmarkEnd w:id="1526"/>
    </w:p>
    <w:p w14:paraId="47AB186C">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27" w:name="_BookMark_256"/>
      <w:bookmarkEnd w:id="1527"/>
      <w:bookmarkStart w:id="1528" w:name="_Toc11089086"/>
      <w:bookmarkStart w:id="1529" w:name="_Toc4515"/>
      <w:bookmarkStart w:id="1530" w:name="_Toc4661587"/>
      <w:bookmarkStart w:id="1531" w:name="_Toc14866844"/>
      <w:r>
        <w:rPr>
          <w:rFonts w:hint="eastAsia" w:ascii="宋体" w:hAnsi="宋体" w:cs="宋体"/>
          <w:b w:val="0"/>
          <w:bCs w:val="0"/>
          <w:color w:val="auto"/>
          <w:sz w:val="21"/>
          <w:szCs w:val="21"/>
          <w:highlight w:val="none"/>
          <w:shd w:val="clear" w:color="auto" w:fill="FFFFFF"/>
        </w:rPr>
        <w:t>24.1  争议的解决方式</w:t>
      </w:r>
      <w:bookmarkEnd w:id="1528"/>
      <w:bookmarkEnd w:id="1529"/>
      <w:bookmarkEnd w:id="1530"/>
      <w:bookmarkEnd w:id="1531"/>
    </w:p>
    <w:p w14:paraId="3DA16A3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6409B10B">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（1）向约定的仲裁委员会申请仲裁；</w:t>
      </w:r>
    </w:p>
    <w:p w14:paraId="2350048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（2）向有管辖权的人民法院提起诉讼。</w:t>
      </w:r>
    </w:p>
    <w:p w14:paraId="676325FD">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32" w:name="_BookMark_257"/>
      <w:bookmarkEnd w:id="1532"/>
      <w:bookmarkStart w:id="1533" w:name="_Toc13545"/>
      <w:bookmarkStart w:id="1534" w:name="_Toc11089087"/>
      <w:bookmarkStart w:id="1535" w:name="_Toc14866845"/>
      <w:bookmarkStart w:id="1536" w:name="_Toc4661588"/>
      <w:r>
        <w:rPr>
          <w:rFonts w:hint="eastAsia" w:ascii="宋体" w:hAnsi="宋体" w:cs="宋体"/>
          <w:b w:val="0"/>
          <w:bCs w:val="0"/>
          <w:color w:val="auto"/>
          <w:sz w:val="21"/>
          <w:szCs w:val="21"/>
          <w:highlight w:val="none"/>
          <w:shd w:val="clear" w:color="auto" w:fill="FFFFFF"/>
        </w:rPr>
        <w:t>24.2  友好解决</w:t>
      </w:r>
      <w:bookmarkEnd w:id="1533"/>
      <w:bookmarkEnd w:id="1534"/>
      <w:bookmarkEnd w:id="1535"/>
      <w:bookmarkEnd w:id="1536"/>
    </w:p>
    <w:p w14:paraId="1A2036FF">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在提请争议评审、仲裁或者诉讼前，以及在争议评审、仲裁或诉讼过程中，发包人和承包人均可共同努力友好协商解决争议。</w:t>
      </w:r>
    </w:p>
    <w:p w14:paraId="74453580">
      <w:pPr>
        <w:pStyle w:val="4"/>
        <w:keepNext w:val="0"/>
        <w:keepLines w:val="0"/>
        <w:widowControl/>
        <w:snapToGrid w:val="0"/>
        <w:spacing w:before="0" w:after="0" w:line="360" w:lineRule="auto"/>
        <w:ind w:left="210" w:leftChars="100"/>
        <w:jc w:val="left"/>
        <w:rPr>
          <w:rFonts w:ascii="宋体" w:hAnsi="宋体" w:cs="宋体"/>
          <w:b w:val="0"/>
          <w:bCs w:val="0"/>
          <w:color w:val="auto"/>
          <w:sz w:val="21"/>
          <w:szCs w:val="21"/>
          <w:highlight w:val="none"/>
          <w:shd w:val="clear" w:color="auto" w:fill="FFFFFF"/>
        </w:rPr>
      </w:pPr>
      <w:bookmarkStart w:id="1537" w:name="_BookMark_258"/>
      <w:bookmarkEnd w:id="1537"/>
      <w:bookmarkStart w:id="1538" w:name="_Toc4009"/>
      <w:bookmarkStart w:id="1539" w:name="_Toc4661589"/>
      <w:bookmarkStart w:id="1540" w:name="_Toc11089088"/>
      <w:bookmarkStart w:id="1541" w:name="_Toc14866846"/>
      <w:r>
        <w:rPr>
          <w:rFonts w:hint="eastAsia" w:ascii="宋体" w:hAnsi="宋体" w:cs="宋体"/>
          <w:b w:val="0"/>
          <w:bCs w:val="0"/>
          <w:color w:val="auto"/>
          <w:sz w:val="21"/>
          <w:szCs w:val="21"/>
          <w:highlight w:val="none"/>
          <w:shd w:val="clear" w:color="auto" w:fill="FFFFFF"/>
        </w:rPr>
        <w:t>24.3  争议评审</w:t>
      </w:r>
      <w:bookmarkEnd w:id="1538"/>
      <w:bookmarkEnd w:id="1539"/>
      <w:bookmarkEnd w:id="1540"/>
      <w:bookmarkEnd w:id="1541"/>
    </w:p>
    <w:p w14:paraId="12C532F6">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24.3.1  采用争议评审的，发包人和承包人应在开工日后的28天内或在争议发生后，协商成立争议评审组。争议评审组由有合同管理和工程实践经验的专家组成。</w:t>
      </w:r>
    </w:p>
    <w:p w14:paraId="0A07B13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24.3.2  合同双方的争议，应首先由申请人向争议评审组提交一份详细的评审申请报告，并附必要的文件、图纸和证明材料，申请人还应将上述报告的副本同时提交给被申请人和监理人。</w:t>
      </w:r>
    </w:p>
    <w:p w14:paraId="2F79035C">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24.3.3  被申请人在收到申请人评审申请报告副本后的28天内，向争议评审组提交一份答辩报告，并附证明材料。被申请人应将答辩报告的副本同时提交给申请人和监理人。</w:t>
      </w:r>
    </w:p>
    <w:p w14:paraId="402CAD4A">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24.3.4  争议评审组在收到合同双方报告后的14天内，邀请双方代表和有关人员在合同约定的期限内举行调查会，向双方调查争议细节；必要时争议评审组可要求双方进一步提供补充材料。举行调查会的期限见合同条款专用部分。</w:t>
      </w:r>
    </w:p>
    <w:p w14:paraId="5C073384">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24.3.5  在调查会结束后的14天内，争议评审组应在不受任何干扰的情况下进行独立、公正的评审，在合同约定的期限内作出书面评审意见，并说明理由。在争议评审期间，争议双方暂按总监理工程师的确定执行。争议评审组作出争议评审意见的期限见合同条款专用部分。</w:t>
      </w:r>
    </w:p>
    <w:p w14:paraId="31F66E87">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24.3.6  发包人和承包人接受评审意见的，由监理人根据评审意见拟定执行协议，经争议双方签字后作为合同的补充文件，并遵照执行。</w:t>
      </w:r>
    </w:p>
    <w:p w14:paraId="417D17C3">
      <w:pPr>
        <w:widowControl/>
        <w:snapToGrid w:val="0"/>
        <w:spacing w:line="360" w:lineRule="auto"/>
        <w:ind w:left="210" w:leftChars="100" w:firstLine="420"/>
        <w:jc w:val="left"/>
        <w:rPr>
          <w:rFonts w:ascii="宋体" w:hAnsi="宋体" w:cs="宋体"/>
          <w:color w:val="auto"/>
          <w:kern w:val="0"/>
          <w:szCs w:val="21"/>
          <w:highlight w:val="none"/>
          <w:shd w:val="clear" w:color="auto" w:fill="FFFFFF"/>
        </w:rPr>
      </w:pPr>
      <w:r>
        <w:rPr>
          <w:rFonts w:hint="eastAsia" w:ascii="宋体" w:hAnsi="宋体" w:cs="宋体"/>
          <w:color w:val="auto"/>
          <w:kern w:val="0"/>
          <w:szCs w:val="21"/>
          <w:highlight w:val="none"/>
          <w:shd w:val="clear" w:color="auto" w:fill="FFFFFF"/>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4CFCD00D">
      <w:pPr>
        <w:keepNext w:val="0"/>
        <w:keepLines w:val="0"/>
        <w:pageBreakBefore w:val="0"/>
        <w:widowControl w:val="0"/>
        <w:kinsoku/>
        <w:wordWrap/>
        <w:overflowPunct/>
        <w:topLinePunct w:val="0"/>
        <w:autoSpaceDE/>
        <w:autoSpaceDN/>
        <w:bidi w:val="0"/>
        <w:adjustRightInd/>
        <w:snapToGrid/>
        <w:jc w:val="center"/>
        <w:textAlignment w:val="auto"/>
        <w:outlineLvl w:val="1"/>
        <w:rPr>
          <w:b/>
          <w:color w:val="auto"/>
          <w:sz w:val="32"/>
          <w:szCs w:val="32"/>
          <w:highlight w:val="none"/>
        </w:rPr>
      </w:pPr>
      <w:r>
        <w:rPr>
          <w:color w:val="auto"/>
          <w:highlight w:val="none"/>
        </w:rPr>
        <w:br w:type="page"/>
      </w:r>
      <w:bookmarkEnd w:id="722"/>
      <w:bookmarkEnd w:id="723"/>
      <w:bookmarkEnd w:id="724"/>
      <w:bookmarkEnd w:id="725"/>
      <w:bookmarkEnd w:id="726"/>
      <w:bookmarkEnd w:id="727"/>
      <w:bookmarkStart w:id="1542" w:name="_Toc10405"/>
      <w:r>
        <w:rPr>
          <w:rFonts w:hint="eastAsia"/>
          <w:b/>
          <w:color w:val="auto"/>
          <w:sz w:val="32"/>
          <w:szCs w:val="32"/>
          <w:highlight w:val="none"/>
        </w:rPr>
        <w:t>第</w:t>
      </w:r>
      <w:r>
        <w:rPr>
          <w:rFonts w:hint="eastAsia"/>
          <w:b/>
          <w:color w:val="auto"/>
          <w:sz w:val="32"/>
          <w:szCs w:val="32"/>
          <w:highlight w:val="none"/>
          <w:lang w:val="en-US" w:eastAsia="zh-CN"/>
        </w:rPr>
        <w:t>二部分</w:t>
      </w:r>
      <w:r>
        <w:rPr>
          <w:b/>
          <w:color w:val="auto"/>
          <w:sz w:val="32"/>
          <w:szCs w:val="32"/>
          <w:highlight w:val="none"/>
        </w:rPr>
        <w:t xml:space="preserve">  </w:t>
      </w:r>
      <w:r>
        <w:rPr>
          <w:rFonts w:hint="eastAsia"/>
          <w:b/>
          <w:color w:val="auto"/>
          <w:sz w:val="32"/>
          <w:szCs w:val="32"/>
          <w:highlight w:val="none"/>
        </w:rPr>
        <w:t>合同条款专用部分</w:t>
      </w:r>
      <w:bookmarkEnd w:id="1542"/>
    </w:p>
    <w:p w14:paraId="0ED9C0C7">
      <w:pPr>
        <w:spacing w:line="360" w:lineRule="auto"/>
        <w:jc w:val="center"/>
        <w:rPr>
          <w:rFonts w:ascii="黑体" w:hAnsi="黑体" w:eastAsia="黑体"/>
          <w:color w:val="auto"/>
          <w:sz w:val="28"/>
          <w:szCs w:val="28"/>
          <w:highlight w:val="none"/>
        </w:rPr>
      </w:pPr>
    </w:p>
    <w:p w14:paraId="0F3C381A">
      <w:pPr>
        <w:keepNext/>
        <w:keepLines/>
        <w:spacing w:before="120" w:beforeLines="50" w:after="120" w:afterLines="50" w:line="360" w:lineRule="auto"/>
        <w:outlineLvl w:val="1"/>
        <w:rPr>
          <w:rFonts w:ascii="宋体" w:hAnsi="宋体" w:cs="宋体"/>
          <w:color w:val="auto"/>
          <w:sz w:val="28"/>
          <w:szCs w:val="20"/>
          <w:highlight w:val="none"/>
        </w:rPr>
      </w:pPr>
      <w:bookmarkStart w:id="1543" w:name="_Toc15657"/>
      <w:bookmarkStart w:id="1544" w:name="_Toc12517"/>
      <w:bookmarkStart w:id="1545" w:name="_Toc497214043"/>
      <w:r>
        <w:rPr>
          <w:rFonts w:ascii="宋体" w:hAnsi="宋体" w:cs="宋体"/>
          <w:color w:val="auto"/>
          <w:sz w:val="28"/>
          <w:szCs w:val="20"/>
          <w:highlight w:val="none"/>
        </w:rPr>
        <w:t>1.</w:t>
      </w:r>
      <w:r>
        <w:rPr>
          <w:rFonts w:hint="eastAsia" w:ascii="宋体" w:hAnsi="宋体" w:cs="宋体"/>
          <w:color w:val="auto"/>
          <w:sz w:val="28"/>
          <w:szCs w:val="20"/>
          <w:highlight w:val="none"/>
        </w:rPr>
        <w:t>一般约定</w:t>
      </w:r>
      <w:bookmarkEnd w:id="1543"/>
      <w:bookmarkEnd w:id="1544"/>
      <w:bookmarkEnd w:id="1545"/>
    </w:p>
    <w:p w14:paraId="3CA10AF1">
      <w:pPr>
        <w:keepNext/>
        <w:keepLines/>
        <w:spacing w:before="120" w:beforeLines="50" w:after="120" w:afterLines="50" w:line="360" w:lineRule="auto"/>
        <w:outlineLvl w:val="2"/>
        <w:rPr>
          <w:rFonts w:ascii="宋体" w:hAnsi="宋体"/>
          <w:color w:val="auto"/>
          <w:kern w:val="0"/>
          <w:sz w:val="24"/>
          <w:szCs w:val="20"/>
          <w:highlight w:val="none"/>
        </w:rPr>
      </w:pPr>
      <w:bookmarkStart w:id="1546" w:name="_Toc4004"/>
      <w:bookmarkStart w:id="1547" w:name="_Toc490331666"/>
      <w:bookmarkStart w:id="1548" w:name="_Toc486580375"/>
      <w:bookmarkStart w:id="1549" w:name="_Toc485323149"/>
      <w:bookmarkStart w:id="1550" w:name="_Toc497214044"/>
      <w:bookmarkStart w:id="1551" w:name="_Toc489280181"/>
      <w:bookmarkStart w:id="1552" w:name="_Toc30473"/>
      <w:r>
        <w:rPr>
          <w:rFonts w:ascii="宋体" w:hAnsi="宋体"/>
          <w:color w:val="auto"/>
          <w:kern w:val="0"/>
          <w:sz w:val="24"/>
          <w:szCs w:val="20"/>
          <w:highlight w:val="none"/>
        </w:rPr>
        <w:t xml:space="preserve">1.1  </w:t>
      </w:r>
      <w:r>
        <w:rPr>
          <w:rFonts w:hint="eastAsia" w:ascii="宋体" w:hAnsi="宋体"/>
          <w:color w:val="auto"/>
          <w:kern w:val="0"/>
          <w:sz w:val="24"/>
          <w:szCs w:val="20"/>
          <w:highlight w:val="none"/>
        </w:rPr>
        <w:t>词语定义</w:t>
      </w:r>
      <w:bookmarkEnd w:id="1546"/>
      <w:bookmarkEnd w:id="1547"/>
      <w:bookmarkEnd w:id="1548"/>
      <w:bookmarkEnd w:id="1549"/>
      <w:bookmarkEnd w:id="1550"/>
      <w:bookmarkEnd w:id="1551"/>
      <w:bookmarkEnd w:id="1552"/>
    </w:p>
    <w:p w14:paraId="74FB4E39">
      <w:pPr>
        <w:spacing w:line="360" w:lineRule="auto"/>
        <w:ind w:firstLine="420" w:firstLineChars="200"/>
        <w:rPr>
          <w:rFonts w:ascii="宋体"/>
          <w:color w:val="auto"/>
          <w:szCs w:val="21"/>
          <w:highlight w:val="none"/>
        </w:rPr>
      </w:pPr>
      <w:r>
        <w:rPr>
          <w:rFonts w:ascii="宋体" w:hAnsi="宋体"/>
          <w:color w:val="auto"/>
          <w:szCs w:val="21"/>
          <w:highlight w:val="none"/>
        </w:rPr>
        <w:t xml:space="preserve">1.1.2  </w:t>
      </w:r>
      <w:r>
        <w:rPr>
          <w:rFonts w:hint="eastAsia" w:ascii="宋体" w:hAnsi="宋体"/>
          <w:color w:val="auto"/>
          <w:szCs w:val="21"/>
          <w:highlight w:val="none"/>
        </w:rPr>
        <w:t>合同当事人和人员</w:t>
      </w:r>
    </w:p>
    <w:p w14:paraId="7A341DD7">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1.1.2.2  </w:t>
      </w:r>
      <w:r>
        <w:rPr>
          <w:rFonts w:hint="eastAsia" w:ascii="宋体" w:hAnsi="宋体"/>
          <w:color w:val="auto"/>
          <w:szCs w:val="21"/>
          <w:highlight w:val="none"/>
        </w:rPr>
        <w:t>发包人：</w:t>
      </w:r>
      <w:r>
        <w:rPr>
          <w:rFonts w:hint="eastAsia" w:ascii="宋体" w:hAnsi="宋体"/>
          <w:color w:val="auto"/>
          <w:szCs w:val="21"/>
          <w:highlight w:val="none"/>
          <w:u w:val="single"/>
          <w:lang w:val="en-US" w:eastAsia="zh-CN"/>
        </w:rPr>
        <w:t xml:space="preserve"> </w:t>
      </w:r>
      <w:r>
        <w:rPr>
          <w:rFonts w:hint="eastAsia" w:hAnsi="宋体"/>
          <w:color w:val="auto"/>
          <w:szCs w:val="21"/>
          <w:highlight w:val="none"/>
          <w:u w:val="single"/>
        </w:rPr>
        <w:t xml:space="preserve">  </w:t>
      </w:r>
      <w:r>
        <w:rPr>
          <w:rFonts w:ascii="宋体" w:hAnsi="宋体"/>
          <w:color w:val="auto"/>
          <w:szCs w:val="21"/>
          <w:highlight w:val="none"/>
          <w:u w:val="single"/>
        </w:rPr>
        <w:t xml:space="preserve">                         </w:t>
      </w:r>
    </w:p>
    <w:p w14:paraId="7074E7E5">
      <w:pPr>
        <w:spacing w:line="360" w:lineRule="auto"/>
        <w:ind w:firstLine="630" w:firstLineChars="300"/>
        <w:jc w:val="left"/>
        <w:rPr>
          <w:rFonts w:hint="eastAsia" w:ascii="宋体" w:hAnsi="宋体"/>
          <w:color w:val="000000"/>
          <w:sz w:val="21"/>
          <w:szCs w:val="21"/>
          <w:highlight w:val="none"/>
          <w:u w:val="single"/>
          <w:lang w:val="en-US" w:eastAsia="zh-CN"/>
        </w:rPr>
      </w:pPr>
      <w:r>
        <w:rPr>
          <w:rFonts w:ascii="宋体" w:hAnsi="宋体"/>
          <w:color w:val="auto"/>
          <w:szCs w:val="21"/>
          <w:highlight w:val="none"/>
        </w:rPr>
        <w:t xml:space="preserve">1.1.2.3  </w:t>
      </w:r>
      <w:r>
        <w:rPr>
          <w:rFonts w:hint="eastAsia" w:ascii="宋体" w:hAnsi="宋体"/>
          <w:color w:val="auto"/>
          <w:szCs w:val="21"/>
          <w:highlight w:val="none"/>
        </w:rPr>
        <w:t>承包人：</w:t>
      </w:r>
      <w:r>
        <w:rPr>
          <w:rFonts w:hint="eastAsia" w:ascii="宋体" w:hAnsi="宋体"/>
          <w:color w:val="auto"/>
          <w:sz w:val="21"/>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69C8962F">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1.1.2.6  </w:t>
      </w:r>
      <w:r>
        <w:rPr>
          <w:rFonts w:hint="eastAsia" w:ascii="宋体" w:hAnsi="宋体"/>
          <w:color w:val="auto"/>
          <w:szCs w:val="21"/>
          <w:highlight w:val="none"/>
        </w:rPr>
        <w:t>监理人：</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469BFFE6">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1.1.2.8  </w:t>
      </w:r>
      <w:r>
        <w:rPr>
          <w:rFonts w:hint="eastAsia" w:ascii="宋体" w:hAnsi="宋体"/>
          <w:color w:val="auto"/>
          <w:szCs w:val="21"/>
          <w:highlight w:val="none"/>
        </w:rPr>
        <w:t>发包人代表：</w:t>
      </w:r>
    </w:p>
    <w:p w14:paraId="6F5914B3">
      <w:pPr>
        <w:spacing w:line="360" w:lineRule="auto"/>
        <w:ind w:firstLine="1575" w:firstLineChars="750"/>
        <w:jc w:val="left"/>
        <w:rPr>
          <w:rFonts w:hint="eastAsia" w:ascii="宋体" w:hAnsi="宋体"/>
          <w:color w:val="auto"/>
          <w:szCs w:val="21"/>
          <w:highlight w:val="none"/>
          <w:u w:val="singl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Times New Roman"/>
          <w:color w:val="auto"/>
          <w:spacing w:val="0"/>
          <w:sz w:val="21"/>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2B39AAEB">
      <w:pPr>
        <w:spacing w:line="360" w:lineRule="auto"/>
        <w:ind w:firstLine="1575" w:firstLineChars="750"/>
        <w:jc w:val="left"/>
        <w:rPr>
          <w:rFonts w:hint="eastAsia" w:ascii="宋体" w:hAnsi="宋体" w:eastAsia="宋体"/>
          <w:color w:val="auto"/>
          <w:szCs w:val="21"/>
          <w:highlight w:val="none"/>
          <w:u w:val="single"/>
          <w:lang w:val="en-US" w:eastAsia="zh-CN"/>
        </w:rPr>
      </w:pPr>
      <w:r>
        <w:rPr>
          <w:rFonts w:hint="eastAsia" w:ascii="宋体" w:hAnsi="宋体"/>
          <w:color w:val="auto"/>
          <w:szCs w:val="21"/>
          <w:highlight w:val="none"/>
          <w:u w:val="none"/>
        </w:rPr>
        <w:t>职    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Times New Roman"/>
          <w:color w:val="auto"/>
          <w:spacing w:val="0"/>
          <w:sz w:val="21"/>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14:paraId="667BF507">
      <w:pPr>
        <w:spacing w:line="360" w:lineRule="auto"/>
        <w:ind w:firstLine="1575" w:firstLineChars="750"/>
        <w:jc w:val="left"/>
        <w:rPr>
          <w:rFonts w:ascii="宋体"/>
          <w:color w:val="auto"/>
          <w:szCs w:val="21"/>
          <w:highlight w:val="none"/>
        </w:rPr>
      </w:pPr>
      <w:r>
        <w:rPr>
          <w:rFonts w:hint="eastAsia" w:ascii="宋体" w:hAnsi="宋体"/>
          <w:color w:val="auto"/>
          <w:szCs w:val="21"/>
          <w:highlight w:val="none"/>
          <w:u w:val="none"/>
        </w:rPr>
        <w:t>联系电话：</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s="Times New Roman"/>
          <w:color w:val="auto"/>
          <w:spacing w:val="0"/>
          <w:sz w:val="21"/>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4193B5AA">
      <w:pPr>
        <w:spacing w:line="360" w:lineRule="auto"/>
        <w:ind w:firstLine="1575" w:firstLineChars="750"/>
        <w:jc w:val="left"/>
        <w:rPr>
          <w:rFonts w:ascii="宋体"/>
          <w:color w:val="auto"/>
          <w:szCs w:val="21"/>
          <w:highlight w:val="none"/>
        </w:rPr>
      </w:pPr>
      <w:r>
        <w:rPr>
          <w:rFonts w:hint="eastAsia" w:ascii="宋体" w:hAnsi="宋体"/>
          <w:color w:val="auto"/>
          <w:szCs w:val="21"/>
          <w:highlight w:val="none"/>
        </w:rPr>
        <w:t>电子信箱：</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2524AAFE">
      <w:pPr>
        <w:spacing w:line="360" w:lineRule="auto"/>
        <w:ind w:firstLine="1575" w:firstLineChars="750"/>
        <w:jc w:val="left"/>
        <w:rPr>
          <w:rFonts w:hint="eastAsia" w:ascii="宋体" w:eastAsia="宋体"/>
          <w:color w:val="auto"/>
          <w:szCs w:val="21"/>
          <w:highlight w:val="none"/>
          <w:lang w:val="en-US" w:eastAsia="zh-CN"/>
        </w:rPr>
      </w:pPr>
      <w:r>
        <w:rPr>
          <w:rFonts w:hint="eastAsia" w:ascii="宋体" w:hAnsi="宋体"/>
          <w:color w:val="auto"/>
          <w:szCs w:val="21"/>
          <w:highlight w:val="none"/>
        </w:rPr>
        <w:t>通信地址：</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2E5C52A8">
      <w:pPr>
        <w:spacing w:line="360" w:lineRule="auto"/>
        <w:ind w:firstLine="420" w:firstLineChars="200"/>
        <w:rPr>
          <w:rFonts w:ascii="宋体"/>
          <w:color w:val="auto"/>
          <w:szCs w:val="21"/>
          <w:highlight w:val="none"/>
        </w:rPr>
      </w:pPr>
      <w:r>
        <w:rPr>
          <w:rFonts w:ascii="宋体" w:hAnsi="宋体"/>
          <w:color w:val="auto"/>
          <w:szCs w:val="21"/>
          <w:highlight w:val="none"/>
        </w:rPr>
        <w:t xml:space="preserve">1.1.3  </w:t>
      </w:r>
      <w:r>
        <w:rPr>
          <w:rFonts w:hint="eastAsia" w:ascii="宋体" w:hAnsi="宋体"/>
          <w:color w:val="auto"/>
          <w:szCs w:val="21"/>
          <w:highlight w:val="none"/>
        </w:rPr>
        <w:t>工程和设备</w:t>
      </w:r>
    </w:p>
    <w:p w14:paraId="665341A1">
      <w:pPr>
        <w:spacing w:line="360" w:lineRule="auto"/>
        <w:ind w:firstLine="630" w:firstLineChars="300"/>
        <w:jc w:val="left"/>
        <w:rPr>
          <w:rFonts w:ascii="宋体"/>
          <w:color w:val="auto"/>
          <w:szCs w:val="21"/>
          <w:highlight w:val="none"/>
          <w:u w:val="single"/>
        </w:rPr>
      </w:pPr>
      <w:r>
        <w:rPr>
          <w:rFonts w:ascii="宋体" w:hAnsi="宋体"/>
          <w:color w:val="auto"/>
          <w:szCs w:val="21"/>
          <w:highlight w:val="none"/>
        </w:rPr>
        <w:t xml:space="preserve">1.1.3.2  </w:t>
      </w:r>
      <w:r>
        <w:rPr>
          <w:rFonts w:hint="eastAsia" w:ascii="宋体" w:hAnsi="宋体"/>
          <w:color w:val="auto"/>
          <w:szCs w:val="21"/>
          <w:highlight w:val="none"/>
        </w:rPr>
        <w:t>永久工程：</w:t>
      </w:r>
      <w:r>
        <w:rPr>
          <w:rFonts w:hint="eastAsia" w:ascii="宋体" w:hAnsi="宋体"/>
          <w:color w:val="auto"/>
          <w:szCs w:val="21"/>
          <w:highlight w:val="none"/>
          <w:u w:val="single"/>
          <w:lang w:val="en-US" w:eastAsia="zh-CN"/>
        </w:rPr>
        <w:t xml:space="preserve"> </w:t>
      </w:r>
      <w:r>
        <w:rPr>
          <w:rFonts w:hint="eastAsia" w:ascii="宋体" w:hAnsi="宋体" w:cs="Arial"/>
          <w:color w:val="auto"/>
          <w:szCs w:val="21"/>
          <w:highlight w:val="none"/>
          <w:u w:val="single"/>
          <w:lang w:eastAsia="zh-CN"/>
        </w:rPr>
        <w:t>昌平区延寿镇北庄村防洪沟治理应急度汛项目</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6A4AB754">
      <w:pPr>
        <w:spacing w:line="360" w:lineRule="auto"/>
        <w:ind w:firstLine="630" w:firstLineChars="300"/>
        <w:jc w:val="left"/>
        <w:rPr>
          <w:rFonts w:ascii="宋体"/>
          <w:color w:val="auto"/>
          <w:szCs w:val="21"/>
          <w:highlight w:val="none"/>
        </w:rPr>
      </w:pPr>
      <w:r>
        <w:rPr>
          <w:rFonts w:ascii="宋体" w:hAnsi="宋体"/>
          <w:color w:val="auto"/>
          <w:szCs w:val="21"/>
          <w:highlight w:val="none"/>
        </w:rPr>
        <w:t>1.1.3</w:t>
      </w:r>
      <w:r>
        <w:rPr>
          <w:rFonts w:ascii="宋体"/>
          <w:color w:val="auto"/>
          <w:szCs w:val="21"/>
          <w:highlight w:val="none"/>
        </w:rPr>
        <w:t>.</w:t>
      </w:r>
      <w:r>
        <w:rPr>
          <w:rFonts w:ascii="宋体" w:hAnsi="宋体"/>
          <w:color w:val="auto"/>
          <w:szCs w:val="21"/>
          <w:highlight w:val="none"/>
        </w:rPr>
        <w:t xml:space="preserve">3  </w:t>
      </w:r>
      <w:r>
        <w:rPr>
          <w:rFonts w:hint="eastAsia" w:ascii="宋体" w:hAnsi="宋体"/>
          <w:color w:val="auto"/>
          <w:szCs w:val="21"/>
          <w:highlight w:val="none"/>
        </w:rPr>
        <w:t>临时工程：</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01878706">
      <w:pPr>
        <w:spacing w:line="360" w:lineRule="auto"/>
        <w:ind w:firstLine="630" w:firstLineChars="300"/>
        <w:jc w:val="left"/>
        <w:rPr>
          <w:rFonts w:ascii="宋体"/>
          <w:color w:val="auto"/>
          <w:szCs w:val="21"/>
          <w:highlight w:val="none"/>
        </w:rPr>
      </w:pPr>
      <w:r>
        <w:rPr>
          <w:rFonts w:ascii="宋体" w:hAnsi="宋体"/>
          <w:color w:val="auto"/>
          <w:szCs w:val="21"/>
          <w:highlight w:val="none"/>
        </w:rPr>
        <w:t>1.1.3</w:t>
      </w:r>
      <w:r>
        <w:rPr>
          <w:rFonts w:ascii="宋体"/>
          <w:color w:val="auto"/>
          <w:szCs w:val="21"/>
          <w:highlight w:val="none"/>
        </w:rPr>
        <w:t>.</w:t>
      </w:r>
      <w:r>
        <w:rPr>
          <w:rFonts w:ascii="宋体" w:hAnsi="宋体"/>
          <w:color w:val="auto"/>
          <w:szCs w:val="21"/>
          <w:highlight w:val="none"/>
        </w:rPr>
        <w:t xml:space="preserve">10  </w:t>
      </w:r>
      <w:r>
        <w:rPr>
          <w:rFonts w:hint="eastAsia" w:ascii="宋体" w:hAnsi="宋体"/>
          <w:color w:val="auto"/>
          <w:szCs w:val="21"/>
          <w:highlight w:val="none"/>
        </w:rPr>
        <w:t>永久占地：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46F1B68B">
      <w:pPr>
        <w:spacing w:line="360" w:lineRule="auto"/>
        <w:ind w:firstLine="630" w:firstLineChars="300"/>
        <w:jc w:val="left"/>
        <w:rPr>
          <w:rFonts w:ascii="宋体"/>
          <w:color w:val="auto"/>
          <w:szCs w:val="21"/>
          <w:highlight w:val="none"/>
        </w:rPr>
      </w:pPr>
      <w:r>
        <w:rPr>
          <w:rFonts w:ascii="宋体" w:hAnsi="宋体"/>
          <w:color w:val="auto"/>
          <w:szCs w:val="21"/>
          <w:highlight w:val="none"/>
        </w:rPr>
        <w:t>1.1.3</w:t>
      </w:r>
      <w:r>
        <w:rPr>
          <w:rFonts w:ascii="宋体"/>
          <w:color w:val="auto"/>
          <w:szCs w:val="21"/>
          <w:highlight w:val="none"/>
        </w:rPr>
        <w:t>.</w:t>
      </w:r>
      <w:r>
        <w:rPr>
          <w:rFonts w:ascii="宋体" w:hAnsi="宋体"/>
          <w:color w:val="auto"/>
          <w:szCs w:val="21"/>
          <w:highlight w:val="none"/>
        </w:rPr>
        <w:t xml:space="preserve">11  </w:t>
      </w:r>
      <w:r>
        <w:rPr>
          <w:rFonts w:hint="eastAsia" w:ascii="宋体" w:hAnsi="宋体"/>
          <w:color w:val="auto"/>
          <w:szCs w:val="21"/>
          <w:highlight w:val="none"/>
        </w:rPr>
        <w:t>临时占地：</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2281630A">
      <w:pPr>
        <w:spacing w:line="360" w:lineRule="auto"/>
        <w:ind w:firstLine="420" w:firstLineChars="200"/>
        <w:rPr>
          <w:rFonts w:ascii="宋体"/>
          <w:color w:val="auto"/>
          <w:szCs w:val="21"/>
          <w:highlight w:val="none"/>
        </w:rPr>
      </w:pPr>
      <w:r>
        <w:rPr>
          <w:rFonts w:ascii="宋体" w:hAnsi="宋体"/>
          <w:color w:val="auto"/>
          <w:szCs w:val="21"/>
          <w:highlight w:val="none"/>
        </w:rPr>
        <w:t xml:space="preserve">1.1.4  </w:t>
      </w:r>
      <w:r>
        <w:rPr>
          <w:rFonts w:hint="eastAsia" w:ascii="宋体" w:hAnsi="宋体"/>
          <w:color w:val="auto"/>
          <w:szCs w:val="21"/>
          <w:highlight w:val="none"/>
        </w:rPr>
        <w:t>日期</w:t>
      </w:r>
    </w:p>
    <w:p w14:paraId="49FA9192">
      <w:pPr>
        <w:spacing w:line="360" w:lineRule="auto"/>
        <w:ind w:firstLine="630" w:firstLineChars="300"/>
        <w:jc w:val="left"/>
        <w:rPr>
          <w:rFonts w:ascii="宋体"/>
          <w:color w:val="auto"/>
          <w:szCs w:val="21"/>
          <w:highlight w:val="none"/>
        </w:rPr>
      </w:pPr>
      <w:r>
        <w:rPr>
          <w:rFonts w:ascii="宋体" w:hAnsi="宋体"/>
          <w:color w:val="auto"/>
          <w:szCs w:val="21"/>
          <w:highlight w:val="none"/>
        </w:rPr>
        <w:t xml:space="preserve">1.1.4.5  </w:t>
      </w:r>
      <w:r>
        <w:rPr>
          <w:rFonts w:hint="eastAsia" w:ascii="宋体" w:hAnsi="宋体"/>
          <w:color w:val="auto"/>
          <w:szCs w:val="21"/>
          <w:highlight w:val="none"/>
        </w:rPr>
        <w:t>缺陷责任期期限：</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24</w:t>
      </w:r>
      <w:r>
        <w:rPr>
          <w:rFonts w:hint="eastAsia" w:ascii="宋体" w:hAnsi="宋体"/>
          <w:color w:val="auto"/>
          <w:szCs w:val="21"/>
          <w:highlight w:val="none"/>
          <w:u w:val="single"/>
        </w:rPr>
        <w:t>个</w:t>
      </w:r>
      <w:r>
        <w:rPr>
          <w:rFonts w:ascii="宋体" w:hAnsi="宋体"/>
          <w:color w:val="auto"/>
          <w:szCs w:val="21"/>
          <w:highlight w:val="none"/>
          <w:u w:val="single"/>
        </w:rPr>
        <w:t xml:space="preserve">   </w:t>
      </w:r>
      <w:r>
        <w:rPr>
          <w:rFonts w:hint="eastAsia" w:ascii="宋体" w:hAnsi="宋体"/>
          <w:color w:val="auto"/>
          <w:szCs w:val="21"/>
          <w:highlight w:val="none"/>
        </w:rPr>
        <w:t>月。</w:t>
      </w:r>
    </w:p>
    <w:p w14:paraId="0D453714">
      <w:pPr>
        <w:spacing w:line="360" w:lineRule="auto"/>
        <w:ind w:firstLine="420" w:firstLineChars="200"/>
        <w:rPr>
          <w:rFonts w:ascii="宋体"/>
          <w:color w:val="auto"/>
          <w:szCs w:val="21"/>
          <w:highlight w:val="none"/>
        </w:rPr>
      </w:pPr>
      <w:r>
        <w:rPr>
          <w:rFonts w:ascii="宋体" w:hAnsi="宋体"/>
          <w:color w:val="auto"/>
          <w:szCs w:val="21"/>
          <w:highlight w:val="none"/>
        </w:rPr>
        <w:t xml:space="preserve">1.1.8  </w:t>
      </w:r>
      <w:r>
        <w:rPr>
          <w:rFonts w:hint="eastAsia" w:ascii="宋体" w:hAnsi="宋体"/>
          <w:color w:val="auto"/>
          <w:szCs w:val="21"/>
          <w:highlight w:val="none"/>
        </w:rPr>
        <w:t>其他需要补充的内容</w:t>
      </w:r>
    </w:p>
    <w:p w14:paraId="2E1DB6D5">
      <w:pPr>
        <w:spacing w:line="360" w:lineRule="auto"/>
        <w:ind w:left="315" w:leftChars="150" w:firstLine="109" w:firstLineChars="52"/>
        <w:rPr>
          <w:rFonts w:ascii="宋体"/>
          <w:color w:val="auto"/>
          <w:szCs w:val="21"/>
          <w:highlight w:val="none"/>
        </w:rPr>
      </w:pPr>
      <w:r>
        <w:rPr>
          <w:rFonts w:ascii="宋体" w:hAnsi="宋体"/>
          <w:color w:val="auto"/>
          <w:szCs w:val="21"/>
          <w:highlight w:val="none"/>
          <w:u w:val="single"/>
        </w:rPr>
        <w:t xml:space="preserve">                     /                                                      </w:t>
      </w:r>
    </w:p>
    <w:p w14:paraId="77C4895F">
      <w:pPr>
        <w:keepNext/>
        <w:keepLines/>
        <w:spacing w:before="120" w:beforeLines="50" w:after="120" w:afterLines="50" w:line="360" w:lineRule="auto"/>
        <w:outlineLvl w:val="2"/>
        <w:rPr>
          <w:rFonts w:ascii="宋体" w:hAnsi="宋体"/>
          <w:color w:val="auto"/>
          <w:kern w:val="0"/>
          <w:sz w:val="24"/>
          <w:szCs w:val="20"/>
          <w:highlight w:val="none"/>
        </w:rPr>
      </w:pPr>
      <w:bookmarkStart w:id="1553" w:name="_Toc497214045"/>
      <w:bookmarkStart w:id="1554" w:name="_Toc485323150"/>
      <w:bookmarkStart w:id="1555" w:name="_Toc489280182"/>
      <w:bookmarkStart w:id="1556" w:name="_Toc7379"/>
      <w:bookmarkStart w:id="1557" w:name="_Toc31186"/>
      <w:bookmarkStart w:id="1558" w:name="_Toc490331667"/>
      <w:bookmarkStart w:id="1559" w:name="_Toc486580376"/>
      <w:r>
        <w:rPr>
          <w:rFonts w:ascii="宋体" w:hAnsi="宋体"/>
          <w:color w:val="auto"/>
          <w:kern w:val="0"/>
          <w:sz w:val="24"/>
          <w:szCs w:val="20"/>
          <w:highlight w:val="none"/>
        </w:rPr>
        <w:t xml:space="preserve">1.4  </w:t>
      </w:r>
      <w:r>
        <w:rPr>
          <w:rFonts w:hint="eastAsia" w:ascii="宋体" w:hAnsi="宋体"/>
          <w:color w:val="auto"/>
          <w:kern w:val="0"/>
          <w:sz w:val="24"/>
          <w:szCs w:val="20"/>
          <w:highlight w:val="none"/>
        </w:rPr>
        <w:t>合同文件的优先顺序</w:t>
      </w:r>
      <w:bookmarkEnd w:id="1553"/>
      <w:bookmarkEnd w:id="1554"/>
      <w:bookmarkEnd w:id="1555"/>
      <w:bookmarkEnd w:id="1556"/>
      <w:bookmarkEnd w:id="1557"/>
      <w:bookmarkEnd w:id="1558"/>
      <w:bookmarkEnd w:id="1559"/>
    </w:p>
    <w:p w14:paraId="7F14C2C5">
      <w:pPr>
        <w:spacing w:line="360" w:lineRule="auto"/>
        <w:ind w:firstLine="482"/>
        <w:rPr>
          <w:rFonts w:ascii="宋体" w:cs="Arial"/>
          <w:color w:val="auto"/>
          <w:szCs w:val="21"/>
          <w:highlight w:val="none"/>
        </w:rPr>
      </w:pPr>
      <w:r>
        <w:rPr>
          <w:rFonts w:hint="eastAsia" w:ascii="宋体" w:hAnsi="宋体" w:cs="Arial"/>
          <w:color w:val="auto"/>
          <w:szCs w:val="21"/>
          <w:highlight w:val="none"/>
        </w:rPr>
        <w:t>合同文件的优先解释顺序如下：</w:t>
      </w:r>
    </w:p>
    <w:p w14:paraId="1EA67FE9">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1</w:t>
      </w:r>
      <w:r>
        <w:rPr>
          <w:rFonts w:hint="eastAsia" w:ascii="宋体" w:hAnsi="宋体" w:cs="Arial"/>
          <w:color w:val="auto"/>
          <w:szCs w:val="21"/>
          <w:highlight w:val="none"/>
        </w:rPr>
        <w:t>）合同协议书；</w:t>
      </w:r>
    </w:p>
    <w:p w14:paraId="4D75CA5B">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2</w:t>
      </w:r>
      <w:r>
        <w:rPr>
          <w:rFonts w:hint="eastAsia" w:ascii="宋体" w:hAnsi="宋体" w:cs="Arial"/>
          <w:color w:val="auto"/>
          <w:szCs w:val="21"/>
          <w:highlight w:val="none"/>
        </w:rPr>
        <w:t>）中标通知书；</w:t>
      </w:r>
    </w:p>
    <w:p w14:paraId="515A0709">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3</w:t>
      </w:r>
      <w:r>
        <w:rPr>
          <w:rFonts w:hint="eastAsia" w:ascii="宋体" w:hAnsi="宋体" w:cs="Arial"/>
          <w:color w:val="auto"/>
          <w:szCs w:val="21"/>
          <w:highlight w:val="none"/>
        </w:rPr>
        <w:t>）投标函及投标函附录；</w:t>
      </w:r>
    </w:p>
    <w:p w14:paraId="4AAA2426">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4</w:t>
      </w:r>
      <w:r>
        <w:rPr>
          <w:rFonts w:hint="eastAsia" w:ascii="宋体" w:hAnsi="宋体" w:cs="Arial"/>
          <w:color w:val="auto"/>
          <w:szCs w:val="21"/>
          <w:highlight w:val="none"/>
        </w:rPr>
        <w:t>）合同条款专用部分；</w:t>
      </w:r>
    </w:p>
    <w:p w14:paraId="2F0ECFB3">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5</w:t>
      </w:r>
      <w:r>
        <w:rPr>
          <w:rFonts w:hint="eastAsia" w:ascii="宋体" w:hAnsi="宋体" w:cs="Arial"/>
          <w:color w:val="auto"/>
          <w:szCs w:val="21"/>
          <w:highlight w:val="none"/>
        </w:rPr>
        <w:t>）合同条款通用部分；</w:t>
      </w:r>
    </w:p>
    <w:p w14:paraId="452E80A3">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6</w:t>
      </w:r>
      <w:r>
        <w:rPr>
          <w:rFonts w:hint="eastAsia" w:ascii="宋体" w:hAnsi="宋体" w:cs="Arial"/>
          <w:color w:val="auto"/>
          <w:szCs w:val="21"/>
          <w:highlight w:val="none"/>
        </w:rPr>
        <w:t>）</w:t>
      </w:r>
      <w:r>
        <w:rPr>
          <w:rFonts w:hint="eastAsia" w:hAnsi="宋体" w:cs="Arial"/>
          <w:color w:val="auto"/>
          <w:highlight w:val="none"/>
          <w:u w:val="single"/>
        </w:rPr>
        <w:t xml:space="preserve">技术标准和要求   </w:t>
      </w:r>
      <w:r>
        <w:rPr>
          <w:rFonts w:ascii="宋体" w:hAnsi="宋体" w:cs="Arial"/>
          <w:color w:val="auto"/>
          <w:highlight w:val="none"/>
          <w:u w:val="single"/>
        </w:rPr>
        <w:t xml:space="preserve">                        </w:t>
      </w:r>
      <w:r>
        <w:rPr>
          <w:rFonts w:ascii="宋体" w:hAnsi="宋体" w:cs="Arial"/>
          <w:color w:val="auto"/>
          <w:highlight w:val="none"/>
        </w:rPr>
        <w:t xml:space="preserve"> </w:t>
      </w:r>
    </w:p>
    <w:p w14:paraId="450E730F">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7</w:t>
      </w:r>
      <w:r>
        <w:rPr>
          <w:rFonts w:hint="eastAsia" w:ascii="宋体" w:hAnsi="宋体" w:cs="Arial"/>
          <w:color w:val="auto"/>
          <w:szCs w:val="21"/>
          <w:highlight w:val="none"/>
        </w:rPr>
        <w:t>）</w:t>
      </w:r>
      <w:r>
        <w:rPr>
          <w:rFonts w:hint="eastAsia" w:hAnsi="宋体" w:cs="Arial"/>
          <w:color w:val="auto"/>
          <w:highlight w:val="none"/>
          <w:u w:val="single"/>
        </w:rPr>
        <w:t xml:space="preserve">图纸   </w:t>
      </w:r>
      <w:r>
        <w:rPr>
          <w:rFonts w:ascii="宋体" w:hAnsi="宋体" w:cs="Arial"/>
          <w:color w:val="auto"/>
          <w:highlight w:val="none"/>
          <w:u w:val="single"/>
        </w:rPr>
        <w:t xml:space="preserve">                                  </w:t>
      </w:r>
      <w:r>
        <w:rPr>
          <w:rFonts w:ascii="宋体" w:hAnsi="宋体" w:cs="Arial"/>
          <w:color w:val="auto"/>
          <w:highlight w:val="none"/>
        </w:rPr>
        <w:t xml:space="preserve"> </w:t>
      </w:r>
    </w:p>
    <w:p w14:paraId="6C7CDB2B">
      <w:pPr>
        <w:spacing w:line="360" w:lineRule="auto"/>
        <w:ind w:firstLine="482"/>
        <w:rPr>
          <w:rFonts w:ascii="宋体" w:cs="Arial"/>
          <w:color w:val="auto"/>
          <w:szCs w:val="21"/>
          <w:highlight w:val="none"/>
        </w:rPr>
      </w:pPr>
      <w:r>
        <w:rPr>
          <w:rFonts w:hint="eastAsia" w:ascii="宋体" w:hAnsi="宋体" w:cs="Arial"/>
          <w:color w:val="auto"/>
          <w:szCs w:val="21"/>
          <w:highlight w:val="none"/>
        </w:rPr>
        <w:t>（</w:t>
      </w:r>
      <w:r>
        <w:rPr>
          <w:rFonts w:ascii="宋体" w:hAnsi="宋体" w:cs="Arial"/>
          <w:color w:val="auto"/>
          <w:szCs w:val="21"/>
          <w:highlight w:val="none"/>
        </w:rPr>
        <w:t>8</w:t>
      </w:r>
      <w:r>
        <w:rPr>
          <w:rFonts w:hint="eastAsia" w:ascii="宋体" w:hAnsi="宋体" w:cs="Arial"/>
          <w:color w:val="auto"/>
          <w:szCs w:val="21"/>
          <w:highlight w:val="none"/>
        </w:rPr>
        <w:t>）</w:t>
      </w:r>
      <w:r>
        <w:rPr>
          <w:rFonts w:hint="eastAsia" w:hAnsi="宋体" w:cs="Arial"/>
          <w:color w:val="auto"/>
          <w:highlight w:val="none"/>
          <w:u w:val="single"/>
        </w:rPr>
        <w:t xml:space="preserve">已标价工程量清单      </w:t>
      </w:r>
      <w:r>
        <w:rPr>
          <w:rFonts w:ascii="宋体" w:hAnsi="宋体" w:cs="Arial"/>
          <w:color w:val="auto"/>
          <w:highlight w:val="none"/>
          <w:u w:val="single"/>
        </w:rPr>
        <w:t xml:space="preserve">                    </w:t>
      </w:r>
    </w:p>
    <w:p w14:paraId="21F592EA">
      <w:pPr>
        <w:spacing w:line="360" w:lineRule="auto"/>
        <w:ind w:firstLine="48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9</w:t>
      </w:r>
      <w:r>
        <w:rPr>
          <w:rFonts w:hint="eastAsia" w:ascii="宋体" w:hAnsi="宋体" w:cs="Arial"/>
          <w:color w:val="auto"/>
          <w:highlight w:val="none"/>
        </w:rPr>
        <w:t>）</w:t>
      </w:r>
      <w:r>
        <w:rPr>
          <w:rFonts w:hint="eastAsia" w:ascii="宋体" w:hAnsi="宋体" w:cs="Arial"/>
          <w:color w:val="auto"/>
          <w:highlight w:val="none"/>
          <w:u w:val="single"/>
        </w:rPr>
        <w:t>其他合同</w:t>
      </w:r>
      <w:r>
        <w:rPr>
          <w:rFonts w:ascii="宋体" w:hAnsi="宋体" w:cs="Arial"/>
          <w:color w:val="auto"/>
          <w:highlight w:val="none"/>
          <w:u w:val="single"/>
        </w:rPr>
        <w:t xml:space="preserve">文件                             </w:t>
      </w:r>
      <w:r>
        <w:rPr>
          <w:rFonts w:ascii="宋体" w:hAnsi="宋体" w:cs="Arial"/>
          <w:color w:val="auto"/>
          <w:highlight w:val="none"/>
        </w:rPr>
        <w:t xml:space="preserve"> </w:t>
      </w:r>
    </w:p>
    <w:p w14:paraId="6EE7C0B3">
      <w:pPr>
        <w:spacing w:line="360" w:lineRule="auto"/>
        <w:ind w:firstLine="480"/>
        <w:rPr>
          <w:rFonts w:ascii="宋体" w:cs="Arial"/>
          <w:color w:val="auto"/>
          <w:szCs w:val="21"/>
          <w:highlight w:val="none"/>
        </w:rPr>
      </w:pPr>
      <w:r>
        <w:rPr>
          <w:rFonts w:hint="eastAsia" w:ascii="宋体" w:hAnsi="宋体" w:cs="Arial"/>
          <w:color w:val="auto"/>
          <w:szCs w:val="21"/>
          <w:highlight w:val="none"/>
        </w:rPr>
        <w:t>（说明：（</w:t>
      </w:r>
      <w:r>
        <w:rPr>
          <w:rFonts w:ascii="宋体" w:hAnsi="宋体" w:cs="Arial"/>
          <w:color w:val="auto"/>
          <w:szCs w:val="21"/>
          <w:highlight w:val="none"/>
        </w:rPr>
        <w:t>6</w:t>
      </w:r>
      <w:r>
        <w:rPr>
          <w:rFonts w:hint="eastAsia" w:ascii="宋体" w:hAnsi="宋体" w:cs="Arial"/>
          <w:color w:val="auto"/>
          <w:szCs w:val="21"/>
          <w:highlight w:val="none"/>
        </w:rPr>
        <w:t>）、（</w:t>
      </w:r>
      <w:r>
        <w:rPr>
          <w:rFonts w:ascii="宋体" w:hAnsi="宋体" w:cs="Arial"/>
          <w:color w:val="auto"/>
          <w:szCs w:val="21"/>
          <w:highlight w:val="none"/>
        </w:rPr>
        <w:t>7</w:t>
      </w:r>
      <w:r>
        <w:rPr>
          <w:rFonts w:hint="eastAsia" w:ascii="宋体" w:hAnsi="宋体" w:cs="Arial"/>
          <w:color w:val="auto"/>
          <w:szCs w:val="21"/>
          <w:highlight w:val="none"/>
        </w:rPr>
        <w:t>）、（</w:t>
      </w:r>
      <w:r>
        <w:rPr>
          <w:rFonts w:ascii="宋体" w:hAnsi="宋体" w:cs="Arial"/>
          <w:color w:val="auto"/>
          <w:szCs w:val="21"/>
          <w:highlight w:val="none"/>
        </w:rPr>
        <w:t>8</w:t>
      </w:r>
      <w:r>
        <w:rPr>
          <w:rFonts w:hint="eastAsia" w:ascii="宋体" w:hAnsi="宋体" w:cs="Arial"/>
          <w:color w:val="auto"/>
          <w:szCs w:val="21"/>
          <w:highlight w:val="none"/>
        </w:rPr>
        <w:t>）填空内容分别限于技术标准和要求、图纸、已标价工程量清单三者之一。）</w:t>
      </w:r>
    </w:p>
    <w:p w14:paraId="32EA011E">
      <w:pPr>
        <w:keepNext/>
        <w:keepLines/>
        <w:spacing w:before="120" w:beforeLines="50" w:after="120" w:afterLines="50" w:line="360" w:lineRule="auto"/>
        <w:outlineLvl w:val="2"/>
        <w:rPr>
          <w:rFonts w:ascii="宋体" w:hAnsi="宋体"/>
          <w:color w:val="auto"/>
          <w:kern w:val="0"/>
          <w:sz w:val="24"/>
          <w:szCs w:val="20"/>
          <w:highlight w:val="none"/>
        </w:rPr>
      </w:pPr>
      <w:bookmarkStart w:id="1560" w:name="_Toc497214046"/>
      <w:bookmarkStart w:id="1561" w:name="_Toc490331668"/>
      <w:bookmarkStart w:id="1562" w:name="_Toc489280183"/>
      <w:bookmarkStart w:id="1563" w:name="_Toc486580377"/>
      <w:bookmarkStart w:id="1564" w:name="_Toc2390"/>
      <w:bookmarkStart w:id="1565" w:name="_Toc485323151"/>
      <w:bookmarkStart w:id="1566" w:name="_Toc10185"/>
      <w:r>
        <w:rPr>
          <w:rFonts w:ascii="宋体" w:hAnsi="宋体"/>
          <w:color w:val="auto"/>
          <w:kern w:val="0"/>
          <w:sz w:val="24"/>
          <w:szCs w:val="20"/>
          <w:highlight w:val="none"/>
        </w:rPr>
        <w:t xml:space="preserve">1.5  </w:t>
      </w:r>
      <w:r>
        <w:rPr>
          <w:rFonts w:hint="eastAsia" w:ascii="宋体" w:hAnsi="宋体"/>
          <w:color w:val="auto"/>
          <w:kern w:val="0"/>
          <w:sz w:val="24"/>
          <w:szCs w:val="20"/>
          <w:highlight w:val="none"/>
        </w:rPr>
        <w:t>合同协议书</w:t>
      </w:r>
      <w:bookmarkEnd w:id="1560"/>
      <w:bookmarkEnd w:id="1561"/>
      <w:bookmarkEnd w:id="1562"/>
      <w:bookmarkEnd w:id="1563"/>
      <w:bookmarkEnd w:id="1564"/>
      <w:bookmarkEnd w:id="1565"/>
      <w:bookmarkEnd w:id="1566"/>
    </w:p>
    <w:p w14:paraId="3E987B0A">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合同生效的条件：</w:t>
      </w:r>
      <w:r>
        <w:rPr>
          <w:rFonts w:hint="eastAsia" w:ascii="宋体" w:hAnsi="宋体"/>
          <w:color w:val="auto"/>
          <w:szCs w:val="21"/>
          <w:highlight w:val="none"/>
          <w:u w:val="single"/>
        </w:rPr>
        <w:t>甲乙双方法定代表人或授权代表签字并加盖公章之日</w:t>
      </w:r>
      <w:r>
        <w:rPr>
          <w:rFonts w:hint="eastAsia" w:ascii="宋体" w:hAnsi="宋体"/>
          <w:color w:val="auto"/>
          <w:szCs w:val="21"/>
          <w:highlight w:val="none"/>
          <w:u w:val="single"/>
          <w:lang w:eastAsia="zh-CN"/>
        </w:rPr>
        <w:t>起</w:t>
      </w:r>
      <w:r>
        <w:rPr>
          <w:rFonts w:hint="eastAsia" w:ascii="宋体" w:hAnsi="宋体"/>
          <w:color w:val="auto"/>
          <w:szCs w:val="21"/>
          <w:highlight w:val="none"/>
          <w:u w:val="single"/>
        </w:rPr>
        <w:t xml:space="preserve">生效。  </w:t>
      </w:r>
      <w:r>
        <w:rPr>
          <w:rFonts w:ascii="宋体" w:hAnsi="宋体"/>
          <w:color w:val="auto"/>
          <w:szCs w:val="21"/>
          <w:highlight w:val="none"/>
          <w:u w:val="single"/>
        </w:rPr>
        <w:t xml:space="preserve">    </w:t>
      </w:r>
    </w:p>
    <w:p w14:paraId="39046A84">
      <w:pPr>
        <w:keepNext/>
        <w:keepLines/>
        <w:spacing w:before="120" w:beforeLines="50" w:after="120" w:afterLines="50" w:line="360" w:lineRule="auto"/>
        <w:outlineLvl w:val="2"/>
        <w:rPr>
          <w:rFonts w:ascii="宋体" w:hAnsi="宋体"/>
          <w:color w:val="auto"/>
          <w:kern w:val="0"/>
          <w:sz w:val="24"/>
          <w:szCs w:val="20"/>
          <w:highlight w:val="none"/>
        </w:rPr>
      </w:pPr>
      <w:bookmarkStart w:id="1567" w:name="_Toc497214047"/>
      <w:bookmarkStart w:id="1568" w:name="_Toc25035"/>
      <w:bookmarkStart w:id="1569" w:name="_Toc490331669"/>
      <w:bookmarkStart w:id="1570" w:name="_Toc485323152"/>
      <w:bookmarkStart w:id="1571" w:name="_Toc6431"/>
      <w:bookmarkStart w:id="1572" w:name="_Toc486580378"/>
      <w:bookmarkStart w:id="1573" w:name="_Toc489280184"/>
      <w:r>
        <w:rPr>
          <w:rFonts w:ascii="宋体" w:hAnsi="宋体"/>
          <w:color w:val="auto"/>
          <w:kern w:val="0"/>
          <w:sz w:val="24"/>
          <w:szCs w:val="20"/>
          <w:highlight w:val="none"/>
        </w:rPr>
        <w:t xml:space="preserve">1.6  </w:t>
      </w:r>
      <w:r>
        <w:rPr>
          <w:rFonts w:hint="eastAsia" w:ascii="宋体" w:hAnsi="宋体"/>
          <w:color w:val="auto"/>
          <w:kern w:val="0"/>
          <w:sz w:val="24"/>
          <w:szCs w:val="20"/>
          <w:highlight w:val="none"/>
        </w:rPr>
        <w:t>图纸和承包人文件</w:t>
      </w:r>
      <w:bookmarkEnd w:id="1567"/>
      <w:bookmarkEnd w:id="1568"/>
      <w:bookmarkEnd w:id="1569"/>
      <w:bookmarkEnd w:id="1570"/>
      <w:bookmarkEnd w:id="1571"/>
      <w:bookmarkEnd w:id="1572"/>
      <w:bookmarkEnd w:id="1573"/>
    </w:p>
    <w:p w14:paraId="1611C93B">
      <w:pPr>
        <w:spacing w:line="360" w:lineRule="auto"/>
        <w:ind w:firstLine="420" w:firstLineChars="200"/>
        <w:jc w:val="left"/>
        <w:rPr>
          <w:rFonts w:asci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图纸的提供</w:t>
      </w:r>
    </w:p>
    <w:p w14:paraId="523A638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）发包人提供图纸的期限：</w:t>
      </w:r>
      <w:r>
        <w:rPr>
          <w:color w:val="auto"/>
          <w:szCs w:val="21"/>
          <w:highlight w:val="none"/>
          <w:u w:val="single"/>
        </w:rPr>
        <w:t>合同签订后7个工作日内</w:t>
      </w:r>
      <w:r>
        <w:rPr>
          <w:rFonts w:ascii="宋体" w:hAnsi="宋体"/>
          <w:color w:val="auto"/>
          <w:szCs w:val="21"/>
          <w:highlight w:val="none"/>
          <w:u w:val="single"/>
        </w:rPr>
        <w:t xml:space="preserve">                          </w:t>
      </w:r>
    </w:p>
    <w:p w14:paraId="46130572">
      <w:pPr>
        <w:spacing w:line="360" w:lineRule="auto"/>
        <w:ind w:firstLine="630" w:firstLineChars="300"/>
        <w:rPr>
          <w:rFonts w:ascii="宋体"/>
          <w:color w:val="auto"/>
          <w:szCs w:val="21"/>
          <w:highlight w:val="none"/>
        </w:rPr>
      </w:pPr>
      <w:r>
        <w:rPr>
          <w:rFonts w:hint="eastAsia" w:ascii="宋体" w:hAnsi="宋体"/>
          <w:color w:val="auto"/>
          <w:szCs w:val="21"/>
          <w:highlight w:val="none"/>
        </w:rPr>
        <w:t>发包人提供图纸的数量：</w:t>
      </w:r>
      <w:r>
        <w:rPr>
          <w:rFonts w:hint="eastAsia" w:ascii="宋体" w:hAnsi="宋体"/>
          <w:color w:val="auto"/>
          <w:szCs w:val="21"/>
          <w:highlight w:val="none"/>
          <w:u w:val="single"/>
          <w:lang w:val="en-US" w:eastAsia="zh-CN"/>
        </w:rPr>
        <w:t xml:space="preserve">   2套（一套施工、一套用于竣工资料）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36687211">
      <w:pPr>
        <w:spacing w:line="360" w:lineRule="auto"/>
        <w:ind w:firstLine="630" w:firstLineChars="300"/>
        <w:rPr>
          <w:rFonts w:ascii="宋体"/>
          <w:color w:val="auto"/>
          <w:szCs w:val="21"/>
          <w:highlight w:val="none"/>
        </w:rPr>
      </w:pPr>
      <w:r>
        <w:rPr>
          <w:rFonts w:hint="eastAsia" w:ascii="宋体" w:hAnsi="宋体"/>
          <w:color w:val="auto"/>
          <w:szCs w:val="21"/>
          <w:highlight w:val="none"/>
        </w:rPr>
        <w:t>其他约定：</w:t>
      </w:r>
      <w:r>
        <w:rPr>
          <w:rFonts w:ascii="宋体" w:hAnsi="宋体"/>
          <w:color w:val="auto"/>
          <w:szCs w:val="21"/>
          <w:highlight w:val="none"/>
          <w:u w:val="single"/>
        </w:rPr>
        <w:t xml:space="preserve"> /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5EE83B49">
      <w:pPr>
        <w:spacing w:line="360" w:lineRule="auto"/>
        <w:ind w:firstLine="420" w:firstLineChars="200"/>
        <w:jc w:val="left"/>
        <w:rPr>
          <w:rFonts w:ascii="宋体"/>
          <w:color w:val="auto"/>
          <w:szCs w:val="21"/>
          <w:highlight w:val="none"/>
        </w:rPr>
      </w:pPr>
      <w:r>
        <w:rPr>
          <w:rFonts w:ascii="宋体" w:hAnsi="宋体"/>
          <w:color w:val="auto"/>
          <w:szCs w:val="21"/>
          <w:highlight w:val="none"/>
        </w:rPr>
        <w:t xml:space="preserve">1.6.2  </w:t>
      </w:r>
      <w:r>
        <w:rPr>
          <w:rFonts w:hint="eastAsia" w:ascii="宋体" w:hAnsi="宋体"/>
          <w:color w:val="auto"/>
          <w:szCs w:val="21"/>
          <w:highlight w:val="none"/>
        </w:rPr>
        <w:t>承包人提供的文件</w:t>
      </w:r>
    </w:p>
    <w:p w14:paraId="0A47AD6C">
      <w:pPr>
        <w:spacing w:line="360" w:lineRule="auto"/>
        <w:ind w:firstLine="315" w:firstLineChars="15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）由承包人提供的文件范围：</w:t>
      </w:r>
      <w:r>
        <w:rPr>
          <w:rFonts w:hint="eastAsia" w:ascii="宋体" w:hAnsi="宋体"/>
          <w:color w:val="auto"/>
          <w:szCs w:val="21"/>
          <w:highlight w:val="none"/>
          <w:u w:val="single"/>
          <w:lang w:val="en-US" w:eastAsia="zh-CN"/>
        </w:rPr>
        <w:t>①</w:t>
      </w:r>
      <w:r>
        <w:rPr>
          <w:rFonts w:hint="eastAsia" w:ascii="宋体" w:hAnsi="宋体"/>
          <w:color w:val="auto"/>
          <w:szCs w:val="21"/>
          <w:highlight w:val="none"/>
          <w:u w:val="single"/>
        </w:rPr>
        <w:t>当月工程统计报表。</w:t>
      </w:r>
      <w:r>
        <w:rPr>
          <w:rFonts w:hint="eastAsia" w:ascii="宋体" w:hAnsi="宋体"/>
          <w:color w:val="auto"/>
          <w:szCs w:val="21"/>
          <w:highlight w:val="none"/>
          <w:u w:val="single"/>
          <w:lang w:val="en-US" w:eastAsia="zh-CN"/>
        </w:rPr>
        <w:t>②</w:t>
      </w:r>
      <w:r>
        <w:rPr>
          <w:rFonts w:hint="eastAsia" w:ascii="宋体" w:hAnsi="宋体"/>
          <w:color w:val="auto"/>
          <w:szCs w:val="21"/>
          <w:highlight w:val="none"/>
          <w:u w:val="single"/>
        </w:rPr>
        <w:t>根据本项目实际情况调整后的施工组织设计</w:t>
      </w:r>
      <w:r>
        <w:rPr>
          <w:rFonts w:ascii="宋体" w:hAnsi="宋体"/>
          <w:color w:val="auto"/>
          <w:szCs w:val="21"/>
          <w:highlight w:val="none"/>
          <w:u w:val="single"/>
        </w:rPr>
        <w:t>、施工总进度计划</w:t>
      </w:r>
      <w:r>
        <w:rPr>
          <w:rFonts w:hint="eastAsia" w:ascii="宋体" w:hAnsi="宋体"/>
          <w:color w:val="auto"/>
          <w:szCs w:val="21"/>
          <w:highlight w:val="none"/>
          <w:u w:val="single"/>
        </w:rPr>
        <w:t>及材料设备招标采购计划等。承包人所提交的施工组织设计不能低于承包人在投标施工方案内所说明的所有工程内容和承诺的标准。因承包人提交的施工方案不能通过监理工程师审查而造成工期延误，承包人自行承担</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2443F88C">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承包人提供文件的期限：</w:t>
      </w:r>
      <w:r>
        <w:rPr>
          <w:rFonts w:hint="eastAsia" w:ascii="宋体" w:hAnsi="宋体"/>
          <w:color w:val="auto"/>
          <w:szCs w:val="21"/>
          <w:highlight w:val="none"/>
          <w:u w:val="single"/>
        </w:rPr>
        <w:t>在本合同签订后3日内，应按监理工程师要求，向监理提交一份完整的工程进度计划，每月25日提供当月工程统计报表，承包人在合同生效后14天内提交施工组织设计，一式五份。</w:t>
      </w:r>
      <w:r>
        <w:rPr>
          <w:rFonts w:ascii="宋体" w:hAnsi="宋体"/>
          <w:color w:val="auto"/>
          <w:szCs w:val="21"/>
          <w:highlight w:val="none"/>
          <w:u w:val="single"/>
        </w:rPr>
        <w:t xml:space="preserve">  </w:t>
      </w:r>
    </w:p>
    <w:p w14:paraId="391B14C5">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承包人提供文件的数量：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三套 （</w:t>
      </w:r>
      <w:r>
        <w:rPr>
          <w:rFonts w:hint="eastAsia" w:ascii="宋体" w:hAnsi="宋体"/>
          <w:color w:val="auto"/>
          <w:szCs w:val="21"/>
          <w:highlight w:val="none"/>
          <w:u w:val="single"/>
          <w:lang w:eastAsia="zh-Hans"/>
        </w:rPr>
        <w:t>每套文件应包括一份工程进度计划、一份当月工程统计报表、五份施工组织设计</w:t>
      </w:r>
      <w:r>
        <w:rPr>
          <w:rFonts w:ascii="宋体" w:hAnsi="宋体"/>
          <w:color w:val="auto"/>
          <w:szCs w:val="21"/>
          <w:highlight w:val="none"/>
          <w:u w:val="single"/>
          <w:lang w:eastAsia="zh-Hans"/>
        </w:rPr>
        <w:t>）</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21D7095A">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监理人批复承包人提供文件的期限：</w:t>
      </w:r>
      <w:r>
        <w:rPr>
          <w:rFonts w:hint="eastAsia" w:ascii="宋体" w:hAnsi="宋体"/>
          <w:color w:val="auto"/>
          <w:szCs w:val="21"/>
          <w:highlight w:val="none"/>
          <w:u w:val="single"/>
        </w:rPr>
        <w:t>收到承包人提供文件3日内</w:t>
      </w:r>
      <w:r>
        <w:rPr>
          <w:rFonts w:ascii="宋体" w:hAnsi="宋体"/>
          <w:color w:val="auto"/>
          <w:szCs w:val="21"/>
          <w:highlight w:val="none"/>
          <w:u w:val="single"/>
        </w:rPr>
        <w:t xml:space="preserve">                </w:t>
      </w:r>
    </w:p>
    <w:p w14:paraId="7D69F3C0">
      <w:pPr>
        <w:spacing w:line="360" w:lineRule="auto"/>
        <w:ind w:firstLine="420" w:firstLineChars="200"/>
        <w:rPr>
          <w:rFonts w:ascii="宋体"/>
          <w:color w:val="auto"/>
          <w:szCs w:val="21"/>
          <w:highlight w:val="none"/>
        </w:rPr>
      </w:pPr>
      <w:r>
        <w:rPr>
          <w:rFonts w:hint="eastAsia" w:ascii="宋体" w:hAnsi="宋体"/>
          <w:color w:val="auto"/>
          <w:szCs w:val="21"/>
          <w:highlight w:val="none"/>
        </w:rPr>
        <w:t>其他约定：</w:t>
      </w:r>
      <w:r>
        <w:rPr>
          <w:rFonts w:ascii="宋体" w:hAnsi="宋体"/>
          <w:color w:val="auto"/>
          <w:szCs w:val="21"/>
          <w:highlight w:val="none"/>
          <w:u w:val="single"/>
        </w:rPr>
        <w:t xml:space="preserve">  /                                                              </w:t>
      </w:r>
    </w:p>
    <w:p w14:paraId="0B99456D">
      <w:pPr>
        <w:keepNext/>
        <w:keepLines/>
        <w:spacing w:before="120" w:beforeLines="50" w:after="120" w:afterLines="50" w:line="360" w:lineRule="auto"/>
        <w:outlineLvl w:val="2"/>
        <w:rPr>
          <w:rFonts w:ascii="宋体" w:hAnsi="宋体"/>
          <w:color w:val="auto"/>
          <w:kern w:val="0"/>
          <w:sz w:val="24"/>
          <w:szCs w:val="20"/>
          <w:highlight w:val="none"/>
        </w:rPr>
      </w:pPr>
      <w:bookmarkStart w:id="1574" w:name="_Toc489280185"/>
      <w:bookmarkStart w:id="1575" w:name="_Toc14558"/>
      <w:bookmarkStart w:id="1576" w:name="_Toc485323153"/>
      <w:bookmarkStart w:id="1577" w:name="_Toc12258"/>
      <w:bookmarkStart w:id="1578" w:name="_Toc486580379"/>
      <w:bookmarkStart w:id="1579" w:name="_Toc490331670"/>
      <w:bookmarkStart w:id="1580" w:name="_Toc497214048"/>
      <w:r>
        <w:rPr>
          <w:rFonts w:ascii="宋体" w:hAnsi="宋体"/>
          <w:color w:val="auto"/>
          <w:kern w:val="0"/>
          <w:sz w:val="24"/>
          <w:szCs w:val="20"/>
          <w:highlight w:val="none"/>
        </w:rPr>
        <w:t xml:space="preserve">1.7  </w:t>
      </w:r>
      <w:r>
        <w:rPr>
          <w:rFonts w:hint="eastAsia" w:ascii="宋体" w:hAnsi="宋体"/>
          <w:color w:val="auto"/>
          <w:kern w:val="0"/>
          <w:sz w:val="24"/>
          <w:szCs w:val="20"/>
          <w:highlight w:val="none"/>
        </w:rPr>
        <w:t>联</w:t>
      </w:r>
      <w:r>
        <w:rPr>
          <w:rFonts w:ascii="宋体" w:hAnsi="宋体"/>
          <w:color w:val="auto"/>
          <w:kern w:val="0"/>
          <w:sz w:val="24"/>
          <w:szCs w:val="20"/>
          <w:highlight w:val="none"/>
        </w:rPr>
        <w:t xml:space="preserve"> </w:t>
      </w:r>
      <w:r>
        <w:rPr>
          <w:rFonts w:hint="eastAsia" w:ascii="宋体" w:hAnsi="宋体"/>
          <w:color w:val="auto"/>
          <w:kern w:val="0"/>
          <w:sz w:val="24"/>
          <w:szCs w:val="20"/>
          <w:highlight w:val="none"/>
        </w:rPr>
        <w:t>络</w:t>
      </w:r>
      <w:bookmarkEnd w:id="1574"/>
      <w:bookmarkEnd w:id="1575"/>
      <w:bookmarkEnd w:id="1576"/>
      <w:bookmarkEnd w:id="1577"/>
      <w:bookmarkEnd w:id="1578"/>
      <w:bookmarkEnd w:id="1579"/>
      <w:bookmarkEnd w:id="1580"/>
    </w:p>
    <w:p w14:paraId="6FBE6507">
      <w:pPr>
        <w:spacing w:line="360" w:lineRule="auto"/>
        <w:ind w:firstLine="420" w:firstLineChars="200"/>
        <w:jc w:val="left"/>
        <w:rPr>
          <w:rFonts w:ascii="宋体" w:cs="Arial"/>
          <w:color w:val="auto"/>
          <w:szCs w:val="21"/>
          <w:highlight w:val="none"/>
        </w:rPr>
      </w:pPr>
      <w:r>
        <w:rPr>
          <w:rFonts w:ascii="宋体" w:hAnsi="宋体"/>
          <w:color w:val="auto"/>
          <w:szCs w:val="21"/>
          <w:highlight w:val="none"/>
        </w:rPr>
        <w:t xml:space="preserve">1.7.2  </w:t>
      </w:r>
      <w:r>
        <w:rPr>
          <w:rFonts w:hint="eastAsia" w:ascii="宋体" w:hAnsi="宋体"/>
          <w:color w:val="auto"/>
          <w:szCs w:val="21"/>
          <w:highlight w:val="none"/>
        </w:rPr>
        <w:t>联络来往函件的送达和接收</w:t>
      </w:r>
    </w:p>
    <w:p w14:paraId="79F58523">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）发包人指定的接收地点：</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0A854DDC">
      <w:pPr>
        <w:spacing w:line="360" w:lineRule="auto"/>
        <w:ind w:firstLine="567" w:firstLineChars="270"/>
        <w:jc w:val="left"/>
        <w:rPr>
          <w:rFonts w:ascii="宋体"/>
          <w:color w:val="auto"/>
          <w:szCs w:val="21"/>
          <w:highlight w:val="none"/>
        </w:rPr>
      </w:pPr>
      <w:r>
        <w:rPr>
          <w:rFonts w:hint="eastAsia" w:ascii="宋体" w:hAnsi="宋体"/>
          <w:color w:val="auto"/>
          <w:szCs w:val="21"/>
          <w:highlight w:val="none"/>
        </w:rPr>
        <w:t>发包人指定的接收人为：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7B427728">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）监理人指定的接收地点：</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4D412118">
      <w:pPr>
        <w:spacing w:line="360" w:lineRule="auto"/>
        <w:ind w:firstLine="567" w:firstLineChars="270"/>
        <w:rPr>
          <w:rFonts w:ascii="宋体"/>
          <w:color w:val="auto"/>
          <w:szCs w:val="21"/>
          <w:highlight w:val="none"/>
          <w:u w:val="single"/>
        </w:rPr>
      </w:pPr>
      <w:r>
        <w:rPr>
          <w:rFonts w:hint="eastAsia" w:ascii="宋体" w:hAnsi="宋体"/>
          <w:color w:val="auto"/>
          <w:szCs w:val="21"/>
          <w:highlight w:val="none"/>
        </w:rPr>
        <w:t>监理人指定的接收人为：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0BE63060">
      <w:pPr>
        <w:spacing w:line="360" w:lineRule="auto"/>
        <w:ind w:firstLine="420" w:firstLineChars="200"/>
        <w:jc w:val="left"/>
        <w:rPr>
          <w:rFonts w:ascii="宋体"/>
          <w:color w:val="auto"/>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）承包人指定的接收地点：</w:t>
      </w:r>
      <w:r>
        <w:rPr>
          <w:rFonts w:ascii="宋体" w:hAnsi="宋体"/>
          <w:color w:val="auto"/>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p>
    <w:p w14:paraId="23F51DD4">
      <w:pPr>
        <w:keepNext/>
        <w:keepLines/>
        <w:spacing w:before="120" w:beforeLines="50" w:after="120" w:afterLines="50" w:line="360" w:lineRule="auto"/>
        <w:outlineLvl w:val="1"/>
        <w:rPr>
          <w:rFonts w:ascii="宋体" w:hAnsi="宋体" w:cs="宋体"/>
          <w:color w:val="auto"/>
          <w:sz w:val="28"/>
          <w:szCs w:val="20"/>
          <w:highlight w:val="none"/>
        </w:rPr>
      </w:pPr>
      <w:bookmarkStart w:id="1581" w:name="_Toc3600"/>
      <w:bookmarkStart w:id="1582" w:name="_Toc489280186"/>
      <w:bookmarkStart w:id="1583" w:name="_Toc490331671"/>
      <w:bookmarkStart w:id="1584" w:name="_Toc486580380"/>
      <w:bookmarkStart w:id="1585" w:name="_Toc27366"/>
      <w:bookmarkStart w:id="1586" w:name="_Toc485323154"/>
      <w:bookmarkStart w:id="1587" w:name="_Toc497214049"/>
      <w:r>
        <w:rPr>
          <w:rFonts w:ascii="宋体" w:hAnsi="宋体" w:cs="宋体"/>
          <w:color w:val="auto"/>
          <w:sz w:val="28"/>
          <w:szCs w:val="20"/>
          <w:highlight w:val="none"/>
        </w:rPr>
        <w:t>2.</w:t>
      </w:r>
      <w:r>
        <w:rPr>
          <w:rFonts w:hint="eastAsia" w:ascii="宋体" w:hAnsi="宋体" w:cs="宋体"/>
          <w:color w:val="auto"/>
          <w:sz w:val="28"/>
          <w:szCs w:val="20"/>
          <w:highlight w:val="none"/>
        </w:rPr>
        <w:t>发包人义务</w:t>
      </w:r>
      <w:bookmarkEnd w:id="1581"/>
      <w:bookmarkEnd w:id="1582"/>
      <w:bookmarkEnd w:id="1583"/>
      <w:bookmarkEnd w:id="1584"/>
      <w:bookmarkEnd w:id="1585"/>
      <w:bookmarkEnd w:id="1586"/>
      <w:bookmarkEnd w:id="1587"/>
    </w:p>
    <w:p w14:paraId="4032A0C3">
      <w:pPr>
        <w:keepNext/>
        <w:keepLines/>
        <w:spacing w:before="120" w:beforeLines="50" w:after="120" w:afterLines="50" w:line="360" w:lineRule="auto"/>
        <w:outlineLvl w:val="2"/>
        <w:rPr>
          <w:rFonts w:ascii="宋体" w:hAnsi="宋体"/>
          <w:color w:val="auto"/>
          <w:kern w:val="0"/>
          <w:sz w:val="24"/>
          <w:szCs w:val="20"/>
          <w:highlight w:val="none"/>
        </w:rPr>
      </w:pPr>
      <w:bookmarkStart w:id="1588" w:name="_Toc485323155"/>
      <w:bookmarkStart w:id="1589" w:name="_Toc1771"/>
      <w:bookmarkStart w:id="1590" w:name="_Toc490331672"/>
      <w:bookmarkStart w:id="1591" w:name="_Toc486580381"/>
      <w:bookmarkStart w:id="1592" w:name="_Toc538"/>
      <w:bookmarkStart w:id="1593" w:name="_Toc497214050"/>
      <w:bookmarkStart w:id="1594" w:name="_Toc489280187"/>
      <w:r>
        <w:rPr>
          <w:rFonts w:ascii="宋体" w:hAnsi="宋体"/>
          <w:color w:val="auto"/>
          <w:kern w:val="0"/>
          <w:sz w:val="24"/>
          <w:szCs w:val="20"/>
          <w:highlight w:val="none"/>
        </w:rPr>
        <w:t xml:space="preserve">2.3  </w:t>
      </w:r>
      <w:r>
        <w:rPr>
          <w:rFonts w:hint="eastAsia" w:ascii="宋体" w:hAnsi="宋体"/>
          <w:color w:val="auto"/>
          <w:kern w:val="0"/>
          <w:sz w:val="24"/>
          <w:szCs w:val="20"/>
          <w:highlight w:val="none"/>
        </w:rPr>
        <w:t>提供施工场地</w:t>
      </w:r>
      <w:bookmarkEnd w:id="1588"/>
      <w:bookmarkEnd w:id="1589"/>
      <w:bookmarkEnd w:id="1590"/>
      <w:bookmarkEnd w:id="1591"/>
      <w:bookmarkEnd w:id="1592"/>
      <w:bookmarkEnd w:id="1593"/>
      <w:bookmarkEnd w:id="1594"/>
    </w:p>
    <w:p w14:paraId="4C3FE3DC">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发包人移交施工场地的期限：发包人应当将具备施工条件的施工场地，在监理人发出开工通知中载明的开工日期</w:t>
      </w:r>
      <w:r>
        <w:rPr>
          <w:rFonts w:ascii="宋体" w:hAnsi="宋体"/>
          <w:color w:val="auto"/>
          <w:szCs w:val="21"/>
          <w:highlight w:val="none"/>
          <w:u w:val="single"/>
        </w:rPr>
        <w:t xml:space="preserve"> 7 </w:t>
      </w:r>
      <w:r>
        <w:rPr>
          <w:rFonts w:hint="eastAsia" w:ascii="宋体" w:hAnsi="宋体"/>
          <w:color w:val="auto"/>
          <w:szCs w:val="21"/>
          <w:highlight w:val="none"/>
        </w:rPr>
        <w:t>天前移交给承包人。</w:t>
      </w:r>
    </w:p>
    <w:p w14:paraId="6BDBDBB9">
      <w:pPr>
        <w:keepNext/>
        <w:keepLines/>
        <w:spacing w:before="120" w:beforeLines="50" w:after="120" w:afterLines="50" w:line="360" w:lineRule="auto"/>
        <w:outlineLvl w:val="2"/>
        <w:rPr>
          <w:rFonts w:ascii="宋体" w:hAnsi="宋体"/>
          <w:color w:val="auto"/>
          <w:kern w:val="0"/>
          <w:sz w:val="24"/>
          <w:szCs w:val="20"/>
          <w:highlight w:val="none"/>
        </w:rPr>
      </w:pPr>
      <w:bookmarkStart w:id="1595" w:name="_Toc489280188"/>
      <w:bookmarkStart w:id="1596" w:name="_Toc486580382"/>
      <w:bookmarkStart w:id="1597" w:name="_Toc21724"/>
      <w:bookmarkStart w:id="1598" w:name="_Toc22600"/>
      <w:bookmarkStart w:id="1599" w:name="_Toc490331673"/>
      <w:bookmarkStart w:id="1600" w:name="_Toc497214051"/>
      <w:bookmarkStart w:id="1601" w:name="_Toc485323156"/>
      <w:r>
        <w:rPr>
          <w:rFonts w:ascii="宋体" w:hAnsi="宋体"/>
          <w:color w:val="auto"/>
          <w:kern w:val="0"/>
          <w:sz w:val="24"/>
          <w:szCs w:val="20"/>
          <w:highlight w:val="none"/>
        </w:rPr>
        <w:t xml:space="preserve">2.8  </w:t>
      </w:r>
      <w:r>
        <w:rPr>
          <w:rFonts w:hint="eastAsia" w:ascii="宋体" w:hAnsi="宋体"/>
          <w:color w:val="auto"/>
          <w:kern w:val="0"/>
          <w:sz w:val="24"/>
          <w:szCs w:val="20"/>
          <w:highlight w:val="none"/>
        </w:rPr>
        <w:t>向承包人提交支付担保</w:t>
      </w:r>
      <w:bookmarkEnd w:id="1595"/>
      <w:bookmarkEnd w:id="1596"/>
      <w:bookmarkEnd w:id="1597"/>
      <w:bookmarkEnd w:id="1598"/>
      <w:bookmarkEnd w:id="1599"/>
      <w:bookmarkEnd w:id="1600"/>
      <w:bookmarkEnd w:id="1601"/>
    </w:p>
    <w:p w14:paraId="4615E573">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）发包人向承包人提交支付担保的金额：</w:t>
      </w:r>
      <w:r>
        <w:rPr>
          <w:rFonts w:ascii="宋体" w:hAnsi="宋体"/>
          <w:color w:val="auto"/>
          <w:szCs w:val="21"/>
          <w:highlight w:val="none"/>
          <w:u w:val="single"/>
        </w:rPr>
        <w:t xml:space="preserve"> /                                 </w:t>
      </w:r>
    </w:p>
    <w:p w14:paraId="1F8F774C">
      <w:pPr>
        <w:keepNext/>
        <w:keepLines/>
        <w:spacing w:before="120" w:beforeLines="50" w:after="120" w:afterLines="50" w:line="360" w:lineRule="auto"/>
        <w:outlineLvl w:val="2"/>
        <w:rPr>
          <w:rFonts w:ascii="宋体" w:hAnsi="宋体"/>
          <w:color w:val="auto"/>
          <w:kern w:val="0"/>
          <w:sz w:val="24"/>
          <w:szCs w:val="20"/>
          <w:highlight w:val="none"/>
        </w:rPr>
      </w:pPr>
      <w:bookmarkStart w:id="1602" w:name="_Toc497214052"/>
      <w:bookmarkStart w:id="1603" w:name="_Toc10621"/>
      <w:bookmarkStart w:id="1604" w:name="_Toc490331674"/>
      <w:bookmarkStart w:id="1605" w:name="_Toc489280189"/>
      <w:bookmarkStart w:id="1606" w:name="_Toc22350"/>
      <w:bookmarkStart w:id="1607" w:name="_Toc485323157"/>
      <w:bookmarkStart w:id="1608" w:name="_Toc486580383"/>
      <w:r>
        <w:rPr>
          <w:rFonts w:ascii="宋体" w:hAnsi="宋体"/>
          <w:color w:val="auto"/>
          <w:kern w:val="0"/>
          <w:sz w:val="24"/>
          <w:szCs w:val="20"/>
          <w:highlight w:val="none"/>
        </w:rPr>
        <w:t xml:space="preserve">2.13  </w:t>
      </w:r>
      <w:r>
        <w:rPr>
          <w:rFonts w:hint="eastAsia" w:ascii="宋体" w:hAnsi="宋体"/>
          <w:color w:val="auto"/>
          <w:kern w:val="0"/>
          <w:sz w:val="24"/>
          <w:szCs w:val="20"/>
          <w:highlight w:val="none"/>
        </w:rPr>
        <w:t>其他义务</w:t>
      </w:r>
      <w:bookmarkEnd w:id="1602"/>
      <w:bookmarkEnd w:id="1603"/>
      <w:bookmarkEnd w:id="1604"/>
      <w:bookmarkEnd w:id="1605"/>
      <w:bookmarkEnd w:id="1606"/>
      <w:bookmarkEnd w:id="1607"/>
      <w:bookmarkEnd w:id="1608"/>
    </w:p>
    <w:p w14:paraId="5C51FA55">
      <w:pPr>
        <w:spacing w:line="360" w:lineRule="auto"/>
        <w:ind w:firstLine="420" w:firstLineChars="200"/>
        <w:rPr>
          <w:rFonts w:ascii="宋体" w:cs="Arial"/>
          <w:color w:val="auto"/>
          <w:szCs w:val="21"/>
          <w:highlight w:val="none"/>
        </w:rPr>
      </w:pPr>
      <w:r>
        <w:rPr>
          <w:rFonts w:hint="eastAsia" w:ascii="宋体" w:hAnsi="宋体"/>
          <w:color w:val="auto"/>
          <w:szCs w:val="21"/>
          <w:highlight w:val="none"/>
        </w:rPr>
        <w:t>发包人应当履行的其他义务</w:t>
      </w:r>
      <w:r>
        <w:rPr>
          <w:rFonts w:hint="eastAsia" w:ascii="宋体" w:hAnsi="宋体" w:cs="Arial"/>
          <w:color w:val="auto"/>
          <w:highlight w:val="none"/>
          <w:u w:val="single"/>
        </w:rPr>
        <w:t xml:space="preserve">  / </w:t>
      </w:r>
      <w:r>
        <w:rPr>
          <w:rFonts w:ascii="宋体" w:hAnsi="宋体"/>
          <w:color w:val="auto"/>
          <w:szCs w:val="21"/>
          <w:highlight w:val="none"/>
          <w:u w:val="single"/>
        </w:rPr>
        <w:t xml:space="preserve">  </w:t>
      </w:r>
    </w:p>
    <w:p w14:paraId="17E18DC4">
      <w:pPr>
        <w:keepNext/>
        <w:keepLines/>
        <w:spacing w:before="120" w:beforeLines="50" w:after="120" w:afterLines="50" w:line="360" w:lineRule="auto"/>
        <w:outlineLvl w:val="1"/>
        <w:rPr>
          <w:rFonts w:ascii="宋体" w:hAnsi="宋体" w:cs="宋体"/>
          <w:color w:val="auto"/>
          <w:sz w:val="28"/>
          <w:szCs w:val="20"/>
          <w:highlight w:val="none"/>
        </w:rPr>
      </w:pPr>
      <w:bookmarkStart w:id="1609" w:name="_Toc490331675"/>
      <w:bookmarkStart w:id="1610" w:name="_Toc489280190"/>
      <w:bookmarkStart w:id="1611" w:name="_Toc19522"/>
      <w:bookmarkStart w:id="1612" w:name="_Toc497214053"/>
      <w:bookmarkStart w:id="1613" w:name="_Toc486580384"/>
      <w:bookmarkStart w:id="1614" w:name="_Toc17132"/>
      <w:bookmarkStart w:id="1615" w:name="_Toc485323158"/>
      <w:r>
        <w:rPr>
          <w:rFonts w:ascii="宋体" w:hAnsi="宋体" w:cs="宋体"/>
          <w:color w:val="auto"/>
          <w:sz w:val="28"/>
          <w:szCs w:val="20"/>
          <w:highlight w:val="none"/>
        </w:rPr>
        <w:t>3.</w:t>
      </w:r>
      <w:r>
        <w:rPr>
          <w:rFonts w:hint="eastAsia" w:ascii="宋体" w:hAnsi="宋体" w:cs="宋体"/>
          <w:color w:val="auto"/>
          <w:sz w:val="28"/>
          <w:szCs w:val="20"/>
          <w:highlight w:val="none"/>
        </w:rPr>
        <w:t>监理人</w:t>
      </w:r>
      <w:bookmarkEnd w:id="1609"/>
      <w:bookmarkEnd w:id="1610"/>
      <w:bookmarkEnd w:id="1611"/>
      <w:bookmarkEnd w:id="1612"/>
      <w:bookmarkEnd w:id="1613"/>
      <w:bookmarkEnd w:id="1614"/>
      <w:bookmarkEnd w:id="1615"/>
    </w:p>
    <w:p w14:paraId="543802C7">
      <w:pPr>
        <w:keepNext/>
        <w:keepLines/>
        <w:spacing w:before="120" w:beforeLines="50" w:after="120" w:afterLines="50" w:line="360" w:lineRule="auto"/>
        <w:outlineLvl w:val="2"/>
        <w:rPr>
          <w:rFonts w:ascii="宋体" w:hAnsi="宋体"/>
          <w:color w:val="auto"/>
          <w:kern w:val="0"/>
          <w:sz w:val="24"/>
          <w:szCs w:val="20"/>
          <w:highlight w:val="none"/>
        </w:rPr>
      </w:pPr>
      <w:bookmarkStart w:id="1616" w:name="_Toc485323159"/>
      <w:bookmarkStart w:id="1617" w:name="_Toc497214054"/>
      <w:bookmarkStart w:id="1618" w:name="_Toc29506"/>
      <w:bookmarkStart w:id="1619" w:name="_Toc490331676"/>
      <w:bookmarkStart w:id="1620" w:name="_Toc489280191"/>
      <w:bookmarkStart w:id="1621" w:name="_Toc30876"/>
      <w:bookmarkStart w:id="1622" w:name="_Toc486580385"/>
      <w:r>
        <w:rPr>
          <w:rFonts w:ascii="宋体" w:hAnsi="宋体"/>
          <w:color w:val="auto"/>
          <w:kern w:val="0"/>
          <w:sz w:val="24"/>
          <w:szCs w:val="20"/>
          <w:highlight w:val="none"/>
        </w:rPr>
        <w:t xml:space="preserve">3.1  </w:t>
      </w:r>
      <w:r>
        <w:rPr>
          <w:rFonts w:hint="eastAsia" w:ascii="宋体" w:hAnsi="宋体"/>
          <w:color w:val="auto"/>
          <w:kern w:val="0"/>
          <w:sz w:val="24"/>
          <w:szCs w:val="20"/>
          <w:highlight w:val="none"/>
        </w:rPr>
        <w:t>监理人的职责和权力</w:t>
      </w:r>
      <w:bookmarkEnd w:id="1616"/>
      <w:bookmarkEnd w:id="1617"/>
      <w:bookmarkEnd w:id="1618"/>
      <w:bookmarkEnd w:id="1619"/>
      <w:bookmarkEnd w:id="1620"/>
      <w:bookmarkEnd w:id="1621"/>
      <w:bookmarkEnd w:id="1622"/>
    </w:p>
    <w:p w14:paraId="3939C9EC">
      <w:pPr>
        <w:spacing w:line="360" w:lineRule="auto"/>
        <w:ind w:firstLine="420" w:firstLineChars="200"/>
        <w:rPr>
          <w:rFonts w:ascii="宋体"/>
          <w:color w:val="auto"/>
          <w:szCs w:val="21"/>
          <w:highlight w:val="none"/>
        </w:rPr>
      </w:pPr>
      <w:r>
        <w:rPr>
          <w:rFonts w:ascii="宋体" w:hAnsi="宋体"/>
          <w:color w:val="auto"/>
          <w:szCs w:val="21"/>
          <w:highlight w:val="none"/>
        </w:rPr>
        <w:t xml:space="preserve">3.1.1  </w:t>
      </w:r>
      <w:r>
        <w:rPr>
          <w:rFonts w:hint="eastAsia" w:ascii="宋体" w:hAnsi="宋体"/>
          <w:color w:val="auto"/>
          <w:szCs w:val="21"/>
          <w:highlight w:val="none"/>
        </w:rPr>
        <w:t>发包人需批准明确行使的权力：</w:t>
      </w:r>
      <w:r>
        <w:rPr>
          <w:rFonts w:hint="eastAsia" w:hAnsi="宋体" w:cs="宋体"/>
          <w:color w:val="auto"/>
          <w:highlight w:val="none"/>
          <w:u w:val="single"/>
        </w:rPr>
        <w:t>（</w:t>
      </w:r>
      <w:r>
        <w:rPr>
          <w:rFonts w:hAnsi="宋体"/>
          <w:color w:val="auto"/>
          <w:highlight w:val="none"/>
          <w:u w:val="single"/>
        </w:rPr>
        <w:t>1</w:t>
      </w:r>
      <w:r>
        <w:rPr>
          <w:rFonts w:hint="eastAsia" w:hAnsi="宋体" w:cs="宋体"/>
          <w:color w:val="auto"/>
          <w:highlight w:val="none"/>
          <w:u w:val="single"/>
        </w:rPr>
        <w:t>）同意分包本工程的某些非主体和非关键性工作。（</w:t>
      </w:r>
      <w:r>
        <w:rPr>
          <w:rFonts w:hAnsi="宋体"/>
          <w:color w:val="auto"/>
          <w:highlight w:val="none"/>
          <w:u w:val="single"/>
        </w:rPr>
        <w:t>2</w:t>
      </w:r>
      <w:r>
        <w:rPr>
          <w:rFonts w:hint="eastAsia" w:hAnsi="宋体" w:cs="宋体"/>
          <w:color w:val="auto"/>
          <w:highlight w:val="none"/>
          <w:u w:val="single"/>
        </w:rPr>
        <w:t>）产生的费用增加额。（</w:t>
      </w:r>
      <w:r>
        <w:rPr>
          <w:rFonts w:hAnsi="宋体"/>
          <w:color w:val="auto"/>
          <w:highlight w:val="none"/>
          <w:u w:val="single"/>
        </w:rPr>
        <w:t>3</w:t>
      </w:r>
      <w:r>
        <w:rPr>
          <w:rFonts w:hint="eastAsia" w:hAnsi="宋体" w:cs="宋体"/>
          <w:color w:val="auto"/>
          <w:highlight w:val="none"/>
          <w:u w:val="single"/>
        </w:rPr>
        <w:t>）发布开工通知、暂停施工指示或者复工通知。（</w:t>
      </w:r>
      <w:r>
        <w:rPr>
          <w:rFonts w:hAnsi="宋体"/>
          <w:color w:val="auto"/>
          <w:highlight w:val="none"/>
          <w:u w:val="single"/>
        </w:rPr>
        <w:t>4</w:t>
      </w:r>
      <w:r>
        <w:rPr>
          <w:rFonts w:hint="eastAsia" w:hAnsi="宋体" w:cs="宋体"/>
          <w:color w:val="auto"/>
          <w:highlight w:val="none"/>
          <w:u w:val="single"/>
        </w:rPr>
        <w:t>）工程延长。（</w:t>
      </w:r>
      <w:r>
        <w:rPr>
          <w:rFonts w:hAnsi="宋体"/>
          <w:color w:val="auto"/>
          <w:highlight w:val="none"/>
          <w:u w:val="single"/>
        </w:rPr>
        <w:t>5</w:t>
      </w:r>
      <w:r>
        <w:rPr>
          <w:rFonts w:hint="eastAsia" w:hAnsi="宋体" w:cs="宋体"/>
          <w:color w:val="auto"/>
          <w:highlight w:val="none"/>
          <w:u w:val="single"/>
        </w:rPr>
        <w:t>）审查批准技术规范或设计的变更。（</w:t>
      </w:r>
      <w:r>
        <w:rPr>
          <w:rFonts w:hAnsi="宋体"/>
          <w:color w:val="auto"/>
          <w:highlight w:val="none"/>
          <w:u w:val="single"/>
        </w:rPr>
        <w:t>6</w:t>
      </w:r>
      <w:r>
        <w:rPr>
          <w:rFonts w:hint="eastAsia" w:hAnsi="宋体" w:cs="宋体"/>
          <w:color w:val="auto"/>
          <w:highlight w:val="none"/>
          <w:u w:val="single"/>
        </w:rPr>
        <w:t>）发出的变更指令，其单项工程变更或者累计变更涉及的金额超过了项目专用合同条款数据表规定的金额。（</w:t>
      </w:r>
      <w:r>
        <w:rPr>
          <w:rFonts w:hAnsi="宋体"/>
          <w:color w:val="auto"/>
          <w:highlight w:val="none"/>
          <w:u w:val="single"/>
        </w:rPr>
        <w:t>7</w:t>
      </w:r>
      <w:r>
        <w:rPr>
          <w:rFonts w:hint="eastAsia" w:hAnsi="宋体" w:cs="宋体"/>
          <w:color w:val="auto"/>
          <w:highlight w:val="none"/>
          <w:u w:val="single"/>
        </w:rPr>
        <w:t>）变更工作的单价。（</w:t>
      </w:r>
      <w:r>
        <w:rPr>
          <w:rFonts w:hAnsi="宋体"/>
          <w:color w:val="auto"/>
          <w:highlight w:val="none"/>
          <w:u w:val="single"/>
        </w:rPr>
        <w:t>8</w:t>
      </w:r>
      <w:r>
        <w:rPr>
          <w:rFonts w:hint="eastAsia" w:hAnsi="宋体" w:cs="宋体"/>
          <w:color w:val="auto"/>
          <w:highlight w:val="none"/>
          <w:u w:val="single"/>
        </w:rPr>
        <w:t>）有关暂列金额的使用。（</w:t>
      </w:r>
      <w:r>
        <w:rPr>
          <w:rFonts w:hAnsi="宋体"/>
          <w:color w:val="auto"/>
          <w:highlight w:val="none"/>
          <w:u w:val="single"/>
        </w:rPr>
        <w:t>9</w:t>
      </w:r>
      <w:r>
        <w:rPr>
          <w:rFonts w:hint="eastAsia" w:hAnsi="宋体" w:cs="宋体"/>
          <w:color w:val="auto"/>
          <w:highlight w:val="none"/>
          <w:u w:val="single"/>
        </w:rPr>
        <w:t>）暂估价金额。（</w:t>
      </w:r>
      <w:r>
        <w:rPr>
          <w:rFonts w:hAnsi="宋体"/>
          <w:color w:val="auto"/>
          <w:highlight w:val="none"/>
          <w:u w:val="single"/>
        </w:rPr>
        <w:t>10</w:t>
      </w:r>
      <w:r>
        <w:rPr>
          <w:rFonts w:hint="eastAsia" w:hAnsi="宋体" w:cs="宋体"/>
          <w:color w:val="auto"/>
          <w:highlight w:val="none"/>
          <w:u w:val="single"/>
        </w:rPr>
        <w:t>）索赔额</w:t>
      </w:r>
      <w:r>
        <w:rPr>
          <w:rFonts w:hint="eastAsia" w:ascii="宋体" w:hAnsi="宋体"/>
          <w:color w:val="auto"/>
          <w:szCs w:val="21"/>
          <w:highlight w:val="none"/>
          <w:u w:val="single"/>
        </w:rPr>
        <w:t>。不管通用合同条款第3.1.1项如何约定，监理人履行须经发包人批准行使的权力时，应当向承包人出示其行使该权力已经取得发包人批准的文件或者其他合法有效的证明。</w:t>
      </w:r>
      <w:r>
        <w:rPr>
          <w:rFonts w:ascii="宋体" w:hAnsi="宋体"/>
          <w:color w:val="auto"/>
          <w:szCs w:val="21"/>
          <w:highlight w:val="none"/>
          <w:u w:val="single"/>
        </w:rPr>
        <w:t xml:space="preserve"> </w:t>
      </w:r>
    </w:p>
    <w:p w14:paraId="4F707188">
      <w:pPr>
        <w:keepNext/>
        <w:keepLines/>
        <w:spacing w:before="120" w:beforeLines="50" w:after="120" w:afterLines="50" w:line="360" w:lineRule="auto"/>
        <w:outlineLvl w:val="1"/>
        <w:rPr>
          <w:rFonts w:ascii="宋体" w:hAnsi="宋体" w:cs="宋体"/>
          <w:color w:val="auto"/>
          <w:sz w:val="28"/>
          <w:szCs w:val="20"/>
          <w:highlight w:val="none"/>
        </w:rPr>
      </w:pPr>
      <w:bookmarkStart w:id="1623" w:name="_Toc489280192"/>
      <w:bookmarkStart w:id="1624" w:name="_Toc14791"/>
      <w:bookmarkStart w:id="1625" w:name="_Toc490331677"/>
      <w:bookmarkStart w:id="1626" w:name="_Toc6362"/>
      <w:bookmarkStart w:id="1627" w:name="_Toc486580386"/>
      <w:bookmarkStart w:id="1628" w:name="_Toc497214055"/>
      <w:bookmarkStart w:id="1629" w:name="_Toc485323160"/>
      <w:r>
        <w:rPr>
          <w:rFonts w:ascii="宋体" w:hAnsi="宋体" w:cs="宋体"/>
          <w:color w:val="auto"/>
          <w:sz w:val="28"/>
          <w:szCs w:val="20"/>
          <w:highlight w:val="none"/>
        </w:rPr>
        <w:t>4.</w:t>
      </w:r>
      <w:r>
        <w:rPr>
          <w:rFonts w:hint="eastAsia" w:ascii="宋体" w:hAnsi="宋体" w:cs="宋体"/>
          <w:color w:val="auto"/>
          <w:sz w:val="28"/>
          <w:szCs w:val="20"/>
          <w:highlight w:val="none"/>
        </w:rPr>
        <w:t>承包人</w:t>
      </w:r>
      <w:bookmarkEnd w:id="1623"/>
      <w:bookmarkEnd w:id="1624"/>
      <w:bookmarkEnd w:id="1625"/>
      <w:bookmarkEnd w:id="1626"/>
      <w:bookmarkEnd w:id="1627"/>
      <w:bookmarkEnd w:id="1628"/>
      <w:bookmarkEnd w:id="1629"/>
    </w:p>
    <w:p w14:paraId="4CC222FB">
      <w:pPr>
        <w:keepNext/>
        <w:keepLines/>
        <w:spacing w:before="120" w:beforeLines="50" w:after="120" w:afterLines="50" w:line="360" w:lineRule="auto"/>
        <w:outlineLvl w:val="2"/>
        <w:rPr>
          <w:rFonts w:ascii="宋体" w:hAnsi="宋体"/>
          <w:color w:val="auto"/>
          <w:kern w:val="0"/>
          <w:sz w:val="24"/>
          <w:szCs w:val="20"/>
          <w:highlight w:val="none"/>
        </w:rPr>
      </w:pPr>
      <w:bookmarkStart w:id="1630" w:name="_Toc485323161"/>
      <w:bookmarkStart w:id="1631" w:name="_Toc5051"/>
      <w:bookmarkStart w:id="1632" w:name="_Toc22274"/>
      <w:bookmarkStart w:id="1633" w:name="_Toc486580387"/>
      <w:bookmarkStart w:id="1634" w:name="_Toc497214056"/>
      <w:bookmarkStart w:id="1635" w:name="_Toc489280193"/>
      <w:bookmarkStart w:id="1636" w:name="_Toc490331678"/>
      <w:r>
        <w:rPr>
          <w:rFonts w:ascii="宋体" w:hAnsi="宋体"/>
          <w:color w:val="auto"/>
          <w:kern w:val="0"/>
          <w:sz w:val="24"/>
          <w:szCs w:val="20"/>
          <w:highlight w:val="none"/>
        </w:rPr>
        <w:t xml:space="preserve">4.1  </w:t>
      </w:r>
      <w:r>
        <w:rPr>
          <w:rFonts w:hint="eastAsia" w:ascii="宋体" w:hAnsi="宋体"/>
          <w:color w:val="auto"/>
          <w:kern w:val="0"/>
          <w:sz w:val="24"/>
          <w:szCs w:val="20"/>
          <w:highlight w:val="none"/>
        </w:rPr>
        <w:t>承包人的一般义务</w:t>
      </w:r>
      <w:bookmarkEnd w:id="1630"/>
      <w:bookmarkEnd w:id="1631"/>
      <w:bookmarkEnd w:id="1632"/>
      <w:bookmarkEnd w:id="1633"/>
      <w:bookmarkEnd w:id="1634"/>
      <w:bookmarkEnd w:id="1635"/>
      <w:bookmarkEnd w:id="1636"/>
    </w:p>
    <w:p w14:paraId="34B0CD2F">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4.1.8  </w:t>
      </w:r>
      <w:r>
        <w:rPr>
          <w:rFonts w:hint="eastAsia" w:ascii="宋体" w:hAnsi="宋体"/>
          <w:color w:val="auto"/>
          <w:szCs w:val="21"/>
          <w:highlight w:val="none"/>
        </w:rPr>
        <w:t>为他人提供方便</w:t>
      </w:r>
    </w:p>
    <w:p w14:paraId="0891ED56">
      <w:pPr>
        <w:pStyle w:val="249"/>
        <w:ind w:firstLine="420" w:firstLineChars="200"/>
        <w:rPr>
          <w:rFonts w:ascii="宋体" w:hAnsi="宋体" w:cs="Times New Roman"/>
          <w:color w:val="auto"/>
          <w:kern w:val="2"/>
          <w:sz w:val="21"/>
          <w:szCs w:val="21"/>
          <w:highlight w:val="none"/>
        </w:rPr>
      </w:pPr>
      <w:r>
        <w:rPr>
          <w:rFonts w:hint="eastAsia" w:ascii="宋体" w:hAnsi="宋体" w:cs="Times New Roman"/>
          <w:color w:val="auto"/>
          <w:kern w:val="2"/>
          <w:sz w:val="21"/>
          <w:szCs w:val="21"/>
          <w:highlight w:val="none"/>
        </w:rPr>
        <w:t>（1）承包人应当对在施工场地或者附近实施与合同工程有关的其他工作的独立承包人履行管理、协调、配合、照管和服务义务的具体工作内容和要求：</w:t>
      </w:r>
    </w:p>
    <w:p w14:paraId="47A265FB">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提供施工现场水源、电源及通道。</w:t>
      </w:r>
    </w:p>
    <w:p w14:paraId="77A3EDEB">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提供用于施工及发包人现场检查的照明设备，包括照明线路、照明灯具， 在正常施工时间内及发包人批准的抢工时间内保证照明系统处于正常使用状态。</w:t>
      </w:r>
    </w:p>
    <w:p w14:paraId="65FB2767">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提供在约定计划工期内的临时工程或承包人在现场已存在的运输机械、设备等临时设施。如果根据工程实际进展情况，承包人需拆除现场已存在的临时设施时，承包人须征得发包人和监理人的认可后方可拆除。</w:t>
      </w:r>
    </w:p>
    <w:p w14:paraId="3DCD7E07">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为保证承包人和其他承包人的工作面不发生冲突，承包人应对其他承包人的工作场所及材料存放场所等的安排、布置负责协调。</w:t>
      </w:r>
    </w:p>
    <w:p w14:paraId="604CD056">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提供足够的和</w:t>
      </w:r>
      <w:r>
        <w:rPr>
          <w:rFonts w:hint="eastAsia"/>
          <w:color w:val="auto"/>
          <w:szCs w:val="21"/>
          <w:highlight w:val="none"/>
          <w:u w:val="single"/>
        </w:rPr>
        <w:t>无</w:t>
      </w:r>
      <w:r>
        <w:rPr>
          <w:color w:val="auto"/>
          <w:szCs w:val="21"/>
          <w:highlight w:val="none"/>
          <w:u w:val="single"/>
        </w:rPr>
        <w:t>障碍的工作面。</w:t>
      </w:r>
    </w:p>
    <w:p w14:paraId="19441307">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提供正常的临时照明和施工及调试运行所必需的设施。</w:t>
      </w:r>
    </w:p>
    <w:p w14:paraId="3A62CE68">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负责清理现场垃圾（各独立承包人将其施工所产生的垃圾堆放至承包人指定的合理堆放点后）。</w:t>
      </w:r>
    </w:p>
    <w:p w14:paraId="4284E894">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负责对承包工程施工进度计划的安排、协调和管理，确保总体工程进度。</w:t>
      </w:r>
    </w:p>
    <w:p w14:paraId="20FDECE1">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负责对承包工程的质量进行监督、管理，确保总体工程质量。</w:t>
      </w:r>
    </w:p>
    <w:p w14:paraId="454CD6CC">
      <w:pPr>
        <w:numPr>
          <w:ilvl w:val="0"/>
          <w:numId w:val="14"/>
        </w:numPr>
        <w:tabs>
          <w:tab w:val="left" w:pos="-5148"/>
        </w:tabs>
        <w:spacing w:line="400" w:lineRule="exact"/>
        <w:ind w:left="0" w:firstLine="420" w:firstLineChars="200"/>
        <w:rPr>
          <w:color w:val="auto"/>
          <w:szCs w:val="21"/>
          <w:highlight w:val="none"/>
          <w:u w:val="single"/>
        </w:rPr>
      </w:pPr>
      <w:r>
        <w:rPr>
          <w:color w:val="auto"/>
          <w:szCs w:val="21"/>
          <w:highlight w:val="none"/>
          <w:u w:val="single"/>
        </w:rPr>
        <w:t>负责对承包工程的安全防护、文明施工进行监督、管理，确保总体工程安全，杜绝伤亡事故。如发生事故，及时按照相关规定进行全面救护、上报、处理和善后，尽最大可能降低事故损失。</w:t>
      </w:r>
    </w:p>
    <w:p w14:paraId="3E43DAD9">
      <w:pPr>
        <w:numPr>
          <w:ilvl w:val="0"/>
          <w:numId w:val="14"/>
        </w:numPr>
        <w:spacing w:line="400" w:lineRule="exact"/>
        <w:ind w:left="0" w:firstLine="420" w:firstLineChars="200"/>
        <w:rPr>
          <w:color w:val="auto"/>
          <w:szCs w:val="21"/>
          <w:highlight w:val="none"/>
        </w:rPr>
      </w:pPr>
      <w:r>
        <w:rPr>
          <w:color w:val="auto"/>
          <w:szCs w:val="21"/>
          <w:highlight w:val="none"/>
          <w:u w:val="single"/>
        </w:rPr>
        <w:t>负责对已完成并移交给承包人的独立承包工程采取有效的成品保护措施。</w:t>
      </w:r>
    </w:p>
    <w:p w14:paraId="215F5823">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对于政府有关部门发送发包人的有关本工程施工现场的任何意见及通知，其中涉及承包人的，承包人应承担相关责任和工作</w:t>
      </w:r>
      <w:r>
        <w:rPr>
          <w:rFonts w:hint="eastAsia"/>
          <w:color w:val="auto"/>
          <w:szCs w:val="21"/>
          <w:highlight w:val="none"/>
          <w:u w:val="single"/>
        </w:rPr>
        <w:t>。</w:t>
      </w:r>
    </w:p>
    <w:p w14:paraId="3C72222D">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承包人确保本工程</w:t>
      </w:r>
      <w:r>
        <w:rPr>
          <w:rFonts w:hint="eastAsia"/>
          <w:color w:val="auto"/>
          <w:szCs w:val="21"/>
          <w:highlight w:val="none"/>
          <w:u w:val="single"/>
        </w:rPr>
        <w:t>无</w:t>
      </w:r>
      <w:r>
        <w:rPr>
          <w:color w:val="auto"/>
          <w:szCs w:val="21"/>
          <w:highlight w:val="none"/>
          <w:u w:val="single"/>
        </w:rPr>
        <w:t>安全事故发生，安全员在施工过程中实行全程旁站制度，即安全员施工全过程现场监督。</w:t>
      </w:r>
    </w:p>
    <w:p w14:paraId="660FD66E">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承包人须按照有关规定做好施工工地的防止扬尘污染工作。</w:t>
      </w:r>
    </w:p>
    <w:p w14:paraId="004FA3DE">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在施工过程中承包人有责任保护地上或地下管线的完整性，在施工范围内地上或地下管线受损而产生的损害赔偿、行政处罚等费用均由承包人自行承担</w:t>
      </w:r>
      <w:r>
        <w:rPr>
          <w:rFonts w:hint="eastAsia"/>
          <w:color w:val="auto"/>
          <w:szCs w:val="21"/>
          <w:highlight w:val="none"/>
          <w:u w:val="single"/>
        </w:rPr>
        <w:t>。</w:t>
      </w:r>
    </w:p>
    <w:p w14:paraId="71C34374">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承包人在进行渣土清运过程中，与相关主管部门的协调工作应自行解决。（如</w:t>
      </w:r>
      <w:r>
        <w:rPr>
          <w:rFonts w:hint="eastAsia"/>
          <w:color w:val="auto"/>
          <w:szCs w:val="21"/>
          <w:highlight w:val="none"/>
          <w:u w:val="single"/>
          <w:lang w:eastAsia="zh-CN"/>
        </w:rPr>
        <w:t>道路遗撒</w:t>
      </w:r>
      <w:r>
        <w:rPr>
          <w:color w:val="auto"/>
          <w:szCs w:val="21"/>
          <w:highlight w:val="none"/>
          <w:u w:val="single"/>
        </w:rPr>
        <w:t>、办理营运证等）</w:t>
      </w:r>
      <w:r>
        <w:rPr>
          <w:rFonts w:hint="eastAsia"/>
          <w:color w:val="auto"/>
          <w:szCs w:val="21"/>
          <w:highlight w:val="none"/>
          <w:u w:val="single"/>
        </w:rPr>
        <w:t>。</w:t>
      </w:r>
    </w:p>
    <w:p w14:paraId="51884F0B">
      <w:pPr>
        <w:numPr>
          <w:ilvl w:val="0"/>
          <w:numId w:val="14"/>
        </w:numPr>
        <w:spacing w:line="400" w:lineRule="exact"/>
        <w:ind w:left="0" w:firstLine="420" w:firstLineChars="200"/>
        <w:rPr>
          <w:color w:val="auto"/>
          <w:szCs w:val="21"/>
          <w:highlight w:val="none"/>
          <w:u w:val="single"/>
        </w:rPr>
      </w:pPr>
      <w:r>
        <w:rPr>
          <w:color w:val="auto"/>
          <w:szCs w:val="21"/>
          <w:highlight w:val="none"/>
          <w:u w:val="single"/>
        </w:rPr>
        <w:t>承包人应文明施工，施工应充分考虑对周边居民的影响,施工过程如发生扰民或民扰事件，由承包人解决，费用由承包人承担</w:t>
      </w:r>
      <w:r>
        <w:rPr>
          <w:rFonts w:hint="eastAsia"/>
          <w:color w:val="auto"/>
          <w:szCs w:val="21"/>
          <w:highlight w:val="none"/>
          <w:u w:val="single"/>
        </w:rPr>
        <w:t>。</w:t>
      </w:r>
    </w:p>
    <w:p w14:paraId="4852BB41">
      <w:pPr>
        <w:spacing w:line="400" w:lineRule="exact"/>
        <w:ind w:left="420" w:leftChars="200"/>
        <w:rPr>
          <w:color w:val="auto"/>
          <w:szCs w:val="21"/>
          <w:highlight w:val="none"/>
          <w:u w:val="single"/>
        </w:rPr>
      </w:pPr>
      <w:r>
        <w:rPr>
          <w:rFonts w:hint="eastAsia"/>
          <w:color w:val="auto"/>
          <w:szCs w:val="21"/>
          <w:highlight w:val="none"/>
          <w:u w:val="single"/>
        </w:rPr>
        <w:t>18）承包人因与其他独立承包人之间产生的工序交叉等产生的误工费用等，承包人自行承担。</w:t>
      </w:r>
      <w:r>
        <w:rPr>
          <w:color w:val="auto"/>
          <w:szCs w:val="21"/>
          <w:highlight w:val="none"/>
          <w:u w:val="single"/>
        </w:rPr>
        <w:t xml:space="preserve">  </w:t>
      </w:r>
    </w:p>
    <w:p w14:paraId="5C839E71">
      <w:pPr>
        <w:spacing w:line="360" w:lineRule="auto"/>
        <w:ind w:firstLine="420" w:firstLineChars="200"/>
        <w:rPr>
          <w:rFonts w:ascii="宋体"/>
          <w:color w:val="auto"/>
          <w:szCs w:val="21"/>
          <w:highlight w:val="none"/>
        </w:rPr>
      </w:pPr>
      <w:r>
        <w:rPr>
          <w:rFonts w:ascii="宋体" w:hAnsi="宋体"/>
          <w:color w:val="auto"/>
          <w:szCs w:val="21"/>
          <w:highlight w:val="none"/>
        </w:rPr>
        <w:t xml:space="preserve">4.1.10  </w:t>
      </w:r>
      <w:r>
        <w:rPr>
          <w:rFonts w:hint="eastAsia" w:ascii="宋体" w:hAnsi="宋体"/>
          <w:color w:val="auto"/>
          <w:szCs w:val="21"/>
          <w:highlight w:val="none"/>
        </w:rPr>
        <w:t>承包人的设计工作</w:t>
      </w:r>
      <w:r>
        <w:rPr>
          <w:rFonts w:ascii="宋体" w:hAnsi="宋体"/>
          <w:color w:val="auto"/>
          <w:szCs w:val="21"/>
          <w:highlight w:val="none"/>
        </w:rPr>
        <w:t xml:space="preserve"> </w:t>
      </w:r>
    </w:p>
    <w:p w14:paraId="79BC5C56">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承包人承担的施工图设计或与工程配套的设计工作内容：</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117335D3">
      <w:pPr>
        <w:spacing w:line="360" w:lineRule="auto"/>
        <w:ind w:firstLine="420" w:firstLineChars="200"/>
        <w:rPr>
          <w:rFonts w:ascii="宋体"/>
          <w:color w:val="auto"/>
          <w:szCs w:val="21"/>
          <w:highlight w:val="none"/>
        </w:rPr>
      </w:pPr>
      <w:r>
        <w:rPr>
          <w:rFonts w:ascii="宋体" w:hAnsi="宋体"/>
          <w:color w:val="auto"/>
          <w:szCs w:val="21"/>
          <w:highlight w:val="none"/>
        </w:rPr>
        <w:t xml:space="preserve">4.1.12  </w:t>
      </w:r>
      <w:r>
        <w:rPr>
          <w:rFonts w:hint="eastAsia" w:ascii="宋体" w:hAnsi="宋体"/>
          <w:color w:val="auto"/>
          <w:szCs w:val="21"/>
          <w:highlight w:val="none"/>
        </w:rPr>
        <w:t>其他义务</w:t>
      </w:r>
      <w:r>
        <w:rPr>
          <w:rFonts w:ascii="宋体" w:hAnsi="宋体"/>
          <w:color w:val="auto"/>
          <w:szCs w:val="21"/>
          <w:highlight w:val="none"/>
        </w:rPr>
        <w:t xml:space="preserve">  </w:t>
      </w:r>
    </w:p>
    <w:p w14:paraId="2CF2E48A">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（1）安全文明施工费由承包人统一管理，承包人对工程安全文明施工负总责。承包人不按分包合同约定支付安全文明施工费，造成分包人不能及时落实安全防护措施导致发生事故的，由承包人负主要责任。</w:t>
      </w:r>
    </w:p>
    <w:p w14:paraId="3A30592F">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（2）对于超过一定规模的危大工程（如有），承包人应当组织召开专家论证会对专项施</w:t>
      </w:r>
    </w:p>
    <w:p w14:paraId="16EB4FC4">
      <w:pPr>
        <w:spacing w:line="400" w:lineRule="exact"/>
        <w:rPr>
          <w:rFonts w:hint="eastAsia" w:ascii="宋体" w:hAnsi="宋体"/>
          <w:color w:val="auto"/>
          <w:szCs w:val="21"/>
          <w:highlight w:val="none"/>
        </w:rPr>
      </w:pPr>
      <w:r>
        <w:rPr>
          <w:rFonts w:hint="eastAsia" w:ascii="宋体" w:hAnsi="宋体"/>
          <w:color w:val="auto"/>
          <w:szCs w:val="21"/>
          <w:highlight w:val="none"/>
        </w:rPr>
        <w:t>工方案进行论证，并根据专家论证意见对专项方案进行调整，发包人原因造成的专项方案调整，其费用变化由发包人承担。</w:t>
      </w:r>
    </w:p>
    <w:p w14:paraId="4D03A3DC">
      <w:pPr>
        <w:widowControl/>
        <w:spacing w:line="400" w:lineRule="exact"/>
        <w:ind w:firstLine="315" w:firstLineChars="150"/>
        <w:rPr>
          <w:rFonts w:hint="eastAsia" w:ascii="宋体" w:hAnsi="宋体" w:cs="Times New Roman"/>
          <w:color w:val="auto"/>
          <w:szCs w:val="21"/>
          <w:highlight w:val="none"/>
        </w:rPr>
      </w:pPr>
      <w:r>
        <w:rPr>
          <w:rFonts w:hint="eastAsia" w:ascii="宋体" w:hAnsi="宋体" w:cs="Times New Roman"/>
          <w:color w:val="auto"/>
          <w:szCs w:val="21"/>
          <w:highlight w:val="none"/>
        </w:rPr>
        <w:t>（3）承包人应履行合同约定的其他义务以及下述义务：</w:t>
      </w:r>
    </w:p>
    <w:p w14:paraId="5A843D76">
      <w:pPr>
        <w:widowControl w:val="0"/>
        <w:numPr>
          <w:ilvl w:val="0"/>
          <w:numId w:val="0"/>
        </w:num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1)委派负责现场管理的承包人代表须持有与本工程相应的资格证书。</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承包人派驻本工程的承包人代表和主要技术负责人在工程施工过程中不得随意更换。未经过发包人、监理人批准更换承包人代表和主要技术负责人，承包人需承担相应的违约责任。承包人代表应专职于本工程，不得兼职于其他工程或其他职务。每周在现场工作时间应不得少于5个工作日，如有特殊情况需提前征得发包人、监理人同意，未获得批准不得擅自离场。</w:t>
      </w:r>
    </w:p>
    <w:p w14:paraId="3A6B1325">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承包人为实施本合同雇用的特殊工种的工人和操作人员应受过专门的培训并已取得政府有关管理机构规定的上岗证书，这些特殊工程包括但不限于：电工、焊工、塔吊司机、信号工、架子工、施工机械操作人员等，如因承包人违反上述约定用工导致第三方或发包人的损失，承包人应当负责赔偿；</w:t>
      </w:r>
    </w:p>
    <w:p w14:paraId="0F86AFA5">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 xml:space="preserve">3)施工中如发现设计错误或严重不合理时，承包人应立即以书面形式通知监理人并经监理人报发包人，按照发包人指示处理。 </w:t>
      </w:r>
    </w:p>
    <w:p w14:paraId="50AD8B55">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4)承包人应自觉遵守执行国家及北京市行业主管部门颁布实施的有关安全生产的法规、规章、制度、标准。</w:t>
      </w:r>
    </w:p>
    <w:p w14:paraId="57AB80B2">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5)承包人应当服从发包人现行的施工现场统一管理的规定及有关安全生产法规、规章、制度、标准，严格执行发包人下达的各项安全指令，确保安全施工，并按合同有关条款加强自身管理，履行承包人责任。</w:t>
      </w:r>
    </w:p>
    <w:p w14:paraId="47FB1355">
      <w:pPr>
        <w:widowControl/>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6)已竣工工程未交付发包人之前，承包人负责其保护工作。保护期间发生损坏的，由承包人予以修复并承担相应费用。</w:t>
      </w:r>
    </w:p>
    <w:p w14:paraId="2192DC6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7)对竣工验收后保修期内发现的工程质量问题负责免费返修，对造成的间接损失负全部赔偿责任。</w:t>
      </w:r>
    </w:p>
    <w:p w14:paraId="5BD8D481">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8)承包人应负责编制符合要求的竣工资料(含分包工程的资料),并将竣工资料移交城建档案馆。</w:t>
      </w:r>
    </w:p>
    <w:p w14:paraId="59D31002">
      <w:pPr>
        <w:tabs>
          <w:tab w:val="left" w:pos="420"/>
          <w:tab w:val="left" w:pos="840"/>
        </w:tabs>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9)成品保护：承包人应提供必要的人员、材料和设备用于整个工程的成品保护，包括对已完成的工程或工作的保护，防止任何已完工作遭受任何损坏或破坏。承包人对施工现场所有工程都负有成品保护责任，如有损坏由承包人负责修复并承担修复费用</w:t>
      </w:r>
    </w:p>
    <w:p w14:paraId="1C5D185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10)对周边财产的保护：承包人不得非法侵占和妨害毗邻的财产、土地、街道、市政设施和他们下面的土壤和空间、他们的所有者、使用者或其他任何人，也不得在工程或工程任何部分的实施中采用可能会给这类财产、土地、街道、市政设施、树木和人员带来损害或伤害的施工方法；承包人应保障发包人免于因工程实施对周边毗邻财产或人身等的损害或伤害而可能招致的索赔、罚款和其它法律责任。承包人因临时或永久工程施工需临时中断任何市政设施的总管或其它设施时，应首先从政府有关管理机构取得相关许可，承包人应周密计划和科学组织，保证此类中断的时间应尽可能短。在整个工程施工期间，承包人应负责保护所有的现有道路、步行道、踏步和在它们地下的可能的服务设施；承包人应自费对那些因受他控制的任何原因引起的对上述设施的损害或损坏进行修缮直至达到政府有关管理机构满意，并支付与此相关的任何费用和罚款。</w:t>
      </w:r>
    </w:p>
    <w:p w14:paraId="7C898D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11)竣工清理：在工程竣工后10日内，不管发包人是否已办妥政府有关机构所要求的一切必要的批准、备案手续以及是否已发布移交证书，承包人应安排专业队伍全面履行其合同责任和义务，包括：(a)从现场清除所有剩余材料、杂物、垃圾等；(b)从现场拆除所有的临时建筑物和临时设施并恢复地面原状。</w:t>
      </w:r>
    </w:p>
    <w:p w14:paraId="12E0842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u w:val="single"/>
        </w:rPr>
        <w:t>12)其他责任和义务：如果任何为本工程正常使用功能和设计使用寿命所必须的或为本工程适用的任何规范、规程或标准所要求的工作既未以文字形式明确约定为属于发包人或任何其他承包人的工作，也未在本合同中以文字形式明确提及，则此类工作应由作为承担本工程承包责任和义务的承包人的工作。承包人不得就此类潜在责任和义务向发包人提出任何费用和工期的索赔要求，且在任何情况下，承包人也不得就此提出有关其投标价格考虑不周、有缺或漏、计算错误等的补偿要求。</w:t>
      </w:r>
    </w:p>
    <w:p w14:paraId="4157124D">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13)承担施工安全保卫工作及非夜间施工照明的责任和要求：承包人应保证现场施工安全保卫工作和非夜间施工照明，以及场内、场内与场外接口处交通的通畅，符合国家及北京市的有关规定，以免除发包人人员、监理公司人员以及其他第三方人员在施工现场因承包人未完成本条之规定所造成的人员伤害损失和财产损失。</w:t>
      </w:r>
    </w:p>
    <w:p w14:paraId="3930EABB">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14)需承包人办理的有关施工场地交通、环卫和施工噪音管理等手续：承包人应按照北京市有关施工场地交通、环卫、施工噪音管理等的要求，自己承担费用办理相关手续（如交通特别通行证、排污手续、降噪措施），并保证这些规定在施工中得到贯彻执行，以免除发包人因承包人未能完成上述工作所承担的费用支出（包括但不限于政府部门罚款、工期延误期间的费用支出等）和工期延误责任。承包人须主动协调同周围居民及有关单位的关系，以免造成窝工、停工、延误工期的现象发生。</w:t>
      </w:r>
    </w:p>
    <w:p w14:paraId="21ED2FD8">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15)施工场地清洁卫生的要求：保证施工现场清洁符合环境卫生以及消防、街道、防疫、园林、供电、交通、市政文物及安全管理等建设行政主管部门和相关部门的有关规定，应达到北京市文明工地标准。</w:t>
      </w:r>
      <w:r>
        <w:rPr>
          <w:rFonts w:hint="eastAsia" w:ascii="宋体" w:hAnsi="宋体" w:cs="宋体"/>
          <w:bCs/>
          <w:color w:val="auto"/>
          <w:szCs w:val="21"/>
          <w:highlight w:val="none"/>
          <w:u w:val="single"/>
        </w:rPr>
        <w:t>如果承包人违反上述规定，给发包人或第三方造成损失，承包人应当承担由此产生的赔偿责任。</w:t>
      </w:r>
    </w:p>
    <w:p w14:paraId="35B7BCA1">
      <w:pPr>
        <w:numPr>
          <w:ilvl w:val="0"/>
          <w:numId w:val="0"/>
        </w:numPr>
        <w:spacing w:line="360" w:lineRule="auto"/>
        <w:ind w:firstLine="420" w:firstLineChars="200"/>
        <w:outlineLvl w:val="9"/>
        <w:rPr>
          <w:rFonts w:ascii="宋体" w:hAnsi="宋体" w:cs="宋体"/>
          <w:color w:val="auto"/>
          <w:szCs w:val="21"/>
          <w:highlight w:val="none"/>
          <w:u w:val="single"/>
        </w:rPr>
      </w:pPr>
      <w:r>
        <w:rPr>
          <w:rFonts w:hint="eastAsia" w:ascii="宋体" w:hAnsi="宋体" w:cs="宋体"/>
          <w:color w:val="auto"/>
          <w:szCs w:val="21"/>
          <w:highlight w:val="none"/>
          <w:u w:val="single"/>
        </w:rPr>
        <w:t>16)生活用水、施工用电由</w:t>
      </w:r>
      <w:r>
        <w:rPr>
          <w:rFonts w:hint="eastAsia" w:ascii="宋体" w:hAnsi="宋体" w:cs="宋体"/>
          <w:color w:val="auto"/>
          <w:szCs w:val="21"/>
          <w:highlight w:val="none"/>
          <w:u w:val="single"/>
          <w:lang w:eastAsia="zh-CN"/>
        </w:rPr>
        <w:t>承</w:t>
      </w:r>
      <w:r>
        <w:rPr>
          <w:rFonts w:hint="eastAsia" w:ascii="宋体" w:hAnsi="宋体" w:cs="宋体"/>
          <w:color w:val="auto"/>
          <w:szCs w:val="21"/>
          <w:highlight w:val="none"/>
          <w:u w:val="single"/>
        </w:rPr>
        <w:t>包人</w:t>
      </w:r>
      <w:r>
        <w:rPr>
          <w:rFonts w:hint="eastAsia" w:ascii="宋体" w:hAnsi="宋体" w:cs="宋体"/>
          <w:color w:val="auto"/>
          <w:szCs w:val="21"/>
          <w:highlight w:val="none"/>
          <w:u w:val="single"/>
          <w:lang w:eastAsia="zh-CN"/>
        </w:rPr>
        <w:t>自行解决</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以</w:t>
      </w:r>
      <w:r>
        <w:rPr>
          <w:rFonts w:hint="eastAsia" w:ascii="宋体" w:hAnsi="宋体" w:cs="宋体"/>
          <w:color w:val="auto"/>
          <w:szCs w:val="21"/>
          <w:highlight w:val="none"/>
          <w:u w:val="single"/>
        </w:rPr>
        <w:t>满足现场使用要求。</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完成本合同项下的全部工作所发生的现场其它费用，均已完全包含在合同总价中，承包人</w:t>
      </w:r>
      <w:r>
        <w:rPr>
          <w:rFonts w:hint="eastAsia" w:ascii="宋体" w:hAnsi="宋体" w:cs="宋体"/>
          <w:color w:val="000000" w:themeColor="text1"/>
          <w:sz w:val="21"/>
          <w:szCs w:val="21"/>
          <w:highlight w:val="none"/>
          <w:u w:val="single"/>
          <w:lang w:val="en-US" w:eastAsia="zh-CN"/>
          <w14:textFill>
            <w14:solidFill>
              <w14:schemeClr w14:val="tx1"/>
            </w14:solidFill>
          </w14:textFill>
        </w:rPr>
        <w:t>原则上</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不以任何理由提出此项费用的增加。</w:t>
      </w:r>
    </w:p>
    <w:p w14:paraId="65982AF2">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u w:val="single"/>
        </w:rPr>
        <w:t>17) 施工区内临时设施、临时道路、水电管线安装和保养，施工现场内地下管线和临近建筑物、构筑物及临街交通要道、人行道的保护，费用由承包人负担。因承包人防护</w:t>
      </w:r>
      <w:r>
        <w:rPr>
          <w:rFonts w:hint="eastAsia" w:ascii="宋体" w:hAnsi="宋体" w:cs="宋体"/>
          <w:color w:val="auto"/>
          <w:szCs w:val="21"/>
          <w:highlight w:val="none"/>
          <w:u w:val="single"/>
          <w:lang w:eastAsia="zh-CN"/>
        </w:rPr>
        <w:t>不力</w:t>
      </w:r>
      <w:r>
        <w:rPr>
          <w:rFonts w:hint="eastAsia" w:ascii="宋体" w:hAnsi="宋体" w:cs="宋体"/>
          <w:color w:val="auto"/>
          <w:szCs w:val="21"/>
          <w:highlight w:val="none"/>
          <w:u w:val="single"/>
        </w:rPr>
        <w:t>而发生事故，相关责任和费用由承包人承担。承包人施工完毕后，对所破坏的市政公共设施及道路应修复原貌，若承包人无力或未在规定的时间内修复，由发包人代为修复，费用由承包人承担。</w:t>
      </w:r>
    </w:p>
    <w:p w14:paraId="66D2A980">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18)对于承包人在施工过程中有需要发包人配合完成的工作，承包人应于施工总控制进度计划中明确表述或提前足够的时间通知发包人</w:t>
      </w:r>
      <w:r>
        <w:rPr>
          <w:rFonts w:hint="eastAsia" w:ascii="宋体" w:hAnsi="宋体" w:cs="宋体"/>
          <w:color w:val="auto"/>
          <w:sz w:val="24"/>
          <w:highlight w:val="none"/>
          <w:u w:val="single"/>
        </w:rPr>
        <w:t>，</w:t>
      </w:r>
      <w:r>
        <w:rPr>
          <w:rFonts w:hint="eastAsia" w:ascii="宋体" w:hAnsi="宋体" w:cs="宋体"/>
          <w:color w:val="auto"/>
          <w:szCs w:val="21"/>
          <w:highlight w:val="none"/>
          <w:u w:val="single"/>
        </w:rPr>
        <w:t>否则，由此造成发包人无法完成相关工作的由承包人承担相应的责任。</w:t>
      </w:r>
    </w:p>
    <w:p w14:paraId="015EA9C3">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19)承包人确认已充分考察了解施工现场的使用条件，承担办理施工临建设施相关的工作，并在投标报价中已考虑相关费用。特别提醒投标人，因施工场地狭小发生的租用临时用地的费用及相关交通费在投标时列入投标总价，结算时不予调整。</w:t>
      </w:r>
    </w:p>
    <w:p w14:paraId="64533FA4">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20)如承包人未履行自己的职责致使现场发生安全事故或致使发包人遭受经济损失，对发包人因此</w:t>
      </w:r>
      <w:r>
        <w:rPr>
          <w:rFonts w:hint="eastAsia" w:ascii="宋体" w:hAnsi="宋体" w:cs="宋体"/>
          <w:color w:val="auto"/>
          <w:szCs w:val="21"/>
          <w:highlight w:val="none"/>
          <w:u w:val="single"/>
          <w:lang w:eastAsia="zh-CN"/>
        </w:rPr>
        <w:t>遭受</w:t>
      </w:r>
      <w:r>
        <w:rPr>
          <w:rFonts w:hint="eastAsia" w:ascii="宋体" w:hAnsi="宋体" w:cs="宋体"/>
          <w:color w:val="auto"/>
          <w:szCs w:val="21"/>
          <w:highlight w:val="none"/>
          <w:u w:val="single"/>
        </w:rPr>
        <w:t>的经济损失超过该违约金的部分，承包人应当承担赔偿责任。对于以上违约金和赔偿金，发包人有权在支付承包人工程款时将该违约金或赔偿金扣除。</w:t>
      </w:r>
    </w:p>
    <w:p w14:paraId="5B4673F5">
      <w:pPr>
        <w:numPr>
          <w:ilvl w:val="0"/>
          <w:numId w:val="0"/>
        </w:num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u w:val="single"/>
        </w:rPr>
        <w:t>21)</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在承包人的材料、设备进入施工现场后需经监理方及发包人进行质量检验，并按照规范要求进行复验。监理方及发包人的这种检验并不免除承包人采购的材料设备的质量责任，如对进场材料有怀疑时，监理方及发包人有权要求承包人随时进行材料抽验。</w:t>
      </w:r>
      <w:r>
        <w:rPr>
          <w:rFonts w:hint="eastAsia" w:ascii="宋体" w:hAnsi="宋体" w:cs="宋体"/>
          <w:color w:val="auto"/>
          <w:szCs w:val="21"/>
          <w:highlight w:val="none"/>
          <w:u w:val="single"/>
        </w:rPr>
        <w:t>与本工程无关的人员及设备材料均不得进入现场，发包人有权进行检查。</w:t>
      </w:r>
    </w:p>
    <w:p w14:paraId="4E4B9F33">
      <w:pPr>
        <w:spacing w:line="360" w:lineRule="auto"/>
        <w:ind w:firstLine="420" w:firstLineChars="200"/>
        <w:rPr>
          <w:rFonts w:ascii="宋体" w:hAnsi="宋体"/>
          <w:color w:val="auto"/>
          <w:szCs w:val="21"/>
          <w:highlight w:val="none"/>
          <w:u w:val="single"/>
        </w:rPr>
      </w:pPr>
      <w:r>
        <w:rPr>
          <w:rFonts w:hint="eastAsia" w:ascii="宋体" w:hAnsi="宋体" w:cs="宋体"/>
          <w:color w:val="auto"/>
          <w:szCs w:val="21"/>
          <w:highlight w:val="none"/>
          <w:u w:val="single"/>
        </w:rPr>
        <w:t>22)对于监理、发包人认定不合格的材料或设备，承包人必须在24小时内清理出场。</w:t>
      </w:r>
    </w:p>
    <w:p w14:paraId="6EDFA116">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u w:val="single"/>
        </w:rPr>
        <w:t>2</w:t>
      </w:r>
      <w:r>
        <w:rPr>
          <w:rFonts w:ascii="宋体" w:hAnsi="宋体"/>
          <w:color w:val="auto"/>
          <w:szCs w:val="21"/>
          <w:highlight w:val="none"/>
          <w:u w:val="single"/>
        </w:rPr>
        <w:t>3）</w:t>
      </w:r>
      <w:r>
        <w:rPr>
          <w:rFonts w:hint="eastAsia" w:ascii="宋体" w:hAnsi="宋体" w:cs="Arial"/>
          <w:color w:val="auto"/>
          <w:highlight w:val="none"/>
          <w:u w:val="single"/>
        </w:rPr>
        <w:t>承包人应遵循京建法【2017】27号、京建法【2018】5号文，建筑拆除工程产生的建筑垃圾应当优先选择资源化处置，优先选择使用建筑垃圾再利用产品；无法进行资源化处置的，应当按规定及时清运，对不能及时处置或清运的，应当进行覆盖或密封存放。</w:t>
      </w:r>
      <w:r>
        <w:rPr>
          <w:rFonts w:ascii="宋体" w:hAnsi="宋体"/>
          <w:color w:val="auto"/>
          <w:szCs w:val="21"/>
          <w:highlight w:val="none"/>
          <w:u w:val="single"/>
        </w:rPr>
        <w:t xml:space="preserve"> </w:t>
      </w:r>
    </w:p>
    <w:p w14:paraId="3C0B78D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color w:val="auto"/>
          <w:szCs w:val="21"/>
          <w:highlight w:val="none"/>
          <w:u w:val="single"/>
          <w:lang w:val="en-US" w:eastAsia="zh-CN"/>
        </w:rPr>
        <w:t>24）</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承包人应按照《关于加强建设等行业农民工劳动合同管理的通知》的有关规定,认真做好农民工劳动合同签订和履行工作，依法与所招用的农民工建立劳动合同，依法按劳动合同约定按时足额支付农民工工资，不得无故拖欠和克扣。按照《通知》要求做好农民工劳动合同管理工作，建立健全劳动合同管理制度，接受发包人或监理人的监督，配合提供相关资料等工作，并向劳动保障行政部门提供用工备案。若农民工因工作原因受到事故伤害或患职业病，积极配合劳动保障监察部门对所发生的劳动争议进行处理，并按处理意见解决劳动争议。承包人必须按照现行规定，设立农民工工资专用账户，并严格执行北京市相关农民工工资规定。承包人应当在工程施工合同签订之日起30日内开立农民工工资专用账户，专用账户名称必须明确工程建设项目名称，且后加“农民工工资专用账户”，总包单位应当在专用账户开立后30日内报项目所在地专用账户监管部门备案。</w:t>
      </w:r>
    </w:p>
    <w:p w14:paraId="14F5F9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25)承包人在施工过程中要遵守本项目所在地的各项管理的规章制度，文明施工，注意防火、防盗，安全生产。</w:t>
      </w:r>
    </w:p>
    <w:p w14:paraId="7651F0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26)建筑垃圾需堆放至指定位置，并做好清理、降尘等措施。施工结束后，承包人除应及时清运渣土、垃圾、按正常使用要求做好保洁外，应及时缴纳水电费等费用，由施工造成的既有设施设备的损毁须予以恢复或赔偿。</w:t>
      </w:r>
    </w:p>
    <w:p w14:paraId="1FBE75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27)施工人员的吃、住、行等由承包人自行解决，所发生的费用由承包人承担。</w:t>
      </w:r>
    </w:p>
    <w:p w14:paraId="334E40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28)承包方赶工须符合《北京市住房和域乡建设委员会关于进一步规范本市建筑市场秩序的通知》(京建发[2015]36号)和《北京市住房和域乡建设委员会关于执行2018年&lt;北京市建设工程工期定额&gt;和2018年&lt;北京市房屋修缮工程工期定额&gt;的通知》(京建法[2019]4号)文件的要求。由于本项目工期紧张，在保证安全和质量的前提下，承包人应合理安排工序，按时完工，同时对周边居民及师生可能发生的扰民及民扰问题须有针对性措施。</w:t>
      </w:r>
    </w:p>
    <w:p w14:paraId="12DFF3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29)承包人须明确知悉:除发包人代表本人或发包人法定代表人外，任何人(包含但不限于 发包人代表助理、发包人任何管理人员、监理人代表、监理人代表助理等)都无权签认有关工程款增减、工期变更或工程质量标准变更的文件;任何涉及工程款增减、工期变更或工程质量标准变更的变更单、洽商文件、备忘录、工作联系单、通知等，如果没有发包人代表本人或发包人法定代表人的亲笔签署并加盖发包人公章，均为无效文件；对此，承包人己明确知悉并承诺放弃因自身原因未按上述要求办理签证等文件，而提出索赔的权利或抗辩。</w:t>
      </w:r>
    </w:p>
    <w:p w14:paraId="0013BF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30)承包人负责按照政府等相关部门的要求，办理本合同项下工程所需的有关施工的交通、施工噪音、环境保护、安全文明施工等各种报批、许可等文件和手续。</w:t>
      </w:r>
    </w:p>
    <w:p w14:paraId="6ED355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31)承包人负责竣工档案资料(包括全部工程承包范围内的全过程纸质、声像及电子档案)的收集整理归集，并于竣工验收前向发包人提交完整且符合要求的竣工资料；</w:t>
      </w:r>
    </w:p>
    <w:p w14:paraId="66B7ED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32)承包人负责在施工期间所有相关政府部门的现场检查和验收中涉及到承包人需配合、协调、完成的各项工作(包括但不限于:现场准备、资料准备、于续办理等)。</w:t>
      </w:r>
    </w:p>
    <w:p w14:paraId="6C5D31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33)承包人须按照施工图纸、合同及清单内容，根据发包人、监理人的具体要求，及时有效的提供装修装饰材料、设备、管线等材料样品，经发包人确认后方可进行采购、进场，用于工程施工。</w:t>
      </w:r>
    </w:p>
    <w:p w14:paraId="18D16BFD">
      <w:pPr>
        <w:keepNext w:val="0"/>
        <w:keepLines w:val="0"/>
        <w:numPr>
          <w:ilvl w:val="0"/>
          <w:numId w:val="0"/>
        </w:numPr>
        <w:spacing w:before="0" w:beforeLines="-2147483648" w:after="0" w:afterLines="-2147483648" w:line="360" w:lineRule="auto"/>
        <w:ind w:firstLine="480" w:firstLineChars="200"/>
        <w:outlineLvl w:val="9"/>
        <w:rPr>
          <w:rFonts w:ascii="宋体" w:hAnsi="宋体"/>
          <w:color w:val="auto"/>
          <w:kern w:val="0"/>
          <w:sz w:val="24"/>
          <w:szCs w:val="20"/>
          <w:highlight w:val="none"/>
        </w:rPr>
      </w:pPr>
      <w:bookmarkStart w:id="1637" w:name="_Toc490331679"/>
      <w:bookmarkStart w:id="1638" w:name="_Toc497214057"/>
      <w:bookmarkStart w:id="1639" w:name="_Toc28113"/>
      <w:bookmarkStart w:id="1640" w:name="_Toc485323162"/>
      <w:bookmarkStart w:id="1641" w:name="_Toc1734"/>
      <w:bookmarkStart w:id="1642" w:name="_Toc489280194"/>
      <w:bookmarkStart w:id="1643" w:name="_Toc486580388"/>
      <w:r>
        <w:rPr>
          <w:rFonts w:ascii="宋体" w:hAnsi="宋体"/>
          <w:color w:val="auto"/>
          <w:kern w:val="0"/>
          <w:sz w:val="24"/>
          <w:szCs w:val="20"/>
          <w:highlight w:val="none"/>
        </w:rPr>
        <w:t xml:space="preserve">4.2  </w:t>
      </w:r>
      <w:r>
        <w:rPr>
          <w:rFonts w:hint="eastAsia" w:ascii="宋体" w:hAnsi="宋体"/>
          <w:color w:val="auto"/>
          <w:kern w:val="0"/>
          <w:sz w:val="24"/>
          <w:szCs w:val="20"/>
          <w:highlight w:val="none"/>
        </w:rPr>
        <w:t>履约担保</w:t>
      </w:r>
      <w:bookmarkEnd w:id="1637"/>
      <w:bookmarkEnd w:id="1638"/>
      <w:bookmarkEnd w:id="1639"/>
      <w:bookmarkEnd w:id="1640"/>
      <w:bookmarkEnd w:id="1641"/>
      <w:bookmarkEnd w:id="1642"/>
      <w:bookmarkEnd w:id="1643"/>
      <w:r>
        <w:rPr>
          <w:rFonts w:ascii="宋体" w:hAnsi="宋体"/>
          <w:color w:val="auto"/>
          <w:kern w:val="0"/>
          <w:sz w:val="24"/>
          <w:szCs w:val="20"/>
          <w:highlight w:val="none"/>
        </w:rPr>
        <w:t xml:space="preserve"> </w:t>
      </w:r>
    </w:p>
    <w:p w14:paraId="1319720B">
      <w:pPr>
        <w:spacing w:line="360" w:lineRule="auto"/>
        <w:ind w:firstLine="420" w:firstLineChars="200"/>
        <w:rPr>
          <w:rFonts w:ascii="宋体"/>
          <w:color w:val="auto"/>
          <w:szCs w:val="21"/>
          <w:highlight w:val="none"/>
        </w:rPr>
      </w:pPr>
      <w:r>
        <w:rPr>
          <w:rFonts w:ascii="宋体" w:hAnsi="宋体"/>
          <w:color w:val="auto"/>
          <w:szCs w:val="21"/>
          <w:highlight w:val="none"/>
        </w:rPr>
        <w:t xml:space="preserve">4.2.1  </w:t>
      </w:r>
      <w:r>
        <w:rPr>
          <w:rFonts w:hint="eastAsia" w:ascii="宋体" w:hAnsi="宋体"/>
          <w:color w:val="auto"/>
          <w:szCs w:val="21"/>
          <w:highlight w:val="none"/>
        </w:rPr>
        <w:t>承包人履约担保的格式和金额</w:t>
      </w:r>
    </w:p>
    <w:p w14:paraId="40C2C89D">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w:t>
      </w:r>
      <w:r>
        <w:rPr>
          <w:rFonts w:ascii="宋体" w:hAnsi="宋体"/>
          <w:color w:val="auto"/>
          <w:szCs w:val="21"/>
          <w:highlight w:val="none"/>
          <w:u w:val="single"/>
        </w:rPr>
        <w:t xml:space="preserve">  </w:t>
      </w:r>
      <w:r>
        <w:rPr>
          <w:rFonts w:hint="eastAsia" w:ascii="宋体" w:hAnsi="宋体"/>
          <w:color w:val="auto"/>
          <w:szCs w:val="21"/>
          <w:highlight w:val="none"/>
          <w:u w:val="single"/>
        </w:rPr>
        <w:t>不要求</w:t>
      </w:r>
      <w:r>
        <w:rPr>
          <w:rFonts w:hint="eastAsia" w:ascii="宋体" w:hAnsi="宋体"/>
          <w:color w:val="auto"/>
          <w:szCs w:val="21"/>
          <w:highlight w:val="none"/>
        </w:rPr>
        <w:t>（要求/不要求）承包人提供承包人履约担保。</w:t>
      </w:r>
    </w:p>
    <w:p w14:paraId="320904F4">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承包人履约担保的金额为</w:t>
      </w:r>
      <w:r>
        <w:rPr>
          <w:rFonts w:ascii="宋体" w:hAnsi="宋体"/>
          <w:color w:val="auto"/>
          <w:szCs w:val="21"/>
          <w:highlight w:val="none"/>
          <w:u w:val="single"/>
        </w:rPr>
        <w:t xml:space="preserve">   /                                                </w:t>
      </w:r>
    </w:p>
    <w:p w14:paraId="355574B9">
      <w:pPr>
        <w:keepNext/>
        <w:keepLines/>
        <w:spacing w:before="120" w:beforeLines="50" w:after="120" w:afterLines="50" w:line="360" w:lineRule="auto"/>
        <w:outlineLvl w:val="2"/>
        <w:rPr>
          <w:rFonts w:ascii="宋体" w:hAnsi="宋体"/>
          <w:color w:val="auto"/>
          <w:kern w:val="0"/>
          <w:sz w:val="24"/>
          <w:szCs w:val="20"/>
          <w:highlight w:val="none"/>
        </w:rPr>
      </w:pPr>
      <w:bookmarkStart w:id="1644" w:name="_Toc486580389"/>
      <w:bookmarkStart w:id="1645" w:name="_Toc490331680"/>
      <w:bookmarkStart w:id="1646" w:name="_Toc485323163"/>
      <w:bookmarkStart w:id="1647" w:name="_Toc5716"/>
      <w:bookmarkStart w:id="1648" w:name="_Toc489280195"/>
      <w:bookmarkStart w:id="1649" w:name="_Toc9232"/>
      <w:bookmarkStart w:id="1650" w:name="_Toc497214058"/>
      <w:r>
        <w:rPr>
          <w:rFonts w:ascii="宋体" w:hAnsi="宋体"/>
          <w:color w:val="auto"/>
          <w:kern w:val="0"/>
          <w:sz w:val="24"/>
          <w:szCs w:val="20"/>
          <w:highlight w:val="none"/>
        </w:rPr>
        <w:t xml:space="preserve">4.11  </w:t>
      </w:r>
      <w:r>
        <w:rPr>
          <w:rFonts w:hint="eastAsia" w:ascii="宋体" w:hAnsi="宋体"/>
          <w:color w:val="auto"/>
          <w:kern w:val="0"/>
          <w:sz w:val="24"/>
          <w:szCs w:val="20"/>
          <w:highlight w:val="none"/>
        </w:rPr>
        <w:t>不利物质条件</w:t>
      </w:r>
      <w:bookmarkEnd w:id="1644"/>
      <w:bookmarkEnd w:id="1645"/>
      <w:bookmarkEnd w:id="1646"/>
      <w:bookmarkEnd w:id="1647"/>
      <w:bookmarkEnd w:id="1648"/>
      <w:bookmarkEnd w:id="1649"/>
      <w:bookmarkEnd w:id="1650"/>
    </w:p>
    <w:p w14:paraId="4E94449B">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 xml:space="preserve">4.11.1  </w:t>
      </w:r>
      <w:r>
        <w:rPr>
          <w:rFonts w:hint="eastAsia" w:ascii="宋体" w:hAnsi="宋体"/>
          <w:color w:val="auto"/>
          <w:szCs w:val="21"/>
          <w:highlight w:val="none"/>
        </w:rPr>
        <w:t>不利物质条件的范围：</w:t>
      </w:r>
      <w:r>
        <w:rPr>
          <w:rFonts w:ascii="宋体" w:hAnsi="宋体"/>
          <w:color w:val="auto"/>
          <w:szCs w:val="21"/>
          <w:highlight w:val="none"/>
          <w:u w:val="single"/>
        </w:rPr>
        <w:t xml:space="preserve"> </w:t>
      </w:r>
      <w:r>
        <w:rPr>
          <w:rFonts w:hint="eastAsia" w:ascii="宋体" w:hAnsi="宋体"/>
          <w:color w:val="auto"/>
          <w:szCs w:val="21"/>
          <w:highlight w:val="none"/>
          <w:u w:val="single"/>
        </w:rPr>
        <w:t>地下已存在的但未探明的非自然物质障碍和污染物等。</w:t>
      </w:r>
      <w:r>
        <w:rPr>
          <w:rFonts w:ascii="宋体" w:hAnsi="宋体"/>
          <w:color w:val="auto"/>
          <w:szCs w:val="21"/>
          <w:highlight w:val="none"/>
          <w:u w:val="single"/>
        </w:rPr>
        <w:t xml:space="preserve"> </w:t>
      </w:r>
    </w:p>
    <w:p w14:paraId="75D633C0">
      <w:pPr>
        <w:keepNext/>
        <w:keepLines/>
        <w:spacing w:before="120" w:beforeLines="50" w:after="120" w:afterLines="50" w:line="360" w:lineRule="auto"/>
        <w:outlineLvl w:val="1"/>
        <w:rPr>
          <w:rFonts w:ascii="宋体" w:hAnsi="宋体" w:cs="宋体"/>
          <w:color w:val="auto"/>
          <w:sz w:val="28"/>
          <w:szCs w:val="20"/>
          <w:highlight w:val="none"/>
        </w:rPr>
      </w:pPr>
      <w:bookmarkStart w:id="1651" w:name="_Toc15780"/>
      <w:bookmarkStart w:id="1652" w:name="_Toc489280196"/>
      <w:bookmarkStart w:id="1653" w:name="_Toc486580390"/>
      <w:bookmarkStart w:id="1654" w:name="_Toc485323164"/>
      <w:bookmarkStart w:id="1655" w:name="_Toc497214059"/>
      <w:bookmarkStart w:id="1656" w:name="_Toc29611"/>
      <w:bookmarkStart w:id="1657" w:name="_Toc490331681"/>
      <w:r>
        <w:rPr>
          <w:rFonts w:ascii="宋体" w:hAnsi="宋体" w:cs="宋体"/>
          <w:color w:val="auto"/>
          <w:sz w:val="28"/>
          <w:szCs w:val="20"/>
          <w:highlight w:val="none"/>
        </w:rPr>
        <w:t>5.</w:t>
      </w:r>
      <w:r>
        <w:rPr>
          <w:rFonts w:hint="eastAsia" w:ascii="宋体" w:hAnsi="宋体" w:cs="宋体"/>
          <w:color w:val="auto"/>
          <w:sz w:val="28"/>
          <w:szCs w:val="20"/>
          <w:highlight w:val="none"/>
        </w:rPr>
        <w:t>材料和工程设备</w:t>
      </w:r>
      <w:bookmarkEnd w:id="1651"/>
      <w:bookmarkEnd w:id="1652"/>
      <w:bookmarkEnd w:id="1653"/>
      <w:bookmarkEnd w:id="1654"/>
      <w:bookmarkEnd w:id="1655"/>
      <w:bookmarkEnd w:id="1656"/>
      <w:bookmarkEnd w:id="1657"/>
    </w:p>
    <w:p w14:paraId="7DC32B00">
      <w:pPr>
        <w:keepNext/>
        <w:keepLines/>
        <w:spacing w:before="120" w:beforeLines="50" w:after="120" w:afterLines="50" w:line="360" w:lineRule="auto"/>
        <w:outlineLvl w:val="2"/>
        <w:rPr>
          <w:rFonts w:ascii="宋体" w:hAnsi="宋体"/>
          <w:color w:val="auto"/>
          <w:kern w:val="0"/>
          <w:sz w:val="24"/>
          <w:szCs w:val="20"/>
          <w:highlight w:val="none"/>
        </w:rPr>
      </w:pPr>
      <w:bookmarkStart w:id="1658" w:name="_Toc485323165"/>
      <w:bookmarkStart w:id="1659" w:name="_Toc497214060"/>
      <w:bookmarkStart w:id="1660" w:name="_Toc489280197"/>
      <w:bookmarkStart w:id="1661" w:name="_Toc30461"/>
      <w:bookmarkStart w:id="1662" w:name="_Toc9586"/>
      <w:bookmarkStart w:id="1663" w:name="_Toc486580391"/>
      <w:bookmarkStart w:id="1664" w:name="_Toc490331682"/>
      <w:r>
        <w:rPr>
          <w:rFonts w:ascii="宋体" w:hAnsi="宋体"/>
          <w:color w:val="auto"/>
          <w:kern w:val="0"/>
          <w:sz w:val="24"/>
          <w:szCs w:val="20"/>
          <w:highlight w:val="none"/>
        </w:rPr>
        <w:t xml:space="preserve">5.1  </w:t>
      </w:r>
      <w:r>
        <w:rPr>
          <w:rFonts w:hint="eastAsia" w:ascii="宋体" w:hAnsi="宋体"/>
          <w:color w:val="auto"/>
          <w:kern w:val="0"/>
          <w:sz w:val="24"/>
          <w:szCs w:val="20"/>
          <w:highlight w:val="none"/>
        </w:rPr>
        <w:t>承包人提供的材料和工程设备</w:t>
      </w:r>
      <w:bookmarkEnd w:id="1658"/>
      <w:bookmarkEnd w:id="1659"/>
      <w:bookmarkEnd w:id="1660"/>
      <w:bookmarkEnd w:id="1661"/>
      <w:bookmarkEnd w:id="1662"/>
      <w:bookmarkEnd w:id="1663"/>
      <w:bookmarkEnd w:id="1664"/>
    </w:p>
    <w:p w14:paraId="437F20C0">
      <w:pPr>
        <w:spacing w:line="360" w:lineRule="auto"/>
        <w:ind w:firstLine="420" w:firstLineChars="200"/>
        <w:rPr>
          <w:rFonts w:ascii="宋体" w:cs="Arial"/>
          <w:color w:val="auto"/>
          <w:highlight w:val="none"/>
        </w:rPr>
      </w:pPr>
      <w:r>
        <w:rPr>
          <w:rFonts w:ascii="宋体" w:hAnsi="宋体"/>
          <w:color w:val="auto"/>
          <w:szCs w:val="21"/>
          <w:highlight w:val="none"/>
        </w:rPr>
        <w:t xml:space="preserve">5.1.2 </w:t>
      </w:r>
      <w:r>
        <w:rPr>
          <w:rFonts w:hint="eastAsia" w:ascii="宋体" w:hAnsi="宋体"/>
          <w:color w:val="auto"/>
          <w:szCs w:val="21"/>
          <w:highlight w:val="none"/>
        </w:rPr>
        <w:t>承包人将由其提供的材料和工程设备的供货人和品种、规格、数量及供货时间等报送监理人审批的期限：</w:t>
      </w:r>
      <w:r>
        <w:rPr>
          <w:rFonts w:ascii="宋体" w:hAnsi="宋体"/>
          <w:color w:val="auto"/>
          <w:szCs w:val="21"/>
          <w:highlight w:val="none"/>
          <w:u w:val="single"/>
        </w:rPr>
        <w:t xml:space="preserve">  </w:t>
      </w:r>
      <w:r>
        <w:rPr>
          <w:rFonts w:hint="eastAsia" w:ascii="宋体" w:hAnsi="宋体"/>
          <w:color w:val="auto"/>
          <w:szCs w:val="21"/>
          <w:highlight w:val="none"/>
          <w:u w:val="single"/>
        </w:rPr>
        <w:t>承包人应当在相应材料和工程设备进场前</w:t>
      </w:r>
      <w:r>
        <w:rPr>
          <w:rFonts w:hint="eastAsia" w:hAnsi="宋体"/>
          <w:color w:val="auto"/>
          <w:szCs w:val="21"/>
          <w:highlight w:val="none"/>
          <w:u w:val="single"/>
        </w:rPr>
        <w:t>三个工作日将相应材料和工程设备的供货人及采购品种、规格、数量和供货时间等报送监理人审批</w:t>
      </w:r>
      <w:r>
        <w:rPr>
          <w:rFonts w:hint="eastAsia" w:hAnsi="宋体"/>
          <w:color w:val="auto"/>
          <w:szCs w:val="21"/>
          <w:highlight w:val="none"/>
          <w:u w:val="single"/>
          <w:lang w:eastAsia="zh-CN"/>
        </w:rPr>
        <w:t>，监理人应当在</w:t>
      </w:r>
      <w:r>
        <w:rPr>
          <w:rFonts w:hint="eastAsia" w:hAnsi="宋体"/>
          <w:color w:val="auto"/>
          <w:szCs w:val="21"/>
          <w:highlight w:val="none"/>
          <w:u w:val="single"/>
          <w:lang w:val="en-US" w:eastAsia="zh-CN"/>
        </w:rPr>
        <w:t>收到承包人审批申请</w:t>
      </w:r>
      <w:r>
        <w:rPr>
          <w:rFonts w:hint="eastAsia" w:hAnsi="宋体"/>
          <w:color w:val="auto"/>
          <w:szCs w:val="21"/>
          <w:highlight w:val="none"/>
          <w:u w:val="single"/>
          <w:lang w:eastAsia="zh-CN"/>
        </w:rPr>
        <w:t>7天内提出审批意见。未经监理人和发包人审批确定的该等材料和工程设备不得进入现场，否则发包人有权不支付相应的材料和工程设备价款。</w:t>
      </w:r>
    </w:p>
    <w:p w14:paraId="018A4676">
      <w:pPr>
        <w:keepNext/>
        <w:keepLines/>
        <w:spacing w:before="120" w:beforeLines="50" w:after="120" w:afterLines="50" w:line="360" w:lineRule="auto"/>
        <w:outlineLvl w:val="1"/>
        <w:rPr>
          <w:rFonts w:ascii="宋体" w:hAnsi="宋体" w:cs="宋体"/>
          <w:color w:val="auto"/>
          <w:sz w:val="28"/>
          <w:szCs w:val="20"/>
          <w:highlight w:val="none"/>
        </w:rPr>
      </w:pPr>
      <w:bookmarkStart w:id="1665" w:name="_Toc490331683"/>
      <w:bookmarkStart w:id="1666" w:name="_Toc485323166"/>
      <w:bookmarkStart w:id="1667" w:name="_Toc486580392"/>
      <w:bookmarkStart w:id="1668" w:name="_Toc1892"/>
      <w:bookmarkStart w:id="1669" w:name="_Toc497214061"/>
      <w:bookmarkStart w:id="1670" w:name="_Toc26980"/>
      <w:bookmarkStart w:id="1671" w:name="_Toc489280198"/>
      <w:r>
        <w:rPr>
          <w:rFonts w:ascii="宋体" w:hAnsi="宋体" w:cs="宋体"/>
          <w:color w:val="auto"/>
          <w:sz w:val="28"/>
          <w:szCs w:val="20"/>
          <w:highlight w:val="none"/>
        </w:rPr>
        <w:t>6.</w:t>
      </w:r>
      <w:r>
        <w:rPr>
          <w:rFonts w:hint="eastAsia" w:ascii="宋体" w:hAnsi="宋体" w:cs="宋体"/>
          <w:color w:val="auto"/>
          <w:sz w:val="28"/>
          <w:szCs w:val="20"/>
          <w:highlight w:val="none"/>
        </w:rPr>
        <w:t>施工设备和临时设施</w:t>
      </w:r>
      <w:bookmarkEnd w:id="1665"/>
      <w:bookmarkEnd w:id="1666"/>
      <w:bookmarkEnd w:id="1667"/>
      <w:bookmarkEnd w:id="1668"/>
      <w:bookmarkEnd w:id="1669"/>
      <w:bookmarkEnd w:id="1670"/>
      <w:bookmarkEnd w:id="1671"/>
    </w:p>
    <w:p w14:paraId="500B625F">
      <w:pPr>
        <w:keepNext/>
        <w:keepLines/>
        <w:spacing w:before="120" w:beforeLines="50" w:after="120" w:afterLines="50" w:line="360" w:lineRule="auto"/>
        <w:outlineLvl w:val="2"/>
        <w:rPr>
          <w:rFonts w:ascii="宋体" w:hAnsi="宋体"/>
          <w:color w:val="auto"/>
          <w:kern w:val="0"/>
          <w:sz w:val="24"/>
          <w:szCs w:val="20"/>
          <w:highlight w:val="none"/>
        </w:rPr>
      </w:pPr>
      <w:bookmarkStart w:id="1672" w:name="_Toc25798"/>
      <w:bookmarkStart w:id="1673" w:name="_Toc489280199"/>
      <w:bookmarkStart w:id="1674" w:name="_Toc497214062"/>
      <w:bookmarkStart w:id="1675" w:name="_Toc485323167"/>
      <w:bookmarkStart w:id="1676" w:name="_Toc486580393"/>
      <w:bookmarkStart w:id="1677" w:name="_Toc15784"/>
      <w:bookmarkStart w:id="1678" w:name="_Toc490331684"/>
      <w:r>
        <w:rPr>
          <w:rFonts w:ascii="宋体" w:hAnsi="宋体"/>
          <w:color w:val="auto"/>
          <w:kern w:val="0"/>
          <w:sz w:val="24"/>
          <w:szCs w:val="20"/>
          <w:highlight w:val="none"/>
        </w:rPr>
        <w:t xml:space="preserve">6.1  </w:t>
      </w:r>
      <w:r>
        <w:rPr>
          <w:rFonts w:hint="eastAsia" w:ascii="宋体" w:hAnsi="宋体"/>
          <w:color w:val="auto"/>
          <w:kern w:val="0"/>
          <w:sz w:val="24"/>
          <w:szCs w:val="20"/>
          <w:highlight w:val="none"/>
        </w:rPr>
        <w:t>承包人提供的施工设备和临时设施</w:t>
      </w:r>
      <w:bookmarkEnd w:id="1672"/>
      <w:bookmarkEnd w:id="1673"/>
      <w:bookmarkEnd w:id="1674"/>
      <w:bookmarkEnd w:id="1675"/>
      <w:bookmarkEnd w:id="1676"/>
      <w:bookmarkEnd w:id="1677"/>
      <w:bookmarkEnd w:id="1678"/>
    </w:p>
    <w:p w14:paraId="7D0E18AB">
      <w:pPr>
        <w:spacing w:line="360" w:lineRule="auto"/>
        <w:ind w:firstLine="420" w:firstLineChars="200"/>
        <w:rPr>
          <w:rFonts w:ascii="宋体"/>
          <w:color w:val="auto"/>
          <w:szCs w:val="21"/>
          <w:highlight w:val="none"/>
        </w:rPr>
      </w:pPr>
      <w:r>
        <w:rPr>
          <w:rFonts w:ascii="宋体" w:hAnsi="宋体"/>
          <w:color w:val="auto"/>
          <w:szCs w:val="21"/>
          <w:highlight w:val="none"/>
        </w:rPr>
        <w:t xml:space="preserve">6.1.2  </w:t>
      </w:r>
      <w:r>
        <w:rPr>
          <w:rFonts w:hint="eastAsia" w:ascii="宋体" w:hAnsi="宋体"/>
          <w:color w:val="auto"/>
          <w:szCs w:val="21"/>
          <w:highlight w:val="none"/>
        </w:rPr>
        <w:t>承包人承担自行修建临时设施费用的范围：</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4827CC2E">
      <w:pPr>
        <w:spacing w:line="360" w:lineRule="auto"/>
        <w:ind w:firstLine="420" w:firstLineChars="200"/>
        <w:rPr>
          <w:rFonts w:ascii="宋体"/>
          <w:color w:val="auto"/>
          <w:highlight w:val="none"/>
          <w:u w:val="single"/>
        </w:rPr>
      </w:pPr>
      <w:r>
        <w:rPr>
          <w:rFonts w:hint="eastAsia" w:ascii="宋体" w:hAnsi="宋体"/>
          <w:color w:val="auto"/>
          <w:highlight w:val="none"/>
        </w:rPr>
        <w:t>发包人办理申请手续并承担相关费用的临时占地：</w:t>
      </w:r>
      <w:r>
        <w:rPr>
          <w:rFonts w:ascii="宋体" w:hAnsi="宋体"/>
          <w:color w:val="auto"/>
          <w:highlight w:val="none"/>
          <w:u w:val="single"/>
        </w:rPr>
        <w:t xml:space="preserve">   /                           </w:t>
      </w:r>
    </w:p>
    <w:p w14:paraId="0668B3A0">
      <w:pPr>
        <w:keepNext/>
        <w:keepLines/>
        <w:spacing w:before="120" w:beforeLines="50" w:after="120" w:afterLines="50" w:line="360" w:lineRule="auto"/>
        <w:outlineLvl w:val="2"/>
        <w:rPr>
          <w:rFonts w:ascii="宋体" w:hAnsi="宋体"/>
          <w:color w:val="auto"/>
          <w:kern w:val="0"/>
          <w:sz w:val="24"/>
          <w:szCs w:val="20"/>
          <w:highlight w:val="none"/>
        </w:rPr>
      </w:pPr>
      <w:bookmarkStart w:id="1679" w:name="_Toc485323168"/>
      <w:bookmarkStart w:id="1680" w:name="_Toc12553"/>
      <w:bookmarkStart w:id="1681" w:name="_Toc486580394"/>
      <w:bookmarkStart w:id="1682" w:name="_Toc497214063"/>
      <w:bookmarkStart w:id="1683" w:name="_Toc489280200"/>
      <w:bookmarkStart w:id="1684" w:name="_Toc490331685"/>
      <w:bookmarkStart w:id="1685" w:name="_Toc195"/>
      <w:r>
        <w:rPr>
          <w:rFonts w:ascii="宋体" w:hAnsi="宋体"/>
          <w:color w:val="auto"/>
          <w:kern w:val="0"/>
          <w:sz w:val="24"/>
          <w:szCs w:val="20"/>
          <w:highlight w:val="none"/>
        </w:rPr>
        <w:t xml:space="preserve">6.2  </w:t>
      </w:r>
      <w:r>
        <w:rPr>
          <w:rFonts w:hint="eastAsia" w:ascii="宋体" w:hAnsi="宋体"/>
          <w:color w:val="auto"/>
          <w:kern w:val="0"/>
          <w:sz w:val="24"/>
          <w:szCs w:val="20"/>
          <w:highlight w:val="none"/>
        </w:rPr>
        <w:t>发包人提供的施工设备和临时设施</w:t>
      </w:r>
      <w:bookmarkEnd w:id="1679"/>
      <w:bookmarkEnd w:id="1680"/>
      <w:bookmarkEnd w:id="1681"/>
      <w:bookmarkEnd w:id="1682"/>
      <w:bookmarkEnd w:id="1683"/>
      <w:bookmarkEnd w:id="1684"/>
      <w:bookmarkEnd w:id="1685"/>
    </w:p>
    <w:p w14:paraId="6253684E">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发包人提供的施工设备和临时设施：</w:t>
      </w:r>
      <w:r>
        <w:rPr>
          <w:rFonts w:ascii="宋体" w:hAnsi="宋体"/>
          <w:color w:val="auto"/>
          <w:szCs w:val="21"/>
          <w:highlight w:val="none"/>
          <w:u w:val="single"/>
        </w:rPr>
        <w:t xml:space="preserve">      /                                  </w:t>
      </w:r>
    </w:p>
    <w:p w14:paraId="7EE73124">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发包人提供的施工设备和临时设施的运行、维护、拆除、清运费用的承担人：</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4084AF4E">
      <w:pPr>
        <w:keepNext/>
        <w:keepLines/>
        <w:spacing w:before="120" w:beforeLines="50" w:after="120" w:afterLines="50" w:line="360" w:lineRule="auto"/>
        <w:outlineLvl w:val="1"/>
        <w:rPr>
          <w:rFonts w:ascii="宋体" w:hAnsi="宋体" w:cs="宋体"/>
          <w:color w:val="auto"/>
          <w:sz w:val="28"/>
          <w:szCs w:val="20"/>
          <w:highlight w:val="none"/>
        </w:rPr>
      </w:pPr>
      <w:bookmarkStart w:id="1686" w:name="_Toc22322"/>
      <w:bookmarkStart w:id="1687" w:name="_Toc11895"/>
      <w:bookmarkStart w:id="1688" w:name="_Toc497214064"/>
      <w:bookmarkStart w:id="1689" w:name="_Toc485323169"/>
      <w:bookmarkStart w:id="1690" w:name="_Toc490331686"/>
      <w:bookmarkStart w:id="1691" w:name="_Toc486580395"/>
      <w:bookmarkStart w:id="1692" w:name="_Toc489280201"/>
      <w:r>
        <w:rPr>
          <w:rFonts w:ascii="宋体" w:hAnsi="宋体" w:cs="宋体"/>
          <w:color w:val="auto"/>
          <w:sz w:val="28"/>
          <w:szCs w:val="20"/>
          <w:highlight w:val="none"/>
        </w:rPr>
        <w:t>7.</w:t>
      </w:r>
      <w:r>
        <w:rPr>
          <w:rFonts w:hint="eastAsia" w:ascii="宋体" w:hAnsi="宋体" w:cs="宋体"/>
          <w:color w:val="auto"/>
          <w:sz w:val="28"/>
          <w:szCs w:val="20"/>
          <w:highlight w:val="none"/>
        </w:rPr>
        <w:t>交通运输</w:t>
      </w:r>
      <w:bookmarkEnd w:id="1686"/>
      <w:bookmarkEnd w:id="1687"/>
      <w:bookmarkEnd w:id="1688"/>
      <w:bookmarkEnd w:id="1689"/>
      <w:bookmarkEnd w:id="1690"/>
      <w:bookmarkEnd w:id="1691"/>
      <w:bookmarkEnd w:id="1692"/>
    </w:p>
    <w:p w14:paraId="16E5EACF">
      <w:pPr>
        <w:keepNext/>
        <w:keepLines/>
        <w:spacing w:before="120" w:beforeLines="50" w:after="120" w:afterLines="50" w:line="360" w:lineRule="auto"/>
        <w:outlineLvl w:val="2"/>
        <w:rPr>
          <w:rFonts w:ascii="宋体" w:hAnsi="宋体"/>
          <w:color w:val="auto"/>
          <w:kern w:val="0"/>
          <w:sz w:val="24"/>
          <w:szCs w:val="20"/>
          <w:highlight w:val="none"/>
        </w:rPr>
      </w:pPr>
      <w:bookmarkStart w:id="1693" w:name="_Toc489280202"/>
      <w:bookmarkStart w:id="1694" w:name="_Toc30524"/>
      <w:bookmarkStart w:id="1695" w:name="_Toc16471"/>
      <w:bookmarkStart w:id="1696" w:name="_Toc486580396"/>
      <w:bookmarkStart w:id="1697" w:name="_Toc485323170"/>
      <w:bookmarkStart w:id="1698" w:name="_Toc490331687"/>
      <w:bookmarkStart w:id="1699" w:name="_Toc497214065"/>
      <w:r>
        <w:rPr>
          <w:rFonts w:ascii="宋体" w:hAnsi="宋体"/>
          <w:color w:val="auto"/>
          <w:kern w:val="0"/>
          <w:sz w:val="24"/>
          <w:szCs w:val="20"/>
          <w:highlight w:val="none"/>
        </w:rPr>
        <w:t xml:space="preserve">7.1  </w:t>
      </w:r>
      <w:r>
        <w:rPr>
          <w:rFonts w:hint="eastAsia" w:ascii="宋体" w:hAnsi="宋体"/>
          <w:color w:val="auto"/>
          <w:kern w:val="0"/>
          <w:sz w:val="24"/>
          <w:szCs w:val="20"/>
          <w:highlight w:val="none"/>
        </w:rPr>
        <w:t>道路通行权和场外设施</w:t>
      </w:r>
      <w:bookmarkEnd w:id="1693"/>
      <w:bookmarkEnd w:id="1694"/>
      <w:bookmarkEnd w:id="1695"/>
      <w:bookmarkEnd w:id="1696"/>
      <w:bookmarkEnd w:id="1697"/>
      <w:bookmarkEnd w:id="1698"/>
      <w:bookmarkEnd w:id="1699"/>
    </w:p>
    <w:p w14:paraId="43361B69">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负责取得道路通行权、场外设施修建权的办理人</w:t>
      </w:r>
      <w:r>
        <w:rPr>
          <w:rFonts w:ascii="宋体" w:hAnsi="宋体"/>
          <w:color w:val="auto"/>
          <w:szCs w:val="21"/>
          <w:highlight w:val="none"/>
        </w:rPr>
        <w:t>:</w:t>
      </w:r>
      <w:r>
        <w:rPr>
          <w:rFonts w:ascii="宋体" w:hAnsi="宋体"/>
          <w:color w:val="auto"/>
          <w:szCs w:val="21"/>
          <w:highlight w:val="none"/>
          <w:u w:val="single"/>
        </w:rPr>
        <w:t xml:space="preserve">   </w:t>
      </w:r>
      <w:r>
        <w:rPr>
          <w:rFonts w:hint="eastAsia" w:hAnsi="宋体"/>
          <w:color w:val="auto"/>
          <w:szCs w:val="21"/>
          <w:highlight w:val="none"/>
          <w:u w:val="single"/>
        </w:rPr>
        <w:t xml:space="preserve">承包人 </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，其相关费用由发包人承担</w:t>
      </w:r>
      <w:r>
        <w:rPr>
          <w:rFonts w:hint="eastAsia" w:ascii="宋体" w:hAnsi="宋体"/>
          <w:color w:val="auto"/>
          <w:szCs w:val="21"/>
          <w:highlight w:val="none"/>
          <w:u w:val="none"/>
          <w:lang w:eastAsia="zh-CN"/>
        </w:rPr>
        <w:t>，</w:t>
      </w:r>
      <w:r>
        <w:rPr>
          <w:rFonts w:hint="eastAsia" w:ascii="宋体" w:hAnsi="宋体"/>
          <w:color w:val="auto"/>
          <w:szCs w:val="21"/>
          <w:highlight w:val="none"/>
          <w:u w:val="none"/>
          <w:lang w:val="en-US" w:eastAsia="zh-CN"/>
        </w:rPr>
        <w:t>此费用已包含在</w:t>
      </w:r>
      <w:r>
        <w:rPr>
          <w:rFonts w:hint="eastAsia" w:ascii="宋体" w:hAnsi="宋体"/>
          <w:color w:val="auto"/>
          <w:szCs w:val="21"/>
          <w:highlight w:val="none"/>
          <w:u w:val="none"/>
        </w:rPr>
        <w:t>合同价款</w:t>
      </w:r>
      <w:r>
        <w:rPr>
          <w:rFonts w:hint="eastAsia" w:ascii="宋体" w:hAnsi="宋体"/>
          <w:color w:val="auto"/>
          <w:szCs w:val="21"/>
          <w:highlight w:val="none"/>
          <w:u w:val="none"/>
          <w:lang w:val="en-US" w:eastAsia="zh-CN"/>
        </w:rPr>
        <w:t>中，发包人不再另行支付</w:t>
      </w:r>
      <w:r>
        <w:rPr>
          <w:rFonts w:hint="eastAsia" w:ascii="宋体" w:hAnsi="宋体"/>
          <w:color w:val="auto"/>
          <w:szCs w:val="21"/>
          <w:highlight w:val="none"/>
          <w:u w:val="none"/>
        </w:rPr>
        <w:t>。</w:t>
      </w:r>
      <w:r>
        <w:rPr>
          <w:rFonts w:ascii="宋体" w:hAnsi="宋体"/>
          <w:color w:val="auto"/>
          <w:szCs w:val="21"/>
          <w:highlight w:val="none"/>
        </w:rPr>
        <w:t xml:space="preserve">                       </w:t>
      </w:r>
    </w:p>
    <w:p w14:paraId="4CAA53BB">
      <w:pPr>
        <w:keepNext/>
        <w:keepLines/>
        <w:spacing w:before="120" w:beforeLines="50" w:after="120" w:afterLines="50" w:line="360" w:lineRule="auto"/>
        <w:outlineLvl w:val="2"/>
        <w:rPr>
          <w:rFonts w:ascii="宋体" w:hAnsi="宋体"/>
          <w:color w:val="auto"/>
          <w:kern w:val="0"/>
          <w:sz w:val="24"/>
          <w:szCs w:val="20"/>
          <w:highlight w:val="none"/>
        </w:rPr>
      </w:pPr>
      <w:bookmarkStart w:id="1700" w:name="_Toc486580397"/>
      <w:bookmarkStart w:id="1701" w:name="_Toc497214066"/>
      <w:bookmarkStart w:id="1702" w:name="_Toc485323171"/>
      <w:bookmarkStart w:id="1703" w:name="_Toc7296"/>
      <w:bookmarkStart w:id="1704" w:name="_Toc489280203"/>
      <w:bookmarkStart w:id="1705" w:name="_Toc490331688"/>
      <w:bookmarkStart w:id="1706" w:name="_Toc25269"/>
      <w:r>
        <w:rPr>
          <w:rFonts w:ascii="宋体" w:hAnsi="宋体"/>
          <w:color w:val="auto"/>
          <w:kern w:val="0"/>
          <w:sz w:val="24"/>
          <w:szCs w:val="20"/>
          <w:highlight w:val="none"/>
        </w:rPr>
        <w:t xml:space="preserve">7.2  </w:t>
      </w:r>
      <w:r>
        <w:rPr>
          <w:rFonts w:hint="eastAsia" w:ascii="宋体" w:hAnsi="宋体"/>
          <w:color w:val="auto"/>
          <w:kern w:val="0"/>
          <w:sz w:val="24"/>
          <w:szCs w:val="20"/>
          <w:highlight w:val="none"/>
        </w:rPr>
        <w:t>场内施工道路</w:t>
      </w:r>
      <w:bookmarkEnd w:id="1700"/>
      <w:bookmarkEnd w:id="1701"/>
      <w:bookmarkEnd w:id="1702"/>
      <w:bookmarkEnd w:id="1703"/>
      <w:bookmarkEnd w:id="1704"/>
      <w:bookmarkEnd w:id="1705"/>
      <w:bookmarkEnd w:id="1706"/>
    </w:p>
    <w:p w14:paraId="58CD096B">
      <w:pPr>
        <w:spacing w:line="360" w:lineRule="auto"/>
        <w:ind w:firstLine="420" w:firstLineChars="200"/>
        <w:rPr>
          <w:rFonts w:ascii="宋体"/>
          <w:color w:val="auto"/>
          <w:szCs w:val="21"/>
          <w:highlight w:val="none"/>
        </w:rPr>
      </w:pPr>
      <w:r>
        <w:rPr>
          <w:rFonts w:ascii="宋体" w:hAnsi="宋体"/>
          <w:color w:val="auto"/>
          <w:szCs w:val="21"/>
          <w:highlight w:val="none"/>
        </w:rPr>
        <w:t xml:space="preserve">7.2.1  </w:t>
      </w:r>
      <w:r>
        <w:rPr>
          <w:rFonts w:hint="eastAsia" w:ascii="宋体" w:hAnsi="宋体"/>
          <w:color w:val="auto"/>
          <w:szCs w:val="21"/>
          <w:highlight w:val="none"/>
        </w:rPr>
        <w:t>施工所需的场内临时道路和交通设施的修建、维护、养护和管理人：</w:t>
      </w:r>
      <w:r>
        <w:rPr>
          <w:rFonts w:hint="eastAsia" w:hAnsi="宋体"/>
          <w:color w:val="auto"/>
          <w:szCs w:val="21"/>
          <w:highlight w:val="none"/>
          <w:u w:val="single"/>
        </w:rPr>
        <w:t>承包人</w:t>
      </w:r>
      <w:r>
        <w:rPr>
          <w:rFonts w:hint="eastAsia" w:ascii="宋体" w:hAnsi="宋体"/>
          <w:color w:val="auto"/>
          <w:szCs w:val="21"/>
          <w:highlight w:val="none"/>
        </w:rPr>
        <w:t>，相关费用由</w:t>
      </w:r>
      <w:r>
        <w:rPr>
          <w:rFonts w:ascii="宋体" w:hAnsi="宋体"/>
          <w:color w:val="auto"/>
          <w:szCs w:val="21"/>
          <w:highlight w:val="none"/>
          <w:u w:val="single"/>
        </w:rPr>
        <w:t xml:space="preserve">  </w:t>
      </w:r>
      <w:r>
        <w:rPr>
          <w:rFonts w:hint="eastAsia" w:hAnsi="宋体"/>
          <w:color w:val="auto"/>
          <w:szCs w:val="21"/>
          <w:highlight w:val="none"/>
          <w:u w:val="single"/>
        </w:rPr>
        <w:t>承包人</w:t>
      </w:r>
      <w:r>
        <w:rPr>
          <w:rFonts w:ascii="宋体" w:hAnsi="宋体"/>
          <w:color w:val="auto"/>
          <w:szCs w:val="21"/>
          <w:highlight w:val="none"/>
          <w:u w:val="single"/>
        </w:rPr>
        <w:t xml:space="preserve">    </w:t>
      </w:r>
      <w:r>
        <w:rPr>
          <w:rFonts w:hint="eastAsia" w:ascii="宋体" w:hAnsi="宋体"/>
          <w:color w:val="auto"/>
          <w:szCs w:val="21"/>
          <w:highlight w:val="none"/>
        </w:rPr>
        <w:t>承担。</w:t>
      </w:r>
    </w:p>
    <w:p w14:paraId="7596E2D3">
      <w:pPr>
        <w:keepNext/>
        <w:keepLines/>
        <w:spacing w:before="120" w:beforeLines="50" w:after="120" w:afterLines="50" w:line="360" w:lineRule="auto"/>
        <w:outlineLvl w:val="2"/>
        <w:rPr>
          <w:rFonts w:ascii="宋体" w:hAnsi="宋体"/>
          <w:color w:val="auto"/>
          <w:kern w:val="0"/>
          <w:sz w:val="24"/>
          <w:szCs w:val="20"/>
          <w:highlight w:val="none"/>
        </w:rPr>
      </w:pPr>
      <w:bookmarkStart w:id="1707" w:name="_Toc490331689"/>
      <w:bookmarkStart w:id="1708" w:name="_Toc27242"/>
      <w:bookmarkStart w:id="1709" w:name="_Toc486580398"/>
      <w:bookmarkStart w:id="1710" w:name="_Toc485323172"/>
      <w:bookmarkStart w:id="1711" w:name="_Toc489280204"/>
      <w:bookmarkStart w:id="1712" w:name="_Toc29731"/>
      <w:bookmarkStart w:id="1713" w:name="_Toc497214067"/>
      <w:r>
        <w:rPr>
          <w:rFonts w:ascii="宋体" w:hAnsi="宋体"/>
          <w:color w:val="auto"/>
          <w:kern w:val="0"/>
          <w:sz w:val="24"/>
          <w:szCs w:val="20"/>
          <w:highlight w:val="none"/>
        </w:rPr>
        <w:t xml:space="preserve">7.4  </w:t>
      </w:r>
      <w:r>
        <w:rPr>
          <w:rFonts w:hint="eastAsia" w:ascii="宋体" w:hAnsi="宋体"/>
          <w:color w:val="auto"/>
          <w:kern w:val="0"/>
          <w:sz w:val="24"/>
          <w:szCs w:val="20"/>
          <w:highlight w:val="none"/>
        </w:rPr>
        <w:t>超大件和超重件的运输</w:t>
      </w:r>
      <w:bookmarkEnd w:id="1707"/>
      <w:bookmarkEnd w:id="1708"/>
      <w:bookmarkEnd w:id="1709"/>
      <w:bookmarkEnd w:id="1710"/>
      <w:bookmarkEnd w:id="1711"/>
      <w:bookmarkEnd w:id="1712"/>
      <w:bookmarkEnd w:id="1713"/>
    </w:p>
    <w:p w14:paraId="1901F7CA">
      <w:pPr>
        <w:spacing w:line="360" w:lineRule="auto"/>
        <w:ind w:firstLine="420" w:firstLineChars="200"/>
        <w:rPr>
          <w:rFonts w:ascii="宋体"/>
          <w:color w:val="auto"/>
          <w:szCs w:val="21"/>
          <w:highlight w:val="none"/>
        </w:rPr>
      </w:pPr>
      <w:r>
        <w:rPr>
          <w:rFonts w:hint="eastAsia" w:ascii="宋体" w:hAnsi="宋体"/>
          <w:color w:val="auto"/>
          <w:szCs w:val="21"/>
          <w:highlight w:val="none"/>
        </w:rPr>
        <w:t>运输超大件或超重件所需的道路和桥梁临时加固改造等费用的承担人：</w:t>
      </w:r>
      <w:r>
        <w:rPr>
          <w:rFonts w:ascii="宋体" w:hAnsi="宋体"/>
          <w:color w:val="auto"/>
          <w:szCs w:val="21"/>
          <w:highlight w:val="none"/>
          <w:u w:val="single"/>
        </w:rPr>
        <w:t xml:space="preserve">  </w:t>
      </w:r>
      <w:r>
        <w:rPr>
          <w:rFonts w:hint="eastAsia" w:hAnsi="宋体"/>
          <w:color w:val="auto"/>
          <w:szCs w:val="21"/>
          <w:highlight w:val="none"/>
          <w:u w:val="single"/>
        </w:rPr>
        <w:t>承包人</w:t>
      </w:r>
      <w:r>
        <w:rPr>
          <w:rFonts w:ascii="宋体" w:hAnsi="宋体"/>
          <w:color w:val="auto"/>
          <w:szCs w:val="21"/>
          <w:highlight w:val="none"/>
          <w:u w:val="single"/>
        </w:rPr>
        <w:t xml:space="preserve">    </w:t>
      </w:r>
    </w:p>
    <w:p w14:paraId="529DECC7">
      <w:pPr>
        <w:keepNext/>
        <w:keepLines/>
        <w:spacing w:before="120" w:beforeLines="50" w:after="120" w:afterLines="50" w:line="360" w:lineRule="auto"/>
        <w:outlineLvl w:val="1"/>
        <w:rPr>
          <w:rFonts w:ascii="宋体" w:hAnsi="宋体" w:cs="宋体"/>
          <w:color w:val="auto"/>
          <w:sz w:val="28"/>
          <w:szCs w:val="20"/>
          <w:highlight w:val="none"/>
        </w:rPr>
      </w:pPr>
      <w:bookmarkStart w:id="1714" w:name="_Toc489280205"/>
      <w:bookmarkStart w:id="1715" w:name="_Toc490331690"/>
      <w:bookmarkStart w:id="1716" w:name="_Toc485323173"/>
      <w:bookmarkStart w:id="1717" w:name="_Toc7656"/>
      <w:bookmarkStart w:id="1718" w:name="_Toc486580399"/>
      <w:bookmarkStart w:id="1719" w:name="_Toc497214068"/>
      <w:bookmarkStart w:id="1720" w:name="_Toc5308"/>
      <w:r>
        <w:rPr>
          <w:rFonts w:ascii="宋体" w:hAnsi="宋体" w:cs="宋体"/>
          <w:color w:val="auto"/>
          <w:sz w:val="28"/>
          <w:szCs w:val="20"/>
          <w:highlight w:val="none"/>
        </w:rPr>
        <w:t>8.</w:t>
      </w:r>
      <w:r>
        <w:rPr>
          <w:rFonts w:hint="eastAsia" w:ascii="宋体" w:hAnsi="宋体" w:cs="宋体"/>
          <w:color w:val="auto"/>
          <w:sz w:val="28"/>
          <w:szCs w:val="20"/>
          <w:highlight w:val="none"/>
        </w:rPr>
        <w:t>测量放线</w:t>
      </w:r>
      <w:bookmarkEnd w:id="1714"/>
      <w:bookmarkEnd w:id="1715"/>
      <w:bookmarkEnd w:id="1716"/>
      <w:bookmarkEnd w:id="1717"/>
      <w:bookmarkEnd w:id="1718"/>
      <w:bookmarkEnd w:id="1719"/>
      <w:bookmarkEnd w:id="1720"/>
    </w:p>
    <w:p w14:paraId="41CEB14A">
      <w:pPr>
        <w:keepNext/>
        <w:keepLines/>
        <w:spacing w:before="120" w:beforeLines="50" w:after="120" w:afterLines="50" w:line="360" w:lineRule="auto"/>
        <w:outlineLvl w:val="2"/>
        <w:rPr>
          <w:rFonts w:ascii="宋体" w:hAnsi="宋体"/>
          <w:color w:val="auto"/>
          <w:kern w:val="0"/>
          <w:sz w:val="24"/>
          <w:szCs w:val="20"/>
          <w:highlight w:val="none"/>
        </w:rPr>
      </w:pPr>
      <w:bookmarkStart w:id="1721" w:name="_Toc489280206"/>
      <w:bookmarkStart w:id="1722" w:name="_Toc485323174"/>
      <w:bookmarkStart w:id="1723" w:name="_Toc7785"/>
      <w:bookmarkStart w:id="1724" w:name="_Toc486580400"/>
      <w:bookmarkStart w:id="1725" w:name="_Toc490331691"/>
      <w:bookmarkStart w:id="1726" w:name="_Toc756"/>
      <w:bookmarkStart w:id="1727" w:name="_Toc497214069"/>
      <w:r>
        <w:rPr>
          <w:rFonts w:ascii="宋体" w:hAnsi="宋体"/>
          <w:color w:val="auto"/>
          <w:kern w:val="0"/>
          <w:sz w:val="24"/>
          <w:szCs w:val="20"/>
          <w:highlight w:val="none"/>
        </w:rPr>
        <w:t xml:space="preserve">8.1  </w:t>
      </w:r>
      <w:r>
        <w:rPr>
          <w:rFonts w:hint="eastAsia" w:ascii="宋体" w:hAnsi="宋体"/>
          <w:color w:val="auto"/>
          <w:kern w:val="0"/>
          <w:sz w:val="24"/>
          <w:szCs w:val="20"/>
          <w:highlight w:val="none"/>
        </w:rPr>
        <w:t>施工控制网</w:t>
      </w:r>
      <w:bookmarkEnd w:id="1721"/>
      <w:bookmarkEnd w:id="1722"/>
      <w:bookmarkEnd w:id="1723"/>
      <w:bookmarkEnd w:id="1724"/>
      <w:bookmarkEnd w:id="1725"/>
      <w:bookmarkEnd w:id="1726"/>
      <w:bookmarkEnd w:id="1727"/>
    </w:p>
    <w:p w14:paraId="57C822F0">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8.1.1  </w:t>
      </w:r>
      <w:r>
        <w:rPr>
          <w:rFonts w:hint="eastAsia" w:ascii="宋体" w:hAnsi="宋体"/>
          <w:color w:val="auto"/>
          <w:szCs w:val="21"/>
          <w:highlight w:val="none"/>
        </w:rPr>
        <w:t>发包人通过监理人提供测量基准点、基准线和水准点及其书面资料的期限：</w:t>
      </w:r>
      <w:r>
        <w:rPr>
          <w:rFonts w:ascii="宋体" w:hAnsi="宋体"/>
          <w:color w:val="auto"/>
          <w:szCs w:val="21"/>
          <w:highlight w:val="none"/>
          <w:u w:val="single"/>
        </w:rPr>
        <w:t xml:space="preserve">  </w:t>
      </w:r>
    </w:p>
    <w:p w14:paraId="1969F1DB">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合同签订并完成备案后7天内</w:t>
      </w:r>
      <w:r>
        <w:rPr>
          <w:rFonts w:ascii="宋体" w:hAnsi="宋体"/>
          <w:color w:val="auto"/>
          <w:szCs w:val="21"/>
          <w:highlight w:val="none"/>
          <w:u w:val="single"/>
        </w:rPr>
        <w:t xml:space="preserve">                                                </w:t>
      </w:r>
    </w:p>
    <w:p w14:paraId="5D9980E5">
      <w:pPr>
        <w:spacing w:line="360" w:lineRule="auto"/>
        <w:ind w:firstLine="420" w:firstLineChars="200"/>
        <w:rPr>
          <w:rFonts w:ascii="宋体"/>
          <w:color w:val="auto"/>
          <w:szCs w:val="21"/>
          <w:highlight w:val="none"/>
        </w:rPr>
      </w:pPr>
      <w:r>
        <w:rPr>
          <w:rFonts w:ascii="宋体" w:hAnsi="宋体"/>
          <w:color w:val="auto"/>
          <w:szCs w:val="21"/>
          <w:highlight w:val="none"/>
        </w:rPr>
        <w:t xml:space="preserve">8.1.2  </w:t>
      </w:r>
      <w:r>
        <w:rPr>
          <w:rFonts w:hint="eastAsia" w:ascii="宋体" w:hAnsi="宋体"/>
          <w:color w:val="auto"/>
          <w:szCs w:val="21"/>
          <w:highlight w:val="none"/>
        </w:rPr>
        <w:t>承包人测设施工控制网的其他要求：</w:t>
      </w:r>
      <w:r>
        <w:rPr>
          <w:rFonts w:ascii="宋体" w:hAnsi="宋体"/>
          <w:color w:val="auto"/>
          <w:szCs w:val="21"/>
          <w:highlight w:val="none"/>
          <w:u w:val="single"/>
        </w:rPr>
        <w:t xml:space="preserve">  </w:t>
      </w:r>
      <w:r>
        <w:rPr>
          <w:rFonts w:hint="eastAsia" w:hAnsi="宋体"/>
          <w:color w:val="auto"/>
          <w:szCs w:val="21"/>
          <w:highlight w:val="none"/>
          <w:u w:val="single"/>
        </w:rPr>
        <w:t>由承包人依据监理人提供的测量基准点、基准线和水准点以及国家的工程测量技术规范和合同要求的工程精度，测设自己的施工控制网。</w:t>
      </w:r>
      <w:r>
        <w:rPr>
          <w:rFonts w:ascii="宋体" w:hAnsi="宋体"/>
          <w:color w:val="auto"/>
          <w:szCs w:val="21"/>
          <w:highlight w:val="none"/>
          <w:u w:val="single"/>
        </w:rPr>
        <w:t xml:space="preserve">   </w:t>
      </w:r>
    </w:p>
    <w:p w14:paraId="02DFDFA3">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承包人将施工控制网资料报送监理人审批的期限：</w:t>
      </w:r>
      <w:r>
        <w:rPr>
          <w:rFonts w:hint="eastAsia" w:hAnsi="宋体"/>
          <w:color w:val="auto"/>
          <w:highlight w:val="none"/>
          <w:u w:val="single"/>
        </w:rPr>
        <w:t>在收到监理人按照通用合同条款第</w:t>
      </w:r>
      <w:r>
        <w:rPr>
          <w:rFonts w:hAnsi="宋体"/>
          <w:color w:val="auto"/>
          <w:highlight w:val="none"/>
          <w:u w:val="single"/>
        </w:rPr>
        <w:t>11.1.1</w:t>
      </w:r>
      <w:r>
        <w:rPr>
          <w:rFonts w:hint="eastAsia" w:hAnsi="宋体"/>
          <w:color w:val="auto"/>
          <w:highlight w:val="none"/>
          <w:u w:val="single"/>
        </w:rPr>
        <w:t>项发出的开工通知后</w:t>
      </w:r>
      <w:r>
        <w:rPr>
          <w:rFonts w:hAnsi="宋体"/>
          <w:color w:val="auto"/>
          <w:highlight w:val="none"/>
          <w:u w:val="single"/>
        </w:rPr>
        <w:t>7</w:t>
      </w:r>
      <w:r>
        <w:rPr>
          <w:rFonts w:hint="eastAsia" w:hAnsi="宋体"/>
          <w:color w:val="auto"/>
          <w:highlight w:val="none"/>
          <w:u w:val="single"/>
        </w:rPr>
        <w:t>天内</w:t>
      </w:r>
      <w:r>
        <w:rPr>
          <w:rFonts w:hint="eastAsia" w:ascii="宋体" w:hAnsi="宋体"/>
          <w:color w:val="auto"/>
          <w:szCs w:val="21"/>
          <w:highlight w:val="none"/>
        </w:rPr>
        <w:t>。</w:t>
      </w:r>
    </w:p>
    <w:p w14:paraId="0A5A546D">
      <w:pPr>
        <w:keepNext/>
        <w:keepLines/>
        <w:spacing w:before="120" w:beforeLines="50" w:after="120" w:afterLines="50" w:line="360" w:lineRule="auto"/>
        <w:outlineLvl w:val="1"/>
        <w:rPr>
          <w:rFonts w:ascii="宋体" w:hAnsi="宋体" w:cs="宋体"/>
          <w:color w:val="auto"/>
          <w:sz w:val="28"/>
          <w:szCs w:val="20"/>
          <w:highlight w:val="none"/>
        </w:rPr>
      </w:pPr>
      <w:bookmarkStart w:id="1728" w:name="_Toc489280207"/>
      <w:bookmarkStart w:id="1729" w:name="_Toc7215"/>
      <w:bookmarkStart w:id="1730" w:name="_Toc490331692"/>
      <w:bookmarkStart w:id="1731" w:name="_Toc486580401"/>
      <w:bookmarkStart w:id="1732" w:name="_Toc497214070"/>
      <w:bookmarkStart w:id="1733" w:name="_Toc13291"/>
      <w:bookmarkStart w:id="1734" w:name="_Toc485323175"/>
      <w:r>
        <w:rPr>
          <w:rFonts w:ascii="宋体" w:hAnsi="宋体" w:cs="宋体"/>
          <w:color w:val="auto"/>
          <w:sz w:val="28"/>
          <w:szCs w:val="20"/>
          <w:highlight w:val="none"/>
        </w:rPr>
        <w:t>9.</w:t>
      </w:r>
      <w:r>
        <w:rPr>
          <w:rFonts w:hint="eastAsia" w:ascii="宋体" w:hAnsi="宋体" w:cs="宋体"/>
          <w:color w:val="auto"/>
          <w:sz w:val="28"/>
          <w:szCs w:val="20"/>
          <w:highlight w:val="none"/>
        </w:rPr>
        <w:t>施工安全、治安保卫和环境保护</w:t>
      </w:r>
      <w:bookmarkEnd w:id="1728"/>
      <w:bookmarkEnd w:id="1729"/>
      <w:bookmarkEnd w:id="1730"/>
      <w:bookmarkEnd w:id="1731"/>
      <w:bookmarkEnd w:id="1732"/>
      <w:bookmarkEnd w:id="1733"/>
      <w:bookmarkEnd w:id="1734"/>
    </w:p>
    <w:p w14:paraId="28317576">
      <w:pPr>
        <w:keepNext/>
        <w:keepLines/>
        <w:spacing w:before="120" w:beforeLines="50" w:after="120" w:afterLines="50" w:line="360" w:lineRule="auto"/>
        <w:outlineLvl w:val="2"/>
        <w:rPr>
          <w:rFonts w:ascii="宋体" w:hAnsi="宋体"/>
          <w:color w:val="auto"/>
          <w:kern w:val="0"/>
          <w:sz w:val="24"/>
          <w:szCs w:val="20"/>
          <w:highlight w:val="none"/>
        </w:rPr>
      </w:pPr>
      <w:bookmarkStart w:id="1735" w:name="_Toc486580402"/>
      <w:bookmarkStart w:id="1736" w:name="_Toc26885"/>
      <w:bookmarkStart w:id="1737" w:name="_Toc485323176"/>
      <w:bookmarkStart w:id="1738" w:name="_Toc497214071"/>
      <w:bookmarkStart w:id="1739" w:name="_Toc489280208"/>
      <w:bookmarkStart w:id="1740" w:name="_Toc13958"/>
      <w:bookmarkStart w:id="1741" w:name="_Toc490331693"/>
      <w:r>
        <w:rPr>
          <w:rFonts w:ascii="宋体" w:hAnsi="宋体"/>
          <w:color w:val="auto"/>
          <w:kern w:val="0"/>
          <w:sz w:val="24"/>
          <w:szCs w:val="20"/>
          <w:highlight w:val="none"/>
        </w:rPr>
        <w:t xml:space="preserve">9.2  </w:t>
      </w:r>
      <w:r>
        <w:rPr>
          <w:rFonts w:hint="eastAsia" w:ascii="宋体" w:hAnsi="宋体"/>
          <w:color w:val="auto"/>
          <w:kern w:val="0"/>
          <w:sz w:val="24"/>
          <w:szCs w:val="20"/>
          <w:highlight w:val="none"/>
        </w:rPr>
        <w:t>承包人的施工安全责任</w:t>
      </w:r>
      <w:bookmarkEnd w:id="1735"/>
      <w:bookmarkEnd w:id="1736"/>
      <w:bookmarkEnd w:id="1737"/>
      <w:bookmarkEnd w:id="1738"/>
      <w:bookmarkEnd w:id="1739"/>
      <w:bookmarkEnd w:id="1740"/>
      <w:bookmarkEnd w:id="1741"/>
    </w:p>
    <w:p w14:paraId="2FE9A8AB">
      <w:pPr>
        <w:spacing w:line="360" w:lineRule="auto"/>
        <w:ind w:left="420" w:leftChars="200"/>
        <w:rPr>
          <w:rFonts w:ascii="宋体"/>
          <w:color w:val="auto"/>
          <w:kern w:val="0"/>
          <w:szCs w:val="21"/>
          <w:highlight w:val="none"/>
        </w:rPr>
      </w:pPr>
      <w:bookmarkStart w:id="1742" w:name="_Toc489280209"/>
      <w:bookmarkStart w:id="1743" w:name="_Toc485323177"/>
      <w:bookmarkStart w:id="1744" w:name="_Toc486580403"/>
      <w:r>
        <w:rPr>
          <w:rFonts w:ascii="宋体" w:hAnsi="宋体"/>
          <w:color w:val="auto"/>
          <w:kern w:val="0"/>
          <w:szCs w:val="21"/>
          <w:highlight w:val="none"/>
        </w:rPr>
        <w:t xml:space="preserve">9.2.1  </w:t>
      </w:r>
      <w:r>
        <w:rPr>
          <w:rFonts w:hint="eastAsia" w:ascii="宋体" w:hAnsi="宋体"/>
          <w:color w:val="auto"/>
          <w:kern w:val="0"/>
          <w:szCs w:val="21"/>
          <w:highlight w:val="none"/>
        </w:rPr>
        <w:t>承包人向监理人报送施工安全措施计划的期限：</w:t>
      </w:r>
      <w:r>
        <w:rPr>
          <w:rFonts w:hint="eastAsia" w:ascii="宋体" w:hAnsi="宋体"/>
          <w:color w:val="auto"/>
          <w:kern w:val="0"/>
          <w:szCs w:val="21"/>
          <w:highlight w:val="none"/>
          <w:u w:val="single"/>
        </w:rPr>
        <w:t>在收到监理人按照通用合同条款第</w:t>
      </w:r>
      <w:r>
        <w:rPr>
          <w:rFonts w:ascii="宋体" w:hAnsi="宋体"/>
          <w:color w:val="auto"/>
          <w:kern w:val="0"/>
          <w:szCs w:val="21"/>
          <w:highlight w:val="none"/>
          <w:u w:val="single"/>
        </w:rPr>
        <w:t>11.1.1</w:t>
      </w:r>
      <w:r>
        <w:rPr>
          <w:rFonts w:hint="eastAsia" w:ascii="宋体" w:hAnsi="宋体"/>
          <w:color w:val="auto"/>
          <w:kern w:val="0"/>
          <w:szCs w:val="21"/>
          <w:highlight w:val="none"/>
          <w:u w:val="single"/>
        </w:rPr>
        <w:t>项发出的开工通知后</w:t>
      </w:r>
      <w:r>
        <w:rPr>
          <w:rFonts w:ascii="宋体" w:hAnsi="宋体"/>
          <w:color w:val="auto"/>
          <w:kern w:val="0"/>
          <w:szCs w:val="21"/>
          <w:highlight w:val="none"/>
          <w:u w:val="single"/>
        </w:rPr>
        <w:t>7</w:t>
      </w:r>
      <w:r>
        <w:rPr>
          <w:rFonts w:hint="eastAsia" w:ascii="宋体" w:hAnsi="宋体"/>
          <w:color w:val="auto"/>
          <w:kern w:val="0"/>
          <w:szCs w:val="21"/>
          <w:highlight w:val="none"/>
          <w:u w:val="single"/>
        </w:rPr>
        <w:t>天内。</w:t>
      </w:r>
      <w:r>
        <w:rPr>
          <w:rFonts w:ascii="宋体" w:hAnsi="宋体"/>
          <w:color w:val="auto"/>
          <w:kern w:val="0"/>
          <w:szCs w:val="21"/>
          <w:highlight w:val="none"/>
          <w:u w:val="single"/>
        </w:rPr>
        <w:t xml:space="preserve"> </w:t>
      </w:r>
    </w:p>
    <w:p w14:paraId="5D7520A9">
      <w:pPr>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监理人收到承包人报送的施工安全措施计划后应当在</w:t>
      </w:r>
      <w:r>
        <w:rPr>
          <w:rFonts w:ascii="宋体" w:hAnsi="宋体"/>
          <w:color w:val="auto"/>
          <w:kern w:val="0"/>
          <w:szCs w:val="21"/>
          <w:highlight w:val="none"/>
          <w:u w:val="single"/>
        </w:rPr>
        <w:t xml:space="preserve">  7    </w:t>
      </w:r>
      <w:r>
        <w:rPr>
          <w:rFonts w:hint="eastAsia" w:ascii="宋体" w:hAnsi="宋体"/>
          <w:color w:val="auto"/>
          <w:kern w:val="0"/>
          <w:szCs w:val="21"/>
          <w:highlight w:val="none"/>
        </w:rPr>
        <w:t>天内给予批复。</w:t>
      </w:r>
    </w:p>
    <w:p w14:paraId="66374901">
      <w:pPr>
        <w:keepNext/>
        <w:keepLines/>
        <w:spacing w:before="120" w:beforeLines="50" w:after="120" w:afterLines="50" w:line="360" w:lineRule="auto"/>
        <w:outlineLvl w:val="2"/>
        <w:rPr>
          <w:rFonts w:ascii="宋体" w:hAnsi="宋体"/>
          <w:color w:val="auto"/>
          <w:kern w:val="0"/>
          <w:sz w:val="24"/>
          <w:szCs w:val="20"/>
          <w:highlight w:val="none"/>
        </w:rPr>
      </w:pPr>
      <w:bookmarkStart w:id="1745" w:name="_Toc11362"/>
      <w:bookmarkStart w:id="1746" w:name="_Toc490331694"/>
      <w:bookmarkStart w:id="1747" w:name="_Toc3261"/>
      <w:bookmarkStart w:id="1748" w:name="_Toc497214072"/>
      <w:r>
        <w:rPr>
          <w:rFonts w:ascii="宋体" w:hAnsi="宋体"/>
          <w:color w:val="auto"/>
          <w:kern w:val="0"/>
          <w:sz w:val="24"/>
          <w:szCs w:val="20"/>
          <w:highlight w:val="none"/>
        </w:rPr>
        <w:t xml:space="preserve">9.3  </w:t>
      </w:r>
      <w:r>
        <w:rPr>
          <w:rFonts w:hint="eastAsia" w:ascii="宋体" w:hAnsi="宋体"/>
          <w:color w:val="auto"/>
          <w:kern w:val="0"/>
          <w:sz w:val="24"/>
          <w:szCs w:val="20"/>
          <w:highlight w:val="none"/>
        </w:rPr>
        <w:t>治安保卫</w:t>
      </w:r>
      <w:bookmarkEnd w:id="1742"/>
      <w:bookmarkEnd w:id="1743"/>
      <w:bookmarkEnd w:id="1744"/>
      <w:bookmarkEnd w:id="1745"/>
      <w:bookmarkEnd w:id="1746"/>
      <w:bookmarkEnd w:id="1747"/>
      <w:bookmarkEnd w:id="1748"/>
    </w:p>
    <w:p w14:paraId="37F799C7">
      <w:pPr>
        <w:spacing w:line="360" w:lineRule="auto"/>
        <w:ind w:left="420" w:leftChars="200"/>
        <w:rPr>
          <w:rFonts w:ascii="宋体"/>
          <w:color w:val="auto"/>
          <w:kern w:val="0"/>
          <w:szCs w:val="21"/>
          <w:highlight w:val="none"/>
        </w:rPr>
      </w:pPr>
      <w:bookmarkStart w:id="1749" w:name="_Toc489280210"/>
      <w:bookmarkStart w:id="1750" w:name="_Toc485323178"/>
      <w:bookmarkStart w:id="1751" w:name="_Toc486580404"/>
      <w:r>
        <w:rPr>
          <w:rFonts w:ascii="宋体" w:hAnsi="宋体"/>
          <w:color w:val="auto"/>
          <w:kern w:val="0"/>
          <w:szCs w:val="21"/>
          <w:highlight w:val="none"/>
        </w:rPr>
        <w:t xml:space="preserve">9.3.3 </w:t>
      </w:r>
      <w:r>
        <w:rPr>
          <w:rFonts w:hint="eastAsia" w:ascii="宋体" w:hAnsi="宋体"/>
          <w:color w:val="auto"/>
          <w:kern w:val="0"/>
          <w:szCs w:val="21"/>
          <w:highlight w:val="none"/>
        </w:rPr>
        <w:t>制定施工场地治安管理计划和突发治安事件紧急预案的责任人</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hAnsi="宋体"/>
          <w:color w:val="auto"/>
          <w:szCs w:val="21"/>
          <w:highlight w:val="none"/>
          <w:u w:val="single"/>
        </w:rPr>
        <w:t>承包人</w:t>
      </w:r>
      <w:r>
        <w:rPr>
          <w:rFonts w:hint="eastAsia" w:ascii="宋体" w:hAnsi="宋体"/>
          <w:color w:val="auto"/>
          <w:szCs w:val="21"/>
          <w:highlight w:val="none"/>
          <w:u w:val="single"/>
        </w:rPr>
        <w:t xml:space="preserve">      </w:t>
      </w:r>
    </w:p>
    <w:p w14:paraId="0CDFE1D9">
      <w:pPr>
        <w:keepNext/>
        <w:keepLines/>
        <w:spacing w:before="120" w:beforeLines="50" w:after="120" w:afterLines="50" w:line="360" w:lineRule="auto"/>
        <w:outlineLvl w:val="2"/>
        <w:rPr>
          <w:rFonts w:ascii="宋体" w:hAnsi="宋体"/>
          <w:color w:val="auto"/>
          <w:kern w:val="0"/>
          <w:sz w:val="24"/>
          <w:szCs w:val="20"/>
          <w:highlight w:val="none"/>
        </w:rPr>
      </w:pPr>
      <w:bookmarkStart w:id="1752" w:name="_Toc19042"/>
      <w:bookmarkStart w:id="1753" w:name="_Toc497214073"/>
      <w:bookmarkStart w:id="1754" w:name="_Toc14772"/>
      <w:bookmarkStart w:id="1755" w:name="_Toc490331695"/>
      <w:r>
        <w:rPr>
          <w:rFonts w:ascii="宋体" w:hAnsi="宋体"/>
          <w:color w:val="auto"/>
          <w:kern w:val="0"/>
          <w:sz w:val="24"/>
          <w:szCs w:val="20"/>
          <w:highlight w:val="none"/>
        </w:rPr>
        <w:t xml:space="preserve">9.4  </w:t>
      </w:r>
      <w:r>
        <w:rPr>
          <w:rFonts w:hint="eastAsia" w:ascii="宋体" w:hAnsi="宋体"/>
          <w:color w:val="auto"/>
          <w:kern w:val="0"/>
          <w:sz w:val="24"/>
          <w:szCs w:val="20"/>
          <w:highlight w:val="none"/>
        </w:rPr>
        <w:t>环境保护</w:t>
      </w:r>
      <w:bookmarkEnd w:id="1749"/>
      <w:bookmarkEnd w:id="1750"/>
      <w:bookmarkEnd w:id="1751"/>
      <w:bookmarkEnd w:id="1752"/>
      <w:bookmarkEnd w:id="1753"/>
      <w:bookmarkEnd w:id="1754"/>
      <w:bookmarkEnd w:id="1755"/>
    </w:p>
    <w:p w14:paraId="624E3248">
      <w:pPr>
        <w:spacing w:line="360" w:lineRule="auto"/>
        <w:ind w:left="420" w:leftChars="200"/>
        <w:rPr>
          <w:rFonts w:ascii="宋体"/>
          <w:color w:val="auto"/>
          <w:kern w:val="0"/>
          <w:szCs w:val="21"/>
          <w:highlight w:val="none"/>
        </w:rPr>
      </w:pPr>
      <w:bookmarkStart w:id="1756" w:name="_Toc489280211"/>
      <w:bookmarkStart w:id="1757" w:name="_Toc485323179"/>
      <w:bookmarkStart w:id="1758" w:name="_Toc486580405"/>
      <w:r>
        <w:rPr>
          <w:rFonts w:ascii="宋体" w:hAnsi="宋体"/>
          <w:color w:val="auto"/>
          <w:kern w:val="0"/>
          <w:szCs w:val="21"/>
          <w:highlight w:val="none"/>
        </w:rPr>
        <w:t xml:space="preserve">9.4.3  </w:t>
      </w:r>
      <w:r>
        <w:rPr>
          <w:rFonts w:hint="eastAsia" w:ascii="宋体" w:hAnsi="宋体"/>
          <w:color w:val="auto"/>
          <w:kern w:val="0"/>
          <w:szCs w:val="21"/>
          <w:highlight w:val="none"/>
        </w:rPr>
        <w:t>施工环保措施计划报送监理人审批的时间</w:t>
      </w:r>
      <w:r>
        <w:rPr>
          <w:rFonts w:hint="eastAsia" w:ascii="宋体" w:hAnsi="宋体"/>
          <w:color w:val="auto"/>
          <w:szCs w:val="21"/>
          <w:highlight w:val="none"/>
        </w:rPr>
        <w:t>：</w:t>
      </w:r>
      <w:r>
        <w:rPr>
          <w:rFonts w:hint="eastAsia" w:ascii="宋体" w:hAnsi="宋体"/>
          <w:color w:val="auto"/>
          <w:szCs w:val="21"/>
          <w:highlight w:val="none"/>
          <w:u w:val="single"/>
        </w:rPr>
        <w:t xml:space="preserve">  开工令下达后7天内              </w:t>
      </w:r>
    </w:p>
    <w:p w14:paraId="78D61CE2">
      <w:pPr>
        <w:spacing w:line="360" w:lineRule="auto"/>
        <w:ind w:left="420" w:leftChars="200"/>
        <w:rPr>
          <w:rFonts w:ascii="宋体" w:hAnsi="宋体"/>
          <w:color w:val="auto"/>
          <w:kern w:val="0"/>
          <w:szCs w:val="21"/>
          <w:highlight w:val="none"/>
        </w:rPr>
      </w:pPr>
      <w:r>
        <w:rPr>
          <w:rFonts w:hint="eastAsia" w:ascii="宋体" w:hAnsi="宋体"/>
          <w:color w:val="auto"/>
          <w:kern w:val="0"/>
          <w:szCs w:val="21"/>
          <w:highlight w:val="none"/>
        </w:rPr>
        <w:t>监理人收到承包人报送的施工环保措施计划后应当在</w:t>
      </w:r>
      <w:r>
        <w:rPr>
          <w:rFonts w:hint="eastAsia" w:ascii="宋体" w:hAnsi="宋体"/>
          <w:color w:val="auto"/>
          <w:kern w:val="0"/>
          <w:szCs w:val="21"/>
          <w:highlight w:val="none"/>
          <w:u w:val="single"/>
        </w:rPr>
        <w:t xml:space="preserve">  </w:t>
      </w:r>
      <w:r>
        <w:rPr>
          <w:rFonts w:ascii="宋体" w:hAnsi="宋体"/>
          <w:color w:val="auto"/>
          <w:kern w:val="0"/>
          <w:szCs w:val="21"/>
          <w:highlight w:val="none"/>
          <w:u w:val="single"/>
        </w:rPr>
        <w:t>7</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天内给予批复。</w:t>
      </w:r>
    </w:p>
    <w:p w14:paraId="59999896">
      <w:pPr>
        <w:pStyle w:val="251"/>
        <w:tabs>
          <w:tab w:val="left" w:pos="567"/>
          <w:tab w:val="left" w:pos="851"/>
        </w:tabs>
        <w:spacing w:before="120" w:after="120"/>
        <w:rPr>
          <w:rFonts w:ascii="宋体" w:hAnsi="宋体" w:eastAsia="宋体" w:cs="宋体"/>
          <w:color w:val="auto"/>
          <w:highlight w:val="none"/>
        </w:rPr>
      </w:pPr>
      <w:bookmarkStart w:id="1759" w:name="_Toc1770"/>
      <w:bookmarkStart w:id="1760" w:name="_Toc10235672"/>
      <w:bookmarkStart w:id="1761" w:name="_Toc18187"/>
      <w:bookmarkStart w:id="1762" w:name="_Hlk8723534"/>
      <w:r>
        <w:rPr>
          <w:rFonts w:hint="eastAsia" w:ascii="宋体" w:hAnsi="宋体" w:eastAsia="宋体" w:cs="宋体"/>
          <w:color w:val="auto"/>
          <w:highlight w:val="none"/>
        </w:rPr>
        <w:t>9.6  施工现场安全生产标准化管理目标</w:t>
      </w:r>
      <w:bookmarkEnd w:id="1759"/>
      <w:bookmarkEnd w:id="1760"/>
      <w:bookmarkEnd w:id="1761"/>
    </w:p>
    <w:p w14:paraId="1A3657CE">
      <w:pPr>
        <w:pStyle w:val="26"/>
        <w:tabs>
          <w:tab w:val="left" w:pos="1134"/>
        </w:tabs>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9.6.1  未达到合同协议书中约定的安全生产标准化管理目标等级的违约金或损失赔偿金的金额或者计算方法：</w:t>
      </w:r>
      <w:r>
        <w:rPr>
          <w:rFonts w:hint="eastAsia" w:ascii="宋体" w:hAnsi="宋体" w:eastAsia="宋体" w:cs="宋体"/>
          <w:color w:val="auto"/>
          <w:sz w:val="21"/>
          <w:szCs w:val="21"/>
          <w:highlight w:val="none"/>
          <w:u w:val="single"/>
        </w:rPr>
        <w:t xml:space="preserve">         /         </w:t>
      </w:r>
    </w:p>
    <w:p w14:paraId="7B6FC2B1">
      <w:pPr>
        <w:pStyle w:val="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9.6.2  发包人</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u w:val="single"/>
        </w:rPr>
        <w:t>不给予</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rPr>
        <w:t>（给予/不给予）承包人创优奖励。发包人给予承包人创优奖励的，创优奖励金额或者计算方法：</w:t>
      </w:r>
      <w:r>
        <w:rPr>
          <w:rFonts w:hint="eastAsia" w:ascii="宋体" w:hAnsi="宋体" w:eastAsia="宋体" w:cs="宋体"/>
          <w:color w:val="auto"/>
          <w:sz w:val="21"/>
          <w:szCs w:val="21"/>
          <w:highlight w:val="none"/>
          <w:u w:val="single"/>
        </w:rPr>
        <w:t xml:space="preserve">           /                      </w:t>
      </w:r>
    </w:p>
    <w:p w14:paraId="0736F3B3">
      <w:pPr>
        <w:pStyle w:val="251"/>
        <w:tabs>
          <w:tab w:val="left" w:pos="567"/>
        </w:tabs>
        <w:spacing w:before="120" w:after="120"/>
        <w:rPr>
          <w:rFonts w:ascii="宋体" w:hAnsi="宋体" w:eastAsia="宋体" w:cs="宋体"/>
          <w:color w:val="auto"/>
          <w:highlight w:val="none"/>
        </w:rPr>
      </w:pPr>
      <w:bookmarkStart w:id="1763" w:name="_Toc24639"/>
      <w:bookmarkStart w:id="1764" w:name="_Toc14884"/>
      <w:bookmarkStart w:id="1765" w:name="_Toc10235673"/>
      <w:r>
        <w:rPr>
          <w:rFonts w:hint="eastAsia" w:ascii="宋体" w:hAnsi="宋体" w:eastAsia="宋体" w:cs="宋体"/>
          <w:color w:val="auto"/>
          <w:highlight w:val="none"/>
        </w:rPr>
        <w:t>9.7  特殊安全文明施工</w:t>
      </w:r>
      <w:bookmarkEnd w:id="1763"/>
      <w:bookmarkEnd w:id="1764"/>
      <w:bookmarkEnd w:id="1765"/>
    </w:p>
    <w:p w14:paraId="36993F22">
      <w:pPr>
        <w:pStyle w:val="26"/>
        <w:tabs>
          <w:tab w:val="left" w:pos="1134"/>
        </w:tabs>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9.7.1 未达到合同约定的特殊安全文明施工要求的违约金或损失赔偿金的金额或者计算方法：</w:t>
      </w:r>
      <w:r>
        <w:rPr>
          <w:rFonts w:hint="eastAsia" w:ascii="宋体" w:hAnsi="宋体" w:eastAsia="宋体" w:cs="宋体"/>
          <w:color w:val="auto"/>
          <w:sz w:val="21"/>
          <w:szCs w:val="21"/>
          <w:highlight w:val="none"/>
          <w:u w:val="single"/>
        </w:rPr>
        <w:t xml:space="preserve">         /                                                      </w:t>
      </w:r>
    </w:p>
    <w:p w14:paraId="118D9F73">
      <w:pPr>
        <w:pStyle w:val="2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9.7.2 发包人</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8"/>
          <w:highlight w:val="none"/>
          <w:u w:val="single"/>
        </w:rPr>
        <w:t xml:space="preserve">不给予    </w:t>
      </w:r>
      <w:r>
        <w:rPr>
          <w:rFonts w:hint="eastAsia" w:ascii="宋体" w:hAnsi="宋体" w:eastAsia="宋体" w:cs="宋体"/>
          <w:color w:val="auto"/>
          <w:sz w:val="21"/>
          <w:szCs w:val="21"/>
          <w:highlight w:val="none"/>
        </w:rPr>
        <w:t>（给予/</w:t>
      </w:r>
      <w:bookmarkStart w:id="1766" w:name="_Hlk17814533"/>
      <w:r>
        <w:rPr>
          <w:rFonts w:hint="eastAsia" w:ascii="宋体" w:hAnsi="宋体" w:eastAsia="宋体" w:cs="宋体"/>
          <w:color w:val="auto"/>
          <w:sz w:val="21"/>
          <w:szCs w:val="21"/>
          <w:highlight w:val="none"/>
        </w:rPr>
        <w:t>不给予</w:t>
      </w:r>
      <w:bookmarkEnd w:id="1766"/>
      <w:r>
        <w:rPr>
          <w:rFonts w:hint="eastAsia" w:ascii="宋体" w:hAnsi="宋体" w:eastAsia="宋体" w:cs="宋体"/>
          <w:color w:val="auto"/>
          <w:sz w:val="21"/>
          <w:szCs w:val="21"/>
          <w:highlight w:val="none"/>
        </w:rPr>
        <w:t>）承包人创优奖励。发包人给予承包人创优奖励的，创优奖励金额或者计算方法：</w:t>
      </w:r>
      <w:r>
        <w:rPr>
          <w:rFonts w:hint="eastAsia" w:ascii="宋体" w:hAnsi="宋体" w:eastAsia="宋体" w:cs="宋体"/>
          <w:color w:val="auto"/>
          <w:sz w:val="21"/>
          <w:szCs w:val="21"/>
          <w:highlight w:val="none"/>
          <w:u w:val="single"/>
        </w:rPr>
        <w:t xml:space="preserve">    /                             </w:t>
      </w:r>
    </w:p>
    <w:bookmarkEnd w:id="1762"/>
    <w:p w14:paraId="6CE6627E">
      <w:pPr>
        <w:keepNext/>
        <w:keepLines/>
        <w:spacing w:before="120" w:beforeLines="50" w:after="120" w:afterLines="50" w:line="360" w:lineRule="auto"/>
        <w:outlineLvl w:val="1"/>
        <w:rPr>
          <w:rFonts w:ascii="宋体" w:hAnsi="宋体" w:cs="宋体"/>
          <w:color w:val="auto"/>
          <w:sz w:val="28"/>
          <w:szCs w:val="20"/>
          <w:highlight w:val="none"/>
        </w:rPr>
      </w:pPr>
      <w:bookmarkStart w:id="1767" w:name="_Toc19026"/>
      <w:bookmarkStart w:id="1768" w:name="_Toc497214074"/>
      <w:bookmarkStart w:id="1769" w:name="_Toc28038"/>
      <w:bookmarkStart w:id="1770" w:name="_Toc490331696"/>
      <w:r>
        <w:rPr>
          <w:rFonts w:ascii="宋体" w:hAnsi="宋体" w:cs="宋体"/>
          <w:color w:val="auto"/>
          <w:sz w:val="28"/>
          <w:szCs w:val="20"/>
          <w:highlight w:val="none"/>
        </w:rPr>
        <w:t>10.</w:t>
      </w:r>
      <w:r>
        <w:rPr>
          <w:rFonts w:hint="eastAsia" w:ascii="宋体" w:hAnsi="宋体" w:cs="宋体"/>
          <w:color w:val="auto"/>
          <w:sz w:val="28"/>
          <w:szCs w:val="20"/>
          <w:highlight w:val="none"/>
        </w:rPr>
        <w:t>进度计划</w:t>
      </w:r>
      <w:bookmarkEnd w:id="1756"/>
      <w:bookmarkEnd w:id="1757"/>
      <w:bookmarkEnd w:id="1758"/>
      <w:bookmarkEnd w:id="1767"/>
      <w:bookmarkEnd w:id="1768"/>
      <w:bookmarkEnd w:id="1769"/>
      <w:bookmarkEnd w:id="1770"/>
    </w:p>
    <w:p w14:paraId="68DBD505">
      <w:pPr>
        <w:keepNext/>
        <w:keepLines/>
        <w:spacing w:before="120" w:beforeLines="50" w:after="120" w:afterLines="50" w:line="360" w:lineRule="auto"/>
        <w:outlineLvl w:val="2"/>
        <w:rPr>
          <w:rFonts w:ascii="宋体" w:hAnsi="宋体"/>
          <w:color w:val="auto"/>
          <w:kern w:val="0"/>
          <w:sz w:val="24"/>
          <w:szCs w:val="20"/>
          <w:highlight w:val="none"/>
        </w:rPr>
      </w:pPr>
      <w:bookmarkStart w:id="1771" w:name="_Toc489280212"/>
      <w:bookmarkStart w:id="1772" w:name="_Toc485323180"/>
      <w:bookmarkStart w:id="1773" w:name="_Toc497214075"/>
      <w:bookmarkStart w:id="1774" w:name="_Toc486580406"/>
      <w:bookmarkStart w:id="1775" w:name="_Toc490331697"/>
      <w:bookmarkStart w:id="1776" w:name="_Toc27875"/>
      <w:bookmarkStart w:id="1777" w:name="_Toc26551"/>
      <w:r>
        <w:rPr>
          <w:rFonts w:ascii="宋体" w:hAnsi="宋体"/>
          <w:color w:val="auto"/>
          <w:kern w:val="0"/>
          <w:sz w:val="24"/>
          <w:szCs w:val="20"/>
          <w:highlight w:val="none"/>
        </w:rPr>
        <w:t xml:space="preserve">10.1  </w:t>
      </w:r>
      <w:r>
        <w:rPr>
          <w:rFonts w:hint="eastAsia" w:ascii="宋体" w:hAnsi="宋体"/>
          <w:color w:val="auto"/>
          <w:kern w:val="0"/>
          <w:sz w:val="24"/>
          <w:szCs w:val="20"/>
          <w:highlight w:val="none"/>
        </w:rPr>
        <w:t>合同进度计划</w:t>
      </w:r>
      <w:bookmarkEnd w:id="1771"/>
      <w:bookmarkEnd w:id="1772"/>
      <w:bookmarkEnd w:id="1773"/>
      <w:bookmarkEnd w:id="1774"/>
      <w:bookmarkEnd w:id="1775"/>
      <w:bookmarkEnd w:id="1776"/>
      <w:bookmarkEnd w:id="1777"/>
    </w:p>
    <w:p w14:paraId="6D27E83A">
      <w:pPr>
        <w:wordWrap w:val="0"/>
        <w:spacing w:line="360" w:lineRule="auto"/>
        <w:ind w:left="420" w:leftChars="200"/>
        <w:rPr>
          <w:rFonts w:ascii="宋体"/>
          <w:color w:val="auto"/>
          <w:kern w:val="0"/>
          <w:szCs w:val="21"/>
          <w:highlight w:val="none"/>
        </w:rPr>
      </w:pPr>
      <w:bookmarkStart w:id="1778" w:name="_Toc489280213"/>
      <w:bookmarkStart w:id="1779" w:name="_Toc485323181"/>
      <w:bookmarkStart w:id="1780" w:name="_Toc486580407"/>
      <w:r>
        <w:rPr>
          <w:rFonts w:ascii="宋体" w:hAnsi="宋体"/>
          <w:color w:val="auto"/>
          <w:kern w:val="0"/>
          <w:szCs w:val="21"/>
          <w:highlight w:val="none"/>
        </w:rPr>
        <w:t xml:space="preserve">10.1.1  </w:t>
      </w:r>
      <w:r>
        <w:rPr>
          <w:rFonts w:hint="eastAsia" w:ascii="宋体" w:hAnsi="宋体"/>
          <w:color w:val="auto"/>
          <w:kern w:val="0"/>
          <w:szCs w:val="21"/>
          <w:highlight w:val="none"/>
        </w:rPr>
        <w:t>承包人编制施工进度计划和施工方案说明的内容</w:t>
      </w:r>
      <w:r>
        <w:rPr>
          <w:rFonts w:hint="eastAsia" w:ascii="宋体" w:hAnsi="宋体"/>
          <w:color w:val="auto"/>
          <w:szCs w:val="21"/>
          <w:highlight w:val="none"/>
        </w:rPr>
        <w:t>：</w:t>
      </w:r>
      <w:r>
        <w:rPr>
          <w:rFonts w:hint="eastAsia" w:ascii="宋体" w:hAnsi="宋体"/>
          <w:color w:val="auto"/>
          <w:szCs w:val="21"/>
          <w:highlight w:val="none"/>
          <w:u w:val="single"/>
        </w:rPr>
        <w:t xml:space="preserve">总进度计划关键线路目标，施工顺序和方法要点， 施工进度计划中还应载明要求发包人组织设计人进行阶段性工程设计交底的时间。 </w:t>
      </w:r>
    </w:p>
    <w:p w14:paraId="7E595E61">
      <w:pPr>
        <w:wordWrap w:val="0"/>
        <w:spacing w:line="360" w:lineRule="auto"/>
        <w:ind w:left="420" w:leftChars="200"/>
        <w:rPr>
          <w:rFonts w:ascii="宋体"/>
          <w:color w:val="auto"/>
          <w:kern w:val="0"/>
          <w:szCs w:val="21"/>
          <w:highlight w:val="none"/>
        </w:rPr>
      </w:pPr>
      <w:r>
        <w:rPr>
          <w:rFonts w:ascii="宋体" w:hAnsi="宋体"/>
          <w:color w:val="auto"/>
          <w:kern w:val="0"/>
          <w:szCs w:val="21"/>
          <w:highlight w:val="none"/>
        </w:rPr>
        <w:t xml:space="preserve">10.1.2  </w:t>
      </w:r>
      <w:r>
        <w:rPr>
          <w:rFonts w:hint="eastAsia" w:ascii="宋体" w:hAnsi="宋体"/>
          <w:color w:val="auto"/>
          <w:kern w:val="0"/>
          <w:szCs w:val="21"/>
          <w:highlight w:val="none"/>
        </w:rPr>
        <w:t>承包人编制分阶段或分项施工进度计划和施工方案说明的内容及时限要求</w:t>
      </w:r>
      <w:r>
        <w:rPr>
          <w:rFonts w:hint="eastAsia" w:ascii="宋体" w:hAnsi="宋体"/>
          <w:color w:val="auto"/>
          <w:szCs w:val="21"/>
          <w:highlight w:val="none"/>
        </w:rPr>
        <w:t>：</w:t>
      </w:r>
      <w:r>
        <w:rPr>
          <w:rFonts w:hint="eastAsia" w:ascii="宋体" w:hAnsi="宋体"/>
          <w:color w:val="auto"/>
          <w:szCs w:val="21"/>
          <w:highlight w:val="none"/>
          <w:u w:val="single"/>
        </w:rPr>
        <w:t xml:space="preserve">     在合同进度基础上编制分阶段和分项目的进度计划 。期限：分阶段或分项工程开始施工前一个月。  </w:t>
      </w:r>
    </w:p>
    <w:p w14:paraId="7719BD9C">
      <w:pPr>
        <w:spacing w:line="360" w:lineRule="auto"/>
        <w:ind w:left="420" w:leftChars="200"/>
        <w:rPr>
          <w:rFonts w:ascii="宋体"/>
          <w:color w:val="auto"/>
          <w:kern w:val="0"/>
          <w:szCs w:val="21"/>
          <w:highlight w:val="none"/>
        </w:rPr>
      </w:pPr>
      <w:r>
        <w:rPr>
          <w:rFonts w:ascii="宋体" w:hAnsi="宋体"/>
          <w:color w:val="auto"/>
          <w:kern w:val="0"/>
          <w:szCs w:val="21"/>
          <w:highlight w:val="none"/>
        </w:rPr>
        <w:t xml:space="preserve">10.1.3  </w:t>
      </w:r>
      <w:r>
        <w:rPr>
          <w:rFonts w:hint="eastAsia" w:ascii="宋体" w:hAnsi="宋体"/>
          <w:color w:val="auto"/>
          <w:kern w:val="0"/>
          <w:szCs w:val="21"/>
          <w:highlight w:val="none"/>
        </w:rPr>
        <w:t>群体工程中有关编制进度计划和施工方案说明的要求</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u w:val="single"/>
        </w:rPr>
        <w:t>/</w:t>
      </w:r>
      <w:r>
        <w:rPr>
          <w:rFonts w:hint="eastAsia" w:ascii="宋体" w:hAnsi="宋体"/>
          <w:color w:val="auto"/>
          <w:szCs w:val="21"/>
          <w:highlight w:val="none"/>
          <w:u w:val="single"/>
        </w:rPr>
        <w:t xml:space="preserve">             </w:t>
      </w:r>
    </w:p>
    <w:p w14:paraId="18E77E29">
      <w:pPr>
        <w:keepNext/>
        <w:keepLines/>
        <w:spacing w:before="120" w:beforeLines="50" w:after="120" w:afterLines="50" w:line="360" w:lineRule="auto"/>
        <w:outlineLvl w:val="2"/>
        <w:rPr>
          <w:rFonts w:ascii="宋体" w:hAnsi="宋体"/>
          <w:color w:val="auto"/>
          <w:kern w:val="0"/>
          <w:sz w:val="24"/>
          <w:szCs w:val="20"/>
          <w:highlight w:val="none"/>
        </w:rPr>
      </w:pPr>
      <w:bookmarkStart w:id="1781" w:name="_Toc490331698"/>
      <w:bookmarkStart w:id="1782" w:name="_Toc19715"/>
      <w:bookmarkStart w:id="1783" w:name="_Toc497214076"/>
      <w:bookmarkStart w:id="1784" w:name="_Toc22994"/>
      <w:r>
        <w:rPr>
          <w:rFonts w:ascii="宋体" w:hAnsi="宋体"/>
          <w:color w:val="auto"/>
          <w:kern w:val="0"/>
          <w:sz w:val="24"/>
          <w:szCs w:val="20"/>
          <w:highlight w:val="none"/>
        </w:rPr>
        <w:t xml:space="preserve">10.2  </w:t>
      </w:r>
      <w:r>
        <w:rPr>
          <w:rFonts w:hint="eastAsia" w:ascii="宋体" w:hAnsi="宋体"/>
          <w:color w:val="auto"/>
          <w:kern w:val="0"/>
          <w:sz w:val="24"/>
          <w:szCs w:val="20"/>
          <w:highlight w:val="none"/>
        </w:rPr>
        <w:t>合同进度计划的修订</w:t>
      </w:r>
      <w:bookmarkEnd w:id="1778"/>
      <w:bookmarkEnd w:id="1779"/>
      <w:bookmarkEnd w:id="1780"/>
      <w:bookmarkEnd w:id="1781"/>
      <w:bookmarkEnd w:id="1782"/>
      <w:bookmarkEnd w:id="1783"/>
      <w:bookmarkEnd w:id="1784"/>
    </w:p>
    <w:p w14:paraId="5D0C1712">
      <w:pPr>
        <w:spacing w:line="360" w:lineRule="auto"/>
        <w:ind w:left="420" w:leftChars="200"/>
        <w:rPr>
          <w:rFonts w:ascii="宋体"/>
          <w:color w:val="auto"/>
          <w:kern w:val="0"/>
          <w:szCs w:val="21"/>
          <w:highlight w:val="none"/>
        </w:rPr>
      </w:pPr>
      <w:bookmarkStart w:id="1785" w:name="_Toc486580408"/>
      <w:bookmarkStart w:id="1786" w:name="_Toc489280214"/>
      <w:bookmarkStart w:id="1787" w:name="_Toc485323182"/>
      <w:r>
        <w:rPr>
          <w:rFonts w:ascii="宋体" w:hAnsi="宋体"/>
          <w:color w:val="auto"/>
          <w:kern w:val="0"/>
          <w:szCs w:val="21"/>
          <w:highlight w:val="none"/>
        </w:rPr>
        <w:t xml:space="preserve">10.2.1  </w:t>
      </w:r>
      <w:r>
        <w:rPr>
          <w:rFonts w:hint="eastAsia" w:ascii="宋体" w:hAnsi="宋体"/>
          <w:color w:val="auto"/>
          <w:kern w:val="0"/>
          <w:szCs w:val="21"/>
          <w:highlight w:val="none"/>
        </w:rPr>
        <w:t>承包人报送修订合同进度计划申请报告和相关资料的期限</w:t>
      </w:r>
      <w:r>
        <w:rPr>
          <w:rFonts w:hint="eastAsia" w:ascii="宋体" w:hAnsi="宋体"/>
          <w:color w:val="auto"/>
          <w:szCs w:val="21"/>
          <w:highlight w:val="none"/>
        </w:rPr>
        <w:t>：</w:t>
      </w:r>
      <w:r>
        <w:rPr>
          <w:rFonts w:hint="eastAsia" w:hAnsi="宋体"/>
          <w:color w:val="auto"/>
          <w:szCs w:val="21"/>
          <w:highlight w:val="none"/>
          <w:u w:val="single"/>
        </w:rPr>
        <w:t>签订合同后</w:t>
      </w:r>
      <w:r>
        <w:rPr>
          <w:rFonts w:hAnsi="宋体"/>
          <w:color w:val="auto"/>
          <w:szCs w:val="21"/>
          <w:highlight w:val="none"/>
          <w:u w:val="single"/>
        </w:rPr>
        <w:t>7</w:t>
      </w:r>
      <w:r>
        <w:rPr>
          <w:rFonts w:hint="eastAsia" w:hAnsi="宋体"/>
          <w:color w:val="auto"/>
          <w:szCs w:val="21"/>
          <w:highlight w:val="none"/>
          <w:u w:val="single"/>
        </w:rPr>
        <w:t>天内</w:t>
      </w:r>
      <w:r>
        <w:rPr>
          <w:rFonts w:hint="eastAsia" w:ascii="宋体" w:hAnsi="宋体"/>
          <w:color w:val="auto"/>
          <w:szCs w:val="21"/>
          <w:highlight w:val="none"/>
          <w:u w:val="single"/>
        </w:rPr>
        <w:t xml:space="preserve">。  </w:t>
      </w:r>
    </w:p>
    <w:p w14:paraId="70FFC8CB">
      <w:pPr>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监理人批复修订合同进度计划申请报告的期限</w:t>
      </w:r>
      <w:r>
        <w:rPr>
          <w:rFonts w:hint="eastAsia" w:ascii="宋体" w:hAnsi="宋体"/>
          <w:color w:val="auto"/>
          <w:szCs w:val="21"/>
          <w:highlight w:val="none"/>
        </w:rPr>
        <w:t>：</w:t>
      </w:r>
      <w:r>
        <w:rPr>
          <w:rFonts w:hint="eastAsia" w:hAnsi="宋体"/>
          <w:color w:val="auto"/>
          <w:szCs w:val="21"/>
          <w:highlight w:val="none"/>
          <w:u w:val="single"/>
        </w:rPr>
        <w:t>收到承包人报送的修订合同进度计划申请报告和相关资料后</w:t>
      </w:r>
      <w:r>
        <w:rPr>
          <w:rFonts w:hAnsi="宋体"/>
          <w:color w:val="auto"/>
          <w:szCs w:val="21"/>
          <w:highlight w:val="none"/>
          <w:u w:val="single"/>
        </w:rPr>
        <w:t>7</w:t>
      </w:r>
      <w:r>
        <w:rPr>
          <w:rFonts w:hint="eastAsia" w:hAnsi="宋体"/>
          <w:color w:val="auto"/>
          <w:szCs w:val="21"/>
          <w:highlight w:val="none"/>
          <w:u w:val="single"/>
        </w:rPr>
        <w:t>天内</w:t>
      </w:r>
      <w:r>
        <w:rPr>
          <w:rFonts w:hint="eastAsia" w:ascii="宋体" w:hAnsi="宋体"/>
          <w:color w:val="auto"/>
          <w:szCs w:val="21"/>
          <w:highlight w:val="none"/>
          <w:u w:val="single"/>
        </w:rPr>
        <w:t xml:space="preserve">。  </w:t>
      </w:r>
    </w:p>
    <w:p w14:paraId="469BC521">
      <w:pPr>
        <w:spacing w:line="360" w:lineRule="auto"/>
        <w:ind w:left="420" w:leftChars="200"/>
        <w:rPr>
          <w:rFonts w:ascii="宋体"/>
          <w:color w:val="auto"/>
          <w:kern w:val="0"/>
          <w:szCs w:val="21"/>
          <w:highlight w:val="none"/>
        </w:rPr>
      </w:pPr>
      <w:r>
        <w:rPr>
          <w:rFonts w:ascii="宋体" w:hAnsi="宋体"/>
          <w:color w:val="auto"/>
          <w:kern w:val="0"/>
          <w:szCs w:val="21"/>
          <w:highlight w:val="none"/>
        </w:rPr>
        <w:t xml:space="preserve">10.2.2  </w:t>
      </w:r>
      <w:r>
        <w:rPr>
          <w:rFonts w:hint="eastAsia" w:ascii="宋体" w:hAnsi="宋体"/>
          <w:color w:val="auto"/>
          <w:kern w:val="0"/>
          <w:szCs w:val="21"/>
          <w:highlight w:val="none"/>
        </w:rPr>
        <w:t>监理人批复修订合同进度计划的期限</w:t>
      </w:r>
      <w:r>
        <w:rPr>
          <w:rFonts w:hint="eastAsia" w:ascii="宋体" w:hAnsi="宋体"/>
          <w:color w:val="auto"/>
          <w:szCs w:val="21"/>
          <w:highlight w:val="none"/>
        </w:rPr>
        <w:t>：</w:t>
      </w:r>
      <w:r>
        <w:rPr>
          <w:rFonts w:hint="eastAsia" w:ascii="宋体" w:hAnsi="宋体"/>
          <w:color w:val="auto"/>
          <w:szCs w:val="21"/>
          <w:highlight w:val="none"/>
          <w:u w:val="single"/>
        </w:rPr>
        <w:t xml:space="preserve">  收到承包人报送的修订合同进度计划申请报告和相关资料后7天内。     </w:t>
      </w:r>
    </w:p>
    <w:p w14:paraId="5729D79D">
      <w:pPr>
        <w:keepNext/>
        <w:keepLines/>
        <w:spacing w:before="120" w:beforeLines="50" w:after="120" w:afterLines="50" w:line="360" w:lineRule="auto"/>
        <w:outlineLvl w:val="1"/>
        <w:rPr>
          <w:rFonts w:ascii="宋体" w:hAnsi="宋体" w:cs="宋体"/>
          <w:color w:val="auto"/>
          <w:sz w:val="28"/>
          <w:szCs w:val="20"/>
          <w:highlight w:val="none"/>
        </w:rPr>
      </w:pPr>
      <w:bookmarkStart w:id="1788" w:name="_Toc490331699"/>
      <w:bookmarkStart w:id="1789" w:name="_Toc13235"/>
      <w:bookmarkStart w:id="1790" w:name="_Toc27477"/>
      <w:bookmarkStart w:id="1791" w:name="_Toc497214077"/>
      <w:r>
        <w:rPr>
          <w:rFonts w:ascii="宋体" w:hAnsi="宋体" w:cs="宋体"/>
          <w:color w:val="auto"/>
          <w:sz w:val="28"/>
          <w:szCs w:val="20"/>
          <w:highlight w:val="none"/>
        </w:rPr>
        <w:t>11.</w:t>
      </w:r>
      <w:r>
        <w:rPr>
          <w:rFonts w:hint="eastAsia" w:ascii="宋体" w:hAnsi="宋体" w:cs="宋体"/>
          <w:color w:val="auto"/>
          <w:sz w:val="28"/>
          <w:szCs w:val="20"/>
          <w:highlight w:val="none"/>
        </w:rPr>
        <w:t>开工和竣工</w:t>
      </w:r>
      <w:bookmarkEnd w:id="1785"/>
      <w:bookmarkEnd w:id="1786"/>
      <w:bookmarkEnd w:id="1787"/>
      <w:bookmarkEnd w:id="1788"/>
      <w:bookmarkEnd w:id="1789"/>
      <w:bookmarkEnd w:id="1790"/>
      <w:bookmarkEnd w:id="1791"/>
    </w:p>
    <w:p w14:paraId="7F35AC0D">
      <w:pPr>
        <w:keepNext/>
        <w:keepLines/>
        <w:spacing w:before="120" w:beforeLines="50" w:after="120" w:afterLines="50" w:line="360" w:lineRule="auto"/>
        <w:outlineLvl w:val="2"/>
        <w:rPr>
          <w:rFonts w:ascii="宋体" w:hAnsi="宋体"/>
          <w:color w:val="auto"/>
          <w:kern w:val="0"/>
          <w:sz w:val="24"/>
          <w:szCs w:val="20"/>
          <w:highlight w:val="none"/>
        </w:rPr>
      </w:pPr>
      <w:bookmarkStart w:id="1792" w:name="_Toc489280215"/>
      <w:bookmarkStart w:id="1793" w:name="_Toc490331700"/>
      <w:bookmarkStart w:id="1794" w:name="_Toc486580409"/>
      <w:bookmarkStart w:id="1795" w:name="_Toc27466"/>
      <w:bookmarkStart w:id="1796" w:name="_Toc497214078"/>
      <w:bookmarkStart w:id="1797" w:name="_Toc17753"/>
      <w:bookmarkStart w:id="1798" w:name="_Toc485323183"/>
      <w:r>
        <w:rPr>
          <w:rFonts w:ascii="宋体" w:hAnsi="宋体"/>
          <w:color w:val="auto"/>
          <w:kern w:val="0"/>
          <w:sz w:val="24"/>
          <w:szCs w:val="20"/>
          <w:highlight w:val="none"/>
        </w:rPr>
        <w:t xml:space="preserve">11.3  </w:t>
      </w:r>
      <w:r>
        <w:rPr>
          <w:rFonts w:hint="eastAsia" w:ascii="宋体" w:hAnsi="宋体"/>
          <w:color w:val="auto"/>
          <w:kern w:val="0"/>
          <w:sz w:val="24"/>
          <w:szCs w:val="20"/>
          <w:highlight w:val="none"/>
        </w:rPr>
        <w:t>发包人的工期延误</w:t>
      </w:r>
      <w:bookmarkEnd w:id="1792"/>
      <w:bookmarkEnd w:id="1793"/>
      <w:bookmarkEnd w:id="1794"/>
      <w:bookmarkEnd w:id="1795"/>
      <w:bookmarkEnd w:id="1796"/>
      <w:bookmarkEnd w:id="1797"/>
      <w:bookmarkEnd w:id="1798"/>
    </w:p>
    <w:p w14:paraId="306C0D9D">
      <w:pPr>
        <w:wordWrap w:val="0"/>
        <w:spacing w:line="360" w:lineRule="auto"/>
        <w:ind w:left="420" w:leftChars="200"/>
        <w:rPr>
          <w:rFonts w:ascii="宋体"/>
          <w:color w:val="auto"/>
          <w:kern w:val="0"/>
          <w:szCs w:val="21"/>
          <w:highlight w:val="none"/>
        </w:rPr>
      </w:pPr>
      <w:bookmarkStart w:id="1799" w:name="_Toc489280216"/>
      <w:bookmarkStart w:id="1800" w:name="_Toc486580410"/>
      <w:bookmarkStart w:id="1801" w:name="_Toc485323184"/>
      <w:r>
        <w:rPr>
          <w:rFonts w:hint="eastAsia" w:ascii="宋体" w:hAnsi="宋体"/>
          <w:color w:val="auto"/>
          <w:kern w:val="0"/>
          <w:szCs w:val="21"/>
          <w:highlight w:val="none"/>
        </w:rPr>
        <w:t>（</w:t>
      </w:r>
      <w:r>
        <w:rPr>
          <w:rFonts w:ascii="宋体" w:hAnsi="宋体"/>
          <w:color w:val="auto"/>
          <w:kern w:val="0"/>
          <w:szCs w:val="21"/>
          <w:highlight w:val="none"/>
        </w:rPr>
        <w:t>8</w:t>
      </w:r>
      <w:r>
        <w:rPr>
          <w:rFonts w:hint="eastAsia" w:ascii="宋体" w:hAnsi="宋体"/>
          <w:color w:val="auto"/>
          <w:kern w:val="0"/>
          <w:szCs w:val="21"/>
          <w:highlight w:val="none"/>
        </w:rPr>
        <w:t>）发包人造成工期延误的其他原因</w:t>
      </w:r>
      <w:r>
        <w:rPr>
          <w:rFonts w:hint="eastAsia" w:ascii="宋体" w:hAnsi="宋体"/>
          <w:color w:val="auto"/>
          <w:szCs w:val="21"/>
          <w:highlight w:val="none"/>
        </w:rPr>
        <w:t>：</w:t>
      </w:r>
      <w:r>
        <w:rPr>
          <w:rFonts w:hint="eastAsia" w:ascii="宋体" w:hAnsi="宋体"/>
          <w:color w:val="auto"/>
          <w:szCs w:val="21"/>
          <w:highlight w:val="none"/>
          <w:u w:val="single"/>
        </w:rPr>
        <w:t xml:space="preserve">发生关键工序上的工程量增加、设计变更所导致的工期延误并造成承包人关键线路的工期延误原因等延误承包人关键线路工作的情况。  </w:t>
      </w:r>
    </w:p>
    <w:p w14:paraId="047BDFE1">
      <w:pPr>
        <w:keepNext/>
        <w:keepLines/>
        <w:spacing w:before="120" w:beforeLines="50" w:after="120" w:afterLines="50" w:line="360" w:lineRule="auto"/>
        <w:outlineLvl w:val="2"/>
        <w:rPr>
          <w:rFonts w:ascii="宋体" w:hAnsi="宋体"/>
          <w:color w:val="auto"/>
          <w:kern w:val="0"/>
          <w:sz w:val="24"/>
          <w:szCs w:val="20"/>
          <w:highlight w:val="none"/>
        </w:rPr>
      </w:pPr>
      <w:bookmarkStart w:id="1802" w:name="_Toc497214079"/>
      <w:bookmarkStart w:id="1803" w:name="_Toc21919"/>
      <w:bookmarkStart w:id="1804" w:name="_Toc490331701"/>
      <w:bookmarkStart w:id="1805" w:name="_Toc25335"/>
      <w:r>
        <w:rPr>
          <w:rFonts w:ascii="宋体" w:hAnsi="宋体"/>
          <w:color w:val="auto"/>
          <w:kern w:val="0"/>
          <w:sz w:val="24"/>
          <w:szCs w:val="20"/>
          <w:highlight w:val="none"/>
        </w:rPr>
        <w:t xml:space="preserve">11.4  </w:t>
      </w:r>
      <w:r>
        <w:rPr>
          <w:rFonts w:hint="eastAsia" w:ascii="宋体" w:hAnsi="宋体"/>
          <w:color w:val="auto"/>
          <w:kern w:val="0"/>
          <w:sz w:val="24"/>
          <w:szCs w:val="20"/>
          <w:highlight w:val="none"/>
        </w:rPr>
        <w:t>异常恶劣的气候条件</w:t>
      </w:r>
      <w:bookmarkEnd w:id="1799"/>
      <w:bookmarkEnd w:id="1800"/>
      <w:bookmarkEnd w:id="1801"/>
      <w:bookmarkEnd w:id="1802"/>
      <w:bookmarkEnd w:id="1803"/>
      <w:bookmarkEnd w:id="1804"/>
      <w:bookmarkEnd w:id="1805"/>
    </w:p>
    <w:p w14:paraId="32D470DE">
      <w:pPr>
        <w:wordWrap w:val="0"/>
        <w:spacing w:line="360" w:lineRule="auto"/>
        <w:ind w:left="420" w:leftChars="200"/>
        <w:rPr>
          <w:rFonts w:ascii="宋体"/>
          <w:color w:val="auto"/>
          <w:kern w:val="0"/>
          <w:szCs w:val="21"/>
          <w:highlight w:val="none"/>
        </w:rPr>
      </w:pPr>
      <w:bookmarkStart w:id="1806" w:name="_Toc489280217"/>
      <w:bookmarkStart w:id="1807" w:name="_Toc485323185"/>
      <w:bookmarkStart w:id="1808" w:name="_Toc486580411"/>
      <w:r>
        <w:rPr>
          <w:rFonts w:hint="eastAsia" w:ascii="宋体" w:hAnsi="宋体"/>
          <w:color w:val="auto"/>
          <w:kern w:val="0"/>
          <w:szCs w:val="21"/>
          <w:highlight w:val="none"/>
        </w:rPr>
        <w:t>异常恶劣的气候条件的范围和标准</w:t>
      </w:r>
      <w:r>
        <w:rPr>
          <w:rFonts w:hint="eastAsia" w:ascii="宋体" w:hAnsi="宋体"/>
          <w:color w:val="auto"/>
          <w:szCs w:val="21"/>
          <w:highlight w:val="none"/>
        </w:rPr>
        <w:t>：</w:t>
      </w:r>
      <w:r>
        <w:rPr>
          <w:rFonts w:hint="eastAsia" w:ascii="宋体" w:hAnsi="宋体"/>
          <w:color w:val="auto"/>
          <w:szCs w:val="21"/>
          <w:highlight w:val="none"/>
          <w:u w:val="single"/>
        </w:rPr>
        <w:t xml:space="preserve">   20年一遇的最大降水(雪)量、最高温度45℃、最低温-30℃ 。     </w:t>
      </w:r>
    </w:p>
    <w:p w14:paraId="2EB80945">
      <w:pPr>
        <w:keepNext/>
        <w:keepLines/>
        <w:spacing w:before="120" w:beforeLines="50" w:after="120" w:afterLines="50" w:line="360" w:lineRule="auto"/>
        <w:outlineLvl w:val="2"/>
        <w:rPr>
          <w:rFonts w:ascii="宋体" w:hAnsi="宋体"/>
          <w:color w:val="auto"/>
          <w:kern w:val="0"/>
          <w:sz w:val="24"/>
          <w:szCs w:val="20"/>
          <w:highlight w:val="none"/>
        </w:rPr>
      </w:pPr>
      <w:bookmarkStart w:id="1809" w:name="_Toc490331702"/>
      <w:bookmarkStart w:id="1810" w:name="_Toc497214080"/>
      <w:bookmarkStart w:id="1811" w:name="_Toc932"/>
      <w:bookmarkStart w:id="1812" w:name="_Toc241"/>
      <w:r>
        <w:rPr>
          <w:rFonts w:ascii="宋体" w:hAnsi="宋体"/>
          <w:color w:val="auto"/>
          <w:kern w:val="0"/>
          <w:sz w:val="24"/>
          <w:szCs w:val="20"/>
          <w:highlight w:val="none"/>
        </w:rPr>
        <w:t xml:space="preserve">11.5  </w:t>
      </w:r>
      <w:r>
        <w:rPr>
          <w:rFonts w:hint="eastAsia" w:ascii="宋体" w:hAnsi="宋体"/>
          <w:color w:val="auto"/>
          <w:kern w:val="0"/>
          <w:sz w:val="24"/>
          <w:szCs w:val="20"/>
          <w:highlight w:val="none"/>
        </w:rPr>
        <w:t>承包人的工期延误</w:t>
      </w:r>
      <w:bookmarkEnd w:id="1806"/>
      <w:bookmarkEnd w:id="1807"/>
      <w:bookmarkEnd w:id="1808"/>
      <w:bookmarkEnd w:id="1809"/>
      <w:bookmarkEnd w:id="1810"/>
      <w:bookmarkEnd w:id="1811"/>
      <w:bookmarkEnd w:id="1812"/>
    </w:p>
    <w:p w14:paraId="17130FB4">
      <w:pPr>
        <w:wordWrap w:val="0"/>
        <w:spacing w:line="360" w:lineRule="auto"/>
        <w:ind w:left="420" w:leftChars="200"/>
        <w:rPr>
          <w:rFonts w:ascii="宋体"/>
          <w:color w:val="auto"/>
          <w:kern w:val="0"/>
          <w:szCs w:val="21"/>
          <w:highlight w:val="none"/>
        </w:rPr>
      </w:pPr>
      <w:bookmarkStart w:id="1813" w:name="_Toc485323186"/>
      <w:bookmarkStart w:id="1814" w:name="_Toc486580412"/>
      <w:bookmarkStart w:id="1815" w:name="_Toc489280218"/>
      <w:r>
        <w:rPr>
          <w:rFonts w:ascii="宋体" w:hAnsi="宋体"/>
          <w:color w:val="auto"/>
          <w:szCs w:val="21"/>
          <w:highlight w:val="none"/>
        </w:rPr>
        <w:t>11.5.</w:t>
      </w:r>
      <w:r>
        <w:rPr>
          <w:rFonts w:hint="eastAsia" w:ascii="宋体" w:hAnsi="宋体"/>
          <w:color w:val="auto"/>
          <w:szCs w:val="21"/>
          <w:highlight w:val="none"/>
        </w:rPr>
        <w:t>2</w:t>
      </w:r>
      <w:r>
        <w:rPr>
          <w:rFonts w:ascii="宋体" w:hAnsi="宋体"/>
          <w:color w:val="auto"/>
          <w:kern w:val="0"/>
          <w:szCs w:val="21"/>
          <w:highlight w:val="none"/>
        </w:rPr>
        <w:t xml:space="preserve">  </w:t>
      </w:r>
      <w:r>
        <w:rPr>
          <w:rFonts w:hAnsi="宋体"/>
          <w:color w:val="auto"/>
          <w:szCs w:val="21"/>
          <w:highlight w:val="none"/>
        </w:rPr>
        <w:t>逾期竣工违约金的计算标准和计算方法：</w:t>
      </w:r>
      <w:r>
        <w:rPr>
          <w:rFonts w:hint="eastAsia" w:hAnsi="宋体"/>
          <w:color w:val="auto"/>
          <w:szCs w:val="21"/>
          <w:highlight w:val="none"/>
          <w:u w:val="single"/>
        </w:rPr>
        <w:t>工期每延误一天，承包人应当向发包人赔偿结算造价万分之二的工期违约金，不足一天按一天计；计算方法：延误工期日历天*结算造价*万分之二</w:t>
      </w:r>
      <w:r>
        <w:rPr>
          <w:rFonts w:hAnsi="宋体"/>
          <w:color w:val="auto"/>
          <w:szCs w:val="21"/>
          <w:highlight w:val="none"/>
          <w:u w:val="single"/>
        </w:rPr>
        <w:t>。</w:t>
      </w:r>
    </w:p>
    <w:p w14:paraId="2D769ACF">
      <w:pPr>
        <w:wordWrap w:val="0"/>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逾期竣工违约金最高限额</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hAnsi="宋体"/>
          <w:color w:val="auto"/>
          <w:szCs w:val="21"/>
          <w:highlight w:val="none"/>
          <w:u w:val="single"/>
        </w:rPr>
        <w:t>合同价款的3％</w:t>
      </w:r>
      <w:r>
        <w:rPr>
          <w:rFonts w:hAnsi="宋体"/>
          <w:color w:val="auto"/>
          <w:szCs w:val="21"/>
          <w:highlight w:val="none"/>
          <w:u w:val="single"/>
        </w:rPr>
        <w:t xml:space="preserve"> </w:t>
      </w:r>
      <w:r>
        <w:rPr>
          <w:rFonts w:hint="eastAsia" w:hAnsi="宋体"/>
          <w:color w:val="auto"/>
          <w:szCs w:val="21"/>
          <w:highlight w:val="none"/>
          <w:u w:val="single"/>
        </w:rPr>
        <w:t>。</w:t>
      </w:r>
      <w:r>
        <w:rPr>
          <w:rFonts w:hint="eastAsia" w:ascii="宋体" w:hAnsi="宋体"/>
          <w:color w:val="auto"/>
          <w:szCs w:val="21"/>
          <w:highlight w:val="none"/>
          <w:u w:val="single"/>
        </w:rPr>
        <w:t xml:space="preserve"> </w:t>
      </w:r>
    </w:p>
    <w:p w14:paraId="592A7751">
      <w:pPr>
        <w:keepNext/>
        <w:keepLines/>
        <w:spacing w:before="120" w:beforeLines="50" w:after="120" w:afterLines="50" w:line="360" w:lineRule="auto"/>
        <w:outlineLvl w:val="2"/>
        <w:rPr>
          <w:rFonts w:ascii="宋体" w:hAnsi="宋体"/>
          <w:color w:val="auto"/>
          <w:kern w:val="0"/>
          <w:sz w:val="24"/>
          <w:szCs w:val="20"/>
          <w:highlight w:val="none"/>
        </w:rPr>
      </w:pPr>
      <w:bookmarkStart w:id="1816" w:name="_Toc11996"/>
      <w:bookmarkStart w:id="1817" w:name="_Toc1339"/>
      <w:bookmarkStart w:id="1818" w:name="_Toc490331703"/>
      <w:bookmarkStart w:id="1819" w:name="_Toc497214081"/>
      <w:r>
        <w:rPr>
          <w:rFonts w:ascii="宋体" w:hAnsi="宋体"/>
          <w:color w:val="auto"/>
          <w:kern w:val="0"/>
          <w:sz w:val="24"/>
          <w:szCs w:val="20"/>
          <w:highlight w:val="none"/>
        </w:rPr>
        <w:t xml:space="preserve">11.6  </w:t>
      </w:r>
      <w:r>
        <w:rPr>
          <w:rFonts w:hint="eastAsia" w:ascii="宋体" w:hAnsi="宋体"/>
          <w:color w:val="auto"/>
          <w:kern w:val="0"/>
          <w:sz w:val="24"/>
          <w:szCs w:val="20"/>
          <w:highlight w:val="none"/>
        </w:rPr>
        <w:t>工期提前</w:t>
      </w:r>
      <w:bookmarkEnd w:id="1813"/>
      <w:bookmarkEnd w:id="1814"/>
      <w:bookmarkEnd w:id="1815"/>
      <w:bookmarkEnd w:id="1816"/>
      <w:bookmarkEnd w:id="1817"/>
      <w:bookmarkEnd w:id="1818"/>
      <w:bookmarkEnd w:id="1819"/>
    </w:p>
    <w:p w14:paraId="50B7B1D6">
      <w:pPr>
        <w:wordWrap w:val="0"/>
        <w:spacing w:line="360" w:lineRule="auto"/>
        <w:ind w:left="420" w:leftChars="200"/>
        <w:rPr>
          <w:rFonts w:ascii="宋体"/>
          <w:color w:val="auto"/>
          <w:kern w:val="0"/>
          <w:szCs w:val="21"/>
          <w:highlight w:val="none"/>
        </w:rPr>
      </w:pPr>
      <w:bookmarkStart w:id="1820" w:name="_Toc489280219"/>
      <w:bookmarkStart w:id="1821" w:name="_Toc486580413"/>
      <w:bookmarkStart w:id="1822" w:name="_Toc485323187"/>
      <w:r>
        <w:rPr>
          <w:rFonts w:hint="eastAsia" w:ascii="宋体" w:hAnsi="宋体"/>
          <w:color w:val="auto"/>
          <w:kern w:val="0"/>
          <w:szCs w:val="21"/>
          <w:highlight w:val="none"/>
        </w:rPr>
        <w:t>提前竣工的奖励办法</w:t>
      </w:r>
      <w:r>
        <w:rPr>
          <w:rFonts w:hint="eastAsia" w:ascii="宋体" w:hAnsi="宋体"/>
          <w:color w:val="auto"/>
          <w:szCs w:val="21"/>
          <w:highlight w:val="none"/>
        </w:rPr>
        <w:t>：</w:t>
      </w:r>
      <w:r>
        <w:rPr>
          <w:rFonts w:hint="eastAsia" w:ascii="宋体" w:hAnsi="宋体"/>
          <w:color w:val="auto"/>
          <w:szCs w:val="21"/>
          <w:highlight w:val="none"/>
          <w:u w:val="single"/>
        </w:rPr>
        <w:t xml:space="preserve">  /                  </w:t>
      </w:r>
    </w:p>
    <w:p w14:paraId="2BB576B8">
      <w:pPr>
        <w:keepNext/>
        <w:keepLines/>
        <w:spacing w:before="120" w:beforeLines="50" w:after="120" w:afterLines="50" w:line="360" w:lineRule="auto"/>
        <w:outlineLvl w:val="1"/>
        <w:rPr>
          <w:rFonts w:ascii="宋体" w:hAnsi="宋体" w:cs="宋体"/>
          <w:color w:val="auto"/>
          <w:sz w:val="28"/>
          <w:szCs w:val="20"/>
          <w:highlight w:val="none"/>
        </w:rPr>
      </w:pPr>
      <w:bookmarkStart w:id="1823" w:name="_Toc490331704"/>
      <w:bookmarkStart w:id="1824" w:name="_Toc22026"/>
      <w:bookmarkStart w:id="1825" w:name="_Toc30637"/>
      <w:bookmarkStart w:id="1826" w:name="_Toc497214082"/>
      <w:r>
        <w:rPr>
          <w:rFonts w:ascii="宋体" w:hAnsi="宋体" w:cs="宋体"/>
          <w:color w:val="auto"/>
          <w:sz w:val="28"/>
          <w:szCs w:val="20"/>
          <w:highlight w:val="none"/>
        </w:rPr>
        <w:t>12.</w:t>
      </w:r>
      <w:r>
        <w:rPr>
          <w:rFonts w:hint="eastAsia" w:ascii="宋体" w:hAnsi="宋体" w:cs="宋体"/>
          <w:color w:val="auto"/>
          <w:sz w:val="28"/>
          <w:szCs w:val="20"/>
          <w:highlight w:val="none"/>
        </w:rPr>
        <w:t>暂停施工</w:t>
      </w:r>
      <w:bookmarkEnd w:id="1820"/>
      <w:bookmarkEnd w:id="1821"/>
      <w:bookmarkEnd w:id="1822"/>
      <w:bookmarkEnd w:id="1823"/>
      <w:bookmarkEnd w:id="1824"/>
      <w:bookmarkEnd w:id="1825"/>
      <w:bookmarkEnd w:id="1826"/>
    </w:p>
    <w:p w14:paraId="35BDEAF5">
      <w:pPr>
        <w:keepNext/>
        <w:keepLines/>
        <w:spacing w:before="120" w:beforeLines="50" w:after="120" w:afterLines="50" w:line="360" w:lineRule="auto"/>
        <w:outlineLvl w:val="2"/>
        <w:rPr>
          <w:rFonts w:ascii="宋体" w:hAnsi="宋体"/>
          <w:color w:val="auto"/>
          <w:kern w:val="0"/>
          <w:sz w:val="24"/>
          <w:szCs w:val="20"/>
          <w:highlight w:val="none"/>
        </w:rPr>
      </w:pPr>
      <w:bookmarkStart w:id="1827" w:name="_Toc489280220"/>
      <w:bookmarkStart w:id="1828" w:name="_Toc497214083"/>
      <w:bookmarkStart w:id="1829" w:name="_Toc485323188"/>
      <w:bookmarkStart w:id="1830" w:name="_Toc14666"/>
      <w:bookmarkStart w:id="1831" w:name="_Toc7620"/>
      <w:bookmarkStart w:id="1832" w:name="_Toc486580414"/>
      <w:bookmarkStart w:id="1833" w:name="_Toc490331705"/>
      <w:r>
        <w:rPr>
          <w:rFonts w:ascii="宋体" w:hAnsi="宋体"/>
          <w:color w:val="auto"/>
          <w:kern w:val="0"/>
          <w:sz w:val="24"/>
          <w:szCs w:val="20"/>
          <w:highlight w:val="none"/>
        </w:rPr>
        <w:t xml:space="preserve">12.1  </w:t>
      </w:r>
      <w:r>
        <w:rPr>
          <w:rFonts w:hint="eastAsia" w:ascii="宋体" w:hAnsi="宋体"/>
          <w:color w:val="auto"/>
          <w:kern w:val="0"/>
          <w:sz w:val="24"/>
          <w:szCs w:val="20"/>
          <w:highlight w:val="none"/>
        </w:rPr>
        <w:t>承包人暂停施工的责任</w:t>
      </w:r>
      <w:bookmarkEnd w:id="1827"/>
      <w:bookmarkEnd w:id="1828"/>
      <w:bookmarkEnd w:id="1829"/>
      <w:bookmarkEnd w:id="1830"/>
      <w:bookmarkEnd w:id="1831"/>
      <w:bookmarkEnd w:id="1832"/>
      <w:bookmarkEnd w:id="1833"/>
    </w:p>
    <w:p w14:paraId="526C5842">
      <w:pPr>
        <w:wordWrap w:val="0"/>
        <w:spacing w:line="360" w:lineRule="auto"/>
        <w:ind w:left="420" w:leftChars="200"/>
        <w:rPr>
          <w:rFonts w:ascii="宋体"/>
          <w:color w:val="auto"/>
          <w:kern w:val="0"/>
          <w:szCs w:val="21"/>
          <w:highlight w:val="none"/>
        </w:rPr>
      </w:pPr>
      <w:bookmarkStart w:id="1834" w:name="_Toc486580415"/>
      <w:bookmarkStart w:id="1835" w:name="_Toc485323189"/>
      <w:bookmarkStart w:id="1836" w:name="_Toc489280221"/>
      <w:r>
        <w:rPr>
          <w:rFonts w:hint="eastAsia" w:ascii="宋体" w:hAnsi="宋体"/>
          <w:color w:val="auto"/>
          <w:kern w:val="0"/>
          <w:szCs w:val="21"/>
          <w:highlight w:val="none"/>
        </w:rPr>
        <w:t>（</w:t>
      </w:r>
      <w:r>
        <w:rPr>
          <w:rFonts w:ascii="宋体" w:hAnsi="宋体"/>
          <w:color w:val="auto"/>
          <w:kern w:val="0"/>
          <w:szCs w:val="21"/>
          <w:highlight w:val="none"/>
        </w:rPr>
        <w:t>4</w:t>
      </w:r>
      <w:r>
        <w:rPr>
          <w:rFonts w:hint="eastAsia" w:ascii="宋体" w:hAnsi="宋体"/>
          <w:color w:val="auto"/>
          <w:kern w:val="0"/>
          <w:szCs w:val="21"/>
          <w:highlight w:val="none"/>
        </w:rPr>
        <w:t>）承包人承担暂停施工责任的其他情形</w:t>
      </w:r>
      <w:r>
        <w:rPr>
          <w:rFonts w:hint="eastAsia" w:ascii="宋体" w:hAnsi="宋体"/>
          <w:color w:val="auto"/>
          <w:szCs w:val="21"/>
          <w:highlight w:val="none"/>
        </w:rPr>
        <w:t>：</w:t>
      </w:r>
      <w:r>
        <w:rPr>
          <w:rFonts w:hint="eastAsia" w:ascii="宋体" w:hAnsi="宋体"/>
          <w:color w:val="auto"/>
          <w:szCs w:val="21"/>
          <w:highlight w:val="none"/>
          <w:u w:val="single"/>
        </w:rPr>
        <w:t xml:space="preserve">  节假日（包括但不限于如春节、五一、国庆、元旦、清明、中秋、周末假等）、高考、中考、农忙、政府因素、各种会议及比赛影响、未构成不可抗力的疫情的影响、道路管制、现场工作面、场地条件、地质情况、施工难度、与相关单位施工配合等，承包人已将上述原因导致的工程暂停影响在投标报价阶段予以了充分考虑。 </w:t>
      </w:r>
    </w:p>
    <w:p w14:paraId="413F7263">
      <w:pPr>
        <w:keepNext/>
        <w:keepLines/>
        <w:spacing w:before="120" w:beforeLines="50" w:after="120" w:afterLines="50" w:line="360" w:lineRule="auto"/>
        <w:outlineLvl w:val="1"/>
        <w:rPr>
          <w:rFonts w:ascii="宋体" w:hAnsi="宋体" w:cs="宋体"/>
          <w:color w:val="auto"/>
          <w:sz w:val="28"/>
          <w:szCs w:val="20"/>
          <w:highlight w:val="none"/>
        </w:rPr>
      </w:pPr>
      <w:bookmarkStart w:id="1837" w:name="_Toc628"/>
      <w:bookmarkStart w:id="1838" w:name="_Toc490331706"/>
      <w:bookmarkStart w:id="1839" w:name="_Toc18960"/>
      <w:bookmarkStart w:id="1840" w:name="_Toc497214084"/>
      <w:r>
        <w:rPr>
          <w:rFonts w:ascii="宋体" w:hAnsi="宋体" w:cs="宋体"/>
          <w:color w:val="auto"/>
          <w:sz w:val="28"/>
          <w:szCs w:val="20"/>
          <w:highlight w:val="none"/>
        </w:rPr>
        <w:t>13.</w:t>
      </w:r>
      <w:r>
        <w:rPr>
          <w:rFonts w:hint="eastAsia" w:ascii="宋体" w:hAnsi="宋体" w:cs="宋体"/>
          <w:color w:val="auto"/>
          <w:sz w:val="28"/>
          <w:szCs w:val="20"/>
          <w:highlight w:val="none"/>
        </w:rPr>
        <w:t>工程质量</w:t>
      </w:r>
      <w:bookmarkEnd w:id="1834"/>
      <w:bookmarkEnd w:id="1835"/>
      <w:bookmarkEnd w:id="1836"/>
      <w:bookmarkEnd w:id="1837"/>
      <w:bookmarkEnd w:id="1838"/>
      <w:bookmarkEnd w:id="1839"/>
      <w:bookmarkEnd w:id="1840"/>
    </w:p>
    <w:p w14:paraId="305CB878">
      <w:pPr>
        <w:keepNext/>
        <w:keepLines/>
        <w:spacing w:before="120" w:beforeLines="50" w:after="120" w:afterLines="50" w:line="360" w:lineRule="auto"/>
        <w:outlineLvl w:val="2"/>
        <w:rPr>
          <w:rFonts w:ascii="宋体" w:hAnsi="宋体"/>
          <w:color w:val="auto"/>
          <w:kern w:val="0"/>
          <w:sz w:val="24"/>
          <w:szCs w:val="20"/>
          <w:highlight w:val="none"/>
        </w:rPr>
      </w:pPr>
      <w:bookmarkStart w:id="1841" w:name="_Toc489280222"/>
      <w:bookmarkStart w:id="1842" w:name="_Toc497214085"/>
      <w:bookmarkStart w:id="1843" w:name="_Toc490331707"/>
      <w:bookmarkStart w:id="1844" w:name="_Toc18663"/>
      <w:bookmarkStart w:id="1845" w:name="_Toc12899"/>
      <w:bookmarkStart w:id="1846" w:name="_Toc485323190"/>
      <w:bookmarkStart w:id="1847" w:name="_Toc486580416"/>
      <w:r>
        <w:rPr>
          <w:rFonts w:ascii="宋体" w:hAnsi="宋体"/>
          <w:color w:val="auto"/>
          <w:kern w:val="0"/>
          <w:sz w:val="24"/>
          <w:szCs w:val="20"/>
          <w:highlight w:val="none"/>
        </w:rPr>
        <w:t xml:space="preserve">13.2  </w:t>
      </w:r>
      <w:r>
        <w:rPr>
          <w:rFonts w:hint="eastAsia" w:ascii="宋体" w:hAnsi="宋体"/>
          <w:color w:val="auto"/>
          <w:kern w:val="0"/>
          <w:sz w:val="24"/>
          <w:szCs w:val="20"/>
          <w:highlight w:val="none"/>
        </w:rPr>
        <w:t>承包人的质量管理</w:t>
      </w:r>
      <w:bookmarkEnd w:id="1841"/>
      <w:bookmarkEnd w:id="1842"/>
      <w:bookmarkEnd w:id="1843"/>
      <w:bookmarkEnd w:id="1844"/>
      <w:bookmarkEnd w:id="1845"/>
      <w:bookmarkEnd w:id="1846"/>
      <w:bookmarkEnd w:id="1847"/>
    </w:p>
    <w:p w14:paraId="3425E62D">
      <w:pPr>
        <w:spacing w:line="360" w:lineRule="auto"/>
        <w:ind w:firstLine="420" w:firstLineChars="200"/>
        <w:rPr>
          <w:rFonts w:ascii="宋体" w:cs="Arial"/>
          <w:color w:val="auto"/>
          <w:highlight w:val="none"/>
        </w:rPr>
      </w:pPr>
      <w:r>
        <w:rPr>
          <w:rFonts w:ascii="宋体" w:hAnsi="宋体"/>
          <w:color w:val="auto"/>
          <w:szCs w:val="21"/>
          <w:highlight w:val="none"/>
        </w:rPr>
        <w:t>13</w:t>
      </w:r>
      <w:r>
        <w:rPr>
          <w:rFonts w:ascii="宋体"/>
          <w:color w:val="auto"/>
          <w:szCs w:val="21"/>
          <w:highlight w:val="none"/>
        </w:rPr>
        <w:t>.</w:t>
      </w:r>
      <w:r>
        <w:rPr>
          <w:rFonts w:ascii="宋体" w:hAnsi="宋体"/>
          <w:color w:val="auto"/>
          <w:szCs w:val="21"/>
          <w:highlight w:val="none"/>
        </w:rPr>
        <w:t>2</w:t>
      </w:r>
      <w:r>
        <w:rPr>
          <w:rFonts w:ascii="宋体"/>
          <w:color w:val="auto"/>
          <w:szCs w:val="21"/>
          <w:highlight w:val="none"/>
        </w:rPr>
        <w:t>.</w:t>
      </w:r>
      <w:r>
        <w:rPr>
          <w:rFonts w:ascii="宋体" w:hAnsi="宋体"/>
          <w:color w:val="auto"/>
          <w:szCs w:val="21"/>
          <w:highlight w:val="none"/>
        </w:rPr>
        <w:t xml:space="preserve">1  </w:t>
      </w:r>
      <w:r>
        <w:rPr>
          <w:rFonts w:hint="eastAsia" w:ascii="宋体" w:hAnsi="宋体"/>
          <w:color w:val="auto"/>
          <w:szCs w:val="21"/>
          <w:highlight w:val="none"/>
        </w:rPr>
        <w:t>承包人向监理人提交工程质量保证措施文件的期限：</w:t>
      </w:r>
      <w:r>
        <w:rPr>
          <w:rFonts w:hint="eastAsia" w:hAnsi="宋体"/>
          <w:color w:val="auto"/>
          <w:highlight w:val="none"/>
          <w:u w:val="single"/>
        </w:rPr>
        <w:t>签订合同后</w:t>
      </w:r>
      <w:r>
        <w:rPr>
          <w:rFonts w:hAnsi="宋体"/>
          <w:color w:val="auto"/>
          <w:highlight w:val="none"/>
          <w:u w:val="single"/>
        </w:rPr>
        <w:t>7</w:t>
      </w:r>
      <w:r>
        <w:rPr>
          <w:rFonts w:hint="eastAsia" w:hAnsi="宋体"/>
          <w:color w:val="auto"/>
          <w:highlight w:val="none"/>
          <w:u w:val="single"/>
        </w:rPr>
        <w:t>天内</w:t>
      </w:r>
      <w:r>
        <w:rPr>
          <w:rFonts w:ascii="宋体" w:hAnsi="宋体"/>
          <w:color w:val="auto"/>
          <w:szCs w:val="21"/>
          <w:highlight w:val="none"/>
          <w:u w:val="single"/>
        </w:rPr>
        <w:t xml:space="preserve">  </w:t>
      </w:r>
    </w:p>
    <w:p w14:paraId="344CABFF">
      <w:pPr>
        <w:spacing w:line="360" w:lineRule="auto"/>
        <w:ind w:firstLine="420" w:firstLineChars="200"/>
        <w:rPr>
          <w:rFonts w:ascii="宋体"/>
          <w:color w:val="auto"/>
          <w:szCs w:val="21"/>
          <w:highlight w:val="none"/>
        </w:rPr>
      </w:pPr>
      <w:r>
        <w:rPr>
          <w:rFonts w:hint="eastAsia" w:ascii="宋体" w:hAnsi="宋体"/>
          <w:color w:val="auto"/>
          <w:szCs w:val="21"/>
          <w:highlight w:val="none"/>
        </w:rPr>
        <w:t>监理人审批工程质量保证措施文件的期限：</w:t>
      </w:r>
      <w:r>
        <w:rPr>
          <w:rFonts w:ascii="宋体" w:hAnsi="宋体"/>
          <w:color w:val="auto"/>
          <w:szCs w:val="21"/>
          <w:highlight w:val="none"/>
          <w:u w:val="single"/>
        </w:rPr>
        <w:t xml:space="preserve">   7</w:t>
      </w:r>
      <w:r>
        <w:rPr>
          <w:rFonts w:hint="eastAsia" w:ascii="宋体" w:hAnsi="宋体"/>
          <w:color w:val="auto"/>
          <w:szCs w:val="21"/>
          <w:highlight w:val="none"/>
          <w:u w:val="single"/>
        </w:rPr>
        <w:t>天</w:t>
      </w:r>
      <w:r>
        <w:rPr>
          <w:rFonts w:ascii="宋体" w:hAnsi="宋体"/>
          <w:color w:val="auto"/>
          <w:szCs w:val="21"/>
          <w:highlight w:val="none"/>
          <w:u w:val="single"/>
        </w:rPr>
        <w:t xml:space="preserve">                          </w:t>
      </w:r>
    </w:p>
    <w:p w14:paraId="085D282A">
      <w:pPr>
        <w:keepNext/>
        <w:keepLines/>
        <w:spacing w:before="120" w:beforeLines="50" w:after="120" w:afterLines="50" w:line="360" w:lineRule="auto"/>
        <w:outlineLvl w:val="2"/>
        <w:rPr>
          <w:rFonts w:ascii="宋体" w:hAnsi="宋体"/>
          <w:color w:val="auto"/>
          <w:kern w:val="0"/>
          <w:sz w:val="24"/>
          <w:szCs w:val="20"/>
          <w:highlight w:val="none"/>
        </w:rPr>
      </w:pPr>
      <w:bookmarkStart w:id="1848" w:name="_Toc497214086"/>
      <w:bookmarkStart w:id="1849" w:name="_Toc5052"/>
      <w:bookmarkStart w:id="1850" w:name="_Toc489280223"/>
      <w:bookmarkStart w:id="1851" w:name="_Toc485323191"/>
      <w:bookmarkStart w:id="1852" w:name="_Toc490331708"/>
      <w:bookmarkStart w:id="1853" w:name="_Toc486580417"/>
      <w:bookmarkStart w:id="1854" w:name="_Toc25308"/>
      <w:r>
        <w:rPr>
          <w:rFonts w:ascii="宋体" w:hAnsi="宋体"/>
          <w:color w:val="auto"/>
          <w:kern w:val="0"/>
          <w:sz w:val="24"/>
          <w:szCs w:val="20"/>
          <w:highlight w:val="none"/>
        </w:rPr>
        <w:t xml:space="preserve">13.3  </w:t>
      </w:r>
      <w:r>
        <w:rPr>
          <w:rFonts w:hint="eastAsia" w:ascii="宋体" w:hAnsi="宋体"/>
          <w:color w:val="auto"/>
          <w:kern w:val="0"/>
          <w:sz w:val="24"/>
          <w:szCs w:val="20"/>
          <w:highlight w:val="none"/>
        </w:rPr>
        <w:t>承包人的质量检查</w:t>
      </w:r>
      <w:bookmarkEnd w:id="1848"/>
      <w:bookmarkEnd w:id="1849"/>
      <w:bookmarkEnd w:id="1850"/>
      <w:bookmarkEnd w:id="1851"/>
      <w:bookmarkEnd w:id="1852"/>
      <w:bookmarkEnd w:id="1853"/>
      <w:bookmarkEnd w:id="1854"/>
    </w:p>
    <w:p w14:paraId="2123AB9C">
      <w:pPr>
        <w:spacing w:line="360" w:lineRule="auto"/>
        <w:ind w:firstLine="420" w:firstLineChars="200"/>
        <w:rPr>
          <w:rFonts w:ascii="宋体" w:cs="Arial"/>
          <w:color w:val="auto"/>
          <w:highlight w:val="none"/>
        </w:rPr>
      </w:pPr>
      <w:r>
        <w:rPr>
          <w:rFonts w:hint="eastAsia" w:ascii="宋体" w:hAnsi="宋体"/>
          <w:color w:val="auto"/>
          <w:szCs w:val="21"/>
          <w:highlight w:val="none"/>
        </w:rPr>
        <w:t>承包人向监理人报送工程质量报表的期限：</w:t>
      </w:r>
      <w:r>
        <w:rPr>
          <w:rFonts w:ascii="宋体" w:hAnsi="宋体"/>
          <w:color w:val="auto"/>
          <w:szCs w:val="21"/>
          <w:highlight w:val="none"/>
          <w:u w:val="single"/>
        </w:rPr>
        <w:t xml:space="preserve">   </w:t>
      </w:r>
      <w:r>
        <w:rPr>
          <w:rFonts w:hint="eastAsia" w:ascii="宋体" w:hAnsi="宋体"/>
          <w:color w:val="auto"/>
          <w:szCs w:val="21"/>
          <w:highlight w:val="none"/>
          <w:u w:val="single"/>
        </w:rPr>
        <w:t>质量检查前24小时内</w:t>
      </w:r>
      <w:r>
        <w:rPr>
          <w:rFonts w:ascii="宋体" w:hAnsi="宋体"/>
          <w:color w:val="auto"/>
          <w:szCs w:val="21"/>
          <w:highlight w:val="none"/>
          <w:u w:val="single"/>
        </w:rPr>
        <w:t xml:space="preserve">。               </w:t>
      </w:r>
    </w:p>
    <w:p w14:paraId="6EB6CCA3">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承包人向监理人报送工程质量报表的要求：</w:t>
      </w:r>
      <w:r>
        <w:rPr>
          <w:rFonts w:ascii="宋体" w:hAnsi="宋体"/>
          <w:color w:val="auto"/>
          <w:szCs w:val="21"/>
          <w:highlight w:val="none"/>
          <w:u w:val="single"/>
        </w:rPr>
        <w:t xml:space="preserve">   </w:t>
      </w:r>
      <w:r>
        <w:rPr>
          <w:rFonts w:hint="eastAsia" w:ascii="宋体" w:hAnsi="宋体"/>
          <w:color w:val="auto"/>
          <w:szCs w:val="21"/>
          <w:highlight w:val="none"/>
          <w:u w:val="single"/>
        </w:rPr>
        <w:t>质量检测相关文件真实、完整</w:t>
      </w:r>
      <w:r>
        <w:rPr>
          <w:rFonts w:ascii="宋体" w:hAnsi="宋体"/>
          <w:color w:val="auto"/>
          <w:szCs w:val="21"/>
          <w:highlight w:val="none"/>
          <w:u w:val="single"/>
        </w:rPr>
        <w:t xml:space="preserve">。            </w:t>
      </w:r>
    </w:p>
    <w:p w14:paraId="6D0E9266">
      <w:pPr>
        <w:spacing w:line="360" w:lineRule="auto"/>
        <w:ind w:firstLine="420" w:firstLineChars="200"/>
        <w:rPr>
          <w:rFonts w:ascii="宋体"/>
          <w:color w:val="auto"/>
          <w:szCs w:val="21"/>
          <w:highlight w:val="none"/>
        </w:rPr>
      </w:pPr>
      <w:r>
        <w:rPr>
          <w:rFonts w:hint="eastAsia" w:ascii="宋体" w:hAnsi="宋体"/>
          <w:color w:val="auto"/>
          <w:szCs w:val="21"/>
          <w:highlight w:val="none"/>
        </w:rPr>
        <w:t>监理人审查工程质量报表的期限：</w:t>
      </w:r>
      <w:r>
        <w:rPr>
          <w:rFonts w:ascii="宋体" w:hAnsi="宋体"/>
          <w:color w:val="auto"/>
          <w:szCs w:val="21"/>
          <w:highlight w:val="none"/>
          <w:u w:val="single"/>
        </w:rPr>
        <w:t xml:space="preserve">   </w:t>
      </w:r>
      <w:r>
        <w:rPr>
          <w:rFonts w:hint="eastAsia" w:ascii="宋体" w:hAnsi="宋体"/>
          <w:color w:val="auto"/>
          <w:szCs w:val="21"/>
          <w:highlight w:val="none"/>
          <w:u w:val="single"/>
        </w:rPr>
        <w:t>收到报表后7日内</w:t>
      </w:r>
      <w:r>
        <w:rPr>
          <w:rFonts w:ascii="宋体" w:hAnsi="宋体"/>
          <w:color w:val="auto"/>
          <w:szCs w:val="21"/>
          <w:highlight w:val="none"/>
          <w:u w:val="single"/>
        </w:rPr>
        <w:t xml:space="preserve">。                   </w:t>
      </w:r>
    </w:p>
    <w:p w14:paraId="66C27646">
      <w:pPr>
        <w:keepNext/>
        <w:keepLines/>
        <w:spacing w:before="120" w:beforeLines="50" w:after="120" w:afterLines="50" w:line="360" w:lineRule="auto"/>
        <w:outlineLvl w:val="2"/>
        <w:rPr>
          <w:rFonts w:ascii="宋体" w:hAnsi="宋体"/>
          <w:color w:val="auto"/>
          <w:kern w:val="0"/>
          <w:sz w:val="24"/>
          <w:szCs w:val="20"/>
          <w:highlight w:val="none"/>
        </w:rPr>
      </w:pPr>
      <w:bookmarkStart w:id="1855" w:name="_Toc8688"/>
      <w:bookmarkStart w:id="1856" w:name="_Toc497214087"/>
      <w:bookmarkStart w:id="1857" w:name="_Toc11391"/>
      <w:bookmarkStart w:id="1858" w:name="_Toc486580418"/>
      <w:bookmarkStart w:id="1859" w:name="_Toc490331709"/>
      <w:bookmarkStart w:id="1860" w:name="_Toc489280224"/>
      <w:bookmarkStart w:id="1861" w:name="_Toc485323192"/>
      <w:r>
        <w:rPr>
          <w:rFonts w:ascii="宋体" w:hAnsi="宋体"/>
          <w:color w:val="auto"/>
          <w:kern w:val="0"/>
          <w:sz w:val="24"/>
          <w:szCs w:val="20"/>
          <w:highlight w:val="none"/>
        </w:rPr>
        <w:t xml:space="preserve">13.4  </w:t>
      </w:r>
      <w:r>
        <w:rPr>
          <w:rFonts w:hint="eastAsia" w:ascii="宋体" w:hAnsi="宋体"/>
          <w:color w:val="auto"/>
          <w:kern w:val="0"/>
          <w:sz w:val="24"/>
          <w:szCs w:val="20"/>
          <w:highlight w:val="none"/>
        </w:rPr>
        <w:t>监理人的质量检查</w:t>
      </w:r>
      <w:bookmarkEnd w:id="1855"/>
      <w:bookmarkEnd w:id="1856"/>
      <w:bookmarkEnd w:id="1857"/>
      <w:bookmarkEnd w:id="1858"/>
      <w:bookmarkEnd w:id="1859"/>
      <w:bookmarkEnd w:id="1860"/>
      <w:bookmarkEnd w:id="1861"/>
    </w:p>
    <w:p w14:paraId="4FB6A701">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承包人应当为监理人的检查和检验提供方便，监理人可以进行察看和查阅施工原始记录的其他地方包括：</w:t>
      </w:r>
      <w:r>
        <w:rPr>
          <w:rFonts w:ascii="宋体" w:hAnsi="宋体"/>
          <w:color w:val="auto"/>
          <w:szCs w:val="21"/>
          <w:highlight w:val="none"/>
          <w:u w:val="single"/>
        </w:rPr>
        <w:t xml:space="preserve">     /                                                    </w:t>
      </w:r>
    </w:p>
    <w:p w14:paraId="63430BFE">
      <w:pPr>
        <w:keepNext/>
        <w:keepLines/>
        <w:spacing w:before="120" w:beforeLines="50" w:after="120" w:afterLines="50" w:line="360" w:lineRule="auto"/>
        <w:outlineLvl w:val="2"/>
        <w:rPr>
          <w:rFonts w:ascii="宋体" w:hAnsi="宋体"/>
          <w:color w:val="auto"/>
          <w:kern w:val="0"/>
          <w:sz w:val="24"/>
          <w:szCs w:val="20"/>
          <w:highlight w:val="none"/>
        </w:rPr>
      </w:pPr>
      <w:bookmarkStart w:id="1862" w:name="_Toc489280225"/>
      <w:bookmarkStart w:id="1863" w:name="_Toc486580419"/>
      <w:bookmarkStart w:id="1864" w:name="_Toc497214088"/>
      <w:bookmarkStart w:id="1865" w:name="_Toc490331710"/>
      <w:bookmarkStart w:id="1866" w:name="_Toc14400"/>
      <w:bookmarkStart w:id="1867" w:name="_Toc485323193"/>
      <w:bookmarkStart w:id="1868" w:name="_Toc3976"/>
      <w:r>
        <w:rPr>
          <w:rFonts w:ascii="宋体" w:hAnsi="宋体"/>
          <w:color w:val="auto"/>
          <w:kern w:val="0"/>
          <w:sz w:val="24"/>
          <w:szCs w:val="20"/>
          <w:highlight w:val="none"/>
        </w:rPr>
        <w:t xml:space="preserve">13.5  </w:t>
      </w:r>
      <w:r>
        <w:rPr>
          <w:rFonts w:hint="eastAsia" w:ascii="宋体" w:hAnsi="宋体"/>
          <w:color w:val="auto"/>
          <w:kern w:val="0"/>
          <w:sz w:val="24"/>
          <w:szCs w:val="20"/>
          <w:highlight w:val="none"/>
        </w:rPr>
        <w:t>工程隐蔽部位覆盖前的检查</w:t>
      </w:r>
      <w:bookmarkEnd w:id="1862"/>
      <w:bookmarkEnd w:id="1863"/>
      <w:bookmarkEnd w:id="1864"/>
      <w:bookmarkEnd w:id="1865"/>
      <w:bookmarkEnd w:id="1866"/>
      <w:bookmarkEnd w:id="1867"/>
      <w:bookmarkEnd w:id="1868"/>
    </w:p>
    <w:p w14:paraId="63575309">
      <w:pPr>
        <w:spacing w:line="360" w:lineRule="auto"/>
        <w:ind w:firstLine="420" w:firstLineChars="200"/>
        <w:rPr>
          <w:rFonts w:ascii="宋体" w:cs="Arial"/>
          <w:color w:val="auto"/>
          <w:highlight w:val="none"/>
        </w:rPr>
      </w:pPr>
      <w:r>
        <w:rPr>
          <w:rFonts w:ascii="宋体" w:hAnsi="宋体"/>
          <w:color w:val="auto"/>
          <w:szCs w:val="21"/>
          <w:highlight w:val="none"/>
        </w:rPr>
        <w:t>13</w:t>
      </w:r>
      <w:r>
        <w:rPr>
          <w:rFonts w:ascii="宋体"/>
          <w:color w:val="auto"/>
          <w:szCs w:val="21"/>
          <w:highlight w:val="none"/>
        </w:rPr>
        <w:t>.</w:t>
      </w:r>
      <w:r>
        <w:rPr>
          <w:rFonts w:ascii="宋体" w:hAnsi="宋体"/>
          <w:color w:val="auto"/>
          <w:szCs w:val="21"/>
          <w:highlight w:val="none"/>
        </w:rPr>
        <w:t>5</w:t>
      </w:r>
      <w:r>
        <w:rPr>
          <w:rFonts w:ascii="宋体"/>
          <w:color w:val="auto"/>
          <w:szCs w:val="21"/>
          <w:highlight w:val="none"/>
        </w:rPr>
        <w:t>.</w:t>
      </w:r>
      <w:r>
        <w:rPr>
          <w:rFonts w:ascii="宋体" w:hAnsi="宋体"/>
          <w:color w:val="auto"/>
          <w:szCs w:val="21"/>
          <w:highlight w:val="none"/>
        </w:rPr>
        <w:t xml:space="preserve">1  </w:t>
      </w:r>
      <w:r>
        <w:rPr>
          <w:rFonts w:hint="eastAsia" w:ascii="宋体" w:hAnsi="宋体"/>
          <w:color w:val="auto"/>
          <w:szCs w:val="21"/>
          <w:highlight w:val="none"/>
        </w:rPr>
        <w:t>监理人对工程隐蔽部位进行检查的期限：</w:t>
      </w:r>
      <w:r>
        <w:rPr>
          <w:rFonts w:ascii="宋体" w:hAnsi="宋体"/>
          <w:color w:val="auto"/>
          <w:szCs w:val="21"/>
          <w:highlight w:val="none"/>
          <w:u w:val="single"/>
        </w:rPr>
        <w:t xml:space="preserve">  </w:t>
      </w:r>
      <w:r>
        <w:rPr>
          <w:rFonts w:hint="eastAsia" w:ascii="宋体" w:hAnsi="宋体"/>
          <w:color w:val="auto"/>
          <w:szCs w:val="21"/>
          <w:highlight w:val="none"/>
          <w:u w:val="single"/>
        </w:rPr>
        <w:t>收到承包人的检查通知后</w:t>
      </w:r>
      <w:r>
        <w:rPr>
          <w:rFonts w:ascii="宋体" w:hAnsi="宋体"/>
          <w:color w:val="auto"/>
          <w:szCs w:val="21"/>
          <w:highlight w:val="none"/>
          <w:u w:val="single"/>
        </w:rPr>
        <w:t>12</w:t>
      </w:r>
      <w:r>
        <w:rPr>
          <w:rFonts w:hint="eastAsia" w:ascii="宋体" w:hAnsi="宋体"/>
          <w:color w:val="auto"/>
          <w:szCs w:val="21"/>
          <w:highlight w:val="none"/>
          <w:u w:val="single"/>
        </w:rPr>
        <w:t>小时内。</w:t>
      </w:r>
      <w:r>
        <w:rPr>
          <w:rFonts w:ascii="宋体" w:hAnsi="宋体"/>
          <w:color w:val="auto"/>
          <w:szCs w:val="21"/>
          <w:highlight w:val="none"/>
          <w:u w:val="single"/>
        </w:rPr>
        <w:t xml:space="preserve">  </w:t>
      </w:r>
    </w:p>
    <w:p w14:paraId="62BE3758">
      <w:pPr>
        <w:keepNext/>
        <w:keepLines/>
        <w:spacing w:before="120" w:beforeLines="50" w:after="120" w:afterLines="50" w:line="360" w:lineRule="auto"/>
        <w:outlineLvl w:val="1"/>
        <w:rPr>
          <w:rFonts w:ascii="宋体" w:hAnsi="宋体" w:cs="宋体"/>
          <w:color w:val="auto"/>
          <w:sz w:val="28"/>
          <w:szCs w:val="20"/>
          <w:highlight w:val="none"/>
        </w:rPr>
      </w:pPr>
      <w:bookmarkStart w:id="1869" w:name="_Toc486580420"/>
      <w:bookmarkStart w:id="1870" w:name="_Toc489280226"/>
      <w:bookmarkStart w:id="1871" w:name="_Toc3440"/>
      <w:bookmarkStart w:id="1872" w:name="_Toc485323194"/>
      <w:bookmarkStart w:id="1873" w:name="_Toc497214089"/>
      <w:bookmarkStart w:id="1874" w:name="_Toc12629"/>
      <w:bookmarkStart w:id="1875" w:name="_Toc490331711"/>
      <w:r>
        <w:rPr>
          <w:rFonts w:ascii="宋体" w:hAnsi="宋体" w:cs="宋体"/>
          <w:color w:val="auto"/>
          <w:sz w:val="28"/>
          <w:szCs w:val="20"/>
          <w:highlight w:val="none"/>
        </w:rPr>
        <w:t>15.</w:t>
      </w:r>
      <w:r>
        <w:rPr>
          <w:rFonts w:hint="eastAsia" w:ascii="宋体" w:hAnsi="宋体" w:cs="宋体"/>
          <w:color w:val="auto"/>
          <w:sz w:val="28"/>
          <w:szCs w:val="20"/>
          <w:highlight w:val="none"/>
        </w:rPr>
        <w:t>变更</w:t>
      </w:r>
      <w:bookmarkEnd w:id="1869"/>
      <w:bookmarkEnd w:id="1870"/>
      <w:bookmarkEnd w:id="1871"/>
      <w:bookmarkEnd w:id="1872"/>
      <w:bookmarkEnd w:id="1873"/>
      <w:bookmarkEnd w:id="1874"/>
      <w:bookmarkEnd w:id="1875"/>
    </w:p>
    <w:p w14:paraId="4CBDC63F">
      <w:pPr>
        <w:keepNext/>
        <w:keepLines/>
        <w:spacing w:before="120" w:beforeLines="50" w:after="120" w:afterLines="50" w:line="360" w:lineRule="auto"/>
        <w:outlineLvl w:val="2"/>
        <w:rPr>
          <w:rFonts w:ascii="宋体" w:hAnsi="宋体"/>
          <w:color w:val="auto"/>
          <w:kern w:val="0"/>
          <w:sz w:val="24"/>
          <w:szCs w:val="20"/>
          <w:highlight w:val="none"/>
        </w:rPr>
      </w:pPr>
      <w:bookmarkStart w:id="1876" w:name="_Toc490331712"/>
      <w:bookmarkStart w:id="1877" w:name="_Toc497214090"/>
      <w:bookmarkStart w:id="1878" w:name="_Toc485323195"/>
      <w:bookmarkStart w:id="1879" w:name="_Toc12954"/>
      <w:bookmarkStart w:id="1880" w:name="_Toc489280227"/>
      <w:bookmarkStart w:id="1881" w:name="_Toc486580421"/>
      <w:bookmarkStart w:id="1882" w:name="_Toc19768"/>
      <w:r>
        <w:rPr>
          <w:rFonts w:ascii="宋体" w:hAnsi="宋体"/>
          <w:color w:val="auto"/>
          <w:kern w:val="0"/>
          <w:sz w:val="24"/>
          <w:szCs w:val="20"/>
          <w:highlight w:val="none"/>
        </w:rPr>
        <w:t xml:space="preserve">15.1  </w:t>
      </w:r>
      <w:r>
        <w:rPr>
          <w:rFonts w:hint="eastAsia" w:ascii="宋体" w:hAnsi="宋体"/>
          <w:color w:val="auto"/>
          <w:kern w:val="0"/>
          <w:sz w:val="24"/>
          <w:szCs w:val="20"/>
          <w:highlight w:val="none"/>
        </w:rPr>
        <w:t>变更的范围和内容</w:t>
      </w:r>
      <w:bookmarkEnd w:id="1876"/>
      <w:bookmarkEnd w:id="1877"/>
      <w:bookmarkEnd w:id="1878"/>
      <w:bookmarkEnd w:id="1879"/>
      <w:bookmarkEnd w:id="1880"/>
      <w:bookmarkEnd w:id="1881"/>
      <w:bookmarkEnd w:id="1882"/>
    </w:p>
    <w:p w14:paraId="027EF12B">
      <w:pPr>
        <w:spacing w:line="360" w:lineRule="auto"/>
        <w:ind w:firstLine="420" w:firstLineChars="200"/>
        <w:rPr>
          <w:rFonts w:ascii="宋体"/>
          <w:color w:val="auto"/>
          <w:highlight w:val="none"/>
        </w:rPr>
      </w:pPr>
      <w:r>
        <w:rPr>
          <w:rFonts w:ascii="宋体" w:hAnsi="宋体"/>
          <w:color w:val="auto"/>
          <w:szCs w:val="21"/>
          <w:highlight w:val="none"/>
        </w:rPr>
        <w:t>15.1.1</w:t>
      </w:r>
      <w:r>
        <w:rPr>
          <w:rFonts w:hint="eastAsia" w:ascii="宋体" w:hAnsi="宋体"/>
          <w:color w:val="auto"/>
          <w:highlight w:val="none"/>
        </w:rPr>
        <w:t>在履行合同中发生以下情形之一，应按照本条规定进行变更。</w:t>
      </w:r>
    </w:p>
    <w:p w14:paraId="7E1E303E">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6</w:t>
      </w:r>
      <w:r>
        <w:rPr>
          <w:rFonts w:hint="eastAsia" w:ascii="宋体" w:hAnsi="宋体"/>
          <w:color w:val="auto"/>
          <w:szCs w:val="21"/>
          <w:highlight w:val="none"/>
        </w:rPr>
        <w:t>）变更的其他情形：</w:t>
      </w:r>
      <w:r>
        <w:rPr>
          <w:rFonts w:ascii="宋体" w:hAnsi="宋体"/>
          <w:color w:val="auto"/>
          <w:szCs w:val="21"/>
          <w:highlight w:val="none"/>
          <w:u w:val="single"/>
        </w:rPr>
        <w:t xml:space="preserve">      /                                             </w:t>
      </w:r>
    </w:p>
    <w:p w14:paraId="0D438DB9">
      <w:pPr>
        <w:keepNext/>
        <w:keepLines/>
        <w:spacing w:before="120" w:beforeLines="50" w:after="120" w:afterLines="50" w:line="360" w:lineRule="auto"/>
        <w:outlineLvl w:val="2"/>
        <w:rPr>
          <w:rFonts w:ascii="宋体" w:hAnsi="宋体"/>
          <w:color w:val="auto"/>
          <w:kern w:val="0"/>
          <w:sz w:val="24"/>
          <w:szCs w:val="20"/>
          <w:highlight w:val="none"/>
        </w:rPr>
      </w:pPr>
      <w:bookmarkStart w:id="1883" w:name="_Toc18298"/>
      <w:bookmarkStart w:id="1884" w:name="_Toc486580422"/>
      <w:bookmarkStart w:id="1885" w:name="_Toc497214091"/>
      <w:bookmarkStart w:id="1886" w:name="_Toc485323196"/>
      <w:bookmarkStart w:id="1887" w:name="_Toc490331713"/>
      <w:bookmarkStart w:id="1888" w:name="_Toc5573"/>
      <w:bookmarkStart w:id="1889" w:name="_Toc489280228"/>
      <w:r>
        <w:rPr>
          <w:rFonts w:ascii="宋体" w:hAnsi="宋体"/>
          <w:color w:val="auto"/>
          <w:kern w:val="0"/>
          <w:sz w:val="24"/>
          <w:szCs w:val="20"/>
          <w:highlight w:val="none"/>
        </w:rPr>
        <w:t xml:space="preserve">15.3  </w:t>
      </w:r>
      <w:r>
        <w:rPr>
          <w:rFonts w:hint="eastAsia" w:ascii="宋体" w:hAnsi="宋体"/>
          <w:color w:val="auto"/>
          <w:kern w:val="0"/>
          <w:sz w:val="24"/>
          <w:szCs w:val="20"/>
          <w:highlight w:val="none"/>
        </w:rPr>
        <w:t>变更程序</w:t>
      </w:r>
      <w:bookmarkEnd w:id="1883"/>
      <w:bookmarkEnd w:id="1884"/>
      <w:bookmarkEnd w:id="1885"/>
      <w:bookmarkEnd w:id="1886"/>
      <w:bookmarkEnd w:id="1887"/>
      <w:bookmarkEnd w:id="1888"/>
      <w:bookmarkEnd w:id="1889"/>
    </w:p>
    <w:p w14:paraId="24376201">
      <w:pPr>
        <w:spacing w:line="360" w:lineRule="auto"/>
        <w:ind w:firstLine="420" w:firstLineChars="200"/>
        <w:rPr>
          <w:rFonts w:ascii="宋体" w:cs="Arial"/>
          <w:color w:val="auto"/>
          <w:highlight w:val="none"/>
        </w:rPr>
      </w:pPr>
      <w:r>
        <w:rPr>
          <w:rFonts w:ascii="宋体" w:hAnsi="宋体" w:cs="Arial"/>
          <w:color w:val="auto"/>
          <w:highlight w:val="none"/>
        </w:rPr>
        <w:t xml:space="preserve">15.3.2  </w:t>
      </w:r>
      <w:r>
        <w:rPr>
          <w:rFonts w:hint="eastAsia" w:ascii="宋体" w:hAnsi="宋体" w:cs="Arial"/>
          <w:color w:val="auto"/>
          <w:highlight w:val="none"/>
        </w:rPr>
        <w:t>变更估价</w:t>
      </w:r>
    </w:p>
    <w:p w14:paraId="0D1C4767">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）承包人提交变更报价书的期限：</w:t>
      </w:r>
      <w:r>
        <w:rPr>
          <w:rFonts w:hint="eastAsia" w:hAnsi="宋体"/>
          <w:color w:val="auto"/>
          <w:szCs w:val="21"/>
          <w:highlight w:val="none"/>
          <w:u w:val="single"/>
        </w:rPr>
        <w:t>承包人收到变更指示或变更意向书后的</w:t>
      </w:r>
      <w:r>
        <w:rPr>
          <w:rFonts w:hAnsi="宋体"/>
          <w:color w:val="auto"/>
          <w:szCs w:val="21"/>
          <w:highlight w:val="none"/>
          <w:u w:val="single"/>
        </w:rPr>
        <w:t>14</w:t>
      </w:r>
      <w:r>
        <w:rPr>
          <w:rFonts w:hint="eastAsia" w:hAnsi="宋体"/>
          <w:color w:val="auto"/>
          <w:szCs w:val="21"/>
          <w:highlight w:val="none"/>
          <w:u w:val="single"/>
        </w:rPr>
        <w:t>天内</w:t>
      </w:r>
      <w:r>
        <w:rPr>
          <w:rFonts w:hint="eastAsia" w:ascii="宋体" w:hAnsi="宋体"/>
          <w:color w:val="auto"/>
          <w:szCs w:val="21"/>
          <w:highlight w:val="none"/>
        </w:rPr>
        <w:t>。</w:t>
      </w:r>
    </w:p>
    <w:p w14:paraId="6FF6F34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）监理人商定或确定变更价格的期限：</w:t>
      </w:r>
      <w:r>
        <w:rPr>
          <w:rFonts w:hint="eastAsia" w:ascii="宋体" w:hAnsi="宋体"/>
          <w:color w:val="auto"/>
          <w:szCs w:val="21"/>
          <w:highlight w:val="none"/>
          <w:u w:val="single"/>
        </w:rPr>
        <w:t>监理人收到承包人变更报价书后的</w:t>
      </w:r>
      <w:r>
        <w:rPr>
          <w:rFonts w:ascii="宋体" w:hAnsi="宋体"/>
          <w:color w:val="auto"/>
          <w:szCs w:val="21"/>
          <w:highlight w:val="none"/>
          <w:u w:val="single"/>
        </w:rPr>
        <w:t>14</w:t>
      </w:r>
      <w:r>
        <w:rPr>
          <w:rFonts w:hint="eastAsia" w:ascii="宋体" w:hAnsi="宋体"/>
          <w:color w:val="auto"/>
          <w:szCs w:val="21"/>
          <w:highlight w:val="none"/>
          <w:u w:val="single"/>
        </w:rPr>
        <w:t>天内。</w:t>
      </w:r>
    </w:p>
    <w:p w14:paraId="347C1E61">
      <w:pPr>
        <w:keepNext/>
        <w:keepLines/>
        <w:spacing w:before="120" w:beforeLines="50" w:after="120" w:afterLines="50" w:line="360" w:lineRule="auto"/>
        <w:outlineLvl w:val="2"/>
        <w:rPr>
          <w:rFonts w:ascii="宋体" w:hAnsi="宋体"/>
          <w:color w:val="auto"/>
          <w:kern w:val="0"/>
          <w:sz w:val="24"/>
          <w:szCs w:val="20"/>
          <w:highlight w:val="none"/>
        </w:rPr>
      </w:pPr>
      <w:bookmarkStart w:id="1890" w:name="_Toc486580423"/>
      <w:bookmarkStart w:id="1891" w:name="_Toc485323197"/>
      <w:bookmarkStart w:id="1892" w:name="_Toc6336"/>
      <w:bookmarkStart w:id="1893" w:name="_Toc497214092"/>
      <w:bookmarkStart w:id="1894" w:name="_Toc490331714"/>
      <w:bookmarkStart w:id="1895" w:name="_Toc4765"/>
      <w:bookmarkStart w:id="1896" w:name="_Toc489280229"/>
      <w:r>
        <w:rPr>
          <w:rFonts w:ascii="宋体" w:hAnsi="宋体"/>
          <w:color w:val="auto"/>
          <w:kern w:val="0"/>
          <w:sz w:val="24"/>
          <w:szCs w:val="20"/>
          <w:highlight w:val="none"/>
        </w:rPr>
        <w:t xml:space="preserve">15.4  </w:t>
      </w:r>
      <w:r>
        <w:rPr>
          <w:rFonts w:hint="eastAsia" w:ascii="宋体" w:hAnsi="宋体"/>
          <w:color w:val="auto"/>
          <w:kern w:val="0"/>
          <w:sz w:val="24"/>
          <w:szCs w:val="20"/>
          <w:highlight w:val="none"/>
        </w:rPr>
        <w:t>变更的估价原则</w:t>
      </w:r>
      <w:bookmarkEnd w:id="1890"/>
      <w:bookmarkEnd w:id="1891"/>
      <w:bookmarkEnd w:id="1892"/>
      <w:bookmarkEnd w:id="1893"/>
      <w:bookmarkEnd w:id="1894"/>
      <w:bookmarkEnd w:id="1895"/>
      <w:bookmarkEnd w:id="1896"/>
    </w:p>
    <w:p w14:paraId="7BD62FD6">
      <w:pPr>
        <w:spacing w:line="360" w:lineRule="auto"/>
        <w:ind w:firstLine="420" w:firstLineChars="200"/>
        <w:rPr>
          <w:rFonts w:ascii="宋体"/>
          <w:color w:val="auto"/>
          <w:szCs w:val="21"/>
          <w:highlight w:val="none"/>
        </w:rPr>
      </w:pPr>
      <w:r>
        <w:rPr>
          <w:rFonts w:ascii="宋体" w:hAnsi="宋体"/>
          <w:color w:val="auto"/>
          <w:szCs w:val="21"/>
          <w:highlight w:val="none"/>
        </w:rPr>
        <w:t xml:space="preserve">15.4.5  </w:t>
      </w:r>
      <w:r>
        <w:rPr>
          <w:rFonts w:hint="eastAsia" w:ascii="宋体" w:hAnsi="宋体"/>
          <w:color w:val="auto"/>
          <w:szCs w:val="21"/>
          <w:highlight w:val="none"/>
        </w:rPr>
        <w:t>合同协议书约定</w:t>
      </w:r>
      <w:r>
        <w:rPr>
          <w:rFonts w:hint="eastAsia" w:ascii="宋体" w:hAnsi="宋体"/>
          <w:color w:val="auto"/>
          <w:szCs w:val="21"/>
          <w:highlight w:val="none"/>
          <w:lang w:eastAsia="zh-CN"/>
        </w:rPr>
        <w:t>：</w:t>
      </w:r>
      <w:r>
        <w:rPr>
          <w:rFonts w:hint="eastAsia" w:ascii="宋体" w:hAnsi="宋体"/>
          <w:color w:val="auto"/>
          <w:highlight w:val="none"/>
        </w:rPr>
        <w:t>采用</w:t>
      </w:r>
      <w:r>
        <w:rPr>
          <w:rFonts w:hint="eastAsia" w:ascii="宋体" w:hAnsi="宋体"/>
          <w:color w:val="auto"/>
          <w:highlight w:val="none"/>
          <w:u w:val="none"/>
          <w:lang w:eastAsia="zh-CN"/>
        </w:rPr>
        <w:t>固定单价</w:t>
      </w:r>
      <w:r>
        <w:rPr>
          <w:rFonts w:hint="eastAsia" w:ascii="宋体" w:hAnsi="宋体"/>
          <w:color w:val="auto"/>
          <w:highlight w:val="none"/>
        </w:rPr>
        <w:t>合同形式</w:t>
      </w:r>
    </w:p>
    <w:p w14:paraId="46B19E40">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15.4.6  </w:t>
      </w:r>
      <w:r>
        <w:rPr>
          <w:rFonts w:hint="eastAsia" w:ascii="宋体" w:hAnsi="宋体"/>
          <w:color w:val="auto"/>
          <w:szCs w:val="21"/>
          <w:highlight w:val="none"/>
        </w:rPr>
        <w:t>因变更引起价格调整的其他处理方式：</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62141CB6">
      <w:pPr>
        <w:keepNext/>
        <w:keepLines/>
        <w:spacing w:before="120" w:beforeLines="50" w:after="120" w:afterLines="50" w:line="360" w:lineRule="auto"/>
        <w:outlineLvl w:val="2"/>
        <w:rPr>
          <w:rFonts w:ascii="宋体" w:hAnsi="宋体"/>
          <w:color w:val="auto"/>
          <w:kern w:val="0"/>
          <w:sz w:val="24"/>
          <w:szCs w:val="20"/>
          <w:highlight w:val="none"/>
        </w:rPr>
      </w:pPr>
      <w:bookmarkStart w:id="1897" w:name="_Toc497214093"/>
      <w:bookmarkStart w:id="1898" w:name="_Toc486580424"/>
      <w:bookmarkStart w:id="1899" w:name="_Toc490331715"/>
      <w:bookmarkStart w:id="1900" w:name="_Toc485323198"/>
      <w:bookmarkStart w:id="1901" w:name="_Toc3594"/>
      <w:bookmarkStart w:id="1902" w:name="_Toc489280230"/>
      <w:bookmarkStart w:id="1903" w:name="_Toc10090"/>
      <w:r>
        <w:rPr>
          <w:rFonts w:ascii="宋体" w:hAnsi="宋体"/>
          <w:color w:val="auto"/>
          <w:kern w:val="0"/>
          <w:sz w:val="24"/>
          <w:szCs w:val="20"/>
          <w:highlight w:val="none"/>
        </w:rPr>
        <w:t xml:space="preserve">15.5  </w:t>
      </w:r>
      <w:r>
        <w:rPr>
          <w:rFonts w:hint="eastAsia" w:ascii="宋体" w:hAnsi="宋体"/>
          <w:color w:val="auto"/>
          <w:kern w:val="0"/>
          <w:sz w:val="24"/>
          <w:szCs w:val="20"/>
          <w:highlight w:val="none"/>
        </w:rPr>
        <w:t>承包人的合理化建议</w:t>
      </w:r>
      <w:bookmarkEnd w:id="1897"/>
      <w:bookmarkEnd w:id="1898"/>
      <w:bookmarkEnd w:id="1899"/>
      <w:bookmarkEnd w:id="1900"/>
      <w:bookmarkEnd w:id="1901"/>
      <w:bookmarkEnd w:id="1902"/>
      <w:bookmarkEnd w:id="1903"/>
    </w:p>
    <w:p w14:paraId="3ADD974B">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15.5.2  </w:t>
      </w:r>
      <w:r>
        <w:rPr>
          <w:rFonts w:hint="eastAsia" w:ascii="宋体" w:hAnsi="宋体"/>
          <w:color w:val="auto"/>
          <w:szCs w:val="21"/>
          <w:highlight w:val="none"/>
        </w:rPr>
        <w:t>对承包人提出合理化建议的奖励方法：</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7157CEF8">
      <w:pPr>
        <w:keepNext/>
        <w:keepLines/>
        <w:spacing w:before="120" w:beforeLines="50" w:after="120" w:afterLines="50" w:line="360" w:lineRule="auto"/>
        <w:outlineLvl w:val="2"/>
        <w:rPr>
          <w:rFonts w:ascii="宋体" w:hAnsi="宋体"/>
          <w:color w:val="auto"/>
          <w:kern w:val="0"/>
          <w:sz w:val="24"/>
          <w:szCs w:val="20"/>
          <w:highlight w:val="none"/>
        </w:rPr>
      </w:pPr>
      <w:bookmarkStart w:id="1904" w:name="_Toc489280231"/>
      <w:bookmarkStart w:id="1905" w:name="_Toc497214094"/>
      <w:bookmarkStart w:id="1906" w:name="_Toc490331716"/>
      <w:bookmarkStart w:id="1907" w:name="_Toc485323199"/>
      <w:bookmarkStart w:id="1908" w:name="_Toc7529"/>
      <w:bookmarkStart w:id="1909" w:name="_Toc9622"/>
      <w:bookmarkStart w:id="1910" w:name="_Toc486580425"/>
      <w:r>
        <w:rPr>
          <w:rFonts w:ascii="宋体" w:hAnsi="宋体"/>
          <w:color w:val="auto"/>
          <w:kern w:val="0"/>
          <w:sz w:val="24"/>
          <w:szCs w:val="20"/>
          <w:highlight w:val="none"/>
        </w:rPr>
        <w:t xml:space="preserve">15.8  </w:t>
      </w:r>
      <w:r>
        <w:rPr>
          <w:rFonts w:hint="eastAsia" w:ascii="宋体" w:hAnsi="宋体"/>
          <w:color w:val="auto"/>
          <w:kern w:val="0"/>
          <w:sz w:val="24"/>
          <w:szCs w:val="20"/>
          <w:highlight w:val="none"/>
        </w:rPr>
        <w:t>暂估价</w:t>
      </w:r>
      <w:bookmarkEnd w:id="1904"/>
      <w:bookmarkEnd w:id="1905"/>
      <w:bookmarkEnd w:id="1906"/>
      <w:bookmarkEnd w:id="1907"/>
      <w:bookmarkEnd w:id="1908"/>
      <w:bookmarkEnd w:id="1909"/>
      <w:bookmarkEnd w:id="1910"/>
    </w:p>
    <w:p w14:paraId="2941BFEC">
      <w:pPr>
        <w:spacing w:line="360" w:lineRule="auto"/>
        <w:ind w:firstLine="420" w:firstLineChars="200"/>
        <w:rPr>
          <w:rFonts w:ascii="宋体"/>
          <w:color w:val="auto"/>
          <w:szCs w:val="21"/>
          <w:highlight w:val="none"/>
        </w:rPr>
      </w:pPr>
      <w:r>
        <w:rPr>
          <w:rFonts w:ascii="宋体" w:hAnsi="宋体"/>
          <w:color w:val="auto"/>
          <w:szCs w:val="21"/>
          <w:highlight w:val="none"/>
        </w:rPr>
        <w:t xml:space="preserve">15.8.1  </w:t>
      </w:r>
      <w:r>
        <w:rPr>
          <w:rFonts w:hint="eastAsia" w:ascii="宋体" w:hAnsi="宋体"/>
          <w:color w:val="auto"/>
          <w:szCs w:val="21"/>
          <w:highlight w:val="none"/>
        </w:rPr>
        <w:t>按合同约定应当由发包人和承包人采用招标方式选择专项供应商或专业分包人的：</w:t>
      </w:r>
    </w:p>
    <w:p w14:paraId="53CFB569">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）承包人报送招标计划期限：</w:t>
      </w:r>
      <w:r>
        <w:rPr>
          <w:rFonts w:ascii="宋体" w:hAnsi="宋体"/>
          <w:color w:val="auto"/>
          <w:szCs w:val="21"/>
          <w:highlight w:val="none"/>
          <w:u w:val="single"/>
        </w:rPr>
        <w:t xml:space="preserve">  </w:t>
      </w:r>
      <w:r>
        <w:rPr>
          <w:rFonts w:hint="eastAsia" w:ascii="宋体" w:hAnsi="宋体"/>
          <w:color w:val="auto"/>
          <w:szCs w:val="21"/>
          <w:highlight w:val="none"/>
          <w:u w:val="single"/>
        </w:rPr>
        <w:t>确定承包人为中标人7天内</w:t>
      </w:r>
      <w:r>
        <w:rPr>
          <w:rFonts w:ascii="宋体" w:hAnsi="宋体"/>
          <w:color w:val="auto"/>
          <w:szCs w:val="21"/>
          <w:highlight w:val="none"/>
          <w:u w:val="single"/>
        </w:rPr>
        <w:t xml:space="preserve">                   </w:t>
      </w:r>
    </w:p>
    <w:p w14:paraId="73B47EE6">
      <w:pPr>
        <w:spacing w:line="360" w:lineRule="auto"/>
        <w:ind w:firstLine="424" w:firstLineChars="202"/>
        <w:rPr>
          <w:rFonts w:ascii="宋体"/>
          <w:color w:val="auto"/>
          <w:szCs w:val="21"/>
          <w:highlight w:val="none"/>
        </w:rPr>
      </w:pPr>
      <w:r>
        <w:rPr>
          <w:rFonts w:hint="eastAsia" w:ascii="宋体" w:hAnsi="宋体"/>
          <w:color w:val="auto"/>
          <w:szCs w:val="21"/>
          <w:highlight w:val="none"/>
        </w:rPr>
        <w:t>发包人审批招标工作计划时限：</w:t>
      </w:r>
      <w:r>
        <w:rPr>
          <w:rFonts w:ascii="宋体" w:hAnsi="宋体"/>
          <w:color w:val="auto"/>
          <w:szCs w:val="21"/>
          <w:highlight w:val="none"/>
          <w:u w:val="single"/>
        </w:rPr>
        <w:t xml:space="preserve">  </w:t>
      </w:r>
      <w:r>
        <w:rPr>
          <w:rFonts w:hint="eastAsia" w:ascii="宋体" w:hAnsi="宋体"/>
          <w:color w:val="auto"/>
          <w:szCs w:val="21"/>
          <w:highlight w:val="none"/>
          <w:u w:val="single"/>
        </w:rPr>
        <w:t>承包人报送后3天内</w:t>
      </w:r>
      <w:r>
        <w:rPr>
          <w:rFonts w:ascii="宋体" w:hAnsi="宋体"/>
          <w:color w:val="auto"/>
          <w:szCs w:val="21"/>
          <w:highlight w:val="none"/>
          <w:u w:val="single"/>
        </w:rPr>
        <w:t xml:space="preserve">                     </w:t>
      </w:r>
    </w:p>
    <w:p w14:paraId="3429AFF0">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）承包人报送相关文件时限：</w:t>
      </w:r>
      <w:r>
        <w:rPr>
          <w:rFonts w:ascii="宋体" w:hAnsi="宋体"/>
          <w:color w:val="auto"/>
          <w:szCs w:val="21"/>
          <w:highlight w:val="none"/>
          <w:u w:val="single"/>
        </w:rPr>
        <w:t xml:space="preserve">   </w:t>
      </w:r>
      <w:r>
        <w:rPr>
          <w:rFonts w:hint="eastAsia" w:ascii="宋体" w:hAnsi="宋体"/>
          <w:color w:val="auto"/>
          <w:szCs w:val="21"/>
          <w:highlight w:val="none"/>
          <w:u w:val="single"/>
        </w:rPr>
        <w:t>发包人审批通过招标计划后7天内</w:t>
      </w:r>
      <w:r>
        <w:rPr>
          <w:rFonts w:ascii="宋体" w:hAnsi="宋体"/>
          <w:color w:val="auto"/>
          <w:szCs w:val="21"/>
          <w:highlight w:val="none"/>
          <w:u w:val="single"/>
        </w:rPr>
        <w:t xml:space="preserve">                  </w:t>
      </w:r>
    </w:p>
    <w:p w14:paraId="18EA08CD">
      <w:pPr>
        <w:spacing w:line="360" w:lineRule="auto"/>
        <w:ind w:firstLine="424" w:firstLineChars="202"/>
        <w:rPr>
          <w:rFonts w:ascii="宋体"/>
          <w:color w:val="auto"/>
          <w:szCs w:val="21"/>
          <w:highlight w:val="none"/>
        </w:rPr>
      </w:pPr>
      <w:r>
        <w:rPr>
          <w:rFonts w:hint="eastAsia" w:ascii="宋体" w:hAnsi="宋体"/>
          <w:color w:val="auto"/>
          <w:szCs w:val="21"/>
          <w:highlight w:val="none"/>
        </w:rPr>
        <w:t>发包人审批相关文件时限：</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承包人报送后3天内         </w:t>
      </w:r>
      <w:r>
        <w:rPr>
          <w:rFonts w:ascii="宋体" w:hAnsi="宋体"/>
          <w:color w:val="auto"/>
          <w:szCs w:val="21"/>
          <w:highlight w:val="none"/>
          <w:u w:val="single"/>
        </w:rPr>
        <w:t xml:space="preserve">                 </w:t>
      </w:r>
    </w:p>
    <w:p w14:paraId="5912667B">
      <w:pPr>
        <w:spacing w:line="360" w:lineRule="auto"/>
        <w:ind w:left="420" w:leftChars="200"/>
        <w:rPr>
          <w:rFonts w:asci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10</w:t>
      </w:r>
      <w:r>
        <w:rPr>
          <w:rFonts w:hint="eastAsia" w:ascii="宋体" w:hAnsi="宋体"/>
          <w:color w:val="auto"/>
          <w:kern w:val="0"/>
          <w:szCs w:val="21"/>
          <w:highlight w:val="none"/>
        </w:rPr>
        <w:t>）承包人申报合同文件时限：</w:t>
      </w:r>
      <w:r>
        <w:rPr>
          <w:rFonts w:ascii="宋体" w:hAnsi="宋体"/>
          <w:color w:val="auto"/>
          <w:kern w:val="0"/>
          <w:szCs w:val="21"/>
          <w:highlight w:val="none"/>
          <w:u w:val="single"/>
        </w:rPr>
        <w:t xml:space="preserve">  </w:t>
      </w:r>
      <w:r>
        <w:rPr>
          <w:rFonts w:hint="eastAsia" w:ascii="宋体" w:hAnsi="宋体"/>
          <w:color w:val="auto"/>
          <w:kern w:val="0"/>
          <w:szCs w:val="21"/>
          <w:highlight w:val="none"/>
          <w:u w:val="single"/>
        </w:rPr>
        <w:t>发包人审批通过相关文件后7天内</w:t>
      </w:r>
      <w:r>
        <w:rPr>
          <w:rFonts w:ascii="宋体" w:hAnsi="宋体"/>
          <w:color w:val="auto"/>
          <w:kern w:val="0"/>
          <w:szCs w:val="21"/>
          <w:highlight w:val="none"/>
          <w:u w:val="single"/>
        </w:rPr>
        <w:t xml:space="preserve">                </w:t>
      </w:r>
    </w:p>
    <w:p w14:paraId="6D5D7DEF">
      <w:pPr>
        <w:spacing w:line="360" w:lineRule="auto"/>
        <w:ind w:firstLine="420" w:firstLineChars="200"/>
        <w:rPr>
          <w:rFonts w:ascii="宋体"/>
          <w:color w:val="auto"/>
          <w:szCs w:val="21"/>
          <w:highlight w:val="none"/>
        </w:rPr>
      </w:pPr>
      <w:r>
        <w:rPr>
          <w:rFonts w:hint="eastAsia" w:ascii="宋体" w:hAnsi="宋体"/>
          <w:color w:val="auto"/>
          <w:szCs w:val="21"/>
          <w:highlight w:val="none"/>
        </w:rPr>
        <w:t>发包人审批合同文件时限：</w:t>
      </w:r>
      <w:r>
        <w:rPr>
          <w:rFonts w:ascii="宋体" w:hAnsi="宋体"/>
          <w:color w:val="auto"/>
          <w:szCs w:val="21"/>
          <w:highlight w:val="none"/>
          <w:u w:val="single"/>
        </w:rPr>
        <w:t xml:space="preserve">   </w:t>
      </w:r>
      <w:r>
        <w:rPr>
          <w:rFonts w:hint="eastAsia" w:ascii="宋体" w:hAnsi="宋体"/>
          <w:color w:val="auto"/>
          <w:szCs w:val="21"/>
          <w:highlight w:val="none"/>
          <w:u w:val="single"/>
        </w:rPr>
        <w:t>承包人报送3天内</w:t>
      </w:r>
      <w:r>
        <w:rPr>
          <w:rFonts w:ascii="宋体" w:hAnsi="宋体"/>
          <w:color w:val="auto"/>
          <w:szCs w:val="21"/>
          <w:highlight w:val="none"/>
          <w:u w:val="single"/>
        </w:rPr>
        <w:t xml:space="preserve">                                </w:t>
      </w:r>
    </w:p>
    <w:p w14:paraId="1C6CC3E4">
      <w:pPr>
        <w:spacing w:line="360" w:lineRule="auto"/>
        <w:ind w:firstLine="420" w:firstLineChars="200"/>
        <w:rPr>
          <w:rFonts w:ascii="宋体"/>
          <w:color w:val="auto"/>
          <w:szCs w:val="21"/>
          <w:highlight w:val="none"/>
        </w:rPr>
      </w:pPr>
      <w:r>
        <w:rPr>
          <w:rFonts w:hint="eastAsia" w:ascii="宋体" w:hAnsi="宋体"/>
          <w:color w:val="auto"/>
          <w:szCs w:val="21"/>
          <w:highlight w:val="none"/>
        </w:rPr>
        <w:t>承包人报送正式签订合同副本时限：</w:t>
      </w:r>
      <w:r>
        <w:rPr>
          <w:rFonts w:ascii="宋体" w:hAnsi="宋体"/>
          <w:color w:val="auto"/>
          <w:szCs w:val="21"/>
          <w:highlight w:val="none"/>
          <w:u w:val="single"/>
        </w:rPr>
        <w:t xml:space="preserve">   </w:t>
      </w:r>
      <w:r>
        <w:rPr>
          <w:rFonts w:hint="eastAsia" w:ascii="宋体" w:hAnsi="宋体"/>
          <w:color w:val="auto"/>
          <w:szCs w:val="21"/>
          <w:highlight w:val="none"/>
          <w:u w:val="single"/>
        </w:rPr>
        <w:t>发包人审批通过合同文件当天</w:t>
      </w:r>
      <w:r>
        <w:rPr>
          <w:rFonts w:ascii="宋体" w:hAnsi="宋体"/>
          <w:color w:val="auto"/>
          <w:szCs w:val="21"/>
          <w:highlight w:val="none"/>
          <w:u w:val="single"/>
        </w:rPr>
        <w:t xml:space="preserve">               </w:t>
      </w:r>
    </w:p>
    <w:p w14:paraId="480A0929">
      <w:pPr>
        <w:spacing w:line="360" w:lineRule="auto"/>
        <w:ind w:firstLine="420" w:firstLineChars="200"/>
        <w:rPr>
          <w:rFonts w:ascii="宋体"/>
          <w:color w:val="auto"/>
          <w:szCs w:val="21"/>
          <w:highlight w:val="none"/>
        </w:rPr>
      </w:pPr>
      <w:r>
        <w:rPr>
          <w:rFonts w:ascii="宋体" w:hAnsi="宋体"/>
          <w:color w:val="auto"/>
          <w:szCs w:val="21"/>
          <w:highlight w:val="none"/>
        </w:rPr>
        <w:t xml:space="preserve">15.8.3  </w:t>
      </w:r>
      <w:r>
        <w:rPr>
          <w:rFonts w:hint="eastAsia" w:ascii="宋体" w:hAnsi="宋体"/>
          <w:color w:val="auto"/>
          <w:szCs w:val="21"/>
          <w:highlight w:val="none"/>
        </w:rPr>
        <w:t>发包人在工程量清单中给定暂估价的专业工程不属于依法必须招标的范围或者未达到依法必须招标的规模标准的，其最终价格的估价人为：</w:t>
      </w:r>
      <w:r>
        <w:rPr>
          <w:rFonts w:ascii="宋体" w:hAnsi="宋体"/>
          <w:color w:val="auto"/>
          <w:szCs w:val="21"/>
          <w:highlight w:val="none"/>
          <w:u w:val="single"/>
        </w:rPr>
        <w:t xml:space="preserve">     </w:t>
      </w:r>
      <w:r>
        <w:rPr>
          <w:rFonts w:hint="eastAsia" w:ascii="宋体" w:hAnsi="宋体"/>
          <w:color w:val="auto"/>
          <w:szCs w:val="21"/>
          <w:highlight w:val="none"/>
          <w:u w:val="single"/>
        </w:rPr>
        <w:t>发包人</w:t>
      </w:r>
      <w:r>
        <w:rPr>
          <w:rFonts w:ascii="宋体" w:hAnsi="宋体"/>
          <w:color w:val="auto"/>
          <w:szCs w:val="21"/>
          <w:highlight w:val="none"/>
          <w:u w:val="single"/>
        </w:rPr>
        <w:t xml:space="preserve">        </w:t>
      </w:r>
      <w:r>
        <w:rPr>
          <w:rFonts w:hint="eastAsia" w:ascii="宋体" w:hAnsi="宋体"/>
          <w:color w:val="auto"/>
          <w:szCs w:val="21"/>
          <w:highlight w:val="none"/>
        </w:rPr>
        <w:t>或者按照下列约定：</w:t>
      </w:r>
      <w:r>
        <w:rPr>
          <w:rFonts w:ascii="宋体" w:hAnsi="宋体"/>
          <w:color w:val="auto"/>
          <w:szCs w:val="21"/>
          <w:highlight w:val="none"/>
          <w:u w:val="single"/>
        </w:rPr>
        <w:t xml:space="preserve">    </w:t>
      </w:r>
      <w:r>
        <w:rPr>
          <w:rFonts w:hint="eastAsia" w:ascii="宋体" w:hAnsi="宋体"/>
          <w:color w:val="auto"/>
          <w:szCs w:val="21"/>
          <w:highlight w:val="none"/>
          <w:u w:val="single"/>
        </w:rPr>
        <w:t>发包人指定的造价机构</w:t>
      </w:r>
      <w:r>
        <w:rPr>
          <w:rFonts w:ascii="宋体" w:hAnsi="宋体"/>
          <w:color w:val="auto"/>
          <w:szCs w:val="21"/>
          <w:highlight w:val="none"/>
          <w:u w:val="single"/>
        </w:rPr>
        <w:t xml:space="preserve">                                     </w:t>
      </w:r>
    </w:p>
    <w:p w14:paraId="7AE1750C">
      <w:pPr>
        <w:keepNext/>
        <w:keepLines/>
        <w:spacing w:before="120" w:beforeLines="50" w:after="120" w:afterLines="50" w:line="360" w:lineRule="auto"/>
        <w:outlineLvl w:val="1"/>
        <w:rPr>
          <w:rFonts w:ascii="宋体" w:hAnsi="宋体" w:cs="宋体"/>
          <w:color w:val="auto"/>
          <w:sz w:val="28"/>
          <w:szCs w:val="20"/>
          <w:highlight w:val="none"/>
        </w:rPr>
      </w:pPr>
      <w:bookmarkStart w:id="1911" w:name="_Toc497214095"/>
      <w:bookmarkStart w:id="1912" w:name="_Toc25191"/>
      <w:bookmarkStart w:id="1913" w:name="_Toc485323200"/>
      <w:bookmarkStart w:id="1914" w:name="_Toc6437"/>
      <w:bookmarkStart w:id="1915" w:name="_Toc490331717"/>
      <w:bookmarkStart w:id="1916" w:name="_Toc486580426"/>
      <w:bookmarkStart w:id="1917" w:name="_Toc489280232"/>
      <w:r>
        <w:rPr>
          <w:rFonts w:ascii="宋体" w:hAnsi="宋体" w:cs="宋体"/>
          <w:color w:val="auto"/>
          <w:sz w:val="28"/>
          <w:szCs w:val="20"/>
          <w:highlight w:val="none"/>
        </w:rPr>
        <w:t>16.</w:t>
      </w:r>
      <w:r>
        <w:rPr>
          <w:rFonts w:hint="eastAsia" w:ascii="宋体" w:hAnsi="宋体" w:cs="宋体"/>
          <w:color w:val="auto"/>
          <w:sz w:val="28"/>
          <w:szCs w:val="20"/>
          <w:highlight w:val="none"/>
        </w:rPr>
        <w:t>价格调整</w:t>
      </w:r>
      <w:bookmarkEnd w:id="1911"/>
      <w:bookmarkEnd w:id="1912"/>
      <w:bookmarkEnd w:id="1913"/>
      <w:bookmarkEnd w:id="1914"/>
      <w:bookmarkEnd w:id="1915"/>
      <w:bookmarkEnd w:id="1916"/>
      <w:bookmarkEnd w:id="1917"/>
    </w:p>
    <w:p w14:paraId="4B6B0704">
      <w:pPr>
        <w:keepNext/>
        <w:keepLines/>
        <w:spacing w:before="120" w:beforeLines="50" w:after="120" w:afterLines="50" w:line="360" w:lineRule="auto"/>
        <w:outlineLvl w:val="2"/>
        <w:rPr>
          <w:rFonts w:ascii="宋体" w:hAnsi="宋体"/>
          <w:color w:val="auto"/>
          <w:kern w:val="0"/>
          <w:sz w:val="24"/>
          <w:szCs w:val="20"/>
          <w:highlight w:val="none"/>
        </w:rPr>
      </w:pPr>
      <w:bookmarkStart w:id="1918" w:name="_Toc490331718"/>
      <w:bookmarkStart w:id="1919" w:name="_Toc485323201"/>
      <w:bookmarkStart w:id="1920" w:name="_Toc497214096"/>
      <w:bookmarkStart w:id="1921" w:name="_Toc32453"/>
      <w:bookmarkStart w:id="1922" w:name="_Toc489280233"/>
      <w:bookmarkStart w:id="1923" w:name="_Toc439"/>
      <w:bookmarkStart w:id="1924" w:name="_Toc486580427"/>
      <w:r>
        <w:rPr>
          <w:rFonts w:ascii="宋体" w:hAnsi="宋体"/>
          <w:color w:val="auto"/>
          <w:kern w:val="0"/>
          <w:sz w:val="24"/>
          <w:szCs w:val="20"/>
          <w:highlight w:val="none"/>
        </w:rPr>
        <w:t xml:space="preserve">16.1  </w:t>
      </w:r>
      <w:r>
        <w:rPr>
          <w:rFonts w:hint="eastAsia" w:ascii="宋体" w:hAnsi="宋体"/>
          <w:color w:val="auto"/>
          <w:kern w:val="0"/>
          <w:sz w:val="24"/>
          <w:szCs w:val="20"/>
          <w:highlight w:val="none"/>
        </w:rPr>
        <w:t>物价波动引起的价格调整</w:t>
      </w:r>
      <w:bookmarkEnd w:id="1918"/>
      <w:bookmarkEnd w:id="1919"/>
      <w:bookmarkEnd w:id="1920"/>
      <w:bookmarkEnd w:id="1921"/>
      <w:bookmarkEnd w:id="1922"/>
      <w:bookmarkEnd w:id="1923"/>
      <w:bookmarkEnd w:id="1924"/>
    </w:p>
    <w:p w14:paraId="14327175">
      <w:pPr>
        <w:spacing w:line="360" w:lineRule="auto"/>
        <w:ind w:firstLine="525" w:firstLineChars="250"/>
        <w:rPr>
          <w:rFonts w:ascii="宋体" w:hAnsi="宋体" w:cs="宋体"/>
          <w:color w:val="auto"/>
          <w:szCs w:val="21"/>
          <w:highlight w:val="none"/>
          <w:u w:val="single"/>
        </w:rPr>
      </w:pPr>
      <w:r>
        <w:rPr>
          <w:rFonts w:hint="eastAsia" w:ascii="宋体" w:hAnsi="宋体"/>
          <w:color w:val="auto"/>
          <w:szCs w:val="21"/>
          <w:highlight w:val="none"/>
        </w:rPr>
        <w:t>物价波动引起价格调整方法：</w:t>
      </w:r>
      <w:r>
        <w:rPr>
          <w:rFonts w:hint="eastAsia" w:ascii="宋体" w:hAnsi="宋体" w:cs="宋体"/>
          <w:color w:val="auto"/>
          <w:szCs w:val="21"/>
          <w:highlight w:val="none"/>
          <w:u w:val="single"/>
        </w:rPr>
        <w:t>采用造价信息调整价格差额</w:t>
      </w:r>
    </w:p>
    <w:p w14:paraId="7DB67FB9">
      <w:pPr>
        <w:spacing w:line="360" w:lineRule="auto"/>
        <w:ind w:firstLine="420" w:firstLineChars="200"/>
        <w:rPr>
          <w:rFonts w:ascii="宋体"/>
          <w:color w:val="auto"/>
          <w:highlight w:val="none"/>
        </w:rPr>
      </w:pPr>
      <w:r>
        <w:rPr>
          <w:rFonts w:ascii="宋体" w:hAnsi="宋体"/>
          <w:color w:val="auto"/>
          <w:szCs w:val="21"/>
          <w:highlight w:val="none"/>
        </w:rPr>
        <w:t xml:space="preserve">16.1.2  </w:t>
      </w:r>
      <w:r>
        <w:rPr>
          <w:rFonts w:hint="eastAsia" w:ascii="宋体" w:hAnsi="宋体"/>
          <w:color w:val="auto"/>
          <w:highlight w:val="none"/>
        </w:rPr>
        <w:t>采用造价信息调整价格差额</w:t>
      </w:r>
    </w:p>
    <w:p w14:paraId="2C2AD3B4">
      <w:pPr>
        <w:spacing w:line="360" w:lineRule="auto"/>
        <w:ind w:firstLine="630" w:firstLineChars="300"/>
        <w:rPr>
          <w:rFonts w:ascii="宋体"/>
          <w:color w:val="auto"/>
          <w:szCs w:val="21"/>
          <w:highlight w:val="none"/>
        </w:rPr>
      </w:pPr>
      <w:r>
        <w:rPr>
          <w:rFonts w:ascii="宋体" w:hAnsi="宋体"/>
          <w:color w:val="auto"/>
          <w:szCs w:val="21"/>
          <w:highlight w:val="none"/>
        </w:rPr>
        <w:t xml:space="preserve">16.1.2.1  </w:t>
      </w:r>
      <w:r>
        <w:rPr>
          <w:rFonts w:hint="eastAsia" w:ascii="宋体" w:hAnsi="宋体"/>
          <w:color w:val="auto"/>
          <w:highlight w:val="none"/>
        </w:rPr>
        <w:t>引起价格调整的物价波动风险范围及幅度</w:t>
      </w:r>
    </w:p>
    <w:p w14:paraId="34FE48C3">
      <w:pPr>
        <w:spacing w:line="360" w:lineRule="auto"/>
        <w:ind w:firstLine="630" w:firstLineChars="300"/>
        <w:rPr>
          <w:rFonts w:ascii="宋体"/>
          <w:color w:val="auto"/>
          <w:szCs w:val="21"/>
          <w:highlight w:val="none"/>
        </w:rPr>
      </w:pPr>
      <w:r>
        <w:rPr>
          <w:rFonts w:hint="eastAsia" w:ascii="宋体" w:hAnsi="宋体"/>
          <w:color w:val="auto"/>
          <w:szCs w:val="21"/>
          <w:highlight w:val="none"/>
        </w:rPr>
        <w:t>引起</w:t>
      </w:r>
      <w:r>
        <w:rPr>
          <w:rFonts w:hint="eastAsia" w:ascii="宋体" w:hAnsi="宋体"/>
          <w:color w:val="auto"/>
          <w:highlight w:val="none"/>
        </w:rPr>
        <w:t>价格调整的</w:t>
      </w:r>
      <w:r>
        <w:rPr>
          <w:rFonts w:hint="eastAsia" w:ascii="宋体" w:hAnsi="宋体"/>
          <w:color w:val="auto"/>
          <w:szCs w:val="21"/>
          <w:highlight w:val="none"/>
        </w:rPr>
        <w:t>物价波动</w:t>
      </w:r>
      <w:r>
        <w:rPr>
          <w:rFonts w:hint="eastAsia" w:ascii="宋体" w:hAnsi="宋体"/>
          <w:color w:val="auto"/>
          <w:highlight w:val="none"/>
        </w:rPr>
        <w:t>风险范围</w:t>
      </w:r>
      <w:r>
        <w:rPr>
          <w:rFonts w:hint="eastAsia" w:ascii="宋体" w:hAnsi="宋体"/>
          <w:color w:val="auto"/>
          <w:szCs w:val="21"/>
          <w:highlight w:val="none"/>
        </w:rPr>
        <w:t>：</w:t>
      </w:r>
      <w:r>
        <w:rPr>
          <w:rFonts w:hint="eastAsia" w:ascii="宋体" w:hAnsi="宋体" w:cs="宋体"/>
          <w:bCs/>
          <w:color w:val="auto"/>
          <w:szCs w:val="21"/>
          <w:highlight w:val="none"/>
          <w:u w:val="single"/>
        </w:rPr>
        <w:t>①水泥、石灰等材料价格变化幅度在±5%以内（含）由承包人承担或受益</w:t>
      </w:r>
      <w:r>
        <w:rPr>
          <w:rFonts w:hint="eastAsia" w:ascii="宋体" w:hAnsi="宋体" w:cs="宋体"/>
          <w:color w:val="auto"/>
          <w:szCs w:val="21"/>
          <w:highlight w:val="none"/>
          <w:u w:val="single"/>
        </w:rPr>
        <w:t>。②机械费用、人工费用价格变化幅度在±5%以内（含）由承包人承担或受益。</w:t>
      </w:r>
    </w:p>
    <w:p w14:paraId="25DB02A6">
      <w:pPr>
        <w:spacing w:line="360" w:lineRule="auto"/>
        <w:ind w:firstLine="630" w:firstLineChars="300"/>
        <w:rPr>
          <w:rFonts w:ascii="宋体"/>
          <w:color w:val="auto"/>
          <w:szCs w:val="21"/>
          <w:highlight w:val="none"/>
        </w:rPr>
      </w:pPr>
      <w:r>
        <w:rPr>
          <w:rFonts w:hint="eastAsia" w:ascii="宋体" w:hAnsi="宋体"/>
          <w:color w:val="auto"/>
          <w:szCs w:val="21"/>
          <w:highlight w:val="none"/>
        </w:rPr>
        <w:t>引起</w:t>
      </w:r>
      <w:r>
        <w:rPr>
          <w:rFonts w:hint="eastAsia" w:ascii="宋体" w:hAnsi="宋体"/>
          <w:color w:val="auto"/>
          <w:highlight w:val="none"/>
        </w:rPr>
        <w:t>价格调整的</w:t>
      </w:r>
      <w:r>
        <w:rPr>
          <w:rFonts w:hint="eastAsia" w:ascii="宋体" w:hAnsi="宋体"/>
          <w:color w:val="auto"/>
          <w:szCs w:val="21"/>
          <w:highlight w:val="none"/>
        </w:rPr>
        <w:t>物价波动</w:t>
      </w:r>
      <w:r>
        <w:rPr>
          <w:rFonts w:hint="eastAsia" w:ascii="宋体" w:hAnsi="宋体"/>
          <w:color w:val="auto"/>
          <w:highlight w:val="none"/>
        </w:rPr>
        <w:t>风险幅度：</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p>
    <w:p w14:paraId="5D28CBCC">
      <w:pPr>
        <w:spacing w:line="360" w:lineRule="auto"/>
        <w:ind w:firstLine="630" w:firstLineChars="300"/>
        <w:rPr>
          <w:rFonts w:ascii="宋体"/>
          <w:color w:val="auto"/>
          <w:szCs w:val="21"/>
          <w:highlight w:val="non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2   </w:t>
      </w:r>
      <w:r>
        <w:rPr>
          <w:rFonts w:hint="eastAsia" w:ascii="宋体" w:hAnsi="宋体"/>
          <w:color w:val="auto"/>
          <w:szCs w:val="21"/>
          <w:highlight w:val="none"/>
        </w:rPr>
        <w:t>物价波动引起价格调整的风险幅度的计算方法</w:t>
      </w:r>
    </w:p>
    <w:p w14:paraId="470FBE1A">
      <w:pPr>
        <w:spacing w:line="360" w:lineRule="auto"/>
        <w:ind w:firstLine="630" w:firstLineChars="3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）投标报价基准期：</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月。</w:t>
      </w:r>
    </w:p>
    <w:p w14:paraId="5F242727">
      <w:pPr>
        <w:spacing w:line="360" w:lineRule="auto"/>
        <w:ind w:firstLine="630" w:firstLineChars="3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hint="eastAsia" w:ascii="宋体" w:hAnsi="宋体"/>
          <w:color w:val="auto"/>
          <w:highlight w:val="none"/>
        </w:rPr>
        <w:t>《北京工程造价信息》市场价格</w:t>
      </w:r>
      <w:r>
        <w:rPr>
          <w:rFonts w:hint="eastAsia" w:ascii="宋体" w:hAnsi="宋体"/>
          <w:color w:val="auto"/>
          <w:szCs w:val="21"/>
          <w:highlight w:val="none"/>
        </w:rPr>
        <w:t>信息中没有的，基准价的确定方法：</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hAnsi="宋体" w:cs="Arial"/>
          <w:bCs/>
          <w:color w:val="auto"/>
          <w:szCs w:val="21"/>
          <w:highlight w:val="none"/>
          <w:u w:val="single"/>
        </w:rPr>
        <w:t>按发包人、承包人共同确认的市场价格为准。</w:t>
      </w:r>
      <w:r>
        <w:rPr>
          <w:rFonts w:ascii="宋体" w:hAnsi="宋体"/>
          <w:color w:val="auto"/>
          <w:szCs w:val="21"/>
          <w:highlight w:val="none"/>
          <w:u w:val="single"/>
        </w:rPr>
        <w:t xml:space="preserve">                                              </w:t>
      </w:r>
    </w:p>
    <w:p w14:paraId="0D2EFDB7">
      <w:pPr>
        <w:spacing w:line="360" w:lineRule="auto"/>
        <w:ind w:firstLine="630" w:firstLineChars="3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）合同施工期市场价格的确定方法：</w:t>
      </w:r>
      <w:r>
        <w:rPr>
          <w:rFonts w:hint="eastAsia" w:ascii="宋体" w:hAnsi="宋体"/>
          <w:color w:val="auto"/>
          <w:szCs w:val="21"/>
          <w:highlight w:val="none"/>
          <w:u w:val="single"/>
        </w:rPr>
        <w:t>以北京市建设工程造价管理机构发布的《北京工程造价信息》施工期的市场信息价格（以下简称造价信息价格）为依据，造价信息价格中有上、下限的，以下限为准，造价信息价格中没有的，按发包人、承包人共同确认的市场价格为准；</w:t>
      </w:r>
      <w:r>
        <w:rPr>
          <w:rFonts w:ascii="宋体" w:hAnsi="宋体"/>
          <w:color w:val="auto"/>
          <w:szCs w:val="21"/>
          <w:highlight w:val="none"/>
          <w:u w:val="single"/>
        </w:rPr>
        <w:t xml:space="preserve"> </w:t>
      </w:r>
    </w:p>
    <w:p w14:paraId="7FB80AF5">
      <w:pPr>
        <w:spacing w:line="360" w:lineRule="auto"/>
        <w:ind w:firstLine="630" w:firstLineChars="300"/>
        <w:rPr>
          <w:rFonts w:ascii="宋体"/>
          <w:color w:val="auto"/>
          <w:szCs w:val="21"/>
          <w:highlight w:val="non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3  </w:t>
      </w:r>
      <w:r>
        <w:rPr>
          <w:rFonts w:hint="eastAsia" w:ascii="宋体" w:hAnsi="宋体"/>
          <w:color w:val="auto"/>
          <w:szCs w:val="21"/>
          <w:highlight w:val="none"/>
        </w:rPr>
        <w:t>物价波动引起价格调整的方法</w:t>
      </w:r>
    </w:p>
    <w:p w14:paraId="08B5FE5E">
      <w:pPr>
        <w:spacing w:line="360" w:lineRule="auto"/>
        <w:ind w:firstLine="630" w:firstLineChars="3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）本工程单价调整方法采用</w:t>
      </w:r>
      <w:r>
        <w:rPr>
          <w:rFonts w:ascii="宋体" w:hAnsi="宋体"/>
          <w:color w:val="auto"/>
          <w:szCs w:val="21"/>
          <w:highlight w:val="none"/>
          <w:u w:val="single"/>
        </w:rPr>
        <w:t xml:space="preserve">  </w:t>
      </w:r>
      <w:r>
        <w:rPr>
          <w:rFonts w:hint="eastAsia" w:ascii="宋体" w:hAnsi="宋体"/>
          <w:color w:val="auto"/>
          <w:szCs w:val="21"/>
          <w:highlight w:val="none"/>
          <w:u w:val="single"/>
        </w:rPr>
        <w:t>其他计算方法</w:t>
      </w:r>
      <w:r>
        <w:rPr>
          <w:rFonts w:ascii="宋体" w:hAnsi="宋体"/>
          <w:color w:val="auto"/>
          <w:szCs w:val="21"/>
          <w:highlight w:val="none"/>
          <w:u w:val="single"/>
        </w:rPr>
        <w:t xml:space="preserve">   </w:t>
      </w:r>
      <w:r>
        <w:rPr>
          <w:rFonts w:hint="eastAsia" w:ascii="宋体" w:hAnsi="宋体"/>
          <w:color w:val="auto"/>
          <w:szCs w:val="21"/>
          <w:highlight w:val="none"/>
        </w:rPr>
        <w:t>（加权平均法/算数平均法/其他计算方法）。</w:t>
      </w:r>
    </w:p>
    <w:p w14:paraId="2B17E581">
      <w:pPr>
        <w:spacing w:line="360" w:lineRule="auto"/>
        <w:ind w:firstLine="630" w:firstLineChars="300"/>
        <w:rPr>
          <w:rFonts w:ascii="宋体"/>
          <w:color w:val="auto"/>
          <w:szCs w:val="21"/>
          <w:highlight w:val="none"/>
        </w:rPr>
      </w:pPr>
      <w:r>
        <w:rPr>
          <w:rFonts w:hint="eastAsia" w:ascii="宋体" w:hAnsi="宋体"/>
          <w:color w:val="auto"/>
          <w:szCs w:val="21"/>
          <w:highlight w:val="none"/>
        </w:rPr>
        <w:t>采用加权平均法：</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16F683CF">
      <w:pPr>
        <w:spacing w:line="360" w:lineRule="auto"/>
        <w:ind w:firstLine="630" w:firstLineChars="300"/>
        <w:rPr>
          <w:rFonts w:ascii="宋体"/>
          <w:color w:val="auto"/>
          <w:szCs w:val="21"/>
          <w:highlight w:val="none"/>
        </w:rPr>
      </w:pPr>
      <w:r>
        <w:rPr>
          <w:rFonts w:hint="eastAsia" w:ascii="宋体" w:hAnsi="宋体"/>
          <w:color w:val="auto"/>
          <w:szCs w:val="21"/>
          <w:highlight w:val="none"/>
        </w:rPr>
        <w:t>采用算</w:t>
      </w:r>
      <w:r>
        <w:rPr>
          <w:rFonts w:hint="eastAsia" w:ascii="宋体" w:hAnsi="宋体"/>
          <w:color w:val="auto"/>
          <w:szCs w:val="21"/>
          <w:highlight w:val="none"/>
          <w:lang w:eastAsia="zh-CN"/>
        </w:rPr>
        <w:t>术</w:t>
      </w:r>
      <w:r>
        <w:rPr>
          <w:rFonts w:hint="eastAsia" w:ascii="宋体" w:hAnsi="宋体"/>
          <w:color w:val="auto"/>
          <w:szCs w:val="21"/>
          <w:highlight w:val="none"/>
        </w:rPr>
        <w:t>平均法：</w:t>
      </w:r>
      <w:r>
        <w:rPr>
          <w:rFonts w:ascii="宋体" w:hAnsi="宋体"/>
          <w:color w:val="auto"/>
          <w:szCs w:val="21"/>
          <w:highlight w:val="none"/>
          <w:u w:val="single"/>
        </w:rPr>
        <w:t xml:space="preserve"> </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11E97E73">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rPr>
        <w:t>采用其他计算方法：</w:t>
      </w:r>
      <w:r>
        <w:rPr>
          <w:rFonts w:hint="eastAsia" w:ascii="宋体" w:hAnsi="宋体"/>
          <w:color w:val="auto"/>
          <w:szCs w:val="21"/>
          <w:highlight w:val="none"/>
          <w:u w:val="single"/>
        </w:rPr>
        <w:t>材料和机械价格波动的风险幅度确定原则均以材料（设备）、施工机具台班等对应除税单价为依据计算。</w:t>
      </w:r>
    </w:p>
    <w:p w14:paraId="55BB1795">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①以北京市建设工程造价管理机构发布的《北京工程造价信息》投标报价基准期中的市场信息价格（以下简称造价信息价格）为依据，造价信息价格中有上、下限的，以下限为准，造价信息价格中没有的，按发包人、承包人共同确认的市场价格为准；</w:t>
      </w:r>
    </w:p>
    <w:p w14:paraId="7DB793C8">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②当投标报价时的单价低于投标报价期对应的造价信息价格时，按施工期对应的造价信息价格与投标报价期对应的造价信息价格计算其变化幅度；当投标报价时的单价高于投标报价期对应的造价信息价格时，按施工期对应的造价信息价格与投标报价时的价格计算其变化幅度。</w:t>
      </w:r>
    </w:p>
    <w:p w14:paraId="46683FDF">
      <w:pPr>
        <w:spacing w:line="420" w:lineRule="auto"/>
        <w:ind w:firstLine="630" w:firstLineChars="300"/>
        <w:rPr>
          <w:rFonts w:ascii="宋体" w:hAnsi="宋体"/>
          <w:color w:val="auto"/>
          <w:szCs w:val="21"/>
          <w:highlight w:val="none"/>
          <w:u w:val="single"/>
        </w:rPr>
      </w:pPr>
      <w:r>
        <w:rPr>
          <w:rFonts w:ascii="宋体" w:hAnsi="宋体"/>
          <w:color w:val="auto"/>
          <w:szCs w:val="21"/>
          <w:highlight w:val="none"/>
          <w:u w:val="single"/>
        </w:rPr>
        <w:t>P=(Cs-Ct)</w:t>
      </w:r>
      <w:r>
        <w:rPr>
          <w:rFonts w:hint="eastAsia" w:ascii="宋体" w:hAnsi="宋体"/>
          <w:color w:val="auto"/>
          <w:szCs w:val="21"/>
          <w:highlight w:val="none"/>
          <w:u w:val="single"/>
        </w:rPr>
        <w:t>/</w:t>
      </w:r>
      <w:r>
        <w:rPr>
          <w:rFonts w:ascii="宋体" w:hAnsi="宋体"/>
          <w:color w:val="auto"/>
          <w:szCs w:val="21"/>
          <w:highlight w:val="none"/>
          <w:u w:val="single"/>
        </w:rPr>
        <w:t>Ct×100%</w:t>
      </w:r>
    </w:p>
    <w:p w14:paraId="479C3195">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其中：“P”为价格变化幅度</w:t>
      </w:r>
    </w:p>
    <w:p w14:paraId="3686FDAE">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“Cs”为施工期造价信息价格</w:t>
      </w:r>
    </w:p>
    <w:p w14:paraId="1FD5CA05">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“Ct”：当投标报价时的单价低于投标报价期对应的造价信息价格时，为投标期造价信息价格；当投标报价时的单价高于投标报价期对应的造价信息价格时，为投标报价时的单价。</w:t>
      </w:r>
    </w:p>
    <w:p w14:paraId="26431308">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计算后的差价仅计取税金。</w:t>
      </w:r>
    </w:p>
    <w:p w14:paraId="46DFE44A">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③主要材料和机械市场价格的变化幅度小于或等于合同中约定的价格变化幅度时，不做调整；变化幅度大于合同中约定的价格变化幅度时，应当计算超过部分的价差，其价差由发包人承担或受益。</w:t>
      </w:r>
    </w:p>
    <w:p w14:paraId="28C718F6">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④人工市场价格的变化幅度小于或等于合同中约定的价格变化幅度时，不做调整；变化幅度大于合同中约定的价格变化幅度时，其价差全部由发包人承担或受益。</w:t>
      </w:r>
    </w:p>
    <w:p w14:paraId="0CC533E6">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⑤发包人、承包人应当按月或按季度对施工期间人工、材料、机械等市场价格进行认价。承包人应当在合同规定的调整情况发生后14天内，将调整原因、金额以书面形式通知发包人，发包人确认调整金额后将其作为追加合同价款，与工程进度款同期支付；发包人收到承包人通知后14天内未予确认也未提出异议的，视为不同意该项调整；</w:t>
      </w:r>
    </w:p>
    <w:p w14:paraId="60178DC9">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⑥当合同规定的调整合同价款的调整情况发生后，承包人未在规定的时间内通知发包人，或者未在规定的时间内提出调整报告，发包人可以根据有关资料，决定是否调整和调整的金额，并书面通知承包人；</w:t>
      </w:r>
    </w:p>
    <w:p w14:paraId="7DAA926B">
      <w:pPr>
        <w:spacing w:line="420" w:lineRule="auto"/>
        <w:ind w:firstLine="630" w:firstLineChars="300"/>
        <w:rPr>
          <w:rFonts w:ascii="宋体" w:hAnsi="宋体"/>
          <w:color w:val="auto"/>
          <w:szCs w:val="21"/>
          <w:highlight w:val="none"/>
          <w:u w:val="single"/>
        </w:rPr>
      </w:pPr>
      <w:r>
        <w:rPr>
          <w:rFonts w:hint="eastAsia" w:ascii="宋体" w:hAnsi="宋体"/>
          <w:color w:val="auto"/>
          <w:szCs w:val="21"/>
          <w:highlight w:val="none"/>
          <w:u w:val="single"/>
        </w:rPr>
        <w:t>⑦工程量按调整期内完成的相应工程量计算；</w:t>
      </w:r>
    </w:p>
    <w:p w14:paraId="388FF9D7">
      <w:pPr>
        <w:spacing w:line="360" w:lineRule="auto"/>
        <w:ind w:firstLine="630" w:firstLineChars="300"/>
        <w:rPr>
          <w:rFonts w:ascii="宋体"/>
          <w:color w:val="auto"/>
          <w:szCs w:val="21"/>
          <w:highlight w:val="none"/>
        </w:rPr>
      </w:pPr>
      <w:r>
        <w:rPr>
          <w:rFonts w:hint="eastAsia" w:ascii="宋体" w:hAnsi="宋体"/>
          <w:color w:val="auto"/>
          <w:szCs w:val="21"/>
          <w:highlight w:val="none"/>
          <w:u w:val="single"/>
        </w:rPr>
        <w:t>⑧计算后的差价仅计取税金。</w:t>
      </w:r>
    </w:p>
    <w:p w14:paraId="393FA248">
      <w:pPr>
        <w:spacing w:line="360" w:lineRule="auto"/>
        <w:ind w:firstLine="630" w:firstLineChars="300"/>
        <w:rPr>
          <w:rFonts w:ascii="宋体"/>
          <w:color w:val="auto"/>
          <w:szCs w:val="21"/>
          <w:highlight w:val="none"/>
          <w:u w:val="singl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4  </w:t>
      </w:r>
      <w:r>
        <w:rPr>
          <w:rFonts w:hint="eastAsia" w:ascii="宋体" w:hAnsi="宋体"/>
          <w:color w:val="auto"/>
          <w:szCs w:val="21"/>
          <w:highlight w:val="none"/>
        </w:rPr>
        <w:t>其他约定：</w:t>
      </w:r>
      <w:r>
        <w:rPr>
          <w:rFonts w:hint="eastAsia" w:ascii="宋体" w:hAnsi="宋体"/>
          <w:color w:val="auto"/>
          <w:szCs w:val="21"/>
          <w:highlight w:val="none"/>
          <w:u w:val="single"/>
        </w:rPr>
        <w:t>造价信息调整时价格应参照北京市建设工程造价管理协会公布的价格信息</w:t>
      </w:r>
      <w:r>
        <w:rPr>
          <w:rFonts w:ascii="宋体" w:hAnsi="宋体"/>
          <w:color w:val="auto"/>
          <w:szCs w:val="21"/>
          <w:highlight w:val="none"/>
          <w:u w:val="single"/>
        </w:rPr>
        <w:t xml:space="preserve">  </w:t>
      </w:r>
    </w:p>
    <w:p w14:paraId="08098DF7">
      <w:pPr>
        <w:spacing w:line="360" w:lineRule="auto"/>
        <w:ind w:firstLine="420" w:firstLineChars="200"/>
        <w:rPr>
          <w:rFonts w:ascii="宋体"/>
          <w:color w:val="auto"/>
          <w:szCs w:val="21"/>
          <w:highlight w:val="none"/>
        </w:rPr>
      </w:pPr>
      <w:r>
        <w:rPr>
          <w:rFonts w:ascii="宋体" w:hAnsi="宋体"/>
          <w:color w:val="auto"/>
          <w:szCs w:val="21"/>
          <w:highlight w:val="none"/>
        </w:rPr>
        <w:t xml:space="preserve">16.1.3  </w:t>
      </w:r>
      <w:r>
        <w:rPr>
          <w:rFonts w:hint="eastAsia" w:ascii="宋体" w:hAnsi="宋体"/>
          <w:color w:val="auto"/>
          <w:szCs w:val="21"/>
          <w:highlight w:val="none"/>
        </w:rPr>
        <w:t>其他价格调整方法</w:t>
      </w:r>
    </w:p>
    <w:p w14:paraId="6723D769">
      <w:pPr>
        <w:spacing w:line="360" w:lineRule="auto"/>
        <w:ind w:left="424" w:leftChars="202"/>
        <w:rPr>
          <w:rFonts w:ascii="宋体"/>
          <w:color w:val="auto"/>
          <w:szCs w:val="21"/>
          <w:highlight w:val="none"/>
        </w:rPr>
      </w:pPr>
      <w:r>
        <w:rPr>
          <w:rFonts w:ascii="宋体" w:hAnsi="宋体"/>
          <w:color w:val="auto"/>
          <w:szCs w:val="21"/>
          <w:highlight w:val="none"/>
          <w:u w:val="single"/>
        </w:rPr>
        <w:t xml:space="preserve">    /                                                                  </w:t>
      </w:r>
    </w:p>
    <w:p w14:paraId="514F62C2">
      <w:pPr>
        <w:keepNext/>
        <w:keepLines/>
        <w:spacing w:before="120" w:beforeLines="50" w:after="120" w:afterLines="50" w:line="360" w:lineRule="auto"/>
        <w:outlineLvl w:val="1"/>
        <w:rPr>
          <w:rFonts w:ascii="宋体" w:hAnsi="宋体" w:cs="宋体"/>
          <w:color w:val="auto"/>
          <w:sz w:val="28"/>
          <w:szCs w:val="20"/>
          <w:highlight w:val="none"/>
        </w:rPr>
      </w:pPr>
      <w:bookmarkStart w:id="1925" w:name="_Toc489280234"/>
      <w:bookmarkStart w:id="1926" w:name="_Toc486580428"/>
      <w:bookmarkStart w:id="1927" w:name="_Toc5598"/>
      <w:bookmarkStart w:id="1928" w:name="_Toc490331719"/>
      <w:bookmarkStart w:id="1929" w:name="_Toc497214097"/>
      <w:bookmarkStart w:id="1930" w:name="_Toc485323202"/>
      <w:bookmarkStart w:id="1931" w:name="_Toc22956"/>
      <w:r>
        <w:rPr>
          <w:rFonts w:ascii="宋体" w:hAnsi="宋体" w:cs="宋体"/>
          <w:color w:val="auto"/>
          <w:sz w:val="28"/>
          <w:szCs w:val="20"/>
          <w:highlight w:val="none"/>
        </w:rPr>
        <w:t>17.</w:t>
      </w:r>
      <w:r>
        <w:rPr>
          <w:rFonts w:hint="eastAsia" w:ascii="宋体" w:hAnsi="宋体" w:cs="宋体"/>
          <w:color w:val="auto"/>
          <w:sz w:val="28"/>
          <w:szCs w:val="20"/>
          <w:highlight w:val="none"/>
        </w:rPr>
        <w:t>计量与支付</w:t>
      </w:r>
      <w:bookmarkEnd w:id="1925"/>
      <w:bookmarkEnd w:id="1926"/>
      <w:bookmarkEnd w:id="1927"/>
      <w:bookmarkEnd w:id="1928"/>
      <w:bookmarkEnd w:id="1929"/>
      <w:bookmarkEnd w:id="1930"/>
      <w:bookmarkEnd w:id="1931"/>
    </w:p>
    <w:p w14:paraId="315113AB">
      <w:pPr>
        <w:keepNext/>
        <w:keepLines/>
        <w:spacing w:before="120" w:beforeLines="50" w:after="120" w:afterLines="50" w:line="360" w:lineRule="auto"/>
        <w:outlineLvl w:val="2"/>
        <w:rPr>
          <w:rFonts w:ascii="宋体" w:hAnsi="宋体"/>
          <w:color w:val="auto"/>
          <w:kern w:val="0"/>
          <w:sz w:val="24"/>
          <w:szCs w:val="20"/>
          <w:highlight w:val="none"/>
        </w:rPr>
      </w:pPr>
      <w:bookmarkStart w:id="1932" w:name="_Toc489280235"/>
      <w:bookmarkStart w:id="1933" w:name="_Toc32674"/>
      <w:bookmarkStart w:id="1934" w:name="_Toc497214098"/>
      <w:bookmarkStart w:id="1935" w:name="_Toc485323203"/>
      <w:bookmarkStart w:id="1936" w:name="_Toc490331720"/>
      <w:bookmarkStart w:id="1937" w:name="_Toc486580429"/>
      <w:bookmarkStart w:id="1938" w:name="_Toc3139"/>
      <w:r>
        <w:rPr>
          <w:rFonts w:ascii="宋体" w:hAnsi="宋体"/>
          <w:color w:val="auto"/>
          <w:kern w:val="0"/>
          <w:sz w:val="24"/>
          <w:szCs w:val="20"/>
          <w:highlight w:val="none"/>
        </w:rPr>
        <w:t xml:space="preserve">17.1  </w:t>
      </w:r>
      <w:r>
        <w:rPr>
          <w:rFonts w:hint="eastAsia" w:ascii="宋体" w:hAnsi="宋体"/>
          <w:color w:val="auto"/>
          <w:kern w:val="0"/>
          <w:sz w:val="24"/>
          <w:szCs w:val="20"/>
          <w:highlight w:val="none"/>
        </w:rPr>
        <w:t>计量</w:t>
      </w:r>
      <w:bookmarkEnd w:id="1932"/>
      <w:bookmarkEnd w:id="1933"/>
      <w:bookmarkEnd w:id="1934"/>
      <w:bookmarkEnd w:id="1935"/>
      <w:bookmarkEnd w:id="1936"/>
      <w:bookmarkEnd w:id="1937"/>
      <w:bookmarkEnd w:id="1938"/>
    </w:p>
    <w:p w14:paraId="51080D30">
      <w:pPr>
        <w:spacing w:line="360" w:lineRule="auto"/>
        <w:ind w:firstLine="420" w:firstLineChars="200"/>
        <w:rPr>
          <w:rFonts w:ascii="宋体" w:cs="Arial"/>
          <w:color w:val="auto"/>
          <w:highlight w:val="none"/>
        </w:rPr>
      </w:pPr>
      <w:r>
        <w:rPr>
          <w:rFonts w:ascii="宋体" w:hAnsi="宋体" w:cs="Arial"/>
          <w:color w:val="auto"/>
          <w:highlight w:val="none"/>
        </w:rPr>
        <w:t xml:space="preserve">17.1.3  </w:t>
      </w:r>
      <w:r>
        <w:rPr>
          <w:rFonts w:hint="eastAsia" w:ascii="宋体" w:hAnsi="宋体" w:cs="Arial"/>
          <w:color w:val="auto"/>
          <w:highlight w:val="none"/>
        </w:rPr>
        <w:t>计量周期</w:t>
      </w:r>
    </w:p>
    <w:p w14:paraId="06AFD460">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）每月</w:t>
      </w:r>
      <w:r>
        <w:rPr>
          <w:rFonts w:ascii="宋体" w:hAnsi="宋体"/>
          <w:color w:val="auto"/>
          <w:szCs w:val="21"/>
          <w:highlight w:val="none"/>
          <w:u w:val="single"/>
        </w:rPr>
        <w:t xml:space="preserve">  25  </w:t>
      </w:r>
      <w:r>
        <w:rPr>
          <w:rFonts w:hint="eastAsia" w:ascii="宋体" w:hAnsi="宋体"/>
          <w:color w:val="auto"/>
          <w:szCs w:val="21"/>
          <w:highlight w:val="none"/>
        </w:rPr>
        <w:t>日为当月计量截止日期（不含当日）和下月计量起始日期（含当日）。</w:t>
      </w:r>
    </w:p>
    <w:p w14:paraId="199517F4">
      <w:pPr>
        <w:spacing w:line="360" w:lineRule="auto"/>
        <w:ind w:left="105" w:leftChars="50" w:firstLine="315" w:firstLineChars="15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2</w:t>
      </w:r>
      <w:r>
        <w:rPr>
          <w:rFonts w:hint="eastAsia" w:ascii="宋体" w:hAnsi="宋体" w:cs="Arial"/>
          <w:color w:val="auto"/>
          <w:highlight w:val="none"/>
        </w:rPr>
        <w:t>）本合同</w:t>
      </w:r>
      <w:r>
        <w:rPr>
          <w:rFonts w:ascii="宋体" w:hAnsi="宋体" w:cs="Arial"/>
          <w:color w:val="auto"/>
          <w:highlight w:val="none"/>
          <w:u w:val="single"/>
        </w:rPr>
        <w:t xml:space="preserve">  </w:t>
      </w:r>
      <w:r>
        <w:rPr>
          <w:rFonts w:hint="eastAsia" w:ascii="宋体" w:hAnsi="宋体" w:cs="Arial"/>
          <w:color w:val="auto"/>
          <w:highlight w:val="none"/>
          <w:u w:val="single"/>
        </w:rPr>
        <w:t xml:space="preserve">执行 </w:t>
      </w:r>
      <w:r>
        <w:rPr>
          <w:rFonts w:hint="eastAsia" w:ascii="宋体" w:hAnsi="宋体" w:cs="Arial"/>
          <w:color w:val="auto"/>
          <w:highlight w:val="none"/>
        </w:rPr>
        <w:t>（执行（采用单价合同形式时）/不执行（采用总价合同形式时））</w:t>
      </w:r>
      <w:r>
        <w:rPr>
          <w:rFonts w:hint="eastAsia"/>
          <w:color w:val="auto"/>
          <w:highlight w:val="none"/>
        </w:rPr>
        <w:t>单价子目已完成工程量按月计量</w:t>
      </w:r>
      <w:r>
        <w:rPr>
          <w:rFonts w:hint="eastAsia" w:ascii="宋体" w:hAnsi="宋体" w:cs="Arial"/>
          <w:color w:val="auto"/>
          <w:highlight w:val="none"/>
        </w:rPr>
        <w:t>。</w:t>
      </w:r>
    </w:p>
    <w:p w14:paraId="0C706C85">
      <w:pPr>
        <w:spacing w:line="360" w:lineRule="auto"/>
        <w:ind w:left="105" w:leftChars="50" w:firstLine="315" w:firstLineChars="15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3</w:t>
      </w:r>
      <w:r>
        <w:rPr>
          <w:rFonts w:hint="eastAsia" w:ascii="宋体" w:hAnsi="宋体" w:cs="Arial"/>
          <w:color w:val="auto"/>
          <w:highlight w:val="none"/>
        </w:rPr>
        <w:t>）</w:t>
      </w:r>
      <w:r>
        <w:rPr>
          <w:rFonts w:hint="eastAsia" w:ascii="宋体" w:hAnsi="宋体"/>
          <w:color w:val="auto"/>
          <w:szCs w:val="21"/>
          <w:highlight w:val="none"/>
        </w:rPr>
        <w:t>总价子目计量方式采用</w:t>
      </w:r>
      <w:r>
        <w:rPr>
          <w:rFonts w:ascii="宋体" w:hAnsi="宋体"/>
          <w:color w:val="auto"/>
          <w:szCs w:val="21"/>
          <w:highlight w:val="none"/>
          <w:u w:val="single"/>
        </w:rPr>
        <w:t xml:space="preserve">  </w:t>
      </w:r>
      <w:r>
        <w:rPr>
          <w:rFonts w:hint="eastAsia" w:ascii="宋体" w:hAnsi="宋体"/>
          <w:color w:val="auto"/>
          <w:szCs w:val="21"/>
          <w:highlight w:val="none"/>
          <w:u w:val="single"/>
        </w:rPr>
        <w:t>按实际完成工程量计量</w:t>
      </w:r>
      <w:r>
        <w:rPr>
          <w:rFonts w:ascii="宋体" w:hAnsi="宋体"/>
          <w:color w:val="auto"/>
          <w:szCs w:val="21"/>
          <w:highlight w:val="none"/>
          <w:u w:val="single"/>
        </w:rPr>
        <w:t xml:space="preserve">    </w:t>
      </w:r>
      <w:r>
        <w:rPr>
          <w:rFonts w:hint="eastAsia" w:ascii="宋体" w:hAnsi="宋体" w:cs="Arial"/>
          <w:color w:val="auto"/>
          <w:szCs w:val="21"/>
          <w:highlight w:val="none"/>
        </w:rPr>
        <w:t>（支付分解报告/按实际完成工程量计量）</w:t>
      </w:r>
      <w:r>
        <w:rPr>
          <w:rFonts w:hint="eastAsia" w:ascii="宋体" w:hAnsi="宋体" w:cs="Arial"/>
          <w:color w:val="auto"/>
          <w:highlight w:val="none"/>
        </w:rPr>
        <w:t>。</w:t>
      </w:r>
    </w:p>
    <w:p w14:paraId="64FA62D0">
      <w:pPr>
        <w:spacing w:line="360" w:lineRule="auto"/>
        <w:ind w:firstLine="420" w:firstLineChars="200"/>
        <w:rPr>
          <w:rFonts w:ascii="宋体"/>
          <w:color w:val="auto"/>
          <w:highlight w:val="none"/>
        </w:rPr>
      </w:pPr>
      <w:r>
        <w:rPr>
          <w:rFonts w:ascii="宋体" w:hAnsi="宋体" w:cs="Arial"/>
          <w:color w:val="auto"/>
          <w:highlight w:val="none"/>
        </w:rPr>
        <w:t xml:space="preserve">17.1.5  </w:t>
      </w:r>
      <w:r>
        <w:rPr>
          <w:rFonts w:hint="eastAsia" w:ascii="宋体" w:hAnsi="宋体" w:cs="Arial"/>
          <w:color w:val="auto"/>
          <w:highlight w:val="none"/>
        </w:rPr>
        <w:t>总价子目的计量</w:t>
      </w:r>
      <w:r>
        <w:rPr>
          <w:rFonts w:hint="eastAsia" w:ascii="宋体" w:hAnsi="宋体"/>
          <w:color w:val="auto"/>
          <w:highlight w:val="none"/>
        </w:rPr>
        <w:t>（适用于采用支付分解报告）</w:t>
      </w:r>
    </w:p>
    <w:p w14:paraId="61A8F03B">
      <w:pPr>
        <w:spacing w:line="360" w:lineRule="auto"/>
        <w:ind w:firstLine="420" w:firstLineChars="200"/>
        <w:rPr>
          <w:rFonts w:ascii="宋体" w:cs="Arial"/>
          <w:color w:val="auto"/>
          <w:highlight w:val="none"/>
          <w:u w:val="single"/>
        </w:rPr>
      </w:pPr>
      <w:r>
        <w:rPr>
          <w:rFonts w:hint="eastAsia" w:ascii="宋体" w:hAnsi="宋体" w:cs="Arial"/>
          <w:color w:val="auto"/>
          <w:highlight w:val="none"/>
        </w:rPr>
        <w:t>（</w:t>
      </w:r>
      <w:r>
        <w:rPr>
          <w:rFonts w:ascii="宋体" w:hAnsi="宋体" w:cs="Arial"/>
          <w:color w:val="auto"/>
          <w:highlight w:val="none"/>
        </w:rPr>
        <w:t>1</w:t>
      </w:r>
      <w:r>
        <w:rPr>
          <w:rFonts w:hint="eastAsia" w:ascii="宋体" w:hAnsi="宋体" w:cs="Arial"/>
          <w:color w:val="auto"/>
          <w:highlight w:val="none"/>
        </w:rPr>
        <w:t>）</w:t>
      </w:r>
      <w:r>
        <w:rPr>
          <w:rFonts w:hint="eastAsia" w:ascii="宋体" w:hAnsi="宋体"/>
          <w:color w:val="auto"/>
          <w:highlight w:val="none"/>
        </w:rPr>
        <w:t>采用支付分解报告计量方式的，</w:t>
      </w:r>
      <w:r>
        <w:rPr>
          <w:rFonts w:hint="eastAsia" w:ascii="宋体" w:hAnsi="宋体" w:cs="Arial"/>
          <w:color w:val="auto"/>
          <w:highlight w:val="none"/>
        </w:rPr>
        <w:t>总价</w:t>
      </w:r>
      <w:r>
        <w:rPr>
          <w:rFonts w:hint="eastAsia" w:ascii="宋体" w:hAnsi="宋体"/>
          <w:color w:val="auto"/>
          <w:szCs w:val="21"/>
          <w:highlight w:val="none"/>
        </w:rPr>
        <w:t>子目</w:t>
      </w:r>
      <w:r>
        <w:rPr>
          <w:rFonts w:hint="eastAsia" w:ascii="宋体" w:hAnsi="宋体" w:cs="Arial"/>
          <w:color w:val="auto"/>
          <w:highlight w:val="none"/>
        </w:rPr>
        <w:t>的价格调整方法：</w:t>
      </w:r>
      <w:r>
        <w:rPr>
          <w:rFonts w:ascii="宋体" w:hAnsi="宋体" w:cs="Arial"/>
          <w:color w:val="auto"/>
          <w:highlight w:val="none"/>
          <w:u w:val="single"/>
        </w:rPr>
        <w:t xml:space="preserve"> /               </w:t>
      </w:r>
    </w:p>
    <w:p w14:paraId="5CF1814A">
      <w:pPr>
        <w:spacing w:line="360" w:lineRule="auto"/>
        <w:ind w:firstLine="420" w:firstLineChars="200"/>
        <w:rPr>
          <w:rFonts w:ascii="宋体" w:cs="Arial"/>
          <w:color w:val="auto"/>
          <w:highlight w:val="none"/>
        </w:rPr>
      </w:pPr>
      <w:r>
        <w:rPr>
          <w:rFonts w:ascii="宋体" w:hAnsi="宋体" w:cs="Arial"/>
          <w:color w:val="auto"/>
          <w:highlight w:val="none"/>
        </w:rPr>
        <w:t xml:space="preserve">17.1.5  </w:t>
      </w:r>
      <w:r>
        <w:rPr>
          <w:rFonts w:hint="eastAsia" w:ascii="宋体" w:hAnsi="宋体" w:cs="Arial"/>
          <w:color w:val="auto"/>
          <w:highlight w:val="none"/>
        </w:rPr>
        <w:t>总价</w:t>
      </w:r>
      <w:r>
        <w:rPr>
          <w:rFonts w:hint="eastAsia" w:ascii="宋体" w:hAnsi="宋体"/>
          <w:color w:val="auto"/>
          <w:szCs w:val="21"/>
          <w:highlight w:val="none"/>
        </w:rPr>
        <w:t>子目</w:t>
      </w:r>
      <w:r>
        <w:rPr>
          <w:rFonts w:hint="eastAsia" w:ascii="宋体" w:hAnsi="宋体" w:cs="Arial"/>
          <w:color w:val="auto"/>
          <w:highlight w:val="none"/>
        </w:rPr>
        <w:t>的计量（适用于采用按实际完成工程量计量）</w:t>
      </w:r>
    </w:p>
    <w:p w14:paraId="09EA8051">
      <w:pPr>
        <w:spacing w:line="360" w:lineRule="auto"/>
        <w:ind w:firstLine="420" w:firstLineChars="200"/>
        <w:rPr>
          <w:rFonts w:ascii="宋体" w:cs="Arial"/>
          <w:color w:val="auto"/>
          <w:highlight w:val="none"/>
        </w:rPr>
      </w:pPr>
      <w:r>
        <w:rPr>
          <w:rFonts w:hint="eastAsia" w:ascii="宋体" w:hAnsi="宋体" w:cs="Arial"/>
          <w:color w:val="auto"/>
          <w:highlight w:val="none"/>
        </w:rPr>
        <w:t>（</w:t>
      </w:r>
      <w:r>
        <w:rPr>
          <w:rFonts w:ascii="宋体" w:hAnsi="宋体" w:cs="Arial"/>
          <w:color w:val="auto"/>
          <w:highlight w:val="none"/>
        </w:rPr>
        <w:t>1</w:t>
      </w:r>
      <w:r>
        <w:rPr>
          <w:rFonts w:hint="eastAsia" w:ascii="宋体" w:hAnsi="宋体" w:cs="Arial"/>
          <w:color w:val="auto"/>
          <w:highlight w:val="none"/>
        </w:rPr>
        <w:t>）采用按实际完成工程量计量方式的</w:t>
      </w:r>
      <w:r>
        <w:rPr>
          <w:rFonts w:ascii="宋体" w:cs="Arial"/>
          <w:color w:val="auto"/>
          <w:highlight w:val="none"/>
        </w:rPr>
        <w:t>,</w:t>
      </w:r>
      <w:r>
        <w:rPr>
          <w:rFonts w:hint="eastAsia" w:ascii="宋体" w:hAnsi="宋体" w:cs="Arial"/>
          <w:color w:val="auto"/>
          <w:highlight w:val="none"/>
        </w:rPr>
        <w:t>总价</w:t>
      </w:r>
      <w:r>
        <w:rPr>
          <w:rFonts w:hint="eastAsia" w:ascii="宋体" w:hAnsi="宋体"/>
          <w:color w:val="auto"/>
          <w:szCs w:val="21"/>
          <w:highlight w:val="none"/>
        </w:rPr>
        <w:t>子目</w:t>
      </w:r>
      <w:r>
        <w:rPr>
          <w:rFonts w:hint="eastAsia" w:ascii="宋体" w:hAnsi="宋体" w:cs="Arial"/>
          <w:color w:val="auto"/>
          <w:highlight w:val="none"/>
        </w:rPr>
        <w:t>的价格调整方法：</w:t>
      </w:r>
      <w:r>
        <w:rPr>
          <w:rFonts w:hint="eastAsia" w:ascii="宋体" w:hAnsi="宋体" w:cs="Arial"/>
          <w:color w:val="auto"/>
          <w:highlight w:val="none"/>
          <w:u w:val="single"/>
        </w:rPr>
        <w:t>因非承包人原因引起已标价工程量清单中某个子目工程量的变化幅度超过15%（不含），且承包人或监理人认为该变化引起相关措施项目发生变化的，发包人或监理人要求承包人针对措施项目的变化提交施工调整方案及价格调整报告，监理人批准后确定需调整的措施项目价款。总价子目的计量和支付应以总价为基础，对承包人实际完成的工程量进行计量，是进行工程目标管理和控制进度款支付的依据。总价子目的计量和支付应以总价为基础，对承包人实际完成的工程量进行计量，是进行工程目标管理和控制进度款支付的依据。</w:t>
      </w:r>
      <w:r>
        <w:rPr>
          <w:rFonts w:ascii="宋体" w:hAnsi="宋体" w:cs="Arial"/>
          <w:color w:val="auto"/>
          <w:highlight w:val="none"/>
          <w:u w:val="single"/>
        </w:rPr>
        <w:t xml:space="preserve"> </w:t>
      </w:r>
    </w:p>
    <w:p w14:paraId="68719A72">
      <w:pPr>
        <w:keepNext/>
        <w:keepLines/>
        <w:spacing w:before="120" w:beforeLines="50" w:after="120" w:afterLines="50" w:line="360" w:lineRule="auto"/>
        <w:outlineLvl w:val="2"/>
        <w:rPr>
          <w:rFonts w:ascii="宋体" w:hAnsi="宋体"/>
          <w:color w:val="auto"/>
          <w:kern w:val="0"/>
          <w:sz w:val="24"/>
          <w:szCs w:val="20"/>
          <w:highlight w:val="none"/>
        </w:rPr>
      </w:pPr>
      <w:bookmarkStart w:id="1939" w:name="_Toc497214099"/>
      <w:bookmarkStart w:id="1940" w:name="_Toc21938"/>
      <w:bookmarkStart w:id="1941" w:name="_Toc490331721"/>
      <w:bookmarkStart w:id="1942" w:name="_Toc485323204"/>
      <w:bookmarkStart w:id="1943" w:name="_Toc31539"/>
      <w:bookmarkStart w:id="1944" w:name="_Toc489280236"/>
      <w:bookmarkStart w:id="1945" w:name="_Toc486580430"/>
      <w:r>
        <w:rPr>
          <w:rFonts w:ascii="宋体" w:hAnsi="宋体"/>
          <w:color w:val="auto"/>
          <w:kern w:val="0"/>
          <w:sz w:val="24"/>
          <w:szCs w:val="20"/>
          <w:highlight w:val="none"/>
        </w:rPr>
        <w:t xml:space="preserve">17.2  </w:t>
      </w:r>
      <w:r>
        <w:rPr>
          <w:rFonts w:hint="eastAsia" w:ascii="宋体" w:hAnsi="宋体"/>
          <w:color w:val="auto"/>
          <w:kern w:val="0"/>
          <w:sz w:val="24"/>
          <w:szCs w:val="20"/>
          <w:highlight w:val="none"/>
        </w:rPr>
        <w:t>预付款</w:t>
      </w:r>
      <w:bookmarkEnd w:id="1939"/>
      <w:bookmarkEnd w:id="1940"/>
      <w:bookmarkEnd w:id="1941"/>
      <w:bookmarkEnd w:id="1942"/>
      <w:bookmarkEnd w:id="1943"/>
      <w:bookmarkEnd w:id="1944"/>
      <w:bookmarkEnd w:id="1945"/>
    </w:p>
    <w:p w14:paraId="7A420895">
      <w:pPr>
        <w:spacing w:line="360" w:lineRule="auto"/>
        <w:ind w:firstLine="420" w:firstLineChars="200"/>
        <w:rPr>
          <w:rFonts w:ascii="宋体" w:cs="Arial"/>
          <w:color w:val="auto"/>
          <w:highlight w:val="none"/>
        </w:rPr>
      </w:pPr>
      <w:r>
        <w:rPr>
          <w:rFonts w:ascii="宋体" w:hAnsi="宋体" w:cs="Arial"/>
          <w:color w:val="auto"/>
          <w:highlight w:val="none"/>
        </w:rPr>
        <w:t xml:space="preserve">17.2.1  </w:t>
      </w:r>
      <w:r>
        <w:rPr>
          <w:rFonts w:hint="eastAsia" w:ascii="宋体" w:hAnsi="宋体" w:cs="Arial"/>
          <w:color w:val="auto"/>
          <w:highlight w:val="none"/>
        </w:rPr>
        <w:t>预付款</w:t>
      </w:r>
    </w:p>
    <w:p w14:paraId="34535706">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）预付款额度</w:t>
      </w:r>
    </w:p>
    <w:p w14:paraId="204FA02F">
      <w:pPr>
        <w:spacing w:line="360" w:lineRule="auto"/>
        <w:ind w:firstLine="630" w:firstLineChars="300"/>
        <w:rPr>
          <w:rFonts w:ascii="宋体" w:hAnsi="宋体"/>
          <w:color w:val="auto"/>
          <w:szCs w:val="21"/>
          <w:highlight w:val="none"/>
          <w:u w:val="single"/>
        </w:rPr>
      </w:pPr>
      <w:r>
        <w:rPr>
          <w:rFonts w:hint="eastAsia" w:ascii="宋体" w:hAnsi="宋体"/>
          <w:color w:val="auto"/>
          <w:szCs w:val="21"/>
          <w:highlight w:val="none"/>
        </w:rPr>
        <w:t>预付款额度：</w:t>
      </w:r>
      <w:r>
        <w:rPr>
          <w:rFonts w:hint="eastAsia" w:ascii="宋体" w:hAnsi="宋体"/>
          <w:color w:val="auto"/>
          <w:szCs w:val="21"/>
          <w:highlight w:val="none"/>
          <w:u w:val="single"/>
        </w:rPr>
        <w:t>合同总价（扣除安全文明施工费（含税）、农民工工伤保险费、专业工程暂估价（含税）、暂列金额（含税））的</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0%</w:t>
      </w:r>
    </w:p>
    <w:p w14:paraId="108EEC86">
      <w:pPr>
        <w:spacing w:line="360" w:lineRule="auto"/>
        <w:ind w:firstLine="630" w:firstLineChars="300"/>
        <w:rPr>
          <w:rFonts w:ascii="宋体" w:hAnsi="宋体"/>
          <w:color w:val="auto"/>
          <w:szCs w:val="21"/>
          <w:highlight w:val="none"/>
        </w:rPr>
      </w:pPr>
      <w:r>
        <w:rPr>
          <w:rFonts w:hint="eastAsia" w:ascii="宋体" w:hAnsi="宋体"/>
          <w:color w:val="auto"/>
          <w:szCs w:val="21"/>
          <w:highlight w:val="none"/>
        </w:rPr>
        <w:t>其中：</w:t>
      </w:r>
      <w:r>
        <w:rPr>
          <w:rFonts w:hint="eastAsia" w:ascii="宋体" w:hAnsi="宋体"/>
          <w:color w:val="auto"/>
          <w:szCs w:val="21"/>
          <w:highlight w:val="none"/>
          <w:u w:val="single"/>
        </w:rPr>
        <w:t xml:space="preserve">农民工工伤保险费：发包人向承包人一次性支付农民工工伤保险费的100%。 </w:t>
      </w:r>
    </w:p>
    <w:p w14:paraId="1A235C5C">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）预付办法</w:t>
      </w:r>
    </w:p>
    <w:p w14:paraId="09EE3A63">
      <w:pPr>
        <w:spacing w:line="360" w:lineRule="auto"/>
        <w:ind w:firstLine="630" w:firstLineChars="300"/>
        <w:rPr>
          <w:rFonts w:ascii="宋体" w:hAnsi="宋体"/>
          <w:color w:val="auto"/>
          <w:szCs w:val="21"/>
          <w:highlight w:val="none"/>
          <w:u w:val="single"/>
        </w:rPr>
      </w:pPr>
      <w:r>
        <w:rPr>
          <w:rFonts w:hint="eastAsia" w:ascii="宋体" w:hAnsi="宋体"/>
          <w:color w:val="auto"/>
          <w:szCs w:val="21"/>
          <w:highlight w:val="none"/>
        </w:rPr>
        <w:t>预付款预付办法：</w:t>
      </w:r>
      <w:r>
        <w:rPr>
          <w:rFonts w:hint="eastAsia" w:ascii="宋体" w:hAnsi="宋体" w:cs="宋体"/>
          <w:color w:val="auto"/>
          <w:szCs w:val="21"/>
          <w:highlight w:val="none"/>
          <w:u w:val="single"/>
          <w:lang w:val="en-US" w:eastAsia="zh-CN"/>
        </w:rPr>
        <w:t>承包人应当于发包人付款前为发包人开具开具正规等额</w:t>
      </w:r>
      <w:r>
        <w:rPr>
          <w:rFonts w:hint="eastAsia" w:ascii="宋体" w:hAnsi="宋体" w:eastAsia="宋体" w:cs="宋体"/>
          <w:color w:val="auto"/>
          <w:szCs w:val="21"/>
          <w:highlight w:val="none"/>
          <w:u w:val="single"/>
        </w:rPr>
        <w:t>发票。在收到承包人正式发票后，发包人一次性向承包人支付预付款</w:t>
      </w:r>
      <w:r>
        <w:rPr>
          <w:rFonts w:hint="eastAsia" w:ascii="宋体" w:hAnsi="宋体"/>
          <w:color w:val="auto"/>
          <w:szCs w:val="21"/>
          <w:highlight w:val="none"/>
          <w:u w:val="single"/>
        </w:rPr>
        <w:t>。承包人不提供合规发票的，发包人有权相应顺延付款期限而无需承担违约责任。</w:t>
      </w:r>
    </w:p>
    <w:p w14:paraId="7901CA14">
      <w:pPr>
        <w:spacing w:line="360" w:lineRule="auto"/>
        <w:ind w:firstLine="630" w:firstLineChars="300"/>
        <w:rPr>
          <w:rFonts w:ascii="宋体" w:hAnsi="宋体"/>
          <w:color w:val="auto"/>
          <w:szCs w:val="21"/>
          <w:highlight w:val="none"/>
          <w:u w:val="single"/>
        </w:rPr>
      </w:pPr>
      <w:r>
        <w:rPr>
          <w:rFonts w:hint="eastAsia" w:ascii="宋体" w:hAnsi="宋体"/>
          <w:color w:val="auto"/>
          <w:szCs w:val="21"/>
          <w:highlight w:val="none"/>
        </w:rPr>
        <w:t>预付款的支付时间：</w:t>
      </w:r>
      <w:r>
        <w:rPr>
          <w:rFonts w:hint="eastAsia" w:ascii="宋体" w:hAnsi="宋体"/>
          <w:color w:val="auto"/>
          <w:szCs w:val="21"/>
          <w:highlight w:val="none"/>
          <w:u w:val="single"/>
        </w:rPr>
        <w:t>本合同签订且</w:t>
      </w:r>
      <w:r>
        <w:rPr>
          <w:rFonts w:hint="eastAsia" w:ascii="宋体" w:hAnsi="宋体"/>
          <w:color w:val="auto"/>
          <w:szCs w:val="21"/>
          <w:highlight w:val="none"/>
          <w:u w:val="single"/>
          <w:lang w:eastAsia="zh-CN"/>
        </w:rPr>
        <w:t>根据财政拨付情况待</w:t>
      </w:r>
      <w:r>
        <w:rPr>
          <w:rFonts w:hint="eastAsia" w:ascii="宋体" w:hAnsi="宋体"/>
          <w:color w:val="auto"/>
          <w:szCs w:val="21"/>
          <w:highlight w:val="none"/>
          <w:u w:val="single"/>
        </w:rPr>
        <w:t>财政资金到位后，</w:t>
      </w:r>
      <w:r>
        <w:rPr>
          <w:rFonts w:hint="eastAsia" w:ascii="宋体" w:hAnsi="宋体"/>
          <w:color w:val="auto"/>
          <w:szCs w:val="21"/>
          <w:highlight w:val="none"/>
          <w:u w:val="single"/>
          <w:lang w:val="en-US" w:eastAsia="zh-CN"/>
        </w:rPr>
        <w:t>且</w:t>
      </w:r>
      <w:r>
        <w:rPr>
          <w:rFonts w:hint="eastAsia" w:ascii="宋体" w:hAnsi="宋体"/>
          <w:color w:val="auto"/>
          <w:szCs w:val="21"/>
          <w:highlight w:val="none"/>
          <w:u w:val="single"/>
        </w:rPr>
        <w:t>需满足上述预付办法约定的条件。</w:t>
      </w:r>
    </w:p>
    <w:p w14:paraId="419EC824">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（3）安全文明施工费用预付额度及方式：</w:t>
      </w:r>
    </w:p>
    <w:p w14:paraId="6E22C76F">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安全文明施工费用的预付不受上述预付办法和支付时间约定的制约。安全文明施工费用按以下时间节点和金额进行预付：</w:t>
      </w:r>
    </w:p>
    <w:p w14:paraId="1CC75C28">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发包人应当在不迟于第11.1.1项约定的开工日期前的7天内，将签约合同价中载明的安全文明施工费用总额的50%一次性预付给承包人。</w:t>
      </w:r>
    </w:p>
    <w:p w14:paraId="6580817C">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发包人应当在±0.00以下主体结构施工完成或签约合同价中分部分项工程项目的完成价款比例达到30%（两者中以条件先满足的为准）7天内，预付至签约合同价中载明的安全文明施工费用总额的70%。</w:t>
      </w:r>
    </w:p>
    <w:p w14:paraId="06B82BB0">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发包人应当在安全生产标准化考评、评定达到（含整改后达到）或超过合同约定的安全生产标准化管理目标之日起7天内，预付至签约合同价中载明的安全文明施工费用总额的90%。</w:t>
      </w:r>
    </w:p>
    <w:p w14:paraId="3A33AC10">
      <w:pPr>
        <w:spacing w:line="360" w:lineRule="auto"/>
        <w:ind w:firstLine="630" w:firstLineChars="300"/>
        <w:rPr>
          <w:rFonts w:ascii="宋体" w:hAnsi="宋体" w:eastAsia="宋体" w:cs="宋体"/>
          <w:color w:val="auto"/>
          <w:szCs w:val="21"/>
          <w:highlight w:val="none"/>
        </w:rPr>
      </w:pPr>
      <w:r>
        <w:rPr>
          <w:rFonts w:hint="eastAsia" w:ascii="宋体" w:hAnsi="宋体" w:eastAsia="宋体" w:cs="宋体"/>
          <w:color w:val="auto"/>
          <w:szCs w:val="21"/>
          <w:highlight w:val="none"/>
        </w:rPr>
        <w:t>发包人应当在工程竣工后，安全生产标准化考评、认定达到或超过合同约定安全生产标准化管理目标并颁发考评证书之日起的7天内，预付至签约合同价中载明的安全文明施工费用总额的100%。</w:t>
      </w:r>
    </w:p>
    <w:p w14:paraId="446791AF">
      <w:pPr>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安全文明施工的预付不抵扣。</w:t>
      </w:r>
    </w:p>
    <w:p w14:paraId="3FD8EA19">
      <w:pPr>
        <w:spacing w:line="360" w:lineRule="auto"/>
        <w:ind w:firstLine="420" w:firstLineChars="200"/>
        <w:rPr>
          <w:rFonts w:ascii="宋体" w:cs="Arial"/>
          <w:color w:val="auto"/>
          <w:highlight w:val="none"/>
        </w:rPr>
      </w:pPr>
      <w:r>
        <w:rPr>
          <w:rFonts w:ascii="宋体" w:hAnsi="宋体" w:cs="Arial"/>
          <w:color w:val="auto"/>
          <w:highlight w:val="none"/>
        </w:rPr>
        <w:t xml:space="preserve">17.2.2  </w:t>
      </w:r>
      <w:r>
        <w:rPr>
          <w:rFonts w:hint="eastAsia" w:ascii="宋体" w:hAnsi="宋体" w:cs="Arial"/>
          <w:color w:val="auto"/>
          <w:highlight w:val="none"/>
        </w:rPr>
        <w:t>预付款的扣回与还清</w:t>
      </w:r>
    </w:p>
    <w:p w14:paraId="0235AEBA">
      <w:pPr>
        <w:spacing w:line="400" w:lineRule="exact"/>
        <w:ind w:firstLine="420" w:firstLineChars="200"/>
        <w:rPr>
          <w:rFonts w:ascii="宋体" w:cs="Arial"/>
          <w:color w:val="auto"/>
          <w:highlight w:val="none"/>
          <w:u w:val="single"/>
        </w:rPr>
      </w:pPr>
      <w:r>
        <w:rPr>
          <w:rFonts w:hint="eastAsia" w:ascii="宋体" w:hAnsi="宋体"/>
          <w:color w:val="auto"/>
          <w:szCs w:val="21"/>
          <w:highlight w:val="none"/>
        </w:rPr>
        <w:t>预付款的扣回办法：</w:t>
      </w:r>
      <w:r>
        <w:rPr>
          <w:rFonts w:hint="eastAsia" w:ascii="宋体" w:hAnsi="宋体"/>
          <w:color w:val="auto"/>
          <w:szCs w:val="21"/>
          <w:highlight w:val="none"/>
          <w:u w:val="single"/>
          <w:lang w:val="en-US" w:eastAsia="zh-CN"/>
        </w:rPr>
        <w:t>预付款在进度款中不扣回，直接抵作工程款。</w:t>
      </w:r>
      <w:r>
        <w:rPr>
          <w:rFonts w:ascii="宋体" w:hAnsi="宋体"/>
          <w:color w:val="auto"/>
          <w:szCs w:val="21"/>
          <w:highlight w:val="none"/>
          <w:u w:val="single"/>
        </w:rPr>
        <w:t xml:space="preserve"> </w:t>
      </w:r>
    </w:p>
    <w:p w14:paraId="2C126B4E">
      <w:pPr>
        <w:keepNext/>
        <w:keepLines/>
        <w:spacing w:before="120" w:beforeLines="50" w:after="120" w:afterLines="50" w:line="360" w:lineRule="auto"/>
        <w:outlineLvl w:val="2"/>
        <w:rPr>
          <w:rFonts w:ascii="宋体" w:hAnsi="宋体"/>
          <w:color w:val="auto"/>
          <w:kern w:val="0"/>
          <w:sz w:val="24"/>
          <w:szCs w:val="20"/>
          <w:highlight w:val="none"/>
        </w:rPr>
      </w:pPr>
      <w:bookmarkStart w:id="1946" w:name="_Toc485323205"/>
      <w:bookmarkStart w:id="1947" w:name="_Toc30686"/>
      <w:bookmarkStart w:id="1948" w:name="_Toc490331722"/>
      <w:bookmarkStart w:id="1949" w:name="_Toc486580431"/>
      <w:bookmarkStart w:id="1950" w:name="_Toc497214100"/>
      <w:bookmarkStart w:id="1951" w:name="_Toc489280237"/>
      <w:bookmarkStart w:id="1952" w:name="_Toc14326"/>
      <w:r>
        <w:rPr>
          <w:rFonts w:ascii="宋体" w:hAnsi="宋体"/>
          <w:color w:val="auto"/>
          <w:kern w:val="0"/>
          <w:sz w:val="24"/>
          <w:szCs w:val="20"/>
          <w:highlight w:val="none"/>
        </w:rPr>
        <w:t xml:space="preserve">17.3  </w:t>
      </w:r>
      <w:r>
        <w:rPr>
          <w:rFonts w:hint="eastAsia" w:ascii="宋体" w:hAnsi="宋体"/>
          <w:color w:val="auto"/>
          <w:kern w:val="0"/>
          <w:sz w:val="24"/>
          <w:szCs w:val="20"/>
          <w:highlight w:val="none"/>
        </w:rPr>
        <w:t>工程进度付款</w:t>
      </w:r>
      <w:bookmarkEnd w:id="1946"/>
      <w:bookmarkEnd w:id="1947"/>
      <w:bookmarkEnd w:id="1948"/>
      <w:bookmarkEnd w:id="1949"/>
      <w:bookmarkEnd w:id="1950"/>
      <w:bookmarkEnd w:id="1951"/>
      <w:bookmarkEnd w:id="1952"/>
    </w:p>
    <w:p w14:paraId="0BDE11AE">
      <w:pPr>
        <w:spacing w:line="360" w:lineRule="auto"/>
        <w:ind w:firstLine="420" w:firstLineChars="200"/>
        <w:rPr>
          <w:rFonts w:ascii="宋体"/>
          <w:color w:val="auto"/>
          <w:szCs w:val="21"/>
          <w:highlight w:val="none"/>
        </w:rPr>
      </w:pPr>
      <w:r>
        <w:rPr>
          <w:rFonts w:ascii="宋体" w:hAnsi="宋体"/>
          <w:color w:val="auto"/>
          <w:szCs w:val="21"/>
          <w:highlight w:val="none"/>
        </w:rPr>
        <w:t xml:space="preserve">17.3.2  </w:t>
      </w:r>
      <w:r>
        <w:rPr>
          <w:rFonts w:hint="eastAsia" w:ascii="宋体" w:hAnsi="宋体"/>
          <w:color w:val="auto"/>
          <w:szCs w:val="21"/>
          <w:highlight w:val="none"/>
        </w:rPr>
        <w:t>进度付款申请单</w:t>
      </w:r>
    </w:p>
    <w:p w14:paraId="3559D1F5">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进度付款申请单的份数：</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一式六份。承包人在提交进度款申请时，应当将当期应当支付至农民工工资专用账户的人工费（农民工工资）占当期已实施完成的工程价款的比例单独列明，以确保发包人及时支付足额支付农民工工资。</w:t>
      </w:r>
    </w:p>
    <w:p w14:paraId="3FA32930">
      <w:pPr>
        <w:spacing w:line="360" w:lineRule="auto"/>
        <w:ind w:firstLine="420" w:firstLineChars="200"/>
        <w:rPr>
          <w:rFonts w:ascii="宋体"/>
          <w:color w:val="auto"/>
          <w:highlight w:val="none"/>
        </w:rPr>
      </w:pPr>
      <w:r>
        <w:rPr>
          <w:rFonts w:hint="eastAsia" w:ascii="宋体" w:hAnsi="宋体"/>
          <w:color w:val="auto"/>
          <w:highlight w:val="none"/>
        </w:rPr>
        <w:t>承包人报送监理人的进度付款申请单应包括下列内容：</w:t>
      </w:r>
    </w:p>
    <w:p w14:paraId="2AD002BE">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6</w:t>
      </w:r>
      <w:r>
        <w:rPr>
          <w:rFonts w:hint="eastAsia" w:ascii="宋体" w:hAnsi="宋体"/>
          <w:color w:val="auto"/>
          <w:szCs w:val="21"/>
          <w:highlight w:val="none"/>
        </w:rPr>
        <w:t>）</w:t>
      </w:r>
      <w:r>
        <w:rPr>
          <w:rFonts w:hint="eastAsia" w:ascii="宋体" w:hAnsi="宋体"/>
          <w:color w:val="auto"/>
          <w:highlight w:val="none"/>
        </w:rPr>
        <w:t>根据合同应增加和（或）扣减的其他内容金额</w:t>
      </w:r>
      <w:r>
        <w:rPr>
          <w:rFonts w:hint="eastAsia" w:ascii="宋体" w:hAnsi="宋体"/>
          <w:color w:val="auto"/>
          <w:szCs w:val="21"/>
          <w:highlight w:val="none"/>
        </w:rPr>
        <w:t>：</w:t>
      </w:r>
      <w:r>
        <w:rPr>
          <w:rFonts w:hint="eastAsia" w:hAnsi="宋体"/>
          <w:color w:val="auto"/>
          <w:szCs w:val="21"/>
          <w:highlight w:val="none"/>
          <w:u w:val="single"/>
        </w:rPr>
        <w:t>包括以下内容：（</w:t>
      </w:r>
      <w:r>
        <w:rPr>
          <w:rFonts w:hAnsi="宋体"/>
          <w:color w:val="auto"/>
          <w:szCs w:val="21"/>
          <w:highlight w:val="none"/>
          <w:u w:val="single"/>
        </w:rPr>
        <w:t>1</w:t>
      </w:r>
      <w:r>
        <w:rPr>
          <w:rFonts w:hint="eastAsia" w:hAnsi="宋体"/>
          <w:color w:val="auto"/>
          <w:szCs w:val="21"/>
          <w:highlight w:val="none"/>
          <w:u w:val="single"/>
        </w:rPr>
        <w:t>）付款次数或编号；（</w:t>
      </w:r>
      <w:r>
        <w:rPr>
          <w:rFonts w:hAnsi="宋体"/>
          <w:color w:val="auto"/>
          <w:szCs w:val="21"/>
          <w:highlight w:val="none"/>
          <w:u w:val="single"/>
        </w:rPr>
        <w:t>2</w:t>
      </w:r>
      <w:r>
        <w:rPr>
          <w:rFonts w:hint="eastAsia" w:hAnsi="宋体"/>
          <w:color w:val="auto"/>
          <w:szCs w:val="21"/>
          <w:highlight w:val="none"/>
          <w:u w:val="single"/>
        </w:rPr>
        <w:t>）截至本次付款周期末已实施工程的价款；（</w:t>
      </w:r>
      <w:r>
        <w:rPr>
          <w:rFonts w:hAnsi="宋体"/>
          <w:color w:val="auto"/>
          <w:szCs w:val="21"/>
          <w:highlight w:val="none"/>
          <w:u w:val="single"/>
        </w:rPr>
        <w:t>3</w:t>
      </w:r>
      <w:r>
        <w:rPr>
          <w:rFonts w:hint="eastAsia" w:hAnsi="宋体"/>
          <w:color w:val="auto"/>
          <w:szCs w:val="21"/>
          <w:highlight w:val="none"/>
          <w:u w:val="single"/>
        </w:rPr>
        <w:t>）变更金额；（</w:t>
      </w:r>
      <w:r>
        <w:rPr>
          <w:rFonts w:hAnsi="宋体"/>
          <w:color w:val="auto"/>
          <w:szCs w:val="21"/>
          <w:highlight w:val="none"/>
          <w:u w:val="single"/>
        </w:rPr>
        <w:t>4</w:t>
      </w:r>
      <w:r>
        <w:rPr>
          <w:rFonts w:hint="eastAsia" w:hAnsi="宋体"/>
          <w:color w:val="auto"/>
          <w:szCs w:val="21"/>
          <w:highlight w:val="none"/>
          <w:u w:val="single"/>
        </w:rPr>
        <w:t>）索赔金额；（</w:t>
      </w:r>
      <w:r>
        <w:rPr>
          <w:rFonts w:hAnsi="宋体"/>
          <w:color w:val="auto"/>
          <w:szCs w:val="21"/>
          <w:highlight w:val="none"/>
          <w:u w:val="single"/>
        </w:rPr>
        <w:t>5</w:t>
      </w:r>
      <w:r>
        <w:rPr>
          <w:rFonts w:hint="eastAsia" w:hAnsi="宋体"/>
          <w:color w:val="auto"/>
          <w:szCs w:val="21"/>
          <w:highlight w:val="none"/>
          <w:u w:val="single"/>
        </w:rPr>
        <w:t>）本次应支付的预付款和（或）应扣减的返还预付款；（</w:t>
      </w:r>
      <w:r>
        <w:rPr>
          <w:rFonts w:hAnsi="宋体"/>
          <w:color w:val="auto"/>
          <w:szCs w:val="21"/>
          <w:highlight w:val="none"/>
          <w:u w:val="single"/>
        </w:rPr>
        <w:t>6</w:t>
      </w:r>
      <w:r>
        <w:rPr>
          <w:rFonts w:hint="eastAsia" w:hAnsi="宋体"/>
          <w:color w:val="auto"/>
          <w:szCs w:val="21"/>
          <w:highlight w:val="none"/>
          <w:u w:val="single"/>
        </w:rPr>
        <w:t>）本次扣减的质量保证金；（</w:t>
      </w:r>
      <w:r>
        <w:rPr>
          <w:rFonts w:hAnsi="宋体"/>
          <w:color w:val="auto"/>
          <w:szCs w:val="21"/>
          <w:highlight w:val="none"/>
          <w:u w:val="single"/>
        </w:rPr>
        <w:t>7</w:t>
      </w:r>
      <w:r>
        <w:rPr>
          <w:rFonts w:hint="eastAsia" w:hAnsi="宋体"/>
          <w:color w:val="auto"/>
          <w:szCs w:val="21"/>
          <w:highlight w:val="none"/>
          <w:u w:val="single"/>
        </w:rPr>
        <w:t>）根据合同应增加和扣减的其他金额</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16E7854B">
      <w:pPr>
        <w:spacing w:line="360" w:lineRule="auto"/>
        <w:ind w:firstLine="420" w:firstLineChars="200"/>
        <w:rPr>
          <w:rFonts w:ascii="宋体"/>
          <w:color w:val="auto"/>
          <w:szCs w:val="21"/>
          <w:highlight w:val="none"/>
        </w:rPr>
      </w:pPr>
      <w:r>
        <w:rPr>
          <w:rFonts w:ascii="宋体" w:hAnsi="宋体"/>
          <w:color w:val="auto"/>
          <w:szCs w:val="21"/>
          <w:highlight w:val="none"/>
        </w:rPr>
        <w:t xml:space="preserve">17.3.3  </w:t>
      </w:r>
      <w:r>
        <w:rPr>
          <w:rFonts w:hint="eastAsia" w:ascii="宋体" w:hAnsi="宋体"/>
          <w:color w:val="auto"/>
          <w:szCs w:val="21"/>
          <w:highlight w:val="none"/>
        </w:rPr>
        <w:t>进度付款证书和支付时间</w:t>
      </w:r>
    </w:p>
    <w:p w14:paraId="314A043A">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1</w:t>
      </w:r>
      <w:r>
        <w:rPr>
          <w:rFonts w:hint="eastAsia" w:ascii="宋体" w:hAnsi="宋体"/>
          <w:color w:val="auto"/>
          <w:szCs w:val="21"/>
          <w:highlight w:val="none"/>
        </w:rPr>
        <w:t>）逾期付款违约金的计算标准：</w:t>
      </w:r>
      <w:r>
        <w:rPr>
          <w:rFonts w:hint="eastAsia" w:ascii="宋体" w:hAnsi="宋体"/>
          <w:color w:val="auto"/>
          <w:szCs w:val="21"/>
          <w:highlight w:val="none"/>
          <w:u w:val="single"/>
        </w:rPr>
        <w:t>按照</w:t>
      </w:r>
      <w:r>
        <w:rPr>
          <w:rFonts w:ascii="宋体" w:hAnsi="宋体"/>
          <w:color w:val="auto"/>
          <w:szCs w:val="21"/>
          <w:highlight w:val="none"/>
          <w:u w:val="single"/>
        </w:rPr>
        <w:t>中国人民银行发布的同期同类贷款利率</w:t>
      </w:r>
      <w:r>
        <w:rPr>
          <w:rFonts w:hint="eastAsia" w:ascii="宋体" w:hAnsi="宋体"/>
          <w:color w:val="auto"/>
          <w:szCs w:val="21"/>
          <w:highlight w:val="none"/>
          <w:u w:val="single"/>
        </w:rPr>
        <w:t>计算。</w:t>
      </w:r>
      <w:r>
        <w:rPr>
          <w:rFonts w:ascii="宋体" w:hAnsi="宋体"/>
          <w:color w:val="auto"/>
          <w:szCs w:val="21"/>
          <w:highlight w:val="none"/>
          <w:u w:val="single"/>
        </w:rPr>
        <w:t xml:space="preserve"> </w:t>
      </w:r>
    </w:p>
    <w:p w14:paraId="4FE3738E">
      <w:pPr>
        <w:spacing w:line="360" w:lineRule="auto"/>
        <w:ind w:firstLine="567" w:firstLineChars="270"/>
        <w:rPr>
          <w:rFonts w:ascii="宋体"/>
          <w:color w:val="auto"/>
          <w:szCs w:val="21"/>
          <w:highlight w:val="none"/>
        </w:rPr>
      </w:pPr>
      <w:r>
        <w:rPr>
          <w:rFonts w:hint="eastAsia" w:ascii="宋体" w:hAnsi="宋体"/>
          <w:color w:val="auto"/>
          <w:szCs w:val="21"/>
          <w:highlight w:val="none"/>
        </w:rPr>
        <w:t>逾期付款违约金的计算方法：</w:t>
      </w:r>
      <w:r>
        <w:rPr>
          <w:rFonts w:hint="eastAsia" w:ascii="宋体" w:hAnsi="宋体"/>
          <w:color w:val="auto"/>
          <w:szCs w:val="21"/>
          <w:highlight w:val="none"/>
          <w:u w:val="single"/>
        </w:rPr>
        <w:t>逾期付款时间×</w:t>
      </w:r>
      <w:r>
        <w:rPr>
          <w:rFonts w:ascii="宋体" w:hAnsi="宋体"/>
          <w:color w:val="auto"/>
          <w:szCs w:val="21"/>
          <w:highlight w:val="none"/>
          <w:u w:val="single"/>
        </w:rPr>
        <w:t>中国人民银行发布的同期同类贷款利率</w:t>
      </w:r>
      <w:r>
        <w:rPr>
          <w:rFonts w:hint="eastAsia" w:ascii="宋体" w:hAnsi="宋体"/>
          <w:color w:val="auto"/>
          <w:szCs w:val="21"/>
          <w:highlight w:val="none"/>
          <w:u w:val="single"/>
        </w:rPr>
        <w:t>×应付款项总金额。</w:t>
      </w:r>
      <w:r>
        <w:rPr>
          <w:rFonts w:ascii="宋体" w:hAnsi="宋体"/>
          <w:color w:val="auto"/>
          <w:szCs w:val="21"/>
          <w:highlight w:val="none"/>
          <w:u w:val="single"/>
        </w:rPr>
        <w:t xml:space="preserve"> </w:t>
      </w:r>
    </w:p>
    <w:p w14:paraId="3429EF0A">
      <w:pPr>
        <w:numPr>
          <w:ilvl w:val="0"/>
          <w:numId w:val="15"/>
        </w:numPr>
        <w:adjustRightInd w:val="0"/>
        <w:snapToGrid w:val="0"/>
        <w:spacing w:line="520" w:lineRule="exact"/>
        <w:ind w:left="479" w:leftChars="0"/>
        <w:jc w:val="left"/>
        <w:textAlignment w:val="baseline"/>
        <w:rPr>
          <w:rFonts w:hint="eastAsia" w:ascii="宋体" w:hAnsi="宋体" w:eastAsia="宋体" w:cs="Times New Roman"/>
          <w:color w:val="auto"/>
          <w:szCs w:val="21"/>
          <w:highlight w:val="none"/>
          <w:u w:val="single"/>
          <w:lang w:val="en-US" w:eastAsia="zh-CN"/>
        </w:rPr>
      </w:pPr>
      <w:r>
        <w:rPr>
          <w:rFonts w:hint="eastAsia" w:ascii="宋体" w:hAnsi="宋体"/>
          <w:color w:val="auto"/>
          <w:szCs w:val="21"/>
          <w:highlight w:val="none"/>
        </w:rPr>
        <w:t>进度付款涉及政府性资金的支付方法：</w:t>
      </w:r>
      <w:r>
        <w:rPr>
          <w:rFonts w:hint="eastAsia" w:ascii="宋体" w:hAnsi="宋体" w:eastAsia="宋体" w:cs="Times New Roman"/>
          <w:color w:val="auto"/>
          <w:szCs w:val="21"/>
          <w:highlight w:val="none"/>
          <w:u w:val="single"/>
          <w:lang w:val="en-US" w:eastAsia="zh-CN"/>
        </w:rPr>
        <w:t>工程竣工验收合格且提交相关施工资料后，</w:t>
      </w:r>
    </w:p>
    <w:p w14:paraId="269C398A">
      <w:pPr>
        <w:numPr>
          <w:ilvl w:val="0"/>
          <w:numId w:val="0"/>
        </w:numPr>
        <w:adjustRightInd w:val="0"/>
        <w:snapToGrid w:val="0"/>
        <w:spacing w:line="520" w:lineRule="exact"/>
        <w:jc w:val="left"/>
        <w:textAlignment w:val="baseline"/>
        <w:rPr>
          <w:rFonts w:hint="eastAsia" w:ascii="宋体" w:hAnsi="宋体" w:eastAsia="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发包人向承包人</w:t>
      </w:r>
      <w:r>
        <w:rPr>
          <w:rFonts w:hint="eastAsia" w:ascii="宋体" w:hAnsi="宋体" w:eastAsia="宋体" w:cs="Times New Roman"/>
          <w:color w:val="auto"/>
          <w:szCs w:val="21"/>
          <w:highlight w:val="none"/>
          <w:u w:val="single"/>
          <w:lang w:val="en-US" w:eastAsia="zh-CN"/>
        </w:rPr>
        <w:t>拨付至合同金额的80%</w:t>
      </w:r>
      <w:r>
        <w:rPr>
          <w:rFonts w:hint="eastAsia" w:ascii="宋体" w:hAnsi="宋体" w:eastAsia="宋体" w:cs="Times New Roman"/>
          <w:color w:val="auto"/>
          <w:szCs w:val="21"/>
          <w:highlight w:val="none"/>
          <w:u w:val="single"/>
        </w:rPr>
        <w:t>（含预付款，不包括已支付的安全防护、文明施工措施费和农民工工伤保险费）</w:t>
      </w:r>
      <w:r>
        <w:rPr>
          <w:rFonts w:hint="eastAsia" w:ascii="宋体" w:hAnsi="宋体" w:cs="Times New Roman"/>
          <w:color w:val="auto"/>
          <w:szCs w:val="21"/>
          <w:highlight w:val="none"/>
          <w:u w:val="single"/>
          <w:lang w:eastAsia="zh-CN"/>
        </w:rPr>
        <w:t>；</w:t>
      </w:r>
      <w:r>
        <w:rPr>
          <w:rFonts w:hint="eastAsia" w:ascii="宋体" w:hAnsi="宋体" w:cs="Times New Roman"/>
          <w:color w:val="auto"/>
          <w:szCs w:val="21"/>
          <w:highlight w:val="none"/>
          <w:u w:val="single"/>
          <w:lang w:val="en-US" w:eastAsia="zh-CN"/>
        </w:rPr>
        <w:t>承包人</w:t>
      </w:r>
      <w:r>
        <w:rPr>
          <w:rFonts w:hint="eastAsia" w:ascii="宋体" w:hAnsi="宋体" w:eastAsia="宋体" w:cs="Times New Roman"/>
          <w:color w:val="auto"/>
          <w:szCs w:val="21"/>
          <w:highlight w:val="none"/>
          <w:u w:val="single"/>
          <w:lang w:val="en-US" w:eastAsia="zh-CN"/>
        </w:rPr>
        <w:t>提交结算书及相关施工资料待审计结束，</w:t>
      </w:r>
      <w:r>
        <w:rPr>
          <w:rFonts w:hint="eastAsia" w:ascii="宋体" w:hAnsi="宋体" w:cs="Times New Roman"/>
          <w:color w:val="auto"/>
          <w:szCs w:val="21"/>
          <w:highlight w:val="none"/>
          <w:u w:val="single"/>
          <w:lang w:val="en-US" w:eastAsia="zh-CN"/>
        </w:rPr>
        <w:t>发包人向承包人</w:t>
      </w:r>
      <w:r>
        <w:rPr>
          <w:rFonts w:hint="eastAsia" w:ascii="宋体" w:hAnsi="宋体" w:eastAsia="宋体" w:cs="Times New Roman"/>
          <w:color w:val="auto"/>
          <w:szCs w:val="21"/>
          <w:highlight w:val="none"/>
          <w:u w:val="single"/>
          <w:lang w:val="en-US" w:eastAsia="zh-CN"/>
        </w:rPr>
        <w:t>拨付至结算审计</w:t>
      </w:r>
      <w:r>
        <w:rPr>
          <w:rFonts w:hint="eastAsia" w:ascii="宋体" w:hAnsi="宋体" w:cs="Times New Roman"/>
          <w:color w:val="auto"/>
          <w:szCs w:val="21"/>
          <w:highlight w:val="none"/>
          <w:u w:val="single"/>
          <w:lang w:val="en-US" w:eastAsia="zh-CN"/>
        </w:rPr>
        <w:t>审定</w:t>
      </w:r>
      <w:r>
        <w:rPr>
          <w:rFonts w:hint="eastAsia" w:ascii="宋体" w:hAnsi="宋体" w:eastAsia="宋体" w:cs="Times New Roman"/>
          <w:color w:val="auto"/>
          <w:szCs w:val="21"/>
          <w:highlight w:val="none"/>
          <w:u w:val="single"/>
          <w:lang w:val="en-US" w:eastAsia="zh-CN"/>
        </w:rPr>
        <w:t>金额的</w:t>
      </w:r>
      <w:r>
        <w:rPr>
          <w:rFonts w:hint="eastAsia" w:ascii="宋体" w:hAnsi="宋体" w:cs="Times New Roman"/>
          <w:color w:val="auto"/>
          <w:szCs w:val="21"/>
          <w:highlight w:val="none"/>
          <w:u w:val="single"/>
          <w:lang w:val="en-US" w:eastAsia="zh-CN"/>
        </w:rPr>
        <w:t>100</w:t>
      </w:r>
      <w:r>
        <w:rPr>
          <w:rFonts w:hint="eastAsia" w:ascii="宋体" w:hAnsi="宋体" w:eastAsia="宋体" w:cs="Times New Roman"/>
          <w:color w:val="auto"/>
          <w:szCs w:val="21"/>
          <w:highlight w:val="none"/>
          <w:u w:val="single"/>
          <w:lang w:val="en-US" w:eastAsia="zh-CN"/>
        </w:rPr>
        <w:t>％</w:t>
      </w:r>
      <w:r>
        <w:rPr>
          <w:rFonts w:hint="eastAsia" w:ascii="宋体" w:hAnsi="宋体" w:eastAsia="宋体" w:cs="Times New Roman"/>
          <w:color w:val="auto"/>
          <w:szCs w:val="21"/>
          <w:highlight w:val="none"/>
          <w:u w:val="single"/>
        </w:rPr>
        <w:t>（如已付款项超出结算审定金额，</w:t>
      </w:r>
      <w:r>
        <w:rPr>
          <w:rFonts w:hint="eastAsia" w:ascii="宋体" w:hAnsi="宋体" w:eastAsia="宋体" w:cs="Times New Roman"/>
          <w:color w:val="auto"/>
          <w:szCs w:val="21"/>
          <w:highlight w:val="none"/>
          <w:u w:val="single"/>
          <w:lang w:val="en-US" w:eastAsia="zh-CN"/>
        </w:rPr>
        <w:t>承包人应予以退还超出部分）；</w:t>
      </w:r>
      <w:r>
        <w:rPr>
          <w:rFonts w:hint="eastAsia" w:ascii="宋体" w:hAnsi="宋体"/>
          <w:color w:val="auto"/>
          <w:szCs w:val="21"/>
          <w:highlight w:val="none"/>
          <w:u w:val="single"/>
          <w:lang w:val="en-US" w:eastAsia="zh-CN"/>
        </w:rPr>
        <w:t>结算评审完成后，支付尾款前，上缴合同金额的3%作为质保金，</w:t>
      </w:r>
      <w:r>
        <w:rPr>
          <w:rFonts w:hint="eastAsia" w:ascii="宋体" w:hAnsi="宋体" w:eastAsia="宋体" w:cs="Times New Roman"/>
          <w:color w:val="auto"/>
          <w:szCs w:val="21"/>
          <w:highlight w:val="none"/>
          <w:u w:val="single"/>
          <w:lang w:val="en-US" w:eastAsia="zh-CN"/>
        </w:rPr>
        <w:t>待工程缺陷责任期满后 30日内，承包人提交相应的支持性证明材料后，</w:t>
      </w:r>
      <w:r>
        <w:rPr>
          <w:rFonts w:hint="eastAsia" w:ascii="宋体" w:hAnsi="宋体" w:cs="Times New Roman"/>
          <w:color w:val="auto"/>
          <w:szCs w:val="21"/>
          <w:highlight w:val="none"/>
          <w:u w:val="single"/>
          <w:lang w:val="en-US" w:eastAsia="zh-CN"/>
        </w:rPr>
        <w:t>发包人</w:t>
      </w:r>
      <w:r>
        <w:rPr>
          <w:rFonts w:hint="eastAsia" w:ascii="宋体" w:hAnsi="宋体" w:eastAsia="宋体" w:cs="Times New Roman"/>
          <w:color w:val="auto"/>
          <w:szCs w:val="21"/>
          <w:highlight w:val="none"/>
          <w:u w:val="single"/>
          <w:lang w:val="en-US" w:eastAsia="zh-CN"/>
        </w:rPr>
        <w:t>一次性</w:t>
      </w:r>
      <w:r>
        <w:rPr>
          <w:rFonts w:hint="eastAsia" w:ascii="宋体" w:hAnsi="宋体" w:cs="Times New Roman"/>
          <w:color w:val="auto"/>
          <w:szCs w:val="21"/>
          <w:highlight w:val="none"/>
          <w:u w:val="single"/>
          <w:lang w:val="en-US" w:eastAsia="zh-CN"/>
        </w:rPr>
        <w:t>向承包人无息返还付清。</w:t>
      </w:r>
    </w:p>
    <w:p w14:paraId="10896219">
      <w:pPr>
        <w:numPr>
          <w:ilvl w:val="0"/>
          <w:numId w:val="0"/>
        </w:numPr>
        <w:adjustRightInd w:val="0"/>
        <w:snapToGrid w:val="0"/>
        <w:spacing w:line="520" w:lineRule="exact"/>
        <w:ind w:firstLine="630" w:firstLineChars="300"/>
        <w:jc w:val="left"/>
        <w:textAlignment w:val="baseline"/>
        <w:rPr>
          <w:rFonts w:hint="eastAsia"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u w:val="single"/>
          <w:lang w:val="en-US" w:eastAsia="zh-CN"/>
        </w:rPr>
        <w:t>前述款项涉及财政资金拨付的，待财政资金拨付至发包人账户后，发包人</w:t>
      </w:r>
      <w:r>
        <w:rPr>
          <w:rFonts w:hint="eastAsia" w:ascii="宋体" w:hAnsi="宋体" w:cs="Times New Roman"/>
          <w:color w:val="auto"/>
          <w:szCs w:val="21"/>
          <w:highlight w:val="none"/>
          <w:u w:val="single"/>
          <w:lang w:val="en-US" w:eastAsia="zh-CN"/>
        </w:rPr>
        <w:t>再</w:t>
      </w:r>
      <w:r>
        <w:rPr>
          <w:rFonts w:hint="eastAsia" w:ascii="宋体" w:hAnsi="宋体" w:eastAsia="宋体" w:cs="Times New Roman"/>
          <w:color w:val="auto"/>
          <w:szCs w:val="21"/>
          <w:highlight w:val="none"/>
          <w:u w:val="single"/>
          <w:lang w:val="en-US" w:eastAsia="zh-CN"/>
        </w:rPr>
        <w:t>按照前述约定比例向承包人支付。如由于资金审批等因素导致发包人不能按合同约定付款时，</w:t>
      </w:r>
      <w:r>
        <w:rPr>
          <w:rFonts w:hint="eastAsia" w:ascii="宋体" w:hAnsi="宋体" w:cs="Times New Roman"/>
          <w:color w:val="auto"/>
          <w:szCs w:val="21"/>
          <w:highlight w:val="none"/>
          <w:u w:val="single"/>
          <w:lang w:val="en-US" w:eastAsia="zh-CN"/>
        </w:rPr>
        <w:t>发包人</w:t>
      </w:r>
      <w:r>
        <w:rPr>
          <w:rFonts w:hint="eastAsia" w:ascii="宋体" w:hAnsi="宋体" w:eastAsia="宋体" w:cs="Times New Roman"/>
          <w:color w:val="auto"/>
          <w:szCs w:val="21"/>
          <w:highlight w:val="none"/>
          <w:u w:val="single"/>
          <w:lang w:val="en-US" w:eastAsia="zh-CN"/>
        </w:rPr>
        <w:t>可延迟付款。</w:t>
      </w:r>
    </w:p>
    <w:p w14:paraId="1AE68661">
      <w:pPr>
        <w:keepNext/>
        <w:keepLines/>
        <w:spacing w:before="120" w:beforeLines="50" w:after="120" w:afterLines="50" w:line="360" w:lineRule="auto"/>
        <w:outlineLvl w:val="2"/>
        <w:rPr>
          <w:rFonts w:ascii="宋体" w:hAnsi="宋体"/>
          <w:color w:val="auto"/>
          <w:kern w:val="0"/>
          <w:sz w:val="24"/>
          <w:szCs w:val="20"/>
          <w:highlight w:val="none"/>
        </w:rPr>
      </w:pPr>
      <w:bookmarkStart w:id="1953" w:name="_Toc28596"/>
      <w:bookmarkStart w:id="1954" w:name="_Toc497214101"/>
      <w:bookmarkStart w:id="1955" w:name="_Toc485323206"/>
      <w:bookmarkStart w:id="1956" w:name="_Toc486580432"/>
      <w:bookmarkStart w:id="1957" w:name="_Toc490331723"/>
      <w:bookmarkStart w:id="1958" w:name="_Toc489280238"/>
      <w:bookmarkStart w:id="1959" w:name="_Toc9510"/>
      <w:r>
        <w:rPr>
          <w:rFonts w:ascii="宋体" w:hAnsi="宋体"/>
          <w:color w:val="auto"/>
          <w:kern w:val="0"/>
          <w:sz w:val="24"/>
          <w:szCs w:val="20"/>
          <w:highlight w:val="none"/>
        </w:rPr>
        <w:t xml:space="preserve">17.4  </w:t>
      </w:r>
      <w:r>
        <w:rPr>
          <w:rFonts w:hint="eastAsia" w:ascii="宋体" w:hAnsi="宋体"/>
          <w:color w:val="auto"/>
          <w:kern w:val="0"/>
          <w:sz w:val="24"/>
          <w:szCs w:val="20"/>
          <w:highlight w:val="none"/>
        </w:rPr>
        <w:t>质量保证金</w:t>
      </w:r>
      <w:bookmarkEnd w:id="1953"/>
      <w:bookmarkEnd w:id="1954"/>
      <w:bookmarkEnd w:id="1955"/>
      <w:bookmarkEnd w:id="1956"/>
      <w:bookmarkEnd w:id="1957"/>
      <w:bookmarkEnd w:id="1958"/>
      <w:bookmarkEnd w:id="1959"/>
    </w:p>
    <w:p w14:paraId="44176385">
      <w:pPr>
        <w:spacing w:line="360" w:lineRule="auto"/>
        <w:ind w:firstLine="420" w:firstLineChars="200"/>
        <w:rPr>
          <w:rFonts w:ascii="宋体"/>
          <w:color w:val="auto"/>
          <w:szCs w:val="21"/>
          <w:highlight w:val="none"/>
        </w:rPr>
      </w:pPr>
      <w:bookmarkStart w:id="1960" w:name="_Toc485323207"/>
      <w:bookmarkStart w:id="1961" w:name="_Toc486580433"/>
      <w:bookmarkStart w:id="1962" w:name="_Toc490331724"/>
      <w:bookmarkStart w:id="1963" w:name="_Toc489280239"/>
      <w:r>
        <w:rPr>
          <w:rFonts w:ascii="宋体" w:hAnsi="宋体"/>
          <w:color w:val="auto"/>
          <w:szCs w:val="21"/>
          <w:highlight w:val="none"/>
        </w:rPr>
        <w:t>17.4</w:t>
      </w:r>
      <w:r>
        <w:rPr>
          <w:rFonts w:ascii="宋体"/>
          <w:color w:val="auto"/>
          <w:szCs w:val="21"/>
          <w:highlight w:val="none"/>
        </w:rPr>
        <w:t>.</w:t>
      </w:r>
      <w:r>
        <w:rPr>
          <w:rFonts w:ascii="宋体" w:hAnsi="宋体"/>
          <w:color w:val="auto"/>
          <w:szCs w:val="21"/>
          <w:highlight w:val="none"/>
        </w:rPr>
        <w:t xml:space="preserve">1  </w:t>
      </w:r>
      <w:r>
        <w:rPr>
          <w:rFonts w:hint="eastAsia" w:ascii="宋体" w:hAnsi="宋体"/>
          <w:color w:val="auto"/>
          <w:szCs w:val="21"/>
          <w:highlight w:val="none"/>
        </w:rPr>
        <w:t>质量保证金处理</w:t>
      </w:r>
    </w:p>
    <w:p w14:paraId="635719A0">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）质量保证金形式：</w:t>
      </w:r>
      <w:r>
        <w:rPr>
          <w:rFonts w:hint="eastAsia" w:ascii="宋体" w:hAnsi="宋体"/>
          <w:color w:val="auto"/>
          <w:szCs w:val="21"/>
          <w:highlight w:val="none"/>
          <w:u w:val="single"/>
        </w:rPr>
        <w:t xml:space="preserve"> 采用</w:t>
      </w:r>
      <w:r>
        <w:rPr>
          <w:rFonts w:hint="eastAsia" w:ascii="宋体" w:hAnsi="宋体"/>
          <w:color w:val="auto"/>
          <w:szCs w:val="21"/>
          <w:highlight w:val="none"/>
          <w:u w:val="single"/>
          <w:lang w:val="en-US" w:eastAsia="zh-CN"/>
        </w:rPr>
        <w:t>上缴</w:t>
      </w:r>
      <w:r>
        <w:rPr>
          <w:rFonts w:hint="eastAsia" w:ascii="宋体" w:hAnsi="宋体"/>
          <w:color w:val="auto"/>
          <w:szCs w:val="21"/>
          <w:highlight w:val="none"/>
          <w:u w:val="single"/>
        </w:rPr>
        <w:t xml:space="preserve">质量保证金 </w:t>
      </w:r>
      <w:r>
        <w:rPr>
          <w:rFonts w:hint="eastAsia" w:ascii="宋体" w:hAnsi="宋体"/>
          <w:color w:val="auto"/>
          <w:szCs w:val="21"/>
          <w:highlight w:val="none"/>
        </w:rPr>
        <w:t>（采用银行保函担保或其他保函担保形式╱采用扣留质量保证金</w:t>
      </w:r>
      <w:r>
        <w:rPr>
          <w:rFonts w:hint="eastAsia" w:ascii="宋体" w:hAnsi="宋体"/>
          <w:color w:val="auto"/>
          <w:szCs w:val="21"/>
          <w:highlight w:val="none"/>
          <w:lang w:val="en-US" w:eastAsia="zh-CN"/>
        </w:rPr>
        <w:t>/采用其他形式</w:t>
      </w:r>
      <w:r>
        <w:rPr>
          <w:rFonts w:hint="eastAsia" w:ascii="宋体" w:hAnsi="宋体"/>
          <w:color w:val="auto"/>
          <w:szCs w:val="21"/>
          <w:highlight w:val="none"/>
        </w:rPr>
        <w:t>）。</w:t>
      </w:r>
    </w:p>
    <w:p w14:paraId="142750CF">
      <w:pPr>
        <w:spacing w:line="360" w:lineRule="auto"/>
        <w:ind w:firstLine="945" w:firstLineChars="450"/>
        <w:rPr>
          <w:rFonts w:ascii="宋体" w:hAnsi="宋体"/>
          <w:color w:val="auto"/>
          <w:szCs w:val="21"/>
          <w:highlight w:val="none"/>
        </w:rPr>
      </w:pPr>
      <w:r>
        <w:rPr>
          <w:rFonts w:hint="eastAsia" w:ascii="宋体" w:hAnsi="宋体"/>
          <w:color w:val="auto"/>
          <w:szCs w:val="21"/>
          <w:highlight w:val="none"/>
        </w:rPr>
        <w:t>质量保证金约定比例：</w:t>
      </w:r>
      <w:r>
        <w:rPr>
          <w:rFonts w:ascii="宋体" w:hAnsi="宋体"/>
          <w:color w:val="auto"/>
          <w:szCs w:val="21"/>
          <w:highlight w:val="none"/>
          <w:u w:val="single"/>
        </w:rPr>
        <w:t xml:space="preserve">   3     </w:t>
      </w:r>
      <w:r>
        <w:rPr>
          <w:rFonts w:ascii="宋体" w:hAnsi="宋体"/>
          <w:color w:val="auto"/>
          <w:szCs w:val="21"/>
          <w:highlight w:val="none"/>
        </w:rPr>
        <w:t xml:space="preserve"> %</w:t>
      </w:r>
    </w:p>
    <w:p w14:paraId="7A87C6AC">
      <w:pPr>
        <w:spacing w:line="360" w:lineRule="auto"/>
        <w:ind w:firstLine="945" w:firstLineChars="45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质量保证金上缴时间：结算评审完成后，支付尾款前，</w:t>
      </w:r>
      <w:bookmarkStart w:id="1964" w:name="OLE_LINK2"/>
      <w:r>
        <w:rPr>
          <w:rFonts w:hint="eastAsia" w:ascii="宋体" w:hAnsi="宋体"/>
          <w:color w:val="auto"/>
          <w:szCs w:val="21"/>
          <w:highlight w:val="none"/>
          <w:lang w:val="en-US" w:eastAsia="zh-CN"/>
        </w:rPr>
        <w:t>上缴合同金额的3%</w:t>
      </w:r>
      <w:bookmarkEnd w:id="1964"/>
      <w:r>
        <w:rPr>
          <w:rFonts w:hint="eastAsia" w:ascii="宋体" w:hAnsi="宋体"/>
          <w:color w:val="auto"/>
          <w:szCs w:val="21"/>
          <w:highlight w:val="none"/>
          <w:lang w:val="en-US" w:eastAsia="zh-CN"/>
        </w:rPr>
        <w:t>作为质保金。</w:t>
      </w:r>
    </w:p>
    <w:p w14:paraId="49DE5942">
      <w:pPr>
        <w:keepNext/>
        <w:keepLines/>
        <w:spacing w:before="120" w:beforeLines="50" w:after="120" w:afterLines="50" w:line="360" w:lineRule="auto"/>
        <w:outlineLvl w:val="2"/>
        <w:rPr>
          <w:rFonts w:ascii="宋体" w:hAnsi="宋体"/>
          <w:color w:val="auto"/>
          <w:kern w:val="0"/>
          <w:sz w:val="24"/>
          <w:szCs w:val="20"/>
          <w:highlight w:val="none"/>
        </w:rPr>
      </w:pPr>
      <w:bookmarkStart w:id="1965" w:name="_Toc19152"/>
      <w:bookmarkStart w:id="1966" w:name="_Toc29338"/>
      <w:bookmarkStart w:id="1967" w:name="_Toc497214102"/>
      <w:r>
        <w:rPr>
          <w:rFonts w:ascii="宋体" w:hAnsi="宋体"/>
          <w:color w:val="auto"/>
          <w:kern w:val="0"/>
          <w:sz w:val="24"/>
          <w:szCs w:val="20"/>
          <w:highlight w:val="none"/>
        </w:rPr>
        <w:t xml:space="preserve">17.5  </w:t>
      </w:r>
      <w:r>
        <w:rPr>
          <w:rFonts w:hint="eastAsia" w:ascii="宋体" w:hAnsi="宋体"/>
          <w:color w:val="auto"/>
          <w:kern w:val="0"/>
          <w:sz w:val="24"/>
          <w:szCs w:val="20"/>
          <w:highlight w:val="none"/>
        </w:rPr>
        <w:t>竣工结算</w:t>
      </w:r>
      <w:bookmarkEnd w:id="1960"/>
      <w:bookmarkEnd w:id="1961"/>
      <w:bookmarkEnd w:id="1962"/>
      <w:bookmarkEnd w:id="1963"/>
      <w:bookmarkEnd w:id="1965"/>
      <w:bookmarkEnd w:id="1966"/>
      <w:bookmarkEnd w:id="1967"/>
    </w:p>
    <w:p w14:paraId="758D489E">
      <w:pPr>
        <w:spacing w:line="360" w:lineRule="auto"/>
        <w:ind w:firstLine="420" w:firstLineChars="200"/>
        <w:rPr>
          <w:rFonts w:ascii="宋体"/>
          <w:color w:val="auto"/>
          <w:szCs w:val="21"/>
          <w:highlight w:val="none"/>
        </w:rPr>
      </w:pPr>
      <w:r>
        <w:rPr>
          <w:rFonts w:ascii="宋体" w:hAnsi="宋体"/>
          <w:color w:val="auto"/>
          <w:szCs w:val="21"/>
          <w:highlight w:val="none"/>
        </w:rPr>
        <w:t xml:space="preserve">17.5.1  </w:t>
      </w:r>
      <w:r>
        <w:rPr>
          <w:rFonts w:hint="eastAsia" w:ascii="宋体" w:hAnsi="宋体"/>
          <w:color w:val="auto"/>
          <w:szCs w:val="21"/>
          <w:highlight w:val="none"/>
        </w:rPr>
        <w:t>竣工付款申请单</w:t>
      </w:r>
    </w:p>
    <w:p w14:paraId="4D83784C">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）承包人提交竣工付款申请单的份数：</w:t>
      </w:r>
      <w:r>
        <w:rPr>
          <w:color w:val="auto"/>
          <w:highlight w:val="none"/>
          <w:u w:val="single"/>
        </w:rPr>
        <w:t xml:space="preserve">提交六份竣工付款申请单，发包人三份，监理人三份 </w:t>
      </w:r>
      <w:r>
        <w:rPr>
          <w:rFonts w:ascii="宋体" w:hAnsi="宋体"/>
          <w:color w:val="auto"/>
          <w:szCs w:val="21"/>
          <w:highlight w:val="none"/>
          <w:u w:val="single"/>
        </w:rPr>
        <w:t xml:space="preserve">  </w:t>
      </w:r>
    </w:p>
    <w:p w14:paraId="546DD327">
      <w:pPr>
        <w:spacing w:line="360" w:lineRule="auto"/>
        <w:ind w:firstLine="840" w:firstLineChars="400"/>
        <w:rPr>
          <w:rFonts w:ascii="宋体"/>
          <w:color w:val="auto"/>
          <w:szCs w:val="21"/>
          <w:highlight w:val="none"/>
        </w:rPr>
      </w:pPr>
      <w:r>
        <w:rPr>
          <w:rFonts w:hint="eastAsia" w:ascii="宋体" w:hAnsi="宋体"/>
          <w:color w:val="auto"/>
          <w:szCs w:val="21"/>
          <w:highlight w:val="none"/>
        </w:rPr>
        <w:t>承包人提交竣工付款申请单的期限：</w:t>
      </w:r>
      <w:r>
        <w:rPr>
          <w:color w:val="auto"/>
          <w:highlight w:val="none"/>
          <w:u w:val="single"/>
        </w:rPr>
        <w:t>项目竣工验收合格后1个月内</w:t>
      </w:r>
      <w:r>
        <w:rPr>
          <w:rFonts w:ascii="宋体" w:hAnsi="宋体"/>
          <w:color w:val="auto"/>
          <w:szCs w:val="21"/>
          <w:highlight w:val="none"/>
          <w:u w:val="single"/>
        </w:rPr>
        <w:t xml:space="preserve">  </w:t>
      </w:r>
    </w:p>
    <w:p w14:paraId="7A9D8F87">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）竣工付款申请单的其他内容：</w:t>
      </w:r>
      <w:r>
        <w:rPr>
          <w:rFonts w:hint="eastAsia" w:ascii="宋体" w:hAnsi="宋体"/>
          <w:color w:val="auto"/>
          <w:szCs w:val="21"/>
          <w:highlight w:val="none"/>
          <w:u w:val="single"/>
        </w:rPr>
        <w:t>竣工结算合同总价、已支付的工程价款、应扣回的预付款、应扣留的质量保证金、应支付的竣工付款金额等。</w:t>
      </w:r>
      <w:r>
        <w:rPr>
          <w:rFonts w:ascii="宋体" w:hAnsi="宋体"/>
          <w:color w:val="auto"/>
          <w:szCs w:val="21"/>
          <w:highlight w:val="none"/>
          <w:u w:val="single"/>
        </w:rPr>
        <w:t xml:space="preserve">  </w:t>
      </w:r>
    </w:p>
    <w:p w14:paraId="71D9EC33">
      <w:pPr>
        <w:keepNext/>
        <w:keepLines/>
        <w:spacing w:before="120" w:beforeLines="50" w:after="120" w:afterLines="50" w:line="360" w:lineRule="auto"/>
        <w:outlineLvl w:val="2"/>
        <w:rPr>
          <w:rFonts w:ascii="宋体" w:hAnsi="宋体"/>
          <w:color w:val="auto"/>
          <w:kern w:val="0"/>
          <w:sz w:val="24"/>
          <w:szCs w:val="20"/>
          <w:highlight w:val="none"/>
        </w:rPr>
      </w:pPr>
      <w:bookmarkStart w:id="1968" w:name="_Toc497214103"/>
      <w:bookmarkStart w:id="1969" w:name="_Toc485323208"/>
      <w:bookmarkStart w:id="1970" w:name="_Toc489280240"/>
      <w:bookmarkStart w:id="1971" w:name="_Toc6293"/>
      <w:bookmarkStart w:id="1972" w:name="_Toc490331725"/>
      <w:bookmarkStart w:id="1973" w:name="_Toc3297"/>
      <w:bookmarkStart w:id="1974" w:name="_Toc486580434"/>
      <w:r>
        <w:rPr>
          <w:rFonts w:ascii="宋体" w:hAnsi="宋体"/>
          <w:color w:val="auto"/>
          <w:kern w:val="0"/>
          <w:sz w:val="24"/>
          <w:szCs w:val="20"/>
          <w:highlight w:val="none"/>
        </w:rPr>
        <w:t xml:space="preserve">17.6  </w:t>
      </w:r>
      <w:r>
        <w:rPr>
          <w:rFonts w:hint="eastAsia" w:ascii="宋体" w:hAnsi="宋体"/>
          <w:color w:val="auto"/>
          <w:kern w:val="0"/>
          <w:sz w:val="24"/>
          <w:szCs w:val="20"/>
          <w:highlight w:val="none"/>
        </w:rPr>
        <w:t>最终结清</w:t>
      </w:r>
      <w:bookmarkEnd w:id="1968"/>
      <w:bookmarkEnd w:id="1969"/>
      <w:bookmarkEnd w:id="1970"/>
      <w:bookmarkEnd w:id="1971"/>
      <w:bookmarkEnd w:id="1972"/>
      <w:bookmarkEnd w:id="1973"/>
      <w:bookmarkEnd w:id="1974"/>
    </w:p>
    <w:p w14:paraId="1E936A41">
      <w:pPr>
        <w:spacing w:line="360" w:lineRule="auto"/>
        <w:ind w:firstLine="420" w:firstLineChars="200"/>
        <w:rPr>
          <w:rFonts w:ascii="宋体"/>
          <w:color w:val="auto"/>
          <w:szCs w:val="21"/>
          <w:highlight w:val="none"/>
        </w:rPr>
      </w:pPr>
      <w:r>
        <w:rPr>
          <w:rFonts w:ascii="宋体" w:hAnsi="宋体"/>
          <w:color w:val="auto"/>
          <w:szCs w:val="21"/>
          <w:highlight w:val="none"/>
        </w:rPr>
        <w:t xml:space="preserve">17.6.1  </w:t>
      </w:r>
      <w:r>
        <w:rPr>
          <w:rFonts w:hint="eastAsia" w:ascii="宋体" w:hAnsi="宋体"/>
          <w:color w:val="auto"/>
          <w:szCs w:val="21"/>
          <w:highlight w:val="none"/>
        </w:rPr>
        <w:t>最终结清申请单</w:t>
      </w:r>
    </w:p>
    <w:p w14:paraId="501DCEED">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）承包人提交最终结清申请单的份数：</w:t>
      </w:r>
      <w:r>
        <w:rPr>
          <w:color w:val="auto"/>
          <w:highlight w:val="none"/>
          <w:u w:val="single"/>
        </w:rPr>
        <w:t>提交六份最终结清申请单，发包人三份，监理人三份</w:t>
      </w:r>
      <w:r>
        <w:rPr>
          <w:rFonts w:ascii="宋体" w:hAnsi="宋体"/>
          <w:color w:val="auto"/>
          <w:szCs w:val="21"/>
          <w:highlight w:val="none"/>
          <w:u w:val="single"/>
        </w:rPr>
        <w:t xml:space="preserve">      </w:t>
      </w:r>
    </w:p>
    <w:p w14:paraId="3189BB3E">
      <w:pPr>
        <w:spacing w:line="360" w:lineRule="auto"/>
        <w:ind w:firstLine="945" w:firstLineChars="450"/>
        <w:rPr>
          <w:rFonts w:ascii="宋体"/>
          <w:color w:val="auto"/>
          <w:szCs w:val="21"/>
          <w:highlight w:val="none"/>
        </w:rPr>
      </w:pPr>
      <w:r>
        <w:rPr>
          <w:rFonts w:hint="eastAsia" w:ascii="宋体" w:hAnsi="宋体"/>
          <w:color w:val="auto"/>
          <w:szCs w:val="21"/>
          <w:highlight w:val="none"/>
        </w:rPr>
        <w:t>承包人提交最终结清申请单的期限：</w:t>
      </w:r>
      <w:r>
        <w:rPr>
          <w:rFonts w:hint="eastAsia" w:hAnsi="宋体"/>
          <w:color w:val="auto"/>
          <w:szCs w:val="21"/>
          <w:highlight w:val="none"/>
          <w:u w:val="single"/>
        </w:rPr>
        <w:t>在缺陷责任期终止证书颁发后</w:t>
      </w:r>
      <w:r>
        <w:rPr>
          <w:rFonts w:hAnsi="宋体"/>
          <w:color w:val="auto"/>
          <w:szCs w:val="21"/>
          <w:highlight w:val="none"/>
          <w:u w:val="single"/>
        </w:rPr>
        <w:t>28</w:t>
      </w:r>
      <w:r>
        <w:rPr>
          <w:rFonts w:hint="eastAsia" w:hAnsi="宋体"/>
          <w:color w:val="auto"/>
          <w:szCs w:val="21"/>
          <w:highlight w:val="none"/>
          <w:u w:val="single"/>
        </w:rPr>
        <w:t>天内</w:t>
      </w:r>
      <w:r>
        <w:rPr>
          <w:rFonts w:ascii="宋体" w:hAnsi="宋体"/>
          <w:color w:val="auto"/>
          <w:szCs w:val="21"/>
          <w:highlight w:val="none"/>
          <w:u w:val="single"/>
        </w:rPr>
        <w:t xml:space="preserve">     </w:t>
      </w:r>
    </w:p>
    <w:p w14:paraId="4C90B71C">
      <w:pPr>
        <w:spacing w:line="360" w:lineRule="auto"/>
        <w:ind w:firstLine="949" w:firstLineChars="452"/>
        <w:rPr>
          <w:rFonts w:ascii="宋体"/>
          <w:color w:val="auto"/>
          <w:highlight w:val="none"/>
        </w:rPr>
      </w:pPr>
      <w:r>
        <w:rPr>
          <w:rFonts w:hint="eastAsia" w:ascii="宋体" w:hAnsi="宋体"/>
          <w:color w:val="auto"/>
          <w:highlight w:val="none"/>
        </w:rPr>
        <w:t>发包人向承包人</w:t>
      </w:r>
      <w:r>
        <w:rPr>
          <w:rFonts w:hint="eastAsia" w:ascii="宋体" w:hAnsi="宋体"/>
          <w:color w:val="auto"/>
          <w:highlight w:val="none"/>
          <w:u w:val="single"/>
        </w:rPr>
        <w:t>不支付</w:t>
      </w:r>
      <w:r>
        <w:rPr>
          <w:rFonts w:ascii="宋体" w:hAnsi="宋体"/>
          <w:color w:val="auto"/>
          <w:highlight w:val="none"/>
          <w:u w:val="single"/>
        </w:rPr>
        <w:t xml:space="preserve">  </w:t>
      </w:r>
      <w:r>
        <w:rPr>
          <w:rFonts w:hint="eastAsia" w:ascii="宋体" w:hAnsi="宋体"/>
          <w:color w:val="auto"/>
          <w:highlight w:val="none"/>
        </w:rPr>
        <w:t>（支付</w:t>
      </w:r>
      <w:r>
        <w:rPr>
          <w:rFonts w:ascii="宋体" w:hAnsi="宋体"/>
          <w:color w:val="auto"/>
          <w:highlight w:val="none"/>
        </w:rPr>
        <w:t xml:space="preserve"> </w:t>
      </w:r>
      <w:r>
        <w:rPr>
          <w:rFonts w:hint="eastAsia" w:ascii="宋体" w:hAnsi="宋体"/>
          <w:color w:val="auto"/>
          <w:highlight w:val="none"/>
        </w:rPr>
        <w:t>/</w:t>
      </w:r>
      <w:r>
        <w:rPr>
          <w:rFonts w:ascii="宋体" w:hAnsi="宋体"/>
          <w:color w:val="auto"/>
          <w:highlight w:val="none"/>
        </w:rPr>
        <w:t xml:space="preserve"> </w:t>
      </w:r>
      <w:r>
        <w:rPr>
          <w:rFonts w:hint="eastAsia" w:ascii="宋体" w:hAnsi="宋体"/>
          <w:color w:val="auto"/>
          <w:highlight w:val="none"/>
        </w:rPr>
        <w:t>不支付）质量保证金利息。</w:t>
      </w:r>
    </w:p>
    <w:p w14:paraId="5966F358">
      <w:pPr>
        <w:spacing w:line="360" w:lineRule="auto"/>
        <w:ind w:firstLine="949" w:firstLineChars="452"/>
        <w:rPr>
          <w:rFonts w:ascii="宋体"/>
          <w:color w:val="auto"/>
          <w:szCs w:val="21"/>
          <w:highlight w:val="none"/>
        </w:rPr>
      </w:pPr>
      <w:r>
        <w:rPr>
          <w:rFonts w:hint="eastAsia" w:ascii="宋体" w:hAnsi="宋体"/>
          <w:color w:val="auto"/>
          <w:highlight w:val="none"/>
        </w:rPr>
        <w:t>发包人向承包人支付质量保证金利息的，利息计算方法：</w:t>
      </w:r>
      <w:r>
        <w:rPr>
          <w:rFonts w:ascii="宋体" w:hAnsi="宋体"/>
          <w:color w:val="auto"/>
          <w:highlight w:val="none"/>
          <w:u w:val="single"/>
        </w:rPr>
        <w:t xml:space="preserve">   /               </w:t>
      </w:r>
    </w:p>
    <w:p w14:paraId="29E5CB99">
      <w:pPr>
        <w:keepNext/>
        <w:keepLines/>
        <w:spacing w:before="120" w:beforeLines="50" w:after="120" w:afterLines="50" w:line="360" w:lineRule="auto"/>
        <w:outlineLvl w:val="1"/>
        <w:rPr>
          <w:rFonts w:ascii="宋体" w:hAnsi="宋体" w:cs="宋体"/>
          <w:color w:val="auto"/>
          <w:sz w:val="28"/>
          <w:szCs w:val="20"/>
          <w:highlight w:val="none"/>
        </w:rPr>
      </w:pPr>
      <w:bookmarkStart w:id="1975" w:name="_Toc497214104"/>
      <w:bookmarkStart w:id="1976" w:name="_Toc486580435"/>
      <w:bookmarkStart w:id="1977" w:name="_Toc23851"/>
      <w:bookmarkStart w:id="1978" w:name="_Toc12568"/>
      <w:bookmarkStart w:id="1979" w:name="_Toc489280241"/>
      <w:bookmarkStart w:id="1980" w:name="_Toc485323209"/>
      <w:bookmarkStart w:id="1981" w:name="_Toc490331726"/>
      <w:r>
        <w:rPr>
          <w:rFonts w:ascii="宋体" w:hAnsi="宋体" w:cs="宋体"/>
          <w:color w:val="auto"/>
          <w:sz w:val="28"/>
          <w:szCs w:val="20"/>
          <w:highlight w:val="none"/>
        </w:rPr>
        <w:t>18.</w:t>
      </w:r>
      <w:r>
        <w:rPr>
          <w:rFonts w:hint="eastAsia" w:ascii="宋体" w:hAnsi="宋体" w:cs="宋体"/>
          <w:color w:val="auto"/>
          <w:sz w:val="28"/>
          <w:szCs w:val="20"/>
          <w:highlight w:val="none"/>
        </w:rPr>
        <w:t>竣工验收</w:t>
      </w:r>
      <w:bookmarkEnd w:id="1975"/>
      <w:bookmarkEnd w:id="1976"/>
      <w:bookmarkEnd w:id="1977"/>
      <w:bookmarkEnd w:id="1978"/>
      <w:bookmarkEnd w:id="1979"/>
      <w:bookmarkEnd w:id="1980"/>
      <w:bookmarkEnd w:id="1981"/>
    </w:p>
    <w:p w14:paraId="3373CB05">
      <w:pPr>
        <w:keepNext/>
        <w:keepLines/>
        <w:spacing w:before="120" w:beforeLines="50" w:after="120" w:afterLines="50" w:line="360" w:lineRule="auto"/>
        <w:outlineLvl w:val="2"/>
        <w:rPr>
          <w:rFonts w:ascii="宋体" w:hAnsi="宋体"/>
          <w:color w:val="auto"/>
          <w:kern w:val="0"/>
          <w:sz w:val="24"/>
          <w:szCs w:val="20"/>
          <w:highlight w:val="none"/>
        </w:rPr>
      </w:pPr>
      <w:bookmarkStart w:id="1982" w:name="_Toc25643"/>
      <w:bookmarkStart w:id="1983" w:name="_Toc490331727"/>
      <w:bookmarkStart w:id="1984" w:name="_Toc14980"/>
      <w:bookmarkStart w:id="1985" w:name="_Toc486580436"/>
      <w:bookmarkStart w:id="1986" w:name="_Toc489280242"/>
      <w:bookmarkStart w:id="1987" w:name="_Toc485323210"/>
      <w:bookmarkStart w:id="1988" w:name="_Toc497214105"/>
      <w:r>
        <w:rPr>
          <w:rFonts w:ascii="宋体" w:hAnsi="宋体"/>
          <w:color w:val="auto"/>
          <w:kern w:val="0"/>
          <w:sz w:val="24"/>
          <w:szCs w:val="20"/>
          <w:highlight w:val="none"/>
        </w:rPr>
        <w:t xml:space="preserve">18.2  </w:t>
      </w:r>
      <w:r>
        <w:rPr>
          <w:rFonts w:hint="eastAsia" w:ascii="宋体" w:hAnsi="宋体"/>
          <w:color w:val="auto"/>
          <w:kern w:val="0"/>
          <w:sz w:val="24"/>
          <w:szCs w:val="20"/>
          <w:highlight w:val="none"/>
        </w:rPr>
        <w:t>竣工验收申请报告</w:t>
      </w:r>
      <w:bookmarkEnd w:id="1982"/>
      <w:bookmarkEnd w:id="1983"/>
      <w:bookmarkEnd w:id="1984"/>
      <w:bookmarkEnd w:id="1985"/>
      <w:bookmarkEnd w:id="1986"/>
      <w:bookmarkEnd w:id="1987"/>
      <w:bookmarkEnd w:id="1988"/>
    </w:p>
    <w:p w14:paraId="6509149D">
      <w:pPr>
        <w:spacing w:line="360" w:lineRule="auto"/>
        <w:ind w:firstLine="420" w:firstLineChars="200"/>
        <w:rPr>
          <w:color w:val="auto"/>
          <w:highlight w:val="none"/>
          <w:u w:val="singl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）承包人负责整理和提交的竣工验收资料具体内容：</w:t>
      </w:r>
      <w:r>
        <w:rPr>
          <w:rFonts w:ascii="宋体" w:hAnsi="宋体"/>
          <w:color w:val="auto"/>
          <w:szCs w:val="21"/>
          <w:highlight w:val="none"/>
          <w:u w:val="single"/>
        </w:rPr>
        <w:t xml:space="preserve"> </w:t>
      </w:r>
      <w:r>
        <w:rPr>
          <w:rFonts w:hint="eastAsia" w:ascii="宋体" w:hAnsi="宋体" w:eastAsia="宋体" w:cs="宋体"/>
          <w:color w:val="auto"/>
          <w:szCs w:val="21"/>
          <w:highlight w:val="none"/>
          <w:u w:val="single"/>
        </w:rPr>
        <w:t>中标通知书、竣工验收单、签署完整的设计变更和洽商单等完整的结算资料，和符合城建档案归档的要求的全部竣工资料</w:t>
      </w:r>
      <w:r>
        <w:rPr>
          <w:color w:val="auto"/>
          <w:highlight w:val="none"/>
          <w:u w:val="single"/>
        </w:rPr>
        <w:t>。</w:t>
      </w:r>
    </w:p>
    <w:p w14:paraId="586E1EA7">
      <w:pPr>
        <w:spacing w:line="360" w:lineRule="auto"/>
        <w:ind w:firstLine="420" w:firstLineChars="200"/>
        <w:rPr>
          <w:rFonts w:ascii="宋体"/>
          <w:color w:val="auto"/>
          <w:szCs w:val="21"/>
          <w:highlight w:val="none"/>
        </w:rPr>
      </w:pPr>
      <w:r>
        <w:rPr>
          <w:rFonts w:hint="eastAsia" w:ascii="宋体" w:hAnsi="宋体"/>
          <w:color w:val="auto"/>
          <w:szCs w:val="21"/>
          <w:highlight w:val="none"/>
        </w:rPr>
        <w:t>竣工验收资料的份数：</w:t>
      </w:r>
      <w:r>
        <w:rPr>
          <w:rFonts w:ascii="宋体" w:hAnsi="宋体"/>
          <w:color w:val="auto"/>
          <w:szCs w:val="21"/>
          <w:highlight w:val="none"/>
          <w:u w:val="single"/>
        </w:rPr>
        <w:t xml:space="preserve">    </w:t>
      </w:r>
      <w:r>
        <w:rPr>
          <w:rFonts w:hint="eastAsia" w:ascii="宋体" w:hAnsi="宋体"/>
          <w:color w:val="auto"/>
          <w:szCs w:val="21"/>
          <w:highlight w:val="none"/>
          <w:u w:val="single"/>
        </w:rPr>
        <w:t>5份</w:t>
      </w:r>
      <w:r>
        <w:rPr>
          <w:rFonts w:ascii="宋体" w:hAnsi="宋体"/>
          <w:color w:val="auto"/>
          <w:szCs w:val="21"/>
          <w:highlight w:val="none"/>
          <w:u w:val="single"/>
        </w:rPr>
        <w:t xml:space="preserve">                                              </w:t>
      </w:r>
    </w:p>
    <w:p w14:paraId="091D6F86">
      <w:pPr>
        <w:spacing w:line="360" w:lineRule="auto"/>
        <w:ind w:firstLine="420" w:firstLineChars="200"/>
        <w:rPr>
          <w:rFonts w:ascii="宋体"/>
          <w:color w:val="auto"/>
          <w:szCs w:val="21"/>
          <w:highlight w:val="none"/>
        </w:rPr>
      </w:pPr>
      <w:r>
        <w:rPr>
          <w:rFonts w:hint="eastAsia" w:ascii="宋体" w:hAnsi="宋体"/>
          <w:color w:val="auto"/>
          <w:szCs w:val="21"/>
          <w:highlight w:val="none"/>
        </w:rPr>
        <w:t>竣工验收资料的费用支付方式：</w:t>
      </w:r>
      <w:r>
        <w:rPr>
          <w:rFonts w:ascii="宋体" w:hAnsi="宋体"/>
          <w:color w:val="auto"/>
          <w:szCs w:val="21"/>
          <w:highlight w:val="none"/>
          <w:u w:val="single"/>
        </w:rPr>
        <w:t xml:space="preserve">   已包含在合同价款中，由承包人承担</w:t>
      </w:r>
      <w:r>
        <w:rPr>
          <w:rFonts w:hint="eastAsia" w:ascii="宋体" w:hAnsi="宋体"/>
          <w:color w:val="auto"/>
          <w:szCs w:val="21"/>
          <w:highlight w:val="none"/>
          <w:u w:val="single"/>
        </w:rPr>
        <w:t>。</w:t>
      </w:r>
      <w:r>
        <w:rPr>
          <w:rFonts w:ascii="宋体" w:hAnsi="宋体"/>
          <w:color w:val="auto"/>
          <w:szCs w:val="21"/>
          <w:highlight w:val="none"/>
          <w:u w:val="single"/>
        </w:rPr>
        <w:t xml:space="preserve">        </w:t>
      </w:r>
    </w:p>
    <w:p w14:paraId="7210BFB8">
      <w:pPr>
        <w:keepNext/>
        <w:keepLines/>
        <w:spacing w:before="120" w:beforeLines="50" w:after="120" w:afterLines="50" w:line="360" w:lineRule="auto"/>
        <w:outlineLvl w:val="2"/>
        <w:rPr>
          <w:rFonts w:ascii="宋体" w:hAnsi="宋体"/>
          <w:color w:val="auto"/>
          <w:kern w:val="0"/>
          <w:sz w:val="24"/>
          <w:szCs w:val="20"/>
          <w:highlight w:val="none"/>
        </w:rPr>
      </w:pPr>
      <w:bookmarkStart w:id="1989" w:name="_Toc490331728"/>
      <w:bookmarkStart w:id="1990" w:name="_Toc30101"/>
      <w:bookmarkStart w:id="1991" w:name="_Toc3706"/>
      <w:bookmarkStart w:id="1992" w:name="_Toc489280243"/>
      <w:bookmarkStart w:id="1993" w:name="_Toc486580437"/>
      <w:bookmarkStart w:id="1994" w:name="_Toc497214106"/>
      <w:bookmarkStart w:id="1995" w:name="_Toc485323211"/>
      <w:r>
        <w:rPr>
          <w:rFonts w:ascii="宋体" w:hAnsi="宋体"/>
          <w:color w:val="auto"/>
          <w:kern w:val="0"/>
          <w:sz w:val="24"/>
          <w:szCs w:val="20"/>
          <w:highlight w:val="none"/>
        </w:rPr>
        <w:t xml:space="preserve">18.5  </w:t>
      </w:r>
      <w:r>
        <w:rPr>
          <w:rFonts w:hint="eastAsia" w:ascii="宋体" w:hAnsi="宋体"/>
          <w:color w:val="auto"/>
          <w:kern w:val="0"/>
          <w:sz w:val="24"/>
          <w:szCs w:val="20"/>
          <w:highlight w:val="none"/>
        </w:rPr>
        <w:t>施工期运行</w:t>
      </w:r>
      <w:bookmarkEnd w:id="1989"/>
      <w:bookmarkEnd w:id="1990"/>
      <w:bookmarkEnd w:id="1991"/>
      <w:bookmarkEnd w:id="1992"/>
      <w:bookmarkEnd w:id="1993"/>
      <w:bookmarkEnd w:id="1994"/>
      <w:bookmarkEnd w:id="1995"/>
    </w:p>
    <w:p w14:paraId="4B5A658C">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18.5.1  </w:t>
      </w:r>
      <w:r>
        <w:rPr>
          <w:rFonts w:hint="eastAsia" w:ascii="宋体" w:hAnsi="宋体"/>
          <w:color w:val="auto"/>
          <w:szCs w:val="21"/>
          <w:highlight w:val="none"/>
        </w:rPr>
        <w:t>需要施工期运行的单位工程或设备安装工程：</w:t>
      </w:r>
      <w:r>
        <w:rPr>
          <w:rFonts w:ascii="宋体" w:hAnsi="宋体"/>
          <w:color w:val="auto"/>
          <w:szCs w:val="21"/>
          <w:highlight w:val="none"/>
          <w:u w:val="single"/>
        </w:rPr>
        <w:t xml:space="preserve">   /                     </w:t>
      </w:r>
    </w:p>
    <w:p w14:paraId="26F152DB">
      <w:pPr>
        <w:keepNext/>
        <w:keepLines/>
        <w:spacing w:before="120" w:beforeLines="50" w:after="120" w:afterLines="50" w:line="360" w:lineRule="auto"/>
        <w:outlineLvl w:val="2"/>
        <w:rPr>
          <w:rFonts w:ascii="宋体" w:hAnsi="宋体"/>
          <w:color w:val="auto"/>
          <w:kern w:val="0"/>
          <w:sz w:val="24"/>
          <w:szCs w:val="20"/>
          <w:highlight w:val="none"/>
        </w:rPr>
      </w:pPr>
      <w:bookmarkStart w:id="1996" w:name="_Toc490331729"/>
      <w:bookmarkStart w:id="1997" w:name="_Toc486580438"/>
      <w:bookmarkStart w:id="1998" w:name="_Toc8198"/>
      <w:bookmarkStart w:id="1999" w:name="_Toc497214107"/>
      <w:bookmarkStart w:id="2000" w:name="_Toc485323212"/>
      <w:bookmarkStart w:id="2001" w:name="_Toc2712"/>
      <w:bookmarkStart w:id="2002" w:name="_Toc489280244"/>
      <w:r>
        <w:rPr>
          <w:rFonts w:ascii="宋体" w:hAnsi="宋体"/>
          <w:color w:val="auto"/>
          <w:kern w:val="0"/>
          <w:sz w:val="24"/>
          <w:szCs w:val="20"/>
          <w:highlight w:val="none"/>
        </w:rPr>
        <w:t xml:space="preserve">18.8  </w:t>
      </w:r>
      <w:r>
        <w:rPr>
          <w:rFonts w:hint="eastAsia" w:ascii="宋体" w:hAnsi="宋体"/>
          <w:color w:val="auto"/>
          <w:kern w:val="0"/>
          <w:sz w:val="24"/>
          <w:szCs w:val="20"/>
          <w:highlight w:val="none"/>
        </w:rPr>
        <w:t>施工队伍的撤离</w:t>
      </w:r>
      <w:bookmarkEnd w:id="1996"/>
      <w:bookmarkEnd w:id="1997"/>
      <w:bookmarkEnd w:id="1998"/>
      <w:bookmarkEnd w:id="1999"/>
      <w:bookmarkEnd w:id="2000"/>
      <w:bookmarkEnd w:id="2001"/>
      <w:bookmarkEnd w:id="2002"/>
    </w:p>
    <w:p w14:paraId="1D3DFDFE">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18.8.3  </w:t>
      </w:r>
      <w:r>
        <w:rPr>
          <w:rFonts w:hint="eastAsia" w:ascii="宋体" w:hAnsi="宋体"/>
          <w:color w:val="auto"/>
          <w:szCs w:val="21"/>
          <w:highlight w:val="none"/>
        </w:rPr>
        <w:t>缺陷责任期满时，承包人在施工场地保留的人员和施工设备最终撤离的期限：</w:t>
      </w:r>
      <w:r>
        <w:rPr>
          <w:rFonts w:ascii="宋体" w:hAnsi="宋体"/>
          <w:color w:val="auto"/>
          <w:szCs w:val="21"/>
          <w:highlight w:val="none"/>
          <w:u w:val="single"/>
        </w:rPr>
        <w:t xml:space="preserve"> </w:t>
      </w:r>
    </w:p>
    <w:p w14:paraId="4263043F">
      <w:pPr>
        <w:spacing w:line="360" w:lineRule="auto"/>
        <w:rPr>
          <w:rFonts w:ascii="宋体"/>
          <w:color w:val="auto"/>
          <w:szCs w:val="21"/>
          <w:highlight w:val="none"/>
        </w:rPr>
      </w:pPr>
      <w:r>
        <w:rPr>
          <w:rFonts w:ascii="宋体" w:hAnsi="宋体"/>
          <w:color w:val="auto"/>
          <w:szCs w:val="21"/>
          <w:highlight w:val="none"/>
          <w:u w:val="single"/>
        </w:rPr>
        <w:t xml:space="preserve">  </w:t>
      </w:r>
      <w:r>
        <w:rPr>
          <w:color w:val="auto"/>
          <w:szCs w:val="21"/>
          <w:highlight w:val="none"/>
          <w:u w:val="single"/>
        </w:rPr>
        <w:t>缺陷责任期满28天内</w:t>
      </w:r>
      <w:r>
        <w:rPr>
          <w:rFonts w:ascii="宋体" w:hAnsi="宋体"/>
          <w:color w:val="auto"/>
          <w:szCs w:val="21"/>
          <w:highlight w:val="none"/>
          <w:u w:val="single"/>
        </w:rPr>
        <w:t xml:space="preserve">                                                       </w:t>
      </w:r>
      <w:r>
        <w:rPr>
          <w:rFonts w:ascii="宋体" w:hAnsi="宋体"/>
          <w:color w:val="auto"/>
          <w:szCs w:val="21"/>
          <w:highlight w:val="none"/>
        </w:rPr>
        <w:t xml:space="preserve">  </w:t>
      </w:r>
    </w:p>
    <w:p w14:paraId="3A9AF190">
      <w:pPr>
        <w:keepNext/>
        <w:keepLines/>
        <w:spacing w:before="120" w:beforeLines="50" w:after="120" w:afterLines="50" w:line="360" w:lineRule="auto"/>
        <w:outlineLvl w:val="2"/>
        <w:rPr>
          <w:rFonts w:ascii="宋体" w:hAnsi="宋体"/>
          <w:color w:val="auto"/>
          <w:kern w:val="0"/>
          <w:sz w:val="24"/>
          <w:szCs w:val="20"/>
          <w:highlight w:val="none"/>
        </w:rPr>
      </w:pPr>
      <w:bookmarkStart w:id="2003" w:name="_Toc497214108"/>
      <w:bookmarkStart w:id="2004" w:name="_Toc485323213"/>
      <w:bookmarkStart w:id="2005" w:name="_Toc489280245"/>
      <w:bookmarkStart w:id="2006" w:name="_Toc5164"/>
      <w:bookmarkStart w:id="2007" w:name="_Toc486580439"/>
      <w:bookmarkStart w:id="2008" w:name="_Toc490331730"/>
      <w:bookmarkStart w:id="2009" w:name="_Toc20188"/>
      <w:r>
        <w:rPr>
          <w:rFonts w:ascii="宋体" w:hAnsi="宋体"/>
          <w:color w:val="auto"/>
          <w:kern w:val="0"/>
          <w:sz w:val="24"/>
          <w:szCs w:val="20"/>
          <w:highlight w:val="none"/>
        </w:rPr>
        <w:t xml:space="preserve">18.9  </w:t>
      </w:r>
      <w:r>
        <w:rPr>
          <w:rFonts w:hint="eastAsia" w:ascii="宋体" w:hAnsi="宋体"/>
          <w:color w:val="auto"/>
          <w:kern w:val="0"/>
          <w:sz w:val="24"/>
          <w:szCs w:val="20"/>
          <w:highlight w:val="none"/>
        </w:rPr>
        <w:t>中间验收</w:t>
      </w:r>
      <w:bookmarkEnd w:id="2003"/>
      <w:bookmarkEnd w:id="2004"/>
      <w:bookmarkEnd w:id="2005"/>
      <w:bookmarkEnd w:id="2006"/>
      <w:bookmarkEnd w:id="2007"/>
      <w:bookmarkEnd w:id="2008"/>
      <w:bookmarkEnd w:id="2009"/>
    </w:p>
    <w:p w14:paraId="3011F5B7">
      <w:pPr>
        <w:spacing w:line="360" w:lineRule="auto"/>
        <w:ind w:firstLine="420" w:firstLineChars="200"/>
        <w:rPr>
          <w:rFonts w:ascii="宋体"/>
          <w:color w:val="auto"/>
          <w:szCs w:val="21"/>
          <w:highlight w:val="none"/>
          <w:u w:val="single"/>
        </w:rPr>
      </w:pPr>
      <w:r>
        <w:rPr>
          <w:rFonts w:ascii="宋体" w:hAnsi="宋体"/>
          <w:color w:val="auto"/>
          <w:szCs w:val="21"/>
          <w:highlight w:val="none"/>
        </w:rPr>
        <w:t xml:space="preserve">18.9.1  </w:t>
      </w:r>
      <w:r>
        <w:rPr>
          <w:rFonts w:hint="eastAsia" w:ascii="宋体" w:hAnsi="宋体"/>
          <w:color w:val="auto"/>
          <w:szCs w:val="21"/>
          <w:highlight w:val="none"/>
        </w:rPr>
        <w:t>本工程需要进行中间验收的部位：</w:t>
      </w:r>
      <w:r>
        <w:rPr>
          <w:rFonts w:ascii="宋体" w:hAnsi="宋体"/>
          <w:color w:val="auto"/>
          <w:szCs w:val="21"/>
          <w:highlight w:val="none"/>
          <w:u w:val="single"/>
        </w:rPr>
        <w:t xml:space="preserve">  /                                  </w:t>
      </w:r>
    </w:p>
    <w:p w14:paraId="4F2C3904">
      <w:pPr>
        <w:spacing w:line="360" w:lineRule="auto"/>
        <w:ind w:firstLine="420" w:firstLineChars="200"/>
        <w:rPr>
          <w:rFonts w:ascii="宋体"/>
          <w:color w:val="auto"/>
          <w:szCs w:val="21"/>
          <w:highlight w:val="none"/>
        </w:rPr>
      </w:pPr>
      <w:r>
        <w:rPr>
          <w:rFonts w:ascii="宋体" w:hAnsi="宋体"/>
          <w:color w:val="auto"/>
          <w:szCs w:val="21"/>
          <w:highlight w:val="none"/>
        </w:rPr>
        <w:t xml:space="preserve">18.9.2  </w:t>
      </w:r>
      <w:r>
        <w:rPr>
          <w:rFonts w:hint="eastAsia" w:ascii="宋体" w:hAnsi="宋体"/>
          <w:color w:val="auto"/>
          <w:szCs w:val="21"/>
          <w:highlight w:val="none"/>
        </w:rPr>
        <w:t>验收不合格的，承包人在</w:t>
      </w:r>
      <w:r>
        <w:rPr>
          <w:rFonts w:ascii="宋体" w:hAnsi="宋体"/>
          <w:color w:val="auto"/>
          <w:szCs w:val="21"/>
          <w:highlight w:val="none"/>
          <w:u w:val="single"/>
        </w:rPr>
        <w:t xml:space="preserve">  </w:t>
      </w:r>
      <w:r>
        <w:rPr>
          <w:rFonts w:hint="eastAsia" w:ascii="宋体" w:hAnsi="宋体"/>
          <w:color w:val="auto"/>
          <w:szCs w:val="21"/>
          <w:highlight w:val="none"/>
          <w:u w:val="single"/>
        </w:rPr>
        <w:t>监理人书面通知</w:t>
      </w:r>
      <w:r>
        <w:rPr>
          <w:rFonts w:ascii="宋体" w:hAnsi="宋体"/>
          <w:color w:val="auto"/>
          <w:szCs w:val="21"/>
          <w:highlight w:val="none"/>
          <w:u w:val="single"/>
        </w:rPr>
        <w:t xml:space="preserve">    </w:t>
      </w:r>
      <w:r>
        <w:rPr>
          <w:rFonts w:hint="eastAsia" w:ascii="宋体" w:hAnsi="宋体"/>
          <w:color w:val="auto"/>
          <w:szCs w:val="21"/>
          <w:highlight w:val="none"/>
        </w:rPr>
        <w:t>期限内进行修改后重新验收。</w:t>
      </w:r>
    </w:p>
    <w:p w14:paraId="17E33A26">
      <w:pPr>
        <w:keepNext/>
        <w:keepLines/>
        <w:spacing w:before="120" w:beforeLines="50" w:after="120" w:afterLines="50" w:line="360" w:lineRule="auto"/>
        <w:outlineLvl w:val="1"/>
        <w:rPr>
          <w:rFonts w:ascii="宋体" w:hAnsi="宋体" w:cs="宋体"/>
          <w:color w:val="auto"/>
          <w:sz w:val="28"/>
          <w:szCs w:val="20"/>
          <w:highlight w:val="none"/>
        </w:rPr>
      </w:pPr>
      <w:bookmarkStart w:id="2010" w:name="_Toc490331731"/>
      <w:bookmarkStart w:id="2011" w:name="_Toc497214109"/>
      <w:bookmarkStart w:id="2012" w:name="_Toc489280246"/>
      <w:bookmarkStart w:id="2013" w:name="_Toc3032"/>
      <w:bookmarkStart w:id="2014" w:name="_Toc486580440"/>
      <w:bookmarkStart w:id="2015" w:name="_Toc485323214"/>
      <w:bookmarkStart w:id="2016" w:name="_Toc6475"/>
      <w:r>
        <w:rPr>
          <w:rFonts w:ascii="宋体" w:hAnsi="宋体" w:cs="宋体"/>
          <w:color w:val="auto"/>
          <w:sz w:val="28"/>
          <w:szCs w:val="20"/>
          <w:highlight w:val="none"/>
        </w:rPr>
        <w:t>19.</w:t>
      </w:r>
      <w:r>
        <w:rPr>
          <w:rFonts w:hint="eastAsia" w:ascii="宋体" w:hAnsi="宋体" w:cs="宋体"/>
          <w:color w:val="auto"/>
          <w:sz w:val="28"/>
          <w:szCs w:val="20"/>
          <w:highlight w:val="none"/>
        </w:rPr>
        <w:t>缺陷责任与保修责任</w:t>
      </w:r>
      <w:bookmarkEnd w:id="2010"/>
      <w:bookmarkEnd w:id="2011"/>
      <w:bookmarkEnd w:id="2012"/>
      <w:bookmarkEnd w:id="2013"/>
      <w:bookmarkEnd w:id="2014"/>
      <w:bookmarkEnd w:id="2015"/>
      <w:bookmarkEnd w:id="2016"/>
    </w:p>
    <w:p w14:paraId="07CAC09B">
      <w:pPr>
        <w:keepNext/>
        <w:keepLines/>
        <w:spacing w:before="120" w:beforeLines="50" w:after="120" w:afterLines="50" w:line="360" w:lineRule="auto"/>
        <w:outlineLvl w:val="2"/>
        <w:rPr>
          <w:rFonts w:ascii="宋体" w:hAnsi="宋体"/>
          <w:color w:val="auto"/>
          <w:kern w:val="0"/>
          <w:sz w:val="24"/>
          <w:szCs w:val="20"/>
          <w:highlight w:val="none"/>
        </w:rPr>
      </w:pPr>
      <w:bookmarkStart w:id="2017" w:name="_Toc497214110"/>
      <w:bookmarkStart w:id="2018" w:name="_Toc486580441"/>
      <w:bookmarkStart w:id="2019" w:name="_Toc20694"/>
      <w:bookmarkStart w:id="2020" w:name="_Toc489280247"/>
      <w:bookmarkStart w:id="2021" w:name="_Toc490331732"/>
      <w:bookmarkStart w:id="2022" w:name="_Toc485323215"/>
      <w:bookmarkStart w:id="2023" w:name="_Toc32014"/>
      <w:r>
        <w:rPr>
          <w:rFonts w:ascii="宋体" w:hAnsi="宋体"/>
          <w:color w:val="auto"/>
          <w:kern w:val="0"/>
          <w:sz w:val="24"/>
          <w:szCs w:val="20"/>
          <w:highlight w:val="none"/>
        </w:rPr>
        <w:t xml:space="preserve">19.7  </w:t>
      </w:r>
      <w:r>
        <w:rPr>
          <w:rFonts w:hint="eastAsia" w:ascii="宋体" w:hAnsi="宋体"/>
          <w:color w:val="auto"/>
          <w:kern w:val="0"/>
          <w:sz w:val="24"/>
          <w:szCs w:val="20"/>
          <w:highlight w:val="none"/>
        </w:rPr>
        <w:t>保修责任</w:t>
      </w:r>
      <w:bookmarkEnd w:id="2017"/>
      <w:bookmarkEnd w:id="2018"/>
      <w:bookmarkEnd w:id="2019"/>
      <w:bookmarkEnd w:id="2020"/>
      <w:bookmarkEnd w:id="2021"/>
      <w:bookmarkEnd w:id="2022"/>
      <w:bookmarkEnd w:id="2023"/>
    </w:p>
    <w:p w14:paraId="0BA74EE5">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 xml:space="preserve">19.7.1  </w:t>
      </w:r>
      <w:r>
        <w:rPr>
          <w:rFonts w:hint="eastAsia" w:ascii="宋体" w:hAnsi="宋体"/>
          <w:color w:val="auto"/>
          <w:szCs w:val="21"/>
          <w:highlight w:val="none"/>
        </w:rPr>
        <w:t>工程质量保修范围：</w:t>
      </w:r>
      <w:r>
        <w:rPr>
          <w:rFonts w:hint="eastAsia" w:hAnsi="宋体"/>
          <w:color w:val="auto"/>
          <w:szCs w:val="21"/>
          <w:highlight w:val="none"/>
          <w:u w:val="single"/>
        </w:rPr>
        <w:t>施工合同约定的所有施工承包范围内工程质量保修责任</w:t>
      </w:r>
      <w:r>
        <w:rPr>
          <w:rFonts w:hint="eastAsia" w:ascii="宋体" w:hAnsi="宋体"/>
          <w:color w:val="auto"/>
          <w:szCs w:val="21"/>
          <w:highlight w:val="none"/>
        </w:rPr>
        <w:t>。</w:t>
      </w:r>
    </w:p>
    <w:p w14:paraId="78678EFA">
      <w:pPr>
        <w:spacing w:line="360" w:lineRule="auto"/>
        <w:ind w:firstLine="420" w:firstLineChars="200"/>
        <w:rPr>
          <w:rFonts w:ascii="宋体"/>
          <w:color w:val="auto"/>
          <w:szCs w:val="21"/>
          <w:highlight w:val="none"/>
        </w:rPr>
      </w:pPr>
      <w:r>
        <w:rPr>
          <w:rFonts w:hint="eastAsia" w:ascii="宋体" w:hAnsi="宋体"/>
          <w:color w:val="auto"/>
          <w:szCs w:val="21"/>
          <w:highlight w:val="none"/>
        </w:rPr>
        <w:t>工程质量保修期限：</w:t>
      </w:r>
      <w:r>
        <w:rPr>
          <w:color w:val="auto"/>
          <w:szCs w:val="21"/>
          <w:highlight w:val="none"/>
          <w:u w:val="single"/>
        </w:rPr>
        <w:t>按《建设工程质量管理条例》相关规定执行</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p>
    <w:p w14:paraId="1C4B2CCF">
      <w:pPr>
        <w:spacing w:line="360" w:lineRule="auto"/>
        <w:ind w:firstLine="420" w:firstLineChars="200"/>
        <w:rPr>
          <w:rFonts w:ascii="宋体"/>
          <w:color w:val="auto"/>
          <w:szCs w:val="21"/>
          <w:highlight w:val="none"/>
        </w:rPr>
      </w:pPr>
      <w:r>
        <w:rPr>
          <w:rFonts w:hint="eastAsia" w:ascii="宋体" w:hAnsi="宋体"/>
          <w:color w:val="auto"/>
          <w:szCs w:val="21"/>
          <w:highlight w:val="none"/>
        </w:rPr>
        <w:t>工程质量保修责任：</w:t>
      </w:r>
      <w:r>
        <w:rPr>
          <w:rFonts w:hint="eastAsia" w:ascii="宋体" w:hAnsi="宋体"/>
          <w:color w:val="auto"/>
          <w:szCs w:val="21"/>
          <w:highlight w:val="none"/>
          <w:u w:val="single"/>
        </w:rPr>
        <w:t>按《建设工程质量管理条例》规定执行。</w:t>
      </w:r>
      <w:r>
        <w:rPr>
          <w:rFonts w:ascii="宋体" w:hAnsi="宋体"/>
          <w:color w:val="auto"/>
          <w:szCs w:val="21"/>
          <w:highlight w:val="none"/>
          <w:u w:val="single"/>
        </w:rPr>
        <w:t xml:space="preserve">                      </w:t>
      </w:r>
    </w:p>
    <w:p w14:paraId="251FA2DE">
      <w:pPr>
        <w:keepNext/>
        <w:keepLines/>
        <w:spacing w:before="120" w:beforeLines="50" w:after="120" w:afterLines="50" w:line="360" w:lineRule="auto"/>
        <w:outlineLvl w:val="1"/>
        <w:rPr>
          <w:rFonts w:ascii="宋体" w:hAnsi="宋体" w:cs="宋体"/>
          <w:color w:val="auto"/>
          <w:sz w:val="28"/>
          <w:szCs w:val="20"/>
          <w:highlight w:val="none"/>
        </w:rPr>
      </w:pPr>
      <w:bookmarkStart w:id="2024" w:name="_Toc8295"/>
      <w:bookmarkStart w:id="2025" w:name="_Toc489280248"/>
      <w:bookmarkStart w:id="2026" w:name="_Toc486580442"/>
      <w:bookmarkStart w:id="2027" w:name="_Toc485323216"/>
      <w:bookmarkStart w:id="2028" w:name="_Toc490331733"/>
      <w:bookmarkStart w:id="2029" w:name="_Toc21153"/>
      <w:bookmarkStart w:id="2030" w:name="_Toc497214111"/>
      <w:r>
        <w:rPr>
          <w:rFonts w:ascii="宋体" w:hAnsi="宋体" w:cs="宋体"/>
          <w:color w:val="auto"/>
          <w:sz w:val="28"/>
          <w:szCs w:val="20"/>
          <w:highlight w:val="none"/>
        </w:rPr>
        <w:t>20.</w:t>
      </w:r>
      <w:r>
        <w:rPr>
          <w:rFonts w:hint="eastAsia" w:ascii="宋体" w:hAnsi="宋体" w:cs="宋体"/>
          <w:color w:val="auto"/>
          <w:sz w:val="28"/>
          <w:szCs w:val="20"/>
          <w:highlight w:val="none"/>
        </w:rPr>
        <w:t>保险</w:t>
      </w:r>
      <w:bookmarkEnd w:id="2024"/>
      <w:bookmarkEnd w:id="2025"/>
      <w:bookmarkEnd w:id="2026"/>
      <w:bookmarkEnd w:id="2027"/>
      <w:bookmarkEnd w:id="2028"/>
      <w:bookmarkEnd w:id="2029"/>
      <w:bookmarkEnd w:id="2030"/>
    </w:p>
    <w:p w14:paraId="5B8255B9">
      <w:pPr>
        <w:keepNext/>
        <w:keepLines/>
        <w:spacing w:before="120" w:beforeLines="50" w:after="120" w:afterLines="50" w:line="360" w:lineRule="auto"/>
        <w:outlineLvl w:val="2"/>
        <w:rPr>
          <w:rFonts w:ascii="宋体" w:hAnsi="宋体"/>
          <w:color w:val="auto"/>
          <w:kern w:val="0"/>
          <w:sz w:val="24"/>
          <w:szCs w:val="20"/>
          <w:highlight w:val="none"/>
        </w:rPr>
      </w:pPr>
      <w:bookmarkStart w:id="2031" w:name="_Toc486580443"/>
      <w:bookmarkStart w:id="2032" w:name="_Toc489280249"/>
      <w:bookmarkStart w:id="2033" w:name="_Toc19755"/>
      <w:bookmarkStart w:id="2034" w:name="_Toc4698"/>
      <w:bookmarkStart w:id="2035" w:name="_Toc485323217"/>
      <w:bookmarkStart w:id="2036" w:name="_Toc497214112"/>
      <w:bookmarkStart w:id="2037" w:name="_Toc490331734"/>
      <w:r>
        <w:rPr>
          <w:rFonts w:ascii="宋体" w:hAnsi="宋体"/>
          <w:color w:val="auto"/>
          <w:kern w:val="0"/>
          <w:sz w:val="24"/>
          <w:szCs w:val="20"/>
          <w:highlight w:val="none"/>
        </w:rPr>
        <w:t xml:space="preserve">20.1  </w:t>
      </w:r>
      <w:r>
        <w:rPr>
          <w:rFonts w:hint="eastAsia" w:ascii="宋体" w:hAnsi="宋体"/>
          <w:color w:val="auto"/>
          <w:kern w:val="0"/>
          <w:sz w:val="24"/>
          <w:szCs w:val="20"/>
          <w:highlight w:val="none"/>
        </w:rPr>
        <w:t>工程保险</w:t>
      </w:r>
      <w:bookmarkEnd w:id="2031"/>
      <w:bookmarkEnd w:id="2032"/>
      <w:bookmarkEnd w:id="2033"/>
      <w:bookmarkEnd w:id="2034"/>
      <w:bookmarkEnd w:id="2035"/>
      <w:bookmarkEnd w:id="2036"/>
      <w:bookmarkEnd w:id="2037"/>
    </w:p>
    <w:p w14:paraId="20C925DB">
      <w:pPr>
        <w:spacing w:line="360" w:lineRule="auto"/>
        <w:ind w:firstLine="420" w:firstLineChars="200"/>
        <w:rPr>
          <w:rFonts w:ascii="宋体"/>
          <w:color w:val="auto"/>
          <w:szCs w:val="21"/>
          <w:highlight w:val="none"/>
        </w:rPr>
      </w:pPr>
      <w:r>
        <w:rPr>
          <w:rFonts w:hint="eastAsia" w:ascii="宋体" w:hAnsi="宋体"/>
          <w:color w:val="auto"/>
          <w:szCs w:val="21"/>
          <w:highlight w:val="none"/>
        </w:rPr>
        <w:t>本工程</w:t>
      </w:r>
      <w:r>
        <w:rPr>
          <w:rFonts w:ascii="宋体" w:hAnsi="宋体"/>
          <w:color w:val="auto"/>
          <w:szCs w:val="21"/>
          <w:highlight w:val="none"/>
          <w:u w:val="single"/>
        </w:rPr>
        <w:t xml:space="preserve">  </w:t>
      </w:r>
      <w:r>
        <w:rPr>
          <w:rFonts w:hint="eastAsia" w:ascii="宋体" w:hAnsi="宋体"/>
          <w:color w:val="auto"/>
          <w:szCs w:val="21"/>
          <w:highlight w:val="none"/>
          <w:u w:val="single"/>
        </w:rPr>
        <w:t>不投保</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投保/不投保</w:t>
      </w:r>
      <w:r>
        <w:rPr>
          <w:rFonts w:ascii="宋体" w:hAnsi="宋体"/>
          <w:color w:val="auto"/>
          <w:szCs w:val="21"/>
          <w:highlight w:val="none"/>
        </w:rPr>
        <w:t>)</w:t>
      </w:r>
      <w:r>
        <w:rPr>
          <w:rFonts w:hint="eastAsia" w:ascii="宋体" w:hAnsi="宋体"/>
          <w:color w:val="auto"/>
          <w:szCs w:val="21"/>
          <w:highlight w:val="none"/>
        </w:rPr>
        <w:t>工程保险。投保工程保险时，险种为：</w:t>
      </w:r>
      <w:r>
        <w:rPr>
          <w:rFonts w:ascii="宋体" w:hAnsi="宋体"/>
          <w:color w:val="auto"/>
          <w:szCs w:val="21"/>
          <w:highlight w:val="none"/>
          <w:u w:val="single"/>
        </w:rPr>
        <w:t xml:space="preserve">   /       </w:t>
      </w:r>
      <w:r>
        <w:rPr>
          <w:rFonts w:hint="eastAsia" w:ascii="宋体" w:hAnsi="宋体"/>
          <w:color w:val="auto"/>
          <w:szCs w:val="21"/>
          <w:highlight w:val="none"/>
        </w:rPr>
        <w:t>，并符合以下约定：</w:t>
      </w:r>
    </w:p>
    <w:p w14:paraId="16B79EF2">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）投保人：</w:t>
      </w:r>
      <w:r>
        <w:rPr>
          <w:rFonts w:ascii="宋体" w:hAnsi="宋体"/>
          <w:color w:val="auto"/>
          <w:szCs w:val="21"/>
          <w:highlight w:val="none"/>
          <w:u w:val="single"/>
        </w:rPr>
        <w:t xml:space="preserve">            /                                               </w:t>
      </w:r>
    </w:p>
    <w:p w14:paraId="5525F4D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）投保内容：</w:t>
      </w:r>
      <w:r>
        <w:rPr>
          <w:rFonts w:ascii="宋体" w:hAnsi="宋体"/>
          <w:color w:val="auto"/>
          <w:szCs w:val="21"/>
          <w:highlight w:val="none"/>
          <w:u w:val="single"/>
        </w:rPr>
        <w:t xml:space="preserve">         /                                                 </w:t>
      </w:r>
    </w:p>
    <w:p w14:paraId="3ED11A72">
      <w:pPr>
        <w:spacing w:line="360" w:lineRule="auto"/>
        <w:ind w:firstLine="420" w:firstLineChars="200"/>
        <w:rPr>
          <w:rFonts w:ascii="宋体" w:cs="Arial"/>
          <w:color w:val="auto"/>
          <w:highlight w:val="none"/>
        </w:rPr>
      </w:pP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）保险费率：由投保人与合同双方同意的保险人商定</w:t>
      </w:r>
      <w:r>
        <w:rPr>
          <w:rFonts w:hint="eastAsia" w:ascii="宋体" w:hAnsi="宋体" w:cs="Arial"/>
          <w:color w:val="auto"/>
          <w:highlight w:val="none"/>
        </w:rPr>
        <w:t>。</w:t>
      </w:r>
    </w:p>
    <w:p w14:paraId="20075E4D">
      <w:pPr>
        <w:spacing w:line="360" w:lineRule="auto"/>
        <w:ind w:firstLine="420" w:firstLineChars="200"/>
        <w:rPr>
          <w:rFonts w:asci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）保险金额：</w:t>
      </w:r>
      <w:r>
        <w:rPr>
          <w:rFonts w:ascii="宋体" w:hAnsi="宋体"/>
          <w:color w:val="auto"/>
          <w:szCs w:val="21"/>
          <w:highlight w:val="none"/>
          <w:u w:val="single"/>
        </w:rPr>
        <w:t xml:space="preserve">  </w:t>
      </w:r>
      <w:r>
        <w:rPr>
          <w:rFonts w:ascii="宋体" w:hAnsi="宋体" w:cs="Arial"/>
          <w:color w:val="auto"/>
          <w:highlight w:val="none"/>
          <w:u w:val="single"/>
        </w:rPr>
        <w:t xml:space="preserve">     /                                                  </w:t>
      </w:r>
    </w:p>
    <w:p w14:paraId="21C29A50">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）保险期限：</w:t>
      </w:r>
      <w:r>
        <w:rPr>
          <w:rFonts w:ascii="宋体" w:hAnsi="宋体"/>
          <w:color w:val="auto"/>
          <w:szCs w:val="21"/>
          <w:highlight w:val="none"/>
          <w:u w:val="single"/>
        </w:rPr>
        <w:t xml:space="preserve">  </w:t>
      </w:r>
      <w:r>
        <w:rPr>
          <w:rFonts w:ascii="宋体" w:hAnsi="宋体" w:cs="Arial"/>
          <w:color w:val="auto"/>
          <w:highlight w:val="none"/>
          <w:u w:val="single"/>
        </w:rPr>
        <w:t xml:space="preserve">     /                                                    </w:t>
      </w:r>
    </w:p>
    <w:p w14:paraId="28CE252E">
      <w:pPr>
        <w:keepNext/>
        <w:keepLines/>
        <w:spacing w:before="120" w:beforeLines="50" w:after="120" w:afterLines="50" w:line="360" w:lineRule="auto"/>
        <w:outlineLvl w:val="2"/>
        <w:rPr>
          <w:rFonts w:ascii="宋体" w:hAnsi="宋体"/>
          <w:color w:val="auto"/>
          <w:kern w:val="0"/>
          <w:sz w:val="24"/>
          <w:szCs w:val="20"/>
          <w:highlight w:val="none"/>
        </w:rPr>
      </w:pPr>
      <w:bookmarkStart w:id="2038" w:name="_Toc12862"/>
      <w:bookmarkStart w:id="2039" w:name="_Toc485323218"/>
      <w:bookmarkStart w:id="2040" w:name="_Toc486580444"/>
      <w:bookmarkStart w:id="2041" w:name="_Toc497214113"/>
      <w:bookmarkStart w:id="2042" w:name="_Toc489280250"/>
      <w:bookmarkStart w:id="2043" w:name="_Toc490331735"/>
      <w:bookmarkStart w:id="2044" w:name="_Toc9657"/>
      <w:r>
        <w:rPr>
          <w:rFonts w:ascii="宋体" w:hAnsi="宋体"/>
          <w:color w:val="auto"/>
          <w:kern w:val="0"/>
          <w:sz w:val="24"/>
          <w:szCs w:val="20"/>
          <w:highlight w:val="none"/>
        </w:rPr>
        <w:t xml:space="preserve">20.4  </w:t>
      </w:r>
      <w:r>
        <w:rPr>
          <w:rFonts w:hint="eastAsia" w:ascii="宋体" w:hAnsi="宋体"/>
          <w:color w:val="auto"/>
          <w:kern w:val="0"/>
          <w:sz w:val="24"/>
          <w:szCs w:val="20"/>
          <w:highlight w:val="none"/>
        </w:rPr>
        <w:t>第三者责任险</w:t>
      </w:r>
      <w:bookmarkEnd w:id="2038"/>
      <w:bookmarkEnd w:id="2039"/>
      <w:bookmarkEnd w:id="2040"/>
      <w:bookmarkEnd w:id="2041"/>
      <w:bookmarkEnd w:id="2042"/>
      <w:bookmarkEnd w:id="2043"/>
      <w:bookmarkEnd w:id="2044"/>
    </w:p>
    <w:p w14:paraId="61BAF834">
      <w:pPr>
        <w:spacing w:line="360" w:lineRule="auto"/>
        <w:ind w:firstLine="420" w:firstLineChars="200"/>
        <w:rPr>
          <w:rFonts w:ascii="宋体" w:cs="Arial"/>
          <w:color w:val="auto"/>
          <w:highlight w:val="none"/>
        </w:rPr>
      </w:pPr>
      <w:r>
        <w:rPr>
          <w:rFonts w:ascii="宋体" w:hAnsi="宋体"/>
          <w:color w:val="auto"/>
          <w:szCs w:val="21"/>
          <w:highlight w:val="none"/>
        </w:rPr>
        <w:t xml:space="preserve">20.4.2  </w:t>
      </w:r>
      <w:r>
        <w:rPr>
          <w:rFonts w:hint="eastAsia" w:ascii="宋体" w:hAnsi="宋体"/>
          <w:color w:val="auto"/>
          <w:szCs w:val="21"/>
          <w:highlight w:val="none"/>
        </w:rPr>
        <w:t>保险金额：</w:t>
      </w:r>
      <w:r>
        <w:rPr>
          <w:rFonts w:ascii="宋体" w:hAnsi="宋体"/>
          <w:color w:val="auto"/>
          <w:szCs w:val="21"/>
          <w:highlight w:val="none"/>
          <w:u w:val="single"/>
        </w:rPr>
        <w:t xml:space="preserve">  </w:t>
      </w:r>
      <w:r>
        <w:rPr>
          <w:rFonts w:ascii="宋体" w:hAnsi="宋体" w:cs="Arial"/>
          <w:color w:val="auto"/>
          <w:highlight w:val="none"/>
          <w:u w:val="single"/>
        </w:rPr>
        <w:t xml:space="preserve">   /               </w:t>
      </w:r>
      <w:r>
        <w:rPr>
          <w:rFonts w:hint="eastAsia" w:ascii="宋体" w:hAnsi="宋体" w:cs="Arial"/>
          <w:color w:val="auto"/>
          <w:highlight w:val="none"/>
        </w:rPr>
        <w:t>，</w:t>
      </w:r>
      <w:r>
        <w:rPr>
          <w:rFonts w:hint="eastAsia" w:ascii="宋体" w:hAnsi="宋体"/>
          <w:color w:val="auto"/>
          <w:szCs w:val="21"/>
          <w:highlight w:val="none"/>
        </w:rPr>
        <w:t>保险费率由承包人与发包人同意的保险人商定，相关保险费由</w:t>
      </w:r>
      <w:r>
        <w:rPr>
          <w:rFonts w:ascii="宋体" w:hAnsi="宋体"/>
          <w:color w:val="auto"/>
          <w:szCs w:val="21"/>
          <w:highlight w:val="none"/>
          <w:u w:val="single"/>
        </w:rPr>
        <w:t xml:space="preserve">   /     </w:t>
      </w:r>
      <w:r>
        <w:rPr>
          <w:rFonts w:hint="eastAsia" w:ascii="宋体" w:hAnsi="宋体"/>
          <w:color w:val="auto"/>
          <w:szCs w:val="21"/>
          <w:highlight w:val="none"/>
        </w:rPr>
        <w:t>承担</w:t>
      </w:r>
      <w:r>
        <w:rPr>
          <w:rFonts w:hint="eastAsia" w:ascii="宋体" w:hAnsi="宋体" w:cs="Arial"/>
          <w:color w:val="auto"/>
          <w:highlight w:val="none"/>
        </w:rPr>
        <w:t>。</w:t>
      </w:r>
      <w:r>
        <w:rPr>
          <w:rFonts w:ascii="宋体" w:hAnsi="宋体" w:cs="Arial"/>
          <w:color w:val="auto"/>
          <w:highlight w:val="none"/>
        </w:rPr>
        <w:t xml:space="preserve">                               </w:t>
      </w:r>
    </w:p>
    <w:p w14:paraId="2E1FE40C">
      <w:pPr>
        <w:keepNext/>
        <w:keepLines/>
        <w:spacing w:before="120" w:beforeLines="50" w:after="120" w:afterLines="50" w:line="360" w:lineRule="auto"/>
        <w:outlineLvl w:val="2"/>
        <w:rPr>
          <w:rFonts w:ascii="宋体" w:hAnsi="宋体"/>
          <w:color w:val="auto"/>
          <w:kern w:val="0"/>
          <w:sz w:val="24"/>
          <w:szCs w:val="20"/>
          <w:highlight w:val="none"/>
        </w:rPr>
      </w:pPr>
      <w:bookmarkStart w:id="2045" w:name="_Toc497214114"/>
      <w:bookmarkStart w:id="2046" w:name="_Toc18337"/>
      <w:bookmarkStart w:id="2047" w:name="_Toc30822"/>
      <w:bookmarkStart w:id="2048" w:name="_Toc490331736"/>
      <w:bookmarkStart w:id="2049" w:name="_Toc486580445"/>
      <w:bookmarkStart w:id="2050" w:name="_Toc489280251"/>
      <w:bookmarkStart w:id="2051" w:name="_Toc485323219"/>
      <w:r>
        <w:rPr>
          <w:rFonts w:ascii="宋体" w:hAnsi="宋体"/>
          <w:color w:val="auto"/>
          <w:kern w:val="0"/>
          <w:sz w:val="24"/>
          <w:szCs w:val="20"/>
          <w:highlight w:val="none"/>
        </w:rPr>
        <w:t xml:space="preserve">20.5  </w:t>
      </w:r>
      <w:r>
        <w:rPr>
          <w:rFonts w:hint="eastAsia" w:ascii="宋体" w:hAnsi="宋体"/>
          <w:color w:val="auto"/>
          <w:kern w:val="0"/>
          <w:sz w:val="24"/>
          <w:szCs w:val="20"/>
          <w:highlight w:val="none"/>
        </w:rPr>
        <w:t>其他保险</w:t>
      </w:r>
      <w:bookmarkEnd w:id="2045"/>
      <w:bookmarkEnd w:id="2046"/>
      <w:bookmarkEnd w:id="2047"/>
      <w:bookmarkEnd w:id="2048"/>
      <w:bookmarkEnd w:id="2049"/>
      <w:bookmarkEnd w:id="2050"/>
      <w:bookmarkEnd w:id="2051"/>
    </w:p>
    <w:p w14:paraId="40DDF32C">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承包人应为其施工设备、进场材料和工程设备等办理的保险：</w:t>
      </w:r>
      <w:r>
        <w:rPr>
          <w:rFonts w:ascii="宋体" w:hAnsi="宋体"/>
          <w:color w:val="auto"/>
          <w:szCs w:val="21"/>
          <w:highlight w:val="none"/>
          <w:u w:val="single"/>
        </w:rPr>
        <w:t xml:space="preserve">  </w:t>
      </w:r>
      <w:r>
        <w:rPr>
          <w:rFonts w:hint="eastAsia" w:ascii="宋体" w:hAnsi="宋体"/>
          <w:color w:val="auto"/>
          <w:szCs w:val="21"/>
          <w:highlight w:val="none"/>
          <w:u w:val="single"/>
        </w:rPr>
        <w:t>承包人自行考虑，所需费用由承包人自行承担。</w:t>
      </w:r>
      <w:r>
        <w:rPr>
          <w:rFonts w:ascii="宋体" w:hAnsi="宋体"/>
          <w:color w:val="auto"/>
          <w:szCs w:val="21"/>
          <w:highlight w:val="none"/>
          <w:u w:val="single"/>
        </w:rPr>
        <w:t xml:space="preserve">    </w:t>
      </w:r>
    </w:p>
    <w:p w14:paraId="39A77B1B">
      <w:pPr>
        <w:keepNext/>
        <w:keepLines/>
        <w:spacing w:before="120" w:beforeLines="50" w:after="120" w:afterLines="50" w:line="360" w:lineRule="auto"/>
        <w:outlineLvl w:val="2"/>
        <w:rPr>
          <w:rFonts w:ascii="宋体" w:hAnsi="宋体"/>
          <w:color w:val="auto"/>
          <w:kern w:val="0"/>
          <w:sz w:val="24"/>
          <w:szCs w:val="20"/>
          <w:highlight w:val="none"/>
        </w:rPr>
      </w:pPr>
      <w:bookmarkStart w:id="2052" w:name="_Toc485323220"/>
      <w:bookmarkStart w:id="2053" w:name="_Toc497214115"/>
      <w:bookmarkStart w:id="2054" w:name="_Toc486580446"/>
      <w:bookmarkStart w:id="2055" w:name="_Toc490331737"/>
      <w:bookmarkStart w:id="2056" w:name="_Toc489280252"/>
      <w:bookmarkStart w:id="2057" w:name="_Toc16561"/>
      <w:bookmarkStart w:id="2058" w:name="_Toc12690"/>
      <w:r>
        <w:rPr>
          <w:rFonts w:ascii="宋体" w:hAnsi="宋体"/>
          <w:color w:val="auto"/>
          <w:kern w:val="0"/>
          <w:sz w:val="24"/>
          <w:szCs w:val="20"/>
          <w:highlight w:val="none"/>
        </w:rPr>
        <w:t xml:space="preserve">20.6  </w:t>
      </w:r>
      <w:r>
        <w:rPr>
          <w:rFonts w:hint="eastAsia" w:ascii="宋体" w:hAnsi="宋体"/>
          <w:color w:val="auto"/>
          <w:kern w:val="0"/>
          <w:sz w:val="24"/>
          <w:szCs w:val="20"/>
          <w:highlight w:val="none"/>
        </w:rPr>
        <w:t>对各项保险的一般要求</w:t>
      </w:r>
      <w:bookmarkEnd w:id="2052"/>
      <w:bookmarkEnd w:id="2053"/>
      <w:bookmarkEnd w:id="2054"/>
      <w:bookmarkEnd w:id="2055"/>
      <w:bookmarkEnd w:id="2056"/>
      <w:bookmarkEnd w:id="2057"/>
      <w:bookmarkEnd w:id="2058"/>
    </w:p>
    <w:p w14:paraId="2AE39DD7">
      <w:pPr>
        <w:spacing w:line="360" w:lineRule="auto"/>
        <w:ind w:firstLine="420" w:firstLineChars="200"/>
        <w:rPr>
          <w:rFonts w:ascii="宋体"/>
          <w:color w:val="auto"/>
          <w:szCs w:val="21"/>
          <w:highlight w:val="none"/>
        </w:rPr>
      </w:pPr>
      <w:r>
        <w:rPr>
          <w:rFonts w:ascii="宋体" w:hAnsi="宋体"/>
          <w:color w:val="auto"/>
          <w:szCs w:val="21"/>
          <w:highlight w:val="none"/>
        </w:rPr>
        <w:t xml:space="preserve">20.6.1  </w:t>
      </w:r>
      <w:r>
        <w:rPr>
          <w:rFonts w:hint="eastAsia" w:ascii="宋体" w:hAnsi="宋体"/>
          <w:color w:val="auto"/>
          <w:szCs w:val="21"/>
          <w:highlight w:val="none"/>
        </w:rPr>
        <w:t>保险凭证</w:t>
      </w:r>
    </w:p>
    <w:p w14:paraId="6464A968">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承包人向发包人提交各项保险生效的证据和保险单副本的期限：</w:t>
      </w:r>
      <w:r>
        <w:rPr>
          <w:rFonts w:ascii="宋体" w:hAnsi="宋体"/>
          <w:color w:val="auto"/>
          <w:szCs w:val="21"/>
          <w:highlight w:val="none"/>
          <w:u w:val="single"/>
        </w:rPr>
        <w:t xml:space="preserve">  </w:t>
      </w:r>
      <w:r>
        <w:rPr>
          <w:rFonts w:hint="eastAsia" w:ascii="宋体" w:hAnsi="宋体"/>
          <w:color w:val="auto"/>
          <w:szCs w:val="21"/>
          <w:highlight w:val="none"/>
          <w:u w:val="single"/>
        </w:rPr>
        <w:t>开工前7天内。</w:t>
      </w:r>
      <w:r>
        <w:rPr>
          <w:rFonts w:ascii="宋体" w:hAnsi="宋体"/>
          <w:color w:val="auto"/>
          <w:szCs w:val="21"/>
          <w:highlight w:val="none"/>
          <w:u w:val="single"/>
        </w:rPr>
        <w:t xml:space="preserve">  </w:t>
      </w:r>
    </w:p>
    <w:p w14:paraId="6C4290D9">
      <w:pPr>
        <w:spacing w:line="360" w:lineRule="auto"/>
        <w:ind w:firstLine="420" w:firstLineChars="200"/>
        <w:rPr>
          <w:rFonts w:ascii="宋体"/>
          <w:color w:val="auto"/>
          <w:szCs w:val="21"/>
          <w:highlight w:val="none"/>
        </w:rPr>
      </w:pPr>
      <w:r>
        <w:rPr>
          <w:rFonts w:ascii="宋体" w:hAnsi="宋体"/>
          <w:color w:val="auto"/>
          <w:szCs w:val="21"/>
          <w:highlight w:val="none"/>
        </w:rPr>
        <w:t xml:space="preserve">20.6.4  </w:t>
      </w:r>
      <w:r>
        <w:rPr>
          <w:rFonts w:hint="eastAsia" w:ascii="宋体" w:hAnsi="宋体"/>
          <w:color w:val="auto"/>
          <w:szCs w:val="21"/>
          <w:highlight w:val="none"/>
        </w:rPr>
        <w:t>保险金不足的补偿</w:t>
      </w:r>
    </w:p>
    <w:p w14:paraId="6B0B17B3">
      <w:pPr>
        <w:spacing w:line="360" w:lineRule="auto"/>
        <w:ind w:firstLine="420" w:firstLineChars="200"/>
        <w:rPr>
          <w:rFonts w:ascii="宋体"/>
          <w:color w:val="auto"/>
          <w:szCs w:val="21"/>
          <w:highlight w:val="none"/>
          <w:u w:val="single"/>
        </w:rPr>
      </w:pPr>
      <w:r>
        <w:rPr>
          <w:rFonts w:hint="eastAsia" w:ascii="宋体" w:hAnsi="宋体"/>
          <w:color w:val="auto"/>
          <w:szCs w:val="21"/>
          <w:highlight w:val="none"/>
        </w:rPr>
        <w:t>保险金不足以补偿损失时，承包人和发包人负责补偿的责任分摊：</w:t>
      </w:r>
      <w:r>
        <w:rPr>
          <w:rFonts w:ascii="宋体" w:hAnsi="宋体"/>
          <w:color w:val="auto"/>
          <w:szCs w:val="21"/>
          <w:highlight w:val="none"/>
          <w:u w:val="single"/>
        </w:rPr>
        <w:t xml:space="preserve">   </w:t>
      </w:r>
      <w:r>
        <w:rPr>
          <w:rFonts w:hint="eastAsia" w:ascii="宋体" w:hAnsi="宋体"/>
          <w:color w:val="auto"/>
          <w:szCs w:val="21"/>
          <w:highlight w:val="none"/>
          <w:u w:val="single"/>
        </w:rPr>
        <w:t>按责任划分。</w:t>
      </w:r>
      <w:r>
        <w:rPr>
          <w:rFonts w:ascii="宋体" w:hAnsi="宋体"/>
          <w:color w:val="auto"/>
          <w:szCs w:val="21"/>
          <w:highlight w:val="none"/>
          <w:u w:val="single"/>
        </w:rPr>
        <w:t xml:space="preserve">  </w:t>
      </w:r>
    </w:p>
    <w:p w14:paraId="62316605">
      <w:pPr>
        <w:keepNext/>
        <w:keepLines/>
        <w:spacing w:before="120" w:beforeLines="50" w:after="120" w:afterLines="50" w:line="360" w:lineRule="auto"/>
        <w:outlineLvl w:val="1"/>
        <w:rPr>
          <w:rFonts w:ascii="宋体" w:hAnsi="宋体" w:cs="宋体"/>
          <w:color w:val="auto"/>
          <w:sz w:val="28"/>
          <w:szCs w:val="20"/>
          <w:highlight w:val="none"/>
        </w:rPr>
      </w:pPr>
      <w:bookmarkStart w:id="2059" w:name="_Toc490331738"/>
      <w:bookmarkStart w:id="2060" w:name="_Toc19876"/>
      <w:bookmarkStart w:id="2061" w:name="_Toc489280253"/>
      <w:bookmarkStart w:id="2062" w:name="_Toc497214116"/>
      <w:bookmarkStart w:id="2063" w:name="_Toc13002"/>
      <w:bookmarkStart w:id="2064" w:name="_Toc486580447"/>
      <w:bookmarkStart w:id="2065" w:name="_Toc485323221"/>
      <w:r>
        <w:rPr>
          <w:rFonts w:ascii="宋体" w:hAnsi="宋体" w:cs="宋体"/>
          <w:color w:val="auto"/>
          <w:sz w:val="28"/>
          <w:szCs w:val="20"/>
          <w:highlight w:val="none"/>
        </w:rPr>
        <w:t>21.</w:t>
      </w:r>
      <w:r>
        <w:rPr>
          <w:rFonts w:hint="eastAsia" w:ascii="宋体" w:hAnsi="宋体" w:cs="宋体"/>
          <w:color w:val="auto"/>
          <w:sz w:val="28"/>
          <w:szCs w:val="20"/>
          <w:highlight w:val="none"/>
        </w:rPr>
        <w:t>不可抗力</w:t>
      </w:r>
      <w:bookmarkEnd w:id="2059"/>
      <w:bookmarkEnd w:id="2060"/>
      <w:bookmarkEnd w:id="2061"/>
      <w:bookmarkEnd w:id="2062"/>
      <w:bookmarkEnd w:id="2063"/>
      <w:bookmarkEnd w:id="2064"/>
      <w:bookmarkEnd w:id="2065"/>
    </w:p>
    <w:p w14:paraId="52302474">
      <w:pPr>
        <w:keepNext/>
        <w:keepLines/>
        <w:spacing w:before="120" w:beforeLines="50" w:after="120" w:afterLines="50" w:line="360" w:lineRule="auto"/>
        <w:outlineLvl w:val="2"/>
        <w:rPr>
          <w:rFonts w:ascii="宋体" w:hAnsi="宋体"/>
          <w:color w:val="auto"/>
          <w:kern w:val="0"/>
          <w:sz w:val="24"/>
          <w:szCs w:val="20"/>
          <w:highlight w:val="none"/>
        </w:rPr>
      </w:pPr>
      <w:bookmarkStart w:id="2066" w:name="_Toc9001"/>
      <w:bookmarkStart w:id="2067" w:name="_Toc486580448"/>
      <w:bookmarkStart w:id="2068" w:name="_Toc490331739"/>
      <w:bookmarkStart w:id="2069" w:name="_Toc485323222"/>
      <w:bookmarkStart w:id="2070" w:name="_Toc497214117"/>
      <w:bookmarkStart w:id="2071" w:name="_Toc489280254"/>
      <w:bookmarkStart w:id="2072" w:name="_Toc6084"/>
      <w:r>
        <w:rPr>
          <w:rFonts w:ascii="宋体" w:hAnsi="宋体"/>
          <w:color w:val="auto"/>
          <w:kern w:val="0"/>
          <w:sz w:val="24"/>
          <w:szCs w:val="20"/>
          <w:highlight w:val="none"/>
        </w:rPr>
        <w:t xml:space="preserve">21.1  </w:t>
      </w:r>
      <w:r>
        <w:rPr>
          <w:rFonts w:hint="eastAsia" w:ascii="宋体" w:hAnsi="宋体"/>
          <w:color w:val="auto"/>
          <w:kern w:val="0"/>
          <w:sz w:val="24"/>
          <w:szCs w:val="20"/>
          <w:highlight w:val="none"/>
        </w:rPr>
        <w:t>不可抗力的确认</w:t>
      </w:r>
      <w:bookmarkEnd w:id="2066"/>
      <w:bookmarkEnd w:id="2067"/>
      <w:bookmarkEnd w:id="2068"/>
      <w:bookmarkEnd w:id="2069"/>
      <w:bookmarkEnd w:id="2070"/>
      <w:bookmarkEnd w:id="2071"/>
      <w:bookmarkEnd w:id="2072"/>
    </w:p>
    <w:p w14:paraId="2C01A1BC">
      <w:pPr>
        <w:spacing w:line="360" w:lineRule="auto"/>
        <w:ind w:firstLine="420" w:firstLineChars="200"/>
        <w:rPr>
          <w:rFonts w:ascii="宋体"/>
          <w:color w:val="auto"/>
          <w:szCs w:val="21"/>
          <w:highlight w:val="none"/>
        </w:rPr>
      </w:pPr>
      <w:r>
        <w:rPr>
          <w:rFonts w:ascii="宋体" w:hAnsi="宋体"/>
          <w:color w:val="auto"/>
          <w:szCs w:val="21"/>
          <w:highlight w:val="none"/>
        </w:rPr>
        <w:t xml:space="preserve">21.1.1  </w:t>
      </w:r>
      <w:r>
        <w:rPr>
          <w:rFonts w:hint="eastAsia" w:ascii="宋体" w:hAnsi="宋体"/>
          <w:color w:val="auto"/>
          <w:szCs w:val="21"/>
          <w:highlight w:val="none"/>
        </w:rPr>
        <w:t>合同条款通用部分第</w:t>
      </w:r>
      <w:r>
        <w:rPr>
          <w:rFonts w:ascii="宋体" w:hAnsi="宋体"/>
          <w:color w:val="auto"/>
          <w:szCs w:val="21"/>
          <w:highlight w:val="none"/>
        </w:rPr>
        <w:t>21.1.1</w:t>
      </w:r>
      <w:r>
        <w:rPr>
          <w:rFonts w:hint="eastAsia" w:ascii="宋体" w:hAnsi="宋体"/>
          <w:color w:val="auto"/>
          <w:szCs w:val="21"/>
          <w:highlight w:val="none"/>
        </w:rPr>
        <w:t>项约定的不可抗力以外的其他情形：</w:t>
      </w:r>
      <w:r>
        <w:rPr>
          <w:rFonts w:ascii="宋体" w:hAnsi="宋体"/>
          <w:color w:val="auto"/>
          <w:szCs w:val="21"/>
          <w:highlight w:val="none"/>
          <w:u w:val="single"/>
        </w:rPr>
        <w:t xml:space="preserve">  /      </w:t>
      </w:r>
    </w:p>
    <w:p w14:paraId="674A600B">
      <w:pPr>
        <w:spacing w:line="360" w:lineRule="auto"/>
        <w:ind w:firstLine="420" w:firstLineChars="200"/>
        <w:rPr>
          <w:rFonts w:ascii="宋体" w:cs="Arial"/>
          <w:color w:val="auto"/>
          <w:highlight w:val="none"/>
        </w:rPr>
      </w:pPr>
      <w:r>
        <w:rPr>
          <w:rFonts w:hint="eastAsia" w:ascii="宋体" w:hAnsi="宋体"/>
          <w:color w:val="auto"/>
          <w:szCs w:val="21"/>
          <w:highlight w:val="none"/>
        </w:rPr>
        <w:t>不可抗力的等级范围约定：</w:t>
      </w:r>
      <w:r>
        <w:rPr>
          <w:rFonts w:ascii="宋体" w:hAnsi="宋体"/>
          <w:color w:val="auto"/>
          <w:szCs w:val="21"/>
          <w:highlight w:val="none"/>
          <w:u w:val="single"/>
        </w:rPr>
        <w:t xml:space="preserve">  </w:t>
      </w:r>
      <w:r>
        <w:rPr>
          <w:rFonts w:hint="eastAsia" w:ascii="宋体" w:hAnsi="宋体"/>
          <w:color w:val="auto"/>
          <w:szCs w:val="21"/>
          <w:highlight w:val="none"/>
          <w:u w:val="single"/>
        </w:rPr>
        <w:t>6级以上地震、12级以上的大风、6小时内降雪量大于15mm及以上降雪，24小时内降水量为300mm以上的暴雨等</w:t>
      </w:r>
      <w:r>
        <w:rPr>
          <w:rFonts w:ascii="宋体" w:hAnsi="宋体"/>
          <w:color w:val="auto"/>
          <w:szCs w:val="21"/>
          <w:highlight w:val="none"/>
          <w:u w:val="single"/>
        </w:rPr>
        <w:t>国家相关规定。</w:t>
      </w:r>
      <w:r>
        <w:rPr>
          <w:rFonts w:ascii="宋体" w:hAnsi="宋体" w:cs="Arial"/>
          <w:color w:val="auto"/>
          <w:highlight w:val="none"/>
          <w:u w:val="single"/>
        </w:rPr>
        <w:t xml:space="preserve">                </w:t>
      </w:r>
    </w:p>
    <w:p w14:paraId="4BCCA3EA">
      <w:pPr>
        <w:keepNext/>
        <w:keepLines/>
        <w:spacing w:before="120" w:beforeLines="50" w:after="120" w:afterLines="50" w:line="360" w:lineRule="auto"/>
        <w:outlineLvl w:val="1"/>
        <w:rPr>
          <w:rFonts w:ascii="宋体" w:hAnsi="宋体" w:cs="宋体"/>
          <w:color w:val="auto"/>
          <w:sz w:val="28"/>
          <w:szCs w:val="20"/>
          <w:highlight w:val="none"/>
        </w:rPr>
      </w:pPr>
      <w:bookmarkStart w:id="2073" w:name="_Toc486580450"/>
      <w:bookmarkStart w:id="2074" w:name="_Toc489280256"/>
      <w:bookmarkStart w:id="2075" w:name="_Toc485323224"/>
      <w:bookmarkStart w:id="2076" w:name="_Toc497214118"/>
      <w:bookmarkStart w:id="2077" w:name="_Toc16155"/>
      <w:bookmarkStart w:id="2078" w:name="_Toc8823"/>
      <w:bookmarkStart w:id="2079" w:name="_Toc490331741"/>
      <w:r>
        <w:rPr>
          <w:rFonts w:ascii="宋体" w:hAnsi="宋体" w:cs="宋体"/>
          <w:color w:val="auto"/>
          <w:sz w:val="28"/>
          <w:szCs w:val="20"/>
          <w:highlight w:val="none"/>
        </w:rPr>
        <w:t>24.</w:t>
      </w:r>
      <w:r>
        <w:rPr>
          <w:rFonts w:hint="eastAsia" w:ascii="宋体" w:hAnsi="宋体" w:cs="宋体"/>
          <w:color w:val="auto"/>
          <w:sz w:val="28"/>
          <w:szCs w:val="20"/>
          <w:highlight w:val="none"/>
        </w:rPr>
        <w:t>争议的解决</w:t>
      </w:r>
      <w:bookmarkEnd w:id="2073"/>
      <w:bookmarkEnd w:id="2074"/>
      <w:bookmarkEnd w:id="2075"/>
      <w:bookmarkEnd w:id="2076"/>
      <w:bookmarkEnd w:id="2077"/>
      <w:bookmarkEnd w:id="2078"/>
      <w:bookmarkEnd w:id="2079"/>
    </w:p>
    <w:p w14:paraId="6B013229">
      <w:pPr>
        <w:keepNext/>
        <w:keepLines/>
        <w:spacing w:before="120" w:beforeLines="50" w:after="120" w:afterLines="50" w:line="360" w:lineRule="auto"/>
        <w:outlineLvl w:val="2"/>
        <w:rPr>
          <w:rFonts w:ascii="宋体" w:hAnsi="宋体"/>
          <w:color w:val="auto"/>
          <w:kern w:val="0"/>
          <w:sz w:val="24"/>
          <w:szCs w:val="20"/>
          <w:highlight w:val="none"/>
        </w:rPr>
      </w:pPr>
      <w:bookmarkStart w:id="2080" w:name="_Toc21283"/>
      <w:bookmarkStart w:id="2081" w:name="_Toc486580451"/>
      <w:bookmarkStart w:id="2082" w:name="_Toc485323225"/>
      <w:bookmarkStart w:id="2083" w:name="_Toc490331742"/>
      <w:bookmarkStart w:id="2084" w:name="_Toc2230"/>
      <w:bookmarkStart w:id="2085" w:name="_Toc497214119"/>
      <w:bookmarkStart w:id="2086" w:name="_Toc489280257"/>
      <w:r>
        <w:rPr>
          <w:rFonts w:ascii="宋体" w:hAnsi="宋体"/>
          <w:color w:val="auto"/>
          <w:kern w:val="0"/>
          <w:sz w:val="24"/>
          <w:szCs w:val="20"/>
          <w:highlight w:val="none"/>
        </w:rPr>
        <w:t xml:space="preserve">24.1  </w:t>
      </w:r>
      <w:r>
        <w:rPr>
          <w:rFonts w:hint="eastAsia" w:ascii="宋体" w:hAnsi="宋体"/>
          <w:color w:val="auto"/>
          <w:kern w:val="0"/>
          <w:sz w:val="24"/>
          <w:szCs w:val="20"/>
          <w:highlight w:val="none"/>
        </w:rPr>
        <w:t>争议的解决方式</w:t>
      </w:r>
      <w:bookmarkEnd w:id="2080"/>
      <w:bookmarkEnd w:id="2081"/>
      <w:bookmarkEnd w:id="2082"/>
      <w:bookmarkEnd w:id="2083"/>
      <w:bookmarkEnd w:id="2084"/>
      <w:bookmarkEnd w:id="2085"/>
      <w:bookmarkEnd w:id="2086"/>
    </w:p>
    <w:p w14:paraId="583955C0">
      <w:pPr>
        <w:spacing w:line="360" w:lineRule="auto"/>
        <w:ind w:firstLine="420" w:firstLineChars="200"/>
        <w:rPr>
          <w:rFonts w:ascii="宋体"/>
          <w:color w:val="auto"/>
          <w:szCs w:val="21"/>
          <w:highlight w:val="none"/>
        </w:rPr>
      </w:pPr>
      <w:r>
        <w:rPr>
          <w:rFonts w:hint="eastAsia" w:ascii="宋体" w:hAnsi="宋体"/>
          <w:color w:val="auto"/>
          <w:szCs w:val="21"/>
          <w:highlight w:val="none"/>
        </w:rPr>
        <w:t>因本合同引起的或与本合同有关的任何争议，合同双方友好协商不成、不愿提请争议组评审或者不愿接受争议评审组意见的，选择下列第</w:t>
      </w:r>
      <w:r>
        <w:rPr>
          <w:rFonts w:ascii="宋体" w:hAnsi="宋体"/>
          <w:color w:val="auto"/>
          <w:szCs w:val="21"/>
          <w:highlight w:val="none"/>
          <w:u w:val="single"/>
        </w:rPr>
        <w:t xml:space="preserve">  </w:t>
      </w:r>
      <w:r>
        <w:rPr>
          <w:rFonts w:hint="eastAsia" w:ascii="宋体" w:hAnsi="宋体"/>
          <w:color w:val="auto"/>
          <w:szCs w:val="21"/>
          <w:highlight w:val="none"/>
          <w:u w:val="single"/>
        </w:rPr>
        <w:t>贰</w:t>
      </w:r>
      <w:r>
        <w:rPr>
          <w:rFonts w:ascii="宋体" w:hAnsi="宋体"/>
          <w:color w:val="auto"/>
          <w:szCs w:val="21"/>
          <w:highlight w:val="none"/>
          <w:u w:val="single"/>
        </w:rPr>
        <w:t xml:space="preserve">  </w:t>
      </w:r>
      <w:r>
        <w:rPr>
          <w:rFonts w:hint="eastAsia" w:ascii="宋体" w:hAnsi="宋体"/>
          <w:color w:val="auto"/>
          <w:szCs w:val="21"/>
          <w:highlight w:val="none"/>
        </w:rPr>
        <w:t>种方式解决：</w:t>
      </w:r>
    </w:p>
    <w:p w14:paraId="406B2B5F">
      <w:pPr>
        <w:spacing w:line="360" w:lineRule="auto"/>
        <w:ind w:firstLine="420" w:firstLineChars="200"/>
        <w:rPr>
          <w:rFonts w:ascii="宋体"/>
          <w:color w:val="auto"/>
          <w:highlight w:val="none"/>
        </w:rPr>
      </w:pPr>
      <w:r>
        <w:rPr>
          <w:rFonts w:hint="eastAsia" w:ascii="宋体" w:hAnsi="宋体"/>
          <w:color w:val="auto"/>
          <w:highlight w:val="none"/>
          <w:u w:val="single"/>
        </w:rPr>
        <w:t>（壹）</w:t>
      </w:r>
      <w:r>
        <w:rPr>
          <w:rFonts w:hint="eastAsia" w:ascii="宋体" w:hAnsi="宋体"/>
          <w:color w:val="auto"/>
          <w:highlight w:val="none"/>
        </w:rPr>
        <w:t>提请</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仲裁委员会按照该会仲裁规则进行仲裁，仲裁裁决是终局的，对合同双方均有约束力。</w:t>
      </w:r>
    </w:p>
    <w:p w14:paraId="38D421B3">
      <w:pPr>
        <w:spacing w:line="360" w:lineRule="auto"/>
        <w:ind w:firstLine="420" w:firstLineChars="200"/>
        <w:rPr>
          <w:rFonts w:ascii="宋体"/>
          <w:color w:val="auto"/>
          <w:szCs w:val="21"/>
          <w:highlight w:val="none"/>
        </w:rPr>
      </w:pPr>
      <w:r>
        <w:rPr>
          <w:rFonts w:hint="eastAsia" w:ascii="宋体" w:hAnsi="宋体"/>
          <w:color w:val="auto"/>
          <w:szCs w:val="21"/>
          <w:highlight w:val="none"/>
          <w:u w:val="single"/>
        </w:rPr>
        <w:t>（贰）</w:t>
      </w:r>
      <w:r>
        <w:rPr>
          <w:rFonts w:hint="eastAsia" w:ascii="宋体" w:hAnsi="宋体"/>
          <w:color w:val="auto"/>
          <w:szCs w:val="21"/>
          <w:highlight w:val="none"/>
        </w:rPr>
        <w:t>向</w:t>
      </w:r>
      <w:r>
        <w:rPr>
          <w:rFonts w:hint="eastAsia" w:ascii="宋体" w:hAnsi="宋体"/>
          <w:color w:val="auto"/>
          <w:szCs w:val="21"/>
          <w:highlight w:val="none"/>
          <w:lang w:val="en-US" w:eastAsia="zh-CN"/>
        </w:rPr>
        <w:t>甲方所在地</w:t>
      </w:r>
      <w:r>
        <w:rPr>
          <w:rFonts w:hint="eastAsia" w:ascii="宋体" w:hAnsi="宋体"/>
          <w:color w:val="auto"/>
          <w:szCs w:val="21"/>
          <w:highlight w:val="none"/>
        </w:rPr>
        <w:t>有管辖权的人民法院提起诉讼。</w:t>
      </w:r>
    </w:p>
    <w:p w14:paraId="7486DE29">
      <w:pPr>
        <w:keepNext/>
        <w:keepLines/>
        <w:spacing w:before="120" w:beforeLines="50" w:after="120" w:afterLines="50" w:line="360" w:lineRule="auto"/>
        <w:outlineLvl w:val="2"/>
        <w:rPr>
          <w:rFonts w:ascii="宋体" w:hAnsi="宋体"/>
          <w:color w:val="auto"/>
          <w:kern w:val="0"/>
          <w:sz w:val="24"/>
          <w:szCs w:val="20"/>
          <w:highlight w:val="none"/>
        </w:rPr>
      </w:pPr>
      <w:bookmarkStart w:id="2087" w:name="_Toc490331743"/>
      <w:bookmarkStart w:id="2088" w:name="_Toc497214120"/>
      <w:bookmarkStart w:id="2089" w:name="_Toc5569"/>
      <w:bookmarkStart w:id="2090" w:name="_Toc15044"/>
      <w:bookmarkStart w:id="2091" w:name="_Toc485323226"/>
      <w:bookmarkStart w:id="2092" w:name="_Toc486580452"/>
      <w:bookmarkStart w:id="2093" w:name="_Toc489280258"/>
      <w:r>
        <w:rPr>
          <w:rFonts w:ascii="宋体" w:hAnsi="宋体"/>
          <w:color w:val="auto"/>
          <w:kern w:val="0"/>
          <w:sz w:val="24"/>
          <w:szCs w:val="20"/>
          <w:highlight w:val="none"/>
        </w:rPr>
        <w:t xml:space="preserve">24.3  </w:t>
      </w:r>
      <w:r>
        <w:rPr>
          <w:rFonts w:hint="eastAsia" w:ascii="宋体" w:hAnsi="宋体"/>
          <w:color w:val="auto"/>
          <w:kern w:val="0"/>
          <w:sz w:val="24"/>
          <w:szCs w:val="20"/>
          <w:highlight w:val="none"/>
        </w:rPr>
        <w:t>争议评审</w:t>
      </w:r>
      <w:bookmarkEnd w:id="2087"/>
      <w:bookmarkEnd w:id="2088"/>
      <w:bookmarkEnd w:id="2089"/>
      <w:bookmarkEnd w:id="2090"/>
      <w:bookmarkEnd w:id="2091"/>
      <w:bookmarkEnd w:id="2092"/>
      <w:bookmarkEnd w:id="2093"/>
    </w:p>
    <w:p w14:paraId="36AAAFBD">
      <w:pPr>
        <w:spacing w:line="360" w:lineRule="auto"/>
        <w:ind w:firstLine="420" w:firstLineChars="200"/>
        <w:rPr>
          <w:rFonts w:ascii="宋体"/>
          <w:color w:val="auto"/>
          <w:szCs w:val="21"/>
          <w:highlight w:val="none"/>
        </w:rPr>
      </w:pPr>
      <w:r>
        <w:rPr>
          <w:rFonts w:ascii="宋体" w:hAnsi="宋体"/>
          <w:color w:val="auto"/>
          <w:szCs w:val="21"/>
          <w:highlight w:val="none"/>
        </w:rPr>
        <w:t xml:space="preserve">24.3.4  </w:t>
      </w:r>
      <w:r>
        <w:rPr>
          <w:rFonts w:hint="eastAsia" w:ascii="宋体" w:hAnsi="宋体"/>
          <w:color w:val="auto"/>
          <w:szCs w:val="21"/>
          <w:highlight w:val="none"/>
        </w:rPr>
        <w:t>争议评审组邀请合同双方代表人和有关人员举行调查会的期限：</w:t>
      </w:r>
      <w:r>
        <w:rPr>
          <w:rFonts w:ascii="宋体" w:hAnsi="宋体"/>
          <w:color w:val="auto"/>
          <w:szCs w:val="21"/>
          <w:highlight w:val="none"/>
          <w:u w:val="single"/>
        </w:rPr>
        <w:t xml:space="preserve">  /    </w:t>
      </w:r>
    </w:p>
    <w:p w14:paraId="118D8647">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 xml:space="preserve">24.3.5  </w:t>
      </w:r>
      <w:r>
        <w:rPr>
          <w:rFonts w:hint="eastAsia" w:ascii="宋体" w:hAnsi="宋体"/>
          <w:color w:val="auto"/>
          <w:szCs w:val="21"/>
          <w:highlight w:val="none"/>
        </w:rPr>
        <w:t>争议评审组在调查会后作出争议评审意见的期限：</w:t>
      </w:r>
      <w:r>
        <w:rPr>
          <w:rFonts w:ascii="宋体" w:hAnsi="宋体"/>
          <w:color w:val="auto"/>
          <w:szCs w:val="21"/>
          <w:highlight w:val="none"/>
          <w:u w:val="single"/>
        </w:rPr>
        <w:t xml:space="preserve">    /              </w:t>
      </w:r>
      <w:bookmarkStart w:id="2094" w:name="_Toc489280260"/>
      <w:bookmarkStart w:id="2095" w:name="_Toc480303474"/>
      <w:bookmarkStart w:id="2096" w:name="_Toc486580454"/>
      <w:bookmarkStart w:id="2097" w:name="_Toc477964603"/>
      <w:bookmarkStart w:id="2098" w:name="_Toc485323228"/>
      <w:bookmarkStart w:id="2099" w:name="_Toc497456962"/>
      <w:bookmarkStart w:id="2100" w:name="_Toc12985"/>
    </w:p>
    <w:p w14:paraId="2E4720EE">
      <w:pPr>
        <w:spacing w:line="360" w:lineRule="auto"/>
        <w:ind w:firstLine="420" w:firstLineChars="200"/>
        <w:rPr>
          <w:rFonts w:ascii="宋体" w:hAnsi="宋体"/>
          <w:color w:val="auto"/>
          <w:szCs w:val="21"/>
          <w:highlight w:val="none"/>
          <w:u w:val="single"/>
        </w:rPr>
      </w:pPr>
    </w:p>
    <w:p w14:paraId="28DD8B6B">
      <w:pPr>
        <w:spacing w:line="360" w:lineRule="auto"/>
        <w:ind w:firstLine="420" w:firstLineChars="200"/>
        <w:rPr>
          <w:rFonts w:ascii="宋体" w:hAnsi="宋体"/>
          <w:color w:val="auto"/>
          <w:szCs w:val="21"/>
          <w:highlight w:val="none"/>
          <w:u w:val="single"/>
        </w:rPr>
      </w:pPr>
    </w:p>
    <w:p w14:paraId="7E8B6C2F">
      <w:pPr>
        <w:spacing w:line="360" w:lineRule="auto"/>
        <w:ind w:firstLine="420" w:firstLineChars="200"/>
        <w:rPr>
          <w:rFonts w:ascii="宋体" w:hAnsi="宋体"/>
          <w:color w:val="auto"/>
          <w:szCs w:val="21"/>
          <w:highlight w:val="none"/>
          <w:u w:val="single"/>
        </w:rPr>
      </w:pPr>
    </w:p>
    <w:p w14:paraId="6282977B">
      <w:pPr>
        <w:spacing w:line="360" w:lineRule="auto"/>
        <w:ind w:firstLine="420" w:firstLineChars="200"/>
        <w:rPr>
          <w:rFonts w:ascii="宋体" w:hAnsi="宋体"/>
          <w:color w:val="auto"/>
          <w:szCs w:val="21"/>
          <w:highlight w:val="none"/>
          <w:u w:val="single"/>
        </w:rPr>
      </w:pPr>
    </w:p>
    <w:p w14:paraId="656F8497">
      <w:pPr>
        <w:spacing w:line="360" w:lineRule="auto"/>
        <w:ind w:firstLine="420" w:firstLineChars="200"/>
        <w:rPr>
          <w:rFonts w:ascii="宋体" w:hAnsi="宋体"/>
          <w:color w:val="auto"/>
          <w:szCs w:val="21"/>
          <w:highlight w:val="none"/>
          <w:u w:val="single"/>
        </w:rPr>
      </w:pPr>
    </w:p>
    <w:p w14:paraId="662FDCD9">
      <w:pPr>
        <w:spacing w:line="360" w:lineRule="auto"/>
        <w:ind w:firstLine="420" w:firstLineChars="200"/>
        <w:rPr>
          <w:rFonts w:ascii="宋体" w:hAnsi="宋体"/>
          <w:color w:val="auto"/>
          <w:szCs w:val="21"/>
          <w:highlight w:val="none"/>
          <w:u w:val="single"/>
        </w:rPr>
      </w:pPr>
    </w:p>
    <w:p w14:paraId="7ABEB09B">
      <w:pPr>
        <w:pStyle w:val="17"/>
        <w:rPr>
          <w:rFonts w:ascii="宋体" w:hAnsi="宋体"/>
          <w:color w:val="auto"/>
          <w:szCs w:val="21"/>
          <w:highlight w:val="none"/>
          <w:u w:val="single"/>
        </w:rPr>
      </w:pPr>
    </w:p>
    <w:p w14:paraId="49950ED8">
      <w:pPr>
        <w:pStyle w:val="17"/>
        <w:rPr>
          <w:rFonts w:ascii="宋体" w:hAnsi="宋体"/>
          <w:color w:val="auto"/>
          <w:szCs w:val="21"/>
          <w:highlight w:val="none"/>
          <w:u w:val="single"/>
        </w:rPr>
      </w:pPr>
    </w:p>
    <w:p w14:paraId="4CF30F2F">
      <w:pPr>
        <w:pStyle w:val="17"/>
        <w:rPr>
          <w:rFonts w:ascii="宋体" w:hAnsi="宋体"/>
          <w:color w:val="auto"/>
          <w:szCs w:val="21"/>
          <w:highlight w:val="none"/>
          <w:u w:val="single"/>
        </w:rPr>
      </w:pPr>
    </w:p>
    <w:p w14:paraId="242B57A3">
      <w:pPr>
        <w:pStyle w:val="17"/>
        <w:rPr>
          <w:rFonts w:ascii="宋体" w:hAnsi="宋体"/>
          <w:color w:val="auto"/>
          <w:szCs w:val="21"/>
          <w:highlight w:val="none"/>
          <w:u w:val="single"/>
        </w:rPr>
      </w:pPr>
    </w:p>
    <w:p w14:paraId="23C88433">
      <w:pPr>
        <w:pStyle w:val="17"/>
        <w:rPr>
          <w:rFonts w:ascii="宋体" w:hAnsi="宋体"/>
          <w:color w:val="auto"/>
          <w:szCs w:val="21"/>
          <w:highlight w:val="none"/>
          <w:u w:val="single"/>
        </w:rPr>
      </w:pPr>
    </w:p>
    <w:p w14:paraId="31F4CBC0">
      <w:pPr>
        <w:pStyle w:val="17"/>
        <w:rPr>
          <w:rFonts w:ascii="宋体" w:hAnsi="宋体"/>
          <w:color w:val="auto"/>
          <w:szCs w:val="21"/>
          <w:highlight w:val="none"/>
          <w:u w:val="single"/>
        </w:rPr>
      </w:pPr>
    </w:p>
    <w:p w14:paraId="4DCEF1B3">
      <w:pPr>
        <w:pStyle w:val="17"/>
        <w:rPr>
          <w:rFonts w:ascii="宋体" w:hAnsi="宋体"/>
          <w:color w:val="auto"/>
          <w:szCs w:val="21"/>
          <w:highlight w:val="none"/>
          <w:u w:val="single"/>
        </w:rPr>
      </w:pPr>
    </w:p>
    <w:p w14:paraId="3D739CDC">
      <w:pPr>
        <w:pStyle w:val="17"/>
        <w:rPr>
          <w:rFonts w:ascii="宋体" w:hAnsi="宋体"/>
          <w:color w:val="auto"/>
          <w:szCs w:val="21"/>
          <w:highlight w:val="none"/>
          <w:u w:val="single"/>
        </w:rPr>
      </w:pPr>
    </w:p>
    <w:p w14:paraId="7CBC6E57">
      <w:pPr>
        <w:pStyle w:val="17"/>
        <w:rPr>
          <w:rFonts w:ascii="宋体" w:hAnsi="宋体"/>
          <w:color w:val="auto"/>
          <w:szCs w:val="21"/>
          <w:highlight w:val="none"/>
          <w:u w:val="single"/>
        </w:rPr>
      </w:pPr>
    </w:p>
    <w:p w14:paraId="31973072">
      <w:pPr>
        <w:pStyle w:val="17"/>
        <w:rPr>
          <w:rFonts w:ascii="宋体" w:hAnsi="宋体"/>
          <w:color w:val="auto"/>
          <w:szCs w:val="21"/>
          <w:highlight w:val="none"/>
          <w:u w:val="single"/>
        </w:rPr>
      </w:pPr>
    </w:p>
    <w:p w14:paraId="5BDC24EF">
      <w:pPr>
        <w:spacing w:line="360" w:lineRule="auto"/>
        <w:ind w:firstLine="420" w:firstLineChars="200"/>
        <w:rPr>
          <w:rFonts w:ascii="宋体" w:hAnsi="宋体"/>
          <w:color w:val="auto"/>
          <w:szCs w:val="21"/>
          <w:highlight w:val="none"/>
          <w:u w:val="single"/>
        </w:rPr>
      </w:pPr>
    </w:p>
    <w:p w14:paraId="260C3BCD">
      <w:pPr>
        <w:spacing w:line="360" w:lineRule="auto"/>
        <w:ind w:firstLine="420" w:firstLineChars="200"/>
        <w:rPr>
          <w:rFonts w:ascii="宋体" w:hAnsi="宋体"/>
          <w:color w:val="auto"/>
          <w:szCs w:val="21"/>
          <w:highlight w:val="none"/>
          <w:u w:val="single"/>
        </w:rPr>
      </w:pPr>
    </w:p>
    <w:p w14:paraId="5772AC1B">
      <w:pPr>
        <w:pStyle w:val="251"/>
        <w:spacing w:before="120" w:after="120"/>
        <w:outlineLvl w:val="1"/>
        <w:rPr>
          <w:color w:val="auto"/>
          <w:highlight w:val="none"/>
        </w:rPr>
      </w:pPr>
      <w:r>
        <w:rPr>
          <w:rFonts w:hint="eastAsia"/>
          <w:color w:val="auto"/>
          <w:highlight w:val="none"/>
        </w:rPr>
        <w:t>附件二：承包人承揽工程项目一览表</w:t>
      </w:r>
    </w:p>
    <w:p w14:paraId="31FD2D53">
      <w:pPr>
        <w:spacing w:line="360" w:lineRule="auto"/>
        <w:jc w:val="center"/>
        <w:rPr>
          <w:rFonts w:ascii="宋体"/>
          <w:b/>
          <w:color w:val="auto"/>
          <w:sz w:val="28"/>
          <w:szCs w:val="28"/>
          <w:highlight w:val="none"/>
        </w:rPr>
      </w:pPr>
      <w:r>
        <w:rPr>
          <w:rFonts w:hint="eastAsia" w:ascii="宋体" w:hAnsi="宋体"/>
          <w:b/>
          <w:color w:val="auto"/>
          <w:sz w:val="28"/>
          <w:szCs w:val="28"/>
          <w:highlight w:val="none"/>
        </w:rPr>
        <w:t>承包人承揽工程项目一览表</w:t>
      </w:r>
    </w:p>
    <w:tbl>
      <w:tblPr>
        <w:tblStyle w:val="42"/>
        <w:tblW w:w="8766"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6"/>
        <w:gridCol w:w="400"/>
        <w:gridCol w:w="850"/>
        <w:gridCol w:w="649"/>
        <w:gridCol w:w="444"/>
        <w:gridCol w:w="640"/>
        <w:gridCol w:w="724"/>
        <w:gridCol w:w="1676"/>
        <w:gridCol w:w="894"/>
        <w:gridCol w:w="913"/>
      </w:tblGrid>
      <w:tr w14:paraId="08894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6" w:type="dxa"/>
            <w:vAlign w:val="center"/>
          </w:tcPr>
          <w:p w14:paraId="68E33327">
            <w:pPr>
              <w:spacing w:line="540" w:lineRule="exact"/>
              <w:jc w:val="center"/>
              <w:rPr>
                <w:rFonts w:ascii="宋体"/>
                <w:color w:val="auto"/>
                <w:spacing w:val="12"/>
                <w:highlight w:val="none"/>
              </w:rPr>
            </w:pPr>
            <w:r>
              <w:rPr>
                <w:rFonts w:hint="eastAsia" w:ascii="宋体" w:hAnsi="宋体"/>
                <w:color w:val="auto"/>
                <w:spacing w:val="12"/>
                <w:highlight w:val="none"/>
              </w:rPr>
              <w:t>单位工程</w:t>
            </w:r>
          </w:p>
          <w:p w14:paraId="6BAC9A28">
            <w:pPr>
              <w:spacing w:line="540" w:lineRule="exact"/>
              <w:jc w:val="center"/>
              <w:rPr>
                <w:rFonts w:ascii="宋体"/>
                <w:color w:val="auto"/>
                <w:spacing w:val="12"/>
                <w:highlight w:val="none"/>
              </w:rPr>
            </w:pPr>
            <w:r>
              <w:rPr>
                <w:rFonts w:hint="eastAsia" w:ascii="宋体" w:hAnsi="宋体"/>
                <w:color w:val="auto"/>
                <w:spacing w:val="12"/>
                <w:highlight w:val="none"/>
              </w:rPr>
              <w:t>名</w:t>
            </w:r>
            <w:r>
              <w:rPr>
                <w:rFonts w:ascii="宋体" w:hAnsi="宋体"/>
                <w:color w:val="auto"/>
                <w:spacing w:val="12"/>
                <w:highlight w:val="none"/>
              </w:rPr>
              <w:t xml:space="preserve">    </w:t>
            </w:r>
            <w:r>
              <w:rPr>
                <w:rFonts w:hint="eastAsia" w:ascii="宋体" w:hAnsi="宋体"/>
                <w:color w:val="auto"/>
                <w:spacing w:val="12"/>
                <w:highlight w:val="none"/>
              </w:rPr>
              <w:t>称</w:t>
            </w:r>
          </w:p>
        </w:tc>
        <w:tc>
          <w:tcPr>
            <w:tcW w:w="400" w:type="dxa"/>
            <w:vAlign w:val="center"/>
          </w:tcPr>
          <w:p w14:paraId="22321404">
            <w:pPr>
              <w:spacing w:line="540" w:lineRule="exact"/>
              <w:jc w:val="center"/>
              <w:rPr>
                <w:rFonts w:ascii="宋体"/>
                <w:color w:val="auto"/>
                <w:spacing w:val="12"/>
                <w:highlight w:val="none"/>
              </w:rPr>
            </w:pPr>
            <w:r>
              <w:rPr>
                <w:rFonts w:hint="eastAsia" w:ascii="宋体" w:hAnsi="宋体"/>
                <w:color w:val="auto"/>
                <w:spacing w:val="12"/>
                <w:highlight w:val="none"/>
              </w:rPr>
              <w:t>建设</w:t>
            </w:r>
          </w:p>
          <w:p w14:paraId="1D2CF0CC">
            <w:pPr>
              <w:spacing w:line="540" w:lineRule="exact"/>
              <w:jc w:val="center"/>
              <w:rPr>
                <w:rFonts w:ascii="宋体"/>
                <w:color w:val="auto"/>
                <w:spacing w:val="12"/>
                <w:highlight w:val="none"/>
              </w:rPr>
            </w:pPr>
            <w:r>
              <w:rPr>
                <w:rFonts w:hint="eastAsia" w:ascii="宋体" w:hAnsi="宋体"/>
                <w:color w:val="auto"/>
                <w:spacing w:val="12"/>
                <w:highlight w:val="none"/>
              </w:rPr>
              <w:t>规模</w:t>
            </w:r>
          </w:p>
        </w:tc>
        <w:tc>
          <w:tcPr>
            <w:tcW w:w="850" w:type="dxa"/>
            <w:vAlign w:val="center"/>
          </w:tcPr>
          <w:p w14:paraId="3483BEDB">
            <w:pPr>
              <w:spacing w:line="540" w:lineRule="exact"/>
              <w:jc w:val="center"/>
              <w:rPr>
                <w:rFonts w:ascii="宋体"/>
                <w:color w:val="auto"/>
                <w:spacing w:val="12"/>
                <w:highlight w:val="none"/>
              </w:rPr>
            </w:pPr>
            <w:r>
              <w:rPr>
                <w:rFonts w:hint="eastAsia" w:ascii="宋体" w:hAnsi="宋体"/>
                <w:color w:val="auto"/>
                <w:spacing w:val="12"/>
                <w:highlight w:val="none"/>
              </w:rPr>
              <w:t>建筑面积</w:t>
            </w:r>
          </w:p>
          <w:p w14:paraId="3EA8FB2E">
            <w:pPr>
              <w:spacing w:line="540" w:lineRule="exact"/>
              <w:jc w:val="center"/>
              <w:rPr>
                <w:rFonts w:ascii="宋体"/>
                <w:color w:val="auto"/>
                <w:spacing w:val="12"/>
                <w:highlight w:val="none"/>
              </w:rPr>
            </w:pPr>
            <w:r>
              <w:rPr>
                <w:rFonts w:ascii="宋体" w:hAnsi="宋体"/>
                <w:color w:val="auto"/>
                <w:spacing w:val="12"/>
                <w:highlight w:val="none"/>
              </w:rPr>
              <w:t>(</w:t>
            </w:r>
            <w:r>
              <w:rPr>
                <w:rFonts w:hint="eastAsia" w:ascii="宋体" w:hAnsi="宋体"/>
                <w:color w:val="auto"/>
                <w:spacing w:val="12"/>
                <w:highlight w:val="none"/>
              </w:rPr>
              <w:t>平方米</w:t>
            </w:r>
            <w:r>
              <w:rPr>
                <w:rFonts w:ascii="宋体" w:hAnsi="宋体"/>
                <w:color w:val="auto"/>
                <w:spacing w:val="12"/>
                <w:highlight w:val="none"/>
              </w:rPr>
              <w:t>)</w:t>
            </w:r>
          </w:p>
        </w:tc>
        <w:tc>
          <w:tcPr>
            <w:tcW w:w="649" w:type="dxa"/>
            <w:vAlign w:val="center"/>
          </w:tcPr>
          <w:p w14:paraId="7735FBDB">
            <w:pPr>
              <w:spacing w:line="540" w:lineRule="exact"/>
              <w:jc w:val="center"/>
              <w:rPr>
                <w:rFonts w:ascii="宋体"/>
                <w:color w:val="auto"/>
                <w:spacing w:val="12"/>
                <w:highlight w:val="none"/>
              </w:rPr>
            </w:pPr>
            <w:r>
              <w:rPr>
                <w:rFonts w:hint="eastAsia" w:ascii="宋体" w:hAnsi="宋体"/>
                <w:color w:val="auto"/>
                <w:spacing w:val="12"/>
                <w:highlight w:val="none"/>
              </w:rPr>
              <w:t>结</w:t>
            </w:r>
          </w:p>
          <w:p w14:paraId="2B779C6B">
            <w:pPr>
              <w:spacing w:line="540" w:lineRule="exact"/>
              <w:jc w:val="center"/>
              <w:rPr>
                <w:rFonts w:ascii="宋体"/>
                <w:color w:val="auto"/>
                <w:spacing w:val="12"/>
                <w:highlight w:val="none"/>
              </w:rPr>
            </w:pPr>
            <w:r>
              <w:rPr>
                <w:rFonts w:hint="eastAsia" w:ascii="宋体" w:hAnsi="宋体"/>
                <w:color w:val="auto"/>
                <w:spacing w:val="12"/>
                <w:highlight w:val="none"/>
              </w:rPr>
              <w:t>构</w:t>
            </w:r>
          </w:p>
        </w:tc>
        <w:tc>
          <w:tcPr>
            <w:tcW w:w="444" w:type="dxa"/>
            <w:vAlign w:val="center"/>
          </w:tcPr>
          <w:p w14:paraId="2405B93C">
            <w:pPr>
              <w:spacing w:line="540" w:lineRule="exact"/>
              <w:jc w:val="center"/>
              <w:rPr>
                <w:rFonts w:ascii="宋体"/>
                <w:color w:val="auto"/>
                <w:spacing w:val="12"/>
                <w:highlight w:val="none"/>
              </w:rPr>
            </w:pPr>
            <w:r>
              <w:rPr>
                <w:rFonts w:hint="eastAsia" w:ascii="宋体" w:hAnsi="宋体"/>
                <w:color w:val="auto"/>
                <w:spacing w:val="12"/>
                <w:highlight w:val="none"/>
              </w:rPr>
              <w:t>层</w:t>
            </w:r>
          </w:p>
          <w:p w14:paraId="12EADAF9">
            <w:pPr>
              <w:spacing w:line="540" w:lineRule="exact"/>
              <w:jc w:val="center"/>
              <w:rPr>
                <w:rFonts w:ascii="宋体"/>
                <w:color w:val="auto"/>
                <w:spacing w:val="12"/>
                <w:highlight w:val="none"/>
              </w:rPr>
            </w:pPr>
            <w:r>
              <w:rPr>
                <w:rFonts w:hint="eastAsia" w:ascii="宋体" w:hAnsi="宋体"/>
                <w:color w:val="auto"/>
                <w:spacing w:val="12"/>
                <w:highlight w:val="none"/>
              </w:rPr>
              <w:t>数</w:t>
            </w:r>
          </w:p>
        </w:tc>
        <w:tc>
          <w:tcPr>
            <w:tcW w:w="640" w:type="dxa"/>
            <w:vAlign w:val="center"/>
          </w:tcPr>
          <w:p w14:paraId="391EC257">
            <w:pPr>
              <w:spacing w:line="540" w:lineRule="exact"/>
              <w:jc w:val="center"/>
              <w:rPr>
                <w:rFonts w:ascii="宋体"/>
                <w:color w:val="auto"/>
                <w:spacing w:val="12"/>
                <w:highlight w:val="none"/>
              </w:rPr>
            </w:pPr>
            <w:r>
              <w:rPr>
                <w:rFonts w:hint="eastAsia" w:ascii="宋体" w:hAnsi="宋体"/>
                <w:color w:val="auto"/>
                <w:spacing w:val="12"/>
                <w:highlight w:val="none"/>
              </w:rPr>
              <w:t>跨度</w:t>
            </w:r>
            <w:r>
              <w:rPr>
                <w:rFonts w:ascii="宋体" w:hAnsi="宋体"/>
                <w:color w:val="auto"/>
                <w:spacing w:val="12"/>
                <w:highlight w:val="none"/>
              </w:rPr>
              <w:t>(</w:t>
            </w:r>
            <w:r>
              <w:rPr>
                <w:rFonts w:hint="eastAsia" w:ascii="宋体" w:hAnsi="宋体"/>
                <w:color w:val="auto"/>
                <w:spacing w:val="12"/>
                <w:highlight w:val="none"/>
              </w:rPr>
              <w:t>米</w:t>
            </w:r>
            <w:r>
              <w:rPr>
                <w:rFonts w:ascii="宋体" w:hAnsi="宋体"/>
                <w:color w:val="auto"/>
                <w:spacing w:val="12"/>
                <w:highlight w:val="none"/>
              </w:rPr>
              <w:t>)</w:t>
            </w:r>
          </w:p>
        </w:tc>
        <w:tc>
          <w:tcPr>
            <w:tcW w:w="724" w:type="dxa"/>
            <w:vAlign w:val="center"/>
          </w:tcPr>
          <w:p w14:paraId="47942AFB">
            <w:pPr>
              <w:spacing w:line="540" w:lineRule="exact"/>
              <w:jc w:val="center"/>
              <w:rPr>
                <w:rFonts w:hint="eastAsia" w:ascii="宋体" w:hAnsi="宋体"/>
                <w:color w:val="auto"/>
                <w:spacing w:val="12"/>
                <w:highlight w:val="none"/>
              </w:rPr>
            </w:pPr>
            <w:r>
              <w:rPr>
                <w:rFonts w:hint="eastAsia" w:ascii="宋体" w:hAnsi="宋体"/>
                <w:color w:val="auto"/>
                <w:spacing w:val="12"/>
                <w:highlight w:val="none"/>
              </w:rPr>
              <w:t>设备</w:t>
            </w:r>
          </w:p>
          <w:p w14:paraId="15711B26">
            <w:pPr>
              <w:spacing w:line="540" w:lineRule="exact"/>
              <w:jc w:val="center"/>
              <w:rPr>
                <w:rFonts w:ascii="宋体"/>
                <w:color w:val="auto"/>
                <w:spacing w:val="12"/>
                <w:highlight w:val="none"/>
              </w:rPr>
            </w:pPr>
            <w:r>
              <w:rPr>
                <w:rFonts w:hint="eastAsia" w:ascii="宋体" w:hAnsi="宋体"/>
                <w:color w:val="auto"/>
                <w:spacing w:val="12"/>
                <w:highlight w:val="none"/>
              </w:rPr>
              <w:t>安装</w:t>
            </w:r>
          </w:p>
          <w:p w14:paraId="365F3A79">
            <w:pPr>
              <w:spacing w:line="540" w:lineRule="exact"/>
              <w:jc w:val="center"/>
              <w:rPr>
                <w:rFonts w:ascii="宋体"/>
                <w:color w:val="auto"/>
                <w:spacing w:val="12"/>
                <w:highlight w:val="none"/>
              </w:rPr>
            </w:pPr>
            <w:r>
              <w:rPr>
                <w:rFonts w:hint="eastAsia" w:ascii="宋体" w:hAnsi="宋体"/>
                <w:color w:val="auto"/>
                <w:spacing w:val="12"/>
                <w:highlight w:val="none"/>
              </w:rPr>
              <w:t>内容</w:t>
            </w:r>
          </w:p>
        </w:tc>
        <w:tc>
          <w:tcPr>
            <w:tcW w:w="1676" w:type="dxa"/>
            <w:vAlign w:val="center"/>
          </w:tcPr>
          <w:p w14:paraId="2C377B37">
            <w:pPr>
              <w:spacing w:line="540" w:lineRule="exact"/>
              <w:jc w:val="center"/>
              <w:rPr>
                <w:rFonts w:hint="eastAsia" w:ascii="宋体" w:hAnsi="宋体"/>
                <w:color w:val="auto"/>
                <w:spacing w:val="12"/>
                <w:highlight w:val="none"/>
              </w:rPr>
            </w:pPr>
            <w:r>
              <w:rPr>
                <w:rFonts w:hint="eastAsia" w:ascii="宋体" w:hAnsi="宋体"/>
                <w:color w:val="auto"/>
                <w:spacing w:val="12"/>
                <w:highlight w:val="none"/>
              </w:rPr>
              <w:t>工程</w:t>
            </w:r>
          </w:p>
          <w:p w14:paraId="79347A71">
            <w:pPr>
              <w:spacing w:line="540" w:lineRule="exact"/>
              <w:jc w:val="center"/>
              <w:rPr>
                <w:rFonts w:ascii="宋体"/>
                <w:color w:val="auto"/>
                <w:spacing w:val="12"/>
                <w:highlight w:val="none"/>
              </w:rPr>
            </w:pPr>
            <w:r>
              <w:rPr>
                <w:rFonts w:hint="eastAsia" w:ascii="宋体" w:hAnsi="宋体"/>
                <w:color w:val="auto"/>
                <w:spacing w:val="12"/>
                <w:highlight w:val="none"/>
              </w:rPr>
              <w:t>造价</w:t>
            </w:r>
          </w:p>
          <w:p w14:paraId="1FA8603D">
            <w:pPr>
              <w:spacing w:line="540" w:lineRule="exact"/>
              <w:jc w:val="center"/>
              <w:rPr>
                <w:rFonts w:ascii="宋体"/>
                <w:color w:val="auto"/>
                <w:spacing w:val="12"/>
                <w:highlight w:val="none"/>
              </w:rPr>
            </w:pPr>
            <w:r>
              <w:rPr>
                <w:rFonts w:ascii="宋体" w:hAnsi="宋体"/>
                <w:color w:val="auto"/>
                <w:spacing w:val="12"/>
                <w:highlight w:val="none"/>
              </w:rPr>
              <w:t>(</w:t>
            </w:r>
            <w:r>
              <w:rPr>
                <w:rFonts w:hint="eastAsia" w:ascii="宋体" w:hAnsi="宋体"/>
                <w:color w:val="auto"/>
                <w:spacing w:val="12"/>
                <w:highlight w:val="none"/>
              </w:rPr>
              <w:t>元</w:t>
            </w:r>
            <w:r>
              <w:rPr>
                <w:rFonts w:ascii="宋体" w:hAnsi="宋体"/>
                <w:color w:val="auto"/>
                <w:spacing w:val="12"/>
                <w:highlight w:val="none"/>
              </w:rPr>
              <w:t>)</w:t>
            </w:r>
          </w:p>
        </w:tc>
        <w:tc>
          <w:tcPr>
            <w:tcW w:w="894" w:type="dxa"/>
            <w:vAlign w:val="center"/>
          </w:tcPr>
          <w:p w14:paraId="41594736">
            <w:pPr>
              <w:spacing w:line="540" w:lineRule="exact"/>
              <w:jc w:val="center"/>
              <w:rPr>
                <w:rFonts w:ascii="宋体"/>
                <w:color w:val="auto"/>
                <w:spacing w:val="12"/>
                <w:highlight w:val="none"/>
              </w:rPr>
            </w:pPr>
            <w:r>
              <w:rPr>
                <w:rFonts w:hint="eastAsia" w:ascii="宋体" w:hAnsi="宋体"/>
                <w:color w:val="auto"/>
                <w:spacing w:val="12"/>
                <w:highlight w:val="none"/>
              </w:rPr>
              <w:t>开工</w:t>
            </w:r>
          </w:p>
          <w:p w14:paraId="632C987B">
            <w:pPr>
              <w:spacing w:line="540" w:lineRule="exact"/>
              <w:jc w:val="center"/>
              <w:rPr>
                <w:rFonts w:ascii="宋体"/>
                <w:color w:val="auto"/>
                <w:spacing w:val="12"/>
                <w:highlight w:val="none"/>
              </w:rPr>
            </w:pPr>
            <w:r>
              <w:rPr>
                <w:rFonts w:hint="eastAsia" w:ascii="宋体" w:hAnsi="宋体"/>
                <w:color w:val="auto"/>
                <w:spacing w:val="12"/>
                <w:highlight w:val="none"/>
              </w:rPr>
              <w:t>日期</w:t>
            </w:r>
          </w:p>
        </w:tc>
        <w:tc>
          <w:tcPr>
            <w:tcW w:w="913" w:type="dxa"/>
            <w:vAlign w:val="center"/>
          </w:tcPr>
          <w:p w14:paraId="293F3A57">
            <w:pPr>
              <w:spacing w:line="540" w:lineRule="exact"/>
              <w:jc w:val="center"/>
              <w:rPr>
                <w:rFonts w:ascii="宋体"/>
                <w:color w:val="auto"/>
                <w:spacing w:val="12"/>
                <w:highlight w:val="none"/>
              </w:rPr>
            </w:pPr>
            <w:r>
              <w:rPr>
                <w:rFonts w:hint="eastAsia" w:ascii="宋体" w:hAnsi="宋体"/>
                <w:color w:val="auto"/>
                <w:spacing w:val="12"/>
                <w:highlight w:val="none"/>
              </w:rPr>
              <w:t>竣工</w:t>
            </w:r>
          </w:p>
          <w:p w14:paraId="6CA3758D">
            <w:pPr>
              <w:spacing w:line="540" w:lineRule="exact"/>
              <w:jc w:val="center"/>
              <w:rPr>
                <w:rFonts w:ascii="宋体"/>
                <w:color w:val="auto"/>
                <w:spacing w:val="12"/>
                <w:highlight w:val="none"/>
              </w:rPr>
            </w:pPr>
            <w:r>
              <w:rPr>
                <w:rFonts w:hint="eastAsia" w:ascii="宋体" w:hAnsi="宋体"/>
                <w:color w:val="auto"/>
                <w:spacing w:val="12"/>
                <w:highlight w:val="none"/>
              </w:rPr>
              <w:t>日期</w:t>
            </w:r>
          </w:p>
        </w:tc>
      </w:tr>
      <w:tr w14:paraId="529E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1" w:hRule="exact"/>
        </w:trPr>
        <w:tc>
          <w:tcPr>
            <w:tcW w:w="1576" w:type="dxa"/>
            <w:vAlign w:val="top"/>
          </w:tcPr>
          <w:p w14:paraId="5A5DA0CB">
            <w:pPr>
              <w:spacing w:line="540" w:lineRule="exact"/>
              <w:rPr>
                <w:rFonts w:hint="default" w:ascii="宋体" w:eastAsia="宋体"/>
                <w:color w:val="auto"/>
                <w:highlight w:val="none"/>
                <w:lang w:val="en-US" w:eastAsia="zh-CN"/>
              </w:rPr>
            </w:pPr>
          </w:p>
        </w:tc>
        <w:tc>
          <w:tcPr>
            <w:tcW w:w="400" w:type="dxa"/>
            <w:vAlign w:val="center"/>
          </w:tcPr>
          <w:p w14:paraId="2EAA891C">
            <w:pPr>
              <w:spacing w:line="540" w:lineRule="exact"/>
              <w:jc w:val="center"/>
              <w:rPr>
                <w:rFonts w:hint="default" w:ascii="宋体" w:eastAsia="宋体"/>
                <w:color w:val="auto"/>
                <w:spacing w:val="12"/>
                <w:highlight w:val="none"/>
                <w:lang w:val="en-US" w:eastAsia="zh-CN"/>
              </w:rPr>
            </w:pPr>
          </w:p>
        </w:tc>
        <w:tc>
          <w:tcPr>
            <w:tcW w:w="850" w:type="dxa"/>
            <w:vAlign w:val="center"/>
          </w:tcPr>
          <w:p w14:paraId="46EDB8F1">
            <w:pPr>
              <w:spacing w:line="540" w:lineRule="exact"/>
              <w:jc w:val="center"/>
              <w:rPr>
                <w:rFonts w:hint="default" w:ascii="宋体" w:eastAsia="宋体"/>
                <w:color w:val="auto"/>
                <w:spacing w:val="12"/>
                <w:highlight w:val="none"/>
                <w:lang w:val="en-US" w:eastAsia="zh-CN"/>
              </w:rPr>
            </w:pPr>
          </w:p>
        </w:tc>
        <w:tc>
          <w:tcPr>
            <w:tcW w:w="649" w:type="dxa"/>
            <w:vAlign w:val="center"/>
          </w:tcPr>
          <w:p w14:paraId="141FB163">
            <w:pPr>
              <w:spacing w:line="540" w:lineRule="exact"/>
              <w:jc w:val="center"/>
              <w:rPr>
                <w:rFonts w:hint="default" w:ascii="宋体" w:eastAsia="宋体"/>
                <w:color w:val="auto"/>
                <w:spacing w:val="12"/>
                <w:highlight w:val="none"/>
                <w:lang w:val="en-US" w:eastAsia="zh-CN"/>
              </w:rPr>
            </w:pPr>
          </w:p>
        </w:tc>
        <w:tc>
          <w:tcPr>
            <w:tcW w:w="444" w:type="dxa"/>
            <w:vAlign w:val="center"/>
          </w:tcPr>
          <w:p w14:paraId="23571CBE">
            <w:pPr>
              <w:spacing w:line="540" w:lineRule="exact"/>
              <w:jc w:val="center"/>
              <w:rPr>
                <w:rFonts w:hint="default" w:ascii="宋体" w:eastAsia="宋体"/>
                <w:color w:val="auto"/>
                <w:spacing w:val="12"/>
                <w:highlight w:val="none"/>
                <w:lang w:val="en-US" w:eastAsia="zh-CN"/>
              </w:rPr>
            </w:pPr>
          </w:p>
        </w:tc>
        <w:tc>
          <w:tcPr>
            <w:tcW w:w="640" w:type="dxa"/>
            <w:vAlign w:val="center"/>
          </w:tcPr>
          <w:p w14:paraId="78B28FE0">
            <w:pPr>
              <w:spacing w:line="540" w:lineRule="exact"/>
              <w:jc w:val="center"/>
              <w:rPr>
                <w:rFonts w:hint="default" w:ascii="宋体" w:eastAsia="宋体"/>
                <w:color w:val="auto"/>
                <w:spacing w:val="12"/>
                <w:highlight w:val="none"/>
                <w:lang w:val="en-US" w:eastAsia="zh-CN"/>
              </w:rPr>
            </w:pPr>
          </w:p>
        </w:tc>
        <w:tc>
          <w:tcPr>
            <w:tcW w:w="724" w:type="dxa"/>
            <w:vAlign w:val="center"/>
          </w:tcPr>
          <w:p w14:paraId="1AE7A6A2">
            <w:pPr>
              <w:spacing w:line="540" w:lineRule="exact"/>
              <w:jc w:val="center"/>
              <w:rPr>
                <w:rFonts w:hint="default" w:ascii="宋体" w:eastAsia="宋体"/>
                <w:color w:val="auto"/>
                <w:spacing w:val="12"/>
                <w:highlight w:val="none"/>
                <w:lang w:val="en-US" w:eastAsia="zh-CN"/>
              </w:rPr>
            </w:pPr>
          </w:p>
        </w:tc>
        <w:tc>
          <w:tcPr>
            <w:tcW w:w="1676" w:type="dxa"/>
            <w:vAlign w:val="top"/>
          </w:tcPr>
          <w:p w14:paraId="5061AC36"/>
          <w:p w14:paraId="5DFCFF6E"/>
          <w:p w14:paraId="035B1985"/>
          <w:p w14:paraId="18BF6526"/>
          <w:p w14:paraId="0B87304E"/>
          <w:p w14:paraId="4BFEA821"/>
          <w:p w14:paraId="74E5448E">
            <w:pPr>
              <w:spacing w:line="540" w:lineRule="exact"/>
              <w:rPr>
                <w:rFonts w:hint="default" w:ascii="宋体" w:eastAsia="宋体"/>
                <w:color w:val="auto"/>
                <w:spacing w:val="12"/>
                <w:highlight w:val="none"/>
                <w:lang w:val="en-US" w:eastAsia="zh-CN"/>
              </w:rPr>
            </w:pPr>
          </w:p>
        </w:tc>
        <w:tc>
          <w:tcPr>
            <w:tcW w:w="894" w:type="dxa"/>
            <w:vMerge w:val="restart"/>
            <w:vAlign w:val="center"/>
          </w:tcPr>
          <w:p w14:paraId="6A227DDC"/>
          <w:p w14:paraId="3B546640"/>
          <w:p w14:paraId="5249FBF2"/>
          <w:p w14:paraId="1AE692DB"/>
          <w:p w14:paraId="640CA056"/>
          <w:p w14:paraId="70BB5566"/>
          <w:p w14:paraId="14A92A77"/>
          <w:p w14:paraId="76C9111B"/>
          <w:p w14:paraId="0FEAB8CE"/>
          <w:p w14:paraId="36918108"/>
          <w:p w14:paraId="4DA64B87"/>
          <w:p w14:paraId="00E6D67B"/>
          <w:p w14:paraId="1343164D"/>
          <w:p w14:paraId="08B6B8D9">
            <w:pPr>
              <w:spacing w:line="540" w:lineRule="exact"/>
              <w:ind w:firstLine="234" w:firstLineChars="100"/>
              <w:jc w:val="center"/>
              <w:rPr>
                <w:rFonts w:ascii="宋体"/>
                <w:color w:val="auto"/>
                <w:spacing w:val="12"/>
                <w:highlight w:val="none"/>
              </w:rPr>
            </w:pPr>
          </w:p>
        </w:tc>
        <w:tc>
          <w:tcPr>
            <w:tcW w:w="913" w:type="dxa"/>
            <w:vMerge w:val="restart"/>
            <w:vAlign w:val="center"/>
          </w:tcPr>
          <w:p w14:paraId="57F4EB41"/>
          <w:p w14:paraId="6E624C40"/>
          <w:p w14:paraId="61791B90"/>
          <w:p w14:paraId="664A805E"/>
          <w:p w14:paraId="79084AA5"/>
          <w:p w14:paraId="6923D97F"/>
          <w:p w14:paraId="6997A133"/>
          <w:p w14:paraId="752254BD"/>
          <w:p w14:paraId="0CA2469F"/>
          <w:p w14:paraId="3ABE2D7F"/>
          <w:p w14:paraId="31EF0F9C"/>
          <w:p w14:paraId="365F85AF"/>
          <w:p w14:paraId="589ADCDA"/>
          <w:p w14:paraId="1E49D060"/>
          <w:p w14:paraId="688B8393"/>
          <w:p w14:paraId="06BAB356">
            <w:pPr>
              <w:spacing w:line="540" w:lineRule="exact"/>
              <w:ind w:firstLine="234" w:firstLineChars="100"/>
              <w:jc w:val="center"/>
              <w:rPr>
                <w:rFonts w:ascii="宋体"/>
                <w:color w:val="auto"/>
                <w:spacing w:val="12"/>
                <w:highlight w:val="none"/>
              </w:rPr>
            </w:pPr>
          </w:p>
        </w:tc>
      </w:tr>
      <w:tr w14:paraId="6B04F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0F11B819">
            <w:pPr>
              <w:spacing w:line="540" w:lineRule="exact"/>
              <w:rPr>
                <w:rFonts w:hint="default" w:ascii="宋体" w:eastAsia="宋体"/>
                <w:color w:val="auto"/>
                <w:highlight w:val="none"/>
                <w:lang w:val="en-US" w:eastAsia="zh-CN"/>
              </w:rPr>
            </w:pPr>
          </w:p>
        </w:tc>
        <w:tc>
          <w:tcPr>
            <w:tcW w:w="400" w:type="dxa"/>
            <w:vAlign w:val="center"/>
          </w:tcPr>
          <w:p w14:paraId="26821AE4">
            <w:pPr>
              <w:spacing w:line="540" w:lineRule="exact"/>
              <w:jc w:val="center"/>
              <w:rPr>
                <w:rFonts w:hint="eastAsia" w:ascii="宋体" w:eastAsia="宋体"/>
                <w:color w:val="auto"/>
                <w:spacing w:val="12"/>
                <w:highlight w:val="none"/>
                <w:lang w:val="en-US" w:eastAsia="zh-CN"/>
              </w:rPr>
            </w:pPr>
          </w:p>
        </w:tc>
        <w:tc>
          <w:tcPr>
            <w:tcW w:w="850" w:type="dxa"/>
            <w:vAlign w:val="center"/>
          </w:tcPr>
          <w:p w14:paraId="5E51CB59">
            <w:pPr>
              <w:spacing w:line="540" w:lineRule="exact"/>
              <w:jc w:val="center"/>
              <w:rPr>
                <w:rFonts w:hint="eastAsia" w:ascii="宋体" w:eastAsia="宋体"/>
                <w:color w:val="auto"/>
                <w:spacing w:val="12"/>
                <w:highlight w:val="none"/>
                <w:lang w:val="en-US" w:eastAsia="zh-CN"/>
              </w:rPr>
            </w:pPr>
          </w:p>
        </w:tc>
        <w:tc>
          <w:tcPr>
            <w:tcW w:w="649" w:type="dxa"/>
            <w:vAlign w:val="center"/>
          </w:tcPr>
          <w:p w14:paraId="52EC3B6A">
            <w:pPr>
              <w:spacing w:line="540" w:lineRule="exact"/>
              <w:jc w:val="center"/>
              <w:rPr>
                <w:rFonts w:hint="eastAsia" w:ascii="宋体" w:eastAsia="宋体"/>
                <w:color w:val="auto"/>
                <w:spacing w:val="12"/>
                <w:highlight w:val="none"/>
                <w:lang w:val="en-US" w:eastAsia="zh-CN"/>
              </w:rPr>
            </w:pPr>
          </w:p>
        </w:tc>
        <w:tc>
          <w:tcPr>
            <w:tcW w:w="444" w:type="dxa"/>
            <w:vAlign w:val="center"/>
          </w:tcPr>
          <w:p w14:paraId="6E44B8C7">
            <w:pPr>
              <w:spacing w:line="540" w:lineRule="exact"/>
              <w:jc w:val="center"/>
              <w:rPr>
                <w:rFonts w:hint="eastAsia" w:ascii="宋体" w:eastAsia="宋体"/>
                <w:color w:val="auto"/>
                <w:spacing w:val="12"/>
                <w:highlight w:val="none"/>
                <w:lang w:val="en-US" w:eastAsia="zh-CN"/>
              </w:rPr>
            </w:pPr>
          </w:p>
        </w:tc>
        <w:tc>
          <w:tcPr>
            <w:tcW w:w="640" w:type="dxa"/>
            <w:vAlign w:val="center"/>
          </w:tcPr>
          <w:p w14:paraId="12AB1CC9">
            <w:pPr>
              <w:spacing w:line="540" w:lineRule="exact"/>
              <w:jc w:val="center"/>
              <w:rPr>
                <w:rFonts w:hint="eastAsia" w:ascii="宋体" w:eastAsia="宋体"/>
                <w:color w:val="auto"/>
                <w:spacing w:val="12"/>
                <w:highlight w:val="none"/>
                <w:lang w:val="en-US" w:eastAsia="zh-CN"/>
              </w:rPr>
            </w:pPr>
          </w:p>
        </w:tc>
        <w:tc>
          <w:tcPr>
            <w:tcW w:w="724" w:type="dxa"/>
            <w:vAlign w:val="center"/>
          </w:tcPr>
          <w:p w14:paraId="5D654634">
            <w:pPr>
              <w:spacing w:line="540" w:lineRule="exact"/>
              <w:jc w:val="center"/>
              <w:rPr>
                <w:rFonts w:hint="eastAsia" w:ascii="宋体" w:eastAsia="宋体"/>
                <w:color w:val="auto"/>
                <w:spacing w:val="12"/>
                <w:highlight w:val="none"/>
                <w:lang w:val="en-US" w:eastAsia="zh-CN"/>
              </w:rPr>
            </w:pPr>
          </w:p>
        </w:tc>
        <w:tc>
          <w:tcPr>
            <w:tcW w:w="1676" w:type="dxa"/>
            <w:vAlign w:val="top"/>
          </w:tcPr>
          <w:p w14:paraId="30E67E61"/>
          <w:p w14:paraId="22F80999">
            <w:pPr>
              <w:spacing w:line="540" w:lineRule="exact"/>
              <w:rPr>
                <w:rFonts w:hint="default" w:ascii="宋体"/>
                <w:color w:val="auto"/>
                <w:spacing w:val="12"/>
                <w:highlight w:val="none"/>
                <w:lang w:val="en-US"/>
              </w:rPr>
            </w:pPr>
          </w:p>
        </w:tc>
        <w:tc>
          <w:tcPr>
            <w:tcW w:w="894" w:type="dxa"/>
            <w:vMerge w:val="continue"/>
            <w:vAlign w:val="top"/>
          </w:tcPr>
          <w:p w14:paraId="5053840A">
            <w:pPr>
              <w:spacing w:line="540" w:lineRule="exact"/>
              <w:ind w:firstLine="234" w:firstLineChars="100"/>
              <w:rPr>
                <w:rFonts w:ascii="宋体"/>
                <w:color w:val="auto"/>
                <w:spacing w:val="12"/>
                <w:highlight w:val="none"/>
              </w:rPr>
            </w:pPr>
          </w:p>
        </w:tc>
        <w:tc>
          <w:tcPr>
            <w:tcW w:w="913" w:type="dxa"/>
            <w:vMerge w:val="continue"/>
            <w:vAlign w:val="top"/>
          </w:tcPr>
          <w:p w14:paraId="4DC9D29B">
            <w:pPr>
              <w:spacing w:line="540" w:lineRule="exact"/>
              <w:ind w:firstLine="234" w:firstLineChars="100"/>
              <w:rPr>
                <w:rFonts w:ascii="宋体"/>
                <w:color w:val="auto"/>
                <w:spacing w:val="12"/>
                <w:highlight w:val="none"/>
              </w:rPr>
            </w:pPr>
          </w:p>
        </w:tc>
      </w:tr>
      <w:tr w14:paraId="59BC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1AD9B51C">
            <w:pPr>
              <w:spacing w:line="540" w:lineRule="exact"/>
              <w:rPr>
                <w:rFonts w:ascii="宋体"/>
                <w:color w:val="auto"/>
                <w:spacing w:val="12"/>
                <w:highlight w:val="none"/>
              </w:rPr>
            </w:pPr>
          </w:p>
        </w:tc>
        <w:tc>
          <w:tcPr>
            <w:tcW w:w="400" w:type="dxa"/>
            <w:vAlign w:val="center"/>
          </w:tcPr>
          <w:p w14:paraId="5FF9B698"/>
          <w:p w14:paraId="27DF0606">
            <w:pPr>
              <w:spacing w:line="540" w:lineRule="exact"/>
              <w:jc w:val="center"/>
              <w:rPr>
                <w:rFonts w:hint="default" w:ascii="宋体" w:eastAsia="宋体"/>
                <w:color w:val="auto"/>
                <w:spacing w:val="12"/>
                <w:highlight w:val="none"/>
                <w:lang w:val="en-US" w:eastAsia="zh-CN"/>
              </w:rPr>
            </w:pPr>
          </w:p>
        </w:tc>
        <w:tc>
          <w:tcPr>
            <w:tcW w:w="850" w:type="dxa"/>
            <w:vAlign w:val="center"/>
          </w:tcPr>
          <w:p w14:paraId="191A8970">
            <w:pPr>
              <w:spacing w:line="540" w:lineRule="exact"/>
              <w:jc w:val="center"/>
              <w:rPr>
                <w:rFonts w:hint="eastAsia" w:ascii="宋体" w:eastAsia="宋体"/>
                <w:color w:val="auto"/>
                <w:spacing w:val="12"/>
                <w:highlight w:val="none"/>
                <w:lang w:val="en-US" w:eastAsia="zh-CN"/>
              </w:rPr>
            </w:pPr>
          </w:p>
        </w:tc>
        <w:tc>
          <w:tcPr>
            <w:tcW w:w="649" w:type="dxa"/>
            <w:vAlign w:val="center"/>
          </w:tcPr>
          <w:p w14:paraId="348EA861">
            <w:pPr>
              <w:spacing w:line="540" w:lineRule="exact"/>
              <w:jc w:val="center"/>
              <w:rPr>
                <w:rFonts w:hint="eastAsia" w:ascii="宋体" w:eastAsia="宋体"/>
                <w:color w:val="auto"/>
                <w:spacing w:val="12"/>
                <w:highlight w:val="none"/>
                <w:lang w:val="en-US" w:eastAsia="zh-CN"/>
              </w:rPr>
            </w:pPr>
          </w:p>
        </w:tc>
        <w:tc>
          <w:tcPr>
            <w:tcW w:w="444" w:type="dxa"/>
            <w:vAlign w:val="center"/>
          </w:tcPr>
          <w:p w14:paraId="2A49D92D">
            <w:pPr>
              <w:spacing w:line="540" w:lineRule="exact"/>
              <w:jc w:val="center"/>
              <w:rPr>
                <w:rFonts w:hint="eastAsia" w:ascii="宋体" w:eastAsia="宋体"/>
                <w:color w:val="auto"/>
                <w:spacing w:val="12"/>
                <w:highlight w:val="none"/>
                <w:lang w:val="en-US" w:eastAsia="zh-CN"/>
              </w:rPr>
            </w:pPr>
          </w:p>
        </w:tc>
        <w:tc>
          <w:tcPr>
            <w:tcW w:w="640" w:type="dxa"/>
            <w:vAlign w:val="center"/>
          </w:tcPr>
          <w:p w14:paraId="0BF2A861">
            <w:pPr>
              <w:spacing w:line="540" w:lineRule="exact"/>
              <w:jc w:val="center"/>
              <w:rPr>
                <w:rFonts w:hint="eastAsia" w:ascii="宋体" w:eastAsia="宋体"/>
                <w:color w:val="auto"/>
                <w:spacing w:val="12"/>
                <w:highlight w:val="none"/>
                <w:lang w:val="en-US" w:eastAsia="zh-CN"/>
              </w:rPr>
            </w:pPr>
          </w:p>
        </w:tc>
        <w:tc>
          <w:tcPr>
            <w:tcW w:w="724" w:type="dxa"/>
            <w:vAlign w:val="center"/>
          </w:tcPr>
          <w:p w14:paraId="35784DB9">
            <w:pPr>
              <w:spacing w:line="540" w:lineRule="exact"/>
              <w:jc w:val="center"/>
              <w:rPr>
                <w:rFonts w:hint="eastAsia" w:ascii="宋体" w:eastAsia="宋体"/>
                <w:color w:val="auto"/>
                <w:spacing w:val="12"/>
                <w:highlight w:val="none"/>
                <w:lang w:val="en-US" w:eastAsia="zh-CN"/>
              </w:rPr>
            </w:pPr>
          </w:p>
        </w:tc>
        <w:tc>
          <w:tcPr>
            <w:tcW w:w="1676" w:type="dxa"/>
            <w:vAlign w:val="top"/>
          </w:tcPr>
          <w:p w14:paraId="42E51620">
            <w:pPr>
              <w:spacing w:line="540" w:lineRule="exact"/>
              <w:rPr>
                <w:rFonts w:hint="eastAsia" w:ascii="宋体" w:eastAsia="宋体"/>
                <w:color w:val="auto"/>
                <w:spacing w:val="12"/>
                <w:highlight w:val="none"/>
                <w:lang w:val="en-US" w:eastAsia="zh-CN"/>
              </w:rPr>
            </w:pPr>
          </w:p>
        </w:tc>
        <w:tc>
          <w:tcPr>
            <w:tcW w:w="894" w:type="dxa"/>
            <w:vMerge w:val="continue"/>
            <w:vAlign w:val="top"/>
          </w:tcPr>
          <w:p w14:paraId="774CE45F">
            <w:pPr>
              <w:spacing w:line="540" w:lineRule="exact"/>
              <w:rPr>
                <w:rFonts w:ascii="宋体"/>
                <w:color w:val="auto"/>
                <w:spacing w:val="12"/>
                <w:highlight w:val="none"/>
              </w:rPr>
            </w:pPr>
          </w:p>
        </w:tc>
        <w:tc>
          <w:tcPr>
            <w:tcW w:w="913" w:type="dxa"/>
            <w:vMerge w:val="continue"/>
            <w:vAlign w:val="top"/>
          </w:tcPr>
          <w:p w14:paraId="0DF183D4">
            <w:pPr>
              <w:spacing w:line="540" w:lineRule="exact"/>
              <w:rPr>
                <w:rFonts w:ascii="宋体"/>
                <w:color w:val="auto"/>
                <w:spacing w:val="12"/>
                <w:highlight w:val="none"/>
              </w:rPr>
            </w:pPr>
          </w:p>
        </w:tc>
      </w:tr>
      <w:tr w14:paraId="313D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1EB04044">
            <w:pPr>
              <w:spacing w:line="540" w:lineRule="exact"/>
              <w:rPr>
                <w:rFonts w:ascii="宋体"/>
                <w:color w:val="auto"/>
                <w:spacing w:val="12"/>
                <w:highlight w:val="none"/>
              </w:rPr>
            </w:pPr>
          </w:p>
        </w:tc>
        <w:tc>
          <w:tcPr>
            <w:tcW w:w="400" w:type="dxa"/>
            <w:vAlign w:val="center"/>
          </w:tcPr>
          <w:p w14:paraId="7BC0F237">
            <w:pPr>
              <w:spacing w:line="540" w:lineRule="exact"/>
              <w:jc w:val="center"/>
              <w:rPr>
                <w:rFonts w:hint="eastAsia" w:ascii="宋体" w:eastAsia="宋体"/>
                <w:color w:val="auto"/>
                <w:spacing w:val="12"/>
                <w:highlight w:val="none"/>
                <w:lang w:val="en-US" w:eastAsia="zh-CN"/>
              </w:rPr>
            </w:pPr>
          </w:p>
        </w:tc>
        <w:tc>
          <w:tcPr>
            <w:tcW w:w="850" w:type="dxa"/>
            <w:vAlign w:val="center"/>
          </w:tcPr>
          <w:p w14:paraId="1414281D">
            <w:pPr>
              <w:spacing w:line="540" w:lineRule="exact"/>
              <w:jc w:val="center"/>
              <w:rPr>
                <w:rFonts w:hint="eastAsia" w:ascii="宋体" w:eastAsia="宋体"/>
                <w:color w:val="auto"/>
                <w:spacing w:val="12"/>
                <w:highlight w:val="none"/>
                <w:lang w:val="en-US" w:eastAsia="zh-CN"/>
              </w:rPr>
            </w:pPr>
          </w:p>
        </w:tc>
        <w:tc>
          <w:tcPr>
            <w:tcW w:w="649" w:type="dxa"/>
            <w:vAlign w:val="center"/>
          </w:tcPr>
          <w:p w14:paraId="3491A0D4">
            <w:pPr>
              <w:spacing w:line="540" w:lineRule="exact"/>
              <w:jc w:val="center"/>
              <w:rPr>
                <w:rFonts w:hint="eastAsia" w:ascii="宋体" w:eastAsia="宋体"/>
                <w:color w:val="auto"/>
                <w:spacing w:val="12"/>
                <w:highlight w:val="none"/>
                <w:lang w:val="en-US" w:eastAsia="zh-CN"/>
              </w:rPr>
            </w:pPr>
          </w:p>
        </w:tc>
        <w:tc>
          <w:tcPr>
            <w:tcW w:w="444" w:type="dxa"/>
            <w:vAlign w:val="center"/>
          </w:tcPr>
          <w:p w14:paraId="1FDD8B2D">
            <w:pPr>
              <w:spacing w:line="540" w:lineRule="exact"/>
              <w:jc w:val="center"/>
              <w:rPr>
                <w:rFonts w:hint="eastAsia" w:ascii="宋体" w:eastAsia="宋体"/>
                <w:color w:val="auto"/>
                <w:spacing w:val="12"/>
                <w:highlight w:val="none"/>
                <w:lang w:val="en-US" w:eastAsia="zh-CN"/>
              </w:rPr>
            </w:pPr>
          </w:p>
        </w:tc>
        <w:tc>
          <w:tcPr>
            <w:tcW w:w="640" w:type="dxa"/>
            <w:vAlign w:val="center"/>
          </w:tcPr>
          <w:p w14:paraId="228B57F9">
            <w:pPr>
              <w:spacing w:line="540" w:lineRule="exact"/>
              <w:jc w:val="center"/>
              <w:rPr>
                <w:rFonts w:hint="eastAsia" w:ascii="宋体" w:eastAsia="宋体"/>
                <w:color w:val="auto"/>
                <w:spacing w:val="12"/>
                <w:highlight w:val="none"/>
                <w:lang w:val="en-US" w:eastAsia="zh-CN"/>
              </w:rPr>
            </w:pPr>
          </w:p>
        </w:tc>
        <w:tc>
          <w:tcPr>
            <w:tcW w:w="724" w:type="dxa"/>
            <w:vAlign w:val="center"/>
          </w:tcPr>
          <w:p w14:paraId="02AC3F45">
            <w:pPr>
              <w:spacing w:line="540" w:lineRule="exact"/>
              <w:jc w:val="center"/>
              <w:rPr>
                <w:rFonts w:hint="eastAsia" w:ascii="宋体" w:eastAsia="宋体"/>
                <w:color w:val="auto"/>
                <w:spacing w:val="12"/>
                <w:highlight w:val="none"/>
                <w:lang w:val="en-US" w:eastAsia="zh-CN"/>
              </w:rPr>
            </w:pPr>
          </w:p>
        </w:tc>
        <w:tc>
          <w:tcPr>
            <w:tcW w:w="1676" w:type="dxa"/>
            <w:vAlign w:val="top"/>
          </w:tcPr>
          <w:p w14:paraId="0EFC9E1E">
            <w:pPr>
              <w:spacing w:line="540" w:lineRule="exact"/>
              <w:rPr>
                <w:rFonts w:hint="eastAsia" w:ascii="宋体" w:eastAsia="宋体"/>
                <w:color w:val="auto"/>
                <w:spacing w:val="12"/>
                <w:highlight w:val="none"/>
                <w:lang w:val="en-US" w:eastAsia="zh-CN"/>
              </w:rPr>
            </w:pPr>
          </w:p>
        </w:tc>
        <w:tc>
          <w:tcPr>
            <w:tcW w:w="894" w:type="dxa"/>
            <w:vMerge w:val="continue"/>
            <w:vAlign w:val="top"/>
          </w:tcPr>
          <w:p w14:paraId="1352299E">
            <w:pPr>
              <w:spacing w:line="540" w:lineRule="exact"/>
              <w:rPr>
                <w:rFonts w:ascii="宋体"/>
                <w:color w:val="auto"/>
                <w:spacing w:val="12"/>
                <w:highlight w:val="none"/>
              </w:rPr>
            </w:pPr>
          </w:p>
        </w:tc>
        <w:tc>
          <w:tcPr>
            <w:tcW w:w="913" w:type="dxa"/>
            <w:vMerge w:val="continue"/>
            <w:vAlign w:val="top"/>
          </w:tcPr>
          <w:p w14:paraId="419B1E74">
            <w:pPr>
              <w:spacing w:line="540" w:lineRule="exact"/>
              <w:rPr>
                <w:rFonts w:ascii="宋体"/>
                <w:color w:val="auto"/>
                <w:spacing w:val="12"/>
                <w:highlight w:val="none"/>
              </w:rPr>
            </w:pPr>
          </w:p>
        </w:tc>
      </w:tr>
      <w:tr w14:paraId="1BE3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71742B4A">
            <w:pPr>
              <w:spacing w:line="540" w:lineRule="exact"/>
              <w:rPr>
                <w:rFonts w:ascii="宋体"/>
                <w:color w:val="auto"/>
                <w:spacing w:val="12"/>
                <w:highlight w:val="none"/>
              </w:rPr>
            </w:pPr>
          </w:p>
        </w:tc>
        <w:tc>
          <w:tcPr>
            <w:tcW w:w="400" w:type="dxa"/>
            <w:vAlign w:val="center"/>
          </w:tcPr>
          <w:p w14:paraId="02C11C03">
            <w:pPr>
              <w:spacing w:line="540" w:lineRule="exact"/>
              <w:jc w:val="center"/>
              <w:rPr>
                <w:rFonts w:hint="eastAsia" w:ascii="宋体" w:eastAsia="宋体"/>
                <w:color w:val="auto"/>
                <w:spacing w:val="12"/>
                <w:highlight w:val="none"/>
                <w:lang w:val="en-US" w:eastAsia="zh-CN"/>
              </w:rPr>
            </w:pPr>
          </w:p>
        </w:tc>
        <w:tc>
          <w:tcPr>
            <w:tcW w:w="850" w:type="dxa"/>
            <w:vAlign w:val="center"/>
          </w:tcPr>
          <w:p w14:paraId="68266EF4">
            <w:pPr>
              <w:spacing w:line="540" w:lineRule="exact"/>
              <w:jc w:val="center"/>
              <w:rPr>
                <w:rFonts w:hint="eastAsia" w:ascii="宋体" w:eastAsia="宋体"/>
                <w:color w:val="auto"/>
                <w:spacing w:val="12"/>
                <w:highlight w:val="none"/>
                <w:lang w:val="en-US" w:eastAsia="zh-CN"/>
              </w:rPr>
            </w:pPr>
          </w:p>
        </w:tc>
        <w:tc>
          <w:tcPr>
            <w:tcW w:w="649" w:type="dxa"/>
            <w:vAlign w:val="center"/>
          </w:tcPr>
          <w:p w14:paraId="6ACBE52C">
            <w:pPr>
              <w:spacing w:line="540" w:lineRule="exact"/>
              <w:jc w:val="center"/>
              <w:rPr>
                <w:rFonts w:hint="eastAsia" w:ascii="宋体" w:eastAsia="宋体"/>
                <w:color w:val="auto"/>
                <w:spacing w:val="12"/>
                <w:highlight w:val="none"/>
                <w:lang w:val="en-US" w:eastAsia="zh-CN"/>
              </w:rPr>
            </w:pPr>
          </w:p>
        </w:tc>
        <w:tc>
          <w:tcPr>
            <w:tcW w:w="444" w:type="dxa"/>
            <w:vAlign w:val="center"/>
          </w:tcPr>
          <w:p w14:paraId="61D837B7">
            <w:pPr>
              <w:spacing w:line="540" w:lineRule="exact"/>
              <w:jc w:val="center"/>
              <w:rPr>
                <w:rFonts w:hint="eastAsia" w:ascii="宋体" w:eastAsia="宋体"/>
                <w:color w:val="auto"/>
                <w:spacing w:val="12"/>
                <w:highlight w:val="none"/>
                <w:lang w:val="en-US" w:eastAsia="zh-CN"/>
              </w:rPr>
            </w:pPr>
          </w:p>
        </w:tc>
        <w:tc>
          <w:tcPr>
            <w:tcW w:w="640" w:type="dxa"/>
            <w:vAlign w:val="center"/>
          </w:tcPr>
          <w:p w14:paraId="1120E716">
            <w:pPr>
              <w:spacing w:line="540" w:lineRule="exact"/>
              <w:jc w:val="center"/>
              <w:rPr>
                <w:rFonts w:hint="eastAsia" w:ascii="宋体" w:eastAsia="宋体"/>
                <w:color w:val="auto"/>
                <w:spacing w:val="12"/>
                <w:highlight w:val="none"/>
                <w:lang w:val="en-US" w:eastAsia="zh-CN"/>
              </w:rPr>
            </w:pPr>
          </w:p>
        </w:tc>
        <w:tc>
          <w:tcPr>
            <w:tcW w:w="724" w:type="dxa"/>
            <w:vAlign w:val="center"/>
          </w:tcPr>
          <w:p w14:paraId="44346CAF">
            <w:pPr>
              <w:spacing w:line="540" w:lineRule="exact"/>
              <w:jc w:val="center"/>
              <w:rPr>
                <w:rFonts w:hint="eastAsia" w:ascii="宋体" w:eastAsia="宋体"/>
                <w:color w:val="auto"/>
                <w:spacing w:val="12"/>
                <w:highlight w:val="none"/>
                <w:lang w:val="en-US" w:eastAsia="zh-CN"/>
              </w:rPr>
            </w:pPr>
          </w:p>
        </w:tc>
        <w:tc>
          <w:tcPr>
            <w:tcW w:w="1676" w:type="dxa"/>
            <w:vAlign w:val="top"/>
          </w:tcPr>
          <w:p w14:paraId="266FFABB">
            <w:pPr>
              <w:spacing w:line="540" w:lineRule="exact"/>
              <w:rPr>
                <w:rFonts w:hint="eastAsia" w:ascii="宋体" w:eastAsia="宋体"/>
                <w:color w:val="auto"/>
                <w:spacing w:val="12"/>
                <w:highlight w:val="none"/>
                <w:lang w:val="en-US" w:eastAsia="zh-CN"/>
              </w:rPr>
            </w:pPr>
          </w:p>
        </w:tc>
        <w:tc>
          <w:tcPr>
            <w:tcW w:w="894" w:type="dxa"/>
            <w:vMerge w:val="continue"/>
            <w:vAlign w:val="top"/>
          </w:tcPr>
          <w:p w14:paraId="2E360C8E">
            <w:pPr>
              <w:spacing w:line="540" w:lineRule="exact"/>
              <w:rPr>
                <w:rFonts w:ascii="宋体"/>
                <w:color w:val="auto"/>
                <w:spacing w:val="12"/>
                <w:highlight w:val="none"/>
              </w:rPr>
            </w:pPr>
          </w:p>
        </w:tc>
        <w:tc>
          <w:tcPr>
            <w:tcW w:w="913" w:type="dxa"/>
            <w:vMerge w:val="continue"/>
            <w:vAlign w:val="top"/>
          </w:tcPr>
          <w:p w14:paraId="29B00276">
            <w:pPr>
              <w:spacing w:line="540" w:lineRule="exact"/>
              <w:rPr>
                <w:rFonts w:ascii="宋体"/>
                <w:color w:val="auto"/>
                <w:spacing w:val="12"/>
                <w:highlight w:val="none"/>
              </w:rPr>
            </w:pPr>
          </w:p>
        </w:tc>
      </w:tr>
      <w:tr w14:paraId="4598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2DCB42FD">
            <w:pPr>
              <w:spacing w:line="540" w:lineRule="exact"/>
              <w:rPr>
                <w:rFonts w:ascii="宋体"/>
                <w:color w:val="auto"/>
                <w:spacing w:val="12"/>
                <w:highlight w:val="none"/>
              </w:rPr>
            </w:pPr>
          </w:p>
        </w:tc>
        <w:tc>
          <w:tcPr>
            <w:tcW w:w="400" w:type="dxa"/>
            <w:vAlign w:val="center"/>
          </w:tcPr>
          <w:p w14:paraId="7BD33650">
            <w:pPr>
              <w:spacing w:line="540" w:lineRule="exact"/>
              <w:jc w:val="center"/>
              <w:rPr>
                <w:rFonts w:hint="eastAsia" w:ascii="宋体" w:eastAsia="宋体"/>
                <w:color w:val="auto"/>
                <w:spacing w:val="12"/>
                <w:highlight w:val="none"/>
                <w:lang w:val="en-US" w:eastAsia="zh-CN"/>
              </w:rPr>
            </w:pPr>
          </w:p>
        </w:tc>
        <w:tc>
          <w:tcPr>
            <w:tcW w:w="850" w:type="dxa"/>
            <w:vAlign w:val="center"/>
          </w:tcPr>
          <w:p w14:paraId="29A80C53">
            <w:pPr>
              <w:spacing w:line="540" w:lineRule="exact"/>
              <w:jc w:val="center"/>
              <w:rPr>
                <w:rFonts w:hint="eastAsia" w:ascii="宋体" w:eastAsia="宋体"/>
                <w:color w:val="auto"/>
                <w:spacing w:val="12"/>
                <w:highlight w:val="none"/>
                <w:lang w:val="en-US" w:eastAsia="zh-CN"/>
              </w:rPr>
            </w:pPr>
          </w:p>
        </w:tc>
        <w:tc>
          <w:tcPr>
            <w:tcW w:w="649" w:type="dxa"/>
            <w:vAlign w:val="center"/>
          </w:tcPr>
          <w:p w14:paraId="12B555A5">
            <w:pPr>
              <w:spacing w:line="540" w:lineRule="exact"/>
              <w:jc w:val="center"/>
              <w:rPr>
                <w:rFonts w:hint="eastAsia" w:ascii="宋体" w:eastAsia="宋体"/>
                <w:color w:val="auto"/>
                <w:spacing w:val="12"/>
                <w:highlight w:val="none"/>
                <w:lang w:val="en-US" w:eastAsia="zh-CN"/>
              </w:rPr>
            </w:pPr>
          </w:p>
        </w:tc>
        <w:tc>
          <w:tcPr>
            <w:tcW w:w="444" w:type="dxa"/>
            <w:vAlign w:val="center"/>
          </w:tcPr>
          <w:p w14:paraId="00AB976F">
            <w:pPr>
              <w:spacing w:line="540" w:lineRule="exact"/>
              <w:jc w:val="center"/>
              <w:rPr>
                <w:rFonts w:hint="eastAsia" w:ascii="宋体" w:eastAsia="宋体"/>
                <w:color w:val="auto"/>
                <w:spacing w:val="12"/>
                <w:highlight w:val="none"/>
                <w:lang w:val="en-US" w:eastAsia="zh-CN"/>
              </w:rPr>
            </w:pPr>
          </w:p>
        </w:tc>
        <w:tc>
          <w:tcPr>
            <w:tcW w:w="640" w:type="dxa"/>
            <w:vAlign w:val="center"/>
          </w:tcPr>
          <w:p w14:paraId="647110BA">
            <w:pPr>
              <w:spacing w:line="540" w:lineRule="exact"/>
              <w:jc w:val="center"/>
              <w:rPr>
                <w:rFonts w:hint="eastAsia" w:ascii="宋体" w:eastAsia="宋体"/>
                <w:color w:val="auto"/>
                <w:spacing w:val="12"/>
                <w:highlight w:val="none"/>
                <w:lang w:val="en-US" w:eastAsia="zh-CN"/>
              </w:rPr>
            </w:pPr>
          </w:p>
        </w:tc>
        <w:tc>
          <w:tcPr>
            <w:tcW w:w="724" w:type="dxa"/>
            <w:vAlign w:val="center"/>
          </w:tcPr>
          <w:p w14:paraId="1578F8E5">
            <w:pPr>
              <w:spacing w:line="540" w:lineRule="exact"/>
              <w:jc w:val="center"/>
              <w:rPr>
                <w:rFonts w:hint="eastAsia" w:ascii="宋体" w:eastAsia="宋体"/>
                <w:color w:val="auto"/>
                <w:spacing w:val="12"/>
                <w:highlight w:val="none"/>
                <w:lang w:val="en-US" w:eastAsia="zh-CN"/>
              </w:rPr>
            </w:pPr>
          </w:p>
        </w:tc>
        <w:tc>
          <w:tcPr>
            <w:tcW w:w="1676" w:type="dxa"/>
            <w:vAlign w:val="top"/>
          </w:tcPr>
          <w:p w14:paraId="1F9336F1">
            <w:pPr>
              <w:spacing w:line="540" w:lineRule="exact"/>
              <w:rPr>
                <w:rFonts w:hint="eastAsia" w:ascii="宋体" w:eastAsia="宋体"/>
                <w:color w:val="auto"/>
                <w:spacing w:val="12"/>
                <w:highlight w:val="none"/>
                <w:lang w:val="en-US" w:eastAsia="zh-CN"/>
              </w:rPr>
            </w:pPr>
          </w:p>
        </w:tc>
        <w:tc>
          <w:tcPr>
            <w:tcW w:w="894" w:type="dxa"/>
            <w:vMerge w:val="continue"/>
            <w:vAlign w:val="top"/>
          </w:tcPr>
          <w:p w14:paraId="6B216AEC">
            <w:pPr>
              <w:spacing w:line="540" w:lineRule="exact"/>
              <w:rPr>
                <w:rFonts w:ascii="宋体"/>
                <w:color w:val="auto"/>
                <w:spacing w:val="12"/>
                <w:highlight w:val="none"/>
              </w:rPr>
            </w:pPr>
          </w:p>
        </w:tc>
        <w:tc>
          <w:tcPr>
            <w:tcW w:w="913" w:type="dxa"/>
            <w:vMerge w:val="continue"/>
            <w:vAlign w:val="top"/>
          </w:tcPr>
          <w:p w14:paraId="7E1A8847">
            <w:pPr>
              <w:spacing w:line="540" w:lineRule="exact"/>
              <w:rPr>
                <w:rFonts w:ascii="宋体"/>
                <w:color w:val="auto"/>
                <w:spacing w:val="12"/>
                <w:highlight w:val="none"/>
              </w:rPr>
            </w:pPr>
          </w:p>
        </w:tc>
      </w:tr>
      <w:tr w14:paraId="68AB2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6DB858F3">
            <w:pPr>
              <w:spacing w:line="540" w:lineRule="exact"/>
              <w:rPr>
                <w:rFonts w:ascii="宋体"/>
                <w:color w:val="auto"/>
                <w:spacing w:val="12"/>
                <w:highlight w:val="none"/>
              </w:rPr>
            </w:pPr>
          </w:p>
        </w:tc>
        <w:tc>
          <w:tcPr>
            <w:tcW w:w="400" w:type="dxa"/>
            <w:vAlign w:val="center"/>
          </w:tcPr>
          <w:p w14:paraId="1F0CCD01">
            <w:pPr>
              <w:spacing w:line="540" w:lineRule="exact"/>
              <w:jc w:val="center"/>
              <w:rPr>
                <w:rFonts w:hint="eastAsia" w:ascii="宋体" w:eastAsia="宋体"/>
                <w:color w:val="auto"/>
                <w:spacing w:val="12"/>
                <w:highlight w:val="none"/>
                <w:lang w:val="en-US" w:eastAsia="zh-CN"/>
              </w:rPr>
            </w:pPr>
          </w:p>
        </w:tc>
        <w:tc>
          <w:tcPr>
            <w:tcW w:w="850" w:type="dxa"/>
            <w:vAlign w:val="center"/>
          </w:tcPr>
          <w:p w14:paraId="197D25C8">
            <w:pPr>
              <w:spacing w:line="540" w:lineRule="exact"/>
              <w:jc w:val="center"/>
              <w:rPr>
                <w:rFonts w:hint="eastAsia" w:ascii="宋体" w:eastAsia="宋体"/>
                <w:color w:val="auto"/>
                <w:spacing w:val="12"/>
                <w:highlight w:val="none"/>
                <w:lang w:val="en-US" w:eastAsia="zh-CN"/>
              </w:rPr>
            </w:pPr>
          </w:p>
        </w:tc>
        <w:tc>
          <w:tcPr>
            <w:tcW w:w="649" w:type="dxa"/>
            <w:vAlign w:val="center"/>
          </w:tcPr>
          <w:p w14:paraId="54E5B34E">
            <w:pPr>
              <w:spacing w:line="540" w:lineRule="exact"/>
              <w:jc w:val="center"/>
              <w:rPr>
                <w:rFonts w:hint="eastAsia" w:ascii="宋体" w:eastAsia="宋体"/>
                <w:color w:val="auto"/>
                <w:spacing w:val="12"/>
                <w:highlight w:val="none"/>
                <w:lang w:val="en-US" w:eastAsia="zh-CN"/>
              </w:rPr>
            </w:pPr>
          </w:p>
        </w:tc>
        <w:tc>
          <w:tcPr>
            <w:tcW w:w="444" w:type="dxa"/>
            <w:vAlign w:val="center"/>
          </w:tcPr>
          <w:p w14:paraId="562E1A3A">
            <w:pPr>
              <w:spacing w:line="540" w:lineRule="exact"/>
              <w:jc w:val="center"/>
              <w:rPr>
                <w:rFonts w:hint="eastAsia" w:ascii="宋体" w:eastAsia="宋体"/>
                <w:color w:val="auto"/>
                <w:spacing w:val="12"/>
                <w:highlight w:val="none"/>
                <w:lang w:val="en-US" w:eastAsia="zh-CN"/>
              </w:rPr>
            </w:pPr>
          </w:p>
        </w:tc>
        <w:tc>
          <w:tcPr>
            <w:tcW w:w="640" w:type="dxa"/>
            <w:vAlign w:val="center"/>
          </w:tcPr>
          <w:p w14:paraId="045E63E4">
            <w:pPr>
              <w:spacing w:line="540" w:lineRule="exact"/>
              <w:jc w:val="center"/>
              <w:rPr>
                <w:rFonts w:hint="eastAsia" w:ascii="宋体" w:eastAsia="宋体"/>
                <w:color w:val="auto"/>
                <w:spacing w:val="12"/>
                <w:highlight w:val="none"/>
                <w:lang w:val="en-US" w:eastAsia="zh-CN"/>
              </w:rPr>
            </w:pPr>
          </w:p>
        </w:tc>
        <w:tc>
          <w:tcPr>
            <w:tcW w:w="724" w:type="dxa"/>
            <w:vAlign w:val="center"/>
          </w:tcPr>
          <w:p w14:paraId="6EC13C7B">
            <w:pPr>
              <w:spacing w:line="540" w:lineRule="exact"/>
              <w:jc w:val="center"/>
              <w:rPr>
                <w:rFonts w:hint="eastAsia" w:ascii="宋体" w:eastAsia="宋体"/>
                <w:color w:val="auto"/>
                <w:spacing w:val="12"/>
                <w:highlight w:val="none"/>
                <w:lang w:val="en-US" w:eastAsia="zh-CN"/>
              </w:rPr>
            </w:pPr>
          </w:p>
        </w:tc>
        <w:tc>
          <w:tcPr>
            <w:tcW w:w="1676" w:type="dxa"/>
            <w:vAlign w:val="top"/>
          </w:tcPr>
          <w:p w14:paraId="16C9C88F">
            <w:pPr>
              <w:spacing w:line="540" w:lineRule="exact"/>
              <w:rPr>
                <w:rFonts w:hint="eastAsia" w:ascii="宋体" w:eastAsia="宋体"/>
                <w:color w:val="auto"/>
                <w:spacing w:val="12"/>
                <w:highlight w:val="none"/>
                <w:lang w:val="en-US" w:eastAsia="zh-CN"/>
              </w:rPr>
            </w:pPr>
          </w:p>
        </w:tc>
        <w:tc>
          <w:tcPr>
            <w:tcW w:w="894" w:type="dxa"/>
            <w:vMerge w:val="continue"/>
            <w:vAlign w:val="top"/>
          </w:tcPr>
          <w:p w14:paraId="6AEBBE6C">
            <w:pPr>
              <w:spacing w:line="540" w:lineRule="exact"/>
              <w:rPr>
                <w:rFonts w:ascii="宋体"/>
                <w:color w:val="auto"/>
                <w:spacing w:val="12"/>
                <w:highlight w:val="none"/>
              </w:rPr>
            </w:pPr>
          </w:p>
        </w:tc>
        <w:tc>
          <w:tcPr>
            <w:tcW w:w="913" w:type="dxa"/>
            <w:vMerge w:val="continue"/>
            <w:vAlign w:val="top"/>
          </w:tcPr>
          <w:p w14:paraId="6BD969FF">
            <w:pPr>
              <w:spacing w:line="540" w:lineRule="exact"/>
              <w:rPr>
                <w:rFonts w:ascii="宋体"/>
                <w:color w:val="auto"/>
                <w:spacing w:val="12"/>
                <w:highlight w:val="none"/>
              </w:rPr>
            </w:pPr>
          </w:p>
        </w:tc>
      </w:tr>
      <w:tr w14:paraId="4A96B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exact"/>
        </w:trPr>
        <w:tc>
          <w:tcPr>
            <w:tcW w:w="1576" w:type="dxa"/>
            <w:vAlign w:val="top"/>
          </w:tcPr>
          <w:p w14:paraId="548C1043">
            <w:pPr>
              <w:spacing w:line="540" w:lineRule="exact"/>
              <w:rPr>
                <w:rFonts w:hint="eastAsia" w:ascii="宋体"/>
                <w:color w:val="auto"/>
                <w:spacing w:val="12"/>
                <w:highlight w:val="none"/>
              </w:rPr>
            </w:pPr>
          </w:p>
        </w:tc>
        <w:tc>
          <w:tcPr>
            <w:tcW w:w="400" w:type="dxa"/>
            <w:vAlign w:val="center"/>
          </w:tcPr>
          <w:p w14:paraId="2BD60DD4">
            <w:pPr>
              <w:spacing w:line="540" w:lineRule="exact"/>
              <w:jc w:val="center"/>
              <w:rPr>
                <w:rFonts w:hint="eastAsia" w:ascii="宋体" w:eastAsia="宋体"/>
                <w:color w:val="auto"/>
                <w:spacing w:val="12"/>
                <w:highlight w:val="none"/>
                <w:lang w:val="en-US" w:eastAsia="zh-CN"/>
              </w:rPr>
            </w:pPr>
          </w:p>
        </w:tc>
        <w:tc>
          <w:tcPr>
            <w:tcW w:w="850" w:type="dxa"/>
            <w:vAlign w:val="center"/>
          </w:tcPr>
          <w:p w14:paraId="4485AC51">
            <w:pPr>
              <w:spacing w:line="540" w:lineRule="exact"/>
              <w:jc w:val="center"/>
              <w:rPr>
                <w:rFonts w:hint="eastAsia" w:ascii="宋体" w:eastAsia="宋体"/>
                <w:color w:val="auto"/>
                <w:spacing w:val="12"/>
                <w:highlight w:val="none"/>
                <w:lang w:val="en-US" w:eastAsia="zh-CN"/>
              </w:rPr>
            </w:pPr>
          </w:p>
        </w:tc>
        <w:tc>
          <w:tcPr>
            <w:tcW w:w="649" w:type="dxa"/>
            <w:vAlign w:val="center"/>
          </w:tcPr>
          <w:p w14:paraId="60F2F651">
            <w:pPr>
              <w:spacing w:line="540" w:lineRule="exact"/>
              <w:jc w:val="center"/>
              <w:rPr>
                <w:rFonts w:hint="eastAsia" w:ascii="宋体" w:eastAsia="宋体"/>
                <w:color w:val="auto"/>
                <w:spacing w:val="12"/>
                <w:highlight w:val="none"/>
                <w:lang w:val="en-US" w:eastAsia="zh-CN"/>
              </w:rPr>
            </w:pPr>
          </w:p>
        </w:tc>
        <w:tc>
          <w:tcPr>
            <w:tcW w:w="444" w:type="dxa"/>
            <w:vAlign w:val="center"/>
          </w:tcPr>
          <w:p w14:paraId="5C975F14">
            <w:pPr>
              <w:spacing w:line="540" w:lineRule="exact"/>
              <w:jc w:val="center"/>
              <w:rPr>
                <w:rFonts w:hint="eastAsia" w:ascii="宋体" w:eastAsia="宋体"/>
                <w:color w:val="auto"/>
                <w:spacing w:val="12"/>
                <w:highlight w:val="none"/>
                <w:lang w:val="en-US" w:eastAsia="zh-CN"/>
              </w:rPr>
            </w:pPr>
          </w:p>
        </w:tc>
        <w:tc>
          <w:tcPr>
            <w:tcW w:w="640" w:type="dxa"/>
            <w:vAlign w:val="center"/>
          </w:tcPr>
          <w:p w14:paraId="11FAE9F4">
            <w:pPr>
              <w:spacing w:line="540" w:lineRule="exact"/>
              <w:jc w:val="center"/>
              <w:rPr>
                <w:rFonts w:hint="eastAsia" w:ascii="宋体" w:eastAsia="宋体"/>
                <w:color w:val="auto"/>
                <w:spacing w:val="12"/>
                <w:highlight w:val="none"/>
                <w:lang w:val="en-US" w:eastAsia="zh-CN"/>
              </w:rPr>
            </w:pPr>
          </w:p>
        </w:tc>
        <w:tc>
          <w:tcPr>
            <w:tcW w:w="724" w:type="dxa"/>
            <w:vAlign w:val="center"/>
          </w:tcPr>
          <w:p w14:paraId="35B36AF0">
            <w:pPr>
              <w:spacing w:line="540" w:lineRule="exact"/>
              <w:jc w:val="center"/>
              <w:rPr>
                <w:rFonts w:hint="eastAsia" w:ascii="宋体" w:eastAsia="宋体"/>
                <w:color w:val="auto"/>
                <w:spacing w:val="12"/>
                <w:highlight w:val="none"/>
                <w:lang w:val="en-US" w:eastAsia="zh-CN"/>
              </w:rPr>
            </w:pPr>
          </w:p>
        </w:tc>
        <w:tc>
          <w:tcPr>
            <w:tcW w:w="1676" w:type="dxa"/>
            <w:vAlign w:val="top"/>
          </w:tcPr>
          <w:p w14:paraId="74AB53F4">
            <w:pPr>
              <w:spacing w:line="540" w:lineRule="exact"/>
              <w:rPr>
                <w:rFonts w:hint="eastAsia" w:ascii="宋体" w:eastAsia="宋体"/>
                <w:color w:val="auto"/>
                <w:spacing w:val="12"/>
                <w:highlight w:val="none"/>
                <w:lang w:val="en-US" w:eastAsia="zh-CN"/>
              </w:rPr>
            </w:pPr>
          </w:p>
        </w:tc>
        <w:tc>
          <w:tcPr>
            <w:tcW w:w="894" w:type="dxa"/>
            <w:vMerge w:val="continue"/>
            <w:vAlign w:val="top"/>
          </w:tcPr>
          <w:p w14:paraId="33EF6A1A">
            <w:pPr>
              <w:spacing w:line="540" w:lineRule="exact"/>
              <w:rPr>
                <w:rFonts w:ascii="宋体"/>
                <w:color w:val="auto"/>
                <w:spacing w:val="12"/>
                <w:highlight w:val="none"/>
              </w:rPr>
            </w:pPr>
          </w:p>
        </w:tc>
        <w:tc>
          <w:tcPr>
            <w:tcW w:w="913" w:type="dxa"/>
            <w:vMerge w:val="continue"/>
            <w:vAlign w:val="top"/>
          </w:tcPr>
          <w:p w14:paraId="1BD1998B">
            <w:pPr>
              <w:spacing w:line="540" w:lineRule="exact"/>
              <w:rPr>
                <w:rFonts w:ascii="宋体"/>
                <w:color w:val="auto"/>
                <w:spacing w:val="12"/>
                <w:highlight w:val="none"/>
              </w:rPr>
            </w:pPr>
          </w:p>
        </w:tc>
      </w:tr>
    </w:tbl>
    <w:p w14:paraId="23808E6E">
      <w:pPr>
        <w:pStyle w:val="251"/>
        <w:spacing w:before="120" w:after="120"/>
        <w:outlineLvl w:val="1"/>
        <w:rPr>
          <w:rFonts w:hint="eastAsia"/>
          <w:color w:val="auto"/>
          <w:highlight w:val="none"/>
        </w:rPr>
      </w:pPr>
    </w:p>
    <w:p w14:paraId="44EAA77D">
      <w:pPr>
        <w:pStyle w:val="251"/>
        <w:spacing w:before="120" w:after="120"/>
        <w:outlineLvl w:val="1"/>
        <w:rPr>
          <w:color w:val="auto"/>
          <w:highlight w:val="none"/>
        </w:rPr>
      </w:pPr>
      <w:r>
        <w:rPr>
          <w:rFonts w:hint="eastAsia"/>
          <w:color w:val="auto"/>
          <w:highlight w:val="none"/>
        </w:rPr>
        <w:t>附件三：承包人提供的材料和工程设备一览表</w:t>
      </w:r>
    </w:p>
    <w:p w14:paraId="18496E94">
      <w:pPr>
        <w:spacing w:line="360" w:lineRule="auto"/>
        <w:jc w:val="center"/>
        <w:rPr>
          <w:rFonts w:ascii="宋体"/>
          <w:b/>
          <w:color w:val="auto"/>
          <w:sz w:val="28"/>
          <w:highlight w:val="none"/>
        </w:rPr>
      </w:pPr>
      <w:r>
        <w:rPr>
          <w:rFonts w:hint="eastAsia" w:ascii="宋体" w:hAnsi="宋体"/>
          <w:b/>
          <w:color w:val="auto"/>
          <w:sz w:val="28"/>
          <w:highlight w:val="none"/>
        </w:rPr>
        <w:t>承包人提供的材料和工程设备一览表</w:t>
      </w:r>
    </w:p>
    <w:tbl>
      <w:tblPr>
        <w:tblStyle w:val="42"/>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300E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38D90BE0">
            <w:pPr>
              <w:spacing w:line="360" w:lineRule="auto"/>
              <w:jc w:val="center"/>
              <w:rPr>
                <w:rFonts w:ascii="宋体"/>
                <w:color w:val="auto"/>
                <w:highlight w:val="none"/>
              </w:rPr>
            </w:pPr>
            <w:r>
              <w:rPr>
                <w:rFonts w:hint="eastAsia" w:ascii="宋体" w:hAnsi="宋体"/>
                <w:color w:val="auto"/>
                <w:highlight w:val="none"/>
              </w:rPr>
              <w:t>序</w:t>
            </w:r>
          </w:p>
          <w:p w14:paraId="7E3BE228">
            <w:pPr>
              <w:spacing w:line="360" w:lineRule="auto"/>
              <w:jc w:val="center"/>
              <w:rPr>
                <w:rFonts w:ascii="宋体"/>
                <w:color w:val="auto"/>
                <w:highlight w:val="none"/>
              </w:rPr>
            </w:pPr>
            <w:r>
              <w:rPr>
                <w:rFonts w:hint="eastAsia" w:ascii="宋体" w:hAnsi="宋体"/>
                <w:color w:val="auto"/>
                <w:highlight w:val="none"/>
              </w:rPr>
              <w:t>号</w:t>
            </w:r>
          </w:p>
        </w:tc>
        <w:tc>
          <w:tcPr>
            <w:tcW w:w="1155" w:type="dxa"/>
            <w:vAlign w:val="center"/>
          </w:tcPr>
          <w:p w14:paraId="2C9630FF">
            <w:pPr>
              <w:spacing w:line="360" w:lineRule="auto"/>
              <w:jc w:val="center"/>
              <w:rPr>
                <w:rFonts w:ascii="宋体"/>
                <w:color w:val="auto"/>
                <w:highlight w:val="none"/>
              </w:rPr>
            </w:pPr>
            <w:r>
              <w:rPr>
                <w:rFonts w:hint="eastAsia" w:ascii="宋体" w:hAnsi="宋体"/>
                <w:color w:val="auto"/>
                <w:highlight w:val="none"/>
              </w:rPr>
              <w:t>材料设备</w:t>
            </w:r>
          </w:p>
          <w:p w14:paraId="2E574F98">
            <w:pPr>
              <w:spacing w:line="360" w:lineRule="auto"/>
              <w:jc w:val="center"/>
              <w:rPr>
                <w:rFonts w:ascii="宋体"/>
                <w:color w:val="auto"/>
                <w:highlight w:val="none"/>
              </w:rPr>
            </w:pPr>
            <w:r>
              <w:rPr>
                <w:rFonts w:hint="eastAsia" w:ascii="宋体" w:hAnsi="宋体"/>
                <w:color w:val="auto"/>
                <w:highlight w:val="none"/>
              </w:rPr>
              <w:t>名</w:t>
            </w:r>
            <w:r>
              <w:rPr>
                <w:rFonts w:ascii="宋体" w:hAnsi="宋体"/>
                <w:color w:val="auto"/>
                <w:highlight w:val="none"/>
              </w:rPr>
              <w:t xml:space="preserve">    </w:t>
            </w:r>
            <w:r>
              <w:rPr>
                <w:rFonts w:hint="eastAsia" w:ascii="宋体" w:hAnsi="宋体"/>
                <w:color w:val="auto"/>
                <w:highlight w:val="none"/>
              </w:rPr>
              <w:t>称</w:t>
            </w:r>
          </w:p>
        </w:tc>
        <w:tc>
          <w:tcPr>
            <w:tcW w:w="1050" w:type="dxa"/>
            <w:vAlign w:val="center"/>
          </w:tcPr>
          <w:p w14:paraId="613A5DF7">
            <w:pPr>
              <w:spacing w:line="360" w:lineRule="auto"/>
              <w:jc w:val="center"/>
              <w:rPr>
                <w:rFonts w:ascii="宋体"/>
                <w:color w:val="auto"/>
                <w:highlight w:val="none"/>
              </w:rPr>
            </w:pPr>
            <w:r>
              <w:rPr>
                <w:rFonts w:hint="eastAsia" w:ascii="宋体" w:hAnsi="宋体"/>
                <w:color w:val="auto"/>
                <w:highlight w:val="none"/>
              </w:rPr>
              <w:t>规格</w:t>
            </w:r>
          </w:p>
          <w:p w14:paraId="4622D5DE">
            <w:pPr>
              <w:spacing w:line="360" w:lineRule="auto"/>
              <w:jc w:val="center"/>
              <w:rPr>
                <w:rFonts w:ascii="宋体"/>
                <w:color w:val="auto"/>
                <w:highlight w:val="none"/>
              </w:rPr>
            </w:pPr>
            <w:r>
              <w:rPr>
                <w:rFonts w:hint="eastAsia" w:ascii="宋体" w:hAnsi="宋体"/>
                <w:color w:val="auto"/>
                <w:highlight w:val="none"/>
              </w:rPr>
              <w:t>型号</w:t>
            </w:r>
          </w:p>
        </w:tc>
        <w:tc>
          <w:tcPr>
            <w:tcW w:w="630" w:type="dxa"/>
            <w:vAlign w:val="center"/>
          </w:tcPr>
          <w:p w14:paraId="2FC5ECFF">
            <w:pPr>
              <w:spacing w:line="360" w:lineRule="auto"/>
              <w:jc w:val="center"/>
              <w:rPr>
                <w:rFonts w:ascii="宋体"/>
                <w:color w:val="auto"/>
                <w:highlight w:val="none"/>
              </w:rPr>
            </w:pPr>
            <w:r>
              <w:rPr>
                <w:rFonts w:hint="eastAsia" w:ascii="宋体" w:hAnsi="宋体"/>
                <w:color w:val="auto"/>
                <w:highlight w:val="none"/>
              </w:rPr>
              <w:t>单</w:t>
            </w:r>
          </w:p>
          <w:p w14:paraId="3AAC42A4">
            <w:pPr>
              <w:spacing w:line="360" w:lineRule="auto"/>
              <w:jc w:val="center"/>
              <w:rPr>
                <w:rFonts w:ascii="宋体"/>
                <w:color w:val="auto"/>
                <w:highlight w:val="none"/>
              </w:rPr>
            </w:pPr>
            <w:r>
              <w:rPr>
                <w:rFonts w:hint="eastAsia" w:ascii="宋体" w:hAnsi="宋体"/>
                <w:color w:val="auto"/>
                <w:highlight w:val="none"/>
              </w:rPr>
              <w:t>位</w:t>
            </w:r>
          </w:p>
        </w:tc>
        <w:tc>
          <w:tcPr>
            <w:tcW w:w="525" w:type="dxa"/>
            <w:vAlign w:val="center"/>
          </w:tcPr>
          <w:p w14:paraId="632095BC">
            <w:pPr>
              <w:spacing w:line="360" w:lineRule="auto"/>
              <w:jc w:val="center"/>
              <w:rPr>
                <w:rFonts w:ascii="宋体"/>
                <w:color w:val="auto"/>
                <w:highlight w:val="none"/>
              </w:rPr>
            </w:pPr>
            <w:r>
              <w:rPr>
                <w:rFonts w:hint="eastAsia" w:ascii="宋体" w:hAnsi="宋体"/>
                <w:color w:val="auto"/>
                <w:highlight w:val="none"/>
              </w:rPr>
              <w:t>数</w:t>
            </w:r>
          </w:p>
          <w:p w14:paraId="4E01898B">
            <w:pPr>
              <w:spacing w:line="360" w:lineRule="auto"/>
              <w:jc w:val="center"/>
              <w:rPr>
                <w:rFonts w:ascii="宋体"/>
                <w:color w:val="auto"/>
                <w:highlight w:val="none"/>
              </w:rPr>
            </w:pPr>
            <w:r>
              <w:rPr>
                <w:rFonts w:hint="eastAsia" w:ascii="宋体" w:hAnsi="宋体"/>
                <w:color w:val="auto"/>
                <w:highlight w:val="none"/>
              </w:rPr>
              <w:t>量</w:t>
            </w:r>
          </w:p>
        </w:tc>
        <w:tc>
          <w:tcPr>
            <w:tcW w:w="735" w:type="dxa"/>
            <w:vAlign w:val="center"/>
          </w:tcPr>
          <w:p w14:paraId="6AD4FBA4">
            <w:pPr>
              <w:spacing w:line="360" w:lineRule="auto"/>
              <w:jc w:val="center"/>
              <w:rPr>
                <w:rFonts w:ascii="宋体"/>
                <w:color w:val="auto"/>
                <w:highlight w:val="none"/>
              </w:rPr>
            </w:pPr>
            <w:r>
              <w:rPr>
                <w:rFonts w:hint="eastAsia" w:ascii="宋体" w:hAnsi="宋体"/>
                <w:color w:val="auto"/>
                <w:highlight w:val="none"/>
              </w:rPr>
              <w:t>单</w:t>
            </w:r>
          </w:p>
          <w:p w14:paraId="0A2F7A63">
            <w:pPr>
              <w:spacing w:line="360" w:lineRule="auto"/>
              <w:jc w:val="center"/>
              <w:rPr>
                <w:rFonts w:ascii="宋体"/>
                <w:color w:val="auto"/>
                <w:highlight w:val="none"/>
              </w:rPr>
            </w:pPr>
            <w:r>
              <w:rPr>
                <w:rFonts w:hint="eastAsia" w:ascii="宋体" w:hAnsi="宋体"/>
                <w:color w:val="auto"/>
                <w:highlight w:val="none"/>
              </w:rPr>
              <w:t>价</w:t>
            </w:r>
          </w:p>
        </w:tc>
        <w:tc>
          <w:tcPr>
            <w:tcW w:w="840" w:type="dxa"/>
            <w:vAlign w:val="center"/>
          </w:tcPr>
          <w:p w14:paraId="6A42FBE0">
            <w:pPr>
              <w:spacing w:line="360" w:lineRule="auto"/>
              <w:jc w:val="center"/>
              <w:rPr>
                <w:rFonts w:ascii="宋体"/>
                <w:color w:val="auto"/>
                <w:highlight w:val="none"/>
              </w:rPr>
            </w:pPr>
            <w:r>
              <w:rPr>
                <w:rFonts w:hint="eastAsia" w:ascii="宋体" w:hAnsi="宋体"/>
                <w:color w:val="auto"/>
                <w:highlight w:val="none"/>
              </w:rPr>
              <w:t>交货</w:t>
            </w:r>
          </w:p>
          <w:p w14:paraId="01FE5386">
            <w:pPr>
              <w:spacing w:line="360" w:lineRule="auto"/>
              <w:jc w:val="center"/>
              <w:rPr>
                <w:rFonts w:ascii="宋体"/>
                <w:color w:val="auto"/>
                <w:highlight w:val="none"/>
              </w:rPr>
            </w:pPr>
            <w:r>
              <w:rPr>
                <w:rFonts w:hint="eastAsia" w:ascii="宋体" w:hAnsi="宋体"/>
                <w:color w:val="auto"/>
                <w:highlight w:val="none"/>
              </w:rPr>
              <w:t>方式</w:t>
            </w:r>
          </w:p>
        </w:tc>
        <w:tc>
          <w:tcPr>
            <w:tcW w:w="840" w:type="dxa"/>
            <w:vAlign w:val="center"/>
          </w:tcPr>
          <w:p w14:paraId="25007DEC">
            <w:pPr>
              <w:spacing w:line="360" w:lineRule="auto"/>
              <w:jc w:val="center"/>
              <w:rPr>
                <w:rFonts w:ascii="宋体"/>
                <w:color w:val="auto"/>
                <w:highlight w:val="none"/>
              </w:rPr>
            </w:pPr>
            <w:r>
              <w:rPr>
                <w:rFonts w:hint="eastAsia" w:ascii="宋体" w:hAnsi="宋体"/>
                <w:color w:val="auto"/>
                <w:highlight w:val="none"/>
              </w:rPr>
              <w:t>交货</w:t>
            </w:r>
          </w:p>
          <w:p w14:paraId="4178F8FC">
            <w:pPr>
              <w:spacing w:line="360" w:lineRule="auto"/>
              <w:jc w:val="center"/>
              <w:rPr>
                <w:rFonts w:ascii="宋体"/>
                <w:color w:val="auto"/>
                <w:highlight w:val="none"/>
              </w:rPr>
            </w:pPr>
            <w:r>
              <w:rPr>
                <w:rFonts w:hint="eastAsia" w:ascii="宋体" w:hAnsi="宋体"/>
                <w:color w:val="auto"/>
                <w:highlight w:val="none"/>
              </w:rPr>
              <w:t>地点</w:t>
            </w:r>
          </w:p>
        </w:tc>
        <w:tc>
          <w:tcPr>
            <w:tcW w:w="735" w:type="dxa"/>
            <w:vAlign w:val="center"/>
          </w:tcPr>
          <w:p w14:paraId="2D5D4727">
            <w:pPr>
              <w:spacing w:line="360" w:lineRule="auto"/>
              <w:jc w:val="center"/>
              <w:rPr>
                <w:rFonts w:ascii="宋体"/>
                <w:color w:val="auto"/>
                <w:highlight w:val="none"/>
              </w:rPr>
            </w:pPr>
            <w:r>
              <w:rPr>
                <w:rFonts w:hint="eastAsia" w:ascii="宋体" w:hAnsi="宋体"/>
                <w:color w:val="auto"/>
                <w:highlight w:val="none"/>
              </w:rPr>
              <w:t>计划交货</w:t>
            </w:r>
          </w:p>
          <w:p w14:paraId="70F58AD0">
            <w:pPr>
              <w:spacing w:line="360" w:lineRule="auto"/>
              <w:jc w:val="center"/>
              <w:rPr>
                <w:rFonts w:ascii="宋体"/>
                <w:color w:val="auto"/>
                <w:highlight w:val="none"/>
              </w:rPr>
            </w:pPr>
            <w:r>
              <w:rPr>
                <w:rFonts w:hint="eastAsia" w:ascii="宋体" w:hAnsi="宋体"/>
                <w:color w:val="auto"/>
                <w:highlight w:val="none"/>
              </w:rPr>
              <w:t>时间</w:t>
            </w:r>
          </w:p>
        </w:tc>
        <w:tc>
          <w:tcPr>
            <w:tcW w:w="945" w:type="dxa"/>
            <w:vAlign w:val="center"/>
          </w:tcPr>
          <w:p w14:paraId="4EED78EE">
            <w:pPr>
              <w:spacing w:line="360" w:lineRule="auto"/>
              <w:jc w:val="center"/>
              <w:rPr>
                <w:rFonts w:ascii="宋体"/>
                <w:color w:val="auto"/>
                <w:highlight w:val="none"/>
              </w:rPr>
            </w:pPr>
            <w:r>
              <w:rPr>
                <w:rFonts w:hint="eastAsia" w:ascii="宋体" w:hAnsi="宋体"/>
                <w:color w:val="auto"/>
                <w:highlight w:val="none"/>
              </w:rPr>
              <w:t>备注</w:t>
            </w:r>
          </w:p>
        </w:tc>
      </w:tr>
      <w:tr w14:paraId="4063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1E9E4A28">
            <w:pPr>
              <w:spacing w:line="360" w:lineRule="auto"/>
              <w:jc w:val="center"/>
              <w:rPr>
                <w:rFonts w:ascii="宋体"/>
                <w:color w:val="auto"/>
                <w:sz w:val="28"/>
                <w:szCs w:val="28"/>
                <w:highlight w:val="none"/>
              </w:rPr>
            </w:pPr>
          </w:p>
        </w:tc>
        <w:tc>
          <w:tcPr>
            <w:tcW w:w="1155" w:type="dxa"/>
            <w:vAlign w:val="top"/>
          </w:tcPr>
          <w:p w14:paraId="3664FC65">
            <w:pPr>
              <w:spacing w:line="360" w:lineRule="auto"/>
              <w:jc w:val="center"/>
              <w:rPr>
                <w:rFonts w:ascii="宋体"/>
                <w:color w:val="auto"/>
                <w:sz w:val="28"/>
                <w:szCs w:val="28"/>
                <w:highlight w:val="none"/>
              </w:rPr>
            </w:pPr>
          </w:p>
        </w:tc>
        <w:tc>
          <w:tcPr>
            <w:tcW w:w="1050" w:type="dxa"/>
            <w:vAlign w:val="top"/>
          </w:tcPr>
          <w:p w14:paraId="3A4ADEFC">
            <w:pPr>
              <w:spacing w:line="360" w:lineRule="auto"/>
              <w:jc w:val="center"/>
              <w:rPr>
                <w:rFonts w:ascii="宋体"/>
                <w:color w:val="auto"/>
                <w:sz w:val="28"/>
                <w:szCs w:val="28"/>
                <w:highlight w:val="none"/>
              </w:rPr>
            </w:pPr>
          </w:p>
        </w:tc>
        <w:tc>
          <w:tcPr>
            <w:tcW w:w="630" w:type="dxa"/>
            <w:vAlign w:val="top"/>
          </w:tcPr>
          <w:p w14:paraId="0075B1FC">
            <w:pPr>
              <w:spacing w:line="360" w:lineRule="auto"/>
              <w:jc w:val="center"/>
              <w:rPr>
                <w:rFonts w:ascii="宋体"/>
                <w:color w:val="auto"/>
                <w:sz w:val="28"/>
                <w:szCs w:val="28"/>
                <w:highlight w:val="none"/>
              </w:rPr>
            </w:pPr>
          </w:p>
        </w:tc>
        <w:tc>
          <w:tcPr>
            <w:tcW w:w="525" w:type="dxa"/>
            <w:vAlign w:val="top"/>
          </w:tcPr>
          <w:p w14:paraId="53384AA1">
            <w:pPr>
              <w:spacing w:line="360" w:lineRule="auto"/>
              <w:jc w:val="center"/>
              <w:rPr>
                <w:rFonts w:ascii="宋体"/>
                <w:color w:val="auto"/>
                <w:sz w:val="28"/>
                <w:szCs w:val="28"/>
                <w:highlight w:val="none"/>
              </w:rPr>
            </w:pPr>
          </w:p>
        </w:tc>
        <w:tc>
          <w:tcPr>
            <w:tcW w:w="735" w:type="dxa"/>
            <w:vAlign w:val="top"/>
          </w:tcPr>
          <w:p w14:paraId="2FC03333">
            <w:pPr>
              <w:spacing w:line="360" w:lineRule="auto"/>
              <w:jc w:val="center"/>
              <w:rPr>
                <w:rFonts w:ascii="宋体"/>
                <w:color w:val="auto"/>
                <w:sz w:val="28"/>
                <w:szCs w:val="28"/>
                <w:highlight w:val="none"/>
              </w:rPr>
            </w:pPr>
          </w:p>
        </w:tc>
        <w:tc>
          <w:tcPr>
            <w:tcW w:w="840" w:type="dxa"/>
            <w:vAlign w:val="top"/>
          </w:tcPr>
          <w:p w14:paraId="45D5F245">
            <w:pPr>
              <w:spacing w:line="360" w:lineRule="auto"/>
              <w:jc w:val="center"/>
              <w:rPr>
                <w:rFonts w:ascii="宋体"/>
                <w:color w:val="auto"/>
                <w:sz w:val="28"/>
                <w:szCs w:val="28"/>
                <w:highlight w:val="none"/>
              </w:rPr>
            </w:pPr>
          </w:p>
        </w:tc>
        <w:tc>
          <w:tcPr>
            <w:tcW w:w="840" w:type="dxa"/>
            <w:vAlign w:val="top"/>
          </w:tcPr>
          <w:p w14:paraId="69C98468">
            <w:pPr>
              <w:spacing w:line="360" w:lineRule="auto"/>
              <w:jc w:val="center"/>
              <w:rPr>
                <w:rFonts w:ascii="宋体"/>
                <w:color w:val="auto"/>
                <w:sz w:val="28"/>
                <w:szCs w:val="28"/>
                <w:highlight w:val="none"/>
              </w:rPr>
            </w:pPr>
          </w:p>
        </w:tc>
        <w:tc>
          <w:tcPr>
            <w:tcW w:w="735" w:type="dxa"/>
            <w:vAlign w:val="top"/>
          </w:tcPr>
          <w:p w14:paraId="2143A3EC">
            <w:pPr>
              <w:spacing w:line="360" w:lineRule="auto"/>
              <w:jc w:val="center"/>
              <w:rPr>
                <w:rFonts w:ascii="宋体"/>
                <w:color w:val="auto"/>
                <w:sz w:val="28"/>
                <w:szCs w:val="28"/>
                <w:highlight w:val="none"/>
              </w:rPr>
            </w:pPr>
          </w:p>
        </w:tc>
        <w:tc>
          <w:tcPr>
            <w:tcW w:w="945" w:type="dxa"/>
            <w:vAlign w:val="top"/>
          </w:tcPr>
          <w:p w14:paraId="230A8DA8">
            <w:pPr>
              <w:spacing w:line="360" w:lineRule="auto"/>
              <w:jc w:val="center"/>
              <w:rPr>
                <w:rFonts w:ascii="宋体"/>
                <w:color w:val="auto"/>
                <w:sz w:val="28"/>
                <w:szCs w:val="28"/>
                <w:highlight w:val="none"/>
              </w:rPr>
            </w:pPr>
          </w:p>
        </w:tc>
      </w:tr>
      <w:tr w14:paraId="56B3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693628FF">
            <w:pPr>
              <w:spacing w:line="360" w:lineRule="auto"/>
              <w:jc w:val="center"/>
              <w:rPr>
                <w:rFonts w:ascii="宋体"/>
                <w:color w:val="auto"/>
                <w:sz w:val="28"/>
                <w:szCs w:val="28"/>
                <w:highlight w:val="none"/>
              </w:rPr>
            </w:pPr>
          </w:p>
        </w:tc>
        <w:tc>
          <w:tcPr>
            <w:tcW w:w="1155" w:type="dxa"/>
            <w:vAlign w:val="top"/>
          </w:tcPr>
          <w:p w14:paraId="713B5281">
            <w:pPr>
              <w:spacing w:line="360" w:lineRule="auto"/>
              <w:jc w:val="center"/>
              <w:rPr>
                <w:rFonts w:ascii="宋体"/>
                <w:color w:val="auto"/>
                <w:sz w:val="28"/>
                <w:szCs w:val="28"/>
                <w:highlight w:val="none"/>
              </w:rPr>
            </w:pPr>
          </w:p>
        </w:tc>
        <w:tc>
          <w:tcPr>
            <w:tcW w:w="1050" w:type="dxa"/>
            <w:vAlign w:val="top"/>
          </w:tcPr>
          <w:p w14:paraId="1E5560F2">
            <w:pPr>
              <w:spacing w:line="360" w:lineRule="auto"/>
              <w:jc w:val="center"/>
              <w:rPr>
                <w:rFonts w:ascii="宋体"/>
                <w:color w:val="auto"/>
                <w:sz w:val="28"/>
                <w:szCs w:val="28"/>
                <w:highlight w:val="none"/>
              </w:rPr>
            </w:pPr>
          </w:p>
        </w:tc>
        <w:tc>
          <w:tcPr>
            <w:tcW w:w="630" w:type="dxa"/>
            <w:vAlign w:val="top"/>
          </w:tcPr>
          <w:p w14:paraId="51C9B937">
            <w:pPr>
              <w:spacing w:line="360" w:lineRule="auto"/>
              <w:jc w:val="center"/>
              <w:rPr>
                <w:rFonts w:ascii="宋体"/>
                <w:color w:val="auto"/>
                <w:sz w:val="28"/>
                <w:szCs w:val="28"/>
                <w:highlight w:val="none"/>
              </w:rPr>
            </w:pPr>
          </w:p>
        </w:tc>
        <w:tc>
          <w:tcPr>
            <w:tcW w:w="525" w:type="dxa"/>
            <w:vAlign w:val="top"/>
          </w:tcPr>
          <w:p w14:paraId="11D9209B">
            <w:pPr>
              <w:spacing w:line="360" w:lineRule="auto"/>
              <w:jc w:val="center"/>
              <w:rPr>
                <w:rFonts w:ascii="宋体"/>
                <w:color w:val="auto"/>
                <w:sz w:val="28"/>
                <w:szCs w:val="28"/>
                <w:highlight w:val="none"/>
              </w:rPr>
            </w:pPr>
          </w:p>
        </w:tc>
        <w:tc>
          <w:tcPr>
            <w:tcW w:w="735" w:type="dxa"/>
            <w:vAlign w:val="top"/>
          </w:tcPr>
          <w:p w14:paraId="0F214299">
            <w:pPr>
              <w:spacing w:line="360" w:lineRule="auto"/>
              <w:jc w:val="center"/>
              <w:rPr>
                <w:rFonts w:ascii="宋体"/>
                <w:color w:val="auto"/>
                <w:sz w:val="28"/>
                <w:szCs w:val="28"/>
                <w:highlight w:val="none"/>
              </w:rPr>
            </w:pPr>
          </w:p>
        </w:tc>
        <w:tc>
          <w:tcPr>
            <w:tcW w:w="840" w:type="dxa"/>
            <w:vAlign w:val="top"/>
          </w:tcPr>
          <w:p w14:paraId="16E0B05C">
            <w:pPr>
              <w:spacing w:line="360" w:lineRule="auto"/>
              <w:jc w:val="center"/>
              <w:rPr>
                <w:rFonts w:ascii="宋体"/>
                <w:color w:val="auto"/>
                <w:sz w:val="28"/>
                <w:szCs w:val="28"/>
                <w:highlight w:val="none"/>
              </w:rPr>
            </w:pPr>
          </w:p>
        </w:tc>
        <w:tc>
          <w:tcPr>
            <w:tcW w:w="840" w:type="dxa"/>
            <w:vAlign w:val="top"/>
          </w:tcPr>
          <w:p w14:paraId="36F41B0C">
            <w:pPr>
              <w:spacing w:line="360" w:lineRule="auto"/>
              <w:jc w:val="center"/>
              <w:rPr>
                <w:rFonts w:ascii="宋体"/>
                <w:color w:val="auto"/>
                <w:sz w:val="28"/>
                <w:szCs w:val="28"/>
                <w:highlight w:val="none"/>
              </w:rPr>
            </w:pPr>
          </w:p>
        </w:tc>
        <w:tc>
          <w:tcPr>
            <w:tcW w:w="735" w:type="dxa"/>
            <w:vAlign w:val="top"/>
          </w:tcPr>
          <w:p w14:paraId="38AE119F">
            <w:pPr>
              <w:spacing w:line="360" w:lineRule="auto"/>
              <w:jc w:val="center"/>
              <w:rPr>
                <w:rFonts w:ascii="宋体"/>
                <w:color w:val="auto"/>
                <w:sz w:val="28"/>
                <w:szCs w:val="28"/>
                <w:highlight w:val="none"/>
              </w:rPr>
            </w:pPr>
          </w:p>
        </w:tc>
        <w:tc>
          <w:tcPr>
            <w:tcW w:w="945" w:type="dxa"/>
            <w:vAlign w:val="top"/>
          </w:tcPr>
          <w:p w14:paraId="090046BE">
            <w:pPr>
              <w:spacing w:line="360" w:lineRule="auto"/>
              <w:jc w:val="center"/>
              <w:rPr>
                <w:rFonts w:ascii="宋体"/>
                <w:color w:val="auto"/>
                <w:sz w:val="28"/>
                <w:szCs w:val="28"/>
                <w:highlight w:val="none"/>
              </w:rPr>
            </w:pPr>
          </w:p>
        </w:tc>
      </w:tr>
      <w:tr w14:paraId="0A4B7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2B52D1AB">
            <w:pPr>
              <w:spacing w:line="360" w:lineRule="auto"/>
              <w:jc w:val="center"/>
              <w:rPr>
                <w:rFonts w:ascii="宋体"/>
                <w:color w:val="auto"/>
                <w:sz w:val="28"/>
                <w:szCs w:val="28"/>
                <w:highlight w:val="none"/>
              </w:rPr>
            </w:pPr>
          </w:p>
        </w:tc>
        <w:tc>
          <w:tcPr>
            <w:tcW w:w="1155" w:type="dxa"/>
            <w:vAlign w:val="top"/>
          </w:tcPr>
          <w:p w14:paraId="13096600">
            <w:pPr>
              <w:spacing w:line="360" w:lineRule="auto"/>
              <w:jc w:val="center"/>
              <w:rPr>
                <w:rFonts w:ascii="宋体"/>
                <w:color w:val="auto"/>
                <w:sz w:val="28"/>
                <w:szCs w:val="28"/>
                <w:highlight w:val="none"/>
              </w:rPr>
            </w:pPr>
          </w:p>
        </w:tc>
        <w:tc>
          <w:tcPr>
            <w:tcW w:w="1050" w:type="dxa"/>
            <w:vAlign w:val="top"/>
          </w:tcPr>
          <w:p w14:paraId="15D5FB51">
            <w:pPr>
              <w:spacing w:line="360" w:lineRule="auto"/>
              <w:jc w:val="center"/>
              <w:rPr>
                <w:rFonts w:ascii="宋体"/>
                <w:color w:val="auto"/>
                <w:sz w:val="28"/>
                <w:szCs w:val="28"/>
                <w:highlight w:val="none"/>
              </w:rPr>
            </w:pPr>
          </w:p>
        </w:tc>
        <w:tc>
          <w:tcPr>
            <w:tcW w:w="630" w:type="dxa"/>
            <w:vAlign w:val="top"/>
          </w:tcPr>
          <w:p w14:paraId="21ACFDF6">
            <w:pPr>
              <w:spacing w:line="360" w:lineRule="auto"/>
              <w:jc w:val="center"/>
              <w:rPr>
                <w:rFonts w:ascii="宋体"/>
                <w:color w:val="auto"/>
                <w:sz w:val="28"/>
                <w:szCs w:val="28"/>
                <w:highlight w:val="none"/>
              </w:rPr>
            </w:pPr>
          </w:p>
        </w:tc>
        <w:tc>
          <w:tcPr>
            <w:tcW w:w="525" w:type="dxa"/>
            <w:vAlign w:val="top"/>
          </w:tcPr>
          <w:p w14:paraId="3BFB6717">
            <w:pPr>
              <w:spacing w:line="360" w:lineRule="auto"/>
              <w:jc w:val="center"/>
              <w:rPr>
                <w:rFonts w:ascii="宋体"/>
                <w:color w:val="auto"/>
                <w:sz w:val="28"/>
                <w:szCs w:val="28"/>
                <w:highlight w:val="none"/>
              </w:rPr>
            </w:pPr>
          </w:p>
        </w:tc>
        <w:tc>
          <w:tcPr>
            <w:tcW w:w="735" w:type="dxa"/>
            <w:vAlign w:val="top"/>
          </w:tcPr>
          <w:p w14:paraId="022CAE26">
            <w:pPr>
              <w:spacing w:line="360" w:lineRule="auto"/>
              <w:jc w:val="center"/>
              <w:rPr>
                <w:rFonts w:ascii="宋体"/>
                <w:color w:val="auto"/>
                <w:sz w:val="28"/>
                <w:szCs w:val="28"/>
                <w:highlight w:val="none"/>
              </w:rPr>
            </w:pPr>
          </w:p>
        </w:tc>
        <w:tc>
          <w:tcPr>
            <w:tcW w:w="840" w:type="dxa"/>
            <w:vAlign w:val="top"/>
          </w:tcPr>
          <w:p w14:paraId="643316A9">
            <w:pPr>
              <w:spacing w:line="360" w:lineRule="auto"/>
              <w:jc w:val="center"/>
              <w:rPr>
                <w:rFonts w:ascii="宋体"/>
                <w:color w:val="auto"/>
                <w:sz w:val="28"/>
                <w:szCs w:val="28"/>
                <w:highlight w:val="none"/>
              </w:rPr>
            </w:pPr>
          </w:p>
        </w:tc>
        <w:tc>
          <w:tcPr>
            <w:tcW w:w="840" w:type="dxa"/>
            <w:vAlign w:val="top"/>
          </w:tcPr>
          <w:p w14:paraId="1ECE6150">
            <w:pPr>
              <w:spacing w:line="360" w:lineRule="auto"/>
              <w:jc w:val="center"/>
              <w:rPr>
                <w:rFonts w:ascii="宋体"/>
                <w:color w:val="auto"/>
                <w:sz w:val="28"/>
                <w:szCs w:val="28"/>
                <w:highlight w:val="none"/>
              </w:rPr>
            </w:pPr>
          </w:p>
        </w:tc>
        <w:tc>
          <w:tcPr>
            <w:tcW w:w="735" w:type="dxa"/>
            <w:vAlign w:val="top"/>
          </w:tcPr>
          <w:p w14:paraId="571E9320">
            <w:pPr>
              <w:spacing w:line="360" w:lineRule="auto"/>
              <w:jc w:val="center"/>
              <w:rPr>
                <w:rFonts w:ascii="宋体"/>
                <w:color w:val="auto"/>
                <w:sz w:val="28"/>
                <w:szCs w:val="28"/>
                <w:highlight w:val="none"/>
              </w:rPr>
            </w:pPr>
          </w:p>
        </w:tc>
        <w:tc>
          <w:tcPr>
            <w:tcW w:w="945" w:type="dxa"/>
            <w:vAlign w:val="top"/>
          </w:tcPr>
          <w:p w14:paraId="7898051D">
            <w:pPr>
              <w:spacing w:line="360" w:lineRule="auto"/>
              <w:jc w:val="center"/>
              <w:rPr>
                <w:rFonts w:ascii="宋体"/>
                <w:color w:val="auto"/>
                <w:sz w:val="28"/>
                <w:szCs w:val="28"/>
                <w:highlight w:val="none"/>
              </w:rPr>
            </w:pPr>
          </w:p>
        </w:tc>
      </w:tr>
      <w:tr w14:paraId="1B45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038299FD">
            <w:pPr>
              <w:spacing w:line="360" w:lineRule="auto"/>
              <w:jc w:val="center"/>
              <w:rPr>
                <w:rFonts w:ascii="宋体"/>
                <w:color w:val="auto"/>
                <w:sz w:val="28"/>
                <w:szCs w:val="28"/>
                <w:highlight w:val="none"/>
              </w:rPr>
            </w:pPr>
          </w:p>
        </w:tc>
        <w:tc>
          <w:tcPr>
            <w:tcW w:w="1155" w:type="dxa"/>
            <w:vAlign w:val="top"/>
          </w:tcPr>
          <w:p w14:paraId="0B575F99">
            <w:pPr>
              <w:spacing w:line="360" w:lineRule="auto"/>
              <w:jc w:val="center"/>
              <w:rPr>
                <w:rFonts w:ascii="宋体"/>
                <w:color w:val="auto"/>
                <w:sz w:val="28"/>
                <w:szCs w:val="28"/>
                <w:highlight w:val="none"/>
              </w:rPr>
            </w:pPr>
          </w:p>
        </w:tc>
        <w:tc>
          <w:tcPr>
            <w:tcW w:w="1050" w:type="dxa"/>
            <w:vAlign w:val="top"/>
          </w:tcPr>
          <w:p w14:paraId="4B61CA20">
            <w:pPr>
              <w:spacing w:line="360" w:lineRule="auto"/>
              <w:jc w:val="center"/>
              <w:rPr>
                <w:rFonts w:ascii="宋体"/>
                <w:color w:val="auto"/>
                <w:sz w:val="28"/>
                <w:szCs w:val="28"/>
                <w:highlight w:val="none"/>
              </w:rPr>
            </w:pPr>
          </w:p>
        </w:tc>
        <w:tc>
          <w:tcPr>
            <w:tcW w:w="630" w:type="dxa"/>
            <w:vAlign w:val="top"/>
          </w:tcPr>
          <w:p w14:paraId="6C82B371">
            <w:pPr>
              <w:spacing w:line="360" w:lineRule="auto"/>
              <w:jc w:val="center"/>
              <w:rPr>
                <w:rFonts w:ascii="宋体"/>
                <w:color w:val="auto"/>
                <w:sz w:val="28"/>
                <w:szCs w:val="28"/>
                <w:highlight w:val="none"/>
              </w:rPr>
            </w:pPr>
          </w:p>
        </w:tc>
        <w:tc>
          <w:tcPr>
            <w:tcW w:w="525" w:type="dxa"/>
            <w:vAlign w:val="top"/>
          </w:tcPr>
          <w:p w14:paraId="12C2820B">
            <w:pPr>
              <w:spacing w:line="360" w:lineRule="auto"/>
              <w:jc w:val="center"/>
              <w:rPr>
                <w:rFonts w:ascii="宋体"/>
                <w:color w:val="auto"/>
                <w:sz w:val="28"/>
                <w:szCs w:val="28"/>
                <w:highlight w:val="none"/>
              </w:rPr>
            </w:pPr>
          </w:p>
        </w:tc>
        <w:tc>
          <w:tcPr>
            <w:tcW w:w="735" w:type="dxa"/>
            <w:vAlign w:val="top"/>
          </w:tcPr>
          <w:p w14:paraId="4FF6CB0E">
            <w:pPr>
              <w:spacing w:line="360" w:lineRule="auto"/>
              <w:jc w:val="center"/>
              <w:rPr>
                <w:rFonts w:ascii="宋体"/>
                <w:color w:val="auto"/>
                <w:sz w:val="28"/>
                <w:szCs w:val="28"/>
                <w:highlight w:val="none"/>
              </w:rPr>
            </w:pPr>
          </w:p>
        </w:tc>
        <w:tc>
          <w:tcPr>
            <w:tcW w:w="840" w:type="dxa"/>
            <w:vAlign w:val="top"/>
          </w:tcPr>
          <w:p w14:paraId="0DA304F3">
            <w:pPr>
              <w:spacing w:line="360" w:lineRule="auto"/>
              <w:jc w:val="center"/>
              <w:rPr>
                <w:rFonts w:ascii="宋体"/>
                <w:color w:val="auto"/>
                <w:sz w:val="28"/>
                <w:szCs w:val="28"/>
                <w:highlight w:val="none"/>
              </w:rPr>
            </w:pPr>
          </w:p>
        </w:tc>
        <w:tc>
          <w:tcPr>
            <w:tcW w:w="840" w:type="dxa"/>
            <w:vAlign w:val="top"/>
          </w:tcPr>
          <w:p w14:paraId="6BD0CC97">
            <w:pPr>
              <w:spacing w:line="360" w:lineRule="auto"/>
              <w:jc w:val="center"/>
              <w:rPr>
                <w:rFonts w:ascii="宋体"/>
                <w:color w:val="auto"/>
                <w:sz w:val="28"/>
                <w:szCs w:val="28"/>
                <w:highlight w:val="none"/>
              </w:rPr>
            </w:pPr>
          </w:p>
        </w:tc>
        <w:tc>
          <w:tcPr>
            <w:tcW w:w="735" w:type="dxa"/>
            <w:vAlign w:val="top"/>
          </w:tcPr>
          <w:p w14:paraId="243CBD78">
            <w:pPr>
              <w:spacing w:line="360" w:lineRule="auto"/>
              <w:jc w:val="center"/>
              <w:rPr>
                <w:rFonts w:ascii="宋体"/>
                <w:color w:val="auto"/>
                <w:sz w:val="28"/>
                <w:szCs w:val="28"/>
                <w:highlight w:val="none"/>
              </w:rPr>
            </w:pPr>
          </w:p>
        </w:tc>
        <w:tc>
          <w:tcPr>
            <w:tcW w:w="945" w:type="dxa"/>
            <w:vAlign w:val="top"/>
          </w:tcPr>
          <w:p w14:paraId="3430A6CA">
            <w:pPr>
              <w:spacing w:line="360" w:lineRule="auto"/>
              <w:jc w:val="center"/>
              <w:rPr>
                <w:rFonts w:ascii="宋体"/>
                <w:color w:val="auto"/>
                <w:sz w:val="28"/>
                <w:szCs w:val="28"/>
                <w:highlight w:val="none"/>
              </w:rPr>
            </w:pPr>
          </w:p>
        </w:tc>
      </w:tr>
      <w:tr w14:paraId="656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154C6B98">
            <w:pPr>
              <w:spacing w:line="360" w:lineRule="auto"/>
              <w:jc w:val="center"/>
              <w:rPr>
                <w:rFonts w:ascii="宋体"/>
                <w:color w:val="auto"/>
                <w:sz w:val="28"/>
                <w:szCs w:val="28"/>
                <w:highlight w:val="none"/>
              </w:rPr>
            </w:pPr>
          </w:p>
        </w:tc>
        <w:tc>
          <w:tcPr>
            <w:tcW w:w="1155" w:type="dxa"/>
            <w:vAlign w:val="top"/>
          </w:tcPr>
          <w:p w14:paraId="097AD158">
            <w:pPr>
              <w:spacing w:line="360" w:lineRule="auto"/>
              <w:jc w:val="center"/>
              <w:rPr>
                <w:rFonts w:ascii="宋体"/>
                <w:color w:val="auto"/>
                <w:sz w:val="28"/>
                <w:szCs w:val="28"/>
                <w:highlight w:val="none"/>
              </w:rPr>
            </w:pPr>
          </w:p>
        </w:tc>
        <w:tc>
          <w:tcPr>
            <w:tcW w:w="1050" w:type="dxa"/>
            <w:vAlign w:val="top"/>
          </w:tcPr>
          <w:p w14:paraId="1FD33C85">
            <w:pPr>
              <w:spacing w:line="360" w:lineRule="auto"/>
              <w:jc w:val="center"/>
              <w:rPr>
                <w:rFonts w:ascii="宋体"/>
                <w:color w:val="auto"/>
                <w:sz w:val="28"/>
                <w:szCs w:val="28"/>
                <w:highlight w:val="none"/>
              </w:rPr>
            </w:pPr>
          </w:p>
        </w:tc>
        <w:tc>
          <w:tcPr>
            <w:tcW w:w="630" w:type="dxa"/>
            <w:vAlign w:val="top"/>
          </w:tcPr>
          <w:p w14:paraId="590C655B">
            <w:pPr>
              <w:spacing w:line="360" w:lineRule="auto"/>
              <w:jc w:val="center"/>
              <w:rPr>
                <w:rFonts w:ascii="宋体"/>
                <w:color w:val="auto"/>
                <w:sz w:val="28"/>
                <w:szCs w:val="28"/>
                <w:highlight w:val="none"/>
              </w:rPr>
            </w:pPr>
          </w:p>
        </w:tc>
        <w:tc>
          <w:tcPr>
            <w:tcW w:w="525" w:type="dxa"/>
            <w:vAlign w:val="top"/>
          </w:tcPr>
          <w:p w14:paraId="3BA46A62">
            <w:pPr>
              <w:spacing w:line="360" w:lineRule="auto"/>
              <w:jc w:val="center"/>
              <w:rPr>
                <w:rFonts w:ascii="宋体"/>
                <w:color w:val="auto"/>
                <w:sz w:val="28"/>
                <w:szCs w:val="28"/>
                <w:highlight w:val="none"/>
              </w:rPr>
            </w:pPr>
          </w:p>
        </w:tc>
        <w:tc>
          <w:tcPr>
            <w:tcW w:w="735" w:type="dxa"/>
            <w:vAlign w:val="top"/>
          </w:tcPr>
          <w:p w14:paraId="536B9C6E">
            <w:pPr>
              <w:spacing w:line="360" w:lineRule="auto"/>
              <w:jc w:val="center"/>
              <w:rPr>
                <w:rFonts w:ascii="宋体"/>
                <w:color w:val="auto"/>
                <w:sz w:val="28"/>
                <w:szCs w:val="28"/>
                <w:highlight w:val="none"/>
              </w:rPr>
            </w:pPr>
          </w:p>
        </w:tc>
        <w:tc>
          <w:tcPr>
            <w:tcW w:w="840" w:type="dxa"/>
            <w:vAlign w:val="top"/>
          </w:tcPr>
          <w:p w14:paraId="6F48F822">
            <w:pPr>
              <w:spacing w:line="360" w:lineRule="auto"/>
              <w:jc w:val="center"/>
              <w:rPr>
                <w:rFonts w:ascii="宋体"/>
                <w:color w:val="auto"/>
                <w:sz w:val="28"/>
                <w:szCs w:val="28"/>
                <w:highlight w:val="none"/>
              </w:rPr>
            </w:pPr>
          </w:p>
        </w:tc>
        <w:tc>
          <w:tcPr>
            <w:tcW w:w="840" w:type="dxa"/>
            <w:vAlign w:val="top"/>
          </w:tcPr>
          <w:p w14:paraId="3BA3F463">
            <w:pPr>
              <w:spacing w:line="360" w:lineRule="auto"/>
              <w:jc w:val="center"/>
              <w:rPr>
                <w:rFonts w:ascii="宋体"/>
                <w:color w:val="auto"/>
                <w:sz w:val="28"/>
                <w:szCs w:val="28"/>
                <w:highlight w:val="none"/>
              </w:rPr>
            </w:pPr>
          </w:p>
        </w:tc>
        <w:tc>
          <w:tcPr>
            <w:tcW w:w="735" w:type="dxa"/>
            <w:vAlign w:val="top"/>
          </w:tcPr>
          <w:p w14:paraId="2C9600BD">
            <w:pPr>
              <w:spacing w:line="360" w:lineRule="auto"/>
              <w:jc w:val="center"/>
              <w:rPr>
                <w:rFonts w:ascii="宋体"/>
                <w:color w:val="auto"/>
                <w:sz w:val="28"/>
                <w:szCs w:val="28"/>
                <w:highlight w:val="none"/>
              </w:rPr>
            </w:pPr>
          </w:p>
        </w:tc>
        <w:tc>
          <w:tcPr>
            <w:tcW w:w="945" w:type="dxa"/>
            <w:vAlign w:val="top"/>
          </w:tcPr>
          <w:p w14:paraId="56CCC2FB">
            <w:pPr>
              <w:spacing w:line="360" w:lineRule="auto"/>
              <w:jc w:val="center"/>
              <w:rPr>
                <w:rFonts w:ascii="宋体"/>
                <w:color w:val="auto"/>
                <w:sz w:val="28"/>
                <w:szCs w:val="28"/>
                <w:highlight w:val="none"/>
              </w:rPr>
            </w:pPr>
          </w:p>
        </w:tc>
      </w:tr>
      <w:tr w14:paraId="4DAB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4E6D5CFE">
            <w:pPr>
              <w:spacing w:line="360" w:lineRule="auto"/>
              <w:jc w:val="center"/>
              <w:rPr>
                <w:rFonts w:ascii="宋体"/>
                <w:color w:val="auto"/>
                <w:sz w:val="28"/>
                <w:szCs w:val="28"/>
                <w:highlight w:val="none"/>
              </w:rPr>
            </w:pPr>
          </w:p>
        </w:tc>
        <w:tc>
          <w:tcPr>
            <w:tcW w:w="1155" w:type="dxa"/>
            <w:vAlign w:val="top"/>
          </w:tcPr>
          <w:p w14:paraId="52DF79EF">
            <w:pPr>
              <w:spacing w:line="360" w:lineRule="auto"/>
              <w:jc w:val="center"/>
              <w:rPr>
                <w:rFonts w:ascii="宋体"/>
                <w:color w:val="auto"/>
                <w:sz w:val="28"/>
                <w:szCs w:val="28"/>
                <w:highlight w:val="none"/>
              </w:rPr>
            </w:pPr>
          </w:p>
        </w:tc>
        <w:tc>
          <w:tcPr>
            <w:tcW w:w="1050" w:type="dxa"/>
            <w:vAlign w:val="top"/>
          </w:tcPr>
          <w:p w14:paraId="3746A3B0">
            <w:pPr>
              <w:spacing w:line="360" w:lineRule="auto"/>
              <w:jc w:val="center"/>
              <w:rPr>
                <w:rFonts w:ascii="宋体"/>
                <w:color w:val="auto"/>
                <w:sz w:val="28"/>
                <w:szCs w:val="28"/>
                <w:highlight w:val="none"/>
              </w:rPr>
            </w:pPr>
          </w:p>
        </w:tc>
        <w:tc>
          <w:tcPr>
            <w:tcW w:w="630" w:type="dxa"/>
            <w:vAlign w:val="top"/>
          </w:tcPr>
          <w:p w14:paraId="41CE7965">
            <w:pPr>
              <w:spacing w:line="360" w:lineRule="auto"/>
              <w:jc w:val="center"/>
              <w:rPr>
                <w:rFonts w:ascii="宋体"/>
                <w:color w:val="auto"/>
                <w:sz w:val="28"/>
                <w:szCs w:val="28"/>
                <w:highlight w:val="none"/>
              </w:rPr>
            </w:pPr>
          </w:p>
        </w:tc>
        <w:tc>
          <w:tcPr>
            <w:tcW w:w="525" w:type="dxa"/>
            <w:vAlign w:val="top"/>
          </w:tcPr>
          <w:p w14:paraId="59FF1689">
            <w:pPr>
              <w:spacing w:line="360" w:lineRule="auto"/>
              <w:jc w:val="center"/>
              <w:rPr>
                <w:rFonts w:ascii="宋体"/>
                <w:color w:val="auto"/>
                <w:sz w:val="28"/>
                <w:szCs w:val="28"/>
                <w:highlight w:val="none"/>
              </w:rPr>
            </w:pPr>
          </w:p>
        </w:tc>
        <w:tc>
          <w:tcPr>
            <w:tcW w:w="735" w:type="dxa"/>
            <w:vAlign w:val="top"/>
          </w:tcPr>
          <w:p w14:paraId="38380C04">
            <w:pPr>
              <w:spacing w:line="360" w:lineRule="auto"/>
              <w:jc w:val="center"/>
              <w:rPr>
                <w:rFonts w:ascii="宋体"/>
                <w:color w:val="auto"/>
                <w:sz w:val="28"/>
                <w:szCs w:val="28"/>
                <w:highlight w:val="none"/>
              </w:rPr>
            </w:pPr>
          </w:p>
        </w:tc>
        <w:tc>
          <w:tcPr>
            <w:tcW w:w="840" w:type="dxa"/>
            <w:vAlign w:val="top"/>
          </w:tcPr>
          <w:p w14:paraId="5836ED94">
            <w:pPr>
              <w:spacing w:line="360" w:lineRule="auto"/>
              <w:jc w:val="center"/>
              <w:rPr>
                <w:rFonts w:ascii="宋体"/>
                <w:color w:val="auto"/>
                <w:sz w:val="28"/>
                <w:szCs w:val="28"/>
                <w:highlight w:val="none"/>
              </w:rPr>
            </w:pPr>
          </w:p>
        </w:tc>
        <w:tc>
          <w:tcPr>
            <w:tcW w:w="840" w:type="dxa"/>
            <w:vAlign w:val="top"/>
          </w:tcPr>
          <w:p w14:paraId="03CA9225">
            <w:pPr>
              <w:spacing w:line="360" w:lineRule="auto"/>
              <w:jc w:val="center"/>
              <w:rPr>
                <w:rFonts w:ascii="宋体"/>
                <w:color w:val="auto"/>
                <w:sz w:val="28"/>
                <w:szCs w:val="28"/>
                <w:highlight w:val="none"/>
              </w:rPr>
            </w:pPr>
          </w:p>
        </w:tc>
        <w:tc>
          <w:tcPr>
            <w:tcW w:w="735" w:type="dxa"/>
            <w:vAlign w:val="top"/>
          </w:tcPr>
          <w:p w14:paraId="7DDAFB8C">
            <w:pPr>
              <w:spacing w:line="360" w:lineRule="auto"/>
              <w:jc w:val="center"/>
              <w:rPr>
                <w:rFonts w:ascii="宋体"/>
                <w:color w:val="auto"/>
                <w:sz w:val="28"/>
                <w:szCs w:val="28"/>
                <w:highlight w:val="none"/>
              </w:rPr>
            </w:pPr>
          </w:p>
        </w:tc>
        <w:tc>
          <w:tcPr>
            <w:tcW w:w="945" w:type="dxa"/>
            <w:vAlign w:val="top"/>
          </w:tcPr>
          <w:p w14:paraId="04F53716">
            <w:pPr>
              <w:spacing w:line="360" w:lineRule="auto"/>
              <w:jc w:val="center"/>
              <w:rPr>
                <w:rFonts w:ascii="宋体"/>
                <w:color w:val="auto"/>
                <w:sz w:val="28"/>
                <w:szCs w:val="28"/>
                <w:highlight w:val="none"/>
              </w:rPr>
            </w:pPr>
          </w:p>
        </w:tc>
      </w:tr>
      <w:tr w14:paraId="4FF9A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61B8DA6B">
            <w:pPr>
              <w:spacing w:line="360" w:lineRule="auto"/>
              <w:jc w:val="center"/>
              <w:rPr>
                <w:rFonts w:ascii="宋体"/>
                <w:color w:val="auto"/>
                <w:sz w:val="28"/>
                <w:szCs w:val="28"/>
                <w:highlight w:val="none"/>
              </w:rPr>
            </w:pPr>
          </w:p>
        </w:tc>
        <w:tc>
          <w:tcPr>
            <w:tcW w:w="1155" w:type="dxa"/>
            <w:vAlign w:val="top"/>
          </w:tcPr>
          <w:p w14:paraId="3DF87EEA">
            <w:pPr>
              <w:spacing w:line="360" w:lineRule="auto"/>
              <w:jc w:val="center"/>
              <w:rPr>
                <w:rFonts w:ascii="宋体"/>
                <w:color w:val="auto"/>
                <w:sz w:val="28"/>
                <w:szCs w:val="28"/>
                <w:highlight w:val="none"/>
              </w:rPr>
            </w:pPr>
          </w:p>
        </w:tc>
        <w:tc>
          <w:tcPr>
            <w:tcW w:w="1050" w:type="dxa"/>
            <w:vAlign w:val="top"/>
          </w:tcPr>
          <w:p w14:paraId="73A400F9">
            <w:pPr>
              <w:spacing w:line="360" w:lineRule="auto"/>
              <w:jc w:val="center"/>
              <w:rPr>
                <w:rFonts w:ascii="宋体"/>
                <w:color w:val="auto"/>
                <w:sz w:val="28"/>
                <w:szCs w:val="28"/>
                <w:highlight w:val="none"/>
              </w:rPr>
            </w:pPr>
          </w:p>
        </w:tc>
        <w:tc>
          <w:tcPr>
            <w:tcW w:w="630" w:type="dxa"/>
            <w:vAlign w:val="top"/>
          </w:tcPr>
          <w:p w14:paraId="7DFBD250">
            <w:pPr>
              <w:spacing w:line="360" w:lineRule="auto"/>
              <w:jc w:val="center"/>
              <w:rPr>
                <w:rFonts w:ascii="宋体"/>
                <w:color w:val="auto"/>
                <w:sz w:val="28"/>
                <w:szCs w:val="28"/>
                <w:highlight w:val="none"/>
              </w:rPr>
            </w:pPr>
          </w:p>
        </w:tc>
        <w:tc>
          <w:tcPr>
            <w:tcW w:w="525" w:type="dxa"/>
            <w:vAlign w:val="top"/>
          </w:tcPr>
          <w:p w14:paraId="20A49D4C">
            <w:pPr>
              <w:spacing w:line="360" w:lineRule="auto"/>
              <w:jc w:val="center"/>
              <w:rPr>
                <w:rFonts w:ascii="宋体"/>
                <w:color w:val="auto"/>
                <w:sz w:val="28"/>
                <w:szCs w:val="28"/>
                <w:highlight w:val="none"/>
              </w:rPr>
            </w:pPr>
          </w:p>
        </w:tc>
        <w:tc>
          <w:tcPr>
            <w:tcW w:w="735" w:type="dxa"/>
            <w:vAlign w:val="top"/>
          </w:tcPr>
          <w:p w14:paraId="0BEE89B2">
            <w:pPr>
              <w:spacing w:line="360" w:lineRule="auto"/>
              <w:jc w:val="center"/>
              <w:rPr>
                <w:rFonts w:ascii="宋体"/>
                <w:color w:val="auto"/>
                <w:sz w:val="28"/>
                <w:szCs w:val="28"/>
                <w:highlight w:val="none"/>
              </w:rPr>
            </w:pPr>
          </w:p>
        </w:tc>
        <w:tc>
          <w:tcPr>
            <w:tcW w:w="840" w:type="dxa"/>
            <w:vAlign w:val="top"/>
          </w:tcPr>
          <w:p w14:paraId="48F3AF11">
            <w:pPr>
              <w:spacing w:line="360" w:lineRule="auto"/>
              <w:jc w:val="center"/>
              <w:rPr>
                <w:rFonts w:ascii="宋体"/>
                <w:color w:val="auto"/>
                <w:sz w:val="28"/>
                <w:szCs w:val="28"/>
                <w:highlight w:val="none"/>
              </w:rPr>
            </w:pPr>
          </w:p>
        </w:tc>
        <w:tc>
          <w:tcPr>
            <w:tcW w:w="840" w:type="dxa"/>
            <w:vAlign w:val="top"/>
          </w:tcPr>
          <w:p w14:paraId="3EFF58A0">
            <w:pPr>
              <w:spacing w:line="360" w:lineRule="auto"/>
              <w:jc w:val="center"/>
              <w:rPr>
                <w:rFonts w:ascii="宋体"/>
                <w:color w:val="auto"/>
                <w:sz w:val="28"/>
                <w:szCs w:val="28"/>
                <w:highlight w:val="none"/>
              </w:rPr>
            </w:pPr>
          </w:p>
        </w:tc>
        <w:tc>
          <w:tcPr>
            <w:tcW w:w="735" w:type="dxa"/>
            <w:vAlign w:val="top"/>
          </w:tcPr>
          <w:p w14:paraId="7F0CEF30">
            <w:pPr>
              <w:spacing w:line="360" w:lineRule="auto"/>
              <w:jc w:val="center"/>
              <w:rPr>
                <w:rFonts w:ascii="宋体"/>
                <w:color w:val="auto"/>
                <w:sz w:val="28"/>
                <w:szCs w:val="28"/>
                <w:highlight w:val="none"/>
              </w:rPr>
            </w:pPr>
          </w:p>
        </w:tc>
        <w:tc>
          <w:tcPr>
            <w:tcW w:w="945" w:type="dxa"/>
            <w:vAlign w:val="top"/>
          </w:tcPr>
          <w:p w14:paraId="29F568DB">
            <w:pPr>
              <w:spacing w:line="360" w:lineRule="auto"/>
              <w:jc w:val="center"/>
              <w:rPr>
                <w:rFonts w:ascii="宋体"/>
                <w:color w:val="auto"/>
                <w:sz w:val="28"/>
                <w:szCs w:val="28"/>
                <w:highlight w:val="none"/>
              </w:rPr>
            </w:pPr>
          </w:p>
        </w:tc>
      </w:tr>
      <w:tr w14:paraId="7F02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3CBD9791">
            <w:pPr>
              <w:spacing w:line="360" w:lineRule="auto"/>
              <w:jc w:val="center"/>
              <w:rPr>
                <w:rFonts w:ascii="宋体"/>
                <w:color w:val="auto"/>
                <w:sz w:val="28"/>
                <w:szCs w:val="28"/>
                <w:highlight w:val="none"/>
              </w:rPr>
            </w:pPr>
          </w:p>
        </w:tc>
        <w:tc>
          <w:tcPr>
            <w:tcW w:w="1155" w:type="dxa"/>
            <w:vAlign w:val="top"/>
          </w:tcPr>
          <w:p w14:paraId="75292127">
            <w:pPr>
              <w:spacing w:line="360" w:lineRule="auto"/>
              <w:jc w:val="center"/>
              <w:rPr>
                <w:rFonts w:ascii="宋体"/>
                <w:color w:val="auto"/>
                <w:sz w:val="28"/>
                <w:szCs w:val="28"/>
                <w:highlight w:val="none"/>
              </w:rPr>
            </w:pPr>
          </w:p>
        </w:tc>
        <w:tc>
          <w:tcPr>
            <w:tcW w:w="1050" w:type="dxa"/>
            <w:vAlign w:val="top"/>
          </w:tcPr>
          <w:p w14:paraId="042032C0">
            <w:pPr>
              <w:spacing w:line="360" w:lineRule="auto"/>
              <w:jc w:val="center"/>
              <w:rPr>
                <w:rFonts w:ascii="宋体"/>
                <w:color w:val="auto"/>
                <w:sz w:val="28"/>
                <w:szCs w:val="28"/>
                <w:highlight w:val="none"/>
              </w:rPr>
            </w:pPr>
          </w:p>
        </w:tc>
        <w:tc>
          <w:tcPr>
            <w:tcW w:w="630" w:type="dxa"/>
            <w:vAlign w:val="top"/>
          </w:tcPr>
          <w:p w14:paraId="74381498">
            <w:pPr>
              <w:spacing w:line="360" w:lineRule="auto"/>
              <w:jc w:val="center"/>
              <w:rPr>
                <w:rFonts w:ascii="宋体"/>
                <w:color w:val="auto"/>
                <w:sz w:val="28"/>
                <w:szCs w:val="28"/>
                <w:highlight w:val="none"/>
              </w:rPr>
            </w:pPr>
          </w:p>
        </w:tc>
        <w:tc>
          <w:tcPr>
            <w:tcW w:w="525" w:type="dxa"/>
            <w:vAlign w:val="top"/>
          </w:tcPr>
          <w:p w14:paraId="24B47CFB">
            <w:pPr>
              <w:spacing w:line="360" w:lineRule="auto"/>
              <w:jc w:val="center"/>
              <w:rPr>
                <w:rFonts w:ascii="宋体"/>
                <w:color w:val="auto"/>
                <w:sz w:val="28"/>
                <w:szCs w:val="28"/>
                <w:highlight w:val="none"/>
              </w:rPr>
            </w:pPr>
          </w:p>
        </w:tc>
        <w:tc>
          <w:tcPr>
            <w:tcW w:w="735" w:type="dxa"/>
            <w:vAlign w:val="top"/>
          </w:tcPr>
          <w:p w14:paraId="495425F4">
            <w:pPr>
              <w:spacing w:line="360" w:lineRule="auto"/>
              <w:jc w:val="center"/>
              <w:rPr>
                <w:rFonts w:ascii="宋体"/>
                <w:color w:val="auto"/>
                <w:sz w:val="28"/>
                <w:szCs w:val="28"/>
                <w:highlight w:val="none"/>
              </w:rPr>
            </w:pPr>
          </w:p>
        </w:tc>
        <w:tc>
          <w:tcPr>
            <w:tcW w:w="840" w:type="dxa"/>
            <w:vAlign w:val="top"/>
          </w:tcPr>
          <w:p w14:paraId="07476518">
            <w:pPr>
              <w:spacing w:line="360" w:lineRule="auto"/>
              <w:jc w:val="center"/>
              <w:rPr>
                <w:rFonts w:ascii="宋体"/>
                <w:color w:val="auto"/>
                <w:sz w:val="28"/>
                <w:szCs w:val="28"/>
                <w:highlight w:val="none"/>
              </w:rPr>
            </w:pPr>
          </w:p>
        </w:tc>
        <w:tc>
          <w:tcPr>
            <w:tcW w:w="840" w:type="dxa"/>
            <w:vAlign w:val="top"/>
          </w:tcPr>
          <w:p w14:paraId="22245A94">
            <w:pPr>
              <w:spacing w:line="360" w:lineRule="auto"/>
              <w:jc w:val="center"/>
              <w:rPr>
                <w:rFonts w:ascii="宋体"/>
                <w:color w:val="auto"/>
                <w:sz w:val="28"/>
                <w:szCs w:val="28"/>
                <w:highlight w:val="none"/>
              </w:rPr>
            </w:pPr>
          </w:p>
        </w:tc>
        <w:tc>
          <w:tcPr>
            <w:tcW w:w="735" w:type="dxa"/>
            <w:vAlign w:val="top"/>
          </w:tcPr>
          <w:p w14:paraId="2382F2DD">
            <w:pPr>
              <w:spacing w:line="360" w:lineRule="auto"/>
              <w:jc w:val="center"/>
              <w:rPr>
                <w:rFonts w:ascii="宋体"/>
                <w:color w:val="auto"/>
                <w:sz w:val="28"/>
                <w:szCs w:val="28"/>
                <w:highlight w:val="none"/>
              </w:rPr>
            </w:pPr>
          </w:p>
        </w:tc>
        <w:tc>
          <w:tcPr>
            <w:tcW w:w="945" w:type="dxa"/>
            <w:vAlign w:val="top"/>
          </w:tcPr>
          <w:p w14:paraId="4E2F0857">
            <w:pPr>
              <w:spacing w:line="360" w:lineRule="auto"/>
              <w:jc w:val="center"/>
              <w:rPr>
                <w:rFonts w:ascii="宋体"/>
                <w:color w:val="auto"/>
                <w:sz w:val="28"/>
                <w:szCs w:val="28"/>
                <w:highlight w:val="none"/>
              </w:rPr>
            </w:pPr>
          </w:p>
        </w:tc>
      </w:tr>
      <w:tr w14:paraId="1527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3EDBA9C2">
            <w:pPr>
              <w:spacing w:line="360" w:lineRule="auto"/>
              <w:jc w:val="center"/>
              <w:rPr>
                <w:rFonts w:ascii="宋体"/>
                <w:color w:val="auto"/>
                <w:sz w:val="28"/>
                <w:szCs w:val="28"/>
                <w:highlight w:val="none"/>
              </w:rPr>
            </w:pPr>
          </w:p>
        </w:tc>
        <w:tc>
          <w:tcPr>
            <w:tcW w:w="1155" w:type="dxa"/>
            <w:vAlign w:val="top"/>
          </w:tcPr>
          <w:p w14:paraId="43BDE40B">
            <w:pPr>
              <w:spacing w:line="360" w:lineRule="auto"/>
              <w:jc w:val="center"/>
              <w:rPr>
                <w:rFonts w:ascii="宋体"/>
                <w:color w:val="auto"/>
                <w:sz w:val="28"/>
                <w:szCs w:val="28"/>
                <w:highlight w:val="none"/>
              </w:rPr>
            </w:pPr>
          </w:p>
        </w:tc>
        <w:tc>
          <w:tcPr>
            <w:tcW w:w="1050" w:type="dxa"/>
            <w:vAlign w:val="top"/>
          </w:tcPr>
          <w:p w14:paraId="68A6D776">
            <w:pPr>
              <w:spacing w:line="360" w:lineRule="auto"/>
              <w:jc w:val="center"/>
              <w:rPr>
                <w:rFonts w:ascii="宋体"/>
                <w:color w:val="auto"/>
                <w:sz w:val="28"/>
                <w:szCs w:val="28"/>
                <w:highlight w:val="none"/>
              </w:rPr>
            </w:pPr>
          </w:p>
        </w:tc>
        <w:tc>
          <w:tcPr>
            <w:tcW w:w="630" w:type="dxa"/>
            <w:vAlign w:val="top"/>
          </w:tcPr>
          <w:p w14:paraId="182F8ED2">
            <w:pPr>
              <w:spacing w:line="360" w:lineRule="auto"/>
              <w:jc w:val="center"/>
              <w:rPr>
                <w:rFonts w:ascii="宋体"/>
                <w:color w:val="auto"/>
                <w:sz w:val="28"/>
                <w:szCs w:val="28"/>
                <w:highlight w:val="none"/>
              </w:rPr>
            </w:pPr>
          </w:p>
        </w:tc>
        <w:tc>
          <w:tcPr>
            <w:tcW w:w="525" w:type="dxa"/>
            <w:vAlign w:val="top"/>
          </w:tcPr>
          <w:p w14:paraId="399C8C39">
            <w:pPr>
              <w:spacing w:line="360" w:lineRule="auto"/>
              <w:jc w:val="center"/>
              <w:rPr>
                <w:rFonts w:ascii="宋体"/>
                <w:color w:val="auto"/>
                <w:sz w:val="28"/>
                <w:szCs w:val="28"/>
                <w:highlight w:val="none"/>
              </w:rPr>
            </w:pPr>
          </w:p>
        </w:tc>
        <w:tc>
          <w:tcPr>
            <w:tcW w:w="735" w:type="dxa"/>
            <w:vAlign w:val="top"/>
          </w:tcPr>
          <w:p w14:paraId="6CDACADA">
            <w:pPr>
              <w:spacing w:line="360" w:lineRule="auto"/>
              <w:jc w:val="center"/>
              <w:rPr>
                <w:rFonts w:ascii="宋体"/>
                <w:color w:val="auto"/>
                <w:sz w:val="28"/>
                <w:szCs w:val="28"/>
                <w:highlight w:val="none"/>
              </w:rPr>
            </w:pPr>
          </w:p>
        </w:tc>
        <w:tc>
          <w:tcPr>
            <w:tcW w:w="840" w:type="dxa"/>
            <w:vAlign w:val="top"/>
          </w:tcPr>
          <w:p w14:paraId="110303E2">
            <w:pPr>
              <w:spacing w:line="360" w:lineRule="auto"/>
              <w:jc w:val="center"/>
              <w:rPr>
                <w:rFonts w:ascii="宋体"/>
                <w:color w:val="auto"/>
                <w:sz w:val="28"/>
                <w:szCs w:val="28"/>
                <w:highlight w:val="none"/>
              </w:rPr>
            </w:pPr>
          </w:p>
        </w:tc>
        <w:tc>
          <w:tcPr>
            <w:tcW w:w="840" w:type="dxa"/>
            <w:vAlign w:val="top"/>
          </w:tcPr>
          <w:p w14:paraId="7A2ED23B">
            <w:pPr>
              <w:spacing w:line="360" w:lineRule="auto"/>
              <w:jc w:val="center"/>
              <w:rPr>
                <w:rFonts w:ascii="宋体"/>
                <w:color w:val="auto"/>
                <w:sz w:val="28"/>
                <w:szCs w:val="28"/>
                <w:highlight w:val="none"/>
              </w:rPr>
            </w:pPr>
          </w:p>
        </w:tc>
        <w:tc>
          <w:tcPr>
            <w:tcW w:w="735" w:type="dxa"/>
            <w:vAlign w:val="top"/>
          </w:tcPr>
          <w:p w14:paraId="3073DBB7">
            <w:pPr>
              <w:spacing w:line="360" w:lineRule="auto"/>
              <w:jc w:val="center"/>
              <w:rPr>
                <w:rFonts w:ascii="宋体"/>
                <w:color w:val="auto"/>
                <w:sz w:val="28"/>
                <w:szCs w:val="28"/>
                <w:highlight w:val="none"/>
              </w:rPr>
            </w:pPr>
          </w:p>
        </w:tc>
        <w:tc>
          <w:tcPr>
            <w:tcW w:w="945" w:type="dxa"/>
            <w:vAlign w:val="top"/>
          </w:tcPr>
          <w:p w14:paraId="449E88FB">
            <w:pPr>
              <w:spacing w:line="360" w:lineRule="auto"/>
              <w:jc w:val="center"/>
              <w:rPr>
                <w:rFonts w:ascii="宋体"/>
                <w:color w:val="auto"/>
                <w:sz w:val="28"/>
                <w:szCs w:val="28"/>
                <w:highlight w:val="none"/>
              </w:rPr>
            </w:pPr>
          </w:p>
        </w:tc>
      </w:tr>
      <w:tr w14:paraId="2C82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dxa"/>
            <w:vAlign w:val="top"/>
          </w:tcPr>
          <w:p w14:paraId="3285D0E2">
            <w:pPr>
              <w:spacing w:line="360" w:lineRule="auto"/>
              <w:jc w:val="center"/>
              <w:rPr>
                <w:rFonts w:ascii="宋体"/>
                <w:color w:val="auto"/>
                <w:sz w:val="28"/>
                <w:szCs w:val="28"/>
                <w:highlight w:val="none"/>
              </w:rPr>
            </w:pPr>
          </w:p>
        </w:tc>
        <w:tc>
          <w:tcPr>
            <w:tcW w:w="1155" w:type="dxa"/>
            <w:vAlign w:val="top"/>
          </w:tcPr>
          <w:p w14:paraId="621B3F38">
            <w:pPr>
              <w:spacing w:line="360" w:lineRule="auto"/>
              <w:jc w:val="center"/>
              <w:rPr>
                <w:rFonts w:ascii="宋体"/>
                <w:color w:val="auto"/>
                <w:sz w:val="28"/>
                <w:szCs w:val="28"/>
                <w:highlight w:val="none"/>
              </w:rPr>
            </w:pPr>
          </w:p>
        </w:tc>
        <w:tc>
          <w:tcPr>
            <w:tcW w:w="1050" w:type="dxa"/>
            <w:vAlign w:val="top"/>
          </w:tcPr>
          <w:p w14:paraId="7516A628">
            <w:pPr>
              <w:spacing w:line="360" w:lineRule="auto"/>
              <w:jc w:val="center"/>
              <w:rPr>
                <w:rFonts w:ascii="宋体"/>
                <w:color w:val="auto"/>
                <w:sz w:val="28"/>
                <w:szCs w:val="28"/>
                <w:highlight w:val="none"/>
              </w:rPr>
            </w:pPr>
          </w:p>
        </w:tc>
        <w:tc>
          <w:tcPr>
            <w:tcW w:w="630" w:type="dxa"/>
            <w:vAlign w:val="top"/>
          </w:tcPr>
          <w:p w14:paraId="360FF28C">
            <w:pPr>
              <w:spacing w:line="360" w:lineRule="auto"/>
              <w:jc w:val="center"/>
              <w:rPr>
                <w:rFonts w:ascii="宋体"/>
                <w:color w:val="auto"/>
                <w:sz w:val="28"/>
                <w:szCs w:val="28"/>
                <w:highlight w:val="none"/>
              </w:rPr>
            </w:pPr>
          </w:p>
        </w:tc>
        <w:tc>
          <w:tcPr>
            <w:tcW w:w="525" w:type="dxa"/>
            <w:vAlign w:val="top"/>
          </w:tcPr>
          <w:p w14:paraId="45819B44">
            <w:pPr>
              <w:spacing w:line="360" w:lineRule="auto"/>
              <w:jc w:val="center"/>
              <w:rPr>
                <w:rFonts w:ascii="宋体"/>
                <w:color w:val="auto"/>
                <w:sz w:val="28"/>
                <w:szCs w:val="28"/>
                <w:highlight w:val="none"/>
              </w:rPr>
            </w:pPr>
          </w:p>
        </w:tc>
        <w:tc>
          <w:tcPr>
            <w:tcW w:w="735" w:type="dxa"/>
            <w:vAlign w:val="top"/>
          </w:tcPr>
          <w:p w14:paraId="7A1A3E18">
            <w:pPr>
              <w:spacing w:line="360" w:lineRule="auto"/>
              <w:jc w:val="center"/>
              <w:rPr>
                <w:rFonts w:ascii="宋体"/>
                <w:color w:val="auto"/>
                <w:sz w:val="28"/>
                <w:szCs w:val="28"/>
                <w:highlight w:val="none"/>
              </w:rPr>
            </w:pPr>
          </w:p>
        </w:tc>
        <w:tc>
          <w:tcPr>
            <w:tcW w:w="840" w:type="dxa"/>
            <w:vAlign w:val="top"/>
          </w:tcPr>
          <w:p w14:paraId="36713324">
            <w:pPr>
              <w:spacing w:line="360" w:lineRule="auto"/>
              <w:jc w:val="center"/>
              <w:rPr>
                <w:rFonts w:ascii="宋体"/>
                <w:color w:val="auto"/>
                <w:sz w:val="28"/>
                <w:szCs w:val="28"/>
                <w:highlight w:val="none"/>
              </w:rPr>
            </w:pPr>
          </w:p>
        </w:tc>
        <w:tc>
          <w:tcPr>
            <w:tcW w:w="840" w:type="dxa"/>
            <w:vAlign w:val="top"/>
          </w:tcPr>
          <w:p w14:paraId="6E1CA37F">
            <w:pPr>
              <w:spacing w:line="360" w:lineRule="auto"/>
              <w:jc w:val="center"/>
              <w:rPr>
                <w:rFonts w:ascii="宋体"/>
                <w:color w:val="auto"/>
                <w:sz w:val="28"/>
                <w:szCs w:val="28"/>
                <w:highlight w:val="none"/>
              </w:rPr>
            </w:pPr>
          </w:p>
        </w:tc>
        <w:tc>
          <w:tcPr>
            <w:tcW w:w="735" w:type="dxa"/>
            <w:vAlign w:val="top"/>
          </w:tcPr>
          <w:p w14:paraId="55DD9059">
            <w:pPr>
              <w:spacing w:line="360" w:lineRule="auto"/>
              <w:jc w:val="center"/>
              <w:rPr>
                <w:rFonts w:ascii="宋体"/>
                <w:color w:val="auto"/>
                <w:sz w:val="28"/>
                <w:szCs w:val="28"/>
                <w:highlight w:val="none"/>
              </w:rPr>
            </w:pPr>
          </w:p>
        </w:tc>
        <w:tc>
          <w:tcPr>
            <w:tcW w:w="945" w:type="dxa"/>
            <w:vAlign w:val="top"/>
          </w:tcPr>
          <w:p w14:paraId="4DB8E76A">
            <w:pPr>
              <w:spacing w:line="360" w:lineRule="auto"/>
              <w:jc w:val="center"/>
              <w:rPr>
                <w:rFonts w:ascii="宋体"/>
                <w:color w:val="auto"/>
                <w:sz w:val="28"/>
                <w:szCs w:val="28"/>
                <w:highlight w:val="none"/>
              </w:rPr>
            </w:pPr>
          </w:p>
        </w:tc>
      </w:tr>
      <w:tr w14:paraId="59A0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7276736F">
            <w:pPr>
              <w:spacing w:line="360" w:lineRule="auto"/>
              <w:jc w:val="center"/>
              <w:rPr>
                <w:rFonts w:ascii="宋体"/>
                <w:color w:val="auto"/>
                <w:sz w:val="28"/>
                <w:szCs w:val="28"/>
                <w:highlight w:val="none"/>
              </w:rPr>
            </w:pPr>
          </w:p>
        </w:tc>
        <w:tc>
          <w:tcPr>
            <w:tcW w:w="1155" w:type="dxa"/>
            <w:vAlign w:val="top"/>
          </w:tcPr>
          <w:p w14:paraId="0979B07C">
            <w:pPr>
              <w:spacing w:line="360" w:lineRule="auto"/>
              <w:jc w:val="center"/>
              <w:rPr>
                <w:rFonts w:ascii="宋体"/>
                <w:color w:val="auto"/>
                <w:sz w:val="28"/>
                <w:szCs w:val="28"/>
                <w:highlight w:val="none"/>
              </w:rPr>
            </w:pPr>
          </w:p>
        </w:tc>
        <w:tc>
          <w:tcPr>
            <w:tcW w:w="1050" w:type="dxa"/>
            <w:vAlign w:val="top"/>
          </w:tcPr>
          <w:p w14:paraId="4E521C9D">
            <w:pPr>
              <w:spacing w:line="360" w:lineRule="auto"/>
              <w:jc w:val="center"/>
              <w:rPr>
                <w:rFonts w:ascii="宋体"/>
                <w:color w:val="auto"/>
                <w:sz w:val="28"/>
                <w:szCs w:val="28"/>
                <w:highlight w:val="none"/>
              </w:rPr>
            </w:pPr>
          </w:p>
        </w:tc>
        <w:tc>
          <w:tcPr>
            <w:tcW w:w="630" w:type="dxa"/>
            <w:vAlign w:val="top"/>
          </w:tcPr>
          <w:p w14:paraId="0D05201E">
            <w:pPr>
              <w:spacing w:line="360" w:lineRule="auto"/>
              <w:jc w:val="center"/>
              <w:rPr>
                <w:rFonts w:ascii="宋体"/>
                <w:color w:val="auto"/>
                <w:sz w:val="28"/>
                <w:szCs w:val="28"/>
                <w:highlight w:val="none"/>
              </w:rPr>
            </w:pPr>
          </w:p>
        </w:tc>
        <w:tc>
          <w:tcPr>
            <w:tcW w:w="525" w:type="dxa"/>
            <w:vAlign w:val="top"/>
          </w:tcPr>
          <w:p w14:paraId="562AB5CE">
            <w:pPr>
              <w:spacing w:line="360" w:lineRule="auto"/>
              <w:jc w:val="center"/>
              <w:rPr>
                <w:rFonts w:ascii="宋体"/>
                <w:color w:val="auto"/>
                <w:sz w:val="28"/>
                <w:szCs w:val="28"/>
                <w:highlight w:val="none"/>
              </w:rPr>
            </w:pPr>
          </w:p>
        </w:tc>
        <w:tc>
          <w:tcPr>
            <w:tcW w:w="735" w:type="dxa"/>
            <w:vAlign w:val="top"/>
          </w:tcPr>
          <w:p w14:paraId="2B0AE9AC">
            <w:pPr>
              <w:spacing w:line="360" w:lineRule="auto"/>
              <w:jc w:val="center"/>
              <w:rPr>
                <w:rFonts w:ascii="宋体"/>
                <w:color w:val="auto"/>
                <w:sz w:val="28"/>
                <w:szCs w:val="28"/>
                <w:highlight w:val="none"/>
              </w:rPr>
            </w:pPr>
          </w:p>
        </w:tc>
        <w:tc>
          <w:tcPr>
            <w:tcW w:w="840" w:type="dxa"/>
            <w:vAlign w:val="top"/>
          </w:tcPr>
          <w:p w14:paraId="1386CB54">
            <w:pPr>
              <w:spacing w:line="360" w:lineRule="auto"/>
              <w:jc w:val="center"/>
              <w:rPr>
                <w:rFonts w:ascii="宋体"/>
                <w:color w:val="auto"/>
                <w:sz w:val="28"/>
                <w:szCs w:val="28"/>
                <w:highlight w:val="none"/>
              </w:rPr>
            </w:pPr>
          </w:p>
        </w:tc>
        <w:tc>
          <w:tcPr>
            <w:tcW w:w="840" w:type="dxa"/>
            <w:vAlign w:val="top"/>
          </w:tcPr>
          <w:p w14:paraId="798B37B9">
            <w:pPr>
              <w:spacing w:line="360" w:lineRule="auto"/>
              <w:jc w:val="center"/>
              <w:rPr>
                <w:rFonts w:ascii="宋体"/>
                <w:color w:val="auto"/>
                <w:sz w:val="28"/>
                <w:szCs w:val="28"/>
                <w:highlight w:val="none"/>
              </w:rPr>
            </w:pPr>
          </w:p>
        </w:tc>
        <w:tc>
          <w:tcPr>
            <w:tcW w:w="735" w:type="dxa"/>
            <w:vAlign w:val="top"/>
          </w:tcPr>
          <w:p w14:paraId="73B3F541">
            <w:pPr>
              <w:spacing w:line="360" w:lineRule="auto"/>
              <w:jc w:val="center"/>
              <w:rPr>
                <w:rFonts w:ascii="宋体"/>
                <w:color w:val="auto"/>
                <w:sz w:val="28"/>
                <w:szCs w:val="28"/>
                <w:highlight w:val="none"/>
              </w:rPr>
            </w:pPr>
          </w:p>
        </w:tc>
        <w:tc>
          <w:tcPr>
            <w:tcW w:w="945" w:type="dxa"/>
            <w:vAlign w:val="top"/>
          </w:tcPr>
          <w:p w14:paraId="33093E5C">
            <w:pPr>
              <w:spacing w:line="360" w:lineRule="auto"/>
              <w:jc w:val="center"/>
              <w:rPr>
                <w:rFonts w:ascii="宋体"/>
                <w:color w:val="auto"/>
                <w:sz w:val="28"/>
                <w:szCs w:val="28"/>
                <w:highlight w:val="none"/>
              </w:rPr>
            </w:pPr>
          </w:p>
        </w:tc>
      </w:tr>
      <w:tr w14:paraId="14A2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0916903F">
            <w:pPr>
              <w:spacing w:line="360" w:lineRule="auto"/>
              <w:jc w:val="center"/>
              <w:rPr>
                <w:rFonts w:ascii="宋体"/>
                <w:color w:val="auto"/>
                <w:sz w:val="28"/>
                <w:szCs w:val="28"/>
                <w:highlight w:val="none"/>
              </w:rPr>
            </w:pPr>
          </w:p>
        </w:tc>
        <w:tc>
          <w:tcPr>
            <w:tcW w:w="1155" w:type="dxa"/>
            <w:vAlign w:val="top"/>
          </w:tcPr>
          <w:p w14:paraId="6C078AE4">
            <w:pPr>
              <w:spacing w:line="360" w:lineRule="auto"/>
              <w:jc w:val="center"/>
              <w:rPr>
                <w:rFonts w:ascii="宋体"/>
                <w:color w:val="auto"/>
                <w:sz w:val="28"/>
                <w:szCs w:val="28"/>
                <w:highlight w:val="none"/>
              </w:rPr>
            </w:pPr>
          </w:p>
        </w:tc>
        <w:tc>
          <w:tcPr>
            <w:tcW w:w="1050" w:type="dxa"/>
            <w:vAlign w:val="top"/>
          </w:tcPr>
          <w:p w14:paraId="0A0C38B2">
            <w:pPr>
              <w:spacing w:line="360" w:lineRule="auto"/>
              <w:jc w:val="center"/>
              <w:rPr>
                <w:rFonts w:ascii="宋体"/>
                <w:color w:val="auto"/>
                <w:sz w:val="28"/>
                <w:szCs w:val="28"/>
                <w:highlight w:val="none"/>
              </w:rPr>
            </w:pPr>
          </w:p>
        </w:tc>
        <w:tc>
          <w:tcPr>
            <w:tcW w:w="630" w:type="dxa"/>
            <w:vAlign w:val="top"/>
          </w:tcPr>
          <w:p w14:paraId="691D6CDD">
            <w:pPr>
              <w:spacing w:line="360" w:lineRule="auto"/>
              <w:jc w:val="center"/>
              <w:rPr>
                <w:rFonts w:ascii="宋体"/>
                <w:color w:val="auto"/>
                <w:sz w:val="28"/>
                <w:szCs w:val="28"/>
                <w:highlight w:val="none"/>
              </w:rPr>
            </w:pPr>
          </w:p>
        </w:tc>
        <w:tc>
          <w:tcPr>
            <w:tcW w:w="525" w:type="dxa"/>
            <w:vAlign w:val="top"/>
          </w:tcPr>
          <w:p w14:paraId="5AF859E9">
            <w:pPr>
              <w:spacing w:line="360" w:lineRule="auto"/>
              <w:jc w:val="center"/>
              <w:rPr>
                <w:rFonts w:ascii="宋体"/>
                <w:color w:val="auto"/>
                <w:sz w:val="28"/>
                <w:szCs w:val="28"/>
                <w:highlight w:val="none"/>
              </w:rPr>
            </w:pPr>
          </w:p>
        </w:tc>
        <w:tc>
          <w:tcPr>
            <w:tcW w:w="735" w:type="dxa"/>
            <w:vAlign w:val="top"/>
          </w:tcPr>
          <w:p w14:paraId="72C4BF04">
            <w:pPr>
              <w:spacing w:line="360" w:lineRule="auto"/>
              <w:jc w:val="center"/>
              <w:rPr>
                <w:rFonts w:ascii="宋体"/>
                <w:color w:val="auto"/>
                <w:sz w:val="28"/>
                <w:szCs w:val="28"/>
                <w:highlight w:val="none"/>
              </w:rPr>
            </w:pPr>
          </w:p>
        </w:tc>
        <w:tc>
          <w:tcPr>
            <w:tcW w:w="840" w:type="dxa"/>
            <w:vAlign w:val="top"/>
          </w:tcPr>
          <w:p w14:paraId="19A5B3AC">
            <w:pPr>
              <w:spacing w:line="360" w:lineRule="auto"/>
              <w:jc w:val="center"/>
              <w:rPr>
                <w:rFonts w:ascii="宋体"/>
                <w:color w:val="auto"/>
                <w:sz w:val="28"/>
                <w:szCs w:val="28"/>
                <w:highlight w:val="none"/>
              </w:rPr>
            </w:pPr>
          </w:p>
        </w:tc>
        <w:tc>
          <w:tcPr>
            <w:tcW w:w="840" w:type="dxa"/>
            <w:vAlign w:val="top"/>
          </w:tcPr>
          <w:p w14:paraId="64D61AF7">
            <w:pPr>
              <w:spacing w:line="360" w:lineRule="auto"/>
              <w:jc w:val="center"/>
              <w:rPr>
                <w:rFonts w:ascii="宋体"/>
                <w:color w:val="auto"/>
                <w:sz w:val="28"/>
                <w:szCs w:val="28"/>
                <w:highlight w:val="none"/>
              </w:rPr>
            </w:pPr>
          </w:p>
        </w:tc>
        <w:tc>
          <w:tcPr>
            <w:tcW w:w="735" w:type="dxa"/>
            <w:vAlign w:val="top"/>
          </w:tcPr>
          <w:p w14:paraId="43F54259">
            <w:pPr>
              <w:spacing w:line="360" w:lineRule="auto"/>
              <w:jc w:val="center"/>
              <w:rPr>
                <w:rFonts w:ascii="宋体"/>
                <w:color w:val="auto"/>
                <w:sz w:val="28"/>
                <w:szCs w:val="28"/>
                <w:highlight w:val="none"/>
              </w:rPr>
            </w:pPr>
          </w:p>
        </w:tc>
        <w:tc>
          <w:tcPr>
            <w:tcW w:w="945" w:type="dxa"/>
            <w:vAlign w:val="top"/>
          </w:tcPr>
          <w:p w14:paraId="2C674638">
            <w:pPr>
              <w:spacing w:line="360" w:lineRule="auto"/>
              <w:jc w:val="center"/>
              <w:rPr>
                <w:rFonts w:ascii="宋体"/>
                <w:color w:val="auto"/>
                <w:sz w:val="28"/>
                <w:szCs w:val="28"/>
                <w:highlight w:val="none"/>
              </w:rPr>
            </w:pPr>
          </w:p>
        </w:tc>
      </w:tr>
      <w:tr w14:paraId="66D0F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342B6D8A">
            <w:pPr>
              <w:spacing w:line="360" w:lineRule="auto"/>
              <w:jc w:val="center"/>
              <w:rPr>
                <w:rFonts w:ascii="宋体"/>
                <w:color w:val="auto"/>
                <w:sz w:val="28"/>
                <w:szCs w:val="28"/>
                <w:highlight w:val="none"/>
              </w:rPr>
            </w:pPr>
          </w:p>
        </w:tc>
        <w:tc>
          <w:tcPr>
            <w:tcW w:w="1155" w:type="dxa"/>
            <w:vAlign w:val="top"/>
          </w:tcPr>
          <w:p w14:paraId="2BF14556">
            <w:pPr>
              <w:spacing w:line="360" w:lineRule="auto"/>
              <w:jc w:val="center"/>
              <w:rPr>
                <w:rFonts w:ascii="宋体"/>
                <w:color w:val="auto"/>
                <w:sz w:val="28"/>
                <w:szCs w:val="28"/>
                <w:highlight w:val="none"/>
              </w:rPr>
            </w:pPr>
          </w:p>
        </w:tc>
        <w:tc>
          <w:tcPr>
            <w:tcW w:w="1050" w:type="dxa"/>
            <w:vAlign w:val="top"/>
          </w:tcPr>
          <w:p w14:paraId="222A6EC1">
            <w:pPr>
              <w:spacing w:line="360" w:lineRule="auto"/>
              <w:jc w:val="center"/>
              <w:rPr>
                <w:rFonts w:ascii="宋体"/>
                <w:color w:val="auto"/>
                <w:sz w:val="28"/>
                <w:szCs w:val="28"/>
                <w:highlight w:val="none"/>
              </w:rPr>
            </w:pPr>
          </w:p>
        </w:tc>
        <w:tc>
          <w:tcPr>
            <w:tcW w:w="630" w:type="dxa"/>
            <w:vAlign w:val="top"/>
          </w:tcPr>
          <w:p w14:paraId="33F4647B">
            <w:pPr>
              <w:spacing w:line="360" w:lineRule="auto"/>
              <w:jc w:val="center"/>
              <w:rPr>
                <w:rFonts w:ascii="宋体"/>
                <w:color w:val="auto"/>
                <w:sz w:val="28"/>
                <w:szCs w:val="28"/>
                <w:highlight w:val="none"/>
              </w:rPr>
            </w:pPr>
          </w:p>
        </w:tc>
        <w:tc>
          <w:tcPr>
            <w:tcW w:w="525" w:type="dxa"/>
            <w:vAlign w:val="top"/>
          </w:tcPr>
          <w:p w14:paraId="1EA2C305">
            <w:pPr>
              <w:spacing w:line="360" w:lineRule="auto"/>
              <w:jc w:val="center"/>
              <w:rPr>
                <w:rFonts w:ascii="宋体"/>
                <w:color w:val="auto"/>
                <w:sz w:val="28"/>
                <w:szCs w:val="28"/>
                <w:highlight w:val="none"/>
              </w:rPr>
            </w:pPr>
          </w:p>
        </w:tc>
        <w:tc>
          <w:tcPr>
            <w:tcW w:w="735" w:type="dxa"/>
            <w:vAlign w:val="top"/>
          </w:tcPr>
          <w:p w14:paraId="0A8A2BC3">
            <w:pPr>
              <w:spacing w:line="360" w:lineRule="auto"/>
              <w:jc w:val="center"/>
              <w:rPr>
                <w:rFonts w:ascii="宋体"/>
                <w:color w:val="auto"/>
                <w:sz w:val="28"/>
                <w:szCs w:val="28"/>
                <w:highlight w:val="none"/>
              </w:rPr>
            </w:pPr>
          </w:p>
        </w:tc>
        <w:tc>
          <w:tcPr>
            <w:tcW w:w="840" w:type="dxa"/>
            <w:vAlign w:val="top"/>
          </w:tcPr>
          <w:p w14:paraId="026AF303">
            <w:pPr>
              <w:spacing w:line="360" w:lineRule="auto"/>
              <w:jc w:val="center"/>
              <w:rPr>
                <w:rFonts w:ascii="宋体"/>
                <w:color w:val="auto"/>
                <w:sz w:val="28"/>
                <w:szCs w:val="28"/>
                <w:highlight w:val="none"/>
              </w:rPr>
            </w:pPr>
          </w:p>
        </w:tc>
        <w:tc>
          <w:tcPr>
            <w:tcW w:w="840" w:type="dxa"/>
            <w:vAlign w:val="top"/>
          </w:tcPr>
          <w:p w14:paraId="641EE4F2">
            <w:pPr>
              <w:spacing w:line="360" w:lineRule="auto"/>
              <w:jc w:val="center"/>
              <w:rPr>
                <w:rFonts w:ascii="宋体"/>
                <w:color w:val="auto"/>
                <w:sz w:val="28"/>
                <w:szCs w:val="28"/>
                <w:highlight w:val="none"/>
              </w:rPr>
            </w:pPr>
          </w:p>
        </w:tc>
        <w:tc>
          <w:tcPr>
            <w:tcW w:w="735" w:type="dxa"/>
            <w:vAlign w:val="top"/>
          </w:tcPr>
          <w:p w14:paraId="336EC51D">
            <w:pPr>
              <w:spacing w:line="360" w:lineRule="auto"/>
              <w:jc w:val="center"/>
              <w:rPr>
                <w:rFonts w:ascii="宋体"/>
                <w:color w:val="auto"/>
                <w:sz w:val="28"/>
                <w:szCs w:val="28"/>
                <w:highlight w:val="none"/>
              </w:rPr>
            </w:pPr>
          </w:p>
        </w:tc>
        <w:tc>
          <w:tcPr>
            <w:tcW w:w="945" w:type="dxa"/>
            <w:vAlign w:val="top"/>
          </w:tcPr>
          <w:p w14:paraId="320F88F9">
            <w:pPr>
              <w:spacing w:line="360" w:lineRule="auto"/>
              <w:jc w:val="center"/>
              <w:rPr>
                <w:rFonts w:ascii="宋体"/>
                <w:color w:val="auto"/>
                <w:sz w:val="28"/>
                <w:szCs w:val="28"/>
                <w:highlight w:val="none"/>
              </w:rPr>
            </w:pPr>
          </w:p>
        </w:tc>
      </w:tr>
      <w:tr w14:paraId="25A0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603D1387">
            <w:pPr>
              <w:spacing w:line="360" w:lineRule="auto"/>
              <w:jc w:val="center"/>
              <w:rPr>
                <w:rFonts w:ascii="宋体"/>
                <w:color w:val="auto"/>
                <w:sz w:val="28"/>
                <w:szCs w:val="28"/>
                <w:highlight w:val="none"/>
              </w:rPr>
            </w:pPr>
          </w:p>
        </w:tc>
        <w:tc>
          <w:tcPr>
            <w:tcW w:w="1155" w:type="dxa"/>
            <w:vAlign w:val="top"/>
          </w:tcPr>
          <w:p w14:paraId="413C00B4">
            <w:pPr>
              <w:spacing w:line="360" w:lineRule="auto"/>
              <w:jc w:val="center"/>
              <w:rPr>
                <w:rFonts w:ascii="宋体"/>
                <w:color w:val="auto"/>
                <w:sz w:val="28"/>
                <w:szCs w:val="28"/>
                <w:highlight w:val="none"/>
              </w:rPr>
            </w:pPr>
          </w:p>
        </w:tc>
        <w:tc>
          <w:tcPr>
            <w:tcW w:w="1050" w:type="dxa"/>
            <w:vAlign w:val="top"/>
          </w:tcPr>
          <w:p w14:paraId="3B083B97">
            <w:pPr>
              <w:spacing w:line="360" w:lineRule="auto"/>
              <w:jc w:val="center"/>
              <w:rPr>
                <w:rFonts w:ascii="宋体"/>
                <w:color w:val="auto"/>
                <w:sz w:val="28"/>
                <w:szCs w:val="28"/>
                <w:highlight w:val="none"/>
              </w:rPr>
            </w:pPr>
          </w:p>
        </w:tc>
        <w:tc>
          <w:tcPr>
            <w:tcW w:w="630" w:type="dxa"/>
            <w:vAlign w:val="top"/>
          </w:tcPr>
          <w:p w14:paraId="41209F76">
            <w:pPr>
              <w:spacing w:line="360" w:lineRule="auto"/>
              <w:jc w:val="center"/>
              <w:rPr>
                <w:rFonts w:ascii="宋体"/>
                <w:color w:val="auto"/>
                <w:sz w:val="28"/>
                <w:szCs w:val="28"/>
                <w:highlight w:val="none"/>
              </w:rPr>
            </w:pPr>
          </w:p>
        </w:tc>
        <w:tc>
          <w:tcPr>
            <w:tcW w:w="525" w:type="dxa"/>
            <w:vAlign w:val="top"/>
          </w:tcPr>
          <w:p w14:paraId="45B41846">
            <w:pPr>
              <w:spacing w:line="360" w:lineRule="auto"/>
              <w:jc w:val="center"/>
              <w:rPr>
                <w:rFonts w:ascii="宋体"/>
                <w:color w:val="auto"/>
                <w:sz w:val="28"/>
                <w:szCs w:val="28"/>
                <w:highlight w:val="none"/>
              </w:rPr>
            </w:pPr>
          </w:p>
        </w:tc>
        <w:tc>
          <w:tcPr>
            <w:tcW w:w="735" w:type="dxa"/>
            <w:vAlign w:val="top"/>
          </w:tcPr>
          <w:p w14:paraId="59E8A14B">
            <w:pPr>
              <w:spacing w:line="360" w:lineRule="auto"/>
              <w:jc w:val="center"/>
              <w:rPr>
                <w:rFonts w:ascii="宋体"/>
                <w:color w:val="auto"/>
                <w:sz w:val="28"/>
                <w:szCs w:val="28"/>
                <w:highlight w:val="none"/>
              </w:rPr>
            </w:pPr>
          </w:p>
        </w:tc>
        <w:tc>
          <w:tcPr>
            <w:tcW w:w="840" w:type="dxa"/>
            <w:vAlign w:val="top"/>
          </w:tcPr>
          <w:p w14:paraId="61013ABB">
            <w:pPr>
              <w:spacing w:line="360" w:lineRule="auto"/>
              <w:jc w:val="center"/>
              <w:rPr>
                <w:rFonts w:ascii="宋体"/>
                <w:color w:val="auto"/>
                <w:sz w:val="28"/>
                <w:szCs w:val="28"/>
                <w:highlight w:val="none"/>
              </w:rPr>
            </w:pPr>
          </w:p>
        </w:tc>
        <w:tc>
          <w:tcPr>
            <w:tcW w:w="840" w:type="dxa"/>
            <w:vAlign w:val="top"/>
          </w:tcPr>
          <w:p w14:paraId="70687198">
            <w:pPr>
              <w:spacing w:line="360" w:lineRule="auto"/>
              <w:jc w:val="center"/>
              <w:rPr>
                <w:rFonts w:ascii="宋体"/>
                <w:color w:val="auto"/>
                <w:sz w:val="28"/>
                <w:szCs w:val="28"/>
                <w:highlight w:val="none"/>
              </w:rPr>
            </w:pPr>
          </w:p>
        </w:tc>
        <w:tc>
          <w:tcPr>
            <w:tcW w:w="735" w:type="dxa"/>
            <w:vAlign w:val="top"/>
          </w:tcPr>
          <w:p w14:paraId="3F38596A">
            <w:pPr>
              <w:spacing w:line="360" w:lineRule="auto"/>
              <w:jc w:val="center"/>
              <w:rPr>
                <w:rFonts w:ascii="宋体"/>
                <w:color w:val="auto"/>
                <w:sz w:val="28"/>
                <w:szCs w:val="28"/>
                <w:highlight w:val="none"/>
              </w:rPr>
            </w:pPr>
          </w:p>
        </w:tc>
        <w:tc>
          <w:tcPr>
            <w:tcW w:w="945" w:type="dxa"/>
            <w:vAlign w:val="top"/>
          </w:tcPr>
          <w:p w14:paraId="731D3B5F">
            <w:pPr>
              <w:spacing w:line="360" w:lineRule="auto"/>
              <w:jc w:val="center"/>
              <w:rPr>
                <w:rFonts w:ascii="宋体"/>
                <w:color w:val="auto"/>
                <w:sz w:val="28"/>
                <w:szCs w:val="28"/>
                <w:highlight w:val="none"/>
              </w:rPr>
            </w:pPr>
          </w:p>
        </w:tc>
      </w:tr>
      <w:tr w14:paraId="7312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5F2C4419">
            <w:pPr>
              <w:spacing w:line="360" w:lineRule="auto"/>
              <w:jc w:val="center"/>
              <w:rPr>
                <w:rFonts w:ascii="宋体"/>
                <w:color w:val="auto"/>
                <w:sz w:val="28"/>
                <w:szCs w:val="28"/>
                <w:highlight w:val="none"/>
              </w:rPr>
            </w:pPr>
          </w:p>
        </w:tc>
        <w:tc>
          <w:tcPr>
            <w:tcW w:w="1155" w:type="dxa"/>
            <w:vAlign w:val="top"/>
          </w:tcPr>
          <w:p w14:paraId="642FADEE">
            <w:pPr>
              <w:spacing w:line="360" w:lineRule="auto"/>
              <w:jc w:val="center"/>
              <w:rPr>
                <w:rFonts w:ascii="宋体"/>
                <w:color w:val="auto"/>
                <w:sz w:val="28"/>
                <w:szCs w:val="28"/>
                <w:highlight w:val="none"/>
              </w:rPr>
            </w:pPr>
          </w:p>
        </w:tc>
        <w:tc>
          <w:tcPr>
            <w:tcW w:w="1050" w:type="dxa"/>
            <w:vAlign w:val="top"/>
          </w:tcPr>
          <w:p w14:paraId="1B53D513">
            <w:pPr>
              <w:spacing w:line="360" w:lineRule="auto"/>
              <w:jc w:val="center"/>
              <w:rPr>
                <w:rFonts w:ascii="宋体"/>
                <w:color w:val="auto"/>
                <w:sz w:val="28"/>
                <w:szCs w:val="28"/>
                <w:highlight w:val="none"/>
              </w:rPr>
            </w:pPr>
          </w:p>
        </w:tc>
        <w:tc>
          <w:tcPr>
            <w:tcW w:w="630" w:type="dxa"/>
            <w:vAlign w:val="top"/>
          </w:tcPr>
          <w:p w14:paraId="30530F78">
            <w:pPr>
              <w:spacing w:line="360" w:lineRule="auto"/>
              <w:jc w:val="center"/>
              <w:rPr>
                <w:rFonts w:ascii="宋体"/>
                <w:color w:val="auto"/>
                <w:sz w:val="28"/>
                <w:szCs w:val="28"/>
                <w:highlight w:val="none"/>
              </w:rPr>
            </w:pPr>
          </w:p>
        </w:tc>
        <w:tc>
          <w:tcPr>
            <w:tcW w:w="525" w:type="dxa"/>
            <w:vAlign w:val="top"/>
          </w:tcPr>
          <w:p w14:paraId="562D26B2">
            <w:pPr>
              <w:spacing w:line="360" w:lineRule="auto"/>
              <w:jc w:val="center"/>
              <w:rPr>
                <w:rFonts w:ascii="宋体"/>
                <w:color w:val="auto"/>
                <w:sz w:val="28"/>
                <w:szCs w:val="28"/>
                <w:highlight w:val="none"/>
              </w:rPr>
            </w:pPr>
          </w:p>
        </w:tc>
        <w:tc>
          <w:tcPr>
            <w:tcW w:w="735" w:type="dxa"/>
            <w:vAlign w:val="top"/>
          </w:tcPr>
          <w:p w14:paraId="116CF14D">
            <w:pPr>
              <w:spacing w:line="360" w:lineRule="auto"/>
              <w:jc w:val="center"/>
              <w:rPr>
                <w:rFonts w:ascii="宋体"/>
                <w:color w:val="auto"/>
                <w:sz w:val="28"/>
                <w:szCs w:val="28"/>
                <w:highlight w:val="none"/>
              </w:rPr>
            </w:pPr>
          </w:p>
        </w:tc>
        <w:tc>
          <w:tcPr>
            <w:tcW w:w="840" w:type="dxa"/>
            <w:vAlign w:val="top"/>
          </w:tcPr>
          <w:p w14:paraId="70869E32">
            <w:pPr>
              <w:spacing w:line="360" w:lineRule="auto"/>
              <w:jc w:val="center"/>
              <w:rPr>
                <w:rFonts w:ascii="宋体"/>
                <w:color w:val="auto"/>
                <w:sz w:val="28"/>
                <w:szCs w:val="28"/>
                <w:highlight w:val="none"/>
              </w:rPr>
            </w:pPr>
          </w:p>
        </w:tc>
        <w:tc>
          <w:tcPr>
            <w:tcW w:w="840" w:type="dxa"/>
            <w:vAlign w:val="top"/>
          </w:tcPr>
          <w:p w14:paraId="0915CBB3">
            <w:pPr>
              <w:spacing w:line="360" w:lineRule="auto"/>
              <w:jc w:val="center"/>
              <w:rPr>
                <w:rFonts w:ascii="宋体"/>
                <w:color w:val="auto"/>
                <w:sz w:val="28"/>
                <w:szCs w:val="28"/>
                <w:highlight w:val="none"/>
              </w:rPr>
            </w:pPr>
          </w:p>
        </w:tc>
        <w:tc>
          <w:tcPr>
            <w:tcW w:w="735" w:type="dxa"/>
            <w:vAlign w:val="top"/>
          </w:tcPr>
          <w:p w14:paraId="57717C91">
            <w:pPr>
              <w:spacing w:line="360" w:lineRule="auto"/>
              <w:jc w:val="center"/>
              <w:rPr>
                <w:rFonts w:ascii="宋体"/>
                <w:color w:val="auto"/>
                <w:sz w:val="28"/>
                <w:szCs w:val="28"/>
                <w:highlight w:val="none"/>
              </w:rPr>
            </w:pPr>
          </w:p>
        </w:tc>
        <w:tc>
          <w:tcPr>
            <w:tcW w:w="945" w:type="dxa"/>
            <w:vAlign w:val="top"/>
          </w:tcPr>
          <w:p w14:paraId="0FDE359D">
            <w:pPr>
              <w:spacing w:line="360" w:lineRule="auto"/>
              <w:jc w:val="center"/>
              <w:rPr>
                <w:rFonts w:ascii="宋体"/>
                <w:color w:val="auto"/>
                <w:sz w:val="28"/>
                <w:szCs w:val="28"/>
                <w:highlight w:val="none"/>
              </w:rPr>
            </w:pPr>
          </w:p>
        </w:tc>
      </w:tr>
      <w:tr w14:paraId="17F8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461AAB7E">
            <w:pPr>
              <w:spacing w:line="360" w:lineRule="auto"/>
              <w:jc w:val="center"/>
              <w:rPr>
                <w:rFonts w:ascii="宋体"/>
                <w:color w:val="auto"/>
                <w:sz w:val="28"/>
                <w:szCs w:val="28"/>
                <w:highlight w:val="none"/>
              </w:rPr>
            </w:pPr>
          </w:p>
        </w:tc>
        <w:tc>
          <w:tcPr>
            <w:tcW w:w="1155" w:type="dxa"/>
            <w:vAlign w:val="top"/>
          </w:tcPr>
          <w:p w14:paraId="39C21B3F">
            <w:pPr>
              <w:spacing w:line="360" w:lineRule="auto"/>
              <w:jc w:val="center"/>
              <w:rPr>
                <w:rFonts w:ascii="宋体"/>
                <w:color w:val="auto"/>
                <w:sz w:val="28"/>
                <w:szCs w:val="28"/>
                <w:highlight w:val="none"/>
              </w:rPr>
            </w:pPr>
          </w:p>
        </w:tc>
        <w:tc>
          <w:tcPr>
            <w:tcW w:w="1050" w:type="dxa"/>
            <w:vAlign w:val="top"/>
          </w:tcPr>
          <w:p w14:paraId="261A41BE">
            <w:pPr>
              <w:spacing w:line="360" w:lineRule="auto"/>
              <w:jc w:val="center"/>
              <w:rPr>
                <w:rFonts w:ascii="宋体"/>
                <w:color w:val="auto"/>
                <w:sz w:val="28"/>
                <w:szCs w:val="28"/>
                <w:highlight w:val="none"/>
              </w:rPr>
            </w:pPr>
          </w:p>
        </w:tc>
        <w:tc>
          <w:tcPr>
            <w:tcW w:w="630" w:type="dxa"/>
            <w:vAlign w:val="top"/>
          </w:tcPr>
          <w:p w14:paraId="38D9515E">
            <w:pPr>
              <w:spacing w:line="360" w:lineRule="auto"/>
              <w:jc w:val="center"/>
              <w:rPr>
                <w:rFonts w:ascii="宋体"/>
                <w:color w:val="auto"/>
                <w:sz w:val="28"/>
                <w:szCs w:val="28"/>
                <w:highlight w:val="none"/>
              </w:rPr>
            </w:pPr>
          </w:p>
        </w:tc>
        <w:tc>
          <w:tcPr>
            <w:tcW w:w="525" w:type="dxa"/>
            <w:vAlign w:val="top"/>
          </w:tcPr>
          <w:p w14:paraId="3585A10B">
            <w:pPr>
              <w:spacing w:line="360" w:lineRule="auto"/>
              <w:jc w:val="center"/>
              <w:rPr>
                <w:rFonts w:ascii="宋体"/>
                <w:color w:val="auto"/>
                <w:sz w:val="28"/>
                <w:szCs w:val="28"/>
                <w:highlight w:val="none"/>
              </w:rPr>
            </w:pPr>
          </w:p>
        </w:tc>
        <w:tc>
          <w:tcPr>
            <w:tcW w:w="735" w:type="dxa"/>
            <w:vAlign w:val="top"/>
          </w:tcPr>
          <w:p w14:paraId="2F2C52CA">
            <w:pPr>
              <w:spacing w:line="360" w:lineRule="auto"/>
              <w:jc w:val="center"/>
              <w:rPr>
                <w:rFonts w:ascii="宋体"/>
                <w:color w:val="auto"/>
                <w:sz w:val="28"/>
                <w:szCs w:val="28"/>
                <w:highlight w:val="none"/>
              </w:rPr>
            </w:pPr>
          </w:p>
        </w:tc>
        <w:tc>
          <w:tcPr>
            <w:tcW w:w="840" w:type="dxa"/>
            <w:vAlign w:val="top"/>
          </w:tcPr>
          <w:p w14:paraId="301BF9A7">
            <w:pPr>
              <w:spacing w:line="360" w:lineRule="auto"/>
              <w:jc w:val="center"/>
              <w:rPr>
                <w:rFonts w:ascii="宋体"/>
                <w:color w:val="auto"/>
                <w:sz w:val="28"/>
                <w:szCs w:val="28"/>
                <w:highlight w:val="none"/>
              </w:rPr>
            </w:pPr>
          </w:p>
        </w:tc>
        <w:tc>
          <w:tcPr>
            <w:tcW w:w="840" w:type="dxa"/>
            <w:vAlign w:val="top"/>
          </w:tcPr>
          <w:p w14:paraId="1FE6AA10">
            <w:pPr>
              <w:spacing w:line="360" w:lineRule="auto"/>
              <w:jc w:val="center"/>
              <w:rPr>
                <w:rFonts w:ascii="宋体"/>
                <w:color w:val="auto"/>
                <w:sz w:val="28"/>
                <w:szCs w:val="28"/>
                <w:highlight w:val="none"/>
              </w:rPr>
            </w:pPr>
          </w:p>
        </w:tc>
        <w:tc>
          <w:tcPr>
            <w:tcW w:w="735" w:type="dxa"/>
            <w:vAlign w:val="top"/>
          </w:tcPr>
          <w:p w14:paraId="35951B2F">
            <w:pPr>
              <w:spacing w:line="360" w:lineRule="auto"/>
              <w:jc w:val="center"/>
              <w:rPr>
                <w:rFonts w:ascii="宋体"/>
                <w:color w:val="auto"/>
                <w:sz w:val="28"/>
                <w:szCs w:val="28"/>
                <w:highlight w:val="none"/>
              </w:rPr>
            </w:pPr>
          </w:p>
        </w:tc>
        <w:tc>
          <w:tcPr>
            <w:tcW w:w="945" w:type="dxa"/>
            <w:vAlign w:val="top"/>
          </w:tcPr>
          <w:p w14:paraId="2EC69C9E">
            <w:pPr>
              <w:spacing w:line="360" w:lineRule="auto"/>
              <w:jc w:val="center"/>
              <w:rPr>
                <w:rFonts w:ascii="宋体"/>
                <w:color w:val="auto"/>
                <w:sz w:val="28"/>
                <w:szCs w:val="28"/>
                <w:highlight w:val="none"/>
              </w:rPr>
            </w:pPr>
          </w:p>
        </w:tc>
      </w:tr>
      <w:tr w14:paraId="7E3C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228C27B5">
            <w:pPr>
              <w:spacing w:line="360" w:lineRule="auto"/>
              <w:jc w:val="center"/>
              <w:rPr>
                <w:rFonts w:ascii="宋体"/>
                <w:color w:val="auto"/>
                <w:sz w:val="28"/>
                <w:szCs w:val="28"/>
                <w:highlight w:val="none"/>
              </w:rPr>
            </w:pPr>
          </w:p>
        </w:tc>
        <w:tc>
          <w:tcPr>
            <w:tcW w:w="1155" w:type="dxa"/>
            <w:vAlign w:val="top"/>
          </w:tcPr>
          <w:p w14:paraId="1C0F6217">
            <w:pPr>
              <w:spacing w:line="360" w:lineRule="auto"/>
              <w:jc w:val="center"/>
              <w:rPr>
                <w:rFonts w:ascii="宋体"/>
                <w:color w:val="auto"/>
                <w:sz w:val="28"/>
                <w:szCs w:val="28"/>
                <w:highlight w:val="none"/>
              </w:rPr>
            </w:pPr>
          </w:p>
        </w:tc>
        <w:tc>
          <w:tcPr>
            <w:tcW w:w="1050" w:type="dxa"/>
            <w:vAlign w:val="top"/>
          </w:tcPr>
          <w:p w14:paraId="1C9C040E">
            <w:pPr>
              <w:spacing w:line="360" w:lineRule="auto"/>
              <w:jc w:val="center"/>
              <w:rPr>
                <w:rFonts w:ascii="宋体"/>
                <w:color w:val="auto"/>
                <w:sz w:val="28"/>
                <w:szCs w:val="28"/>
                <w:highlight w:val="none"/>
              </w:rPr>
            </w:pPr>
          </w:p>
        </w:tc>
        <w:tc>
          <w:tcPr>
            <w:tcW w:w="630" w:type="dxa"/>
            <w:vAlign w:val="top"/>
          </w:tcPr>
          <w:p w14:paraId="39D7255A">
            <w:pPr>
              <w:spacing w:line="360" w:lineRule="auto"/>
              <w:jc w:val="center"/>
              <w:rPr>
                <w:rFonts w:ascii="宋体"/>
                <w:color w:val="auto"/>
                <w:sz w:val="28"/>
                <w:szCs w:val="28"/>
                <w:highlight w:val="none"/>
              </w:rPr>
            </w:pPr>
          </w:p>
        </w:tc>
        <w:tc>
          <w:tcPr>
            <w:tcW w:w="525" w:type="dxa"/>
            <w:vAlign w:val="top"/>
          </w:tcPr>
          <w:p w14:paraId="53501B19">
            <w:pPr>
              <w:spacing w:line="360" w:lineRule="auto"/>
              <w:jc w:val="center"/>
              <w:rPr>
                <w:rFonts w:ascii="宋体"/>
                <w:color w:val="auto"/>
                <w:sz w:val="28"/>
                <w:szCs w:val="28"/>
                <w:highlight w:val="none"/>
              </w:rPr>
            </w:pPr>
          </w:p>
        </w:tc>
        <w:tc>
          <w:tcPr>
            <w:tcW w:w="735" w:type="dxa"/>
            <w:vAlign w:val="top"/>
          </w:tcPr>
          <w:p w14:paraId="3C79A75E">
            <w:pPr>
              <w:spacing w:line="360" w:lineRule="auto"/>
              <w:jc w:val="center"/>
              <w:rPr>
                <w:rFonts w:ascii="宋体"/>
                <w:color w:val="auto"/>
                <w:sz w:val="28"/>
                <w:szCs w:val="28"/>
                <w:highlight w:val="none"/>
              </w:rPr>
            </w:pPr>
          </w:p>
        </w:tc>
        <w:tc>
          <w:tcPr>
            <w:tcW w:w="840" w:type="dxa"/>
            <w:vAlign w:val="top"/>
          </w:tcPr>
          <w:p w14:paraId="6A12B4D3">
            <w:pPr>
              <w:spacing w:line="360" w:lineRule="auto"/>
              <w:jc w:val="center"/>
              <w:rPr>
                <w:rFonts w:ascii="宋体"/>
                <w:color w:val="auto"/>
                <w:sz w:val="28"/>
                <w:szCs w:val="28"/>
                <w:highlight w:val="none"/>
              </w:rPr>
            </w:pPr>
          </w:p>
        </w:tc>
        <w:tc>
          <w:tcPr>
            <w:tcW w:w="840" w:type="dxa"/>
            <w:vAlign w:val="top"/>
          </w:tcPr>
          <w:p w14:paraId="2B688236">
            <w:pPr>
              <w:spacing w:line="360" w:lineRule="auto"/>
              <w:jc w:val="center"/>
              <w:rPr>
                <w:rFonts w:ascii="宋体"/>
                <w:color w:val="auto"/>
                <w:sz w:val="28"/>
                <w:szCs w:val="28"/>
                <w:highlight w:val="none"/>
              </w:rPr>
            </w:pPr>
          </w:p>
        </w:tc>
        <w:tc>
          <w:tcPr>
            <w:tcW w:w="735" w:type="dxa"/>
            <w:vAlign w:val="top"/>
          </w:tcPr>
          <w:p w14:paraId="793B2514">
            <w:pPr>
              <w:spacing w:line="360" w:lineRule="auto"/>
              <w:jc w:val="center"/>
              <w:rPr>
                <w:rFonts w:ascii="宋体"/>
                <w:color w:val="auto"/>
                <w:sz w:val="28"/>
                <w:szCs w:val="28"/>
                <w:highlight w:val="none"/>
              </w:rPr>
            </w:pPr>
          </w:p>
        </w:tc>
        <w:tc>
          <w:tcPr>
            <w:tcW w:w="945" w:type="dxa"/>
            <w:vAlign w:val="top"/>
          </w:tcPr>
          <w:p w14:paraId="452990B6">
            <w:pPr>
              <w:spacing w:line="360" w:lineRule="auto"/>
              <w:jc w:val="center"/>
              <w:rPr>
                <w:rFonts w:ascii="宋体"/>
                <w:color w:val="auto"/>
                <w:sz w:val="28"/>
                <w:szCs w:val="28"/>
                <w:highlight w:val="none"/>
              </w:rPr>
            </w:pPr>
          </w:p>
        </w:tc>
      </w:tr>
    </w:tbl>
    <w:p w14:paraId="19641DF0">
      <w:pPr>
        <w:pStyle w:val="251"/>
        <w:spacing w:before="120" w:after="120"/>
        <w:outlineLvl w:val="1"/>
        <w:rPr>
          <w:color w:val="auto"/>
          <w:highlight w:val="none"/>
        </w:rPr>
      </w:pPr>
      <w:r>
        <w:rPr>
          <w:rFonts w:cs="Arial"/>
          <w:color w:val="auto"/>
          <w:highlight w:val="none"/>
        </w:rPr>
        <w:br w:type="page"/>
      </w:r>
      <w:bookmarkStart w:id="2101" w:name="_Toc485323230"/>
      <w:bookmarkStart w:id="2102" w:name="_Toc497456964"/>
      <w:bookmarkStart w:id="2103" w:name="_Toc480303475"/>
      <w:bookmarkStart w:id="2104" w:name="_Toc477964604"/>
      <w:bookmarkStart w:id="2105" w:name="_Toc486580456"/>
      <w:bookmarkStart w:id="2106" w:name="_Toc489280262"/>
      <w:bookmarkStart w:id="2107" w:name="_Toc4550"/>
      <w:r>
        <w:rPr>
          <w:rFonts w:hint="eastAsia"/>
          <w:color w:val="auto"/>
          <w:highlight w:val="none"/>
        </w:rPr>
        <w:t>附件四：发包人提供的材料和工程设备一览表</w:t>
      </w:r>
      <w:bookmarkEnd w:id="2101"/>
      <w:bookmarkEnd w:id="2102"/>
      <w:bookmarkEnd w:id="2103"/>
      <w:bookmarkEnd w:id="2104"/>
      <w:bookmarkEnd w:id="2105"/>
      <w:bookmarkEnd w:id="2106"/>
      <w:bookmarkEnd w:id="2107"/>
    </w:p>
    <w:p w14:paraId="589E8942">
      <w:pPr>
        <w:spacing w:line="360" w:lineRule="auto"/>
        <w:jc w:val="center"/>
        <w:rPr>
          <w:rFonts w:ascii="宋体"/>
          <w:b/>
          <w:color w:val="auto"/>
          <w:sz w:val="28"/>
          <w:highlight w:val="none"/>
        </w:rPr>
      </w:pPr>
      <w:r>
        <w:rPr>
          <w:rFonts w:hint="eastAsia" w:ascii="宋体" w:hAnsi="宋体"/>
          <w:b/>
          <w:color w:val="auto"/>
          <w:sz w:val="28"/>
          <w:highlight w:val="none"/>
        </w:rPr>
        <w:t>发包人提供的材料和工程设备一览表</w:t>
      </w:r>
    </w:p>
    <w:tbl>
      <w:tblPr>
        <w:tblStyle w:val="42"/>
        <w:tblW w:w="7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14:paraId="4D13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14:paraId="7EE5093F">
            <w:pPr>
              <w:spacing w:line="360" w:lineRule="auto"/>
              <w:jc w:val="center"/>
              <w:rPr>
                <w:rFonts w:ascii="宋体"/>
                <w:color w:val="auto"/>
                <w:highlight w:val="none"/>
              </w:rPr>
            </w:pPr>
            <w:r>
              <w:rPr>
                <w:rFonts w:hint="eastAsia" w:ascii="宋体" w:hAnsi="宋体"/>
                <w:color w:val="auto"/>
                <w:highlight w:val="none"/>
              </w:rPr>
              <w:t>序</w:t>
            </w:r>
          </w:p>
          <w:p w14:paraId="05934A03">
            <w:pPr>
              <w:spacing w:line="360" w:lineRule="auto"/>
              <w:jc w:val="center"/>
              <w:rPr>
                <w:rFonts w:ascii="宋体"/>
                <w:color w:val="auto"/>
                <w:highlight w:val="none"/>
              </w:rPr>
            </w:pPr>
            <w:r>
              <w:rPr>
                <w:rFonts w:hint="eastAsia" w:ascii="宋体" w:hAnsi="宋体"/>
                <w:color w:val="auto"/>
                <w:highlight w:val="none"/>
              </w:rPr>
              <w:t>号</w:t>
            </w:r>
          </w:p>
        </w:tc>
        <w:tc>
          <w:tcPr>
            <w:tcW w:w="1155" w:type="dxa"/>
            <w:vAlign w:val="center"/>
          </w:tcPr>
          <w:p w14:paraId="1CAD5685">
            <w:pPr>
              <w:spacing w:line="360" w:lineRule="auto"/>
              <w:jc w:val="center"/>
              <w:rPr>
                <w:rFonts w:ascii="宋体"/>
                <w:color w:val="auto"/>
                <w:highlight w:val="none"/>
              </w:rPr>
            </w:pPr>
            <w:r>
              <w:rPr>
                <w:rFonts w:hint="eastAsia" w:ascii="宋体" w:hAnsi="宋体"/>
                <w:color w:val="auto"/>
                <w:highlight w:val="none"/>
              </w:rPr>
              <w:t>材料设备</w:t>
            </w:r>
          </w:p>
          <w:p w14:paraId="29983BB3">
            <w:pPr>
              <w:spacing w:line="360" w:lineRule="auto"/>
              <w:jc w:val="center"/>
              <w:rPr>
                <w:rFonts w:ascii="宋体"/>
                <w:color w:val="auto"/>
                <w:highlight w:val="none"/>
              </w:rPr>
            </w:pPr>
            <w:r>
              <w:rPr>
                <w:rFonts w:hint="eastAsia" w:ascii="宋体" w:hAnsi="宋体"/>
                <w:color w:val="auto"/>
                <w:highlight w:val="none"/>
              </w:rPr>
              <w:t>名</w:t>
            </w:r>
            <w:r>
              <w:rPr>
                <w:rFonts w:ascii="宋体" w:hAnsi="宋体"/>
                <w:color w:val="auto"/>
                <w:highlight w:val="none"/>
              </w:rPr>
              <w:t xml:space="preserve">    </w:t>
            </w:r>
            <w:r>
              <w:rPr>
                <w:rFonts w:hint="eastAsia" w:ascii="宋体" w:hAnsi="宋体"/>
                <w:color w:val="auto"/>
                <w:highlight w:val="none"/>
              </w:rPr>
              <w:t>称</w:t>
            </w:r>
          </w:p>
        </w:tc>
        <w:tc>
          <w:tcPr>
            <w:tcW w:w="1050" w:type="dxa"/>
            <w:vAlign w:val="center"/>
          </w:tcPr>
          <w:p w14:paraId="3B1337BC">
            <w:pPr>
              <w:spacing w:line="360" w:lineRule="auto"/>
              <w:jc w:val="center"/>
              <w:rPr>
                <w:rFonts w:ascii="宋体"/>
                <w:color w:val="auto"/>
                <w:highlight w:val="none"/>
              </w:rPr>
            </w:pPr>
            <w:r>
              <w:rPr>
                <w:rFonts w:hint="eastAsia" w:ascii="宋体" w:hAnsi="宋体"/>
                <w:color w:val="auto"/>
                <w:highlight w:val="none"/>
              </w:rPr>
              <w:t>规格</w:t>
            </w:r>
          </w:p>
          <w:p w14:paraId="18B651D1">
            <w:pPr>
              <w:spacing w:line="360" w:lineRule="auto"/>
              <w:jc w:val="center"/>
              <w:rPr>
                <w:rFonts w:ascii="宋体"/>
                <w:color w:val="auto"/>
                <w:highlight w:val="none"/>
              </w:rPr>
            </w:pPr>
            <w:r>
              <w:rPr>
                <w:rFonts w:hint="eastAsia" w:ascii="宋体" w:hAnsi="宋体"/>
                <w:color w:val="auto"/>
                <w:highlight w:val="none"/>
              </w:rPr>
              <w:t>型号</w:t>
            </w:r>
          </w:p>
        </w:tc>
        <w:tc>
          <w:tcPr>
            <w:tcW w:w="630" w:type="dxa"/>
            <w:vAlign w:val="center"/>
          </w:tcPr>
          <w:p w14:paraId="70F160BE">
            <w:pPr>
              <w:spacing w:line="360" w:lineRule="auto"/>
              <w:jc w:val="center"/>
              <w:rPr>
                <w:rFonts w:ascii="宋体"/>
                <w:color w:val="auto"/>
                <w:highlight w:val="none"/>
              </w:rPr>
            </w:pPr>
            <w:r>
              <w:rPr>
                <w:rFonts w:hint="eastAsia" w:ascii="宋体" w:hAnsi="宋体"/>
                <w:color w:val="auto"/>
                <w:highlight w:val="none"/>
              </w:rPr>
              <w:t>单</w:t>
            </w:r>
          </w:p>
          <w:p w14:paraId="6BF404F1">
            <w:pPr>
              <w:spacing w:line="360" w:lineRule="auto"/>
              <w:jc w:val="center"/>
              <w:rPr>
                <w:rFonts w:ascii="宋体"/>
                <w:color w:val="auto"/>
                <w:highlight w:val="none"/>
              </w:rPr>
            </w:pPr>
            <w:r>
              <w:rPr>
                <w:rFonts w:hint="eastAsia" w:ascii="宋体" w:hAnsi="宋体"/>
                <w:color w:val="auto"/>
                <w:highlight w:val="none"/>
              </w:rPr>
              <w:t>位</w:t>
            </w:r>
          </w:p>
        </w:tc>
        <w:tc>
          <w:tcPr>
            <w:tcW w:w="525" w:type="dxa"/>
            <w:vAlign w:val="center"/>
          </w:tcPr>
          <w:p w14:paraId="3C4341C5">
            <w:pPr>
              <w:spacing w:line="360" w:lineRule="auto"/>
              <w:jc w:val="center"/>
              <w:rPr>
                <w:rFonts w:ascii="宋体"/>
                <w:color w:val="auto"/>
                <w:highlight w:val="none"/>
              </w:rPr>
            </w:pPr>
            <w:r>
              <w:rPr>
                <w:rFonts w:hint="eastAsia" w:ascii="宋体" w:hAnsi="宋体"/>
                <w:color w:val="auto"/>
                <w:highlight w:val="none"/>
              </w:rPr>
              <w:t>数</w:t>
            </w:r>
          </w:p>
          <w:p w14:paraId="72D8E781">
            <w:pPr>
              <w:spacing w:line="360" w:lineRule="auto"/>
              <w:jc w:val="center"/>
              <w:rPr>
                <w:rFonts w:ascii="宋体"/>
                <w:color w:val="auto"/>
                <w:highlight w:val="none"/>
              </w:rPr>
            </w:pPr>
            <w:r>
              <w:rPr>
                <w:rFonts w:hint="eastAsia" w:ascii="宋体" w:hAnsi="宋体"/>
                <w:color w:val="auto"/>
                <w:highlight w:val="none"/>
              </w:rPr>
              <w:t>量</w:t>
            </w:r>
          </w:p>
        </w:tc>
        <w:tc>
          <w:tcPr>
            <w:tcW w:w="735" w:type="dxa"/>
            <w:vAlign w:val="center"/>
          </w:tcPr>
          <w:p w14:paraId="0A2D51CC">
            <w:pPr>
              <w:spacing w:line="360" w:lineRule="auto"/>
              <w:jc w:val="center"/>
              <w:rPr>
                <w:rFonts w:ascii="宋体"/>
                <w:color w:val="auto"/>
                <w:highlight w:val="none"/>
              </w:rPr>
            </w:pPr>
            <w:r>
              <w:rPr>
                <w:rFonts w:hint="eastAsia" w:ascii="宋体" w:hAnsi="宋体"/>
                <w:color w:val="auto"/>
                <w:highlight w:val="none"/>
              </w:rPr>
              <w:t>单</w:t>
            </w:r>
          </w:p>
          <w:p w14:paraId="2B9B22C3">
            <w:pPr>
              <w:spacing w:line="360" w:lineRule="auto"/>
              <w:jc w:val="center"/>
              <w:rPr>
                <w:rFonts w:ascii="宋体"/>
                <w:color w:val="auto"/>
                <w:highlight w:val="none"/>
              </w:rPr>
            </w:pPr>
            <w:r>
              <w:rPr>
                <w:rFonts w:hint="eastAsia" w:ascii="宋体" w:hAnsi="宋体"/>
                <w:color w:val="auto"/>
                <w:highlight w:val="none"/>
              </w:rPr>
              <w:t>价</w:t>
            </w:r>
          </w:p>
        </w:tc>
        <w:tc>
          <w:tcPr>
            <w:tcW w:w="840" w:type="dxa"/>
            <w:vAlign w:val="center"/>
          </w:tcPr>
          <w:p w14:paraId="7F0143C9">
            <w:pPr>
              <w:spacing w:line="360" w:lineRule="auto"/>
              <w:jc w:val="center"/>
              <w:rPr>
                <w:rFonts w:ascii="宋体"/>
                <w:color w:val="auto"/>
                <w:highlight w:val="none"/>
              </w:rPr>
            </w:pPr>
            <w:r>
              <w:rPr>
                <w:rFonts w:hint="eastAsia" w:ascii="宋体" w:hAnsi="宋体"/>
                <w:color w:val="auto"/>
                <w:highlight w:val="none"/>
              </w:rPr>
              <w:t>交货</w:t>
            </w:r>
          </w:p>
          <w:p w14:paraId="29B19AD3">
            <w:pPr>
              <w:spacing w:line="360" w:lineRule="auto"/>
              <w:jc w:val="center"/>
              <w:rPr>
                <w:rFonts w:ascii="宋体"/>
                <w:color w:val="auto"/>
                <w:highlight w:val="none"/>
              </w:rPr>
            </w:pPr>
            <w:r>
              <w:rPr>
                <w:rFonts w:hint="eastAsia" w:ascii="宋体" w:hAnsi="宋体"/>
                <w:color w:val="auto"/>
                <w:highlight w:val="none"/>
              </w:rPr>
              <w:t>方式</w:t>
            </w:r>
          </w:p>
        </w:tc>
        <w:tc>
          <w:tcPr>
            <w:tcW w:w="840" w:type="dxa"/>
            <w:vAlign w:val="center"/>
          </w:tcPr>
          <w:p w14:paraId="271B3671">
            <w:pPr>
              <w:spacing w:line="360" w:lineRule="auto"/>
              <w:jc w:val="center"/>
              <w:rPr>
                <w:rFonts w:ascii="宋体"/>
                <w:color w:val="auto"/>
                <w:highlight w:val="none"/>
              </w:rPr>
            </w:pPr>
            <w:r>
              <w:rPr>
                <w:rFonts w:hint="eastAsia" w:ascii="宋体" w:hAnsi="宋体"/>
                <w:color w:val="auto"/>
                <w:highlight w:val="none"/>
              </w:rPr>
              <w:t>交货</w:t>
            </w:r>
          </w:p>
          <w:p w14:paraId="6FCA3016">
            <w:pPr>
              <w:spacing w:line="360" w:lineRule="auto"/>
              <w:jc w:val="center"/>
              <w:rPr>
                <w:rFonts w:ascii="宋体"/>
                <w:color w:val="auto"/>
                <w:highlight w:val="none"/>
              </w:rPr>
            </w:pPr>
            <w:r>
              <w:rPr>
                <w:rFonts w:hint="eastAsia" w:ascii="宋体" w:hAnsi="宋体"/>
                <w:color w:val="auto"/>
                <w:highlight w:val="none"/>
              </w:rPr>
              <w:t>地点</w:t>
            </w:r>
          </w:p>
        </w:tc>
        <w:tc>
          <w:tcPr>
            <w:tcW w:w="735" w:type="dxa"/>
            <w:vAlign w:val="center"/>
          </w:tcPr>
          <w:p w14:paraId="23F6C2A5">
            <w:pPr>
              <w:spacing w:line="360" w:lineRule="auto"/>
              <w:jc w:val="center"/>
              <w:rPr>
                <w:rFonts w:ascii="宋体"/>
                <w:color w:val="auto"/>
                <w:highlight w:val="none"/>
              </w:rPr>
            </w:pPr>
            <w:r>
              <w:rPr>
                <w:rFonts w:hint="eastAsia" w:ascii="宋体" w:hAnsi="宋体"/>
                <w:color w:val="auto"/>
                <w:highlight w:val="none"/>
              </w:rPr>
              <w:t>计划交货</w:t>
            </w:r>
          </w:p>
          <w:p w14:paraId="4ACE4F48">
            <w:pPr>
              <w:spacing w:line="360" w:lineRule="auto"/>
              <w:jc w:val="center"/>
              <w:rPr>
                <w:rFonts w:ascii="宋体"/>
                <w:color w:val="auto"/>
                <w:highlight w:val="none"/>
              </w:rPr>
            </w:pPr>
            <w:r>
              <w:rPr>
                <w:rFonts w:hint="eastAsia" w:ascii="宋体" w:hAnsi="宋体"/>
                <w:color w:val="auto"/>
                <w:highlight w:val="none"/>
              </w:rPr>
              <w:t>时间</w:t>
            </w:r>
          </w:p>
        </w:tc>
        <w:tc>
          <w:tcPr>
            <w:tcW w:w="945" w:type="dxa"/>
            <w:vAlign w:val="center"/>
          </w:tcPr>
          <w:p w14:paraId="1641FAEE">
            <w:pPr>
              <w:spacing w:line="360" w:lineRule="auto"/>
              <w:jc w:val="center"/>
              <w:rPr>
                <w:rFonts w:ascii="宋体"/>
                <w:color w:val="auto"/>
                <w:highlight w:val="none"/>
              </w:rPr>
            </w:pPr>
            <w:r>
              <w:rPr>
                <w:rFonts w:hint="eastAsia" w:ascii="宋体" w:hAnsi="宋体"/>
                <w:color w:val="auto"/>
                <w:highlight w:val="none"/>
              </w:rPr>
              <w:t>备注</w:t>
            </w:r>
          </w:p>
        </w:tc>
      </w:tr>
      <w:tr w14:paraId="1B87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618E0154">
            <w:pPr>
              <w:spacing w:line="360" w:lineRule="auto"/>
              <w:jc w:val="center"/>
              <w:rPr>
                <w:rFonts w:ascii="宋体"/>
                <w:color w:val="auto"/>
                <w:sz w:val="28"/>
                <w:szCs w:val="28"/>
                <w:highlight w:val="none"/>
              </w:rPr>
            </w:pPr>
          </w:p>
        </w:tc>
        <w:tc>
          <w:tcPr>
            <w:tcW w:w="1155" w:type="dxa"/>
            <w:vAlign w:val="top"/>
          </w:tcPr>
          <w:p w14:paraId="410C1B1A">
            <w:pPr>
              <w:spacing w:line="360" w:lineRule="auto"/>
              <w:jc w:val="center"/>
              <w:rPr>
                <w:rFonts w:ascii="宋体"/>
                <w:color w:val="auto"/>
                <w:sz w:val="28"/>
                <w:szCs w:val="28"/>
                <w:highlight w:val="none"/>
              </w:rPr>
            </w:pPr>
          </w:p>
        </w:tc>
        <w:tc>
          <w:tcPr>
            <w:tcW w:w="1050" w:type="dxa"/>
            <w:vAlign w:val="top"/>
          </w:tcPr>
          <w:p w14:paraId="1B90910A">
            <w:pPr>
              <w:spacing w:line="360" w:lineRule="auto"/>
              <w:jc w:val="center"/>
              <w:rPr>
                <w:rFonts w:ascii="宋体"/>
                <w:color w:val="auto"/>
                <w:sz w:val="28"/>
                <w:szCs w:val="28"/>
                <w:highlight w:val="none"/>
              </w:rPr>
            </w:pPr>
          </w:p>
        </w:tc>
        <w:tc>
          <w:tcPr>
            <w:tcW w:w="630" w:type="dxa"/>
            <w:vAlign w:val="top"/>
          </w:tcPr>
          <w:p w14:paraId="7EA3D8DC">
            <w:pPr>
              <w:spacing w:line="360" w:lineRule="auto"/>
              <w:jc w:val="center"/>
              <w:rPr>
                <w:rFonts w:ascii="宋体"/>
                <w:color w:val="auto"/>
                <w:sz w:val="28"/>
                <w:szCs w:val="28"/>
                <w:highlight w:val="none"/>
              </w:rPr>
            </w:pPr>
          </w:p>
        </w:tc>
        <w:tc>
          <w:tcPr>
            <w:tcW w:w="525" w:type="dxa"/>
            <w:vAlign w:val="top"/>
          </w:tcPr>
          <w:p w14:paraId="1CCE9320">
            <w:pPr>
              <w:spacing w:line="360" w:lineRule="auto"/>
              <w:jc w:val="center"/>
              <w:rPr>
                <w:rFonts w:ascii="宋体"/>
                <w:color w:val="auto"/>
                <w:sz w:val="28"/>
                <w:szCs w:val="28"/>
                <w:highlight w:val="none"/>
              </w:rPr>
            </w:pPr>
          </w:p>
        </w:tc>
        <w:tc>
          <w:tcPr>
            <w:tcW w:w="735" w:type="dxa"/>
            <w:vAlign w:val="top"/>
          </w:tcPr>
          <w:p w14:paraId="535AFAD5">
            <w:pPr>
              <w:spacing w:line="360" w:lineRule="auto"/>
              <w:jc w:val="center"/>
              <w:rPr>
                <w:rFonts w:ascii="宋体"/>
                <w:color w:val="auto"/>
                <w:sz w:val="28"/>
                <w:szCs w:val="28"/>
                <w:highlight w:val="none"/>
              </w:rPr>
            </w:pPr>
          </w:p>
        </w:tc>
        <w:tc>
          <w:tcPr>
            <w:tcW w:w="840" w:type="dxa"/>
            <w:vAlign w:val="top"/>
          </w:tcPr>
          <w:p w14:paraId="6A03B505">
            <w:pPr>
              <w:spacing w:line="360" w:lineRule="auto"/>
              <w:jc w:val="center"/>
              <w:rPr>
                <w:rFonts w:ascii="宋体"/>
                <w:color w:val="auto"/>
                <w:sz w:val="28"/>
                <w:szCs w:val="28"/>
                <w:highlight w:val="none"/>
              </w:rPr>
            </w:pPr>
          </w:p>
        </w:tc>
        <w:tc>
          <w:tcPr>
            <w:tcW w:w="840" w:type="dxa"/>
            <w:vAlign w:val="top"/>
          </w:tcPr>
          <w:p w14:paraId="61FE4E00">
            <w:pPr>
              <w:spacing w:line="360" w:lineRule="auto"/>
              <w:jc w:val="center"/>
              <w:rPr>
                <w:rFonts w:ascii="宋体"/>
                <w:color w:val="auto"/>
                <w:sz w:val="28"/>
                <w:szCs w:val="28"/>
                <w:highlight w:val="none"/>
              </w:rPr>
            </w:pPr>
          </w:p>
        </w:tc>
        <w:tc>
          <w:tcPr>
            <w:tcW w:w="735" w:type="dxa"/>
            <w:vAlign w:val="top"/>
          </w:tcPr>
          <w:p w14:paraId="7610B51B">
            <w:pPr>
              <w:spacing w:line="360" w:lineRule="auto"/>
              <w:jc w:val="center"/>
              <w:rPr>
                <w:rFonts w:ascii="宋体"/>
                <w:color w:val="auto"/>
                <w:sz w:val="28"/>
                <w:szCs w:val="28"/>
                <w:highlight w:val="none"/>
              </w:rPr>
            </w:pPr>
          </w:p>
        </w:tc>
        <w:tc>
          <w:tcPr>
            <w:tcW w:w="945" w:type="dxa"/>
            <w:vAlign w:val="top"/>
          </w:tcPr>
          <w:p w14:paraId="3152F193">
            <w:pPr>
              <w:spacing w:line="360" w:lineRule="auto"/>
              <w:jc w:val="center"/>
              <w:rPr>
                <w:rFonts w:ascii="宋体"/>
                <w:color w:val="auto"/>
                <w:sz w:val="28"/>
                <w:szCs w:val="28"/>
                <w:highlight w:val="none"/>
              </w:rPr>
            </w:pPr>
          </w:p>
        </w:tc>
      </w:tr>
      <w:tr w14:paraId="2A4E8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53803675">
            <w:pPr>
              <w:spacing w:line="360" w:lineRule="auto"/>
              <w:jc w:val="center"/>
              <w:rPr>
                <w:rFonts w:ascii="宋体"/>
                <w:color w:val="auto"/>
                <w:sz w:val="28"/>
                <w:szCs w:val="28"/>
                <w:highlight w:val="none"/>
              </w:rPr>
            </w:pPr>
          </w:p>
        </w:tc>
        <w:tc>
          <w:tcPr>
            <w:tcW w:w="1155" w:type="dxa"/>
            <w:vAlign w:val="top"/>
          </w:tcPr>
          <w:p w14:paraId="10FDD9C8">
            <w:pPr>
              <w:spacing w:line="360" w:lineRule="auto"/>
              <w:jc w:val="center"/>
              <w:rPr>
                <w:rFonts w:ascii="宋体"/>
                <w:color w:val="auto"/>
                <w:sz w:val="28"/>
                <w:szCs w:val="28"/>
                <w:highlight w:val="none"/>
              </w:rPr>
            </w:pPr>
          </w:p>
        </w:tc>
        <w:tc>
          <w:tcPr>
            <w:tcW w:w="1050" w:type="dxa"/>
            <w:vAlign w:val="top"/>
          </w:tcPr>
          <w:p w14:paraId="42E1BD9A">
            <w:pPr>
              <w:spacing w:line="360" w:lineRule="auto"/>
              <w:jc w:val="center"/>
              <w:rPr>
                <w:rFonts w:ascii="宋体"/>
                <w:color w:val="auto"/>
                <w:sz w:val="28"/>
                <w:szCs w:val="28"/>
                <w:highlight w:val="none"/>
              </w:rPr>
            </w:pPr>
          </w:p>
        </w:tc>
        <w:tc>
          <w:tcPr>
            <w:tcW w:w="630" w:type="dxa"/>
            <w:vAlign w:val="top"/>
          </w:tcPr>
          <w:p w14:paraId="5B0FF72C">
            <w:pPr>
              <w:spacing w:line="360" w:lineRule="auto"/>
              <w:jc w:val="center"/>
              <w:rPr>
                <w:rFonts w:ascii="宋体"/>
                <w:color w:val="auto"/>
                <w:sz w:val="28"/>
                <w:szCs w:val="28"/>
                <w:highlight w:val="none"/>
              </w:rPr>
            </w:pPr>
          </w:p>
        </w:tc>
        <w:tc>
          <w:tcPr>
            <w:tcW w:w="525" w:type="dxa"/>
            <w:vAlign w:val="top"/>
          </w:tcPr>
          <w:p w14:paraId="0085A161">
            <w:pPr>
              <w:spacing w:line="360" w:lineRule="auto"/>
              <w:jc w:val="center"/>
              <w:rPr>
                <w:rFonts w:ascii="宋体"/>
                <w:color w:val="auto"/>
                <w:sz w:val="28"/>
                <w:szCs w:val="28"/>
                <w:highlight w:val="none"/>
              </w:rPr>
            </w:pPr>
          </w:p>
        </w:tc>
        <w:tc>
          <w:tcPr>
            <w:tcW w:w="735" w:type="dxa"/>
            <w:vAlign w:val="top"/>
          </w:tcPr>
          <w:p w14:paraId="615449FF">
            <w:pPr>
              <w:spacing w:line="360" w:lineRule="auto"/>
              <w:jc w:val="center"/>
              <w:rPr>
                <w:rFonts w:ascii="宋体"/>
                <w:color w:val="auto"/>
                <w:sz w:val="28"/>
                <w:szCs w:val="28"/>
                <w:highlight w:val="none"/>
              </w:rPr>
            </w:pPr>
          </w:p>
        </w:tc>
        <w:tc>
          <w:tcPr>
            <w:tcW w:w="840" w:type="dxa"/>
            <w:vAlign w:val="top"/>
          </w:tcPr>
          <w:p w14:paraId="62A82D30">
            <w:pPr>
              <w:spacing w:line="360" w:lineRule="auto"/>
              <w:jc w:val="center"/>
              <w:rPr>
                <w:rFonts w:ascii="宋体"/>
                <w:color w:val="auto"/>
                <w:sz w:val="28"/>
                <w:szCs w:val="28"/>
                <w:highlight w:val="none"/>
              </w:rPr>
            </w:pPr>
          </w:p>
        </w:tc>
        <w:tc>
          <w:tcPr>
            <w:tcW w:w="840" w:type="dxa"/>
            <w:vAlign w:val="top"/>
          </w:tcPr>
          <w:p w14:paraId="0DB5536B">
            <w:pPr>
              <w:spacing w:line="360" w:lineRule="auto"/>
              <w:jc w:val="center"/>
              <w:rPr>
                <w:rFonts w:ascii="宋体"/>
                <w:color w:val="auto"/>
                <w:sz w:val="28"/>
                <w:szCs w:val="28"/>
                <w:highlight w:val="none"/>
              </w:rPr>
            </w:pPr>
          </w:p>
        </w:tc>
        <w:tc>
          <w:tcPr>
            <w:tcW w:w="735" w:type="dxa"/>
            <w:vAlign w:val="top"/>
          </w:tcPr>
          <w:p w14:paraId="68AD0065">
            <w:pPr>
              <w:spacing w:line="360" w:lineRule="auto"/>
              <w:jc w:val="center"/>
              <w:rPr>
                <w:rFonts w:ascii="宋体"/>
                <w:color w:val="auto"/>
                <w:sz w:val="28"/>
                <w:szCs w:val="28"/>
                <w:highlight w:val="none"/>
              </w:rPr>
            </w:pPr>
          </w:p>
        </w:tc>
        <w:tc>
          <w:tcPr>
            <w:tcW w:w="945" w:type="dxa"/>
            <w:vAlign w:val="top"/>
          </w:tcPr>
          <w:p w14:paraId="674AF3A3">
            <w:pPr>
              <w:spacing w:line="360" w:lineRule="auto"/>
              <w:jc w:val="center"/>
              <w:rPr>
                <w:rFonts w:ascii="宋体"/>
                <w:color w:val="auto"/>
                <w:sz w:val="28"/>
                <w:szCs w:val="28"/>
                <w:highlight w:val="none"/>
              </w:rPr>
            </w:pPr>
          </w:p>
        </w:tc>
      </w:tr>
      <w:tr w14:paraId="4D8D5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6A8E5C07">
            <w:pPr>
              <w:spacing w:line="360" w:lineRule="auto"/>
              <w:jc w:val="center"/>
              <w:rPr>
                <w:rFonts w:ascii="宋体"/>
                <w:color w:val="auto"/>
                <w:sz w:val="28"/>
                <w:szCs w:val="28"/>
                <w:highlight w:val="none"/>
              </w:rPr>
            </w:pPr>
          </w:p>
        </w:tc>
        <w:tc>
          <w:tcPr>
            <w:tcW w:w="1155" w:type="dxa"/>
            <w:vAlign w:val="top"/>
          </w:tcPr>
          <w:p w14:paraId="5B057D05">
            <w:pPr>
              <w:spacing w:line="360" w:lineRule="auto"/>
              <w:jc w:val="center"/>
              <w:rPr>
                <w:rFonts w:ascii="宋体"/>
                <w:color w:val="auto"/>
                <w:sz w:val="28"/>
                <w:szCs w:val="28"/>
                <w:highlight w:val="none"/>
              </w:rPr>
            </w:pPr>
          </w:p>
        </w:tc>
        <w:tc>
          <w:tcPr>
            <w:tcW w:w="1050" w:type="dxa"/>
            <w:vAlign w:val="top"/>
          </w:tcPr>
          <w:p w14:paraId="230E8770">
            <w:pPr>
              <w:spacing w:line="360" w:lineRule="auto"/>
              <w:jc w:val="center"/>
              <w:rPr>
                <w:rFonts w:ascii="宋体"/>
                <w:color w:val="auto"/>
                <w:sz w:val="28"/>
                <w:szCs w:val="28"/>
                <w:highlight w:val="none"/>
              </w:rPr>
            </w:pPr>
          </w:p>
        </w:tc>
        <w:tc>
          <w:tcPr>
            <w:tcW w:w="630" w:type="dxa"/>
            <w:vAlign w:val="top"/>
          </w:tcPr>
          <w:p w14:paraId="7D869387">
            <w:pPr>
              <w:spacing w:line="360" w:lineRule="auto"/>
              <w:jc w:val="center"/>
              <w:rPr>
                <w:rFonts w:ascii="宋体"/>
                <w:color w:val="auto"/>
                <w:sz w:val="28"/>
                <w:szCs w:val="28"/>
                <w:highlight w:val="none"/>
              </w:rPr>
            </w:pPr>
          </w:p>
        </w:tc>
        <w:tc>
          <w:tcPr>
            <w:tcW w:w="525" w:type="dxa"/>
            <w:vAlign w:val="top"/>
          </w:tcPr>
          <w:p w14:paraId="3CEF33E5">
            <w:pPr>
              <w:spacing w:line="360" w:lineRule="auto"/>
              <w:jc w:val="center"/>
              <w:rPr>
                <w:rFonts w:ascii="宋体"/>
                <w:color w:val="auto"/>
                <w:sz w:val="28"/>
                <w:szCs w:val="28"/>
                <w:highlight w:val="none"/>
              </w:rPr>
            </w:pPr>
          </w:p>
        </w:tc>
        <w:tc>
          <w:tcPr>
            <w:tcW w:w="735" w:type="dxa"/>
            <w:vAlign w:val="top"/>
          </w:tcPr>
          <w:p w14:paraId="03DC8BDF">
            <w:pPr>
              <w:spacing w:line="360" w:lineRule="auto"/>
              <w:jc w:val="center"/>
              <w:rPr>
                <w:rFonts w:ascii="宋体"/>
                <w:color w:val="auto"/>
                <w:sz w:val="28"/>
                <w:szCs w:val="28"/>
                <w:highlight w:val="none"/>
              </w:rPr>
            </w:pPr>
          </w:p>
        </w:tc>
        <w:tc>
          <w:tcPr>
            <w:tcW w:w="840" w:type="dxa"/>
            <w:vAlign w:val="top"/>
          </w:tcPr>
          <w:p w14:paraId="0622EF90">
            <w:pPr>
              <w:spacing w:line="360" w:lineRule="auto"/>
              <w:jc w:val="center"/>
              <w:rPr>
                <w:rFonts w:ascii="宋体"/>
                <w:color w:val="auto"/>
                <w:sz w:val="28"/>
                <w:szCs w:val="28"/>
                <w:highlight w:val="none"/>
              </w:rPr>
            </w:pPr>
          </w:p>
        </w:tc>
        <w:tc>
          <w:tcPr>
            <w:tcW w:w="840" w:type="dxa"/>
            <w:vAlign w:val="top"/>
          </w:tcPr>
          <w:p w14:paraId="60B79F35">
            <w:pPr>
              <w:spacing w:line="360" w:lineRule="auto"/>
              <w:jc w:val="center"/>
              <w:rPr>
                <w:rFonts w:ascii="宋体"/>
                <w:color w:val="auto"/>
                <w:sz w:val="28"/>
                <w:szCs w:val="28"/>
                <w:highlight w:val="none"/>
              </w:rPr>
            </w:pPr>
          </w:p>
        </w:tc>
        <w:tc>
          <w:tcPr>
            <w:tcW w:w="735" w:type="dxa"/>
            <w:vAlign w:val="top"/>
          </w:tcPr>
          <w:p w14:paraId="74467B14">
            <w:pPr>
              <w:spacing w:line="360" w:lineRule="auto"/>
              <w:jc w:val="center"/>
              <w:rPr>
                <w:rFonts w:ascii="宋体"/>
                <w:color w:val="auto"/>
                <w:sz w:val="28"/>
                <w:szCs w:val="28"/>
                <w:highlight w:val="none"/>
              </w:rPr>
            </w:pPr>
          </w:p>
        </w:tc>
        <w:tc>
          <w:tcPr>
            <w:tcW w:w="945" w:type="dxa"/>
            <w:vAlign w:val="top"/>
          </w:tcPr>
          <w:p w14:paraId="61F0366F">
            <w:pPr>
              <w:spacing w:line="360" w:lineRule="auto"/>
              <w:jc w:val="center"/>
              <w:rPr>
                <w:rFonts w:ascii="宋体"/>
                <w:color w:val="auto"/>
                <w:sz w:val="28"/>
                <w:szCs w:val="28"/>
                <w:highlight w:val="none"/>
              </w:rPr>
            </w:pPr>
          </w:p>
        </w:tc>
      </w:tr>
      <w:tr w14:paraId="13D56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0175C9FC">
            <w:pPr>
              <w:spacing w:line="360" w:lineRule="auto"/>
              <w:jc w:val="center"/>
              <w:rPr>
                <w:rFonts w:ascii="宋体"/>
                <w:color w:val="auto"/>
                <w:sz w:val="28"/>
                <w:szCs w:val="28"/>
                <w:highlight w:val="none"/>
              </w:rPr>
            </w:pPr>
          </w:p>
        </w:tc>
        <w:tc>
          <w:tcPr>
            <w:tcW w:w="1155" w:type="dxa"/>
            <w:vAlign w:val="top"/>
          </w:tcPr>
          <w:p w14:paraId="5B2E4DAD">
            <w:pPr>
              <w:spacing w:line="360" w:lineRule="auto"/>
              <w:jc w:val="center"/>
              <w:rPr>
                <w:rFonts w:ascii="宋体"/>
                <w:color w:val="auto"/>
                <w:sz w:val="28"/>
                <w:szCs w:val="28"/>
                <w:highlight w:val="none"/>
              </w:rPr>
            </w:pPr>
          </w:p>
        </w:tc>
        <w:tc>
          <w:tcPr>
            <w:tcW w:w="1050" w:type="dxa"/>
            <w:vAlign w:val="top"/>
          </w:tcPr>
          <w:p w14:paraId="66E70C36">
            <w:pPr>
              <w:spacing w:line="360" w:lineRule="auto"/>
              <w:jc w:val="center"/>
              <w:rPr>
                <w:rFonts w:ascii="宋体"/>
                <w:color w:val="auto"/>
                <w:sz w:val="28"/>
                <w:szCs w:val="28"/>
                <w:highlight w:val="none"/>
              </w:rPr>
            </w:pPr>
          </w:p>
        </w:tc>
        <w:tc>
          <w:tcPr>
            <w:tcW w:w="630" w:type="dxa"/>
            <w:vAlign w:val="top"/>
          </w:tcPr>
          <w:p w14:paraId="6CEE9530">
            <w:pPr>
              <w:spacing w:line="360" w:lineRule="auto"/>
              <w:jc w:val="center"/>
              <w:rPr>
                <w:rFonts w:ascii="宋体"/>
                <w:color w:val="auto"/>
                <w:sz w:val="28"/>
                <w:szCs w:val="28"/>
                <w:highlight w:val="none"/>
              </w:rPr>
            </w:pPr>
          </w:p>
        </w:tc>
        <w:tc>
          <w:tcPr>
            <w:tcW w:w="525" w:type="dxa"/>
            <w:vAlign w:val="top"/>
          </w:tcPr>
          <w:p w14:paraId="742D9044">
            <w:pPr>
              <w:spacing w:line="360" w:lineRule="auto"/>
              <w:jc w:val="center"/>
              <w:rPr>
                <w:rFonts w:ascii="宋体"/>
                <w:color w:val="auto"/>
                <w:sz w:val="28"/>
                <w:szCs w:val="28"/>
                <w:highlight w:val="none"/>
              </w:rPr>
            </w:pPr>
          </w:p>
        </w:tc>
        <w:tc>
          <w:tcPr>
            <w:tcW w:w="735" w:type="dxa"/>
            <w:vAlign w:val="top"/>
          </w:tcPr>
          <w:p w14:paraId="47DF53C3">
            <w:pPr>
              <w:spacing w:line="360" w:lineRule="auto"/>
              <w:jc w:val="center"/>
              <w:rPr>
                <w:rFonts w:ascii="宋体"/>
                <w:color w:val="auto"/>
                <w:sz w:val="28"/>
                <w:szCs w:val="28"/>
                <w:highlight w:val="none"/>
              </w:rPr>
            </w:pPr>
          </w:p>
        </w:tc>
        <w:tc>
          <w:tcPr>
            <w:tcW w:w="840" w:type="dxa"/>
            <w:vAlign w:val="top"/>
          </w:tcPr>
          <w:p w14:paraId="63D9A599">
            <w:pPr>
              <w:spacing w:line="360" w:lineRule="auto"/>
              <w:jc w:val="center"/>
              <w:rPr>
                <w:rFonts w:ascii="宋体"/>
                <w:color w:val="auto"/>
                <w:sz w:val="28"/>
                <w:szCs w:val="28"/>
                <w:highlight w:val="none"/>
              </w:rPr>
            </w:pPr>
          </w:p>
        </w:tc>
        <w:tc>
          <w:tcPr>
            <w:tcW w:w="840" w:type="dxa"/>
            <w:vAlign w:val="top"/>
          </w:tcPr>
          <w:p w14:paraId="4ED7BEED">
            <w:pPr>
              <w:spacing w:line="360" w:lineRule="auto"/>
              <w:jc w:val="center"/>
              <w:rPr>
                <w:rFonts w:ascii="宋体"/>
                <w:color w:val="auto"/>
                <w:sz w:val="28"/>
                <w:szCs w:val="28"/>
                <w:highlight w:val="none"/>
              </w:rPr>
            </w:pPr>
          </w:p>
        </w:tc>
        <w:tc>
          <w:tcPr>
            <w:tcW w:w="735" w:type="dxa"/>
            <w:vAlign w:val="top"/>
          </w:tcPr>
          <w:p w14:paraId="6C4261F5">
            <w:pPr>
              <w:spacing w:line="360" w:lineRule="auto"/>
              <w:jc w:val="center"/>
              <w:rPr>
                <w:rFonts w:ascii="宋体"/>
                <w:color w:val="auto"/>
                <w:sz w:val="28"/>
                <w:szCs w:val="28"/>
                <w:highlight w:val="none"/>
              </w:rPr>
            </w:pPr>
          </w:p>
        </w:tc>
        <w:tc>
          <w:tcPr>
            <w:tcW w:w="945" w:type="dxa"/>
            <w:vAlign w:val="top"/>
          </w:tcPr>
          <w:p w14:paraId="04D77974">
            <w:pPr>
              <w:spacing w:line="360" w:lineRule="auto"/>
              <w:jc w:val="center"/>
              <w:rPr>
                <w:rFonts w:ascii="宋体"/>
                <w:color w:val="auto"/>
                <w:sz w:val="28"/>
                <w:szCs w:val="28"/>
                <w:highlight w:val="none"/>
              </w:rPr>
            </w:pPr>
          </w:p>
        </w:tc>
      </w:tr>
      <w:tr w14:paraId="7B8D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4DE60A81">
            <w:pPr>
              <w:spacing w:line="360" w:lineRule="auto"/>
              <w:jc w:val="center"/>
              <w:rPr>
                <w:rFonts w:ascii="宋体"/>
                <w:color w:val="auto"/>
                <w:sz w:val="28"/>
                <w:szCs w:val="28"/>
                <w:highlight w:val="none"/>
              </w:rPr>
            </w:pPr>
          </w:p>
        </w:tc>
        <w:tc>
          <w:tcPr>
            <w:tcW w:w="1155" w:type="dxa"/>
            <w:vAlign w:val="top"/>
          </w:tcPr>
          <w:p w14:paraId="36ACD13B">
            <w:pPr>
              <w:spacing w:line="360" w:lineRule="auto"/>
              <w:jc w:val="center"/>
              <w:rPr>
                <w:rFonts w:ascii="宋体"/>
                <w:color w:val="auto"/>
                <w:sz w:val="28"/>
                <w:szCs w:val="28"/>
                <w:highlight w:val="none"/>
              </w:rPr>
            </w:pPr>
          </w:p>
        </w:tc>
        <w:tc>
          <w:tcPr>
            <w:tcW w:w="1050" w:type="dxa"/>
            <w:vAlign w:val="top"/>
          </w:tcPr>
          <w:p w14:paraId="41C29E9C">
            <w:pPr>
              <w:spacing w:line="360" w:lineRule="auto"/>
              <w:jc w:val="center"/>
              <w:rPr>
                <w:rFonts w:ascii="宋体"/>
                <w:color w:val="auto"/>
                <w:sz w:val="28"/>
                <w:szCs w:val="28"/>
                <w:highlight w:val="none"/>
              </w:rPr>
            </w:pPr>
          </w:p>
        </w:tc>
        <w:tc>
          <w:tcPr>
            <w:tcW w:w="630" w:type="dxa"/>
            <w:vAlign w:val="top"/>
          </w:tcPr>
          <w:p w14:paraId="5F90E774">
            <w:pPr>
              <w:spacing w:line="360" w:lineRule="auto"/>
              <w:jc w:val="center"/>
              <w:rPr>
                <w:rFonts w:ascii="宋体"/>
                <w:color w:val="auto"/>
                <w:sz w:val="28"/>
                <w:szCs w:val="28"/>
                <w:highlight w:val="none"/>
              </w:rPr>
            </w:pPr>
          </w:p>
        </w:tc>
        <w:tc>
          <w:tcPr>
            <w:tcW w:w="525" w:type="dxa"/>
            <w:vAlign w:val="top"/>
          </w:tcPr>
          <w:p w14:paraId="14B9295B">
            <w:pPr>
              <w:spacing w:line="360" w:lineRule="auto"/>
              <w:jc w:val="center"/>
              <w:rPr>
                <w:rFonts w:ascii="宋体"/>
                <w:color w:val="auto"/>
                <w:sz w:val="28"/>
                <w:szCs w:val="28"/>
                <w:highlight w:val="none"/>
              </w:rPr>
            </w:pPr>
          </w:p>
        </w:tc>
        <w:tc>
          <w:tcPr>
            <w:tcW w:w="735" w:type="dxa"/>
            <w:vAlign w:val="top"/>
          </w:tcPr>
          <w:p w14:paraId="080F3054">
            <w:pPr>
              <w:spacing w:line="360" w:lineRule="auto"/>
              <w:jc w:val="center"/>
              <w:rPr>
                <w:rFonts w:ascii="宋体"/>
                <w:color w:val="auto"/>
                <w:sz w:val="28"/>
                <w:szCs w:val="28"/>
                <w:highlight w:val="none"/>
              </w:rPr>
            </w:pPr>
          </w:p>
        </w:tc>
        <w:tc>
          <w:tcPr>
            <w:tcW w:w="840" w:type="dxa"/>
            <w:vAlign w:val="top"/>
          </w:tcPr>
          <w:p w14:paraId="7764BCFC">
            <w:pPr>
              <w:spacing w:line="360" w:lineRule="auto"/>
              <w:jc w:val="center"/>
              <w:rPr>
                <w:rFonts w:ascii="宋体"/>
                <w:color w:val="auto"/>
                <w:sz w:val="28"/>
                <w:szCs w:val="28"/>
                <w:highlight w:val="none"/>
              </w:rPr>
            </w:pPr>
          </w:p>
        </w:tc>
        <w:tc>
          <w:tcPr>
            <w:tcW w:w="840" w:type="dxa"/>
            <w:vAlign w:val="top"/>
          </w:tcPr>
          <w:p w14:paraId="0F0DA07F">
            <w:pPr>
              <w:spacing w:line="360" w:lineRule="auto"/>
              <w:jc w:val="center"/>
              <w:rPr>
                <w:rFonts w:ascii="宋体"/>
                <w:color w:val="auto"/>
                <w:sz w:val="28"/>
                <w:szCs w:val="28"/>
                <w:highlight w:val="none"/>
              </w:rPr>
            </w:pPr>
          </w:p>
        </w:tc>
        <w:tc>
          <w:tcPr>
            <w:tcW w:w="735" w:type="dxa"/>
            <w:vAlign w:val="top"/>
          </w:tcPr>
          <w:p w14:paraId="24C29482">
            <w:pPr>
              <w:spacing w:line="360" w:lineRule="auto"/>
              <w:jc w:val="center"/>
              <w:rPr>
                <w:rFonts w:ascii="宋体"/>
                <w:color w:val="auto"/>
                <w:sz w:val="28"/>
                <w:szCs w:val="28"/>
                <w:highlight w:val="none"/>
              </w:rPr>
            </w:pPr>
          </w:p>
        </w:tc>
        <w:tc>
          <w:tcPr>
            <w:tcW w:w="945" w:type="dxa"/>
            <w:vAlign w:val="top"/>
          </w:tcPr>
          <w:p w14:paraId="1F976705">
            <w:pPr>
              <w:spacing w:line="360" w:lineRule="auto"/>
              <w:jc w:val="center"/>
              <w:rPr>
                <w:rFonts w:ascii="宋体"/>
                <w:color w:val="auto"/>
                <w:sz w:val="28"/>
                <w:szCs w:val="28"/>
                <w:highlight w:val="none"/>
              </w:rPr>
            </w:pPr>
          </w:p>
        </w:tc>
      </w:tr>
      <w:tr w14:paraId="576D2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3E62300B">
            <w:pPr>
              <w:spacing w:line="360" w:lineRule="auto"/>
              <w:jc w:val="center"/>
              <w:rPr>
                <w:rFonts w:ascii="宋体"/>
                <w:color w:val="auto"/>
                <w:sz w:val="28"/>
                <w:szCs w:val="28"/>
                <w:highlight w:val="none"/>
              </w:rPr>
            </w:pPr>
          </w:p>
        </w:tc>
        <w:tc>
          <w:tcPr>
            <w:tcW w:w="1155" w:type="dxa"/>
            <w:vAlign w:val="top"/>
          </w:tcPr>
          <w:p w14:paraId="413650C9">
            <w:pPr>
              <w:spacing w:line="360" w:lineRule="auto"/>
              <w:jc w:val="center"/>
              <w:rPr>
                <w:rFonts w:ascii="宋体"/>
                <w:color w:val="auto"/>
                <w:sz w:val="28"/>
                <w:szCs w:val="28"/>
                <w:highlight w:val="none"/>
              </w:rPr>
            </w:pPr>
          </w:p>
        </w:tc>
        <w:tc>
          <w:tcPr>
            <w:tcW w:w="1050" w:type="dxa"/>
            <w:vAlign w:val="top"/>
          </w:tcPr>
          <w:p w14:paraId="67A60489">
            <w:pPr>
              <w:spacing w:line="360" w:lineRule="auto"/>
              <w:jc w:val="center"/>
              <w:rPr>
                <w:rFonts w:ascii="宋体"/>
                <w:color w:val="auto"/>
                <w:sz w:val="28"/>
                <w:szCs w:val="28"/>
                <w:highlight w:val="none"/>
              </w:rPr>
            </w:pPr>
          </w:p>
        </w:tc>
        <w:tc>
          <w:tcPr>
            <w:tcW w:w="630" w:type="dxa"/>
            <w:vAlign w:val="top"/>
          </w:tcPr>
          <w:p w14:paraId="73B6C884">
            <w:pPr>
              <w:spacing w:line="360" w:lineRule="auto"/>
              <w:jc w:val="center"/>
              <w:rPr>
                <w:rFonts w:ascii="宋体"/>
                <w:color w:val="auto"/>
                <w:sz w:val="28"/>
                <w:szCs w:val="28"/>
                <w:highlight w:val="none"/>
              </w:rPr>
            </w:pPr>
          </w:p>
        </w:tc>
        <w:tc>
          <w:tcPr>
            <w:tcW w:w="525" w:type="dxa"/>
            <w:vAlign w:val="top"/>
          </w:tcPr>
          <w:p w14:paraId="1C701FD5">
            <w:pPr>
              <w:spacing w:line="360" w:lineRule="auto"/>
              <w:jc w:val="center"/>
              <w:rPr>
                <w:rFonts w:ascii="宋体"/>
                <w:color w:val="auto"/>
                <w:sz w:val="28"/>
                <w:szCs w:val="28"/>
                <w:highlight w:val="none"/>
              </w:rPr>
            </w:pPr>
          </w:p>
        </w:tc>
        <w:tc>
          <w:tcPr>
            <w:tcW w:w="735" w:type="dxa"/>
            <w:vAlign w:val="top"/>
          </w:tcPr>
          <w:p w14:paraId="628E6F1F">
            <w:pPr>
              <w:spacing w:line="360" w:lineRule="auto"/>
              <w:jc w:val="center"/>
              <w:rPr>
                <w:rFonts w:ascii="宋体"/>
                <w:color w:val="auto"/>
                <w:sz w:val="28"/>
                <w:szCs w:val="28"/>
                <w:highlight w:val="none"/>
              </w:rPr>
            </w:pPr>
          </w:p>
        </w:tc>
        <w:tc>
          <w:tcPr>
            <w:tcW w:w="840" w:type="dxa"/>
            <w:vAlign w:val="top"/>
          </w:tcPr>
          <w:p w14:paraId="3DB5274C">
            <w:pPr>
              <w:spacing w:line="360" w:lineRule="auto"/>
              <w:jc w:val="center"/>
              <w:rPr>
                <w:rFonts w:ascii="宋体"/>
                <w:color w:val="auto"/>
                <w:sz w:val="28"/>
                <w:szCs w:val="28"/>
                <w:highlight w:val="none"/>
              </w:rPr>
            </w:pPr>
          </w:p>
        </w:tc>
        <w:tc>
          <w:tcPr>
            <w:tcW w:w="840" w:type="dxa"/>
            <w:vAlign w:val="top"/>
          </w:tcPr>
          <w:p w14:paraId="3A3313AD">
            <w:pPr>
              <w:spacing w:line="360" w:lineRule="auto"/>
              <w:jc w:val="center"/>
              <w:rPr>
                <w:rFonts w:ascii="宋体"/>
                <w:color w:val="auto"/>
                <w:sz w:val="28"/>
                <w:szCs w:val="28"/>
                <w:highlight w:val="none"/>
              </w:rPr>
            </w:pPr>
          </w:p>
        </w:tc>
        <w:tc>
          <w:tcPr>
            <w:tcW w:w="735" w:type="dxa"/>
            <w:vAlign w:val="top"/>
          </w:tcPr>
          <w:p w14:paraId="2ED6517E">
            <w:pPr>
              <w:spacing w:line="360" w:lineRule="auto"/>
              <w:jc w:val="center"/>
              <w:rPr>
                <w:rFonts w:ascii="宋体"/>
                <w:color w:val="auto"/>
                <w:sz w:val="28"/>
                <w:szCs w:val="28"/>
                <w:highlight w:val="none"/>
              </w:rPr>
            </w:pPr>
          </w:p>
        </w:tc>
        <w:tc>
          <w:tcPr>
            <w:tcW w:w="945" w:type="dxa"/>
            <w:vAlign w:val="top"/>
          </w:tcPr>
          <w:p w14:paraId="71D10B03">
            <w:pPr>
              <w:spacing w:line="360" w:lineRule="auto"/>
              <w:jc w:val="center"/>
              <w:rPr>
                <w:rFonts w:ascii="宋体"/>
                <w:color w:val="auto"/>
                <w:sz w:val="28"/>
                <w:szCs w:val="28"/>
                <w:highlight w:val="none"/>
              </w:rPr>
            </w:pPr>
          </w:p>
        </w:tc>
      </w:tr>
      <w:tr w14:paraId="2E5C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1CEFA732">
            <w:pPr>
              <w:spacing w:line="360" w:lineRule="auto"/>
              <w:jc w:val="center"/>
              <w:rPr>
                <w:rFonts w:ascii="宋体"/>
                <w:color w:val="auto"/>
                <w:sz w:val="28"/>
                <w:szCs w:val="28"/>
                <w:highlight w:val="none"/>
              </w:rPr>
            </w:pPr>
          </w:p>
        </w:tc>
        <w:tc>
          <w:tcPr>
            <w:tcW w:w="1155" w:type="dxa"/>
            <w:vAlign w:val="top"/>
          </w:tcPr>
          <w:p w14:paraId="59511DC5">
            <w:pPr>
              <w:spacing w:line="360" w:lineRule="auto"/>
              <w:jc w:val="center"/>
              <w:rPr>
                <w:rFonts w:ascii="宋体"/>
                <w:color w:val="auto"/>
                <w:sz w:val="28"/>
                <w:szCs w:val="28"/>
                <w:highlight w:val="none"/>
              </w:rPr>
            </w:pPr>
          </w:p>
        </w:tc>
        <w:tc>
          <w:tcPr>
            <w:tcW w:w="1050" w:type="dxa"/>
            <w:vAlign w:val="top"/>
          </w:tcPr>
          <w:p w14:paraId="42A76465">
            <w:pPr>
              <w:spacing w:line="360" w:lineRule="auto"/>
              <w:jc w:val="center"/>
              <w:rPr>
                <w:rFonts w:ascii="宋体"/>
                <w:color w:val="auto"/>
                <w:sz w:val="28"/>
                <w:szCs w:val="28"/>
                <w:highlight w:val="none"/>
              </w:rPr>
            </w:pPr>
          </w:p>
        </w:tc>
        <w:tc>
          <w:tcPr>
            <w:tcW w:w="630" w:type="dxa"/>
            <w:vAlign w:val="top"/>
          </w:tcPr>
          <w:p w14:paraId="1B615890">
            <w:pPr>
              <w:spacing w:line="360" w:lineRule="auto"/>
              <w:jc w:val="center"/>
              <w:rPr>
                <w:rFonts w:ascii="宋体"/>
                <w:color w:val="auto"/>
                <w:sz w:val="28"/>
                <w:szCs w:val="28"/>
                <w:highlight w:val="none"/>
              </w:rPr>
            </w:pPr>
          </w:p>
        </w:tc>
        <w:tc>
          <w:tcPr>
            <w:tcW w:w="525" w:type="dxa"/>
            <w:vAlign w:val="top"/>
          </w:tcPr>
          <w:p w14:paraId="1EED8477">
            <w:pPr>
              <w:spacing w:line="360" w:lineRule="auto"/>
              <w:jc w:val="center"/>
              <w:rPr>
                <w:rFonts w:ascii="宋体"/>
                <w:color w:val="auto"/>
                <w:sz w:val="28"/>
                <w:szCs w:val="28"/>
                <w:highlight w:val="none"/>
              </w:rPr>
            </w:pPr>
          </w:p>
        </w:tc>
        <w:tc>
          <w:tcPr>
            <w:tcW w:w="735" w:type="dxa"/>
            <w:vAlign w:val="top"/>
          </w:tcPr>
          <w:p w14:paraId="3718B426">
            <w:pPr>
              <w:spacing w:line="360" w:lineRule="auto"/>
              <w:jc w:val="center"/>
              <w:rPr>
                <w:rFonts w:ascii="宋体"/>
                <w:color w:val="auto"/>
                <w:sz w:val="28"/>
                <w:szCs w:val="28"/>
                <w:highlight w:val="none"/>
              </w:rPr>
            </w:pPr>
          </w:p>
        </w:tc>
        <w:tc>
          <w:tcPr>
            <w:tcW w:w="840" w:type="dxa"/>
            <w:vAlign w:val="top"/>
          </w:tcPr>
          <w:p w14:paraId="2033DF9F">
            <w:pPr>
              <w:spacing w:line="360" w:lineRule="auto"/>
              <w:jc w:val="center"/>
              <w:rPr>
                <w:rFonts w:ascii="宋体"/>
                <w:color w:val="auto"/>
                <w:sz w:val="28"/>
                <w:szCs w:val="28"/>
                <w:highlight w:val="none"/>
              </w:rPr>
            </w:pPr>
          </w:p>
        </w:tc>
        <w:tc>
          <w:tcPr>
            <w:tcW w:w="840" w:type="dxa"/>
            <w:vAlign w:val="top"/>
          </w:tcPr>
          <w:p w14:paraId="0F8B82C7">
            <w:pPr>
              <w:spacing w:line="360" w:lineRule="auto"/>
              <w:jc w:val="center"/>
              <w:rPr>
                <w:rFonts w:ascii="宋体"/>
                <w:color w:val="auto"/>
                <w:sz w:val="28"/>
                <w:szCs w:val="28"/>
                <w:highlight w:val="none"/>
              </w:rPr>
            </w:pPr>
          </w:p>
        </w:tc>
        <w:tc>
          <w:tcPr>
            <w:tcW w:w="735" w:type="dxa"/>
            <w:vAlign w:val="top"/>
          </w:tcPr>
          <w:p w14:paraId="3DE9327E">
            <w:pPr>
              <w:spacing w:line="360" w:lineRule="auto"/>
              <w:jc w:val="center"/>
              <w:rPr>
                <w:rFonts w:ascii="宋体"/>
                <w:color w:val="auto"/>
                <w:sz w:val="28"/>
                <w:szCs w:val="28"/>
                <w:highlight w:val="none"/>
              </w:rPr>
            </w:pPr>
          </w:p>
        </w:tc>
        <w:tc>
          <w:tcPr>
            <w:tcW w:w="945" w:type="dxa"/>
            <w:vAlign w:val="top"/>
          </w:tcPr>
          <w:p w14:paraId="4A5E8001">
            <w:pPr>
              <w:spacing w:line="360" w:lineRule="auto"/>
              <w:jc w:val="center"/>
              <w:rPr>
                <w:rFonts w:ascii="宋体"/>
                <w:color w:val="auto"/>
                <w:sz w:val="28"/>
                <w:szCs w:val="28"/>
                <w:highlight w:val="none"/>
              </w:rPr>
            </w:pPr>
          </w:p>
        </w:tc>
      </w:tr>
      <w:tr w14:paraId="7906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33E9A34D">
            <w:pPr>
              <w:spacing w:line="360" w:lineRule="auto"/>
              <w:jc w:val="center"/>
              <w:rPr>
                <w:rFonts w:ascii="宋体"/>
                <w:color w:val="auto"/>
                <w:sz w:val="28"/>
                <w:szCs w:val="28"/>
                <w:highlight w:val="none"/>
              </w:rPr>
            </w:pPr>
          </w:p>
        </w:tc>
        <w:tc>
          <w:tcPr>
            <w:tcW w:w="1155" w:type="dxa"/>
            <w:vAlign w:val="top"/>
          </w:tcPr>
          <w:p w14:paraId="25891927">
            <w:pPr>
              <w:spacing w:line="360" w:lineRule="auto"/>
              <w:jc w:val="center"/>
              <w:rPr>
                <w:rFonts w:ascii="宋体"/>
                <w:color w:val="auto"/>
                <w:sz w:val="28"/>
                <w:szCs w:val="28"/>
                <w:highlight w:val="none"/>
              </w:rPr>
            </w:pPr>
          </w:p>
        </w:tc>
        <w:tc>
          <w:tcPr>
            <w:tcW w:w="1050" w:type="dxa"/>
            <w:vAlign w:val="top"/>
          </w:tcPr>
          <w:p w14:paraId="3661CB40">
            <w:pPr>
              <w:spacing w:line="360" w:lineRule="auto"/>
              <w:jc w:val="center"/>
              <w:rPr>
                <w:rFonts w:ascii="宋体"/>
                <w:color w:val="auto"/>
                <w:sz w:val="28"/>
                <w:szCs w:val="28"/>
                <w:highlight w:val="none"/>
              </w:rPr>
            </w:pPr>
          </w:p>
        </w:tc>
        <w:tc>
          <w:tcPr>
            <w:tcW w:w="630" w:type="dxa"/>
            <w:vAlign w:val="top"/>
          </w:tcPr>
          <w:p w14:paraId="656C00D9">
            <w:pPr>
              <w:spacing w:line="360" w:lineRule="auto"/>
              <w:jc w:val="center"/>
              <w:rPr>
                <w:rFonts w:ascii="宋体"/>
                <w:color w:val="auto"/>
                <w:sz w:val="28"/>
                <w:szCs w:val="28"/>
                <w:highlight w:val="none"/>
              </w:rPr>
            </w:pPr>
          </w:p>
        </w:tc>
        <w:tc>
          <w:tcPr>
            <w:tcW w:w="525" w:type="dxa"/>
            <w:vAlign w:val="top"/>
          </w:tcPr>
          <w:p w14:paraId="25AFF134">
            <w:pPr>
              <w:spacing w:line="360" w:lineRule="auto"/>
              <w:jc w:val="center"/>
              <w:rPr>
                <w:rFonts w:ascii="宋体"/>
                <w:color w:val="auto"/>
                <w:sz w:val="28"/>
                <w:szCs w:val="28"/>
                <w:highlight w:val="none"/>
              </w:rPr>
            </w:pPr>
          </w:p>
        </w:tc>
        <w:tc>
          <w:tcPr>
            <w:tcW w:w="735" w:type="dxa"/>
            <w:vAlign w:val="top"/>
          </w:tcPr>
          <w:p w14:paraId="624DA0FC">
            <w:pPr>
              <w:spacing w:line="360" w:lineRule="auto"/>
              <w:jc w:val="center"/>
              <w:rPr>
                <w:rFonts w:ascii="宋体"/>
                <w:color w:val="auto"/>
                <w:sz w:val="28"/>
                <w:szCs w:val="28"/>
                <w:highlight w:val="none"/>
              </w:rPr>
            </w:pPr>
          </w:p>
        </w:tc>
        <w:tc>
          <w:tcPr>
            <w:tcW w:w="840" w:type="dxa"/>
            <w:vAlign w:val="top"/>
          </w:tcPr>
          <w:p w14:paraId="339EA103">
            <w:pPr>
              <w:spacing w:line="360" w:lineRule="auto"/>
              <w:jc w:val="center"/>
              <w:rPr>
                <w:rFonts w:ascii="宋体"/>
                <w:color w:val="auto"/>
                <w:sz w:val="28"/>
                <w:szCs w:val="28"/>
                <w:highlight w:val="none"/>
              </w:rPr>
            </w:pPr>
          </w:p>
        </w:tc>
        <w:tc>
          <w:tcPr>
            <w:tcW w:w="840" w:type="dxa"/>
            <w:vAlign w:val="top"/>
          </w:tcPr>
          <w:p w14:paraId="593F5C3B">
            <w:pPr>
              <w:spacing w:line="360" w:lineRule="auto"/>
              <w:jc w:val="center"/>
              <w:rPr>
                <w:rFonts w:ascii="宋体"/>
                <w:color w:val="auto"/>
                <w:sz w:val="28"/>
                <w:szCs w:val="28"/>
                <w:highlight w:val="none"/>
              </w:rPr>
            </w:pPr>
          </w:p>
        </w:tc>
        <w:tc>
          <w:tcPr>
            <w:tcW w:w="735" w:type="dxa"/>
            <w:vAlign w:val="top"/>
          </w:tcPr>
          <w:p w14:paraId="1C5041B0">
            <w:pPr>
              <w:spacing w:line="360" w:lineRule="auto"/>
              <w:jc w:val="center"/>
              <w:rPr>
                <w:rFonts w:ascii="宋体"/>
                <w:color w:val="auto"/>
                <w:sz w:val="28"/>
                <w:szCs w:val="28"/>
                <w:highlight w:val="none"/>
              </w:rPr>
            </w:pPr>
          </w:p>
        </w:tc>
        <w:tc>
          <w:tcPr>
            <w:tcW w:w="945" w:type="dxa"/>
            <w:vAlign w:val="top"/>
          </w:tcPr>
          <w:p w14:paraId="12898659">
            <w:pPr>
              <w:spacing w:line="360" w:lineRule="auto"/>
              <w:jc w:val="center"/>
              <w:rPr>
                <w:rFonts w:ascii="宋体"/>
                <w:color w:val="auto"/>
                <w:sz w:val="28"/>
                <w:szCs w:val="28"/>
                <w:highlight w:val="none"/>
              </w:rPr>
            </w:pPr>
          </w:p>
        </w:tc>
      </w:tr>
      <w:tr w14:paraId="02CA4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23D9F5DD">
            <w:pPr>
              <w:spacing w:line="360" w:lineRule="auto"/>
              <w:jc w:val="center"/>
              <w:rPr>
                <w:rFonts w:ascii="宋体"/>
                <w:color w:val="auto"/>
                <w:sz w:val="28"/>
                <w:szCs w:val="28"/>
                <w:highlight w:val="none"/>
              </w:rPr>
            </w:pPr>
          </w:p>
        </w:tc>
        <w:tc>
          <w:tcPr>
            <w:tcW w:w="1155" w:type="dxa"/>
            <w:vAlign w:val="top"/>
          </w:tcPr>
          <w:p w14:paraId="66C368FB">
            <w:pPr>
              <w:spacing w:line="360" w:lineRule="auto"/>
              <w:jc w:val="center"/>
              <w:rPr>
                <w:rFonts w:ascii="宋体"/>
                <w:color w:val="auto"/>
                <w:sz w:val="28"/>
                <w:szCs w:val="28"/>
                <w:highlight w:val="none"/>
              </w:rPr>
            </w:pPr>
          </w:p>
        </w:tc>
        <w:tc>
          <w:tcPr>
            <w:tcW w:w="1050" w:type="dxa"/>
            <w:vAlign w:val="top"/>
          </w:tcPr>
          <w:p w14:paraId="161368FB">
            <w:pPr>
              <w:spacing w:line="360" w:lineRule="auto"/>
              <w:jc w:val="center"/>
              <w:rPr>
                <w:rFonts w:ascii="宋体"/>
                <w:color w:val="auto"/>
                <w:sz w:val="28"/>
                <w:szCs w:val="28"/>
                <w:highlight w:val="none"/>
              </w:rPr>
            </w:pPr>
          </w:p>
        </w:tc>
        <w:tc>
          <w:tcPr>
            <w:tcW w:w="630" w:type="dxa"/>
            <w:vAlign w:val="top"/>
          </w:tcPr>
          <w:p w14:paraId="3851D7F1">
            <w:pPr>
              <w:spacing w:line="360" w:lineRule="auto"/>
              <w:jc w:val="center"/>
              <w:rPr>
                <w:rFonts w:ascii="宋体"/>
                <w:color w:val="auto"/>
                <w:sz w:val="28"/>
                <w:szCs w:val="28"/>
                <w:highlight w:val="none"/>
              </w:rPr>
            </w:pPr>
          </w:p>
        </w:tc>
        <w:tc>
          <w:tcPr>
            <w:tcW w:w="525" w:type="dxa"/>
            <w:vAlign w:val="top"/>
          </w:tcPr>
          <w:p w14:paraId="372A8A32">
            <w:pPr>
              <w:spacing w:line="360" w:lineRule="auto"/>
              <w:jc w:val="center"/>
              <w:rPr>
                <w:rFonts w:ascii="宋体"/>
                <w:color w:val="auto"/>
                <w:sz w:val="28"/>
                <w:szCs w:val="28"/>
                <w:highlight w:val="none"/>
              </w:rPr>
            </w:pPr>
          </w:p>
        </w:tc>
        <w:tc>
          <w:tcPr>
            <w:tcW w:w="735" w:type="dxa"/>
            <w:vAlign w:val="top"/>
          </w:tcPr>
          <w:p w14:paraId="43268E52">
            <w:pPr>
              <w:spacing w:line="360" w:lineRule="auto"/>
              <w:jc w:val="center"/>
              <w:rPr>
                <w:rFonts w:ascii="宋体"/>
                <w:color w:val="auto"/>
                <w:sz w:val="28"/>
                <w:szCs w:val="28"/>
                <w:highlight w:val="none"/>
              </w:rPr>
            </w:pPr>
          </w:p>
        </w:tc>
        <w:tc>
          <w:tcPr>
            <w:tcW w:w="840" w:type="dxa"/>
            <w:vAlign w:val="top"/>
          </w:tcPr>
          <w:p w14:paraId="49922111">
            <w:pPr>
              <w:spacing w:line="360" w:lineRule="auto"/>
              <w:jc w:val="center"/>
              <w:rPr>
                <w:rFonts w:ascii="宋体"/>
                <w:color w:val="auto"/>
                <w:sz w:val="28"/>
                <w:szCs w:val="28"/>
                <w:highlight w:val="none"/>
              </w:rPr>
            </w:pPr>
          </w:p>
        </w:tc>
        <w:tc>
          <w:tcPr>
            <w:tcW w:w="840" w:type="dxa"/>
            <w:vAlign w:val="top"/>
          </w:tcPr>
          <w:p w14:paraId="672858E2">
            <w:pPr>
              <w:spacing w:line="360" w:lineRule="auto"/>
              <w:jc w:val="center"/>
              <w:rPr>
                <w:rFonts w:ascii="宋体"/>
                <w:color w:val="auto"/>
                <w:sz w:val="28"/>
                <w:szCs w:val="28"/>
                <w:highlight w:val="none"/>
              </w:rPr>
            </w:pPr>
          </w:p>
        </w:tc>
        <w:tc>
          <w:tcPr>
            <w:tcW w:w="735" w:type="dxa"/>
            <w:vAlign w:val="top"/>
          </w:tcPr>
          <w:p w14:paraId="7127BC83">
            <w:pPr>
              <w:spacing w:line="360" w:lineRule="auto"/>
              <w:jc w:val="center"/>
              <w:rPr>
                <w:rFonts w:ascii="宋体"/>
                <w:color w:val="auto"/>
                <w:sz w:val="28"/>
                <w:szCs w:val="28"/>
                <w:highlight w:val="none"/>
              </w:rPr>
            </w:pPr>
          </w:p>
        </w:tc>
        <w:tc>
          <w:tcPr>
            <w:tcW w:w="945" w:type="dxa"/>
            <w:vAlign w:val="top"/>
          </w:tcPr>
          <w:p w14:paraId="6EEDC955">
            <w:pPr>
              <w:spacing w:line="360" w:lineRule="auto"/>
              <w:jc w:val="center"/>
              <w:rPr>
                <w:rFonts w:ascii="宋体"/>
                <w:color w:val="auto"/>
                <w:sz w:val="28"/>
                <w:szCs w:val="28"/>
                <w:highlight w:val="none"/>
              </w:rPr>
            </w:pPr>
          </w:p>
        </w:tc>
      </w:tr>
      <w:tr w14:paraId="5E2DE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76AC09B6">
            <w:pPr>
              <w:spacing w:line="360" w:lineRule="auto"/>
              <w:jc w:val="center"/>
              <w:rPr>
                <w:rFonts w:ascii="宋体"/>
                <w:color w:val="auto"/>
                <w:sz w:val="28"/>
                <w:szCs w:val="28"/>
                <w:highlight w:val="none"/>
              </w:rPr>
            </w:pPr>
          </w:p>
        </w:tc>
        <w:tc>
          <w:tcPr>
            <w:tcW w:w="1155" w:type="dxa"/>
            <w:vAlign w:val="top"/>
          </w:tcPr>
          <w:p w14:paraId="3C9511E7">
            <w:pPr>
              <w:spacing w:line="360" w:lineRule="auto"/>
              <w:jc w:val="center"/>
              <w:rPr>
                <w:rFonts w:ascii="宋体"/>
                <w:color w:val="auto"/>
                <w:sz w:val="28"/>
                <w:szCs w:val="28"/>
                <w:highlight w:val="none"/>
              </w:rPr>
            </w:pPr>
          </w:p>
        </w:tc>
        <w:tc>
          <w:tcPr>
            <w:tcW w:w="1050" w:type="dxa"/>
            <w:vAlign w:val="top"/>
          </w:tcPr>
          <w:p w14:paraId="707D6910">
            <w:pPr>
              <w:spacing w:line="360" w:lineRule="auto"/>
              <w:jc w:val="center"/>
              <w:rPr>
                <w:rFonts w:ascii="宋体"/>
                <w:color w:val="auto"/>
                <w:sz w:val="28"/>
                <w:szCs w:val="28"/>
                <w:highlight w:val="none"/>
              </w:rPr>
            </w:pPr>
          </w:p>
        </w:tc>
        <w:tc>
          <w:tcPr>
            <w:tcW w:w="630" w:type="dxa"/>
            <w:vAlign w:val="top"/>
          </w:tcPr>
          <w:p w14:paraId="35754564">
            <w:pPr>
              <w:spacing w:line="360" w:lineRule="auto"/>
              <w:jc w:val="center"/>
              <w:rPr>
                <w:rFonts w:ascii="宋体"/>
                <w:color w:val="auto"/>
                <w:sz w:val="28"/>
                <w:szCs w:val="28"/>
                <w:highlight w:val="none"/>
              </w:rPr>
            </w:pPr>
          </w:p>
        </w:tc>
        <w:tc>
          <w:tcPr>
            <w:tcW w:w="525" w:type="dxa"/>
            <w:vAlign w:val="top"/>
          </w:tcPr>
          <w:p w14:paraId="7F060562">
            <w:pPr>
              <w:spacing w:line="360" w:lineRule="auto"/>
              <w:jc w:val="center"/>
              <w:rPr>
                <w:rFonts w:ascii="宋体"/>
                <w:color w:val="auto"/>
                <w:sz w:val="28"/>
                <w:szCs w:val="28"/>
                <w:highlight w:val="none"/>
              </w:rPr>
            </w:pPr>
          </w:p>
        </w:tc>
        <w:tc>
          <w:tcPr>
            <w:tcW w:w="735" w:type="dxa"/>
            <w:vAlign w:val="top"/>
          </w:tcPr>
          <w:p w14:paraId="69894881">
            <w:pPr>
              <w:spacing w:line="360" w:lineRule="auto"/>
              <w:jc w:val="center"/>
              <w:rPr>
                <w:rFonts w:ascii="宋体"/>
                <w:color w:val="auto"/>
                <w:sz w:val="28"/>
                <w:szCs w:val="28"/>
                <w:highlight w:val="none"/>
              </w:rPr>
            </w:pPr>
          </w:p>
        </w:tc>
        <w:tc>
          <w:tcPr>
            <w:tcW w:w="840" w:type="dxa"/>
            <w:vAlign w:val="top"/>
          </w:tcPr>
          <w:p w14:paraId="3D80D2C0">
            <w:pPr>
              <w:spacing w:line="360" w:lineRule="auto"/>
              <w:jc w:val="center"/>
              <w:rPr>
                <w:rFonts w:ascii="宋体"/>
                <w:color w:val="auto"/>
                <w:sz w:val="28"/>
                <w:szCs w:val="28"/>
                <w:highlight w:val="none"/>
              </w:rPr>
            </w:pPr>
          </w:p>
        </w:tc>
        <w:tc>
          <w:tcPr>
            <w:tcW w:w="840" w:type="dxa"/>
            <w:vAlign w:val="top"/>
          </w:tcPr>
          <w:p w14:paraId="068C2D0C">
            <w:pPr>
              <w:spacing w:line="360" w:lineRule="auto"/>
              <w:jc w:val="center"/>
              <w:rPr>
                <w:rFonts w:ascii="宋体"/>
                <w:color w:val="auto"/>
                <w:sz w:val="28"/>
                <w:szCs w:val="28"/>
                <w:highlight w:val="none"/>
              </w:rPr>
            </w:pPr>
          </w:p>
        </w:tc>
        <w:tc>
          <w:tcPr>
            <w:tcW w:w="735" w:type="dxa"/>
            <w:vAlign w:val="top"/>
          </w:tcPr>
          <w:p w14:paraId="4C094A32">
            <w:pPr>
              <w:spacing w:line="360" w:lineRule="auto"/>
              <w:jc w:val="center"/>
              <w:rPr>
                <w:rFonts w:ascii="宋体"/>
                <w:color w:val="auto"/>
                <w:sz w:val="28"/>
                <w:szCs w:val="28"/>
                <w:highlight w:val="none"/>
              </w:rPr>
            </w:pPr>
          </w:p>
        </w:tc>
        <w:tc>
          <w:tcPr>
            <w:tcW w:w="945" w:type="dxa"/>
            <w:vAlign w:val="top"/>
          </w:tcPr>
          <w:p w14:paraId="46400263">
            <w:pPr>
              <w:spacing w:line="360" w:lineRule="auto"/>
              <w:jc w:val="center"/>
              <w:rPr>
                <w:rFonts w:ascii="宋体"/>
                <w:color w:val="auto"/>
                <w:sz w:val="28"/>
                <w:szCs w:val="28"/>
                <w:highlight w:val="none"/>
              </w:rPr>
            </w:pPr>
          </w:p>
        </w:tc>
      </w:tr>
      <w:tr w14:paraId="589C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4F68AACD">
            <w:pPr>
              <w:spacing w:line="360" w:lineRule="auto"/>
              <w:jc w:val="center"/>
              <w:rPr>
                <w:rFonts w:ascii="宋体"/>
                <w:color w:val="auto"/>
                <w:sz w:val="28"/>
                <w:szCs w:val="28"/>
                <w:highlight w:val="none"/>
              </w:rPr>
            </w:pPr>
          </w:p>
        </w:tc>
        <w:tc>
          <w:tcPr>
            <w:tcW w:w="1155" w:type="dxa"/>
            <w:vAlign w:val="top"/>
          </w:tcPr>
          <w:p w14:paraId="218E3F7C">
            <w:pPr>
              <w:spacing w:line="360" w:lineRule="auto"/>
              <w:jc w:val="center"/>
              <w:rPr>
                <w:rFonts w:ascii="宋体"/>
                <w:color w:val="auto"/>
                <w:sz w:val="28"/>
                <w:szCs w:val="28"/>
                <w:highlight w:val="none"/>
              </w:rPr>
            </w:pPr>
          </w:p>
        </w:tc>
        <w:tc>
          <w:tcPr>
            <w:tcW w:w="1050" w:type="dxa"/>
            <w:vAlign w:val="top"/>
          </w:tcPr>
          <w:p w14:paraId="0676408E">
            <w:pPr>
              <w:spacing w:line="360" w:lineRule="auto"/>
              <w:jc w:val="center"/>
              <w:rPr>
                <w:rFonts w:ascii="宋体"/>
                <w:color w:val="auto"/>
                <w:sz w:val="28"/>
                <w:szCs w:val="28"/>
                <w:highlight w:val="none"/>
              </w:rPr>
            </w:pPr>
          </w:p>
        </w:tc>
        <w:tc>
          <w:tcPr>
            <w:tcW w:w="630" w:type="dxa"/>
            <w:vAlign w:val="top"/>
          </w:tcPr>
          <w:p w14:paraId="5FE1F95E">
            <w:pPr>
              <w:spacing w:line="360" w:lineRule="auto"/>
              <w:jc w:val="center"/>
              <w:rPr>
                <w:rFonts w:ascii="宋体"/>
                <w:color w:val="auto"/>
                <w:sz w:val="28"/>
                <w:szCs w:val="28"/>
                <w:highlight w:val="none"/>
              </w:rPr>
            </w:pPr>
          </w:p>
        </w:tc>
        <w:tc>
          <w:tcPr>
            <w:tcW w:w="525" w:type="dxa"/>
            <w:vAlign w:val="top"/>
          </w:tcPr>
          <w:p w14:paraId="18B56775">
            <w:pPr>
              <w:spacing w:line="360" w:lineRule="auto"/>
              <w:jc w:val="center"/>
              <w:rPr>
                <w:rFonts w:ascii="宋体"/>
                <w:color w:val="auto"/>
                <w:sz w:val="28"/>
                <w:szCs w:val="28"/>
                <w:highlight w:val="none"/>
              </w:rPr>
            </w:pPr>
          </w:p>
        </w:tc>
        <w:tc>
          <w:tcPr>
            <w:tcW w:w="735" w:type="dxa"/>
            <w:vAlign w:val="top"/>
          </w:tcPr>
          <w:p w14:paraId="2F5171D5">
            <w:pPr>
              <w:spacing w:line="360" w:lineRule="auto"/>
              <w:jc w:val="center"/>
              <w:rPr>
                <w:rFonts w:ascii="宋体"/>
                <w:color w:val="auto"/>
                <w:sz w:val="28"/>
                <w:szCs w:val="28"/>
                <w:highlight w:val="none"/>
              </w:rPr>
            </w:pPr>
          </w:p>
        </w:tc>
        <w:tc>
          <w:tcPr>
            <w:tcW w:w="840" w:type="dxa"/>
            <w:vAlign w:val="top"/>
          </w:tcPr>
          <w:p w14:paraId="6BC17043">
            <w:pPr>
              <w:spacing w:line="360" w:lineRule="auto"/>
              <w:jc w:val="center"/>
              <w:rPr>
                <w:rFonts w:ascii="宋体"/>
                <w:color w:val="auto"/>
                <w:sz w:val="28"/>
                <w:szCs w:val="28"/>
                <w:highlight w:val="none"/>
              </w:rPr>
            </w:pPr>
          </w:p>
        </w:tc>
        <w:tc>
          <w:tcPr>
            <w:tcW w:w="840" w:type="dxa"/>
            <w:vAlign w:val="top"/>
          </w:tcPr>
          <w:p w14:paraId="5A8BAB87">
            <w:pPr>
              <w:spacing w:line="360" w:lineRule="auto"/>
              <w:jc w:val="center"/>
              <w:rPr>
                <w:rFonts w:ascii="宋体"/>
                <w:color w:val="auto"/>
                <w:sz w:val="28"/>
                <w:szCs w:val="28"/>
                <w:highlight w:val="none"/>
              </w:rPr>
            </w:pPr>
          </w:p>
        </w:tc>
        <w:tc>
          <w:tcPr>
            <w:tcW w:w="735" w:type="dxa"/>
            <w:vAlign w:val="top"/>
          </w:tcPr>
          <w:p w14:paraId="6CE34C26">
            <w:pPr>
              <w:spacing w:line="360" w:lineRule="auto"/>
              <w:jc w:val="center"/>
              <w:rPr>
                <w:rFonts w:ascii="宋体"/>
                <w:color w:val="auto"/>
                <w:sz w:val="28"/>
                <w:szCs w:val="28"/>
                <w:highlight w:val="none"/>
              </w:rPr>
            </w:pPr>
          </w:p>
        </w:tc>
        <w:tc>
          <w:tcPr>
            <w:tcW w:w="945" w:type="dxa"/>
            <w:vAlign w:val="top"/>
          </w:tcPr>
          <w:p w14:paraId="2D1ACADA">
            <w:pPr>
              <w:spacing w:line="360" w:lineRule="auto"/>
              <w:jc w:val="center"/>
              <w:rPr>
                <w:rFonts w:ascii="宋体"/>
                <w:color w:val="auto"/>
                <w:sz w:val="28"/>
                <w:szCs w:val="28"/>
                <w:highlight w:val="none"/>
              </w:rPr>
            </w:pPr>
          </w:p>
        </w:tc>
      </w:tr>
      <w:tr w14:paraId="07E93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71505030">
            <w:pPr>
              <w:spacing w:line="360" w:lineRule="auto"/>
              <w:jc w:val="center"/>
              <w:rPr>
                <w:rFonts w:ascii="宋体"/>
                <w:color w:val="auto"/>
                <w:sz w:val="28"/>
                <w:szCs w:val="28"/>
                <w:highlight w:val="none"/>
              </w:rPr>
            </w:pPr>
          </w:p>
        </w:tc>
        <w:tc>
          <w:tcPr>
            <w:tcW w:w="1155" w:type="dxa"/>
            <w:vAlign w:val="top"/>
          </w:tcPr>
          <w:p w14:paraId="0F8E5254">
            <w:pPr>
              <w:spacing w:line="360" w:lineRule="auto"/>
              <w:jc w:val="center"/>
              <w:rPr>
                <w:rFonts w:ascii="宋体"/>
                <w:color w:val="auto"/>
                <w:sz w:val="28"/>
                <w:szCs w:val="28"/>
                <w:highlight w:val="none"/>
              </w:rPr>
            </w:pPr>
          </w:p>
        </w:tc>
        <w:tc>
          <w:tcPr>
            <w:tcW w:w="1050" w:type="dxa"/>
            <w:vAlign w:val="top"/>
          </w:tcPr>
          <w:p w14:paraId="14EF9712">
            <w:pPr>
              <w:spacing w:line="360" w:lineRule="auto"/>
              <w:jc w:val="center"/>
              <w:rPr>
                <w:rFonts w:ascii="宋体"/>
                <w:color w:val="auto"/>
                <w:sz w:val="28"/>
                <w:szCs w:val="28"/>
                <w:highlight w:val="none"/>
              </w:rPr>
            </w:pPr>
          </w:p>
        </w:tc>
        <w:tc>
          <w:tcPr>
            <w:tcW w:w="630" w:type="dxa"/>
            <w:vAlign w:val="top"/>
          </w:tcPr>
          <w:p w14:paraId="24E33592">
            <w:pPr>
              <w:spacing w:line="360" w:lineRule="auto"/>
              <w:jc w:val="center"/>
              <w:rPr>
                <w:rFonts w:ascii="宋体"/>
                <w:color w:val="auto"/>
                <w:sz w:val="28"/>
                <w:szCs w:val="28"/>
                <w:highlight w:val="none"/>
              </w:rPr>
            </w:pPr>
          </w:p>
        </w:tc>
        <w:tc>
          <w:tcPr>
            <w:tcW w:w="525" w:type="dxa"/>
            <w:vAlign w:val="top"/>
          </w:tcPr>
          <w:p w14:paraId="63650965">
            <w:pPr>
              <w:spacing w:line="360" w:lineRule="auto"/>
              <w:jc w:val="center"/>
              <w:rPr>
                <w:rFonts w:ascii="宋体"/>
                <w:color w:val="auto"/>
                <w:sz w:val="28"/>
                <w:szCs w:val="28"/>
                <w:highlight w:val="none"/>
              </w:rPr>
            </w:pPr>
          </w:p>
        </w:tc>
        <w:tc>
          <w:tcPr>
            <w:tcW w:w="735" w:type="dxa"/>
            <w:vAlign w:val="top"/>
          </w:tcPr>
          <w:p w14:paraId="0A9EFAFE">
            <w:pPr>
              <w:spacing w:line="360" w:lineRule="auto"/>
              <w:jc w:val="center"/>
              <w:rPr>
                <w:rFonts w:ascii="宋体"/>
                <w:color w:val="auto"/>
                <w:sz w:val="28"/>
                <w:szCs w:val="28"/>
                <w:highlight w:val="none"/>
              </w:rPr>
            </w:pPr>
          </w:p>
        </w:tc>
        <w:tc>
          <w:tcPr>
            <w:tcW w:w="840" w:type="dxa"/>
            <w:vAlign w:val="top"/>
          </w:tcPr>
          <w:p w14:paraId="2523D0DC">
            <w:pPr>
              <w:spacing w:line="360" w:lineRule="auto"/>
              <w:jc w:val="center"/>
              <w:rPr>
                <w:rFonts w:ascii="宋体"/>
                <w:color w:val="auto"/>
                <w:sz w:val="28"/>
                <w:szCs w:val="28"/>
                <w:highlight w:val="none"/>
              </w:rPr>
            </w:pPr>
          </w:p>
        </w:tc>
        <w:tc>
          <w:tcPr>
            <w:tcW w:w="840" w:type="dxa"/>
            <w:vAlign w:val="top"/>
          </w:tcPr>
          <w:p w14:paraId="286AF325">
            <w:pPr>
              <w:spacing w:line="360" w:lineRule="auto"/>
              <w:jc w:val="center"/>
              <w:rPr>
                <w:rFonts w:ascii="宋体"/>
                <w:color w:val="auto"/>
                <w:sz w:val="28"/>
                <w:szCs w:val="28"/>
                <w:highlight w:val="none"/>
              </w:rPr>
            </w:pPr>
          </w:p>
        </w:tc>
        <w:tc>
          <w:tcPr>
            <w:tcW w:w="735" w:type="dxa"/>
            <w:vAlign w:val="top"/>
          </w:tcPr>
          <w:p w14:paraId="15D0E316">
            <w:pPr>
              <w:spacing w:line="360" w:lineRule="auto"/>
              <w:jc w:val="center"/>
              <w:rPr>
                <w:rFonts w:ascii="宋体"/>
                <w:color w:val="auto"/>
                <w:sz w:val="28"/>
                <w:szCs w:val="28"/>
                <w:highlight w:val="none"/>
              </w:rPr>
            </w:pPr>
          </w:p>
        </w:tc>
        <w:tc>
          <w:tcPr>
            <w:tcW w:w="945" w:type="dxa"/>
            <w:vAlign w:val="top"/>
          </w:tcPr>
          <w:p w14:paraId="010C641B">
            <w:pPr>
              <w:spacing w:line="360" w:lineRule="auto"/>
              <w:jc w:val="center"/>
              <w:rPr>
                <w:rFonts w:ascii="宋体"/>
                <w:color w:val="auto"/>
                <w:sz w:val="28"/>
                <w:szCs w:val="28"/>
                <w:highlight w:val="none"/>
              </w:rPr>
            </w:pPr>
          </w:p>
        </w:tc>
      </w:tr>
      <w:tr w14:paraId="5961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66593B1A">
            <w:pPr>
              <w:spacing w:line="360" w:lineRule="auto"/>
              <w:jc w:val="center"/>
              <w:rPr>
                <w:rFonts w:ascii="宋体"/>
                <w:color w:val="auto"/>
                <w:sz w:val="28"/>
                <w:szCs w:val="28"/>
                <w:highlight w:val="none"/>
              </w:rPr>
            </w:pPr>
          </w:p>
        </w:tc>
        <w:tc>
          <w:tcPr>
            <w:tcW w:w="1155" w:type="dxa"/>
            <w:vAlign w:val="top"/>
          </w:tcPr>
          <w:p w14:paraId="6AB03A2F">
            <w:pPr>
              <w:spacing w:line="360" w:lineRule="auto"/>
              <w:jc w:val="center"/>
              <w:rPr>
                <w:rFonts w:ascii="宋体"/>
                <w:color w:val="auto"/>
                <w:sz w:val="28"/>
                <w:szCs w:val="28"/>
                <w:highlight w:val="none"/>
              </w:rPr>
            </w:pPr>
          </w:p>
        </w:tc>
        <w:tc>
          <w:tcPr>
            <w:tcW w:w="1050" w:type="dxa"/>
            <w:vAlign w:val="top"/>
          </w:tcPr>
          <w:p w14:paraId="530CD108">
            <w:pPr>
              <w:spacing w:line="360" w:lineRule="auto"/>
              <w:jc w:val="center"/>
              <w:rPr>
                <w:rFonts w:ascii="宋体"/>
                <w:color w:val="auto"/>
                <w:sz w:val="28"/>
                <w:szCs w:val="28"/>
                <w:highlight w:val="none"/>
              </w:rPr>
            </w:pPr>
          </w:p>
        </w:tc>
        <w:tc>
          <w:tcPr>
            <w:tcW w:w="630" w:type="dxa"/>
            <w:vAlign w:val="top"/>
          </w:tcPr>
          <w:p w14:paraId="7822AA85">
            <w:pPr>
              <w:spacing w:line="360" w:lineRule="auto"/>
              <w:jc w:val="center"/>
              <w:rPr>
                <w:rFonts w:ascii="宋体"/>
                <w:color w:val="auto"/>
                <w:sz w:val="28"/>
                <w:szCs w:val="28"/>
                <w:highlight w:val="none"/>
              </w:rPr>
            </w:pPr>
          </w:p>
        </w:tc>
        <w:tc>
          <w:tcPr>
            <w:tcW w:w="525" w:type="dxa"/>
            <w:vAlign w:val="top"/>
          </w:tcPr>
          <w:p w14:paraId="14228A44">
            <w:pPr>
              <w:spacing w:line="360" w:lineRule="auto"/>
              <w:jc w:val="center"/>
              <w:rPr>
                <w:rFonts w:ascii="宋体"/>
                <w:color w:val="auto"/>
                <w:sz w:val="28"/>
                <w:szCs w:val="28"/>
                <w:highlight w:val="none"/>
              </w:rPr>
            </w:pPr>
          </w:p>
        </w:tc>
        <w:tc>
          <w:tcPr>
            <w:tcW w:w="735" w:type="dxa"/>
            <w:vAlign w:val="top"/>
          </w:tcPr>
          <w:p w14:paraId="68B76E24">
            <w:pPr>
              <w:spacing w:line="360" w:lineRule="auto"/>
              <w:jc w:val="center"/>
              <w:rPr>
                <w:rFonts w:ascii="宋体"/>
                <w:color w:val="auto"/>
                <w:sz w:val="28"/>
                <w:szCs w:val="28"/>
                <w:highlight w:val="none"/>
              </w:rPr>
            </w:pPr>
          </w:p>
        </w:tc>
        <w:tc>
          <w:tcPr>
            <w:tcW w:w="840" w:type="dxa"/>
            <w:vAlign w:val="top"/>
          </w:tcPr>
          <w:p w14:paraId="51724806">
            <w:pPr>
              <w:spacing w:line="360" w:lineRule="auto"/>
              <w:jc w:val="center"/>
              <w:rPr>
                <w:rFonts w:ascii="宋体"/>
                <w:color w:val="auto"/>
                <w:sz w:val="28"/>
                <w:szCs w:val="28"/>
                <w:highlight w:val="none"/>
              </w:rPr>
            </w:pPr>
          </w:p>
        </w:tc>
        <w:tc>
          <w:tcPr>
            <w:tcW w:w="840" w:type="dxa"/>
            <w:vAlign w:val="top"/>
          </w:tcPr>
          <w:p w14:paraId="17E5940B">
            <w:pPr>
              <w:spacing w:line="360" w:lineRule="auto"/>
              <w:jc w:val="center"/>
              <w:rPr>
                <w:rFonts w:ascii="宋体"/>
                <w:color w:val="auto"/>
                <w:sz w:val="28"/>
                <w:szCs w:val="28"/>
                <w:highlight w:val="none"/>
              </w:rPr>
            </w:pPr>
          </w:p>
        </w:tc>
        <w:tc>
          <w:tcPr>
            <w:tcW w:w="735" w:type="dxa"/>
            <w:vAlign w:val="top"/>
          </w:tcPr>
          <w:p w14:paraId="0FA313D7">
            <w:pPr>
              <w:spacing w:line="360" w:lineRule="auto"/>
              <w:jc w:val="center"/>
              <w:rPr>
                <w:rFonts w:ascii="宋体"/>
                <w:color w:val="auto"/>
                <w:sz w:val="28"/>
                <w:szCs w:val="28"/>
                <w:highlight w:val="none"/>
              </w:rPr>
            </w:pPr>
          </w:p>
        </w:tc>
        <w:tc>
          <w:tcPr>
            <w:tcW w:w="945" w:type="dxa"/>
            <w:vAlign w:val="top"/>
          </w:tcPr>
          <w:p w14:paraId="7096F9FE">
            <w:pPr>
              <w:spacing w:line="360" w:lineRule="auto"/>
              <w:jc w:val="center"/>
              <w:rPr>
                <w:rFonts w:ascii="宋体"/>
                <w:color w:val="auto"/>
                <w:sz w:val="28"/>
                <w:szCs w:val="28"/>
                <w:highlight w:val="none"/>
              </w:rPr>
            </w:pPr>
          </w:p>
        </w:tc>
      </w:tr>
      <w:tr w14:paraId="4509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0A8FD36B">
            <w:pPr>
              <w:spacing w:line="360" w:lineRule="auto"/>
              <w:jc w:val="center"/>
              <w:rPr>
                <w:rFonts w:ascii="宋体"/>
                <w:color w:val="auto"/>
                <w:sz w:val="28"/>
                <w:szCs w:val="28"/>
                <w:highlight w:val="none"/>
              </w:rPr>
            </w:pPr>
          </w:p>
        </w:tc>
        <w:tc>
          <w:tcPr>
            <w:tcW w:w="1155" w:type="dxa"/>
            <w:vAlign w:val="top"/>
          </w:tcPr>
          <w:p w14:paraId="0CBB75FD">
            <w:pPr>
              <w:spacing w:line="360" w:lineRule="auto"/>
              <w:jc w:val="center"/>
              <w:rPr>
                <w:rFonts w:ascii="宋体"/>
                <w:color w:val="auto"/>
                <w:sz w:val="28"/>
                <w:szCs w:val="28"/>
                <w:highlight w:val="none"/>
              </w:rPr>
            </w:pPr>
          </w:p>
        </w:tc>
        <w:tc>
          <w:tcPr>
            <w:tcW w:w="1050" w:type="dxa"/>
            <w:vAlign w:val="top"/>
          </w:tcPr>
          <w:p w14:paraId="07714DF2">
            <w:pPr>
              <w:spacing w:line="360" w:lineRule="auto"/>
              <w:jc w:val="center"/>
              <w:rPr>
                <w:rFonts w:ascii="宋体"/>
                <w:color w:val="auto"/>
                <w:sz w:val="28"/>
                <w:szCs w:val="28"/>
                <w:highlight w:val="none"/>
              </w:rPr>
            </w:pPr>
          </w:p>
        </w:tc>
        <w:tc>
          <w:tcPr>
            <w:tcW w:w="630" w:type="dxa"/>
            <w:vAlign w:val="top"/>
          </w:tcPr>
          <w:p w14:paraId="6099F2CE">
            <w:pPr>
              <w:spacing w:line="360" w:lineRule="auto"/>
              <w:jc w:val="center"/>
              <w:rPr>
                <w:rFonts w:ascii="宋体"/>
                <w:color w:val="auto"/>
                <w:sz w:val="28"/>
                <w:szCs w:val="28"/>
                <w:highlight w:val="none"/>
              </w:rPr>
            </w:pPr>
          </w:p>
        </w:tc>
        <w:tc>
          <w:tcPr>
            <w:tcW w:w="525" w:type="dxa"/>
            <w:vAlign w:val="top"/>
          </w:tcPr>
          <w:p w14:paraId="384ABB0E">
            <w:pPr>
              <w:spacing w:line="360" w:lineRule="auto"/>
              <w:jc w:val="center"/>
              <w:rPr>
                <w:rFonts w:ascii="宋体"/>
                <w:color w:val="auto"/>
                <w:sz w:val="28"/>
                <w:szCs w:val="28"/>
                <w:highlight w:val="none"/>
              </w:rPr>
            </w:pPr>
          </w:p>
        </w:tc>
        <w:tc>
          <w:tcPr>
            <w:tcW w:w="735" w:type="dxa"/>
            <w:vAlign w:val="top"/>
          </w:tcPr>
          <w:p w14:paraId="20AAEE68">
            <w:pPr>
              <w:spacing w:line="360" w:lineRule="auto"/>
              <w:jc w:val="center"/>
              <w:rPr>
                <w:rFonts w:ascii="宋体"/>
                <w:color w:val="auto"/>
                <w:sz w:val="28"/>
                <w:szCs w:val="28"/>
                <w:highlight w:val="none"/>
              </w:rPr>
            </w:pPr>
          </w:p>
        </w:tc>
        <w:tc>
          <w:tcPr>
            <w:tcW w:w="840" w:type="dxa"/>
            <w:vAlign w:val="top"/>
          </w:tcPr>
          <w:p w14:paraId="3FF0C1F9">
            <w:pPr>
              <w:spacing w:line="360" w:lineRule="auto"/>
              <w:jc w:val="center"/>
              <w:rPr>
                <w:rFonts w:ascii="宋体"/>
                <w:color w:val="auto"/>
                <w:sz w:val="28"/>
                <w:szCs w:val="28"/>
                <w:highlight w:val="none"/>
              </w:rPr>
            </w:pPr>
          </w:p>
        </w:tc>
        <w:tc>
          <w:tcPr>
            <w:tcW w:w="840" w:type="dxa"/>
            <w:vAlign w:val="top"/>
          </w:tcPr>
          <w:p w14:paraId="4DB9132E">
            <w:pPr>
              <w:spacing w:line="360" w:lineRule="auto"/>
              <w:jc w:val="center"/>
              <w:rPr>
                <w:rFonts w:ascii="宋体"/>
                <w:color w:val="auto"/>
                <w:sz w:val="28"/>
                <w:szCs w:val="28"/>
                <w:highlight w:val="none"/>
              </w:rPr>
            </w:pPr>
          </w:p>
        </w:tc>
        <w:tc>
          <w:tcPr>
            <w:tcW w:w="735" w:type="dxa"/>
            <w:vAlign w:val="top"/>
          </w:tcPr>
          <w:p w14:paraId="7E4BE60E">
            <w:pPr>
              <w:spacing w:line="360" w:lineRule="auto"/>
              <w:jc w:val="center"/>
              <w:rPr>
                <w:rFonts w:ascii="宋体"/>
                <w:color w:val="auto"/>
                <w:sz w:val="28"/>
                <w:szCs w:val="28"/>
                <w:highlight w:val="none"/>
              </w:rPr>
            </w:pPr>
          </w:p>
        </w:tc>
        <w:tc>
          <w:tcPr>
            <w:tcW w:w="945" w:type="dxa"/>
            <w:vAlign w:val="top"/>
          </w:tcPr>
          <w:p w14:paraId="429AC333">
            <w:pPr>
              <w:spacing w:line="360" w:lineRule="auto"/>
              <w:jc w:val="center"/>
              <w:rPr>
                <w:rFonts w:ascii="宋体"/>
                <w:color w:val="auto"/>
                <w:sz w:val="28"/>
                <w:szCs w:val="28"/>
                <w:highlight w:val="none"/>
              </w:rPr>
            </w:pPr>
          </w:p>
        </w:tc>
      </w:tr>
      <w:tr w14:paraId="37F15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top"/>
          </w:tcPr>
          <w:p w14:paraId="77E00E4E">
            <w:pPr>
              <w:spacing w:line="360" w:lineRule="auto"/>
              <w:jc w:val="center"/>
              <w:rPr>
                <w:rFonts w:ascii="宋体"/>
                <w:color w:val="auto"/>
                <w:sz w:val="28"/>
                <w:szCs w:val="28"/>
                <w:highlight w:val="none"/>
              </w:rPr>
            </w:pPr>
          </w:p>
        </w:tc>
        <w:tc>
          <w:tcPr>
            <w:tcW w:w="1155" w:type="dxa"/>
            <w:vAlign w:val="top"/>
          </w:tcPr>
          <w:p w14:paraId="40B8A312">
            <w:pPr>
              <w:spacing w:line="360" w:lineRule="auto"/>
              <w:jc w:val="center"/>
              <w:rPr>
                <w:rFonts w:ascii="宋体"/>
                <w:color w:val="auto"/>
                <w:sz w:val="28"/>
                <w:szCs w:val="28"/>
                <w:highlight w:val="none"/>
              </w:rPr>
            </w:pPr>
          </w:p>
        </w:tc>
        <w:tc>
          <w:tcPr>
            <w:tcW w:w="1050" w:type="dxa"/>
            <w:vAlign w:val="top"/>
          </w:tcPr>
          <w:p w14:paraId="5197AC61">
            <w:pPr>
              <w:spacing w:line="360" w:lineRule="auto"/>
              <w:jc w:val="center"/>
              <w:rPr>
                <w:rFonts w:ascii="宋体"/>
                <w:color w:val="auto"/>
                <w:sz w:val="28"/>
                <w:szCs w:val="28"/>
                <w:highlight w:val="none"/>
              </w:rPr>
            </w:pPr>
          </w:p>
        </w:tc>
        <w:tc>
          <w:tcPr>
            <w:tcW w:w="630" w:type="dxa"/>
            <w:vAlign w:val="top"/>
          </w:tcPr>
          <w:p w14:paraId="3D0A92CC">
            <w:pPr>
              <w:spacing w:line="360" w:lineRule="auto"/>
              <w:jc w:val="center"/>
              <w:rPr>
                <w:rFonts w:ascii="宋体"/>
                <w:color w:val="auto"/>
                <w:sz w:val="28"/>
                <w:szCs w:val="28"/>
                <w:highlight w:val="none"/>
              </w:rPr>
            </w:pPr>
          </w:p>
        </w:tc>
        <w:tc>
          <w:tcPr>
            <w:tcW w:w="525" w:type="dxa"/>
            <w:vAlign w:val="top"/>
          </w:tcPr>
          <w:p w14:paraId="1AFE503F">
            <w:pPr>
              <w:spacing w:line="360" w:lineRule="auto"/>
              <w:jc w:val="center"/>
              <w:rPr>
                <w:rFonts w:ascii="宋体"/>
                <w:color w:val="auto"/>
                <w:sz w:val="28"/>
                <w:szCs w:val="28"/>
                <w:highlight w:val="none"/>
              </w:rPr>
            </w:pPr>
          </w:p>
        </w:tc>
        <w:tc>
          <w:tcPr>
            <w:tcW w:w="735" w:type="dxa"/>
            <w:vAlign w:val="top"/>
          </w:tcPr>
          <w:p w14:paraId="71B252C3">
            <w:pPr>
              <w:spacing w:line="360" w:lineRule="auto"/>
              <w:jc w:val="center"/>
              <w:rPr>
                <w:rFonts w:ascii="宋体"/>
                <w:color w:val="auto"/>
                <w:sz w:val="28"/>
                <w:szCs w:val="28"/>
                <w:highlight w:val="none"/>
              </w:rPr>
            </w:pPr>
          </w:p>
        </w:tc>
        <w:tc>
          <w:tcPr>
            <w:tcW w:w="840" w:type="dxa"/>
            <w:vAlign w:val="top"/>
          </w:tcPr>
          <w:p w14:paraId="2EB1A0BF">
            <w:pPr>
              <w:spacing w:line="360" w:lineRule="auto"/>
              <w:jc w:val="center"/>
              <w:rPr>
                <w:rFonts w:ascii="宋体"/>
                <w:color w:val="auto"/>
                <w:sz w:val="28"/>
                <w:szCs w:val="28"/>
                <w:highlight w:val="none"/>
              </w:rPr>
            </w:pPr>
          </w:p>
        </w:tc>
        <w:tc>
          <w:tcPr>
            <w:tcW w:w="840" w:type="dxa"/>
            <w:vAlign w:val="top"/>
          </w:tcPr>
          <w:p w14:paraId="18B5BC70">
            <w:pPr>
              <w:spacing w:line="360" w:lineRule="auto"/>
              <w:jc w:val="center"/>
              <w:rPr>
                <w:rFonts w:ascii="宋体"/>
                <w:color w:val="auto"/>
                <w:sz w:val="28"/>
                <w:szCs w:val="28"/>
                <w:highlight w:val="none"/>
              </w:rPr>
            </w:pPr>
          </w:p>
        </w:tc>
        <w:tc>
          <w:tcPr>
            <w:tcW w:w="735" w:type="dxa"/>
            <w:vAlign w:val="top"/>
          </w:tcPr>
          <w:p w14:paraId="2C531C84">
            <w:pPr>
              <w:spacing w:line="360" w:lineRule="auto"/>
              <w:jc w:val="center"/>
              <w:rPr>
                <w:rFonts w:ascii="宋体"/>
                <w:color w:val="auto"/>
                <w:sz w:val="28"/>
                <w:szCs w:val="28"/>
                <w:highlight w:val="none"/>
              </w:rPr>
            </w:pPr>
          </w:p>
        </w:tc>
        <w:tc>
          <w:tcPr>
            <w:tcW w:w="945" w:type="dxa"/>
            <w:vAlign w:val="top"/>
          </w:tcPr>
          <w:p w14:paraId="547F6AB5">
            <w:pPr>
              <w:spacing w:line="360" w:lineRule="auto"/>
              <w:jc w:val="center"/>
              <w:rPr>
                <w:rFonts w:ascii="宋体"/>
                <w:color w:val="auto"/>
                <w:sz w:val="28"/>
                <w:szCs w:val="28"/>
                <w:highlight w:val="none"/>
              </w:rPr>
            </w:pPr>
          </w:p>
        </w:tc>
      </w:tr>
    </w:tbl>
    <w:p w14:paraId="4493CEBE">
      <w:pPr>
        <w:tabs>
          <w:tab w:val="left" w:pos="1440"/>
        </w:tabs>
        <w:spacing w:line="360" w:lineRule="auto"/>
        <w:rPr>
          <w:rFonts w:ascii="宋体"/>
          <w:color w:val="auto"/>
          <w:szCs w:val="21"/>
          <w:highlight w:val="none"/>
        </w:rPr>
      </w:pPr>
      <w:r>
        <w:rPr>
          <w:rFonts w:hint="eastAsia" w:ascii="宋体" w:hAnsi="宋体"/>
          <w:color w:val="auto"/>
          <w:szCs w:val="21"/>
          <w:highlight w:val="none"/>
        </w:rPr>
        <w:t>备注：除合同另有约定外，本表所列发包人供应材料和工程设备的数量不考虑施工损耗，施工损耗被认为已经包括在承包人的投标价格中。</w:t>
      </w:r>
    </w:p>
    <w:p w14:paraId="3DD1F2E0">
      <w:pPr>
        <w:pStyle w:val="249"/>
        <w:rPr>
          <w:rFonts w:ascii="宋体" w:hAnsi="宋体"/>
          <w:color w:val="auto"/>
          <w:szCs w:val="21"/>
          <w:highlight w:val="none"/>
          <w:u w:val="single"/>
        </w:rPr>
      </w:pPr>
    </w:p>
    <w:bookmarkEnd w:id="2094"/>
    <w:bookmarkEnd w:id="2095"/>
    <w:bookmarkEnd w:id="2096"/>
    <w:bookmarkEnd w:id="2097"/>
    <w:bookmarkEnd w:id="2098"/>
    <w:bookmarkEnd w:id="2099"/>
    <w:bookmarkEnd w:id="2100"/>
    <w:p w14:paraId="0B6158C3">
      <w:pPr>
        <w:spacing w:line="360" w:lineRule="auto"/>
        <w:rPr>
          <w:color w:val="auto"/>
          <w:highlight w:val="none"/>
        </w:rPr>
      </w:pPr>
      <w:r>
        <w:rPr>
          <w:color w:val="auto"/>
          <w:highlight w:val="none"/>
        </w:rPr>
        <w:br w:type="page"/>
      </w:r>
      <w:bookmarkStart w:id="2108" w:name="_Toc497456967"/>
      <w:bookmarkStart w:id="2109" w:name="_Toc489219296"/>
      <w:bookmarkStart w:id="2110" w:name="_Toc485338209"/>
      <w:r>
        <w:rPr>
          <w:rFonts w:hint="eastAsia" w:ascii="宋体" w:hAnsi="宋体" w:eastAsia="宋体" w:cs="Times New Roman"/>
          <w:b w:val="0"/>
          <w:bCs w:val="0"/>
          <w:color w:val="auto"/>
          <w:kern w:val="0"/>
          <w:sz w:val="24"/>
          <w:szCs w:val="20"/>
          <w:highlight w:val="none"/>
          <w:lang w:val="en-US" w:eastAsia="zh-CN" w:bidi="ar-SA"/>
        </w:rPr>
        <w:t>附件五：质量保修书格式</w:t>
      </w:r>
      <w:bookmarkEnd w:id="2108"/>
      <w:bookmarkEnd w:id="2109"/>
      <w:bookmarkEnd w:id="2110"/>
    </w:p>
    <w:p w14:paraId="1807445C">
      <w:pPr>
        <w:tabs>
          <w:tab w:val="left" w:pos="3855"/>
        </w:tabs>
        <w:snapToGrid w:val="0"/>
        <w:spacing w:line="360" w:lineRule="auto"/>
        <w:ind w:firstLine="560" w:firstLineChars="200"/>
        <w:jc w:val="center"/>
        <w:rPr>
          <w:rFonts w:ascii="宋体"/>
          <w:color w:val="auto"/>
          <w:sz w:val="28"/>
          <w:highlight w:val="none"/>
        </w:rPr>
      </w:pPr>
    </w:p>
    <w:p w14:paraId="46C9457E">
      <w:pPr>
        <w:tabs>
          <w:tab w:val="left" w:pos="3855"/>
        </w:tabs>
        <w:snapToGrid w:val="0"/>
        <w:spacing w:line="360" w:lineRule="auto"/>
        <w:ind w:firstLine="562" w:firstLineChars="200"/>
        <w:jc w:val="center"/>
        <w:rPr>
          <w:rFonts w:ascii="宋体"/>
          <w:b/>
          <w:color w:val="auto"/>
          <w:sz w:val="28"/>
          <w:highlight w:val="none"/>
        </w:rPr>
      </w:pPr>
      <w:r>
        <w:rPr>
          <w:rFonts w:hint="eastAsia" w:ascii="宋体" w:hAnsi="宋体"/>
          <w:b/>
          <w:color w:val="auto"/>
          <w:sz w:val="28"/>
          <w:highlight w:val="none"/>
        </w:rPr>
        <w:t>房屋建筑工程质量保修书</w:t>
      </w:r>
    </w:p>
    <w:p w14:paraId="69DC4801">
      <w:pPr>
        <w:snapToGrid w:val="0"/>
        <w:spacing w:line="360" w:lineRule="auto"/>
        <w:rPr>
          <w:rFonts w:ascii="宋体"/>
          <w:color w:val="auto"/>
          <w:highlight w:val="none"/>
        </w:rPr>
      </w:pPr>
    </w:p>
    <w:p w14:paraId="71376845">
      <w:pPr>
        <w:snapToGrid w:val="0"/>
        <w:spacing w:line="360" w:lineRule="auto"/>
        <w:rPr>
          <w:rFonts w:ascii="宋体"/>
          <w:color w:val="auto"/>
          <w:highlight w:val="none"/>
          <w:u w:val="single"/>
        </w:rPr>
      </w:pPr>
      <w:r>
        <w:rPr>
          <w:rFonts w:hint="eastAsia" w:ascii="宋体" w:hAnsi="宋体"/>
          <w:color w:val="auto"/>
          <w:highlight w:val="none"/>
        </w:rPr>
        <w:t>发包人：</w:t>
      </w:r>
      <w:r>
        <w:rPr>
          <w:rFonts w:ascii="宋体" w:hAnsi="宋体"/>
          <w:color w:val="auto"/>
          <w:highlight w:val="none"/>
          <w:u w:val="single"/>
        </w:rPr>
        <w:t xml:space="preserve"> </w:t>
      </w:r>
      <w:r>
        <w:rPr>
          <w:rFonts w:hint="eastAsia" w:ascii="宋体" w:hAnsi="宋体" w:cs="Arial"/>
          <w:color w:val="auto"/>
          <w:szCs w:val="21"/>
          <w:highlight w:val="none"/>
          <w:u w:val="single"/>
          <w:lang w:eastAsia="zh-CN"/>
        </w:rPr>
        <w:t>北京市昌平区延寿镇人民政府</w:t>
      </w:r>
      <w:r>
        <w:rPr>
          <w:rFonts w:ascii="宋体" w:hAnsi="宋体"/>
          <w:color w:val="auto"/>
          <w:highlight w:val="none"/>
          <w:u w:val="single"/>
        </w:rPr>
        <w:t xml:space="preserve">        </w:t>
      </w:r>
    </w:p>
    <w:p w14:paraId="519DAB1B">
      <w:pPr>
        <w:snapToGrid w:val="0"/>
        <w:spacing w:line="360" w:lineRule="auto"/>
        <w:rPr>
          <w:rFonts w:ascii="宋体"/>
          <w:color w:val="auto"/>
          <w:highlight w:val="none"/>
        </w:rPr>
      </w:pPr>
      <w:r>
        <w:rPr>
          <w:rFonts w:hint="eastAsia" w:ascii="宋体" w:hAnsi="宋体"/>
          <w:color w:val="auto"/>
          <w:highlight w:val="none"/>
        </w:rPr>
        <w:t>承包人：</w:t>
      </w:r>
      <w:r>
        <w:rPr>
          <w:rFonts w:ascii="宋体" w:hAnsi="宋体"/>
          <w:color w:val="auto"/>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10D712AB">
      <w:pPr>
        <w:snapToGrid w:val="0"/>
        <w:spacing w:line="360" w:lineRule="auto"/>
        <w:ind w:firstLine="488"/>
        <w:rPr>
          <w:rFonts w:ascii="宋体"/>
          <w:color w:val="auto"/>
          <w:highlight w:val="none"/>
          <w:u w:val="single"/>
        </w:rPr>
      </w:pPr>
    </w:p>
    <w:p w14:paraId="2B193C97">
      <w:pPr>
        <w:snapToGrid w:val="0"/>
        <w:spacing w:line="360" w:lineRule="auto"/>
        <w:ind w:firstLine="420" w:firstLineChars="200"/>
        <w:rPr>
          <w:rFonts w:ascii="宋体"/>
          <w:color w:val="auto"/>
          <w:highlight w:val="none"/>
        </w:rPr>
      </w:pPr>
      <w:r>
        <w:rPr>
          <w:rFonts w:hint="eastAsia" w:ascii="宋体" w:hAnsi="宋体"/>
          <w:color w:val="auto"/>
          <w:highlight w:val="none"/>
        </w:rPr>
        <w:t>发包人、承包人根据《中华人民共和国建筑法》、《建设工程质量管理条例》和《房屋建筑工程质量保修办法》，经协商一致，对</w:t>
      </w:r>
      <w:r>
        <w:rPr>
          <w:rFonts w:hint="eastAsia" w:ascii="宋体" w:hAnsi="宋体" w:cs="Arial"/>
          <w:color w:val="auto"/>
          <w:szCs w:val="21"/>
          <w:highlight w:val="none"/>
          <w:u w:val="single"/>
          <w:lang w:eastAsia="zh-CN"/>
        </w:rPr>
        <w:t>昌平区延寿镇北庄村防洪沟治理应急度汛项目</w:t>
      </w:r>
      <w:r>
        <w:rPr>
          <w:rFonts w:hint="eastAsia" w:ascii="宋体" w:hAnsi="宋体" w:cs="Arial"/>
          <w:color w:val="auto"/>
          <w:szCs w:val="21"/>
          <w:highlight w:val="none"/>
          <w:u w:val="single"/>
          <w:lang w:val="en-US" w:eastAsia="zh-CN"/>
        </w:rPr>
        <w:t xml:space="preserve"> </w:t>
      </w:r>
      <w:r>
        <w:rPr>
          <w:rFonts w:hint="eastAsia" w:ascii="宋体" w:hAnsi="宋体"/>
          <w:color w:val="auto"/>
          <w:highlight w:val="none"/>
        </w:rPr>
        <w:t>（</w:t>
      </w:r>
      <w:r>
        <w:rPr>
          <w:rFonts w:hint="eastAsia" w:ascii="宋体" w:hAnsi="宋体"/>
          <w:color w:val="auto"/>
          <w:szCs w:val="21"/>
          <w:highlight w:val="none"/>
        </w:rPr>
        <w:t>工程</w:t>
      </w:r>
      <w:r>
        <w:rPr>
          <w:rFonts w:hint="eastAsia" w:ascii="宋体" w:hAnsi="宋体"/>
          <w:color w:val="auto"/>
          <w:highlight w:val="none"/>
        </w:rPr>
        <w:t>名称）签订保修书。</w:t>
      </w:r>
    </w:p>
    <w:p w14:paraId="0AF00242">
      <w:pPr>
        <w:snapToGrid w:val="0"/>
        <w:spacing w:line="360" w:lineRule="auto"/>
        <w:ind w:firstLine="420" w:firstLineChars="200"/>
        <w:rPr>
          <w:rFonts w:ascii="宋体"/>
          <w:color w:val="auto"/>
          <w:highlight w:val="none"/>
        </w:rPr>
      </w:pPr>
      <w:bookmarkStart w:id="2111" w:name="_Toc477964625"/>
      <w:bookmarkStart w:id="2112" w:name="_Toc480303496"/>
      <w:bookmarkStart w:id="2113" w:name="_Toc479505769"/>
      <w:r>
        <w:rPr>
          <w:rFonts w:hint="eastAsia" w:ascii="宋体" w:hAnsi="宋体"/>
          <w:color w:val="auto"/>
          <w:highlight w:val="none"/>
        </w:rPr>
        <w:t>一、工程保修范围和内容</w:t>
      </w:r>
      <w:bookmarkEnd w:id="2111"/>
      <w:bookmarkEnd w:id="2112"/>
      <w:bookmarkEnd w:id="2113"/>
    </w:p>
    <w:p w14:paraId="10E4E511">
      <w:pPr>
        <w:snapToGrid w:val="0"/>
        <w:spacing w:line="360" w:lineRule="auto"/>
        <w:ind w:left="420" w:leftChars="200" w:firstLine="0" w:firstLineChars="0"/>
        <w:rPr>
          <w:rFonts w:hint="eastAsia" w:ascii="宋体" w:hAnsi="宋体"/>
          <w:szCs w:val="21"/>
          <w:u w:val="single"/>
        </w:rPr>
      </w:pPr>
      <w:r>
        <w:rPr>
          <w:rFonts w:hint="eastAsia" w:ascii="宋体" w:hAnsi="宋体"/>
          <w:color w:val="auto"/>
          <w:highlight w:val="none"/>
        </w:rPr>
        <w:t>承包人在保修期内，按照有关法律、法规、规章的管理规定和双方约定，承担本工程保修责任。</w:t>
      </w:r>
      <w:r>
        <w:rPr>
          <w:rFonts w:hint="eastAsia" w:ascii="宋体" w:hAnsi="宋体"/>
          <w:szCs w:val="21"/>
        </w:rPr>
        <w:t>质量保修范围包括：</w:t>
      </w:r>
      <w:r>
        <w:rPr>
          <w:rFonts w:hint="eastAsia" w:ascii="宋体" w:hAnsi="宋体"/>
          <w:szCs w:val="21"/>
          <w:u w:val="single"/>
        </w:rPr>
        <w:t xml:space="preserve"> 根据清单及洽商范围内所有相关内容。</w:t>
      </w:r>
    </w:p>
    <w:p w14:paraId="42E885BB">
      <w:pPr>
        <w:snapToGrid w:val="0"/>
        <w:spacing w:line="360" w:lineRule="auto"/>
        <w:ind w:firstLine="420" w:firstLineChars="200"/>
        <w:rPr>
          <w:rFonts w:ascii="宋体"/>
          <w:color w:val="auto"/>
          <w:highlight w:val="none"/>
        </w:rPr>
      </w:pPr>
      <w:r>
        <w:rPr>
          <w:rFonts w:hint="eastAsia" w:ascii="宋体" w:hAnsi="宋体"/>
          <w:color w:val="auto"/>
          <w:highlight w:val="none"/>
        </w:rPr>
        <w:t>具体保修的内容，双方约定如下：</w:t>
      </w:r>
    </w:p>
    <w:p w14:paraId="4378332B">
      <w:pPr>
        <w:snapToGrid w:val="0"/>
        <w:spacing w:line="360" w:lineRule="auto"/>
        <w:rPr>
          <w:rFonts w:ascii="宋体"/>
          <w:color w:val="auto"/>
          <w:highlight w:val="none"/>
        </w:rPr>
      </w:pPr>
      <w:r>
        <w:rPr>
          <w:rFonts w:ascii="宋体" w:hAnsi="宋体"/>
          <w:color w:val="auto"/>
          <w:highlight w:val="none"/>
          <w:u w:val="single"/>
        </w:rPr>
        <w:t xml:space="preserve">    </w:t>
      </w:r>
      <w:r>
        <w:rPr>
          <w:rFonts w:hint="eastAsia" w:ascii="宋体" w:hAnsi="宋体"/>
          <w:color w:val="auto"/>
          <w:highlight w:val="none"/>
          <w:u w:val="single"/>
          <w:lang w:eastAsia="zh-CN"/>
        </w:rPr>
        <w:t>工程保修范围内因承包人原因造成的缺陷，由承包人承担鉴定维修责任及相应费用。若承包人不维修也不承担费用，发包人有权扣留相应质量保证金，并由承包人承担违约责任。保证金不足以支付鉴定维修费用的，承包人负责补足差额。承包人维修并承担相应费用后，不免除其对工程的一般损失赔偿责任。</w:t>
      </w:r>
      <w:r>
        <w:rPr>
          <w:rFonts w:ascii="宋体" w:hAnsi="宋体"/>
          <w:color w:val="auto"/>
          <w:highlight w:val="none"/>
          <w:u w:val="single"/>
        </w:rPr>
        <w:t xml:space="preserve">                                                                                                                                                    </w:t>
      </w:r>
    </w:p>
    <w:p w14:paraId="204CD561">
      <w:pPr>
        <w:snapToGrid w:val="0"/>
        <w:spacing w:line="360" w:lineRule="auto"/>
        <w:ind w:firstLine="420" w:firstLineChars="200"/>
        <w:rPr>
          <w:rFonts w:ascii="宋体"/>
          <w:color w:val="auto"/>
          <w:highlight w:val="none"/>
        </w:rPr>
      </w:pPr>
      <w:bookmarkStart w:id="2114" w:name="_Toc479505770"/>
      <w:bookmarkStart w:id="2115" w:name="_Toc480303497"/>
      <w:bookmarkStart w:id="2116" w:name="_Toc477964626"/>
      <w:r>
        <w:rPr>
          <w:rFonts w:hint="eastAsia" w:ascii="宋体" w:hAnsi="宋体"/>
          <w:color w:val="auto"/>
          <w:highlight w:val="none"/>
        </w:rPr>
        <w:t>二、保修期</w:t>
      </w:r>
      <w:bookmarkEnd w:id="2114"/>
      <w:bookmarkEnd w:id="2115"/>
      <w:bookmarkEnd w:id="2116"/>
    </w:p>
    <w:p w14:paraId="61ED2F64">
      <w:pPr>
        <w:snapToGrid w:val="0"/>
        <w:spacing w:line="360" w:lineRule="auto"/>
        <w:ind w:firstLine="420" w:firstLineChars="200"/>
        <w:rPr>
          <w:rFonts w:ascii="宋体"/>
          <w:color w:val="auto"/>
          <w:highlight w:val="none"/>
        </w:rPr>
      </w:pPr>
      <w:r>
        <w:rPr>
          <w:rFonts w:hint="eastAsia" w:ascii="宋体" w:hAnsi="宋体"/>
          <w:color w:val="auto"/>
          <w:highlight w:val="none"/>
        </w:rPr>
        <w:t>双方根据《建设工程质量管理条例》及有关规定，约定本工程的保修期如下：</w:t>
      </w:r>
    </w:p>
    <w:p w14:paraId="55709561">
      <w:pPr>
        <w:snapToGrid w:val="0"/>
        <w:spacing w:line="360" w:lineRule="auto"/>
        <w:ind w:firstLine="420" w:firstLineChars="200"/>
        <w:rPr>
          <w:rFonts w:ascii="宋体"/>
          <w:color w:val="auto"/>
          <w:highlight w:val="none"/>
        </w:rPr>
      </w:pPr>
      <w:r>
        <w:rPr>
          <w:rFonts w:hint="eastAsia" w:ascii="宋体" w:hAnsi="宋体"/>
          <w:color w:val="auto"/>
          <w:highlight w:val="none"/>
        </w:rPr>
        <w:t>地基基础工程和主体结构工程为设计文件规定的该工程合理使用年限；</w:t>
      </w:r>
    </w:p>
    <w:p w14:paraId="49F18042">
      <w:pPr>
        <w:snapToGrid w:val="0"/>
        <w:spacing w:line="360" w:lineRule="auto"/>
        <w:ind w:firstLine="420" w:firstLineChars="200"/>
        <w:rPr>
          <w:rFonts w:ascii="宋体"/>
          <w:color w:val="auto"/>
          <w:highlight w:val="none"/>
        </w:rPr>
      </w:pPr>
      <w:r>
        <w:rPr>
          <w:rFonts w:hint="eastAsia" w:ascii="宋体" w:hAnsi="宋体"/>
          <w:color w:val="auto"/>
          <w:highlight w:val="none"/>
        </w:rPr>
        <w:t>屋面防水工程、有防水要求的卫生间、房间和外墙面的防渗漏为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1F3926D6">
      <w:pPr>
        <w:snapToGrid w:val="0"/>
        <w:spacing w:line="360" w:lineRule="auto"/>
        <w:ind w:firstLine="420" w:firstLineChars="200"/>
        <w:rPr>
          <w:rFonts w:ascii="宋体"/>
          <w:color w:val="auto"/>
          <w:highlight w:val="none"/>
        </w:rPr>
      </w:pPr>
      <w:r>
        <w:rPr>
          <w:rFonts w:hint="eastAsia" w:ascii="宋体" w:hAnsi="宋体"/>
          <w:color w:val="auto"/>
          <w:highlight w:val="none"/>
        </w:rPr>
        <w:t>外窗工程为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年，外窗防渗漏为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6E97E22A">
      <w:pPr>
        <w:snapToGrid w:val="0"/>
        <w:spacing w:line="360" w:lineRule="auto"/>
        <w:ind w:firstLine="420" w:firstLineChars="200"/>
        <w:rPr>
          <w:rFonts w:ascii="宋体"/>
          <w:color w:val="auto"/>
          <w:highlight w:val="none"/>
        </w:rPr>
      </w:pPr>
      <w:r>
        <w:rPr>
          <w:rFonts w:hint="eastAsia" w:ascii="宋体" w:hAnsi="宋体"/>
          <w:color w:val="auto"/>
          <w:highlight w:val="none"/>
        </w:rPr>
        <w:t>装修工程为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2AC04337">
      <w:pPr>
        <w:snapToGrid w:val="0"/>
        <w:spacing w:line="360" w:lineRule="auto"/>
        <w:ind w:firstLine="420" w:firstLineChars="200"/>
        <w:rPr>
          <w:rFonts w:ascii="宋体"/>
          <w:color w:val="auto"/>
          <w:highlight w:val="none"/>
        </w:rPr>
      </w:pPr>
      <w:r>
        <w:rPr>
          <w:rFonts w:hint="eastAsia" w:ascii="宋体" w:hAnsi="宋体"/>
          <w:color w:val="auto"/>
          <w:highlight w:val="none"/>
        </w:rPr>
        <w:t>电气管线、给排水管道、设备安装工程为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1F52AB47">
      <w:pPr>
        <w:snapToGrid w:val="0"/>
        <w:spacing w:line="360" w:lineRule="auto"/>
        <w:ind w:firstLine="420" w:firstLineChars="200"/>
        <w:rPr>
          <w:rFonts w:ascii="宋体"/>
          <w:color w:val="auto"/>
          <w:highlight w:val="none"/>
        </w:rPr>
      </w:pPr>
      <w:r>
        <w:rPr>
          <w:rFonts w:hint="eastAsia" w:ascii="宋体" w:hAnsi="宋体"/>
          <w:color w:val="auto"/>
          <w:highlight w:val="none"/>
        </w:rPr>
        <w:t>供热与供冷系统为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个采暖期、供冷期；</w:t>
      </w:r>
    </w:p>
    <w:p w14:paraId="643C5054">
      <w:pPr>
        <w:snapToGrid w:val="0"/>
        <w:spacing w:line="360" w:lineRule="auto"/>
        <w:ind w:firstLine="420" w:firstLineChars="200"/>
        <w:rPr>
          <w:rFonts w:ascii="宋体"/>
          <w:color w:val="auto"/>
          <w:highlight w:val="none"/>
        </w:rPr>
      </w:pPr>
      <w:r>
        <w:rPr>
          <w:rFonts w:hint="eastAsia" w:ascii="宋体" w:hAnsi="宋体"/>
          <w:color w:val="auto"/>
          <w:highlight w:val="none"/>
        </w:rPr>
        <w:t>住宅小区内的给排水设施、道路等配套工程为</w:t>
      </w: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r>
        <w:rPr>
          <w:rFonts w:hint="eastAsia" w:ascii="宋体" w:hAnsi="宋体"/>
          <w:color w:val="auto"/>
          <w:highlight w:val="none"/>
        </w:rPr>
        <w:t>年；</w:t>
      </w:r>
    </w:p>
    <w:p w14:paraId="1CE38660">
      <w:pPr>
        <w:snapToGrid w:val="0"/>
        <w:spacing w:line="360" w:lineRule="auto"/>
        <w:ind w:firstLine="420" w:firstLineChars="200"/>
        <w:rPr>
          <w:rFonts w:ascii="宋体"/>
          <w:color w:val="auto"/>
          <w:highlight w:val="none"/>
        </w:rPr>
      </w:pPr>
      <w:r>
        <w:rPr>
          <w:rFonts w:hint="eastAsia" w:ascii="宋体" w:hAnsi="宋体"/>
          <w:color w:val="auto"/>
          <w:highlight w:val="none"/>
        </w:rPr>
        <w:t>其他项目保修期限约定如下：</w:t>
      </w:r>
    </w:p>
    <w:p w14:paraId="3E5EEBD4">
      <w:pPr>
        <w:snapToGrid w:val="0"/>
        <w:spacing w:line="360" w:lineRule="auto"/>
        <w:rPr>
          <w:rFonts w:ascii="宋体"/>
          <w:color w:val="auto"/>
          <w:highlight w:val="none"/>
          <w:u w:val="single"/>
        </w:rPr>
      </w:pPr>
      <w:r>
        <w:rPr>
          <w:rFonts w:ascii="宋体" w:hAnsi="宋体"/>
          <w:color w:val="auto"/>
          <w:highlight w:val="none"/>
          <w:u w:val="single"/>
        </w:rPr>
        <w:t xml:space="preserve">    </w:t>
      </w:r>
      <w:r>
        <w:rPr>
          <w:rFonts w:hint="eastAsia" w:ascii="宋体" w:hAnsi="宋体" w:cs="Arial"/>
          <w:color w:val="auto"/>
          <w:szCs w:val="21"/>
          <w:highlight w:val="none"/>
          <w:u w:val="single"/>
          <w:lang w:val="en-US" w:eastAsia="zh-CN"/>
        </w:rPr>
        <w:t xml:space="preserve">  </w:t>
      </w:r>
      <w:r>
        <w:rPr>
          <w:rFonts w:hint="eastAsia"/>
          <w:color w:val="auto"/>
          <w:highlight w:val="none"/>
          <w:u w:val="single"/>
          <w:lang w:val="en-US" w:eastAsia="zh-CN"/>
        </w:rPr>
        <w:t>保修期限为24个月。</w:t>
      </w:r>
      <w:r>
        <w:rPr>
          <w:rFonts w:ascii="宋体" w:hAnsi="宋体"/>
          <w:color w:val="auto"/>
          <w:highlight w:val="none"/>
          <w:u w:val="single"/>
        </w:rPr>
        <w:t xml:space="preserve">                                                                                                                                                    </w:t>
      </w:r>
    </w:p>
    <w:p w14:paraId="3CEEAF60">
      <w:pPr>
        <w:snapToGrid w:val="0"/>
        <w:spacing w:line="360" w:lineRule="auto"/>
        <w:rPr>
          <w:rFonts w:ascii="宋体"/>
          <w:color w:val="auto"/>
          <w:highlight w:val="none"/>
          <w:u w:val="single"/>
        </w:rPr>
      </w:pPr>
      <w:r>
        <w:rPr>
          <w:rFonts w:ascii="宋体" w:hAnsi="宋体"/>
          <w:color w:val="auto"/>
          <w:highlight w:val="none"/>
          <w:u w:val="single"/>
        </w:rPr>
        <w:t xml:space="preserve">                                                                                                                                                        </w:t>
      </w:r>
    </w:p>
    <w:p w14:paraId="7F5CAAED">
      <w:pPr>
        <w:snapToGrid w:val="0"/>
        <w:spacing w:line="360" w:lineRule="auto"/>
        <w:rPr>
          <w:rFonts w:ascii="宋体"/>
          <w:color w:val="auto"/>
          <w:highlight w:val="none"/>
        </w:rPr>
      </w:pPr>
      <w:r>
        <w:rPr>
          <w:rFonts w:ascii="宋体" w:hAnsi="宋体"/>
          <w:color w:val="auto"/>
          <w:highlight w:val="none"/>
          <w:u w:val="single"/>
        </w:rPr>
        <w:t xml:space="preserve">                                                                               </w:t>
      </w:r>
    </w:p>
    <w:p w14:paraId="68DACD1B">
      <w:pPr>
        <w:snapToGrid w:val="0"/>
        <w:spacing w:line="360" w:lineRule="auto"/>
        <w:ind w:firstLine="420" w:firstLineChars="200"/>
        <w:rPr>
          <w:rFonts w:ascii="宋体"/>
          <w:color w:val="auto"/>
          <w:highlight w:val="none"/>
        </w:rPr>
      </w:pPr>
      <w:bookmarkStart w:id="2117" w:name="_Toc479505771"/>
      <w:bookmarkStart w:id="2118" w:name="_Toc477964627"/>
      <w:bookmarkStart w:id="2119" w:name="_Toc480303498"/>
      <w:r>
        <w:rPr>
          <w:rFonts w:hint="eastAsia" w:ascii="宋体" w:hAnsi="宋体"/>
          <w:color w:val="auto"/>
          <w:highlight w:val="none"/>
        </w:rPr>
        <w:t>三、保修责任</w:t>
      </w:r>
      <w:bookmarkEnd w:id="2117"/>
      <w:bookmarkEnd w:id="2118"/>
      <w:bookmarkEnd w:id="2119"/>
    </w:p>
    <w:p w14:paraId="1CB5B9A6">
      <w:pPr>
        <w:snapToGrid w:val="0"/>
        <w:spacing w:line="360" w:lineRule="auto"/>
        <w:ind w:firstLine="420" w:firstLineChars="200"/>
        <w:rPr>
          <w:rFonts w:ascii="宋体"/>
          <w:color w:val="auto"/>
          <w:highlight w:val="none"/>
        </w:rPr>
      </w:pPr>
      <w:r>
        <w:rPr>
          <w:rFonts w:ascii="宋体" w:hAnsi="宋体"/>
          <w:color w:val="auto"/>
          <w:highlight w:val="none"/>
        </w:rPr>
        <w:t>1</w:t>
      </w:r>
      <w:r>
        <w:rPr>
          <w:rFonts w:hint="eastAsia" w:ascii="宋体" w:hAnsi="宋体"/>
          <w:color w:val="auto"/>
          <w:highlight w:val="none"/>
        </w:rPr>
        <w:t>、属于责任范围、内容的项目，承包人应当在接到保修通知之日起</w:t>
      </w:r>
      <w:r>
        <w:rPr>
          <w:rFonts w:ascii="宋体" w:hAnsi="宋体"/>
          <w:color w:val="auto"/>
          <w:highlight w:val="none"/>
        </w:rPr>
        <w:t>7</w:t>
      </w:r>
      <w:r>
        <w:rPr>
          <w:rFonts w:hint="eastAsia" w:ascii="宋体" w:hAnsi="宋体"/>
          <w:color w:val="auto"/>
          <w:highlight w:val="none"/>
        </w:rPr>
        <w:t>天内派人保修。承包人不在约定期限内派人保修的，发包人可以委托他人修理。</w:t>
      </w:r>
    </w:p>
    <w:p w14:paraId="628BF349">
      <w:pPr>
        <w:snapToGrid w:val="0"/>
        <w:spacing w:line="360" w:lineRule="auto"/>
        <w:ind w:firstLine="420" w:firstLineChars="200"/>
        <w:rPr>
          <w:rFonts w:ascii="宋体"/>
          <w:color w:val="auto"/>
          <w:highlight w:val="none"/>
        </w:rPr>
      </w:pPr>
      <w:r>
        <w:rPr>
          <w:rFonts w:ascii="宋体" w:hAnsi="宋体"/>
          <w:color w:val="auto"/>
          <w:highlight w:val="none"/>
        </w:rPr>
        <w:t>2</w:t>
      </w:r>
      <w:r>
        <w:rPr>
          <w:rFonts w:hint="eastAsia" w:ascii="宋体" w:hAnsi="宋体"/>
          <w:color w:val="auto"/>
          <w:highlight w:val="none"/>
        </w:rPr>
        <w:t>、发生紧急抢修事故的，承包人在接到事故通知后，应当立即到达事故现场抢修。</w:t>
      </w:r>
    </w:p>
    <w:p w14:paraId="1358E75A">
      <w:pPr>
        <w:snapToGrid w:val="0"/>
        <w:spacing w:line="360" w:lineRule="auto"/>
        <w:ind w:firstLine="420" w:firstLineChars="200"/>
        <w:rPr>
          <w:rFonts w:ascii="宋体"/>
          <w:color w:val="auto"/>
          <w:highlight w:val="none"/>
        </w:rPr>
      </w:pPr>
      <w:r>
        <w:rPr>
          <w:rFonts w:ascii="宋体" w:hAnsi="宋体"/>
          <w:color w:val="auto"/>
          <w:highlight w:val="none"/>
        </w:rPr>
        <w:t>3</w:t>
      </w:r>
      <w:r>
        <w:rPr>
          <w:rFonts w:hint="eastAsia" w:ascii="宋体" w:hAnsi="宋体"/>
          <w:color w:val="auto"/>
          <w:highlight w:val="none"/>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1B0D2CB9">
      <w:pPr>
        <w:snapToGrid w:val="0"/>
        <w:spacing w:line="360" w:lineRule="auto"/>
        <w:ind w:firstLine="420" w:firstLineChars="200"/>
        <w:rPr>
          <w:rFonts w:ascii="宋体"/>
          <w:color w:val="auto"/>
          <w:highlight w:val="none"/>
        </w:rPr>
      </w:pPr>
      <w:r>
        <w:rPr>
          <w:rFonts w:ascii="宋体" w:hAnsi="宋体"/>
          <w:color w:val="auto"/>
          <w:highlight w:val="none"/>
        </w:rPr>
        <w:t>4</w:t>
      </w:r>
      <w:r>
        <w:rPr>
          <w:rFonts w:hint="eastAsia" w:ascii="宋体" w:hAnsi="宋体"/>
          <w:color w:val="auto"/>
          <w:highlight w:val="none"/>
        </w:rPr>
        <w:t>、质量保修完成后，由发包人组织验收。</w:t>
      </w:r>
    </w:p>
    <w:p w14:paraId="086F4363">
      <w:pPr>
        <w:snapToGrid w:val="0"/>
        <w:spacing w:line="360" w:lineRule="auto"/>
        <w:ind w:firstLine="420" w:firstLineChars="200"/>
        <w:rPr>
          <w:rFonts w:ascii="宋体"/>
          <w:color w:val="auto"/>
          <w:highlight w:val="none"/>
        </w:rPr>
      </w:pPr>
      <w:bookmarkStart w:id="2120" w:name="_Toc480303499"/>
      <w:bookmarkStart w:id="2121" w:name="_Toc477964628"/>
      <w:bookmarkStart w:id="2122" w:name="_Toc479505772"/>
      <w:r>
        <w:rPr>
          <w:rFonts w:hint="eastAsia" w:ascii="宋体" w:hAnsi="宋体"/>
          <w:color w:val="auto"/>
          <w:highlight w:val="none"/>
        </w:rPr>
        <w:t>四、保修费用</w:t>
      </w:r>
      <w:bookmarkEnd w:id="2120"/>
      <w:bookmarkEnd w:id="2121"/>
      <w:bookmarkEnd w:id="2122"/>
    </w:p>
    <w:p w14:paraId="4312709D">
      <w:pPr>
        <w:snapToGrid w:val="0"/>
        <w:spacing w:line="360" w:lineRule="auto"/>
        <w:ind w:firstLine="420" w:firstLineChars="200"/>
        <w:rPr>
          <w:rFonts w:ascii="宋体"/>
          <w:color w:val="auto"/>
          <w:highlight w:val="none"/>
          <w:u w:val="single"/>
        </w:rPr>
      </w:pPr>
      <w:r>
        <w:rPr>
          <w:rFonts w:hint="eastAsia" w:ascii="宋体" w:hAnsi="宋体"/>
          <w:color w:val="auto"/>
          <w:highlight w:val="none"/>
        </w:rPr>
        <w:t>保修费用由造成质量缺陷的责任方承担。</w:t>
      </w:r>
    </w:p>
    <w:p w14:paraId="0A025910">
      <w:pPr>
        <w:snapToGrid w:val="0"/>
        <w:spacing w:line="360" w:lineRule="auto"/>
        <w:ind w:firstLine="420" w:firstLineChars="200"/>
        <w:rPr>
          <w:rFonts w:ascii="宋体"/>
          <w:color w:val="auto"/>
          <w:highlight w:val="none"/>
        </w:rPr>
      </w:pPr>
      <w:bookmarkStart w:id="2123" w:name="_Toc479505773"/>
      <w:bookmarkStart w:id="2124" w:name="_Toc480303500"/>
      <w:bookmarkStart w:id="2125" w:name="_Toc477964629"/>
      <w:r>
        <w:rPr>
          <w:rFonts w:hint="eastAsia" w:ascii="宋体" w:hAnsi="宋体"/>
          <w:color w:val="auto"/>
          <w:highlight w:val="none"/>
        </w:rPr>
        <w:t>五、其</w:t>
      </w:r>
      <w:r>
        <w:rPr>
          <w:rFonts w:ascii="宋体" w:hAnsi="宋体"/>
          <w:color w:val="auto"/>
          <w:highlight w:val="none"/>
        </w:rPr>
        <w:t xml:space="preserve"> </w:t>
      </w:r>
      <w:r>
        <w:rPr>
          <w:rFonts w:hint="eastAsia" w:ascii="宋体" w:hAnsi="宋体"/>
          <w:color w:val="auto"/>
          <w:highlight w:val="none"/>
        </w:rPr>
        <w:t>他</w:t>
      </w:r>
      <w:bookmarkEnd w:id="2123"/>
      <w:bookmarkEnd w:id="2124"/>
      <w:bookmarkEnd w:id="2125"/>
    </w:p>
    <w:p w14:paraId="3CB65C79">
      <w:pPr>
        <w:snapToGrid w:val="0"/>
        <w:spacing w:line="360" w:lineRule="auto"/>
        <w:ind w:firstLine="420" w:firstLineChars="200"/>
        <w:rPr>
          <w:rFonts w:ascii="宋体"/>
          <w:color w:val="auto"/>
          <w:highlight w:val="none"/>
        </w:rPr>
      </w:pPr>
      <w:r>
        <w:rPr>
          <w:rFonts w:hint="eastAsia" w:ascii="宋体" w:hAnsi="宋体"/>
          <w:color w:val="auto"/>
          <w:highlight w:val="none"/>
        </w:rPr>
        <w:t>双方约定的其他工程保修责任事项：</w:t>
      </w:r>
    </w:p>
    <w:p w14:paraId="3D38EA6F">
      <w:pPr>
        <w:snapToGrid w:val="0"/>
        <w:spacing w:line="360" w:lineRule="auto"/>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u w:val="single"/>
          <w:lang w:val="en-US" w:eastAsia="zh-CN"/>
        </w:rPr>
        <w:t>/</w:t>
      </w:r>
      <w:r>
        <w:rPr>
          <w:rFonts w:ascii="宋体" w:hAnsi="宋体"/>
          <w:color w:val="auto"/>
          <w:highlight w:val="none"/>
          <w:u w:val="single"/>
        </w:rPr>
        <w:t xml:space="preserve">                                                                                                                 </w:t>
      </w:r>
    </w:p>
    <w:p w14:paraId="5D6E844A">
      <w:pPr>
        <w:snapToGrid w:val="0"/>
        <w:spacing w:line="360" w:lineRule="auto"/>
        <w:rPr>
          <w:rFonts w:ascii="宋体"/>
          <w:color w:val="auto"/>
          <w:highlight w:val="none"/>
          <w:u w:val="single"/>
        </w:rPr>
      </w:pPr>
      <w:r>
        <w:rPr>
          <w:rFonts w:ascii="宋体" w:hAnsi="宋体"/>
          <w:color w:val="auto"/>
          <w:highlight w:val="none"/>
          <w:u w:val="single"/>
        </w:rPr>
        <w:t xml:space="preserve">                                                                                                                                                        </w:t>
      </w:r>
    </w:p>
    <w:p w14:paraId="2DE03A67">
      <w:pPr>
        <w:snapToGrid w:val="0"/>
        <w:spacing w:line="360" w:lineRule="auto"/>
        <w:rPr>
          <w:rFonts w:ascii="宋体"/>
          <w:color w:val="auto"/>
          <w:highlight w:val="none"/>
        </w:rPr>
      </w:pPr>
      <w:r>
        <w:rPr>
          <w:rFonts w:ascii="宋体" w:hAnsi="宋体"/>
          <w:color w:val="auto"/>
          <w:highlight w:val="none"/>
          <w:u w:val="single"/>
        </w:rPr>
        <w:t xml:space="preserve">                                                                                                                                                             </w:t>
      </w:r>
    </w:p>
    <w:p w14:paraId="76EC8CF9">
      <w:pPr>
        <w:snapToGrid w:val="0"/>
        <w:spacing w:line="360" w:lineRule="auto"/>
        <w:ind w:firstLine="420" w:firstLineChars="200"/>
        <w:rPr>
          <w:rFonts w:ascii="宋体"/>
          <w:color w:val="auto"/>
          <w:highlight w:val="none"/>
        </w:rPr>
      </w:pPr>
      <w:r>
        <w:rPr>
          <w:rFonts w:hint="eastAsia" w:ascii="宋体" w:hAnsi="宋体"/>
          <w:color w:val="auto"/>
          <w:highlight w:val="none"/>
        </w:rPr>
        <w:t>本工程保修书，由施工合同发包人、承包人双方在竣工验收前共同签署，作为施工合同附件，其有效期限至保修期满。</w:t>
      </w:r>
    </w:p>
    <w:p w14:paraId="6E3DA273">
      <w:pPr>
        <w:snapToGrid w:val="0"/>
        <w:spacing w:line="360" w:lineRule="auto"/>
        <w:rPr>
          <w:rFonts w:ascii="宋体"/>
          <w:color w:val="auto"/>
          <w:highlight w:val="none"/>
        </w:rPr>
      </w:pPr>
    </w:p>
    <w:p w14:paraId="4020AB9F">
      <w:pPr>
        <w:snapToGrid w:val="0"/>
        <w:spacing w:line="360" w:lineRule="auto"/>
        <w:rPr>
          <w:rFonts w:hint="default" w:ascii="宋体" w:hAnsi="宋体"/>
          <w:color w:val="000000"/>
          <w:sz w:val="21"/>
          <w:szCs w:val="21"/>
          <w:highlight w:val="none"/>
          <w:u w:val="single"/>
          <w:lang w:val="en-US" w:eastAsia="zh-CN"/>
        </w:rPr>
      </w:pPr>
      <w:r>
        <w:rPr>
          <w:rFonts w:hint="eastAsia" w:ascii="宋体" w:hAnsi="宋体"/>
          <w:color w:val="auto"/>
          <w:highlight w:val="none"/>
        </w:rPr>
        <w:t>发包人：</w:t>
      </w:r>
      <w:r>
        <w:rPr>
          <w:rFonts w:hint="eastAsia" w:ascii="宋体" w:hAnsi="宋体" w:cs="Arial"/>
          <w:color w:val="auto"/>
          <w:szCs w:val="21"/>
          <w:highlight w:val="none"/>
          <w:u w:val="single"/>
          <w:lang w:eastAsia="zh-CN"/>
        </w:rPr>
        <w:t>北京市昌平区延寿镇人民政府</w:t>
      </w:r>
      <w:r>
        <w:rPr>
          <w:rFonts w:ascii="宋体" w:hAnsi="宋体"/>
          <w:color w:val="auto"/>
          <w:highlight w:val="none"/>
        </w:rPr>
        <w:t xml:space="preserve">   </w:t>
      </w:r>
      <w:r>
        <w:rPr>
          <w:rFonts w:hint="eastAsia" w:ascii="宋体" w:hAnsi="宋体"/>
          <w:color w:val="auto"/>
          <w:highlight w:val="none"/>
        </w:rPr>
        <w:t>承包人：</w:t>
      </w:r>
      <w:r>
        <w:rPr>
          <w:rFonts w:hint="eastAsia" w:ascii="宋体" w:hAnsi="宋体"/>
          <w:color w:val="auto"/>
          <w:highlight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6F5E384D">
      <w:pPr>
        <w:snapToGrid w:val="0"/>
        <w:spacing w:line="360" w:lineRule="auto"/>
        <w:ind w:firstLine="630" w:firstLineChars="300"/>
        <w:rPr>
          <w:rFonts w:ascii="宋体"/>
          <w:color w:val="auto"/>
          <w:highlight w:val="none"/>
        </w:rPr>
      </w:pPr>
      <w:r>
        <w:rPr>
          <w:rFonts w:hint="eastAsia" w:ascii="宋体" w:hAnsi="宋体"/>
          <w:color w:val="auto"/>
          <w:highlight w:val="none"/>
        </w:rPr>
        <w:t>（公章）</w:t>
      </w:r>
      <w:r>
        <w:rPr>
          <w:rFonts w:hint="eastAsia" w:ascii="宋体" w:hAnsi="宋体"/>
          <w:color w:val="auto"/>
          <w:highlight w:val="none"/>
          <w:lang w:val="en-US" w:eastAsia="zh-CN"/>
        </w:rPr>
        <w:t xml:space="preserve">                             </w:t>
      </w:r>
      <w:r>
        <w:rPr>
          <w:rFonts w:hint="eastAsia" w:ascii="宋体" w:hAnsi="宋体"/>
          <w:color w:val="auto"/>
          <w:highlight w:val="none"/>
        </w:rPr>
        <w:t>（公章）</w:t>
      </w:r>
      <w:r>
        <w:rPr>
          <w:rFonts w:ascii="宋体" w:hAnsi="宋体"/>
          <w:color w:val="auto"/>
          <w:highlight w:val="none"/>
        </w:rPr>
        <w:t xml:space="preserve"> </w:t>
      </w:r>
    </w:p>
    <w:p w14:paraId="0C166EA2">
      <w:pPr>
        <w:snapToGrid w:val="0"/>
        <w:spacing w:line="360" w:lineRule="auto"/>
        <w:ind w:left="4830" w:hanging="4830" w:hangingChars="2300"/>
        <w:rPr>
          <w:rFonts w:hint="default" w:ascii="宋体" w:eastAsia="宋体"/>
          <w:color w:val="auto"/>
          <w:highlight w:val="none"/>
          <w:lang w:val="en-US" w:eastAsia="zh-CN"/>
        </w:rPr>
      </w:pPr>
      <w:r>
        <w:rPr>
          <w:rFonts w:hint="eastAsia" w:ascii="宋体" w:hAnsi="宋体"/>
          <w:color w:val="auto"/>
          <w:highlight w:val="none"/>
        </w:rPr>
        <w:t>法定地址：</w:t>
      </w:r>
      <w:r>
        <w:rPr>
          <w:rFonts w:hint="eastAsia" w:ascii="宋体" w:hAnsi="宋体" w:cs="Arial"/>
          <w:color w:val="auto"/>
          <w:szCs w:val="21"/>
          <w:highlight w:val="none"/>
          <w:u w:val="single"/>
          <w:lang w:val="zh-TW" w:eastAsia="zh-CN"/>
        </w:rPr>
        <w:t>北京市昌平区延寿镇北庄村</w:t>
      </w:r>
      <w:r>
        <w:rPr>
          <w:rFonts w:ascii="宋体" w:hAnsi="宋体"/>
          <w:color w:val="auto"/>
          <w:highlight w:val="none"/>
        </w:rPr>
        <w:t xml:space="preserve">    </w:t>
      </w:r>
      <w:r>
        <w:rPr>
          <w:rFonts w:hint="eastAsia" w:ascii="宋体" w:hAnsi="宋体"/>
          <w:color w:val="auto"/>
          <w:highlight w:val="none"/>
        </w:rPr>
        <w:t>法定地址：</w:t>
      </w:r>
      <w:r>
        <w:rPr>
          <w:rFonts w:hint="eastAsia" w:ascii="宋体" w:hAnsi="宋体"/>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p>
    <w:p w14:paraId="6B92A0FF">
      <w:pPr>
        <w:snapToGrid w:val="0"/>
        <w:spacing w:line="360" w:lineRule="auto"/>
        <w:rPr>
          <w:rFonts w:ascii="宋体"/>
          <w:color w:val="auto"/>
          <w:highlight w:val="none"/>
        </w:rPr>
      </w:pPr>
      <w:r>
        <w:rPr>
          <w:rFonts w:hint="eastAsia" w:ascii="宋体" w:hAnsi="宋体"/>
          <w:color w:val="auto"/>
          <w:highlight w:val="none"/>
        </w:rPr>
        <w:t>法定代表人或其</w:t>
      </w:r>
      <w:r>
        <w:rPr>
          <w:rFonts w:ascii="宋体" w:hAnsi="宋体"/>
          <w:color w:val="auto"/>
          <w:highlight w:val="none"/>
        </w:rPr>
        <w:t xml:space="preserve">                       </w:t>
      </w:r>
      <w:r>
        <w:rPr>
          <w:rFonts w:hint="eastAsia" w:ascii="宋体" w:hAnsi="宋体"/>
          <w:color w:val="auto"/>
          <w:highlight w:val="none"/>
        </w:rPr>
        <w:t>法定代表人或其</w:t>
      </w:r>
    </w:p>
    <w:p w14:paraId="727347FE">
      <w:pPr>
        <w:snapToGrid w:val="0"/>
        <w:spacing w:line="360" w:lineRule="auto"/>
        <w:rPr>
          <w:rFonts w:ascii="宋体"/>
          <w:color w:val="auto"/>
          <w:highlight w:val="none"/>
        </w:rPr>
      </w:pP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r>
        <w:rPr>
          <w:rFonts w:ascii="宋体" w:hAnsi="宋体"/>
          <w:color w:val="auto"/>
          <w:highlight w:val="none"/>
        </w:rPr>
        <w:t xml:space="preserve">  </w:t>
      </w: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p>
    <w:p w14:paraId="53C48B37">
      <w:pPr>
        <w:snapToGrid w:val="0"/>
        <w:spacing w:line="360" w:lineRule="auto"/>
        <w:rPr>
          <w:rFonts w:ascii="宋体"/>
          <w:color w:val="auto"/>
          <w:highlight w:val="none"/>
        </w:rPr>
      </w:pPr>
      <w:r>
        <w:rPr>
          <w:rFonts w:hint="eastAsia" w:ascii="宋体" w:hAnsi="宋体"/>
          <w:color w:val="auto"/>
          <w:highlight w:val="none"/>
        </w:rPr>
        <w:t>电话：</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电话：</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0DDF56DC">
      <w:pPr>
        <w:snapToGrid w:val="0"/>
        <w:spacing w:line="360" w:lineRule="auto"/>
        <w:rPr>
          <w:rFonts w:ascii="宋体"/>
          <w:color w:val="auto"/>
          <w:highlight w:val="none"/>
        </w:rPr>
      </w:pPr>
      <w:r>
        <w:rPr>
          <w:rFonts w:hint="eastAsia" w:ascii="宋体" w:hAnsi="宋体"/>
          <w:color w:val="auto"/>
          <w:highlight w:val="none"/>
        </w:rPr>
        <w:t>传真：</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传真：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114F0FCB">
      <w:pPr>
        <w:snapToGrid w:val="0"/>
        <w:spacing w:line="360" w:lineRule="auto"/>
        <w:rPr>
          <w:rFonts w:ascii="宋体"/>
          <w:color w:val="auto"/>
          <w:highlight w:val="none"/>
        </w:rPr>
      </w:pPr>
      <w:r>
        <w:rPr>
          <w:rFonts w:hint="eastAsia" w:ascii="宋体" w:hAnsi="宋体"/>
          <w:color w:val="auto"/>
          <w:highlight w:val="none"/>
        </w:rPr>
        <w:t>电子邮箱：</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电子邮箱：</w:t>
      </w:r>
      <w:r>
        <w:rPr>
          <w:rFonts w:ascii="宋体" w:hAnsi="宋体"/>
          <w:color w:val="auto"/>
          <w:highlight w:val="none"/>
          <w:u w:val="single"/>
        </w:rPr>
        <w:t xml:space="preserve">   </w:t>
      </w:r>
      <w:r>
        <w:rPr>
          <w:rFonts w:hint="eastAsia" w:ascii="宋体" w:hAnsi="宋体" w:cs="Times New Roman"/>
          <w:szCs w:val="21"/>
          <w:highlight w:val="none"/>
          <w:u w:val="single"/>
          <w:lang w:val="en-US" w:eastAsia="zh-CN"/>
        </w:rPr>
        <w:t xml:space="preserve"> </w:t>
      </w:r>
      <w:r>
        <w:rPr>
          <w:rFonts w:ascii="宋体" w:hAnsi="宋体"/>
          <w:color w:val="auto"/>
          <w:highlight w:val="none"/>
          <w:u w:val="single"/>
        </w:rPr>
        <w:t xml:space="preserve">                              </w:t>
      </w:r>
    </w:p>
    <w:p w14:paraId="6E49671B">
      <w:pPr>
        <w:snapToGrid w:val="0"/>
        <w:spacing w:line="360" w:lineRule="auto"/>
        <w:ind w:left="5040" w:hanging="5040" w:hangingChars="2400"/>
        <w:rPr>
          <w:rFonts w:ascii="宋体"/>
          <w:color w:val="auto"/>
          <w:highlight w:val="none"/>
        </w:rPr>
      </w:pPr>
      <w:r>
        <w:rPr>
          <w:rFonts w:hint="eastAsia" w:ascii="宋体" w:hAnsi="宋体"/>
          <w:color w:val="auto"/>
          <w:highlight w:val="none"/>
        </w:rPr>
        <w:t>开户银行：</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开户银行：</w:t>
      </w:r>
      <w:r>
        <w:rPr>
          <w:rFonts w:hint="eastAsia" w:ascii="宋体"/>
          <w:color w:val="000000"/>
          <w:szCs w:val="21"/>
          <w:highlight w:val="none"/>
          <w:u w:val="single"/>
          <w:lang w:val="en-US" w:eastAsia="zh-CN"/>
        </w:rPr>
        <w:t xml:space="preserve"> </w:t>
      </w:r>
      <w:r>
        <w:rPr>
          <w:rFonts w:hint="eastAsia" w:ascii="宋体" w:hAnsi="宋体" w:cs="Times New Roman"/>
          <w:highlight w:val="none"/>
          <w:u w:val="single"/>
          <w:lang w:val="en-US" w:eastAsia="zh-CN"/>
        </w:rPr>
        <w:t xml:space="preserve"> </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p>
    <w:p w14:paraId="1E13616E">
      <w:pPr>
        <w:snapToGrid w:val="0"/>
        <w:spacing w:line="360" w:lineRule="auto"/>
        <w:rPr>
          <w:rFonts w:ascii="宋体"/>
          <w:color w:val="auto"/>
          <w:highlight w:val="none"/>
        </w:rPr>
      </w:pPr>
      <w:r>
        <w:rPr>
          <w:rFonts w:hint="eastAsia" w:ascii="宋体" w:hAnsi="宋体"/>
          <w:color w:val="auto"/>
          <w:highlight w:val="none"/>
          <w:lang w:eastAsia="zh-CN"/>
        </w:rPr>
        <w:t>账号</w:t>
      </w:r>
      <w:r>
        <w:rPr>
          <w:rFonts w:hint="eastAsia" w:ascii="宋体" w:hAnsi="宋体"/>
          <w:color w:val="auto"/>
          <w:highlight w:val="none"/>
        </w:rPr>
        <w:t>：</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eastAsia="zh-CN"/>
        </w:rPr>
        <w:t>账号</w:t>
      </w:r>
      <w:r>
        <w:rPr>
          <w:rFonts w:hint="eastAsia" w:ascii="宋体" w:hAnsi="宋体"/>
          <w:color w:val="auto"/>
          <w:highlight w:val="none"/>
        </w:rPr>
        <w:t>：</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s="Times New Roman"/>
          <w:highlight w:val="none"/>
          <w:u w:val="single"/>
          <w:lang w:val="en-US" w:eastAsia="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7523F158">
      <w:pPr>
        <w:snapToGrid w:val="0"/>
        <w:spacing w:line="360" w:lineRule="auto"/>
        <w:rPr>
          <w:rFonts w:ascii="宋体"/>
          <w:color w:val="auto"/>
          <w:highlight w:val="none"/>
        </w:rPr>
      </w:pP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102200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r>
        <w:rPr>
          <w:rFonts w:ascii="宋体" w:hAnsi="宋体"/>
          <w:color w:val="auto"/>
          <w:highlight w:val="none"/>
        </w:rPr>
        <w:t xml:space="preserve"> </w:t>
      </w:r>
    </w:p>
    <w:p w14:paraId="5659DE67">
      <w:pPr>
        <w:pStyle w:val="251"/>
        <w:spacing w:before="120" w:after="120"/>
        <w:outlineLvl w:val="1"/>
        <w:rPr>
          <w:color w:val="auto"/>
          <w:highlight w:val="none"/>
        </w:rPr>
      </w:pPr>
      <w:r>
        <w:rPr>
          <w:color w:val="auto"/>
          <w:highlight w:val="none"/>
        </w:rPr>
        <w:br w:type="page"/>
      </w:r>
      <w:bookmarkStart w:id="2126" w:name="_Toc32541"/>
      <w:bookmarkStart w:id="2127" w:name="_Toc480303501"/>
      <w:bookmarkStart w:id="2128" w:name="_Toc477964630"/>
      <w:bookmarkStart w:id="2129" w:name="_Toc497456968"/>
      <w:bookmarkStart w:id="2130" w:name="_Toc485338210"/>
      <w:bookmarkStart w:id="2131" w:name="_Toc489219297"/>
      <w:r>
        <w:rPr>
          <w:rFonts w:hint="eastAsia"/>
          <w:color w:val="auto"/>
          <w:highlight w:val="none"/>
        </w:rPr>
        <w:t>附件</w:t>
      </w:r>
      <w:r>
        <w:rPr>
          <w:rFonts w:hint="eastAsia"/>
          <w:color w:val="auto"/>
          <w:highlight w:val="none"/>
          <w:lang w:val="en-US" w:eastAsia="zh-CN"/>
        </w:rPr>
        <w:t>六</w:t>
      </w:r>
      <w:r>
        <w:rPr>
          <w:rFonts w:hint="eastAsia"/>
          <w:color w:val="auto"/>
          <w:highlight w:val="none"/>
        </w:rPr>
        <w:t>：廉政责任书格式</w:t>
      </w:r>
      <w:bookmarkEnd w:id="2126"/>
      <w:bookmarkEnd w:id="2127"/>
      <w:bookmarkEnd w:id="2128"/>
      <w:bookmarkEnd w:id="2129"/>
      <w:bookmarkEnd w:id="2130"/>
      <w:bookmarkEnd w:id="2131"/>
    </w:p>
    <w:p w14:paraId="69C3705B">
      <w:pPr>
        <w:snapToGrid w:val="0"/>
        <w:spacing w:line="360" w:lineRule="auto"/>
        <w:ind w:firstLine="488"/>
        <w:jc w:val="center"/>
        <w:rPr>
          <w:rFonts w:ascii="宋体"/>
          <w:color w:val="auto"/>
          <w:highlight w:val="none"/>
        </w:rPr>
      </w:pPr>
    </w:p>
    <w:p w14:paraId="0EADE5B0">
      <w:pPr>
        <w:snapToGrid w:val="0"/>
        <w:spacing w:line="360" w:lineRule="auto"/>
        <w:jc w:val="center"/>
        <w:rPr>
          <w:rFonts w:ascii="宋体"/>
          <w:b/>
          <w:color w:val="auto"/>
          <w:sz w:val="28"/>
          <w:highlight w:val="none"/>
        </w:rPr>
      </w:pPr>
      <w:r>
        <w:rPr>
          <w:rFonts w:hint="eastAsia" w:ascii="宋体" w:hAnsi="宋体"/>
          <w:b/>
          <w:color w:val="auto"/>
          <w:sz w:val="28"/>
          <w:highlight w:val="none"/>
        </w:rPr>
        <w:t>建设工程廉政责任书</w:t>
      </w:r>
    </w:p>
    <w:p w14:paraId="71F8F603">
      <w:pPr>
        <w:snapToGrid w:val="0"/>
        <w:spacing w:line="360" w:lineRule="auto"/>
        <w:ind w:firstLine="420" w:firstLineChars="200"/>
        <w:rPr>
          <w:rFonts w:ascii="宋体"/>
          <w:color w:val="auto"/>
          <w:highlight w:val="none"/>
        </w:rPr>
      </w:pPr>
    </w:p>
    <w:p w14:paraId="52D1970A">
      <w:pPr>
        <w:snapToGrid w:val="0"/>
        <w:spacing w:line="360" w:lineRule="auto"/>
        <w:rPr>
          <w:rFonts w:ascii="宋体"/>
          <w:color w:val="auto"/>
          <w:highlight w:val="none"/>
          <w:u w:val="single"/>
        </w:rPr>
      </w:pPr>
      <w:r>
        <w:rPr>
          <w:rFonts w:hint="eastAsia" w:ascii="宋体" w:hAnsi="宋体"/>
          <w:color w:val="auto"/>
          <w:highlight w:val="none"/>
        </w:rPr>
        <w:t>发包人：</w:t>
      </w:r>
      <w:r>
        <w:rPr>
          <w:rFonts w:ascii="宋体" w:hAnsi="宋体"/>
          <w:color w:val="auto"/>
          <w:highlight w:val="none"/>
          <w:u w:val="single"/>
        </w:rPr>
        <w:t xml:space="preserve"> </w:t>
      </w:r>
      <w:r>
        <w:rPr>
          <w:rFonts w:hint="eastAsia" w:ascii="宋体" w:hAnsi="宋体" w:cs="Arial"/>
          <w:color w:val="auto"/>
          <w:szCs w:val="21"/>
          <w:highlight w:val="none"/>
          <w:u w:val="single"/>
          <w:lang w:eastAsia="zh-CN"/>
        </w:rPr>
        <w:t>北京市昌平区延寿镇人民政府</w:t>
      </w:r>
      <w:r>
        <w:rPr>
          <w:rFonts w:ascii="宋体" w:hAnsi="宋体"/>
          <w:color w:val="auto"/>
          <w:highlight w:val="none"/>
          <w:u w:val="single"/>
        </w:rPr>
        <w:t xml:space="preserve">        </w:t>
      </w:r>
    </w:p>
    <w:p w14:paraId="416C6316">
      <w:pPr>
        <w:snapToGrid w:val="0"/>
        <w:spacing w:line="360" w:lineRule="auto"/>
        <w:rPr>
          <w:rFonts w:ascii="宋体"/>
          <w:color w:val="auto"/>
          <w:highlight w:val="none"/>
        </w:rPr>
      </w:pPr>
      <w:r>
        <w:rPr>
          <w:rFonts w:hint="eastAsia" w:ascii="宋体" w:hAnsi="宋体"/>
          <w:color w:val="auto"/>
          <w:highlight w:val="none"/>
        </w:rPr>
        <w:t>承包人：</w:t>
      </w:r>
      <w:r>
        <w:rPr>
          <w:rFonts w:ascii="宋体" w:hAnsi="宋体"/>
          <w:color w:val="auto"/>
          <w:highlight w:val="none"/>
          <w:u w:val="single"/>
        </w:rPr>
        <w:t xml:space="preserve"> </w:t>
      </w:r>
      <w:r>
        <w:rPr>
          <w:rFonts w:hint="eastAsia" w:ascii="宋体" w:hAnsi="宋体" w:cs="Times New Roman"/>
          <w:szCs w:val="21"/>
          <w:highlight w:val="none"/>
          <w:u w:val="single"/>
          <w:lang w:val="en-US" w:eastAsia="zh-CN"/>
        </w:rPr>
        <w:t xml:space="preserve">                           </w:t>
      </w:r>
      <w:r>
        <w:rPr>
          <w:rFonts w:hint="eastAsia" w:ascii="宋体" w:hAnsi="宋体"/>
          <w:color w:val="000000"/>
          <w:sz w:val="21"/>
          <w:szCs w:val="21"/>
          <w:highlight w:val="none"/>
          <w:u w:val="single"/>
          <w:lang w:val="en-US" w:eastAsia="zh-CN"/>
        </w:rPr>
        <w:t xml:space="preserve">      </w:t>
      </w:r>
    </w:p>
    <w:p w14:paraId="1A36422D">
      <w:pPr>
        <w:snapToGrid w:val="0"/>
        <w:spacing w:line="360" w:lineRule="auto"/>
        <w:ind w:firstLine="420" w:firstLineChars="200"/>
        <w:rPr>
          <w:rFonts w:ascii="宋体"/>
          <w:color w:val="auto"/>
          <w:highlight w:val="none"/>
        </w:rPr>
      </w:pPr>
    </w:p>
    <w:p w14:paraId="2EE14130">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为加强建设工程廉政建设，规范建设工程各项活动中发包人</w:t>
      </w:r>
      <w:r>
        <w:rPr>
          <w:rFonts w:hint="eastAsia" w:ascii="宋体" w:hAnsi="宋体"/>
          <w:color w:val="auto"/>
          <w:szCs w:val="28"/>
          <w:highlight w:val="none"/>
          <w:lang w:eastAsia="zh-CN"/>
        </w:rPr>
        <w:t>、</w:t>
      </w:r>
      <w:r>
        <w:rPr>
          <w:rFonts w:hint="eastAsia" w:ascii="宋体" w:hAnsi="宋体"/>
          <w:color w:val="auto"/>
          <w:szCs w:val="28"/>
          <w:highlight w:val="none"/>
        </w:rPr>
        <w:t>承包人双方的行为，防止谋取不正当利益的违法违纪现象的发生，保护国家、集体和当事人的合法权益，根据国家有关工程建设的法律法规和廉政建设的有关规定，订立本廉政责任书。</w:t>
      </w:r>
    </w:p>
    <w:p w14:paraId="6B6334E2">
      <w:pPr>
        <w:snapToGrid w:val="0"/>
        <w:spacing w:line="360" w:lineRule="auto"/>
        <w:ind w:firstLine="420" w:firstLineChars="200"/>
        <w:rPr>
          <w:rFonts w:ascii="宋体"/>
          <w:color w:val="auto"/>
          <w:szCs w:val="28"/>
          <w:highlight w:val="none"/>
        </w:rPr>
      </w:pPr>
      <w:bookmarkStart w:id="2132" w:name="_Toc479505775"/>
      <w:bookmarkStart w:id="2133" w:name="_Toc477964631"/>
      <w:bookmarkStart w:id="2134" w:name="_Toc480303502"/>
      <w:r>
        <w:rPr>
          <w:rFonts w:hint="eastAsia" w:ascii="宋体" w:hAnsi="宋体"/>
          <w:color w:val="auto"/>
          <w:szCs w:val="28"/>
          <w:highlight w:val="none"/>
        </w:rPr>
        <w:t>一、双方的责任</w:t>
      </w:r>
      <w:bookmarkEnd w:id="2132"/>
      <w:bookmarkEnd w:id="2133"/>
      <w:bookmarkEnd w:id="2134"/>
    </w:p>
    <w:p w14:paraId="47FB5262">
      <w:pPr>
        <w:snapToGrid w:val="0"/>
        <w:spacing w:line="360" w:lineRule="auto"/>
        <w:ind w:firstLine="420" w:firstLineChars="200"/>
        <w:rPr>
          <w:rFonts w:ascii="宋体"/>
          <w:color w:val="auto"/>
          <w:szCs w:val="28"/>
          <w:highlight w:val="none"/>
        </w:rPr>
      </w:pPr>
      <w:r>
        <w:rPr>
          <w:rFonts w:ascii="宋体" w:hAnsi="宋体"/>
          <w:color w:val="auto"/>
          <w:szCs w:val="28"/>
          <w:highlight w:val="none"/>
        </w:rPr>
        <w:t xml:space="preserve">1.1 </w:t>
      </w:r>
      <w:r>
        <w:rPr>
          <w:rFonts w:hint="eastAsia" w:ascii="宋体" w:hAnsi="宋体"/>
          <w:color w:val="auto"/>
          <w:szCs w:val="28"/>
          <w:highlight w:val="none"/>
        </w:rPr>
        <w:t>应严格遵守国家关于建设工程的有关法律、法规，相关政策，以及廉政建设的各项规定。</w:t>
      </w:r>
    </w:p>
    <w:p w14:paraId="190AC66F">
      <w:pPr>
        <w:snapToGrid w:val="0"/>
        <w:spacing w:line="360" w:lineRule="auto"/>
        <w:ind w:firstLine="420" w:firstLineChars="200"/>
        <w:rPr>
          <w:rFonts w:ascii="宋体"/>
          <w:color w:val="auto"/>
          <w:szCs w:val="28"/>
          <w:highlight w:val="none"/>
        </w:rPr>
      </w:pPr>
      <w:r>
        <w:rPr>
          <w:rFonts w:ascii="宋体" w:hAnsi="宋体"/>
          <w:color w:val="auto"/>
          <w:szCs w:val="28"/>
          <w:highlight w:val="none"/>
        </w:rPr>
        <w:t>1</w:t>
      </w:r>
      <w:r>
        <w:rPr>
          <w:rFonts w:ascii="宋体"/>
          <w:color w:val="auto"/>
          <w:szCs w:val="28"/>
          <w:highlight w:val="none"/>
        </w:rPr>
        <w:t>.</w:t>
      </w:r>
      <w:r>
        <w:rPr>
          <w:rFonts w:ascii="宋体" w:hAnsi="宋体"/>
          <w:color w:val="auto"/>
          <w:szCs w:val="28"/>
          <w:highlight w:val="none"/>
        </w:rPr>
        <w:t xml:space="preserve">2 </w:t>
      </w:r>
      <w:r>
        <w:rPr>
          <w:rFonts w:hint="eastAsia" w:ascii="宋体" w:hAnsi="宋体"/>
          <w:color w:val="auto"/>
          <w:szCs w:val="28"/>
          <w:highlight w:val="none"/>
        </w:rPr>
        <w:t>严格执行建设工程合同文件，自觉按合同办事。</w:t>
      </w:r>
    </w:p>
    <w:p w14:paraId="76F24476">
      <w:pPr>
        <w:snapToGrid w:val="0"/>
        <w:spacing w:line="360" w:lineRule="auto"/>
        <w:ind w:firstLine="420" w:firstLineChars="200"/>
        <w:rPr>
          <w:rFonts w:ascii="宋体"/>
          <w:color w:val="auto"/>
          <w:szCs w:val="28"/>
          <w:highlight w:val="none"/>
        </w:rPr>
      </w:pPr>
      <w:r>
        <w:rPr>
          <w:rFonts w:ascii="宋体" w:hAnsi="宋体"/>
          <w:color w:val="auto"/>
          <w:szCs w:val="28"/>
          <w:highlight w:val="none"/>
        </w:rPr>
        <w:t>1</w:t>
      </w:r>
      <w:r>
        <w:rPr>
          <w:rFonts w:ascii="宋体"/>
          <w:color w:val="auto"/>
          <w:szCs w:val="28"/>
          <w:highlight w:val="none"/>
        </w:rPr>
        <w:t>.</w:t>
      </w:r>
      <w:r>
        <w:rPr>
          <w:rFonts w:ascii="宋体" w:hAnsi="宋体"/>
          <w:color w:val="auto"/>
          <w:szCs w:val="28"/>
          <w:highlight w:val="none"/>
        </w:rPr>
        <w:t xml:space="preserve">3 </w:t>
      </w:r>
      <w:r>
        <w:rPr>
          <w:rFonts w:hint="eastAsia" w:ascii="宋体" w:hAnsi="宋体"/>
          <w:color w:val="auto"/>
          <w:szCs w:val="28"/>
          <w:highlight w:val="none"/>
        </w:rPr>
        <w:t>各项活动必须坚持公开、公平、公正、诚信、透明的原则（除法律法规另有规定者外），不得为获取不正当的利益，损害国家、集体和对方利益，不得违反建设工程管理的规章制度。</w:t>
      </w:r>
    </w:p>
    <w:p w14:paraId="1C6AFABD">
      <w:pPr>
        <w:snapToGrid w:val="0"/>
        <w:spacing w:line="360" w:lineRule="auto"/>
        <w:ind w:firstLine="420" w:firstLineChars="200"/>
        <w:rPr>
          <w:rFonts w:ascii="宋体"/>
          <w:color w:val="auto"/>
          <w:szCs w:val="28"/>
          <w:highlight w:val="none"/>
        </w:rPr>
      </w:pPr>
      <w:r>
        <w:rPr>
          <w:rFonts w:ascii="宋体" w:hAnsi="宋体"/>
          <w:color w:val="auto"/>
          <w:szCs w:val="28"/>
          <w:highlight w:val="none"/>
        </w:rPr>
        <w:t>1</w:t>
      </w:r>
      <w:r>
        <w:rPr>
          <w:rFonts w:ascii="宋体"/>
          <w:color w:val="auto"/>
          <w:szCs w:val="28"/>
          <w:highlight w:val="none"/>
        </w:rPr>
        <w:t>.</w:t>
      </w:r>
      <w:r>
        <w:rPr>
          <w:rFonts w:ascii="宋体" w:hAnsi="宋体"/>
          <w:color w:val="auto"/>
          <w:szCs w:val="28"/>
          <w:highlight w:val="none"/>
        </w:rPr>
        <w:t xml:space="preserve">4 </w:t>
      </w:r>
      <w:r>
        <w:rPr>
          <w:rFonts w:hint="eastAsia" w:ascii="宋体" w:hAnsi="宋体"/>
          <w:color w:val="auto"/>
          <w:szCs w:val="28"/>
          <w:highlight w:val="none"/>
        </w:rPr>
        <w:t>发现对方在业务活动中有违规、违纪、违法行为的，应及时提醒对方，情节严重的，应向其上级主管部门或纪检监察、司法等有关机关举报。</w:t>
      </w:r>
    </w:p>
    <w:p w14:paraId="32805DC0">
      <w:pPr>
        <w:snapToGrid w:val="0"/>
        <w:spacing w:line="360" w:lineRule="auto"/>
        <w:ind w:firstLine="420" w:firstLineChars="200"/>
        <w:rPr>
          <w:rFonts w:ascii="宋体"/>
          <w:color w:val="auto"/>
          <w:szCs w:val="28"/>
          <w:highlight w:val="none"/>
        </w:rPr>
      </w:pPr>
      <w:bookmarkStart w:id="2135" w:name="_Toc480303503"/>
      <w:bookmarkStart w:id="2136" w:name="_Toc479505776"/>
      <w:bookmarkStart w:id="2137" w:name="_Toc477964632"/>
      <w:r>
        <w:rPr>
          <w:rFonts w:hint="eastAsia" w:ascii="宋体" w:hAnsi="宋体"/>
          <w:color w:val="auto"/>
          <w:szCs w:val="28"/>
          <w:highlight w:val="none"/>
        </w:rPr>
        <w:t>二、发包人责任</w:t>
      </w:r>
      <w:bookmarkEnd w:id="2135"/>
      <w:bookmarkEnd w:id="2136"/>
      <w:bookmarkEnd w:id="2137"/>
    </w:p>
    <w:p w14:paraId="48523B39">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发包人的领导和从事该建设工程项目的工作人员，在工程建设的事前、事中、事后应遵守以下规定：</w:t>
      </w:r>
    </w:p>
    <w:p w14:paraId="139CB291">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1</w:t>
      </w:r>
      <w:r>
        <w:rPr>
          <w:rFonts w:hint="eastAsia" w:ascii="宋体" w:hAnsi="宋体"/>
          <w:color w:val="auto"/>
          <w:szCs w:val="28"/>
          <w:highlight w:val="none"/>
        </w:rPr>
        <w:t>不得向承包人和相关单位索要或接受回扣、礼金、有价证券、贵重物品和好处费、感谢费等。</w:t>
      </w:r>
    </w:p>
    <w:p w14:paraId="3D316295">
      <w:pPr>
        <w:snapToGrid w:val="0"/>
        <w:spacing w:line="360" w:lineRule="auto"/>
        <w:ind w:firstLine="420" w:firstLineChars="200"/>
        <w:rPr>
          <w:rFonts w:ascii="宋体"/>
          <w:color w:val="auto"/>
          <w:szCs w:val="28"/>
          <w:highlight w:val="none"/>
        </w:rPr>
      </w:pPr>
      <w:bookmarkStart w:id="2138" w:name="_Toc480303504"/>
      <w:bookmarkStart w:id="2139" w:name="_Toc479505777"/>
      <w:bookmarkStart w:id="2140" w:name="_Toc477964633"/>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2 </w:t>
      </w:r>
      <w:r>
        <w:rPr>
          <w:rFonts w:hint="eastAsia" w:ascii="宋体" w:hAnsi="宋体"/>
          <w:color w:val="auto"/>
          <w:szCs w:val="28"/>
          <w:highlight w:val="none"/>
        </w:rPr>
        <w:t>不得在承包人和相关单位报销任何应由发包人或个人支付的费用。</w:t>
      </w:r>
      <w:bookmarkEnd w:id="2138"/>
      <w:bookmarkEnd w:id="2139"/>
      <w:bookmarkEnd w:id="2140"/>
    </w:p>
    <w:p w14:paraId="4A19CB1C">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3 </w:t>
      </w:r>
      <w:r>
        <w:rPr>
          <w:rFonts w:hint="eastAsia" w:ascii="宋体" w:hAnsi="宋体"/>
          <w:color w:val="auto"/>
          <w:szCs w:val="28"/>
          <w:highlight w:val="none"/>
        </w:rPr>
        <w:t>不得要求、暗示或接受承包人和相关单位为个人装修住房、婚丧嫁娶、配偶子女的工作安排以及出国（境）、旅游等提供方便。</w:t>
      </w:r>
    </w:p>
    <w:p w14:paraId="38873ADC">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4 </w:t>
      </w:r>
      <w:r>
        <w:rPr>
          <w:rFonts w:hint="eastAsia" w:ascii="宋体" w:hAnsi="宋体"/>
          <w:color w:val="auto"/>
          <w:szCs w:val="28"/>
          <w:highlight w:val="none"/>
        </w:rPr>
        <w:t>不得参加有可能影响公正执行公务的承包人和相关单位的宴请、健身、娱乐等活动。</w:t>
      </w:r>
    </w:p>
    <w:p w14:paraId="72DB71E2">
      <w:pPr>
        <w:snapToGrid w:val="0"/>
        <w:spacing w:line="360" w:lineRule="auto"/>
        <w:ind w:firstLine="420" w:firstLineChars="200"/>
        <w:rPr>
          <w:rFonts w:ascii="宋体"/>
          <w:color w:val="auto"/>
          <w:szCs w:val="28"/>
          <w:highlight w:val="none"/>
        </w:rPr>
      </w:pPr>
      <w:r>
        <w:rPr>
          <w:rFonts w:ascii="宋体" w:hAnsi="宋体"/>
          <w:color w:val="auto"/>
          <w:szCs w:val="28"/>
          <w:highlight w:val="none"/>
        </w:rPr>
        <w:t>2</w:t>
      </w:r>
      <w:r>
        <w:rPr>
          <w:rFonts w:ascii="宋体"/>
          <w:color w:val="auto"/>
          <w:szCs w:val="28"/>
          <w:highlight w:val="none"/>
        </w:rPr>
        <w:t>.</w:t>
      </w:r>
      <w:r>
        <w:rPr>
          <w:rFonts w:ascii="宋体" w:hAnsi="宋体"/>
          <w:color w:val="auto"/>
          <w:szCs w:val="28"/>
          <w:highlight w:val="none"/>
        </w:rPr>
        <w:t xml:space="preserve">5 </w:t>
      </w:r>
      <w:r>
        <w:rPr>
          <w:rFonts w:hint="eastAsia" w:ascii="宋体" w:hAnsi="宋体"/>
          <w:color w:val="auto"/>
          <w:szCs w:val="28"/>
          <w:highlight w:val="none"/>
        </w:rPr>
        <w:t>不得向承包人和相关单位介绍或为配偶、子女、亲属参与同发包人工程建设管理合同有关的业务活动；不得以任何理由要求承包人和相关单位使用某种产品、材料和设备。</w:t>
      </w:r>
    </w:p>
    <w:p w14:paraId="5CF1EF8A">
      <w:pPr>
        <w:snapToGrid w:val="0"/>
        <w:spacing w:line="360" w:lineRule="auto"/>
        <w:ind w:firstLine="420" w:firstLineChars="200"/>
        <w:rPr>
          <w:rFonts w:ascii="宋体"/>
          <w:color w:val="auto"/>
          <w:szCs w:val="28"/>
          <w:highlight w:val="none"/>
        </w:rPr>
      </w:pPr>
      <w:bookmarkStart w:id="2141" w:name="_Toc479505778"/>
      <w:bookmarkStart w:id="2142" w:name="_Toc477964634"/>
      <w:bookmarkStart w:id="2143" w:name="_Toc480303505"/>
      <w:r>
        <w:rPr>
          <w:rFonts w:hint="eastAsia" w:ascii="宋体" w:hAnsi="宋体"/>
          <w:color w:val="auto"/>
          <w:szCs w:val="28"/>
          <w:highlight w:val="none"/>
        </w:rPr>
        <w:t>三、承包人责任</w:t>
      </w:r>
      <w:bookmarkEnd w:id="2141"/>
      <w:bookmarkEnd w:id="2142"/>
      <w:bookmarkEnd w:id="2143"/>
    </w:p>
    <w:p w14:paraId="7F6E60A7">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应与发包人保持正常的业务交往，按照有关法律法规和程序开展业务工作，严格执行工程建设的有关方针、政策，执行工程建设强制性标准，并遵守以下规定：</w:t>
      </w:r>
    </w:p>
    <w:p w14:paraId="3C722CBD">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 xml:space="preserve">1 </w:t>
      </w:r>
      <w:r>
        <w:rPr>
          <w:rFonts w:hint="eastAsia" w:ascii="宋体" w:hAnsi="宋体"/>
          <w:color w:val="auto"/>
          <w:szCs w:val="28"/>
          <w:highlight w:val="none"/>
        </w:rPr>
        <w:t>不得以任何理由向发包人及其工作人员索要、接受或赠送礼金、有价证券、贵重物品及回扣、好处费、感谢费等。</w:t>
      </w:r>
    </w:p>
    <w:p w14:paraId="5B6C9828">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2</w:t>
      </w:r>
      <w:r>
        <w:rPr>
          <w:rFonts w:hint="eastAsia" w:ascii="宋体" w:hAnsi="宋体"/>
          <w:color w:val="auto"/>
          <w:szCs w:val="28"/>
          <w:highlight w:val="none"/>
        </w:rPr>
        <w:t>不得以任何理由为发包人和相关单位报销应由对方或个人支付的费用。</w:t>
      </w:r>
    </w:p>
    <w:p w14:paraId="2D9E97A8">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3</w:t>
      </w:r>
      <w:r>
        <w:rPr>
          <w:rFonts w:hint="eastAsia" w:ascii="宋体" w:hAnsi="宋体"/>
          <w:color w:val="auto"/>
          <w:szCs w:val="28"/>
          <w:highlight w:val="none"/>
        </w:rPr>
        <w:t>不得接受或暗示为发包人、相关单位或个人装修住房、婚丧嫁娶、配偶子女的工作安排以及出国（境）、旅游等提供方便。</w:t>
      </w:r>
    </w:p>
    <w:p w14:paraId="485BC18F">
      <w:pPr>
        <w:snapToGrid w:val="0"/>
        <w:spacing w:line="360" w:lineRule="auto"/>
        <w:ind w:firstLine="420" w:firstLineChars="200"/>
        <w:rPr>
          <w:rFonts w:ascii="宋体"/>
          <w:color w:val="auto"/>
          <w:szCs w:val="28"/>
          <w:highlight w:val="none"/>
        </w:rPr>
      </w:pPr>
      <w:r>
        <w:rPr>
          <w:rFonts w:ascii="宋体" w:hAnsi="宋体"/>
          <w:color w:val="auto"/>
          <w:szCs w:val="28"/>
          <w:highlight w:val="none"/>
        </w:rPr>
        <w:t>3</w:t>
      </w:r>
      <w:r>
        <w:rPr>
          <w:rFonts w:ascii="宋体"/>
          <w:color w:val="auto"/>
          <w:szCs w:val="28"/>
          <w:highlight w:val="none"/>
        </w:rPr>
        <w:t>.</w:t>
      </w:r>
      <w:r>
        <w:rPr>
          <w:rFonts w:ascii="宋体" w:hAnsi="宋体"/>
          <w:color w:val="auto"/>
          <w:szCs w:val="28"/>
          <w:highlight w:val="none"/>
        </w:rPr>
        <w:t>4</w:t>
      </w:r>
      <w:r>
        <w:rPr>
          <w:rFonts w:hint="eastAsia" w:ascii="宋体" w:hAnsi="宋体"/>
          <w:color w:val="auto"/>
          <w:szCs w:val="28"/>
          <w:highlight w:val="none"/>
        </w:rPr>
        <w:t>不得以任何理由为发包人、相关单位或个人组织有可能影响公正执行公务的宴请、健身、娱乐等活动。</w:t>
      </w:r>
    </w:p>
    <w:p w14:paraId="445F967A">
      <w:pPr>
        <w:snapToGrid w:val="0"/>
        <w:spacing w:line="360" w:lineRule="auto"/>
        <w:ind w:firstLine="420" w:firstLineChars="200"/>
        <w:rPr>
          <w:rFonts w:ascii="宋体"/>
          <w:color w:val="auto"/>
          <w:szCs w:val="28"/>
          <w:highlight w:val="none"/>
        </w:rPr>
      </w:pPr>
      <w:bookmarkStart w:id="2144" w:name="_Toc480303506"/>
      <w:bookmarkStart w:id="2145" w:name="_Toc479505779"/>
      <w:bookmarkStart w:id="2146" w:name="_Toc477964635"/>
      <w:r>
        <w:rPr>
          <w:rFonts w:hint="eastAsia" w:ascii="宋体" w:hAnsi="宋体"/>
          <w:color w:val="auto"/>
          <w:szCs w:val="28"/>
          <w:highlight w:val="none"/>
        </w:rPr>
        <w:t>四、违约责任</w:t>
      </w:r>
      <w:bookmarkEnd w:id="2144"/>
      <w:bookmarkEnd w:id="2145"/>
      <w:bookmarkEnd w:id="2146"/>
    </w:p>
    <w:p w14:paraId="3DE62B61">
      <w:pPr>
        <w:snapToGrid w:val="0"/>
        <w:spacing w:line="360" w:lineRule="auto"/>
        <w:ind w:firstLine="420" w:firstLineChars="200"/>
        <w:rPr>
          <w:rFonts w:ascii="宋体"/>
          <w:color w:val="auto"/>
          <w:szCs w:val="28"/>
          <w:highlight w:val="none"/>
        </w:rPr>
      </w:pPr>
      <w:r>
        <w:rPr>
          <w:rFonts w:ascii="宋体" w:hAnsi="宋体"/>
          <w:color w:val="auto"/>
          <w:szCs w:val="28"/>
          <w:highlight w:val="none"/>
        </w:rPr>
        <w:t>4</w:t>
      </w:r>
      <w:r>
        <w:rPr>
          <w:rFonts w:ascii="宋体"/>
          <w:color w:val="auto"/>
          <w:szCs w:val="28"/>
          <w:highlight w:val="none"/>
        </w:rPr>
        <w:t>.</w:t>
      </w:r>
      <w:r>
        <w:rPr>
          <w:rFonts w:ascii="宋体" w:hAnsi="宋体"/>
          <w:color w:val="auto"/>
          <w:szCs w:val="28"/>
          <w:highlight w:val="none"/>
        </w:rPr>
        <w:t>1</w:t>
      </w:r>
      <w:r>
        <w:rPr>
          <w:rFonts w:hint="eastAsia" w:ascii="宋体" w:hAnsi="宋体"/>
          <w:color w:val="auto"/>
          <w:szCs w:val="28"/>
          <w:highlight w:val="none"/>
        </w:rPr>
        <w:t>发包人工作人员有违反本责任书第一、二条责任行为的，依据有关法律、法规给予处理；涉嫌犯罪的，移交司法机关追究刑事责任；给承包人单位造成经济损失的，应予以赔偿。</w:t>
      </w:r>
    </w:p>
    <w:p w14:paraId="5A4B17A5">
      <w:pPr>
        <w:snapToGrid w:val="0"/>
        <w:spacing w:line="360" w:lineRule="auto"/>
        <w:ind w:firstLine="420" w:firstLineChars="200"/>
        <w:rPr>
          <w:rFonts w:ascii="宋体"/>
          <w:color w:val="auto"/>
          <w:szCs w:val="28"/>
          <w:highlight w:val="none"/>
        </w:rPr>
      </w:pPr>
      <w:r>
        <w:rPr>
          <w:rFonts w:ascii="宋体" w:hAnsi="宋体"/>
          <w:color w:val="auto"/>
          <w:szCs w:val="28"/>
          <w:highlight w:val="none"/>
        </w:rPr>
        <w:t>4</w:t>
      </w:r>
      <w:r>
        <w:rPr>
          <w:rFonts w:ascii="宋体"/>
          <w:color w:val="auto"/>
          <w:szCs w:val="28"/>
          <w:highlight w:val="none"/>
        </w:rPr>
        <w:t>.</w:t>
      </w:r>
      <w:r>
        <w:rPr>
          <w:rFonts w:ascii="宋体" w:hAnsi="宋体"/>
          <w:color w:val="auto"/>
          <w:szCs w:val="28"/>
          <w:highlight w:val="none"/>
        </w:rPr>
        <w:t xml:space="preserve">2 </w:t>
      </w:r>
      <w:r>
        <w:rPr>
          <w:rFonts w:hint="eastAsia" w:ascii="宋体" w:hAnsi="宋体"/>
          <w:color w:val="auto"/>
          <w:szCs w:val="28"/>
          <w:highlight w:val="none"/>
        </w:rPr>
        <w:t>承包人工作人员有违反本责任书第一、三条责任行为的，依据有关法律法规处理；涉嫌犯罪的，移交司法机关追究刑事责任；给发包人单位造成经济损失的，应予以赔偿。</w:t>
      </w:r>
    </w:p>
    <w:p w14:paraId="0ABF8797">
      <w:pPr>
        <w:snapToGrid w:val="0"/>
        <w:spacing w:line="360" w:lineRule="auto"/>
        <w:ind w:firstLine="420" w:firstLineChars="200"/>
        <w:rPr>
          <w:rFonts w:ascii="宋体"/>
          <w:color w:val="auto"/>
          <w:szCs w:val="28"/>
          <w:highlight w:val="none"/>
        </w:rPr>
      </w:pPr>
      <w:r>
        <w:rPr>
          <w:rFonts w:ascii="宋体" w:hAnsi="宋体"/>
          <w:color w:val="auto"/>
          <w:szCs w:val="28"/>
          <w:highlight w:val="none"/>
        </w:rPr>
        <w:t>4</w:t>
      </w:r>
      <w:r>
        <w:rPr>
          <w:rFonts w:ascii="宋体"/>
          <w:color w:val="auto"/>
          <w:szCs w:val="28"/>
          <w:highlight w:val="none"/>
        </w:rPr>
        <w:t>.</w:t>
      </w:r>
      <w:r>
        <w:rPr>
          <w:rFonts w:ascii="宋体" w:hAnsi="宋体"/>
          <w:color w:val="auto"/>
          <w:szCs w:val="28"/>
          <w:highlight w:val="none"/>
        </w:rPr>
        <w:t xml:space="preserve">3 </w:t>
      </w:r>
      <w:r>
        <w:rPr>
          <w:rFonts w:hint="eastAsia" w:ascii="宋体" w:hAnsi="宋体"/>
          <w:color w:val="auto"/>
          <w:szCs w:val="28"/>
          <w:highlight w:val="none"/>
        </w:rPr>
        <w:t>本责任书作为建设工程合同的组成部分，与建设工程合同具有同等法律效力。经双方签署后立即生效。</w:t>
      </w:r>
    </w:p>
    <w:p w14:paraId="0B234903">
      <w:pPr>
        <w:snapToGrid w:val="0"/>
        <w:spacing w:line="360" w:lineRule="auto"/>
        <w:ind w:firstLine="420" w:firstLineChars="200"/>
        <w:rPr>
          <w:rFonts w:ascii="宋体"/>
          <w:color w:val="auto"/>
          <w:szCs w:val="28"/>
          <w:highlight w:val="none"/>
        </w:rPr>
      </w:pPr>
      <w:bookmarkStart w:id="2147" w:name="_Toc480303507"/>
      <w:bookmarkStart w:id="2148" w:name="_Toc479505780"/>
      <w:bookmarkStart w:id="2149" w:name="_Toc477964636"/>
      <w:r>
        <w:rPr>
          <w:rFonts w:hint="eastAsia" w:ascii="宋体" w:hAnsi="宋体"/>
          <w:color w:val="auto"/>
          <w:szCs w:val="28"/>
          <w:highlight w:val="none"/>
        </w:rPr>
        <w:t>五、责任书有效期</w:t>
      </w:r>
      <w:bookmarkEnd w:id="2147"/>
      <w:bookmarkEnd w:id="2148"/>
      <w:bookmarkEnd w:id="2149"/>
    </w:p>
    <w:p w14:paraId="17071791">
      <w:pPr>
        <w:snapToGrid w:val="0"/>
        <w:spacing w:line="360" w:lineRule="auto"/>
        <w:ind w:firstLine="420" w:firstLineChars="200"/>
        <w:rPr>
          <w:rFonts w:ascii="宋体"/>
          <w:color w:val="auto"/>
          <w:szCs w:val="28"/>
          <w:highlight w:val="none"/>
        </w:rPr>
      </w:pPr>
      <w:r>
        <w:rPr>
          <w:rFonts w:hint="eastAsia" w:ascii="宋体" w:hAnsi="宋体"/>
          <w:color w:val="auto"/>
          <w:szCs w:val="28"/>
          <w:highlight w:val="none"/>
        </w:rPr>
        <w:t>本责任书的有效期为双方签署之日起至该工程项目竣工验收合格时止。</w:t>
      </w:r>
    </w:p>
    <w:p w14:paraId="0C0A05CA">
      <w:pPr>
        <w:snapToGrid w:val="0"/>
        <w:spacing w:line="360" w:lineRule="auto"/>
        <w:ind w:firstLine="420" w:firstLineChars="200"/>
        <w:rPr>
          <w:rFonts w:ascii="宋体"/>
          <w:color w:val="auto"/>
          <w:szCs w:val="28"/>
          <w:highlight w:val="none"/>
        </w:rPr>
      </w:pPr>
      <w:bookmarkStart w:id="2150" w:name="_Toc477964637"/>
      <w:bookmarkStart w:id="2151" w:name="_Toc479505781"/>
      <w:bookmarkStart w:id="2152" w:name="_Toc480303508"/>
      <w:r>
        <w:rPr>
          <w:rFonts w:hint="eastAsia" w:ascii="宋体" w:hAnsi="宋体"/>
          <w:color w:val="auto"/>
          <w:szCs w:val="28"/>
          <w:highlight w:val="none"/>
        </w:rPr>
        <w:t>六、责任书份数</w:t>
      </w:r>
      <w:bookmarkEnd w:id="2150"/>
      <w:bookmarkEnd w:id="2151"/>
      <w:bookmarkEnd w:id="2152"/>
    </w:p>
    <w:p w14:paraId="75CECF34">
      <w:pPr>
        <w:snapToGrid w:val="0"/>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本责任书一式二份，发包人</w:t>
      </w:r>
      <w:r>
        <w:rPr>
          <w:rFonts w:hint="eastAsia" w:ascii="宋体" w:hAnsi="宋体"/>
          <w:color w:val="auto"/>
          <w:szCs w:val="28"/>
          <w:highlight w:val="none"/>
          <w:lang w:eastAsia="zh-CN"/>
        </w:rPr>
        <w:t>、</w:t>
      </w:r>
      <w:r>
        <w:rPr>
          <w:rFonts w:hint="eastAsia" w:ascii="宋体" w:hAnsi="宋体"/>
          <w:color w:val="auto"/>
          <w:szCs w:val="28"/>
          <w:highlight w:val="none"/>
        </w:rPr>
        <w:t>承包人各执一份，具有同等效力。</w:t>
      </w:r>
    </w:p>
    <w:p w14:paraId="4E1EDEC3">
      <w:pPr>
        <w:pStyle w:val="249"/>
        <w:rPr>
          <w:rFonts w:hint="eastAsia"/>
          <w:highlight w:val="none"/>
        </w:rPr>
      </w:pPr>
    </w:p>
    <w:p w14:paraId="75F6A653">
      <w:pPr>
        <w:pStyle w:val="249"/>
        <w:rPr>
          <w:rFonts w:hint="eastAsia"/>
          <w:highlight w:val="none"/>
        </w:rPr>
      </w:pPr>
    </w:p>
    <w:p w14:paraId="7C9DDE1C">
      <w:pPr>
        <w:snapToGrid w:val="0"/>
        <w:spacing w:line="360" w:lineRule="auto"/>
        <w:rPr>
          <w:rFonts w:hint="default" w:ascii="宋体" w:hAnsi="宋体"/>
          <w:color w:val="000000"/>
          <w:sz w:val="21"/>
          <w:szCs w:val="21"/>
          <w:highlight w:val="none"/>
          <w:u w:val="single"/>
          <w:lang w:val="en-US" w:eastAsia="zh-CN"/>
        </w:rPr>
      </w:pPr>
      <w:r>
        <w:rPr>
          <w:rFonts w:hint="eastAsia" w:ascii="宋体" w:hAnsi="宋体"/>
          <w:color w:val="auto"/>
          <w:highlight w:val="none"/>
        </w:rPr>
        <w:t>发包人：</w:t>
      </w:r>
      <w:r>
        <w:rPr>
          <w:rFonts w:hint="eastAsia" w:ascii="宋体" w:hAnsi="宋体" w:cs="Arial"/>
          <w:color w:val="auto"/>
          <w:szCs w:val="21"/>
          <w:highlight w:val="none"/>
          <w:u w:val="single"/>
          <w:lang w:eastAsia="zh-CN"/>
        </w:rPr>
        <w:t>北京市昌平区延寿镇人民政府</w:t>
      </w:r>
      <w:r>
        <w:rPr>
          <w:rFonts w:ascii="宋体" w:hAnsi="宋体"/>
          <w:color w:val="auto"/>
          <w:highlight w:val="none"/>
        </w:rPr>
        <w:t xml:space="preserve">   </w:t>
      </w:r>
      <w:r>
        <w:rPr>
          <w:rFonts w:hint="eastAsia" w:ascii="宋体" w:hAnsi="宋体"/>
          <w:color w:val="auto"/>
          <w:highlight w:val="none"/>
        </w:rPr>
        <w:t>承包人：</w:t>
      </w:r>
      <w:r>
        <w:rPr>
          <w:rFonts w:hint="eastAsia" w:ascii="宋体" w:hAnsi="宋体" w:cs="Times New Roman"/>
          <w:szCs w:val="21"/>
          <w:highlight w:val="none"/>
          <w:lang w:val="en-US" w:eastAsia="zh-CN"/>
        </w:rPr>
        <w:t xml:space="preserve">                            </w:t>
      </w:r>
      <w:r>
        <w:rPr>
          <w:rFonts w:hint="eastAsia" w:ascii="宋体" w:hAnsi="宋体"/>
          <w:color w:val="000000"/>
          <w:sz w:val="21"/>
          <w:szCs w:val="21"/>
          <w:highlight w:val="none"/>
          <w:u w:val="single"/>
          <w:lang w:val="en-US" w:eastAsia="zh-CN"/>
        </w:rPr>
        <w:t xml:space="preserve">    </w:t>
      </w:r>
    </w:p>
    <w:p w14:paraId="6C40CE5B">
      <w:pPr>
        <w:snapToGrid w:val="0"/>
        <w:spacing w:line="360" w:lineRule="auto"/>
        <w:ind w:firstLine="630" w:firstLineChars="300"/>
        <w:rPr>
          <w:rFonts w:ascii="宋体"/>
          <w:color w:val="auto"/>
          <w:highlight w:val="none"/>
        </w:rPr>
      </w:pPr>
      <w:r>
        <w:rPr>
          <w:rFonts w:hint="eastAsia" w:ascii="宋体" w:hAnsi="宋体"/>
          <w:color w:val="auto"/>
          <w:highlight w:val="none"/>
        </w:rPr>
        <w:t>（公章）</w:t>
      </w:r>
      <w:r>
        <w:rPr>
          <w:rFonts w:hint="eastAsia" w:ascii="宋体" w:hAnsi="宋体"/>
          <w:color w:val="auto"/>
          <w:highlight w:val="none"/>
          <w:lang w:val="en-US" w:eastAsia="zh-CN"/>
        </w:rPr>
        <w:t xml:space="preserve">                             </w:t>
      </w:r>
      <w:r>
        <w:rPr>
          <w:rFonts w:hint="eastAsia" w:ascii="宋体" w:hAnsi="宋体"/>
          <w:color w:val="auto"/>
          <w:highlight w:val="none"/>
        </w:rPr>
        <w:t>（公章）</w:t>
      </w:r>
      <w:r>
        <w:rPr>
          <w:rFonts w:ascii="宋体" w:hAnsi="宋体"/>
          <w:color w:val="auto"/>
          <w:highlight w:val="none"/>
        </w:rPr>
        <w:t xml:space="preserve"> </w:t>
      </w:r>
    </w:p>
    <w:p w14:paraId="0C531303">
      <w:pPr>
        <w:snapToGrid w:val="0"/>
        <w:spacing w:line="360" w:lineRule="auto"/>
        <w:ind w:left="4830" w:hanging="4830" w:hangingChars="2300"/>
        <w:rPr>
          <w:rFonts w:hint="default" w:ascii="宋体" w:eastAsia="宋体"/>
          <w:color w:val="auto"/>
          <w:highlight w:val="none"/>
          <w:lang w:val="en-US" w:eastAsia="zh-CN"/>
        </w:rPr>
      </w:pPr>
      <w:r>
        <w:rPr>
          <w:rFonts w:hint="eastAsia" w:ascii="宋体" w:hAnsi="宋体"/>
          <w:color w:val="auto"/>
          <w:highlight w:val="none"/>
        </w:rPr>
        <w:t>法定地址：</w:t>
      </w:r>
      <w:r>
        <w:rPr>
          <w:rFonts w:hint="eastAsia" w:ascii="宋体" w:hAnsi="宋体" w:cs="Arial"/>
          <w:color w:val="auto"/>
          <w:szCs w:val="21"/>
          <w:highlight w:val="none"/>
          <w:u w:val="single"/>
          <w:lang w:val="zh-TW" w:eastAsia="zh-CN"/>
        </w:rPr>
        <w:t>北京市昌平区延寿镇北庄村</w:t>
      </w:r>
      <w:r>
        <w:rPr>
          <w:rFonts w:ascii="宋体" w:hAnsi="宋体"/>
          <w:color w:val="auto"/>
          <w:highlight w:val="none"/>
        </w:rPr>
        <w:t xml:space="preserve">    </w:t>
      </w:r>
      <w:r>
        <w:rPr>
          <w:rFonts w:hint="eastAsia" w:ascii="宋体" w:hAnsi="宋体"/>
          <w:color w:val="auto"/>
          <w:highlight w:val="none"/>
        </w:rPr>
        <w:t>法定地址：</w:t>
      </w:r>
      <w:r>
        <w:rPr>
          <w:rFonts w:hint="eastAsia" w:ascii="宋体" w:hAnsi="宋体" w:cs="Times New Roman"/>
          <w:szCs w:val="21"/>
          <w:highlight w:val="none"/>
          <w:u w:val="single"/>
          <w:lang w:val="en-US" w:eastAsia="zh-CN"/>
        </w:rPr>
        <w:t xml:space="preserve"> </w:t>
      </w:r>
      <w:r>
        <w:rPr>
          <w:rFonts w:hint="eastAsia" w:ascii="宋体" w:hAnsi="宋体"/>
          <w:color w:val="000000"/>
          <w:szCs w:val="21"/>
          <w:highlight w:val="none"/>
          <w:u w:val="single"/>
          <w:lang w:val="en-US" w:eastAsia="zh-CN"/>
        </w:rPr>
        <w:t xml:space="preserve">                    </w:t>
      </w:r>
    </w:p>
    <w:p w14:paraId="6A454118">
      <w:pPr>
        <w:snapToGrid w:val="0"/>
        <w:spacing w:line="360" w:lineRule="auto"/>
        <w:rPr>
          <w:rFonts w:ascii="宋体"/>
          <w:color w:val="auto"/>
          <w:highlight w:val="none"/>
        </w:rPr>
      </w:pPr>
      <w:r>
        <w:rPr>
          <w:rFonts w:hint="eastAsia" w:ascii="宋体" w:hAnsi="宋体"/>
          <w:color w:val="auto"/>
          <w:highlight w:val="none"/>
        </w:rPr>
        <w:t>法定代表人或其</w:t>
      </w:r>
      <w:r>
        <w:rPr>
          <w:rFonts w:ascii="宋体" w:hAnsi="宋体"/>
          <w:color w:val="auto"/>
          <w:highlight w:val="none"/>
        </w:rPr>
        <w:t xml:space="preserve">                       </w:t>
      </w:r>
      <w:r>
        <w:rPr>
          <w:rFonts w:hint="eastAsia" w:ascii="宋体" w:hAnsi="宋体"/>
          <w:color w:val="auto"/>
          <w:highlight w:val="none"/>
        </w:rPr>
        <w:t>法定代表人或其</w:t>
      </w:r>
    </w:p>
    <w:p w14:paraId="28E52332">
      <w:pPr>
        <w:snapToGrid w:val="0"/>
        <w:spacing w:line="360" w:lineRule="auto"/>
        <w:rPr>
          <w:rFonts w:ascii="宋体"/>
          <w:color w:val="auto"/>
          <w:highlight w:val="none"/>
        </w:rPr>
      </w:pP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r>
        <w:rPr>
          <w:rFonts w:ascii="宋体" w:hAnsi="宋体"/>
          <w:color w:val="auto"/>
          <w:highlight w:val="none"/>
        </w:rPr>
        <w:t xml:space="preserve">  </w:t>
      </w:r>
      <w:r>
        <w:rPr>
          <w:rFonts w:hint="eastAsia" w:ascii="宋体" w:hAnsi="宋体"/>
          <w:color w:val="auto"/>
          <w:highlight w:val="none"/>
        </w:rPr>
        <w:t>委托代理人：</w:t>
      </w:r>
      <w:r>
        <w:rPr>
          <w:rFonts w:ascii="宋体" w:hAnsi="宋体"/>
          <w:color w:val="auto"/>
          <w:highlight w:val="none"/>
          <w:u w:val="single"/>
        </w:rPr>
        <w:t xml:space="preserve">                       </w:t>
      </w:r>
      <w:r>
        <w:rPr>
          <w:rFonts w:hint="eastAsia" w:ascii="宋体" w:hAnsi="宋体"/>
          <w:color w:val="auto"/>
          <w:highlight w:val="none"/>
        </w:rPr>
        <w:t>（签字）</w:t>
      </w:r>
    </w:p>
    <w:p w14:paraId="5CEB16CB">
      <w:pPr>
        <w:snapToGrid w:val="0"/>
        <w:spacing w:line="360" w:lineRule="auto"/>
        <w:rPr>
          <w:rFonts w:ascii="宋体"/>
          <w:color w:val="auto"/>
          <w:highlight w:val="none"/>
        </w:rPr>
      </w:pPr>
      <w:r>
        <w:rPr>
          <w:rFonts w:hint="eastAsia" w:ascii="宋体" w:hAnsi="宋体"/>
          <w:color w:val="auto"/>
          <w:highlight w:val="none"/>
        </w:rPr>
        <w:t>电话：</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电话：</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132128DA">
      <w:pPr>
        <w:snapToGrid w:val="0"/>
        <w:spacing w:line="360" w:lineRule="auto"/>
        <w:rPr>
          <w:rFonts w:ascii="宋体"/>
          <w:color w:val="auto"/>
          <w:highlight w:val="none"/>
        </w:rPr>
      </w:pPr>
      <w:r>
        <w:rPr>
          <w:rFonts w:hint="eastAsia" w:ascii="宋体" w:hAnsi="宋体"/>
          <w:color w:val="auto"/>
          <w:highlight w:val="none"/>
        </w:rPr>
        <w:t>传真：</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传真：</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156C494D">
      <w:pPr>
        <w:snapToGrid w:val="0"/>
        <w:spacing w:line="360" w:lineRule="auto"/>
        <w:rPr>
          <w:rFonts w:ascii="宋体"/>
          <w:color w:val="auto"/>
          <w:highlight w:val="none"/>
        </w:rPr>
      </w:pPr>
      <w:r>
        <w:rPr>
          <w:rFonts w:hint="eastAsia" w:ascii="宋体" w:hAnsi="宋体"/>
          <w:color w:val="auto"/>
          <w:highlight w:val="none"/>
        </w:rPr>
        <w:t>电子邮箱：</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电子邮箱：</w:t>
      </w:r>
      <w:r>
        <w:rPr>
          <w:rFonts w:hint="eastAsia" w:ascii="宋体" w:hAnsi="宋体"/>
          <w:color w:val="auto"/>
          <w:highlight w:val="non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cs="Times New Roman"/>
          <w:szCs w:val="21"/>
          <w:highlight w:val="none"/>
          <w:u w:val="single"/>
          <w:lang w:val="en-US" w:eastAsia="zh-CN"/>
        </w:rPr>
        <w:t xml:space="preserve"> </w:t>
      </w:r>
      <w:r>
        <w:rPr>
          <w:rFonts w:ascii="宋体" w:hAnsi="宋体"/>
          <w:color w:val="auto"/>
          <w:highlight w:val="none"/>
          <w:u w:val="single"/>
        </w:rPr>
        <w:t xml:space="preserve">         </w:t>
      </w:r>
    </w:p>
    <w:p w14:paraId="4ECCFC6D">
      <w:pPr>
        <w:snapToGrid w:val="0"/>
        <w:spacing w:line="360" w:lineRule="auto"/>
        <w:ind w:left="5040" w:hanging="5040" w:hangingChars="2400"/>
        <w:rPr>
          <w:rFonts w:ascii="宋体"/>
          <w:color w:val="auto"/>
          <w:highlight w:val="none"/>
        </w:rPr>
      </w:pPr>
      <w:r>
        <w:rPr>
          <w:rFonts w:hint="eastAsia" w:ascii="宋体" w:hAnsi="宋体"/>
          <w:color w:val="auto"/>
          <w:highlight w:val="none"/>
        </w:rPr>
        <w:t>开户银行：</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开户银行：</w:t>
      </w:r>
      <w:r>
        <w:rPr>
          <w:rFonts w:hint="eastAsia" w:ascii="宋体" w:hAnsi="宋体" w:cs="Times New Roman"/>
          <w:highlight w:val="none"/>
          <w:u w:val="single"/>
          <w:lang w:val="en-US" w:eastAsia="zh-CN"/>
        </w:rPr>
        <w:t xml:space="preserve"> </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p>
    <w:p w14:paraId="1C868499">
      <w:pPr>
        <w:snapToGrid w:val="0"/>
        <w:spacing w:line="360" w:lineRule="auto"/>
        <w:rPr>
          <w:rFonts w:ascii="宋体"/>
          <w:color w:val="auto"/>
          <w:highlight w:val="none"/>
        </w:rPr>
      </w:pPr>
      <w:r>
        <w:rPr>
          <w:rFonts w:hint="eastAsia" w:ascii="宋体" w:hAnsi="宋体"/>
          <w:color w:val="auto"/>
          <w:highlight w:val="none"/>
          <w:lang w:eastAsia="zh-CN"/>
        </w:rPr>
        <w:t>账号</w:t>
      </w:r>
      <w:r>
        <w:rPr>
          <w:rFonts w:hint="eastAsia" w:ascii="宋体" w:hAnsi="宋体"/>
          <w:color w:val="auto"/>
          <w:highlight w:val="none"/>
        </w:rPr>
        <w:t>：</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lang w:eastAsia="zh-CN"/>
        </w:rPr>
        <w:t>账号</w:t>
      </w:r>
      <w:r>
        <w:rPr>
          <w:rFonts w:hint="eastAsia" w:ascii="宋体" w:hAnsi="宋体"/>
          <w:color w:val="auto"/>
          <w:highlight w:val="none"/>
        </w:rPr>
        <w:t>：</w:t>
      </w:r>
      <w:r>
        <w:rPr>
          <w:rFonts w:hint="eastAsia" w:ascii="宋体"/>
          <w:color w:val="000000"/>
          <w:szCs w:val="21"/>
          <w:highlight w:val="none"/>
          <w:u w:val="single"/>
          <w:lang w:val="en-US" w:eastAsia="zh-CN"/>
        </w:rPr>
        <w:t xml:space="preserve">        </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02D8D05C">
      <w:pPr>
        <w:snapToGrid w:val="0"/>
        <w:spacing w:line="360" w:lineRule="auto"/>
        <w:rPr>
          <w:rFonts w:ascii="宋体"/>
          <w:color w:val="auto"/>
          <w:highlight w:val="none"/>
        </w:rPr>
      </w:pP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102200</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邮政编码：</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ascii="宋体" w:hAnsi="宋体"/>
          <w:color w:val="auto"/>
          <w:highlight w:val="none"/>
          <w:u w:val="single"/>
        </w:rPr>
        <w:t xml:space="preserve"> </w:t>
      </w:r>
    </w:p>
    <w:p w14:paraId="4CCF2C38">
      <w:pPr>
        <w:snapToGrid w:val="0"/>
        <w:spacing w:line="360" w:lineRule="auto"/>
        <w:rPr>
          <w:rFonts w:ascii="宋体"/>
          <w:color w:val="auto"/>
          <w:highlight w:val="none"/>
        </w:rPr>
      </w:pPr>
    </w:p>
    <w:p w14:paraId="26FD819B">
      <w:pPr>
        <w:pStyle w:val="41"/>
        <w:rPr>
          <w:highlight w:val="none"/>
        </w:rPr>
        <w:sectPr>
          <w:headerReference r:id="rId15" w:type="default"/>
          <w:footerReference r:id="rId16" w:type="default"/>
          <w:pgSz w:w="11907" w:h="16839"/>
          <w:pgMar w:top="1418" w:right="1417" w:bottom="1418" w:left="1418" w:header="850" w:footer="992" w:gutter="0"/>
          <w:pgNumType w:fmt="decimal"/>
          <w:cols w:space="720" w:num="1"/>
          <w:docGrid w:linePitch="286" w:charSpace="0"/>
        </w:sectPr>
      </w:pPr>
    </w:p>
    <w:p w14:paraId="7416135F">
      <w:pPr>
        <w:spacing w:line="360" w:lineRule="auto"/>
        <w:jc w:val="center"/>
        <w:outlineLvl w:val="0"/>
        <w:rPr>
          <w:rFonts w:eastAsiaTheme="minorEastAsia"/>
          <w:b/>
          <w:sz w:val="36"/>
          <w:szCs w:val="36"/>
        </w:rPr>
      </w:pPr>
      <w:r>
        <w:rPr>
          <w:rFonts w:eastAsiaTheme="minorEastAsia"/>
          <w:b/>
          <w:sz w:val="36"/>
          <w:szCs w:val="36"/>
        </w:rPr>
        <w:t>第六章   响应文件格式</w:t>
      </w:r>
      <w:bookmarkEnd w:id="674"/>
    </w:p>
    <w:p w14:paraId="243CD27B">
      <w:pPr>
        <w:widowControl/>
        <w:spacing w:line="360" w:lineRule="auto"/>
        <w:jc w:val="left"/>
        <w:rPr>
          <w:rFonts w:eastAsiaTheme="minorEastAsia"/>
          <w:b/>
          <w:sz w:val="24"/>
        </w:rPr>
      </w:pPr>
    </w:p>
    <w:p w14:paraId="12F40B7D">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769706F">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6FB53FC">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2D19C39">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E737B63">
      <w:pPr>
        <w:tabs>
          <w:tab w:val="left" w:pos="900"/>
          <w:tab w:val="left" w:pos="1980"/>
        </w:tabs>
        <w:snapToGrid w:val="0"/>
        <w:spacing w:line="360" w:lineRule="auto"/>
        <w:ind w:left="142"/>
        <w:rPr>
          <w:rFonts w:eastAsiaTheme="minorEastAsia"/>
          <w:sz w:val="24"/>
        </w:rPr>
      </w:pPr>
    </w:p>
    <w:p w14:paraId="23EF9A1D">
      <w:pPr>
        <w:widowControl/>
        <w:jc w:val="left"/>
        <w:rPr>
          <w:rFonts w:eastAsiaTheme="minorEastAsia"/>
          <w:sz w:val="24"/>
        </w:rPr>
      </w:pPr>
      <w:r>
        <w:rPr>
          <w:rFonts w:eastAsiaTheme="minorEastAsia"/>
          <w:sz w:val="24"/>
        </w:rPr>
        <w:br w:type="page"/>
      </w:r>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53F4A70D">
      <w:pPr>
        <w:rPr>
          <w:rFonts w:eastAsiaTheme="minorEastAsia"/>
          <w:b/>
          <w:spacing w:val="20"/>
          <w:szCs w:val="21"/>
        </w:rPr>
      </w:pPr>
    </w:p>
    <w:p w14:paraId="6BB97144">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443B2BD9">
      <w:pPr>
        <w:jc w:val="center"/>
        <w:rPr>
          <w:rFonts w:eastAsiaTheme="minorEastAsia"/>
          <w:szCs w:val="21"/>
        </w:rPr>
      </w:pPr>
    </w:p>
    <w:p w14:paraId="2D0DFE46">
      <w:pPr>
        <w:jc w:val="center"/>
        <w:rPr>
          <w:rFonts w:eastAsiaTheme="minorEastAsia"/>
          <w:b/>
          <w:spacing w:val="60"/>
          <w:sz w:val="84"/>
          <w:szCs w:val="84"/>
        </w:rPr>
      </w:pPr>
      <w:r>
        <w:rPr>
          <w:rFonts w:eastAsiaTheme="minorEastAsia"/>
          <w:b/>
          <w:spacing w:val="60"/>
          <w:sz w:val="84"/>
          <w:szCs w:val="84"/>
        </w:rPr>
        <w:t>响 应 文 件</w:t>
      </w:r>
    </w:p>
    <w:p w14:paraId="0CE08020">
      <w:pPr>
        <w:jc w:val="center"/>
        <w:rPr>
          <w:rFonts w:eastAsiaTheme="minorEastAsia"/>
          <w:b/>
          <w:spacing w:val="60"/>
          <w:sz w:val="52"/>
          <w:szCs w:val="52"/>
        </w:rPr>
      </w:pPr>
    </w:p>
    <w:p w14:paraId="1BA0040C">
      <w:pPr>
        <w:ind w:firstLine="542" w:firstLineChars="150"/>
        <w:rPr>
          <w:rFonts w:eastAsiaTheme="minorEastAsia"/>
          <w:b/>
          <w:spacing w:val="20"/>
          <w:sz w:val="32"/>
          <w:szCs w:val="32"/>
        </w:rPr>
      </w:pPr>
    </w:p>
    <w:p w14:paraId="64C81194">
      <w:pPr>
        <w:ind w:firstLine="542" w:firstLineChars="150"/>
        <w:rPr>
          <w:rFonts w:eastAsiaTheme="minorEastAsia"/>
          <w:b/>
          <w:spacing w:val="20"/>
          <w:sz w:val="32"/>
          <w:szCs w:val="32"/>
        </w:rPr>
      </w:pPr>
    </w:p>
    <w:p w14:paraId="6A575712">
      <w:pPr>
        <w:ind w:firstLine="542" w:firstLineChars="150"/>
        <w:rPr>
          <w:rFonts w:eastAsiaTheme="minorEastAsia"/>
          <w:b/>
          <w:spacing w:val="20"/>
          <w:sz w:val="32"/>
          <w:szCs w:val="32"/>
        </w:rPr>
      </w:pPr>
      <w:r>
        <w:rPr>
          <w:rFonts w:eastAsiaTheme="minorEastAsia"/>
          <w:b/>
          <w:spacing w:val="20"/>
          <w:sz w:val="32"/>
          <w:szCs w:val="32"/>
        </w:rPr>
        <w:t>项目名称:</w:t>
      </w:r>
    </w:p>
    <w:p w14:paraId="33B4347E">
      <w:pPr>
        <w:ind w:firstLine="542" w:firstLineChars="150"/>
        <w:rPr>
          <w:rFonts w:eastAsiaTheme="minorEastAsia"/>
          <w:b/>
          <w:spacing w:val="20"/>
          <w:sz w:val="32"/>
          <w:szCs w:val="32"/>
        </w:rPr>
      </w:pPr>
      <w:r>
        <w:rPr>
          <w:rFonts w:eastAsiaTheme="minorEastAsia"/>
          <w:b/>
          <w:spacing w:val="20"/>
          <w:sz w:val="32"/>
          <w:szCs w:val="32"/>
        </w:rPr>
        <w:t>项目编号：</w:t>
      </w:r>
    </w:p>
    <w:p w14:paraId="234E8F48">
      <w:pPr>
        <w:ind w:firstLine="542" w:firstLineChars="150"/>
        <w:rPr>
          <w:rFonts w:eastAsiaTheme="minorEastAsia"/>
          <w:b/>
          <w:spacing w:val="20"/>
          <w:sz w:val="32"/>
          <w:szCs w:val="32"/>
        </w:rPr>
      </w:pPr>
    </w:p>
    <w:p w14:paraId="17DB77E7">
      <w:pPr>
        <w:ind w:firstLine="542" w:firstLineChars="150"/>
        <w:rPr>
          <w:rFonts w:eastAsiaTheme="minorEastAsia"/>
          <w:b/>
          <w:spacing w:val="20"/>
          <w:sz w:val="32"/>
          <w:szCs w:val="32"/>
        </w:rPr>
      </w:pPr>
    </w:p>
    <w:p w14:paraId="59939BFA">
      <w:pPr>
        <w:jc w:val="center"/>
        <w:rPr>
          <w:rFonts w:eastAsiaTheme="minorEastAsia"/>
          <w:b/>
          <w:sz w:val="32"/>
          <w:szCs w:val="32"/>
        </w:rPr>
      </w:pPr>
    </w:p>
    <w:p w14:paraId="0ED3B577">
      <w:pPr>
        <w:jc w:val="center"/>
        <w:rPr>
          <w:rFonts w:eastAsiaTheme="minorEastAsia"/>
          <w:b/>
          <w:sz w:val="32"/>
          <w:szCs w:val="32"/>
        </w:rPr>
      </w:pPr>
    </w:p>
    <w:p w14:paraId="6AE5626E">
      <w:pPr>
        <w:jc w:val="center"/>
        <w:rPr>
          <w:rFonts w:eastAsiaTheme="minorEastAsia"/>
          <w:b/>
          <w:sz w:val="32"/>
          <w:szCs w:val="32"/>
        </w:rPr>
      </w:pPr>
    </w:p>
    <w:p w14:paraId="7CFE0BBF">
      <w:pPr>
        <w:jc w:val="center"/>
        <w:rPr>
          <w:rFonts w:eastAsiaTheme="minorEastAsia"/>
          <w:b/>
          <w:spacing w:val="20"/>
          <w:sz w:val="32"/>
          <w:szCs w:val="32"/>
        </w:rPr>
      </w:pPr>
    </w:p>
    <w:p w14:paraId="39158CE8">
      <w:pPr>
        <w:jc w:val="center"/>
        <w:rPr>
          <w:rFonts w:eastAsiaTheme="minorEastAsia"/>
          <w:b/>
          <w:spacing w:val="20"/>
          <w:sz w:val="32"/>
          <w:szCs w:val="32"/>
        </w:rPr>
      </w:pPr>
    </w:p>
    <w:p w14:paraId="0ACB7720">
      <w:pPr>
        <w:jc w:val="center"/>
        <w:rPr>
          <w:rFonts w:eastAsiaTheme="minorEastAsia"/>
          <w:b/>
          <w:spacing w:val="20"/>
          <w:sz w:val="32"/>
          <w:szCs w:val="32"/>
        </w:rPr>
      </w:pPr>
    </w:p>
    <w:p w14:paraId="3AA5CE1B">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1B2F4E19">
      <w:pPr>
        <w:jc w:val="center"/>
        <w:rPr>
          <w:rFonts w:eastAsiaTheme="minorEastAsia"/>
          <w:b/>
          <w:sz w:val="32"/>
          <w:szCs w:val="32"/>
        </w:rPr>
      </w:pPr>
    </w:p>
    <w:p w14:paraId="00D3D440">
      <w:pPr>
        <w:rPr>
          <w:rFonts w:eastAsiaTheme="minorEastAsia"/>
          <w:b/>
        </w:rPr>
      </w:pPr>
      <w:r>
        <w:rPr>
          <w:rFonts w:eastAsiaTheme="minorEastAsia"/>
          <w:b/>
          <w:spacing w:val="20"/>
          <w:sz w:val="32"/>
          <w:szCs w:val="32"/>
        </w:rPr>
        <w:br w:type="page"/>
      </w:r>
    </w:p>
    <w:p w14:paraId="74E8A299">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59825372">
      <w:pPr>
        <w:spacing w:line="360" w:lineRule="auto"/>
        <w:outlineLvl w:val="2"/>
        <w:rPr>
          <w:rFonts w:eastAsiaTheme="minorEastAsia"/>
          <w:color w:val="000000"/>
          <w:sz w:val="24"/>
        </w:rPr>
      </w:pPr>
      <w:r>
        <w:rPr>
          <w:rFonts w:eastAsiaTheme="minorEastAsia"/>
          <w:color w:val="000000"/>
          <w:sz w:val="24"/>
        </w:rPr>
        <w:t>1-1 营业执照等证明文件</w:t>
      </w:r>
    </w:p>
    <w:p w14:paraId="6687C7AC">
      <w:pPr>
        <w:tabs>
          <w:tab w:val="left" w:pos="1080"/>
        </w:tabs>
        <w:snapToGrid w:val="0"/>
        <w:rPr>
          <w:rFonts w:eastAsiaTheme="minorEastAsia"/>
          <w:sz w:val="24"/>
        </w:rPr>
      </w:pPr>
    </w:p>
    <w:p w14:paraId="2930F3F5">
      <w:pPr>
        <w:widowControl/>
        <w:jc w:val="left"/>
        <w:rPr>
          <w:rFonts w:eastAsiaTheme="minorEastAsia"/>
          <w:color w:val="000000"/>
          <w:sz w:val="24"/>
          <w:szCs w:val="20"/>
        </w:rPr>
      </w:pPr>
      <w:r>
        <w:rPr>
          <w:rFonts w:eastAsiaTheme="minorEastAsia"/>
          <w:color w:val="000000"/>
          <w:sz w:val="24"/>
        </w:rPr>
        <w:br w:type="page"/>
      </w:r>
    </w:p>
    <w:p w14:paraId="560BD8AB">
      <w:pPr>
        <w:pStyle w:val="4"/>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33011018">
      <w:pPr>
        <w:jc w:val="center"/>
        <w:rPr>
          <w:b/>
          <w:color w:val="000000"/>
          <w:sz w:val="36"/>
          <w:szCs w:val="36"/>
        </w:rPr>
      </w:pPr>
      <w:r>
        <w:rPr>
          <w:b/>
          <w:color w:val="000000"/>
          <w:sz w:val="36"/>
          <w:szCs w:val="36"/>
        </w:rPr>
        <w:t>供应商资格声明书</w:t>
      </w:r>
    </w:p>
    <w:p w14:paraId="4A387BF7">
      <w:pPr>
        <w:tabs>
          <w:tab w:val="left" w:pos="5580"/>
        </w:tabs>
        <w:spacing w:line="360" w:lineRule="auto"/>
        <w:rPr>
          <w:rFonts w:eastAsiaTheme="minorEastAsia"/>
          <w:sz w:val="24"/>
        </w:rPr>
      </w:pPr>
    </w:p>
    <w:p w14:paraId="22AA0A4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058A50C">
      <w:pPr>
        <w:spacing w:line="360" w:lineRule="auto"/>
        <w:ind w:firstLine="480" w:firstLineChars="200"/>
        <w:rPr>
          <w:rFonts w:eastAsiaTheme="minorEastAsia"/>
          <w:sz w:val="24"/>
        </w:rPr>
      </w:pPr>
      <w:r>
        <w:rPr>
          <w:rFonts w:eastAsiaTheme="minorEastAsia"/>
          <w:sz w:val="24"/>
        </w:rPr>
        <w:t>在参与本次项目磋商中，我单位承诺：</w:t>
      </w:r>
    </w:p>
    <w:p w14:paraId="13C0AF1B">
      <w:pPr>
        <w:numPr>
          <w:ilvl w:val="0"/>
          <w:numId w:val="16"/>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620A4818">
      <w:pPr>
        <w:numPr>
          <w:ilvl w:val="0"/>
          <w:numId w:val="16"/>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3F7C9DC8">
      <w:pPr>
        <w:numPr>
          <w:ilvl w:val="0"/>
          <w:numId w:val="16"/>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2ABDCC10">
      <w:pPr>
        <w:numPr>
          <w:ilvl w:val="0"/>
          <w:numId w:val="16"/>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pPr>
        <w:numPr>
          <w:ilvl w:val="0"/>
          <w:numId w:val="16"/>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120A711D">
      <w:pPr>
        <w:numPr>
          <w:ilvl w:val="0"/>
          <w:numId w:val="16"/>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5A23350">
      <w:pPr>
        <w:numPr>
          <w:ilvl w:val="0"/>
          <w:numId w:val="16"/>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2223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974C5F">
            <w:pPr>
              <w:jc w:val="center"/>
              <w:rPr>
                <w:rFonts w:eastAsiaTheme="minorEastAsia"/>
                <w:sz w:val="24"/>
              </w:rPr>
            </w:pPr>
            <w:r>
              <w:rPr>
                <w:rFonts w:eastAsiaTheme="minorEastAsia"/>
                <w:sz w:val="24"/>
              </w:rPr>
              <w:t>序号</w:t>
            </w:r>
          </w:p>
        </w:tc>
        <w:tc>
          <w:tcPr>
            <w:tcW w:w="4574" w:type="dxa"/>
            <w:vAlign w:val="center"/>
          </w:tcPr>
          <w:p w14:paraId="095996DB">
            <w:pPr>
              <w:jc w:val="center"/>
              <w:rPr>
                <w:rFonts w:eastAsiaTheme="minorEastAsia"/>
                <w:sz w:val="24"/>
              </w:rPr>
            </w:pPr>
            <w:r>
              <w:rPr>
                <w:rFonts w:eastAsiaTheme="minorEastAsia"/>
                <w:sz w:val="24"/>
              </w:rPr>
              <w:t>单位名称</w:t>
            </w:r>
          </w:p>
        </w:tc>
        <w:tc>
          <w:tcPr>
            <w:tcW w:w="2976" w:type="dxa"/>
            <w:vAlign w:val="center"/>
          </w:tcPr>
          <w:p w14:paraId="4CFD07D4">
            <w:pPr>
              <w:jc w:val="center"/>
              <w:rPr>
                <w:rFonts w:eastAsiaTheme="minorEastAsia"/>
                <w:sz w:val="24"/>
              </w:rPr>
            </w:pPr>
            <w:r>
              <w:rPr>
                <w:rFonts w:eastAsiaTheme="minorEastAsia"/>
                <w:sz w:val="24"/>
              </w:rPr>
              <w:t>相互关系</w:t>
            </w:r>
          </w:p>
        </w:tc>
      </w:tr>
      <w:tr w14:paraId="6481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0B0CF2">
            <w:pPr>
              <w:jc w:val="center"/>
              <w:rPr>
                <w:rFonts w:eastAsiaTheme="minorEastAsia"/>
                <w:sz w:val="24"/>
              </w:rPr>
            </w:pPr>
            <w:r>
              <w:rPr>
                <w:rFonts w:eastAsiaTheme="minorEastAsia"/>
                <w:sz w:val="24"/>
              </w:rPr>
              <w:t>1</w:t>
            </w:r>
          </w:p>
        </w:tc>
        <w:tc>
          <w:tcPr>
            <w:tcW w:w="4574" w:type="dxa"/>
            <w:vAlign w:val="center"/>
          </w:tcPr>
          <w:p w14:paraId="40FC5FC1">
            <w:pPr>
              <w:jc w:val="center"/>
              <w:rPr>
                <w:rFonts w:eastAsiaTheme="minorEastAsia"/>
                <w:sz w:val="24"/>
              </w:rPr>
            </w:pPr>
          </w:p>
        </w:tc>
        <w:tc>
          <w:tcPr>
            <w:tcW w:w="2976" w:type="dxa"/>
            <w:vAlign w:val="center"/>
          </w:tcPr>
          <w:p w14:paraId="2CF23FAA">
            <w:pPr>
              <w:jc w:val="center"/>
              <w:rPr>
                <w:rFonts w:eastAsiaTheme="minorEastAsia"/>
                <w:sz w:val="24"/>
              </w:rPr>
            </w:pPr>
          </w:p>
        </w:tc>
      </w:tr>
      <w:tr w14:paraId="5F8C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DCAE02">
            <w:pPr>
              <w:jc w:val="center"/>
              <w:rPr>
                <w:rFonts w:eastAsiaTheme="minorEastAsia"/>
                <w:sz w:val="24"/>
              </w:rPr>
            </w:pPr>
            <w:r>
              <w:rPr>
                <w:rFonts w:eastAsiaTheme="minorEastAsia"/>
                <w:sz w:val="24"/>
              </w:rPr>
              <w:t>2</w:t>
            </w:r>
          </w:p>
        </w:tc>
        <w:tc>
          <w:tcPr>
            <w:tcW w:w="4574" w:type="dxa"/>
            <w:vAlign w:val="center"/>
          </w:tcPr>
          <w:p w14:paraId="780C6F38">
            <w:pPr>
              <w:jc w:val="center"/>
              <w:rPr>
                <w:rFonts w:eastAsiaTheme="minorEastAsia"/>
                <w:sz w:val="24"/>
              </w:rPr>
            </w:pPr>
          </w:p>
        </w:tc>
        <w:tc>
          <w:tcPr>
            <w:tcW w:w="2976" w:type="dxa"/>
            <w:vAlign w:val="center"/>
          </w:tcPr>
          <w:p w14:paraId="1013B826">
            <w:pPr>
              <w:jc w:val="center"/>
              <w:rPr>
                <w:rFonts w:eastAsiaTheme="minorEastAsia"/>
                <w:sz w:val="24"/>
              </w:rPr>
            </w:pPr>
          </w:p>
        </w:tc>
      </w:tr>
      <w:tr w14:paraId="5162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7C34CB">
            <w:pPr>
              <w:jc w:val="center"/>
              <w:rPr>
                <w:rFonts w:eastAsiaTheme="minorEastAsia"/>
                <w:sz w:val="24"/>
              </w:rPr>
            </w:pPr>
            <w:r>
              <w:rPr>
                <w:rFonts w:eastAsiaTheme="minorEastAsia"/>
                <w:sz w:val="24"/>
              </w:rPr>
              <w:t>…</w:t>
            </w:r>
          </w:p>
        </w:tc>
        <w:tc>
          <w:tcPr>
            <w:tcW w:w="4574" w:type="dxa"/>
            <w:vAlign w:val="center"/>
          </w:tcPr>
          <w:p w14:paraId="6F021CD8">
            <w:pPr>
              <w:jc w:val="center"/>
              <w:rPr>
                <w:rFonts w:eastAsiaTheme="minorEastAsia"/>
                <w:sz w:val="24"/>
              </w:rPr>
            </w:pPr>
          </w:p>
        </w:tc>
        <w:tc>
          <w:tcPr>
            <w:tcW w:w="2976" w:type="dxa"/>
            <w:vAlign w:val="center"/>
          </w:tcPr>
          <w:p w14:paraId="3F198726">
            <w:pPr>
              <w:jc w:val="center"/>
              <w:rPr>
                <w:rFonts w:eastAsiaTheme="minorEastAsia"/>
                <w:sz w:val="24"/>
              </w:rPr>
            </w:pPr>
          </w:p>
        </w:tc>
      </w:tr>
    </w:tbl>
    <w:p w14:paraId="4FA9F90F">
      <w:pPr>
        <w:rPr>
          <w:rFonts w:eastAsiaTheme="minorEastAsia"/>
        </w:rPr>
      </w:pPr>
    </w:p>
    <w:p w14:paraId="46C4976E">
      <w:pPr>
        <w:ind w:firstLine="480" w:firstLineChars="200"/>
        <w:rPr>
          <w:rFonts w:eastAsiaTheme="minorEastAsia"/>
          <w:sz w:val="24"/>
          <w:szCs w:val="22"/>
        </w:rPr>
      </w:pPr>
      <w:r>
        <w:rPr>
          <w:rFonts w:eastAsiaTheme="minorEastAsia"/>
          <w:sz w:val="24"/>
        </w:rPr>
        <w:t>上述声明真实有效，否则我方负全部责任。</w:t>
      </w:r>
    </w:p>
    <w:p w14:paraId="0E1FCB0F">
      <w:pPr>
        <w:spacing w:line="360" w:lineRule="auto"/>
        <w:rPr>
          <w:rFonts w:eastAsiaTheme="minorEastAsia"/>
          <w:sz w:val="24"/>
        </w:rPr>
      </w:pPr>
    </w:p>
    <w:p w14:paraId="2BF95DA3">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ED3D8EB">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188A0BDC">
      <w:pPr>
        <w:spacing w:line="360" w:lineRule="auto"/>
        <w:rPr>
          <w:rFonts w:eastAsiaTheme="minorEastAsia"/>
          <w:sz w:val="24"/>
        </w:rPr>
      </w:pPr>
      <w:r>
        <w:rPr>
          <w:sz w:val="24"/>
        </w:rPr>
        <w:t>说明：供应商承诺不实的，依据《政府采购法》第七十七条“提供虚假材料谋取中标、成交的”有关规定予以处理。</w:t>
      </w:r>
    </w:p>
    <w:p w14:paraId="02F5C201">
      <w:pPr>
        <w:tabs>
          <w:tab w:val="left" w:pos="5580"/>
        </w:tabs>
        <w:spacing w:line="360" w:lineRule="auto"/>
        <w:rPr>
          <w:rFonts w:eastAsiaTheme="minorEastAsia"/>
          <w:sz w:val="24"/>
        </w:rPr>
        <w:sectPr>
          <w:headerReference r:id="rId19" w:type="first"/>
          <w:footerReference r:id="rId22" w:type="first"/>
          <w:headerReference r:id="rId17" w:type="default"/>
          <w:footerReference r:id="rId20" w:type="default"/>
          <w:headerReference r:id="rId18" w:type="even"/>
          <w:footerReference r:id="rId21" w:type="even"/>
          <w:pgSz w:w="11907" w:h="16840"/>
          <w:pgMar w:top="1418" w:right="1134" w:bottom="1418" w:left="1701" w:header="851" w:footer="851" w:gutter="0"/>
          <w:cols w:space="720" w:num="1"/>
          <w:docGrid w:linePitch="462" w:charSpace="0"/>
        </w:sectPr>
      </w:pPr>
    </w:p>
    <w:p w14:paraId="292053FE">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5842F085">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7BACB782">
      <w:pPr>
        <w:tabs>
          <w:tab w:val="left" w:pos="5580"/>
        </w:tabs>
        <w:spacing w:line="360" w:lineRule="auto"/>
        <w:rPr>
          <w:rFonts w:eastAsiaTheme="minorEastAsia"/>
          <w:sz w:val="24"/>
        </w:rPr>
      </w:pPr>
      <w:r>
        <w:rPr>
          <w:rFonts w:eastAsiaTheme="minorEastAsia"/>
          <w:sz w:val="24"/>
        </w:rPr>
        <w:t>说明：</w:t>
      </w:r>
    </w:p>
    <w:p w14:paraId="2C09008C">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7066BA52">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46084CC">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614F69F">
      <w:pPr>
        <w:tabs>
          <w:tab w:val="left" w:pos="5580"/>
        </w:tabs>
        <w:spacing w:line="360" w:lineRule="auto"/>
        <w:rPr>
          <w:sz w:val="24"/>
        </w:rPr>
      </w:pPr>
      <w:r>
        <w:rPr>
          <w:rFonts w:eastAsiaTheme="minorEastAsia"/>
          <w:sz w:val="24"/>
        </w:rPr>
        <w:t>（4）</w:t>
      </w:r>
      <w:r>
        <w:rPr>
          <w:sz w:val="24"/>
        </w:rPr>
        <w:t>中小企业声明函填写注意事项</w:t>
      </w:r>
    </w:p>
    <w:p w14:paraId="2B701AFF">
      <w:pPr>
        <w:tabs>
          <w:tab w:val="left" w:pos="5580"/>
        </w:tabs>
        <w:spacing w:line="360" w:lineRule="auto"/>
        <w:rPr>
          <w:sz w:val="24"/>
        </w:rPr>
      </w:pPr>
      <w:r>
        <w:rPr>
          <w:sz w:val="24"/>
        </w:rPr>
        <w:t>1）《中小企业声明函》由参加政府采购活动的供应商出具。联合体参与的，《中小企业声明函》可由牵头人出具。</w:t>
      </w:r>
    </w:p>
    <w:p w14:paraId="06C87AFD">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68F40E">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59657272">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13867AF1">
      <w:pPr>
        <w:pStyle w:val="5"/>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039EA76E">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7889DE68">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3E79AB18">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5CA57A67">
      <w:pPr>
        <w:spacing w:line="360" w:lineRule="auto"/>
        <w:ind w:firstLine="504"/>
        <w:rPr>
          <w:rFonts w:eastAsiaTheme="minorEastAsia"/>
          <w:spacing w:val="6"/>
          <w:sz w:val="24"/>
        </w:rPr>
      </w:pPr>
    </w:p>
    <w:p w14:paraId="5355B495">
      <w:pPr>
        <w:spacing w:line="360" w:lineRule="auto"/>
        <w:ind w:firstLine="504"/>
        <w:rPr>
          <w:rFonts w:eastAsiaTheme="minorEastAsia"/>
          <w:spacing w:val="6"/>
          <w:sz w:val="24"/>
        </w:rPr>
      </w:pPr>
      <w:r>
        <w:rPr>
          <w:rFonts w:eastAsiaTheme="minorEastAsia"/>
          <w:spacing w:val="6"/>
          <w:sz w:val="24"/>
        </w:rPr>
        <w:t>……</w:t>
      </w:r>
    </w:p>
    <w:p w14:paraId="19FD98F0">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0E0FCBD">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24CB86D">
      <w:pPr>
        <w:spacing w:line="360" w:lineRule="auto"/>
        <w:ind w:right="360" w:firstLine="480"/>
        <w:jc w:val="right"/>
        <w:rPr>
          <w:rFonts w:eastAsiaTheme="minorEastAsia"/>
          <w:color w:val="000000"/>
          <w:sz w:val="24"/>
        </w:rPr>
      </w:pPr>
    </w:p>
    <w:p w14:paraId="144BF84E">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1817F7C">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200485E6">
      <w:pPr>
        <w:adjustRightInd w:val="0"/>
        <w:snapToGrid w:val="0"/>
        <w:jc w:val="left"/>
        <w:rPr>
          <w:rFonts w:eastAsiaTheme="minorEastAsia"/>
          <w:color w:val="000000"/>
          <w:sz w:val="24"/>
          <w:szCs w:val="21"/>
        </w:rPr>
      </w:pPr>
    </w:p>
    <w:p w14:paraId="689197D4">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AA44C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7A8099">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C1B22FB">
      <w:pPr>
        <w:adjustRightInd w:val="0"/>
        <w:snapToGrid w:val="0"/>
        <w:jc w:val="left"/>
        <w:rPr>
          <w:rFonts w:eastAsiaTheme="minorEastAsia"/>
          <w:color w:val="000000"/>
          <w:szCs w:val="21"/>
          <w:vertAlign w:val="superscript"/>
        </w:rPr>
      </w:pPr>
    </w:p>
    <w:p w14:paraId="6819E720">
      <w:pPr>
        <w:spacing w:line="360" w:lineRule="auto"/>
        <w:ind w:right="360" w:firstLine="480"/>
        <w:jc w:val="right"/>
        <w:rPr>
          <w:rFonts w:eastAsiaTheme="minorEastAsia"/>
          <w:color w:val="000000"/>
          <w:sz w:val="24"/>
        </w:rPr>
      </w:pPr>
    </w:p>
    <w:p w14:paraId="44C49EDA">
      <w:pPr>
        <w:spacing w:line="360" w:lineRule="auto"/>
        <w:ind w:right="360" w:firstLine="480"/>
        <w:jc w:val="right"/>
        <w:rPr>
          <w:rFonts w:eastAsiaTheme="minorEastAsia"/>
          <w:color w:val="000000"/>
          <w:sz w:val="24"/>
        </w:rPr>
      </w:pPr>
    </w:p>
    <w:p w14:paraId="460EDE12">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436A4051">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5E322CDB">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45EFA7B3">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6014536">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9C8F186">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3CE67167">
      <w:pPr>
        <w:spacing w:line="588" w:lineRule="exact"/>
        <w:ind w:firstLine="504" w:firstLineChars="200"/>
        <w:rPr>
          <w:rFonts w:eastAsiaTheme="minorEastAsia"/>
          <w:spacing w:val="6"/>
          <w:sz w:val="24"/>
        </w:rPr>
      </w:pPr>
    </w:p>
    <w:p w14:paraId="6F996072">
      <w:pPr>
        <w:spacing w:line="588" w:lineRule="exact"/>
        <w:ind w:firstLine="504" w:firstLineChars="200"/>
        <w:rPr>
          <w:rFonts w:eastAsiaTheme="minorEastAsia"/>
          <w:spacing w:val="6"/>
          <w:sz w:val="24"/>
        </w:rPr>
      </w:pPr>
    </w:p>
    <w:p w14:paraId="6A15E20F">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648E41F9">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4085D635">
      <w:pPr>
        <w:widowControl/>
        <w:jc w:val="left"/>
        <w:rPr>
          <w:rFonts w:eastAsiaTheme="minorEastAsia"/>
          <w:color w:val="000000"/>
          <w:sz w:val="24"/>
          <w:szCs w:val="20"/>
        </w:rPr>
      </w:pPr>
      <w:r>
        <w:rPr>
          <w:rFonts w:eastAsiaTheme="minorEastAsia"/>
          <w:color w:val="000000"/>
          <w:sz w:val="24"/>
          <w:szCs w:val="20"/>
        </w:rPr>
        <w:br w:type="page"/>
      </w:r>
    </w:p>
    <w:p w14:paraId="6977868B">
      <w:pPr>
        <w:pStyle w:val="5"/>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0AF42C04">
      <w:pPr>
        <w:tabs>
          <w:tab w:val="left" w:pos="5580"/>
        </w:tabs>
        <w:spacing w:line="360" w:lineRule="auto"/>
        <w:rPr>
          <w:rFonts w:eastAsiaTheme="minorEastAsia"/>
          <w:sz w:val="24"/>
        </w:rPr>
      </w:pPr>
      <w:r>
        <w:rPr>
          <w:rFonts w:eastAsiaTheme="minorEastAsia"/>
          <w:sz w:val="24"/>
        </w:rPr>
        <w:t>说明：</w:t>
      </w:r>
    </w:p>
    <w:p w14:paraId="1DBF9C22">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2843B440">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60EE0CDD">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4E03D130">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597445B9">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297173CA">
      <w:pPr>
        <w:autoSpaceDE w:val="0"/>
        <w:autoSpaceDN w:val="0"/>
        <w:adjustRightInd w:val="0"/>
        <w:rPr>
          <w:rFonts w:eastAsiaTheme="minorEastAsia"/>
          <w:color w:val="000000"/>
          <w:sz w:val="30"/>
          <w:szCs w:val="30"/>
        </w:rPr>
      </w:pPr>
    </w:p>
    <w:p w14:paraId="0354D1EB">
      <w:pPr>
        <w:widowControl/>
        <w:jc w:val="left"/>
        <w:rPr>
          <w:rFonts w:eastAsiaTheme="minorEastAsia"/>
          <w:b/>
          <w:color w:val="000000"/>
          <w:sz w:val="36"/>
          <w:szCs w:val="36"/>
        </w:rPr>
      </w:pPr>
      <w:r>
        <w:rPr>
          <w:rFonts w:eastAsiaTheme="minorEastAsia"/>
          <w:b/>
          <w:color w:val="000000"/>
          <w:sz w:val="36"/>
          <w:szCs w:val="36"/>
        </w:rPr>
        <w:br w:type="page"/>
      </w:r>
    </w:p>
    <w:p w14:paraId="0073D87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7A3D243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60B748BF">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A75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F9DBCE8">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164FD1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A4DB83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12A0E88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20649A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644831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0D666AD1">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2D1C9CC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B6873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1E6ECA96">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B5EA26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8890EF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D0F6FB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343CDD53">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E0394F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4A8B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ED13D7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1C2FAFD6">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C7961A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A7CA09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7A45DB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47AC4711">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72F2E3E">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80DDCE9">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E0AF10">
            <w:pPr>
              <w:pStyle w:val="246"/>
              <w:jc w:val="center"/>
              <w:rPr>
                <w:rFonts w:ascii="Times New Roman" w:hAnsi="Times New Roman" w:cs="Times New Roman" w:eastAsiaTheme="minorEastAsia"/>
                <w:sz w:val="30"/>
                <w:lang w:eastAsia="zh-CN"/>
              </w:rPr>
            </w:pPr>
          </w:p>
        </w:tc>
      </w:tr>
      <w:tr w14:paraId="19683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7D4CE5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9FB9A2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4564BEC">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325EB5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DAB709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750AC16B">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8AB160A">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6795454">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7A4D40F">
            <w:pPr>
              <w:pStyle w:val="246"/>
              <w:jc w:val="center"/>
              <w:rPr>
                <w:rFonts w:ascii="Times New Roman" w:hAnsi="Times New Roman" w:cs="Times New Roman" w:eastAsiaTheme="minorEastAsia"/>
                <w:sz w:val="30"/>
                <w:lang w:eastAsia="zh-CN"/>
              </w:rPr>
            </w:pPr>
          </w:p>
        </w:tc>
      </w:tr>
      <w:tr w14:paraId="42DE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D18507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38D311FC">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465D1F5">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1345C94">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0D0528F">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02FC2C04">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F3156DE">
            <w:pPr>
              <w:pStyle w:val="246"/>
              <w:jc w:val="center"/>
              <w:rPr>
                <w:rFonts w:ascii="Times New Roman" w:hAnsi="Times New Roman" w:cs="Times New Roman" w:eastAsiaTheme="minorEastAsia"/>
                <w:sz w:val="30"/>
              </w:rPr>
            </w:pPr>
          </w:p>
        </w:tc>
      </w:tr>
      <w:tr w14:paraId="7E20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65198C68">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202C5643">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FF61211">
            <w:pPr>
              <w:pStyle w:val="246"/>
              <w:jc w:val="center"/>
              <w:rPr>
                <w:rFonts w:ascii="Times New Roman" w:hAnsi="Times New Roman" w:cs="Times New Roman" w:eastAsiaTheme="minorEastAsia"/>
                <w:sz w:val="30"/>
              </w:rPr>
            </w:pPr>
          </w:p>
        </w:tc>
      </w:tr>
    </w:tbl>
    <w:p w14:paraId="16444B52">
      <w:pPr>
        <w:adjustRightInd w:val="0"/>
        <w:snapToGrid w:val="0"/>
        <w:spacing w:line="360" w:lineRule="auto"/>
        <w:jc w:val="left"/>
        <w:rPr>
          <w:rFonts w:eastAsiaTheme="minorEastAsia"/>
          <w:sz w:val="24"/>
        </w:rPr>
      </w:pPr>
    </w:p>
    <w:p w14:paraId="1533F421">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5294845">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550A57EA">
      <w:pPr>
        <w:adjustRightInd w:val="0"/>
        <w:snapToGrid w:val="0"/>
        <w:spacing w:line="360" w:lineRule="auto"/>
        <w:jc w:val="left"/>
        <w:rPr>
          <w:rFonts w:eastAsiaTheme="minorEastAsia"/>
          <w:sz w:val="24"/>
        </w:rPr>
      </w:pPr>
    </w:p>
    <w:p w14:paraId="08DB7EA8">
      <w:pPr>
        <w:adjustRightInd w:val="0"/>
        <w:snapToGrid w:val="0"/>
        <w:spacing w:line="360" w:lineRule="auto"/>
        <w:jc w:val="left"/>
        <w:rPr>
          <w:rFonts w:eastAsiaTheme="minorEastAsia"/>
          <w:sz w:val="24"/>
        </w:rPr>
      </w:pPr>
      <w:r>
        <w:rPr>
          <w:rFonts w:eastAsiaTheme="minorEastAsia"/>
          <w:sz w:val="24"/>
        </w:rPr>
        <w:t>注：</w:t>
      </w:r>
    </w:p>
    <w:p w14:paraId="4F92A8CE">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7B4D750D">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1B8123C0">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65A3DD4E">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5A6DD9FE">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4350CB40">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0D923842">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3D8505EE">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33416004">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6E0D4A26">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0EE285B3">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232FDB1A">
      <w:pPr>
        <w:spacing w:line="360" w:lineRule="auto"/>
        <w:ind w:firstLine="471"/>
        <w:rPr>
          <w:rFonts w:eastAsiaTheme="minorEastAsia"/>
          <w:b/>
          <w:color w:val="000000"/>
          <w:sz w:val="24"/>
        </w:rPr>
      </w:pPr>
    </w:p>
    <w:p w14:paraId="7DF53B53">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4F0A28D4">
      <w:pPr>
        <w:spacing w:line="360" w:lineRule="auto"/>
        <w:ind w:left="480"/>
        <w:jc w:val="right"/>
        <w:rPr>
          <w:rFonts w:eastAsiaTheme="minorEastAsia"/>
          <w:color w:val="000000"/>
          <w:sz w:val="24"/>
        </w:rPr>
      </w:pPr>
    </w:p>
    <w:p w14:paraId="53CD3B76">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036EEDAB">
      <w:pPr>
        <w:tabs>
          <w:tab w:val="left" w:pos="8280"/>
        </w:tabs>
        <w:spacing w:line="360" w:lineRule="auto"/>
        <w:ind w:firstLine="480"/>
        <w:rPr>
          <w:rFonts w:eastAsiaTheme="minorEastAsia"/>
          <w:color w:val="000000"/>
          <w:sz w:val="24"/>
        </w:rPr>
      </w:pPr>
    </w:p>
    <w:p w14:paraId="0F4F66FD">
      <w:pPr>
        <w:tabs>
          <w:tab w:val="left" w:pos="8280"/>
        </w:tabs>
        <w:spacing w:line="360" w:lineRule="auto"/>
        <w:rPr>
          <w:rFonts w:eastAsiaTheme="minorEastAsia"/>
          <w:color w:val="000000"/>
          <w:sz w:val="24"/>
        </w:rPr>
      </w:pPr>
      <w:r>
        <w:rPr>
          <w:rFonts w:eastAsiaTheme="minorEastAsia"/>
          <w:color w:val="000000"/>
          <w:sz w:val="24"/>
        </w:rPr>
        <w:t>注：</w:t>
      </w:r>
    </w:p>
    <w:p w14:paraId="44912EF8">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51A07DC1">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30C09DB4">
      <w:pPr>
        <w:tabs>
          <w:tab w:val="left" w:pos="8280"/>
        </w:tabs>
        <w:spacing w:line="360" w:lineRule="auto"/>
        <w:rPr>
          <w:rFonts w:eastAsiaTheme="minorEastAsia"/>
          <w:color w:val="000000"/>
          <w:sz w:val="24"/>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p>
    <w:p w14:paraId="13121BAD">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6DC6D6A1">
      <w:pPr>
        <w:widowControl/>
        <w:jc w:val="left"/>
        <w:rPr>
          <w:rFonts w:eastAsiaTheme="minorEastAsia"/>
          <w:sz w:val="24"/>
        </w:rPr>
      </w:pPr>
    </w:p>
    <w:p w14:paraId="0024DC39">
      <w:pPr>
        <w:widowControl/>
        <w:jc w:val="left"/>
        <w:rPr>
          <w:rFonts w:eastAsiaTheme="minorEastAsia"/>
          <w:sz w:val="24"/>
        </w:rPr>
      </w:pPr>
      <w:r>
        <w:rPr>
          <w:rFonts w:eastAsiaTheme="minorEastAsia"/>
          <w:sz w:val="24"/>
        </w:rPr>
        <w:br w:type="page"/>
      </w:r>
    </w:p>
    <w:p w14:paraId="1B9B0BFA">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21212264">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0F312C3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6C796888">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08AC189B">
      <w:pPr>
        <w:numPr>
          <w:ilvl w:val="0"/>
          <w:numId w:val="17"/>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D3894B3">
      <w:pPr>
        <w:numPr>
          <w:ilvl w:val="0"/>
          <w:numId w:val="17"/>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0EAD7F2E">
      <w:pPr>
        <w:numPr>
          <w:ilvl w:val="0"/>
          <w:numId w:val="17"/>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0F4CD9F">
      <w:pPr>
        <w:numPr>
          <w:ilvl w:val="0"/>
          <w:numId w:val="17"/>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3A81124C">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4A7B6AB">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3117756B">
      <w:pPr>
        <w:numPr>
          <w:ilvl w:val="0"/>
          <w:numId w:val="17"/>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6C0065A8">
      <w:pPr>
        <w:numPr>
          <w:ilvl w:val="0"/>
          <w:numId w:val="17"/>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6648CB6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11B0F5E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4CD7836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2D9CFE2">
      <w:pPr>
        <w:numPr>
          <w:ilvl w:val="0"/>
          <w:numId w:val="17"/>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7908B810">
      <w:pPr>
        <w:numPr>
          <w:ilvl w:val="0"/>
          <w:numId w:val="17"/>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046CC023">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15B57544">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D605D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24F13493">
      <w:pPr>
        <w:spacing w:line="360" w:lineRule="auto"/>
        <w:ind w:firstLine="471"/>
        <w:rPr>
          <w:color w:val="000000"/>
          <w:sz w:val="24"/>
        </w:rPr>
      </w:pPr>
    </w:p>
    <w:p w14:paraId="547AC324">
      <w:pPr>
        <w:spacing w:line="360" w:lineRule="auto"/>
        <w:ind w:firstLine="471"/>
        <w:rPr>
          <w:color w:val="000000"/>
          <w:sz w:val="24"/>
        </w:rPr>
      </w:pPr>
    </w:p>
    <w:p w14:paraId="049D30D2">
      <w:pPr>
        <w:spacing w:line="360" w:lineRule="auto"/>
        <w:ind w:firstLine="471"/>
        <w:rPr>
          <w:color w:val="000000"/>
          <w:sz w:val="24"/>
        </w:rPr>
      </w:pPr>
      <w:r>
        <w:rPr>
          <w:color w:val="000000"/>
          <w:sz w:val="24"/>
        </w:rPr>
        <w:t>联合体成员名称：</w:t>
      </w:r>
      <w:r>
        <w:rPr>
          <w:color w:val="000000"/>
          <w:sz w:val="24"/>
          <w:szCs w:val="20"/>
        </w:rPr>
        <w:t>______</w:t>
      </w:r>
    </w:p>
    <w:p w14:paraId="2B072287">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6FC0B1E2">
      <w:pPr>
        <w:spacing w:line="360" w:lineRule="auto"/>
        <w:ind w:left="480"/>
        <w:jc w:val="right"/>
        <w:rPr>
          <w:rFonts w:eastAsiaTheme="minorEastAsia"/>
          <w:color w:val="000000"/>
          <w:sz w:val="24"/>
        </w:rPr>
      </w:pPr>
    </w:p>
    <w:p w14:paraId="4E751739">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7D08C3BD">
      <w:pPr>
        <w:spacing w:line="360" w:lineRule="auto"/>
        <w:ind w:left="480"/>
        <w:jc w:val="right"/>
        <w:rPr>
          <w:rFonts w:eastAsiaTheme="minorEastAsia"/>
          <w:b/>
          <w:color w:val="000000"/>
          <w:sz w:val="24"/>
        </w:rPr>
      </w:pPr>
    </w:p>
    <w:p w14:paraId="544A284A">
      <w:pPr>
        <w:tabs>
          <w:tab w:val="left" w:pos="8280"/>
        </w:tabs>
        <w:spacing w:line="360" w:lineRule="auto"/>
        <w:ind w:firstLine="480"/>
        <w:rPr>
          <w:rFonts w:eastAsiaTheme="minorEastAsia"/>
          <w:color w:val="000000"/>
          <w:sz w:val="24"/>
        </w:rPr>
      </w:pPr>
    </w:p>
    <w:p w14:paraId="3BF877D3">
      <w:pPr>
        <w:tabs>
          <w:tab w:val="left" w:pos="8280"/>
        </w:tabs>
        <w:spacing w:line="360" w:lineRule="auto"/>
        <w:ind w:firstLine="480"/>
        <w:rPr>
          <w:rFonts w:eastAsiaTheme="minorEastAsia"/>
          <w:color w:val="000000"/>
          <w:sz w:val="24"/>
        </w:rPr>
      </w:pPr>
    </w:p>
    <w:p w14:paraId="28535900">
      <w:pPr>
        <w:spacing w:line="360" w:lineRule="auto"/>
        <w:ind w:left="719" w:leftChars="228" w:hanging="240" w:hangingChars="100"/>
        <w:rPr>
          <w:rFonts w:eastAsiaTheme="minorEastAsia"/>
          <w:color w:val="000000"/>
          <w:sz w:val="24"/>
        </w:rPr>
      </w:pPr>
      <w:r>
        <w:rPr>
          <w:rFonts w:eastAsiaTheme="minorEastAsia"/>
          <w:color w:val="000000"/>
          <w:sz w:val="24"/>
        </w:rPr>
        <w:t>注：</w:t>
      </w:r>
    </w:p>
    <w:p w14:paraId="208A307D">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60C5F470">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0AD7344F">
      <w:pPr>
        <w:widowControl/>
        <w:jc w:val="left"/>
        <w:rPr>
          <w:rFonts w:eastAsiaTheme="minorEastAsia"/>
          <w:sz w:val="24"/>
        </w:rPr>
      </w:pPr>
      <w:r>
        <w:rPr>
          <w:rFonts w:eastAsiaTheme="minorEastAsia"/>
          <w:sz w:val="24"/>
        </w:rPr>
        <w:br w:type="page"/>
      </w:r>
    </w:p>
    <w:p w14:paraId="7CFE7165">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6B571094">
      <w:pPr>
        <w:tabs>
          <w:tab w:val="left" w:pos="5580"/>
        </w:tabs>
        <w:spacing w:line="360" w:lineRule="auto"/>
        <w:rPr>
          <w:rFonts w:eastAsiaTheme="minorEastAsia"/>
          <w:sz w:val="24"/>
        </w:rPr>
      </w:pPr>
    </w:p>
    <w:p w14:paraId="0623E313">
      <w:pPr>
        <w:widowControl/>
        <w:jc w:val="left"/>
        <w:rPr>
          <w:rFonts w:eastAsiaTheme="minorEastAsia"/>
          <w:sz w:val="24"/>
          <w:szCs w:val="20"/>
        </w:rPr>
      </w:pPr>
      <w:r>
        <w:rPr>
          <w:rFonts w:eastAsiaTheme="minorEastAsia"/>
          <w:sz w:val="24"/>
          <w:szCs w:val="20"/>
        </w:rPr>
        <w:br w:type="page"/>
      </w:r>
    </w:p>
    <w:p w14:paraId="12DBDD8F">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29CAF332">
      <w:pPr>
        <w:widowControl/>
        <w:jc w:val="left"/>
        <w:rPr>
          <w:rFonts w:eastAsiaTheme="minorEastAsia"/>
          <w:kern w:val="0"/>
          <w:sz w:val="24"/>
          <w:szCs w:val="20"/>
        </w:rPr>
      </w:pPr>
      <w:r>
        <w:rPr>
          <w:rFonts w:eastAsiaTheme="minorEastAsia"/>
          <w:b/>
          <w:sz w:val="24"/>
        </w:rPr>
        <w:br w:type="page"/>
      </w:r>
    </w:p>
    <w:p w14:paraId="46774BB8">
      <w:pPr>
        <w:tabs>
          <w:tab w:val="left" w:pos="360"/>
        </w:tabs>
        <w:snapToGrid w:val="0"/>
        <w:spacing w:line="360" w:lineRule="auto"/>
        <w:outlineLvl w:val="1"/>
        <w:rPr>
          <w:rFonts w:eastAsiaTheme="minorEastAsia"/>
          <w:sz w:val="24"/>
        </w:rPr>
      </w:pPr>
      <w:bookmarkStart w:id="2153" w:name="_Hlt520274065"/>
      <w:bookmarkEnd w:id="2153"/>
      <w:bookmarkStart w:id="2154" w:name="_Hlt520274121"/>
      <w:bookmarkEnd w:id="2154"/>
      <w:bookmarkStart w:id="2155" w:name="_Hlt520355504"/>
      <w:bookmarkEnd w:id="2155"/>
      <w:bookmarkStart w:id="2156" w:name="_Hlt520271212"/>
      <w:bookmarkEnd w:id="2156"/>
      <w:bookmarkStart w:id="2157" w:name="_Hlt520274407"/>
      <w:bookmarkEnd w:id="2157"/>
      <w:bookmarkStart w:id="2158" w:name="_Hlt520273711"/>
      <w:bookmarkEnd w:id="2158"/>
      <w:bookmarkStart w:id="2159" w:name="_Hlt520350918"/>
      <w:bookmarkEnd w:id="2159"/>
      <w:bookmarkStart w:id="2160" w:name="_Hlt520343000"/>
      <w:bookmarkEnd w:id="2160"/>
      <w:bookmarkStart w:id="2161" w:name="_Hlt520274393"/>
      <w:bookmarkEnd w:id="2161"/>
      <w:bookmarkStart w:id="2162" w:name="_Hlt520343392"/>
      <w:bookmarkEnd w:id="2162"/>
      <w:bookmarkStart w:id="2163" w:name="_Ref467988698"/>
      <w:bookmarkStart w:id="2164" w:name="_Toc480942349"/>
      <w:bookmarkStart w:id="2165" w:name="_Toc226309800"/>
      <w:bookmarkStart w:id="2166" w:name="_Toc520356217"/>
      <w:bookmarkStart w:id="2167" w:name="_Toc226965746"/>
      <w:bookmarkStart w:id="2168" w:name="_Toc127151556"/>
      <w:bookmarkStart w:id="2169" w:name="_Toc150774761"/>
      <w:bookmarkStart w:id="2170" w:name="_Toc226965829"/>
      <w:bookmarkStart w:id="2171" w:name="_Toc195842921"/>
      <w:bookmarkStart w:id="2172" w:name="_Toc142311058"/>
      <w:bookmarkStart w:id="2173" w:name="_Toc150480794"/>
      <w:bookmarkStart w:id="2174" w:name="_Toc226337252"/>
      <w:r>
        <w:rPr>
          <w:rFonts w:eastAsiaTheme="minorEastAsia"/>
          <w:sz w:val="24"/>
        </w:rPr>
        <w:t xml:space="preserve">5  </w:t>
      </w:r>
      <w:bookmarkEnd w:id="2163"/>
      <w:bookmarkEnd w:id="2164"/>
      <w:r>
        <w:rPr>
          <w:rFonts w:eastAsiaTheme="minorEastAsia"/>
          <w:sz w:val="24"/>
        </w:rPr>
        <w:t>响应书</w:t>
      </w:r>
      <w:bookmarkEnd w:id="2165"/>
      <w:bookmarkEnd w:id="2166"/>
      <w:bookmarkEnd w:id="2167"/>
      <w:bookmarkEnd w:id="2168"/>
      <w:bookmarkEnd w:id="2169"/>
      <w:bookmarkEnd w:id="2170"/>
      <w:bookmarkEnd w:id="2171"/>
      <w:bookmarkEnd w:id="2172"/>
      <w:bookmarkEnd w:id="2173"/>
      <w:bookmarkEnd w:id="2174"/>
      <w:r>
        <w:rPr>
          <w:rFonts w:eastAsiaTheme="minorEastAsia"/>
          <w:sz w:val="24"/>
        </w:rPr>
        <w:t>（实质性格式）</w:t>
      </w:r>
    </w:p>
    <w:p w14:paraId="69A0A397">
      <w:pPr>
        <w:tabs>
          <w:tab w:val="left" w:pos="5580"/>
        </w:tabs>
        <w:spacing w:line="360" w:lineRule="auto"/>
        <w:rPr>
          <w:rFonts w:eastAsiaTheme="minorEastAsia"/>
          <w:color w:val="000000"/>
          <w:sz w:val="24"/>
        </w:rPr>
      </w:pPr>
    </w:p>
    <w:p w14:paraId="52B0B836">
      <w:pPr>
        <w:spacing w:line="360" w:lineRule="auto"/>
        <w:jc w:val="center"/>
        <w:rPr>
          <w:rFonts w:eastAsiaTheme="minorEastAsia"/>
          <w:b/>
          <w:color w:val="000000"/>
          <w:sz w:val="36"/>
          <w:szCs w:val="36"/>
        </w:rPr>
      </w:pPr>
      <w:r>
        <w:rPr>
          <w:rFonts w:eastAsiaTheme="minorEastAsia"/>
          <w:b/>
          <w:color w:val="000000"/>
          <w:sz w:val="36"/>
          <w:szCs w:val="36"/>
        </w:rPr>
        <w:t>响应书</w:t>
      </w:r>
    </w:p>
    <w:p w14:paraId="6097E015">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3D7C781F">
      <w:pPr>
        <w:tabs>
          <w:tab w:val="left" w:pos="5580"/>
        </w:tabs>
        <w:spacing w:line="360" w:lineRule="auto"/>
        <w:rPr>
          <w:rFonts w:eastAsiaTheme="minorEastAsia"/>
          <w:color w:val="000000"/>
          <w:sz w:val="24"/>
          <w:szCs w:val="20"/>
        </w:rPr>
      </w:pPr>
    </w:p>
    <w:p w14:paraId="6B1905B7">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39FD301F">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412BEBCE">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4D020FCF">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63254719">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28256E30">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3F00F4B0">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22B7E832">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04537AFE">
      <w:pPr>
        <w:tabs>
          <w:tab w:val="left" w:pos="5580"/>
        </w:tabs>
        <w:spacing w:line="360" w:lineRule="auto"/>
        <w:ind w:left="420"/>
        <w:rPr>
          <w:rFonts w:eastAsiaTheme="minorEastAsia"/>
          <w:color w:val="000000"/>
          <w:sz w:val="24"/>
          <w:szCs w:val="20"/>
        </w:rPr>
      </w:pPr>
    </w:p>
    <w:p w14:paraId="11A217ED">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127C94AD">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50605F74">
      <w:pPr>
        <w:tabs>
          <w:tab w:val="left" w:pos="5580"/>
        </w:tabs>
        <w:spacing w:line="360" w:lineRule="auto"/>
        <w:ind w:left="420"/>
        <w:rPr>
          <w:rFonts w:eastAsiaTheme="minorEastAsia"/>
          <w:color w:val="000000"/>
          <w:sz w:val="24"/>
          <w:szCs w:val="20"/>
        </w:rPr>
      </w:pPr>
    </w:p>
    <w:p w14:paraId="5D1DF59A">
      <w:pPr>
        <w:tabs>
          <w:tab w:val="left" w:pos="5580"/>
        </w:tabs>
        <w:spacing w:line="360" w:lineRule="auto"/>
        <w:ind w:left="420"/>
        <w:rPr>
          <w:rFonts w:eastAsiaTheme="minorEastAsia"/>
          <w:color w:val="000000"/>
          <w:sz w:val="24"/>
          <w:szCs w:val="20"/>
        </w:rPr>
      </w:pPr>
    </w:p>
    <w:p w14:paraId="3BF5231B">
      <w:pPr>
        <w:tabs>
          <w:tab w:val="left" w:pos="5580"/>
        </w:tabs>
        <w:spacing w:line="360" w:lineRule="auto"/>
        <w:ind w:left="420"/>
        <w:rPr>
          <w:rFonts w:eastAsiaTheme="minorEastAsia"/>
          <w:color w:val="000000"/>
          <w:sz w:val="24"/>
          <w:szCs w:val="20"/>
        </w:rPr>
      </w:pPr>
    </w:p>
    <w:p w14:paraId="04D1BFA1">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4A0B627">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7478AC0A">
      <w:pPr>
        <w:tabs>
          <w:tab w:val="left" w:pos="5580"/>
        </w:tabs>
        <w:spacing w:line="360" w:lineRule="auto"/>
        <w:ind w:left="420"/>
        <w:jc w:val="left"/>
        <w:rPr>
          <w:rFonts w:eastAsiaTheme="minorEastAsia"/>
          <w:color w:val="000000"/>
          <w:sz w:val="24"/>
          <w:szCs w:val="20"/>
        </w:rPr>
      </w:pPr>
    </w:p>
    <w:p w14:paraId="546CEC79">
      <w:pPr>
        <w:widowControl/>
        <w:jc w:val="left"/>
        <w:rPr>
          <w:rFonts w:eastAsiaTheme="minorEastAsia"/>
          <w:b/>
          <w:color w:val="000000"/>
          <w:sz w:val="24"/>
          <w:szCs w:val="20"/>
        </w:rPr>
      </w:pPr>
      <w:r>
        <w:rPr>
          <w:rFonts w:eastAsiaTheme="minorEastAsia"/>
          <w:b/>
          <w:color w:val="000000"/>
          <w:sz w:val="24"/>
          <w:szCs w:val="20"/>
        </w:rPr>
        <w:br w:type="page"/>
      </w:r>
    </w:p>
    <w:p w14:paraId="6E14AF97">
      <w:pPr>
        <w:tabs>
          <w:tab w:val="left" w:pos="360"/>
        </w:tabs>
        <w:snapToGrid w:val="0"/>
        <w:spacing w:line="360" w:lineRule="auto"/>
        <w:outlineLvl w:val="1"/>
        <w:rPr>
          <w:rFonts w:eastAsiaTheme="minorEastAsia"/>
          <w:sz w:val="24"/>
        </w:rPr>
      </w:pPr>
      <w:bookmarkStart w:id="2175" w:name="_Hlt520356243"/>
      <w:bookmarkEnd w:id="2175"/>
      <w:bookmarkStart w:id="2176" w:name="_Hlt520355938"/>
      <w:bookmarkEnd w:id="2176"/>
      <w:bookmarkStart w:id="2177" w:name="_Toc226337253"/>
      <w:bookmarkStart w:id="2178" w:name="_Toc127151557"/>
      <w:bookmarkStart w:id="2179" w:name="_Toc265228395"/>
      <w:bookmarkStart w:id="2180" w:name="_Toc305158825"/>
      <w:bookmarkStart w:id="2181" w:name="_Ref467988705"/>
      <w:bookmarkStart w:id="2182" w:name="_Toc480942350"/>
      <w:bookmarkStart w:id="2183" w:name="_Toc142311059"/>
      <w:bookmarkStart w:id="2184" w:name="_Toc305158899"/>
      <w:bookmarkStart w:id="2185" w:name="_Toc226309801"/>
      <w:bookmarkStart w:id="2186" w:name="_Toc520356218"/>
      <w:bookmarkStart w:id="2187" w:name="_Toc226965830"/>
      <w:bookmarkStart w:id="2188" w:name="_Toc264969247"/>
      <w:bookmarkStart w:id="2189" w:name="_Toc226965747"/>
      <w:bookmarkStart w:id="2190" w:name="_Toc150480795"/>
      <w:bookmarkStart w:id="2191" w:name="_Toc195842922"/>
      <w:bookmarkStart w:id="2192" w:name="_Toc150774762"/>
      <w:r>
        <w:rPr>
          <w:rFonts w:eastAsiaTheme="minorEastAsia"/>
          <w:sz w:val="24"/>
        </w:rPr>
        <w:t>6  授权委托书（实质性格式）</w:t>
      </w:r>
    </w:p>
    <w:p w14:paraId="2AA135A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63A3CFC9">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1E673CD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7996EB3C">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2DCB4DCA">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B7414EC">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w:t>
      </w:r>
      <w:r>
        <w:rPr>
          <w:rFonts w:hint="eastAsia"/>
          <w:color w:val="000000"/>
          <w:sz w:val="24"/>
          <w:szCs w:val="20"/>
          <w:lang w:val="en-US" w:eastAsia="zh-CN"/>
        </w:rPr>
        <w:t>盖章</w:t>
      </w:r>
      <w:r>
        <w:rPr>
          <w:rFonts w:eastAsiaTheme="minorEastAsia"/>
          <w:color w:val="000000"/>
          <w:sz w:val="24"/>
          <w:szCs w:val="20"/>
        </w:rPr>
        <w:t>）：______________</w:t>
      </w:r>
    </w:p>
    <w:p w14:paraId="5F539A1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w:t>
      </w:r>
      <w:r>
        <w:rPr>
          <w:rFonts w:hint="eastAsia"/>
          <w:color w:val="000000"/>
          <w:sz w:val="24"/>
          <w:szCs w:val="20"/>
          <w:lang w:val="en-US" w:eastAsia="zh-CN"/>
        </w:rPr>
        <w:t>盖章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54A739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34413389">
      <w:pPr>
        <w:tabs>
          <w:tab w:val="left" w:pos="5580"/>
        </w:tabs>
        <w:spacing w:line="360" w:lineRule="auto"/>
        <w:ind w:firstLine="480" w:firstLineChars="200"/>
        <w:rPr>
          <w:rFonts w:eastAsiaTheme="minorEastAsia"/>
          <w:color w:val="000000"/>
          <w:sz w:val="24"/>
          <w:szCs w:val="20"/>
        </w:rPr>
      </w:pPr>
    </w:p>
    <w:p w14:paraId="65D7E8C5">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65020FF3">
      <w:pPr>
        <w:tabs>
          <w:tab w:val="left" w:pos="5580"/>
        </w:tabs>
        <w:spacing w:line="360" w:lineRule="auto"/>
        <w:jc w:val="left"/>
        <w:rPr>
          <w:rFonts w:eastAsiaTheme="minorEastAsia"/>
          <w:color w:val="000000"/>
          <w:sz w:val="24"/>
          <w:szCs w:val="20"/>
        </w:rPr>
      </w:pPr>
    </w:p>
    <w:p w14:paraId="55BC1226">
      <w:pPr>
        <w:tabs>
          <w:tab w:val="left" w:pos="5580"/>
        </w:tabs>
        <w:spacing w:line="360" w:lineRule="auto"/>
        <w:jc w:val="left"/>
        <w:rPr>
          <w:rFonts w:eastAsiaTheme="minorEastAsia"/>
          <w:color w:val="000000"/>
          <w:sz w:val="24"/>
          <w:szCs w:val="20"/>
        </w:rPr>
      </w:pPr>
    </w:p>
    <w:p w14:paraId="4B275937">
      <w:pPr>
        <w:tabs>
          <w:tab w:val="left" w:pos="5580"/>
        </w:tabs>
        <w:spacing w:line="360" w:lineRule="auto"/>
        <w:jc w:val="left"/>
        <w:rPr>
          <w:rFonts w:eastAsiaTheme="minorEastAsia"/>
          <w:color w:val="000000"/>
          <w:sz w:val="24"/>
          <w:szCs w:val="20"/>
        </w:rPr>
      </w:pPr>
    </w:p>
    <w:p w14:paraId="08218E3E">
      <w:pPr>
        <w:tabs>
          <w:tab w:val="left" w:pos="5580"/>
        </w:tabs>
        <w:spacing w:line="360" w:lineRule="auto"/>
        <w:jc w:val="left"/>
        <w:rPr>
          <w:rFonts w:eastAsiaTheme="minorEastAsia"/>
          <w:color w:val="000000"/>
          <w:sz w:val="24"/>
          <w:szCs w:val="20"/>
        </w:rPr>
      </w:pPr>
    </w:p>
    <w:p w14:paraId="4F235EB9">
      <w:pPr>
        <w:tabs>
          <w:tab w:val="left" w:pos="5580"/>
        </w:tabs>
        <w:spacing w:line="360" w:lineRule="auto"/>
        <w:jc w:val="left"/>
        <w:rPr>
          <w:rFonts w:eastAsiaTheme="minorEastAsia"/>
          <w:color w:val="000000"/>
          <w:sz w:val="24"/>
          <w:szCs w:val="20"/>
        </w:rPr>
      </w:pPr>
    </w:p>
    <w:p w14:paraId="62CC18D9">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4AE22D4D">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61F0AF19">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5D19144D">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262CC3E9">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1E6497B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141DFC30">
      <w:pPr>
        <w:kinsoku w:val="0"/>
        <w:overflowPunct w:val="0"/>
        <w:spacing w:line="200" w:lineRule="exact"/>
        <w:rPr>
          <w:rFonts w:eastAsiaTheme="minorEastAsia"/>
          <w:sz w:val="20"/>
          <w:szCs w:val="20"/>
        </w:rPr>
      </w:pPr>
    </w:p>
    <w:p w14:paraId="5D607EB3">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9E97AE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6D1C127B">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68FDE57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F596FA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551C6C6C">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E784BAB">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399F401">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32E57387">
      <w:pPr>
        <w:pStyle w:val="17"/>
        <w:kinsoku w:val="0"/>
        <w:overflowPunct w:val="0"/>
        <w:spacing w:line="583" w:lineRule="auto"/>
        <w:ind w:right="4305"/>
        <w:rPr>
          <w:rFonts w:ascii="Times New Roman" w:hAnsi="Times New Roman" w:eastAsiaTheme="minorEastAsia"/>
          <w:spacing w:val="-3"/>
        </w:rPr>
      </w:pPr>
    </w:p>
    <w:p w14:paraId="38708BB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73D94F2">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w:t>
      </w:r>
      <w:r>
        <w:rPr>
          <w:rFonts w:hint="eastAsia"/>
          <w:color w:val="000000"/>
          <w:sz w:val="24"/>
          <w:szCs w:val="20"/>
          <w:lang w:val="en-US" w:eastAsia="zh-CN"/>
        </w:rPr>
        <w:t>盖章</w:t>
      </w:r>
      <w:r>
        <w:rPr>
          <w:rFonts w:eastAsiaTheme="minorEastAsia"/>
          <w:spacing w:val="-3"/>
          <w:sz w:val="24"/>
        </w:rPr>
        <w:t>）：</w:t>
      </w:r>
      <w:r>
        <w:rPr>
          <w:rFonts w:eastAsiaTheme="minorEastAsia"/>
          <w:sz w:val="24"/>
        </w:rPr>
        <w:t>______</w:t>
      </w:r>
    </w:p>
    <w:p w14:paraId="1854315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27F8E4EC">
      <w:pPr>
        <w:widowControl/>
        <w:jc w:val="left"/>
        <w:rPr>
          <w:rFonts w:eastAsiaTheme="minorEastAsia"/>
          <w:i/>
          <w:color w:val="000000"/>
          <w:sz w:val="24"/>
          <w:szCs w:val="20"/>
          <w:u w:val="single"/>
        </w:rPr>
      </w:pPr>
    </w:p>
    <w:p w14:paraId="1272EAD5">
      <w:pPr>
        <w:widowControl/>
        <w:jc w:val="left"/>
        <w:rPr>
          <w:rFonts w:eastAsiaTheme="minorEastAsia"/>
          <w:color w:val="000000"/>
          <w:sz w:val="24"/>
          <w:szCs w:val="20"/>
        </w:rPr>
      </w:pPr>
      <w:r>
        <w:rPr>
          <w:rFonts w:eastAsiaTheme="minorEastAsia"/>
          <w:color w:val="000000"/>
          <w:sz w:val="24"/>
          <w:szCs w:val="20"/>
        </w:rPr>
        <w:br w:type="page"/>
      </w:r>
    </w:p>
    <w:p w14:paraId="5DA7B097">
      <w:pPr>
        <w:tabs>
          <w:tab w:val="left" w:pos="360"/>
        </w:tabs>
        <w:snapToGrid w:val="0"/>
        <w:spacing w:line="360" w:lineRule="auto"/>
        <w:outlineLvl w:val="1"/>
        <w:rPr>
          <w:rFonts w:eastAsiaTheme="minorEastAsia"/>
          <w:sz w:val="24"/>
        </w:rPr>
      </w:pPr>
      <w:r>
        <w:rPr>
          <w:rFonts w:eastAsiaTheme="minorEastAsia"/>
          <w:sz w:val="24"/>
        </w:rPr>
        <w:t>7  报价一览表</w:t>
      </w:r>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14:paraId="052E6813">
      <w:pPr>
        <w:spacing w:line="360" w:lineRule="exact"/>
        <w:jc w:val="center"/>
        <w:rPr>
          <w:rFonts w:eastAsiaTheme="minorEastAsia"/>
          <w:b/>
          <w:color w:val="000000"/>
          <w:sz w:val="36"/>
          <w:szCs w:val="36"/>
        </w:rPr>
      </w:pPr>
      <w:bookmarkStart w:id="2193" w:name="_Toc226965748"/>
      <w:bookmarkStart w:id="2194" w:name="_Toc265228396"/>
      <w:bookmarkStart w:id="2195" w:name="_Toc226965831"/>
      <w:bookmarkStart w:id="2196" w:name="_Toc305158900"/>
      <w:bookmarkStart w:id="2197" w:name="_Toc264969248"/>
      <w:bookmarkStart w:id="2198" w:name="_Toc195842923"/>
      <w:bookmarkStart w:id="2199" w:name="_Toc305158826"/>
      <w:bookmarkStart w:id="2200" w:name="_Toc226337254"/>
      <w:bookmarkStart w:id="2201" w:name="_Toc164608827"/>
      <w:bookmarkStart w:id="2202" w:name="_Toc164608672"/>
      <w:bookmarkStart w:id="2203" w:name="_Toc226309802"/>
      <w:r>
        <w:rPr>
          <w:rFonts w:eastAsiaTheme="minorEastAsia"/>
          <w:b/>
          <w:color w:val="000000"/>
          <w:sz w:val="36"/>
          <w:szCs w:val="36"/>
        </w:rPr>
        <w:t>报价一览表</w:t>
      </w:r>
      <w:bookmarkEnd w:id="2193"/>
      <w:bookmarkEnd w:id="2194"/>
      <w:bookmarkEnd w:id="2195"/>
      <w:bookmarkEnd w:id="2196"/>
      <w:bookmarkEnd w:id="2197"/>
      <w:bookmarkEnd w:id="2198"/>
      <w:bookmarkEnd w:id="2199"/>
      <w:bookmarkEnd w:id="2200"/>
      <w:bookmarkEnd w:id="2201"/>
      <w:bookmarkEnd w:id="2202"/>
      <w:bookmarkEnd w:id="2203"/>
    </w:p>
    <w:p w14:paraId="605B64DC">
      <w:pPr>
        <w:tabs>
          <w:tab w:val="left" w:pos="1800"/>
          <w:tab w:val="left" w:pos="5580"/>
        </w:tabs>
        <w:spacing w:line="360" w:lineRule="auto"/>
        <w:jc w:val="left"/>
        <w:rPr>
          <w:rFonts w:eastAsiaTheme="minorEastAsia"/>
          <w:color w:val="000000"/>
          <w:sz w:val="24"/>
        </w:rPr>
      </w:pPr>
    </w:p>
    <w:p w14:paraId="2D394276">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6DFC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109E1C7A">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CB74086">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3D33241B">
            <w:pPr>
              <w:tabs>
                <w:tab w:val="left" w:pos="5580"/>
              </w:tabs>
              <w:jc w:val="center"/>
              <w:rPr>
                <w:rFonts w:eastAsiaTheme="minorEastAsia"/>
                <w:b/>
                <w:sz w:val="24"/>
              </w:rPr>
            </w:pPr>
            <w:r>
              <w:rPr>
                <w:rFonts w:eastAsiaTheme="minorEastAsia"/>
                <w:b/>
                <w:sz w:val="24"/>
              </w:rPr>
              <w:t>报价</w:t>
            </w:r>
          </w:p>
        </w:tc>
      </w:tr>
      <w:tr w14:paraId="150B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A5BC580">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4DB4802A">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20A59BBC">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C5431EC">
            <w:pPr>
              <w:tabs>
                <w:tab w:val="left" w:pos="5580"/>
              </w:tabs>
              <w:jc w:val="center"/>
              <w:rPr>
                <w:rFonts w:eastAsiaTheme="minorEastAsia"/>
                <w:b/>
                <w:sz w:val="24"/>
              </w:rPr>
            </w:pPr>
            <w:r>
              <w:rPr>
                <w:rFonts w:eastAsiaTheme="minorEastAsia"/>
                <w:b/>
                <w:sz w:val="24"/>
              </w:rPr>
              <w:t>小写</w:t>
            </w:r>
          </w:p>
        </w:tc>
      </w:tr>
      <w:tr w14:paraId="0C52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05BCD3BF">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3813FDFC">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72037DD7">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0AFFA462">
            <w:pPr>
              <w:tabs>
                <w:tab w:val="left" w:pos="5580"/>
              </w:tabs>
              <w:jc w:val="center"/>
              <w:rPr>
                <w:rFonts w:eastAsiaTheme="minorEastAsia"/>
                <w:sz w:val="24"/>
              </w:rPr>
            </w:pPr>
          </w:p>
        </w:tc>
      </w:tr>
    </w:tbl>
    <w:p w14:paraId="74DF088D">
      <w:pPr>
        <w:autoSpaceDE w:val="0"/>
        <w:autoSpaceDN w:val="0"/>
        <w:adjustRightInd w:val="0"/>
        <w:jc w:val="left"/>
        <w:rPr>
          <w:rFonts w:eastAsiaTheme="minorEastAsia"/>
          <w:color w:val="000000"/>
          <w:kern w:val="0"/>
          <w:sz w:val="24"/>
        </w:rPr>
      </w:pPr>
    </w:p>
    <w:p w14:paraId="6C7CA02F">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041A2E0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02D6B3FD">
      <w:pPr>
        <w:tabs>
          <w:tab w:val="left" w:pos="5580"/>
        </w:tabs>
        <w:ind w:firstLine="480" w:firstLineChars="200"/>
        <w:rPr>
          <w:rFonts w:eastAsiaTheme="minorEastAsia"/>
          <w:color w:val="000000"/>
          <w:sz w:val="24"/>
          <w:szCs w:val="20"/>
        </w:rPr>
      </w:pPr>
    </w:p>
    <w:p w14:paraId="7B656FAD">
      <w:pPr>
        <w:autoSpaceDE w:val="0"/>
        <w:autoSpaceDN w:val="0"/>
        <w:adjustRightInd w:val="0"/>
        <w:snapToGrid w:val="0"/>
        <w:spacing w:before="25" w:after="25" w:line="360" w:lineRule="auto"/>
        <w:rPr>
          <w:rFonts w:eastAsiaTheme="minorEastAsia"/>
          <w:color w:val="000000"/>
          <w:sz w:val="24"/>
          <w:lang w:val="zh-CN"/>
        </w:rPr>
      </w:pPr>
    </w:p>
    <w:p w14:paraId="7D7A409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560C23A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00FB926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30A92E1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13DFE5AE">
      <w:pPr>
        <w:tabs>
          <w:tab w:val="left" w:pos="360"/>
        </w:tabs>
        <w:snapToGrid w:val="0"/>
        <w:spacing w:line="360" w:lineRule="auto"/>
        <w:outlineLvl w:val="1"/>
        <w:rPr>
          <w:rFonts w:eastAsiaTheme="minorEastAsia"/>
          <w:sz w:val="24"/>
        </w:rPr>
        <w:sectPr>
          <w:headerReference r:id="rId28" w:type="first"/>
          <w:footerReference r:id="rId30" w:type="first"/>
          <w:headerReference r:id="rId27" w:type="even"/>
          <w:footerReference r:id="rId29" w:type="even"/>
          <w:pgSz w:w="11907" w:h="16840"/>
          <w:pgMar w:top="1418" w:right="1134" w:bottom="1418" w:left="1701" w:header="851" w:footer="851" w:gutter="0"/>
          <w:cols w:space="720" w:num="1"/>
          <w:docGrid w:linePitch="462" w:charSpace="0"/>
        </w:sectPr>
      </w:pPr>
      <w:bookmarkStart w:id="2204" w:name="_Toc142311060"/>
      <w:bookmarkStart w:id="2205" w:name="_Toc264969249"/>
      <w:bookmarkStart w:id="2206" w:name="_Toc150480796"/>
      <w:bookmarkStart w:id="2207" w:name="_Toc195842924"/>
      <w:bookmarkStart w:id="2208" w:name="_Toc305158901"/>
      <w:bookmarkStart w:id="2209" w:name="_Toc265228397"/>
      <w:bookmarkStart w:id="2210" w:name="_Toc127151558"/>
      <w:bookmarkStart w:id="2211" w:name="_Toc226965832"/>
      <w:bookmarkStart w:id="2212" w:name="_Toc226337255"/>
      <w:bookmarkStart w:id="2213" w:name="_Toc226309803"/>
      <w:bookmarkStart w:id="2214" w:name="_Toc226965749"/>
      <w:bookmarkStart w:id="2215" w:name="_Toc305158827"/>
      <w:bookmarkStart w:id="2216" w:name="_Toc150774763"/>
    </w:p>
    <w:p w14:paraId="25F788ED">
      <w:pPr>
        <w:tabs>
          <w:tab w:val="left" w:pos="360"/>
        </w:tabs>
        <w:snapToGrid w:val="0"/>
        <w:spacing w:line="360" w:lineRule="auto"/>
        <w:outlineLvl w:val="1"/>
        <w:rPr>
          <w:rFonts w:eastAsiaTheme="minorEastAsia"/>
          <w:sz w:val="24"/>
        </w:rPr>
      </w:pPr>
      <w:r>
        <w:rPr>
          <w:rFonts w:eastAsiaTheme="minorEastAsia"/>
          <w:sz w:val="24"/>
        </w:rPr>
        <w:t>8  分项报价表</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p>
    <w:p w14:paraId="2FC2A054">
      <w:pPr>
        <w:spacing w:line="360" w:lineRule="exact"/>
        <w:jc w:val="center"/>
        <w:rPr>
          <w:rFonts w:eastAsiaTheme="minorEastAsia"/>
          <w:b/>
          <w:color w:val="000000"/>
          <w:sz w:val="36"/>
          <w:szCs w:val="36"/>
        </w:rPr>
      </w:pPr>
      <w:r>
        <w:rPr>
          <w:rFonts w:eastAsiaTheme="minorEastAsia"/>
          <w:b/>
          <w:color w:val="000000"/>
          <w:sz w:val="36"/>
          <w:szCs w:val="36"/>
        </w:rPr>
        <w:t>分项报价表</w:t>
      </w:r>
    </w:p>
    <w:p w14:paraId="588D77C7">
      <w:pPr>
        <w:spacing w:line="260" w:lineRule="exact"/>
        <w:jc w:val="center"/>
        <w:rPr>
          <w:rFonts w:eastAsiaTheme="minorEastAsia"/>
          <w:color w:val="000000"/>
          <w:sz w:val="36"/>
          <w:szCs w:val="36"/>
        </w:rPr>
      </w:pPr>
    </w:p>
    <w:p w14:paraId="4638EF26">
      <w:pPr>
        <w:adjustRightInd w:val="0"/>
        <w:snapToGrid w:val="0"/>
        <w:spacing w:before="240" w:beforeLines="100" w:after="240" w:afterLines="100"/>
        <w:jc w:val="left"/>
        <w:rPr>
          <w:rFonts w:eastAsiaTheme="minorEastAsia"/>
          <w:b/>
          <w:i/>
          <w:color w:val="FF0000"/>
          <w:sz w:val="24"/>
        </w:rPr>
      </w:pPr>
    </w:p>
    <w:p w14:paraId="49C5A4DB">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p w14:paraId="3A6C15CA">
      <w:pPr>
        <w:tabs>
          <w:tab w:val="left" w:pos="1800"/>
          <w:tab w:val="left" w:pos="5580"/>
        </w:tabs>
        <w:jc w:val="left"/>
        <w:rPr>
          <w:rFonts w:eastAsiaTheme="minorEastAsia"/>
          <w:color w:val="000000"/>
          <w:sz w:val="24"/>
        </w:rPr>
      </w:pPr>
    </w:p>
    <w:p w14:paraId="5F8CC158">
      <w:pPr>
        <w:tabs>
          <w:tab w:val="left" w:pos="1800"/>
          <w:tab w:val="left" w:pos="5580"/>
        </w:tabs>
        <w:jc w:val="left"/>
        <w:rPr>
          <w:rFonts w:eastAsiaTheme="minorEastAsia"/>
          <w:b w:val="0"/>
          <w:bCs/>
          <w:i/>
          <w:color w:val="auto"/>
          <w:sz w:val="24"/>
        </w:rPr>
      </w:pPr>
      <w:r>
        <w:rPr>
          <w:rFonts w:eastAsiaTheme="minorEastAsia"/>
          <w:b w:val="0"/>
          <w:bCs/>
          <w:i/>
          <w:color w:val="auto"/>
          <w:sz w:val="24"/>
        </w:rPr>
        <w:t>（采用工程量清单计价方式的采购项目，应在本部分放置清单计价表格）</w:t>
      </w:r>
    </w:p>
    <w:p w14:paraId="3D861506">
      <w:pPr>
        <w:tabs>
          <w:tab w:val="left" w:pos="1800"/>
          <w:tab w:val="left" w:pos="5580"/>
        </w:tabs>
        <w:jc w:val="left"/>
        <w:rPr>
          <w:rFonts w:eastAsiaTheme="minorEastAsia"/>
          <w:color w:val="000000"/>
          <w:sz w:val="24"/>
        </w:rPr>
      </w:pPr>
    </w:p>
    <w:p w14:paraId="35E23A71">
      <w:pPr>
        <w:tabs>
          <w:tab w:val="left" w:pos="1800"/>
          <w:tab w:val="left" w:pos="5580"/>
        </w:tabs>
        <w:jc w:val="left"/>
        <w:rPr>
          <w:rFonts w:eastAsiaTheme="minorEastAsia"/>
          <w:color w:val="000000"/>
          <w:sz w:val="24"/>
        </w:rPr>
      </w:pPr>
    </w:p>
    <w:p w14:paraId="7E163BD0">
      <w:pPr>
        <w:tabs>
          <w:tab w:val="left" w:pos="1800"/>
          <w:tab w:val="left" w:pos="5580"/>
        </w:tabs>
        <w:ind w:firstLine="480" w:firstLineChars="200"/>
        <w:jc w:val="left"/>
        <w:rPr>
          <w:rFonts w:eastAsiaTheme="minorEastAsia"/>
          <w:color w:val="000000"/>
          <w:sz w:val="24"/>
        </w:rPr>
      </w:pPr>
    </w:p>
    <w:p w14:paraId="464418FC">
      <w:pPr>
        <w:pStyle w:val="41"/>
      </w:pPr>
    </w:p>
    <w:p w14:paraId="3A085DF2">
      <w:pPr>
        <w:autoSpaceDE w:val="0"/>
        <w:autoSpaceDN w:val="0"/>
        <w:adjustRightInd w:val="0"/>
        <w:snapToGrid w:val="0"/>
        <w:spacing w:before="25" w:after="25" w:line="360" w:lineRule="auto"/>
        <w:rPr>
          <w:rFonts w:eastAsiaTheme="minorEastAsia"/>
          <w:color w:val="000000"/>
          <w:sz w:val="24"/>
        </w:rPr>
      </w:pPr>
    </w:p>
    <w:p w14:paraId="0DB45552">
      <w:pPr>
        <w:autoSpaceDE w:val="0"/>
        <w:autoSpaceDN w:val="0"/>
        <w:adjustRightInd w:val="0"/>
        <w:snapToGrid w:val="0"/>
        <w:spacing w:before="25" w:after="25" w:line="360" w:lineRule="auto"/>
        <w:rPr>
          <w:rFonts w:eastAsiaTheme="minorEastAsia"/>
          <w:color w:val="000000"/>
          <w:sz w:val="24"/>
        </w:rPr>
      </w:pPr>
    </w:p>
    <w:p w14:paraId="4E0E965D">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F821D9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21610EFD">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2217" w:name="_Toc127151562"/>
      <w:bookmarkStart w:id="2218" w:name="_Toc305158830"/>
      <w:bookmarkStart w:id="2219" w:name="_Toc142311062"/>
      <w:bookmarkStart w:id="2220" w:name="_Toc150480798"/>
      <w:bookmarkStart w:id="2221" w:name="_Toc305158904"/>
      <w:bookmarkStart w:id="2222" w:name="_Toc264969252"/>
      <w:bookmarkStart w:id="2223" w:name="_Toc195842927"/>
      <w:bookmarkStart w:id="2224" w:name="_Toc226337258"/>
      <w:bookmarkStart w:id="2225" w:name="_Toc265228400"/>
      <w:bookmarkStart w:id="2226" w:name="_Toc226309806"/>
      <w:bookmarkStart w:id="2227" w:name="_Toc226965752"/>
      <w:bookmarkStart w:id="2228" w:name="_Toc150774765"/>
      <w:bookmarkStart w:id="2229" w:name="_Toc226965835"/>
      <w:bookmarkStart w:id="2230" w:name="_Toc142311061"/>
      <w:bookmarkStart w:id="2231" w:name="_Toc264969251"/>
      <w:bookmarkStart w:id="2232" w:name="_Toc305158903"/>
      <w:bookmarkStart w:id="2233" w:name="_Toc127151561"/>
      <w:bookmarkStart w:id="2234" w:name="_Toc150480797"/>
      <w:bookmarkStart w:id="2235" w:name="_Toc226965834"/>
      <w:bookmarkStart w:id="2236" w:name="_Toc265228399"/>
      <w:bookmarkStart w:id="2237" w:name="_Toc150774764"/>
      <w:bookmarkStart w:id="2238" w:name="_Toc226309805"/>
      <w:bookmarkStart w:id="2239" w:name="_Toc195842926"/>
      <w:bookmarkStart w:id="2240" w:name="_Toc226965751"/>
      <w:bookmarkStart w:id="2241" w:name="_Toc305158829"/>
      <w:bookmarkStart w:id="2242" w:name="_Toc226337257"/>
    </w:p>
    <w:p w14:paraId="1FC57EB6">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2217"/>
      <w:bookmarkEnd w:id="2218"/>
      <w:bookmarkEnd w:id="2219"/>
      <w:bookmarkEnd w:id="2220"/>
      <w:bookmarkEnd w:id="2221"/>
      <w:bookmarkEnd w:id="2222"/>
      <w:bookmarkEnd w:id="2223"/>
      <w:bookmarkEnd w:id="2224"/>
      <w:bookmarkEnd w:id="2225"/>
      <w:bookmarkEnd w:id="2226"/>
      <w:bookmarkEnd w:id="2227"/>
      <w:bookmarkEnd w:id="2228"/>
      <w:bookmarkEnd w:id="2229"/>
      <w:r>
        <w:rPr>
          <w:rFonts w:eastAsiaTheme="minorEastAsia"/>
          <w:sz w:val="24"/>
        </w:rPr>
        <w:t>（实质性格式）</w:t>
      </w:r>
    </w:p>
    <w:p w14:paraId="769AD7A4">
      <w:pPr>
        <w:spacing w:line="360" w:lineRule="auto"/>
        <w:rPr>
          <w:rFonts w:eastAsiaTheme="minorEastAsia"/>
          <w:color w:val="000000"/>
          <w:sz w:val="24"/>
          <w:szCs w:val="20"/>
        </w:rPr>
      </w:pPr>
    </w:p>
    <w:p w14:paraId="2D4FB261">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57AFA32">
      <w:pPr>
        <w:spacing w:line="360" w:lineRule="auto"/>
        <w:rPr>
          <w:rFonts w:eastAsiaTheme="minorEastAsia"/>
          <w:color w:val="000000"/>
          <w:sz w:val="24"/>
          <w:szCs w:val="20"/>
        </w:rPr>
      </w:pPr>
    </w:p>
    <w:p w14:paraId="39DD2A87">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6441E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445B337">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50F8FFC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7B7A2580">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17FD8B06">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74CB31D4">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32438B40">
            <w:pPr>
              <w:adjustRightInd w:val="0"/>
              <w:snapToGrid w:val="0"/>
              <w:jc w:val="center"/>
              <w:rPr>
                <w:rFonts w:eastAsiaTheme="minorEastAsia"/>
                <w:color w:val="000000"/>
                <w:sz w:val="24"/>
              </w:rPr>
            </w:pPr>
            <w:r>
              <w:rPr>
                <w:rFonts w:eastAsiaTheme="minorEastAsia"/>
                <w:color w:val="000000"/>
                <w:sz w:val="24"/>
              </w:rPr>
              <w:t>说明</w:t>
            </w:r>
          </w:p>
        </w:tc>
      </w:tr>
      <w:tr w14:paraId="5F76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00EFAC0">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69B6879E">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1A7D9982">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0672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C948729">
            <w:pPr>
              <w:adjustRightInd w:val="0"/>
              <w:snapToGrid w:val="0"/>
              <w:jc w:val="center"/>
              <w:rPr>
                <w:rFonts w:eastAsiaTheme="minorEastAsia"/>
                <w:color w:val="000000"/>
                <w:sz w:val="24"/>
              </w:rPr>
            </w:pPr>
          </w:p>
        </w:tc>
        <w:tc>
          <w:tcPr>
            <w:tcW w:w="1394" w:type="dxa"/>
            <w:vAlign w:val="center"/>
          </w:tcPr>
          <w:p w14:paraId="19122276">
            <w:pPr>
              <w:adjustRightInd w:val="0"/>
              <w:snapToGrid w:val="0"/>
              <w:jc w:val="center"/>
              <w:rPr>
                <w:rFonts w:eastAsiaTheme="minorEastAsia"/>
                <w:color w:val="000000"/>
                <w:sz w:val="24"/>
              </w:rPr>
            </w:pPr>
          </w:p>
        </w:tc>
        <w:tc>
          <w:tcPr>
            <w:tcW w:w="1808" w:type="dxa"/>
            <w:vAlign w:val="center"/>
          </w:tcPr>
          <w:p w14:paraId="67C0D85D">
            <w:pPr>
              <w:adjustRightInd w:val="0"/>
              <w:snapToGrid w:val="0"/>
              <w:jc w:val="center"/>
              <w:rPr>
                <w:rFonts w:eastAsiaTheme="minorEastAsia"/>
                <w:color w:val="000000"/>
                <w:sz w:val="24"/>
              </w:rPr>
            </w:pPr>
          </w:p>
        </w:tc>
        <w:tc>
          <w:tcPr>
            <w:tcW w:w="1809" w:type="dxa"/>
            <w:vAlign w:val="center"/>
          </w:tcPr>
          <w:p w14:paraId="6C395D45">
            <w:pPr>
              <w:adjustRightInd w:val="0"/>
              <w:snapToGrid w:val="0"/>
              <w:jc w:val="center"/>
              <w:rPr>
                <w:rFonts w:eastAsiaTheme="minorEastAsia"/>
                <w:color w:val="000000"/>
                <w:sz w:val="24"/>
              </w:rPr>
            </w:pPr>
          </w:p>
        </w:tc>
        <w:tc>
          <w:tcPr>
            <w:tcW w:w="2290" w:type="dxa"/>
            <w:vAlign w:val="center"/>
          </w:tcPr>
          <w:p w14:paraId="6FBC1913">
            <w:pPr>
              <w:adjustRightInd w:val="0"/>
              <w:snapToGrid w:val="0"/>
              <w:jc w:val="center"/>
              <w:rPr>
                <w:rFonts w:eastAsiaTheme="minorEastAsia"/>
                <w:color w:val="000000"/>
                <w:sz w:val="24"/>
              </w:rPr>
            </w:pPr>
          </w:p>
        </w:tc>
        <w:tc>
          <w:tcPr>
            <w:tcW w:w="863" w:type="dxa"/>
            <w:vAlign w:val="center"/>
          </w:tcPr>
          <w:p w14:paraId="1E1AD53B">
            <w:pPr>
              <w:adjustRightInd w:val="0"/>
              <w:snapToGrid w:val="0"/>
              <w:jc w:val="center"/>
              <w:rPr>
                <w:rFonts w:eastAsiaTheme="minorEastAsia"/>
                <w:color w:val="000000"/>
                <w:sz w:val="24"/>
              </w:rPr>
            </w:pPr>
          </w:p>
        </w:tc>
      </w:tr>
      <w:tr w14:paraId="54D9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98" w:type="dxa"/>
            <w:vAlign w:val="center"/>
          </w:tcPr>
          <w:p w14:paraId="0499FB3F">
            <w:pPr>
              <w:adjustRightInd w:val="0"/>
              <w:snapToGrid w:val="0"/>
              <w:jc w:val="center"/>
              <w:rPr>
                <w:rFonts w:eastAsiaTheme="minorEastAsia"/>
                <w:color w:val="000000"/>
                <w:sz w:val="24"/>
              </w:rPr>
            </w:pPr>
          </w:p>
        </w:tc>
        <w:tc>
          <w:tcPr>
            <w:tcW w:w="1394" w:type="dxa"/>
            <w:vAlign w:val="center"/>
          </w:tcPr>
          <w:p w14:paraId="224860B4">
            <w:pPr>
              <w:adjustRightInd w:val="0"/>
              <w:snapToGrid w:val="0"/>
              <w:jc w:val="center"/>
              <w:rPr>
                <w:rFonts w:eastAsiaTheme="minorEastAsia"/>
                <w:color w:val="000000"/>
                <w:sz w:val="24"/>
              </w:rPr>
            </w:pPr>
          </w:p>
        </w:tc>
        <w:tc>
          <w:tcPr>
            <w:tcW w:w="1808" w:type="dxa"/>
            <w:vAlign w:val="center"/>
          </w:tcPr>
          <w:p w14:paraId="4DB29170">
            <w:pPr>
              <w:adjustRightInd w:val="0"/>
              <w:snapToGrid w:val="0"/>
              <w:jc w:val="center"/>
              <w:rPr>
                <w:rFonts w:eastAsiaTheme="minorEastAsia"/>
                <w:color w:val="000000"/>
                <w:sz w:val="24"/>
              </w:rPr>
            </w:pPr>
          </w:p>
        </w:tc>
        <w:tc>
          <w:tcPr>
            <w:tcW w:w="1809" w:type="dxa"/>
            <w:vAlign w:val="center"/>
          </w:tcPr>
          <w:p w14:paraId="56824A6E">
            <w:pPr>
              <w:adjustRightInd w:val="0"/>
              <w:snapToGrid w:val="0"/>
              <w:jc w:val="center"/>
              <w:rPr>
                <w:rFonts w:eastAsiaTheme="minorEastAsia"/>
                <w:color w:val="000000"/>
                <w:sz w:val="24"/>
              </w:rPr>
            </w:pPr>
          </w:p>
        </w:tc>
        <w:tc>
          <w:tcPr>
            <w:tcW w:w="2290" w:type="dxa"/>
            <w:vAlign w:val="center"/>
          </w:tcPr>
          <w:p w14:paraId="5F6E4882">
            <w:pPr>
              <w:adjustRightInd w:val="0"/>
              <w:snapToGrid w:val="0"/>
              <w:jc w:val="center"/>
              <w:rPr>
                <w:rFonts w:eastAsiaTheme="minorEastAsia"/>
                <w:color w:val="000000"/>
                <w:sz w:val="24"/>
              </w:rPr>
            </w:pPr>
          </w:p>
        </w:tc>
        <w:tc>
          <w:tcPr>
            <w:tcW w:w="863" w:type="dxa"/>
            <w:vAlign w:val="center"/>
          </w:tcPr>
          <w:p w14:paraId="24E0884F">
            <w:pPr>
              <w:adjustRightInd w:val="0"/>
              <w:snapToGrid w:val="0"/>
              <w:jc w:val="center"/>
              <w:rPr>
                <w:rFonts w:eastAsiaTheme="minorEastAsia"/>
                <w:color w:val="000000"/>
                <w:sz w:val="24"/>
              </w:rPr>
            </w:pPr>
          </w:p>
        </w:tc>
      </w:tr>
      <w:tr w14:paraId="5917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85D57D2">
            <w:pPr>
              <w:adjustRightInd w:val="0"/>
              <w:snapToGrid w:val="0"/>
              <w:jc w:val="center"/>
              <w:rPr>
                <w:rFonts w:eastAsiaTheme="minorEastAsia"/>
                <w:color w:val="000000"/>
                <w:sz w:val="24"/>
              </w:rPr>
            </w:pPr>
          </w:p>
        </w:tc>
        <w:tc>
          <w:tcPr>
            <w:tcW w:w="1394" w:type="dxa"/>
            <w:vAlign w:val="center"/>
          </w:tcPr>
          <w:p w14:paraId="3FFEF359">
            <w:pPr>
              <w:adjustRightInd w:val="0"/>
              <w:snapToGrid w:val="0"/>
              <w:jc w:val="center"/>
              <w:rPr>
                <w:rFonts w:eastAsiaTheme="minorEastAsia"/>
                <w:color w:val="000000"/>
                <w:sz w:val="24"/>
              </w:rPr>
            </w:pPr>
          </w:p>
        </w:tc>
        <w:tc>
          <w:tcPr>
            <w:tcW w:w="1808" w:type="dxa"/>
            <w:vAlign w:val="center"/>
          </w:tcPr>
          <w:p w14:paraId="32CA71ED">
            <w:pPr>
              <w:adjustRightInd w:val="0"/>
              <w:snapToGrid w:val="0"/>
              <w:jc w:val="center"/>
              <w:rPr>
                <w:rFonts w:eastAsiaTheme="minorEastAsia"/>
                <w:color w:val="000000"/>
                <w:sz w:val="24"/>
              </w:rPr>
            </w:pPr>
          </w:p>
        </w:tc>
        <w:tc>
          <w:tcPr>
            <w:tcW w:w="1809" w:type="dxa"/>
            <w:vAlign w:val="center"/>
          </w:tcPr>
          <w:p w14:paraId="1B816DB6">
            <w:pPr>
              <w:adjustRightInd w:val="0"/>
              <w:snapToGrid w:val="0"/>
              <w:jc w:val="center"/>
              <w:rPr>
                <w:rFonts w:eastAsiaTheme="minorEastAsia"/>
                <w:color w:val="000000"/>
                <w:sz w:val="24"/>
              </w:rPr>
            </w:pPr>
          </w:p>
        </w:tc>
        <w:tc>
          <w:tcPr>
            <w:tcW w:w="2290" w:type="dxa"/>
            <w:vAlign w:val="center"/>
          </w:tcPr>
          <w:p w14:paraId="4F5AA613">
            <w:pPr>
              <w:adjustRightInd w:val="0"/>
              <w:snapToGrid w:val="0"/>
              <w:jc w:val="center"/>
              <w:rPr>
                <w:rFonts w:eastAsiaTheme="minorEastAsia"/>
                <w:color w:val="000000"/>
                <w:sz w:val="24"/>
              </w:rPr>
            </w:pPr>
          </w:p>
        </w:tc>
        <w:tc>
          <w:tcPr>
            <w:tcW w:w="863" w:type="dxa"/>
            <w:vAlign w:val="center"/>
          </w:tcPr>
          <w:p w14:paraId="63A20144">
            <w:pPr>
              <w:adjustRightInd w:val="0"/>
              <w:snapToGrid w:val="0"/>
              <w:jc w:val="center"/>
              <w:rPr>
                <w:rFonts w:eastAsiaTheme="minorEastAsia"/>
                <w:color w:val="000000"/>
                <w:sz w:val="24"/>
              </w:rPr>
            </w:pPr>
          </w:p>
        </w:tc>
      </w:tr>
      <w:tr w14:paraId="4012F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2424D49">
            <w:pPr>
              <w:adjustRightInd w:val="0"/>
              <w:snapToGrid w:val="0"/>
              <w:jc w:val="center"/>
              <w:rPr>
                <w:rFonts w:eastAsiaTheme="minorEastAsia"/>
                <w:color w:val="000000"/>
                <w:sz w:val="24"/>
              </w:rPr>
            </w:pPr>
          </w:p>
        </w:tc>
        <w:tc>
          <w:tcPr>
            <w:tcW w:w="1394" w:type="dxa"/>
            <w:vAlign w:val="center"/>
          </w:tcPr>
          <w:p w14:paraId="749BE0BA">
            <w:pPr>
              <w:adjustRightInd w:val="0"/>
              <w:snapToGrid w:val="0"/>
              <w:jc w:val="center"/>
              <w:rPr>
                <w:rFonts w:eastAsiaTheme="minorEastAsia"/>
                <w:color w:val="000000"/>
                <w:sz w:val="24"/>
              </w:rPr>
            </w:pPr>
          </w:p>
        </w:tc>
        <w:tc>
          <w:tcPr>
            <w:tcW w:w="1808" w:type="dxa"/>
            <w:vAlign w:val="center"/>
          </w:tcPr>
          <w:p w14:paraId="1B093F7A">
            <w:pPr>
              <w:adjustRightInd w:val="0"/>
              <w:snapToGrid w:val="0"/>
              <w:jc w:val="center"/>
              <w:rPr>
                <w:rFonts w:eastAsiaTheme="minorEastAsia"/>
                <w:color w:val="000000"/>
                <w:sz w:val="24"/>
              </w:rPr>
            </w:pPr>
          </w:p>
        </w:tc>
        <w:tc>
          <w:tcPr>
            <w:tcW w:w="1809" w:type="dxa"/>
            <w:vAlign w:val="center"/>
          </w:tcPr>
          <w:p w14:paraId="4CD4E131">
            <w:pPr>
              <w:adjustRightInd w:val="0"/>
              <w:snapToGrid w:val="0"/>
              <w:jc w:val="center"/>
              <w:rPr>
                <w:rFonts w:eastAsiaTheme="minorEastAsia"/>
                <w:color w:val="000000"/>
                <w:sz w:val="24"/>
              </w:rPr>
            </w:pPr>
          </w:p>
        </w:tc>
        <w:tc>
          <w:tcPr>
            <w:tcW w:w="2290" w:type="dxa"/>
            <w:vAlign w:val="center"/>
          </w:tcPr>
          <w:p w14:paraId="1DD005A5">
            <w:pPr>
              <w:adjustRightInd w:val="0"/>
              <w:snapToGrid w:val="0"/>
              <w:jc w:val="center"/>
              <w:rPr>
                <w:rFonts w:eastAsiaTheme="minorEastAsia"/>
                <w:color w:val="000000"/>
                <w:sz w:val="24"/>
              </w:rPr>
            </w:pPr>
          </w:p>
        </w:tc>
        <w:tc>
          <w:tcPr>
            <w:tcW w:w="863" w:type="dxa"/>
            <w:vAlign w:val="center"/>
          </w:tcPr>
          <w:p w14:paraId="5075538C">
            <w:pPr>
              <w:adjustRightInd w:val="0"/>
              <w:snapToGrid w:val="0"/>
              <w:jc w:val="center"/>
              <w:rPr>
                <w:rFonts w:eastAsiaTheme="minorEastAsia"/>
                <w:color w:val="000000"/>
                <w:sz w:val="24"/>
              </w:rPr>
            </w:pPr>
          </w:p>
        </w:tc>
      </w:tr>
      <w:tr w14:paraId="72F9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35D330E">
            <w:pPr>
              <w:adjustRightInd w:val="0"/>
              <w:snapToGrid w:val="0"/>
              <w:jc w:val="center"/>
              <w:rPr>
                <w:rFonts w:eastAsiaTheme="minorEastAsia"/>
                <w:color w:val="000000"/>
                <w:sz w:val="24"/>
              </w:rPr>
            </w:pPr>
          </w:p>
        </w:tc>
        <w:tc>
          <w:tcPr>
            <w:tcW w:w="1394" w:type="dxa"/>
            <w:vAlign w:val="center"/>
          </w:tcPr>
          <w:p w14:paraId="197C64DF">
            <w:pPr>
              <w:adjustRightInd w:val="0"/>
              <w:snapToGrid w:val="0"/>
              <w:jc w:val="center"/>
              <w:rPr>
                <w:rFonts w:eastAsiaTheme="minorEastAsia"/>
                <w:color w:val="000000"/>
                <w:sz w:val="24"/>
              </w:rPr>
            </w:pPr>
          </w:p>
        </w:tc>
        <w:tc>
          <w:tcPr>
            <w:tcW w:w="1808" w:type="dxa"/>
            <w:vAlign w:val="center"/>
          </w:tcPr>
          <w:p w14:paraId="54368F1C">
            <w:pPr>
              <w:adjustRightInd w:val="0"/>
              <w:snapToGrid w:val="0"/>
              <w:jc w:val="center"/>
              <w:rPr>
                <w:rFonts w:eastAsiaTheme="minorEastAsia"/>
                <w:color w:val="000000"/>
                <w:sz w:val="24"/>
              </w:rPr>
            </w:pPr>
          </w:p>
        </w:tc>
        <w:tc>
          <w:tcPr>
            <w:tcW w:w="1809" w:type="dxa"/>
            <w:vAlign w:val="center"/>
          </w:tcPr>
          <w:p w14:paraId="4C1D05AE">
            <w:pPr>
              <w:adjustRightInd w:val="0"/>
              <w:snapToGrid w:val="0"/>
              <w:jc w:val="center"/>
              <w:rPr>
                <w:rFonts w:eastAsiaTheme="minorEastAsia"/>
                <w:color w:val="000000"/>
                <w:sz w:val="24"/>
              </w:rPr>
            </w:pPr>
          </w:p>
        </w:tc>
        <w:tc>
          <w:tcPr>
            <w:tcW w:w="2290" w:type="dxa"/>
            <w:vAlign w:val="center"/>
          </w:tcPr>
          <w:p w14:paraId="106FBC41">
            <w:pPr>
              <w:adjustRightInd w:val="0"/>
              <w:snapToGrid w:val="0"/>
              <w:jc w:val="center"/>
              <w:rPr>
                <w:rFonts w:eastAsiaTheme="minorEastAsia"/>
                <w:color w:val="000000"/>
                <w:sz w:val="24"/>
              </w:rPr>
            </w:pPr>
          </w:p>
        </w:tc>
        <w:tc>
          <w:tcPr>
            <w:tcW w:w="863" w:type="dxa"/>
            <w:vAlign w:val="center"/>
          </w:tcPr>
          <w:p w14:paraId="2995CD80">
            <w:pPr>
              <w:adjustRightInd w:val="0"/>
              <w:snapToGrid w:val="0"/>
              <w:jc w:val="center"/>
              <w:rPr>
                <w:rFonts w:eastAsiaTheme="minorEastAsia"/>
                <w:color w:val="000000"/>
                <w:sz w:val="24"/>
              </w:rPr>
            </w:pPr>
          </w:p>
        </w:tc>
      </w:tr>
    </w:tbl>
    <w:p w14:paraId="0DED314F">
      <w:pPr>
        <w:tabs>
          <w:tab w:val="left" w:pos="1800"/>
          <w:tab w:val="left" w:pos="5580"/>
        </w:tabs>
        <w:jc w:val="left"/>
        <w:rPr>
          <w:rFonts w:eastAsiaTheme="minorEastAsia"/>
          <w:color w:val="000000"/>
          <w:sz w:val="24"/>
        </w:rPr>
      </w:pPr>
    </w:p>
    <w:p w14:paraId="087FD454">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30F3C144">
      <w:pPr>
        <w:spacing w:line="360" w:lineRule="auto"/>
        <w:rPr>
          <w:rFonts w:eastAsiaTheme="minorEastAsia"/>
          <w:color w:val="000000"/>
          <w:sz w:val="24"/>
          <w:szCs w:val="20"/>
        </w:rPr>
      </w:pPr>
    </w:p>
    <w:p w14:paraId="4A4A4F0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1034E69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2196E1F9">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2230"/>
      <w:bookmarkEnd w:id="2231"/>
      <w:bookmarkEnd w:id="2232"/>
      <w:bookmarkEnd w:id="2233"/>
      <w:bookmarkEnd w:id="2234"/>
      <w:bookmarkEnd w:id="2235"/>
      <w:bookmarkEnd w:id="2236"/>
      <w:bookmarkEnd w:id="2237"/>
      <w:bookmarkEnd w:id="2238"/>
      <w:bookmarkEnd w:id="2239"/>
      <w:bookmarkEnd w:id="2240"/>
      <w:bookmarkEnd w:id="2241"/>
      <w:bookmarkEnd w:id="2242"/>
      <w:r>
        <w:rPr>
          <w:rFonts w:eastAsiaTheme="minorEastAsia"/>
          <w:sz w:val="24"/>
        </w:rPr>
        <w:t>采购需求偏离表（实质性格式）</w:t>
      </w:r>
    </w:p>
    <w:p w14:paraId="3467C1C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3317038E">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48332A80">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6DF23BF3">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0F2D61D">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267B401D">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61575932">
            <w:pPr>
              <w:adjustRightInd w:val="0"/>
              <w:snapToGrid w:val="0"/>
              <w:jc w:val="center"/>
              <w:rPr>
                <w:rFonts w:eastAsiaTheme="minorEastAsia"/>
                <w:color w:val="000000"/>
                <w:sz w:val="24"/>
              </w:rPr>
            </w:pPr>
            <w:r>
              <w:rPr>
                <w:rFonts w:eastAsiaTheme="minorEastAsia"/>
                <w:color w:val="000000"/>
                <w:sz w:val="24"/>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adjustRightInd w:val="0"/>
              <w:snapToGrid w:val="0"/>
              <w:jc w:val="center"/>
              <w:rPr>
                <w:rFonts w:eastAsiaTheme="minorEastAsia"/>
                <w:color w:val="000000"/>
                <w:sz w:val="24"/>
              </w:rPr>
            </w:pPr>
          </w:p>
        </w:tc>
        <w:tc>
          <w:tcPr>
            <w:tcW w:w="1482" w:type="dxa"/>
            <w:vAlign w:val="center"/>
          </w:tcPr>
          <w:p w14:paraId="7F34336B">
            <w:pPr>
              <w:adjustRightInd w:val="0"/>
              <w:snapToGrid w:val="0"/>
              <w:jc w:val="center"/>
              <w:rPr>
                <w:rFonts w:eastAsiaTheme="minorEastAsia"/>
                <w:color w:val="000000"/>
                <w:sz w:val="24"/>
              </w:rPr>
            </w:pPr>
          </w:p>
        </w:tc>
        <w:tc>
          <w:tcPr>
            <w:tcW w:w="2384" w:type="dxa"/>
            <w:vAlign w:val="center"/>
          </w:tcPr>
          <w:p w14:paraId="10A582F7">
            <w:pPr>
              <w:adjustRightInd w:val="0"/>
              <w:snapToGrid w:val="0"/>
              <w:jc w:val="center"/>
              <w:rPr>
                <w:rFonts w:eastAsiaTheme="minorEastAsia"/>
                <w:color w:val="000000"/>
                <w:sz w:val="24"/>
              </w:rPr>
            </w:pPr>
          </w:p>
        </w:tc>
        <w:tc>
          <w:tcPr>
            <w:tcW w:w="2126" w:type="dxa"/>
            <w:vAlign w:val="center"/>
          </w:tcPr>
          <w:p w14:paraId="389DF135">
            <w:pPr>
              <w:adjustRightInd w:val="0"/>
              <w:snapToGrid w:val="0"/>
              <w:jc w:val="center"/>
              <w:rPr>
                <w:rFonts w:eastAsiaTheme="minorEastAsia"/>
                <w:color w:val="000000"/>
                <w:sz w:val="24"/>
              </w:rPr>
            </w:pPr>
          </w:p>
        </w:tc>
        <w:tc>
          <w:tcPr>
            <w:tcW w:w="1875" w:type="dxa"/>
            <w:vAlign w:val="center"/>
          </w:tcPr>
          <w:p w14:paraId="1E3B4FEE">
            <w:pPr>
              <w:adjustRightInd w:val="0"/>
              <w:snapToGrid w:val="0"/>
              <w:jc w:val="center"/>
              <w:rPr>
                <w:rFonts w:eastAsiaTheme="minorEastAsia"/>
                <w:color w:val="000000"/>
                <w:sz w:val="24"/>
              </w:rPr>
            </w:pPr>
          </w:p>
        </w:tc>
        <w:tc>
          <w:tcPr>
            <w:tcW w:w="1009" w:type="dxa"/>
            <w:vAlign w:val="center"/>
          </w:tcPr>
          <w:p w14:paraId="6476107C">
            <w:pPr>
              <w:adjustRightInd w:val="0"/>
              <w:snapToGrid w:val="0"/>
              <w:jc w:val="center"/>
              <w:rPr>
                <w:rFonts w:eastAsiaTheme="minorEastAsia"/>
                <w:color w:val="000000"/>
                <w:sz w:val="24"/>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adjustRightInd w:val="0"/>
              <w:snapToGrid w:val="0"/>
              <w:jc w:val="center"/>
              <w:rPr>
                <w:rFonts w:eastAsiaTheme="minorEastAsia"/>
                <w:color w:val="000000"/>
                <w:sz w:val="24"/>
              </w:rPr>
            </w:pPr>
          </w:p>
        </w:tc>
        <w:tc>
          <w:tcPr>
            <w:tcW w:w="1482" w:type="dxa"/>
            <w:vAlign w:val="center"/>
          </w:tcPr>
          <w:p w14:paraId="2BBD2F13">
            <w:pPr>
              <w:adjustRightInd w:val="0"/>
              <w:snapToGrid w:val="0"/>
              <w:jc w:val="center"/>
              <w:rPr>
                <w:rFonts w:eastAsiaTheme="minorEastAsia"/>
                <w:color w:val="000000"/>
                <w:sz w:val="24"/>
              </w:rPr>
            </w:pPr>
          </w:p>
        </w:tc>
        <w:tc>
          <w:tcPr>
            <w:tcW w:w="2384" w:type="dxa"/>
            <w:vAlign w:val="center"/>
          </w:tcPr>
          <w:p w14:paraId="13C3A66D">
            <w:pPr>
              <w:adjustRightInd w:val="0"/>
              <w:snapToGrid w:val="0"/>
              <w:jc w:val="center"/>
              <w:rPr>
                <w:rFonts w:eastAsiaTheme="minorEastAsia"/>
                <w:color w:val="000000"/>
                <w:sz w:val="24"/>
              </w:rPr>
            </w:pPr>
          </w:p>
        </w:tc>
        <w:tc>
          <w:tcPr>
            <w:tcW w:w="2126" w:type="dxa"/>
            <w:vAlign w:val="center"/>
          </w:tcPr>
          <w:p w14:paraId="53D451C1">
            <w:pPr>
              <w:adjustRightInd w:val="0"/>
              <w:snapToGrid w:val="0"/>
              <w:jc w:val="center"/>
              <w:rPr>
                <w:rFonts w:eastAsiaTheme="minorEastAsia"/>
                <w:color w:val="000000"/>
                <w:sz w:val="24"/>
              </w:rPr>
            </w:pPr>
          </w:p>
        </w:tc>
        <w:tc>
          <w:tcPr>
            <w:tcW w:w="1875" w:type="dxa"/>
            <w:vAlign w:val="center"/>
          </w:tcPr>
          <w:p w14:paraId="13512EC2">
            <w:pPr>
              <w:adjustRightInd w:val="0"/>
              <w:snapToGrid w:val="0"/>
              <w:jc w:val="center"/>
              <w:rPr>
                <w:rFonts w:eastAsiaTheme="minorEastAsia"/>
                <w:color w:val="000000"/>
                <w:sz w:val="24"/>
              </w:rPr>
            </w:pPr>
          </w:p>
        </w:tc>
        <w:tc>
          <w:tcPr>
            <w:tcW w:w="1009" w:type="dxa"/>
            <w:vAlign w:val="center"/>
          </w:tcPr>
          <w:p w14:paraId="2C7B938E">
            <w:pPr>
              <w:adjustRightInd w:val="0"/>
              <w:snapToGrid w:val="0"/>
              <w:jc w:val="center"/>
              <w:rPr>
                <w:rFonts w:eastAsiaTheme="minorEastAsia"/>
                <w:color w:val="000000"/>
                <w:sz w:val="24"/>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adjustRightInd w:val="0"/>
              <w:snapToGrid w:val="0"/>
              <w:jc w:val="center"/>
              <w:rPr>
                <w:rFonts w:eastAsiaTheme="minorEastAsia"/>
                <w:color w:val="000000"/>
                <w:sz w:val="24"/>
              </w:rPr>
            </w:pPr>
          </w:p>
        </w:tc>
        <w:tc>
          <w:tcPr>
            <w:tcW w:w="1482" w:type="dxa"/>
            <w:vAlign w:val="center"/>
          </w:tcPr>
          <w:p w14:paraId="566FF73C">
            <w:pPr>
              <w:adjustRightInd w:val="0"/>
              <w:snapToGrid w:val="0"/>
              <w:jc w:val="center"/>
              <w:rPr>
                <w:rFonts w:eastAsiaTheme="minorEastAsia"/>
                <w:color w:val="000000"/>
                <w:sz w:val="24"/>
              </w:rPr>
            </w:pPr>
          </w:p>
        </w:tc>
        <w:tc>
          <w:tcPr>
            <w:tcW w:w="2384" w:type="dxa"/>
            <w:vAlign w:val="center"/>
          </w:tcPr>
          <w:p w14:paraId="206CAE23">
            <w:pPr>
              <w:adjustRightInd w:val="0"/>
              <w:snapToGrid w:val="0"/>
              <w:jc w:val="center"/>
              <w:rPr>
                <w:rFonts w:eastAsiaTheme="minorEastAsia"/>
                <w:color w:val="000000"/>
                <w:sz w:val="24"/>
              </w:rPr>
            </w:pPr>
          </w:p>
        </w:tc>
        <w:tc>
          <w:tcPr>
            <w:tcW w:w="2126" w:type="dxa"/>
            <w:vAlign w:val="center"/>
          </w:tcPr>
          <w:p w14:paraId="0461396E">
            <w:pPr>
              <w:adjustRightInd w:val="0"/>
              <w:snapToGrid w:val="0"/>
              <w:jc w:val="center"/>
              <w:rPr>
                <w:rFonts w:eastAsiaTheme="minorEastAsia"/>
                <w:color w:val="000000"/>
                <w:sz w:val="24"/>
              </w:rPr>
            </w:pPr>
          </w:p>
        </w:tc>
        <w:tc>
          <w:tcPr>
            <w:tcW w:w="1875" w:type="dxa"/>
            <w:vAlign w:val="center"/>
          </w:tcPr>
          <w:p w14:paraId="20E4D3BB">
            <w:pPr>
              <w:adjustRightInd w:val="0"/>
              <w:snapToGrid w:val="0"/>
              <w:jc w:val="center"/>
              <w:rPr>
                <w:rFonts w:eastAsiaTheme="minorEastAsia"/>
                <w:color w:val="000000"/>
                <w:sz w:val="24"/>
              </w:rPr>
            </w:pPr>
          </w:p>
        </w:tc>
        <w:tc>
          <w:tcPr>
            <w:tcW w:w="1009" w:type="dxa"/>
            <w:vAlign w:val="center"/>
          </w:tcPr>
          <w:p w14:paraId="059B6B34">
            <w:pPr>
              <w:adjustRightInd w:val="0"/>
              <w:snapToGrid w:val="0"/>
              <w:jc w:val="center"/>
              <w:rPr>
                <w:rFonts w:eastAsiaTheme="minorEastAsia"/>
                <w:color w:val="000000"/>
                <w:sz w:val="24"/>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adjustRightInd w:val="0"/>
              <w:snapToGrid w:val="0"/>
              <w:jc w:val="center"/>
              <w:rPr>
                <w:rFonts w:eastAsiaTheme="minorEastAsia"/>
                <w:color w:val="000000"/>
                <w:sz w:val="24"/>
              </w:rPr>
            </w:pPr>
          </w:p>
        </w:tc>
        <w:tc>
          <w:tcPr>
            <w:tcW w:w="1482" w:type="dxa"/>
            <w:vAlign w:val="center"/>
          </w:tcPr>
          <w:p w14:paraId="130042DA">
            <w:pPr>
              <w:adjustRightInd w:val="0"/>
              <w:snapToGrid w:val="0"/>
              <w:jc w:val="center"/>
              <w:rPr>
                <w:rFonts w:eastAsiaTheme="minorEastAsia"/>
                <w:color w:val="000000"/>
                <w:sz w:val="24"/>
              </w:rPr>
            </w:pPr>
          </w:p>
        </w:tc>
        <w:tc>
          <w:tcPr>
            <w:tcW w:w="2384" w:type="dxa"/>
            <w:vAlign w:val="center"/>
          </w:tcPr>
          <w:p w14:paraId="0C11688F">
            <w:pPr>
              <w:adjustRightInd w:val="0"/>
              <w:snapToGrid w:val="0"/>
              <w:jc w:val="center"/>
              <w:rPr>
                <w:rFonts w:eastAsiaTheme="minorEastAsia"/>
                <w:color w:val="000000"/>
                <w:sz w:val="24"/>
              </w:rPr>
            </w:pPr>
          </w:p>
        </w:tc>
        <w:tc>
          <w:tcPr>
            <w:tcW w:w="2126" w:type="dxa"/>
            <w:vAlign w:val="center"/>
          </w:tcPr>
          <w:p w14:paraId="12E4F4BE">
            <w:pPr>
              <w:adjustRightInd w:val="0"/>
              <w:snapToGrid w:val="0"/>
              <w:jc w:val="center"/>
              <w:rPr>
                <w:rFonts w:eastAsiaTheme="minorEastAsia"/>
                <w:color w:val="000000"/>
                <w:sz w:val="24"/>
              </w:rPr>
            </w:pPr>
          </w:p>
        </w:tc>
        <w:tc>
          <w:tcPr>
            <w:tcW w:w="1875" w:type="dxa"/>
            <w:vAlign w:val="center"/>
          </w:tcPr>
          <w:p w14:paraId="748DD8BD">
            <w:pPr>
              <w:adjustRightInd w:val="0"/>
              <w:snapToGrid w:val="0"/>
              <w:jc w:val="center"/>
              <w:rPr>
                <w:rFonts w:eastAsiaTheme="minorEastAsia"/>
                <w:color w:val="000000"/>
                <w:sz w:val="24"/>
              </w:rPr>
            </w:pPr>
          </w:p>
        </w:tc>
        <w:tc>
          <w:tcPr>
            <w:tcW w:w="1009" w:type="dxa"/>
            <w:vAlign w:val="center"/>
          </w:tcPr>
          <w:p w14:paraId="00C0C1F3">
            <w:pPr>
              <w:adjustRightInd w:val="0"/>
              <w:snapToGrid w:val="0"/>
              <w:jc w:val="center"/>
              <w:rPr>
                <w:rFonts w:eastAsiaTheme="minorEastAsia"/>
                <w:color w:val="000000"/>
                <w:sz w:val="24"/>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adjustRightInd w:val="0"/>
              <w:snapToGrid w:val="0"/>
              <w:jc w:val="center"/>
              <w:rPr>
                <w:rFonts w:eastAsiaTheme="minorEastAsia"/>
                <w:color w:val="000000"/>
                <w:sz w:val="24"/>
              </w:rPr>
            </w:pPr>
          </w:p>
        </w:tc>
        <w:tc>
          <w:tcPr>
            <w:tcW w:w="1482" w:type="dxa"/>
            <w:vAlign w:val="center"/>
          </w:tcPr>
          <w:p w14:paraId="001B9D55">
            <w:pPr>
              <w:adjustRightInd w:val="0"/>
              <w:snapToGrid w:val="0"/>
              <w:jc w:val="center"/>
              <w:rPr>
                <w:rFonts w:eastAsiaTheme="minorEastAsia"/>
                <w:color w:val="000000"/>
                <w:sz w:val="24"/>
              </w:rPr>
            </w:pPr>
          </w:p>
        </w:tc>
        <w:tc>
          <w:tcPr>
            <w:tcW w:w="2384" w:type="dxa"/>
            <w:vAlign w:val="center"/>
          </w:tcPr>
          <w:p w14:paraId="3E6F674C">
            <w:pPr>
              <w:adjustRightInd w:val="0"/>
              <w:snapToGrid w:val="0"/>
              <w:jc w:val="center"/>
              <w:rPr>
                <w:rFonts w:eastAsiaTheme="minorEastAsia"/>
                <w:color w:val="000000"/>
                <w:sz w:val="24"/>
              </w:rPr>
            </w:pPr>
          </w:p>
        </w:tc>
        <w:tc>
          <w:tcPr>
            <w:tcW w:w="2126" w:type="dxa"/>
            <w:vAlign w:val="center"/>
          </w:tcPr>
          <w:p w14:paraId="52DAA8E6">
            <w:pPr>
              <w:adjustRightInd w:val="0"/>
              <w:snapToGrid w:val="0"/>
              <w:jc w:val="center"/>
              <w:rPr>
                <w:rFonts w:eastAsiaTheme="minorEastAsia"/>
                <w:color w:val="000000"/>
                <w:sz w:val="24"/>
              </w:rPr>
            </w:pPr>
          </w:p>
        </w:tc>
        <w:tc>
          <w:tcPr>
            <w:tcW w:w="1875" w:type="dxa"/>
            <w:vAlign w:val="center"/>
          </w:tcPr>
          <w:p w14:paraId="298E6310">
            <w:pPr>
              <w:adjustRightInd w:val="0"/>
              <w:snapToGrid w:val="0"/>
              <w:jc w:val="center"/>
              <w:rPr>
                <w:rFonts w:eastAsiaTheme="minorEastAsia"/>
                <w:color w:val="000000"/>
                <w:sz w:val="24"/>
              </w:rPr>
            </w:pPr>
          </w:p>
        </w:tc>
        <w:tc>
          <w:tcPr>
            <w:tcW w:w="1009" w:type="dxa"/>
            <w:vAlign w:val="center"/>
          </w:tcPr>
          <w:p w14:paraId="567B18AE">
            <w:pPr>
              <w:adjustRightInd w:val="0"/>
              <w:snapToGrid w:val="0"/>
              <w:jc w:val="center"/>
              <w:rPr>
                <w:rFonts w:eastAsiaTheme="minorEastAsia"/>
                <w:color w:val="000000"/>
                <w:sz w:val="24"/>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adjustRightInd w:val="0"/>
              <w:snapToGrid w:val="0"/>
              <w:jc w:val="center"/>
              <w:rPr>
                <w:rFonts w:eastAsiaTheme="minorEastAsia"/>
                <w:color w:val="000000"/>
                <w:sz w:val="24"/>
              </w:rPr>
            </w:pPr>
          </w:p>
        </w:tc>
        <w:tc>
          <w:tcPr>
            <w:tcW w:w="1482" w:type="dxa"/>
            <w:vAlign w:val="center"/>
          </w:tcPr>
          <w:p w14:paraId="01AF73C2">
            <w:pPr>
              <w:adjustRightInd w:val="0"/>
              <w:snapToGrid w:val="0"/>
              <w:jc w:val="center"/>
              <w:rPr>
                <w:rFonts w:eastAsiaTheme="minorEastAsia"/>
                <w:color w:val="000000"/>
                <w:sz w:val="24"/>
              </w:rPr>
            </w:pPr>
          </w:p>
        </w:tc>
        <w:tc>
          <w:tcPr>
            <w:tcW w:w="2384" w:type="dxa"/>
            <w:vAlign w:val="center"/>
          </w:tcPr>
          <w:p w14:paraId="42F89A71">
            <w:pPr>
              <w:adjustRightInd w:val="0"/>
              <w:snapToGrid w:val="0"/>
              <w:jc w:val="center"/>
              <w:rPr>
                <w:rFonts w:eastAsiaTheme="minorEastAsia"/>
                <w:color w:val="000000"/>
                <w:sz w:val="24"/>
              </w:rPr>
            </w:pPr>
          </w:p>
        </w:tc>
        <w:tc>
          <w:tcPr>
            <w:tcW w:w="2126" w:type="dxa"/>
            <w:vAlign w:val="center"/>
          </w:tcPr>
          <w:p w14:paraId="5649A709">
            <w:pPr>
              <w:adjustRightInd w:val="0"/>
              <w:snapToGrid w:val="0"/>
              <w:jc w:val="center"/>
              <w:rPr>
                <w:rFonts w:eastAsiaTheme="minorEastAsia"/>
                <w:color w:val="000000"/>
                <w:sz w:val="24"/>
              </w:rPr>
            </w:pPr>
          </w:p>
        </w:tc>
        <w:tc>
          <w:tcPr>
            <w:tcW w:w="1875" w:type="dxa"/>
            <w:vAlign w:val="center"/>
          </w:tcPr>
          <w:p w14:paraId="6299E7C6">
            <w:pPr>
              <w:adjustRightInd w:val="0"/>
              <w:snapToGrid w:val="0"/>
              <w:jc w:val="center"/>
              <w:rPr>
                <w:rFonts w:eastAsiaTheme="minorEastAsia"/>
                <w:color w:val="000000"/>
                <w:sz w:val="24"/>
              </w:rPr>
            </w:pPr>
          </w:p>
        </w:tc>
        <w:tc>
          <w:tcPr>
            <w:tcW w:w="1009" w:type="dxa"/>
            <w:vAlign w:val="center"/>
          </w:tcPr>
          <w:p w14:paraId="455D7929">
            <w:pPr>
              <w:adjustRightInd w:val="0"/>
              <w:snapToGrid w:val="0"/>
              <w:jc w:val="center"/>
              <w:rPr>
                <w:rFonts w:eastAsiaTheme="minorEastAsia"/>
                <w:color w:val="000000"/>
                <w:sz w:val="24"/>
              </w:rPr>
            </w:pPr>
          </w:p>
        </w:tc>
      </w:tr>
    </w:tbl>
    <w:p w14:paraId="033CDC4F">
      <w:pPr>
        <w:tabs>
          <w:tab w:val="left" w:pos="1800"/>
          <w:tab w:val="left" w:pos="5580"/>
        </w:tabs>
        <w:spacing w:line="360" w:lineRule="auto"/>
        <w:ind w:firstLine="360" w:firstLineChars="150"/>
        <w:jc w:val="left"/>
        <w:rPr>
          <w:rFonts w:eastAsiaTheme="minorEastAsia"/>
          <w:color w:val="000000"/>
          <w:sz w:val="24"/>
          <w:u w:val="single"/>
        </w:rPr>
      </w:pPr>
    </w:p>
    <w:p w14:paraId="50DC6E28">
      <w:pPr>
        <w:tabs>
          <w:tab w:val="left" w:pos="1800"/>
          <w:tab w:val="left" w:pos="5580"/>
        </w:tabs>
        <w:spacing w:line="360" w:lineRule="auto"/>
        <w:ind w:firstLine="360" w:firstLineChars="150"/>
        <w:jc w:val="left"/>
        <w:rPr>
          <w:rFonts w:eastAsiaTheme="minorEastAsia"/>
          <w:color w:val="000000"/>
          <w:sz w:val="24"/>
          <w:u w:val="single"/>
        </w:rPr>
      </w:pPr>
    </w:p>
    <w:p w14:paraId="59714B49">
      <w:pPr>
        <w:tabs>
          <w:tab w:val="left" w:pos="1800"/>
          <w:tab w:val="left" w:pos="5580"/>
        </w:tabs>
        <w:jc w:val="left"/>
        <w:rPr>
          <w:rFonts w:eastAsiaTheme="minorEastAsia"/>
          <w:color w:val="000000"/>
          <w:sz w:val="24"/>
        </w:rPr>
      </w:pPr>
      <w:r>
        <w:rPr>
          <w:rFonts w:eastAsiaTheme="minorEastAsia"/>
          <w:color w:val="000000"/>
          <w:sz w:val="24"/>
        </w:rPr>
        <w:t>注：</w:t>
      </w:r>
    </w:p>
    <w:p w14:paraId="337ADBDC">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0C75F308">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B5163E9">
      <w:pPr>
        <w:tabs>
          <w:tab w:val="left" w:pos="1800"/>
          <w:tab w:val="left" w:pos="5580"/>
        </w:tabs>
        <w:jc w:val="left"/>
        <w:rPr>
          <w:rFonts w:eastAsiaTheme="minorEastAsia"/>
          <w:color w:val="000000"/>
          <w:sz w:val="24"/>
        </w:rPr>
      </w:pPr>
    </w:p>
    <w:p w14:paraId="4C72A514">
      <w:pPr>
        <w:rPr>
          <w:rFonts w:eastAsiaTheme="minorEastAsia"/>
          <w:color w:val="000000"/>
          <w:sz w:val="24"/>
          <w:szCs w:val="20"/>
        </w:rPr>
      </w:pPr>
    </w:p>
    <w:p w14:paraId="514A9652">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89D3146">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2880330E">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11  竞争性磋商文件要求提供或供应商认为应附的其他材料</w:t>
      </w:r>
    </w:p>
    <w:p w14:paraId="59335608">
      <w:pPr>
        <w:widowControl/>
        <w:jc w:val="left"/>
        <w:rPr>
          <w:rFonts w:eastAsiaTheme="minorEastAsia"/>
          <w:b/>
          <w:sz w:val="36"/>
          <w:szCs w:val="36"/>
        </w:rPr>
      </w:pPr>
    </w:p>
    <w:p w14:paraId="48B97C9A">
      <w:pPr>
        <w:widowControl/>
        <w:jc w:val="left"/>
        <w:rPr>
          <w:color w:val="000000"/>
          <w:sz w:val="24"/>
          <w:szCs w:val="20"/>
        </w:rPr>
      </w:pPr>
      <w:bookmarkStart w:id="2243" w:name="_Hlk167094858"/>
      <w:r>
        <w:rPr>
          <w:rFonts w:hint="eastAsia"/>
          <w:color w:val="000000"/>
          <w:sz w:val="24"/>
          <w:szCs w:val="20"/>
        </w:rPr>
        <w:t>11</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04C8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EEDF36B">
            <w:pPr>
              <w:rPr>
                <w:sz w:val="24"/>
              </w:rPr>
            </w:pPr>
            <w:r>
              <w:rPr>
                <w:rFonts w:hint="eastAsia"/>
                <w:sz w:val="24"/>
              </w:rPr>
              <w:t>供应商名称</w:t>
            </w:r>
          </w:p>
        </w:tc>
        <w:tc>
          <w:tcPr>
            <w:tcW w:w="1667" w:type="pct"/>
          </w:tcPr>
          <w:p w14:paraId="59A010AF">
            <w:pPr>
              <w:rPr>
                <w:sz w:val="24"/>
              </w:rPr>
            </w:pPr>
            <w:r>
              <w:rPr>
                <w:rFonts w:hint="eastAsia"/>
                <w:sz w:val="24"/>
              </w:rPr>
              <w:t>供应商所属性别</w:t>
            </w:r>
          </w:p>
        </w:tc>
        <w:tc>
          <w:tcPr>
            <w:tcW w:w="1667" w:type="pct"/>
          </w:tcPr>
          <w:p w14:paraId="6CACE7FB">
            <w:pPr>
              <w:rPr>
                <w:sz w:val="24"/>
              </w:rPr>
            </w:pPr>
            <w:r>
              <w:rPr>
                <w:rFonts w:hint="eastAsia"/>
                <w:sz w:val="24"/>
              </w:rPr>
              <w:t>外商投资类型</w:t>
            </w:r>
          </w:p>
        </w:tc>
      </w:tr>
      <w:tr w14:paraId="3022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52559881">
            <w:pPr>
              <w:rPr>
                <w:sz w:val="24"/>
              </w:rPr>
            </w:pPr>
          </w:p>
        </w:tc>
        <w:tc>
          <w:tcPr>
            <w:tcW w:w="1667" w:type="pct"/>
          </w:tcPr>
          <w:p w14:paraId="38C878E9">
            <w:pPr>
              <w:rPr>
                <w:sz w:val="24"/>
              </w:rPr>
            </w:pPr>
          </w:p>
        </w:tc>
        <w:tc>
          <w:tcPr>
            <w:tcW w:w="1667" w:type="pct"/>
          </w:tcPr>
          <w:p w14:paraId="7DD359A2">
            <w:pPr>
              <w:rPr>
                <w:sz w:val="24"/>
              </w:rPr>
            </w:pPr>
          </w:p>
        </w:tc>
      </w:tr>
      <w:tr w14:paraId="2B0D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A1FFE64"/>
        </w:tc>
        <w:tc>
          <w:tcPr>
            <w:tcW w:w="1667" w:type="pct"/>
          </w:tcPr>
          <w:p w14:paraId="786F0250"/>
        </w:tc>
        <w:tc>
          <w:tcPr>
            <w:tcW w:w="1667" w:type="pct"/>
          </w:tcPr>
          <w:p w14:paraId="55B8BBE9"/>
        </w:tc>
      </w:tr>
      <w:tr w14:paraId="43909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7F62A5B"/>
        </w:tc>
        <w:tc>
          <w:tcPr>
            <w:tcW w:w="1667" w:type="pct"/>
          </w:tcPr>
          <w:p w14:paraId="49C3C664"/>
        </w:tc>
        <w:tc>
          <w:tcPr>
            <w:tcW w:w="1667" w:type="pct"/>
          </w:tcPr>
          <w:p w14:paraId="769EC24A"/>
        </w:tc>
      </w:tr>
      <w:tr w14:paraId="77F0E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D84FA72"/>
        </w:tc>
        <w:tc>
          <w:tcPr>
            <w:tcW w:w="1667" w:type="pct"/>
          </w:tcPr>
          <w:p w14:paraId="1188B33F"/>
        </w:tc>
        <w:tc>
          <w:tcPr>
            <w:tcW w:w="1667" w:type="pct"/>
          </w:tcPr>
          <w:p w14:paraId="44512478"/>
        </w:tc>
      </w:tr>
    </w:tbl>
    <w:p w14:paraId="70A833F3">
      <w:pPr>
        <w:tabs>
          <w:tab w:val="left" w:pos="1800"/>
          <w:tab w:val="left" w:pos="5580"/>
        </w:tabs>
        <w:jc w:val="left"/>
        <w:rPr>
          <w:color w:val="000000"/>
          <w:sz w:val="24"/>
        </w:rPr>
      </w:pPr>
      <w:r>
        <w:rPr>
          <w:rFonts w:hint="eastAsia"/>
          <w:color w:val="000000"/>
          <w:sz w:val="24"/>
        </w:rPr>
        <w:t>注：1.供应商如为联合体，则应填写联合体各成员信息。</w:t>
      </w:r>
    </w:p>
    <w:p w14:paraId="7FDDE9D5">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7F609A9E">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2243"/>
    <w:p w14:paraId="655A55EB">
      <w:pPr>
        <w:widowControl/>
        <w:jc w:val="left"/>
        <w:rPr>
          <w:rFonts w:eastAsiaTheme="minorEastAsia"/>
          <w:b/>
          <w:sz w:val="36"/>
          <w:szCs w:val="36"/>
        </w:rPr>
      </w:pPr>
      <w:r>
        <w:rPr>
          <w:rFonts w:eastAsiaTheme="minorEastAsia"/>
          <w:b/>
          <w:sz w:val="36"/>
          <w:szCs w:val="36"/>
        </w:rPr>
        <w:br w:type="page"/>
      </w:r>
    </w:p>
    <w:p w14:paraId="41A3A9DA">
      <w:pPr>
        <w:tabs>
          <w:tab w:val="left" w:pos="360"/>
        </w:tabs>
        <w:snapToGrid w:val="0"/>
        <w:spacing w:line="360" w:lineRule="auto"/>
        <w:outlineLvl w:val="1"/>
        <w:rPr>
          <w:rFonts w:eastAsiaTheme="minorEastAsia"/>
          <w:sz w:val="24"/>
        </w:rPr>
      </w:pPr>
      <w:r>
        <w:rPr>
          <w:rFonts w:eastAsiaTheme="minorEastAsia"/>
          <w:sz w:val="24"/>
        </w:rPr>
        <w:t>12  最后报价一览表（实质性格式，磋商后提交）</w:t>
      </w:r>
    </w:p>
    <w:p w14:paraId="72492316">
      <w:pPr>
        <w:widowControl/>
        <w:jc w:val="left"/>
        <w:rPr>
          <w:rFonts w:eastAsiaTheme="minorEastAsia"/>
          <w:kern w:val="0"/>
          <w:sz w:val="24"/>
          <w:szCs w:val="20"/>
        </w:rPr>
      </w:pPr>
    </w:p>
    <w:p w14:paraId="1F3CF4F4">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008DF9A7">
      <w:pPr>
        <w:tabs>
          <w:tab w:val="left" w:pos="1800"/>
          <w:tab w:val="left" w:pos="5580"/>
        </w:tabs>
        <w:spacing w:line="360" w:lineRule="auto"/>
        <w:jc w:val="left"/>
        <w:rPr>
          <w:rFonts w:eastAsiaTheme="minorEastAsia"/>
          <w:color w:val="000000"/>
          <w:sz w:val="24"/>
        </w:rPr>
      </w:pPr>
    </w:p>
    <w:p w14:paraId="570D405A">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6831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1A5CBCD9">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72C58F18">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200F89C0">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7F766614">
            <w:pPr>
              <w:tabs>
                <w:tab w:val="left" w:pos="5580"/>
              </w:tabs>
              <w:jc w:val="center"/>
              <w:rPr>
                <w:rFonts w:eastAsiaTheme="minorEastAsia"/>
                <w:b/>
                <w:sz w:val="24"/>
              </w:rPr>
            </w:pPr>
            <w:r>
              <w:rPr>
                <w:rFonts w:eastAsiaTheme="minorEastAsia"/>
                <w:b/>
                <w:sz w:val="24"/>
              </w:rPr>
              <w:t>其他</w:t>
            </w:r>
          </w:p>
          <w:p w14:paraId="7C37151B">
            <w:pPr>
              <w:tabs>
                <w:tab w:val="left" w:pos="5580"/>
              </w:tabs>
              <w:jc w:val="center"/>
              <w:rPr>
                <w:rFonts w:eastAsiaTheme="minorEastAsia"/>
                <w:b/>
                <w:sz w:val="24"/>
              </w:rPr>
            </w:pPr>
            <w:r>
              <w:rPr>
                <w:rFonts w:eastAsiaTheme="minorEastAsia"/>
                <w:b/>
                <w:sz w:val="24"/>
              </w:rPr>
              <w:t>声明</w:t>
            </w:r>
          </w:p>
        </w:tc>
      </w:tr>
      <w:tr w14:paraId="0E74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5698C8E3">
            <w:pPr>
              <w:tabs>
                <w:tab w:val="left" w:pos="5580"/>
              </w:tabs>
              <w:jc w:val="center"/>
              <w:rPr>
                <w:rFonts w:eastAsiaTheme="minorEastAsia"/>
                <w:sz w:val="24"/>
              </w:rPr>
            </w:pPr>
          </w:p>
        </w:tc>
        <w:tc>
          <w:tcPr>
            <w:tcW w:w="1498" w:type="pct"/>
            <w:vMerge w:val="continue"/>
            <w:vAlign w:val="center"/>
          </w:tcPr>
          <w:p w14:paraId="3E5F7D63">
            <w:pPr>
              <w:tabs>
                <w:tab w:val="left" w:pos="5580"/>
              </w:tabs>
              <w:jc w:val="center"/>
              <w:rPr>
                <w:rFonts w:eastAsiaTheme="minorEastAsia"/>
                <w:sz w:val="24"/>
              </w:rPr>
            </w:pPr>
          </w:p>
        </w:tc>
        <w:tc>
          <w:tcPr>
            <w:tcW w:w="1114" w:type="pct"/>
            <w:vAlign w:val="center"/>
          </w:tcPr>
          <w:p w14:paraId="705A1F65">
            <w:pPr>
              <w:tabs>
                <w:tab w:val="left" w:pos="5580"/>
              </w:tabs>
              <w:jc w:val="center"/>
              <w:rPr>
                <w:rFonts w:eastAsiaTheme="minorEastAsia"/>
                <w:b/>
                <w:sz w:val="24"/>
              </w:rPr>
            </w:pPr>
            <w:r>
              <w:rPr>
                <w:rFonts w:eastAsiaTheme="minorEastAsia"/>
                <w:b/>
                <w:sz w:val="24"/>
              </w:rPr>
              <w:t>大写</w:t>
            </w:r>
          </w:p>
        </w:tc>
        <w:tc>
          <w:tcPr>
            <w:tcW w:w="992" w:type="pct"/>
            <w:vAlign w:val="center"/>
          </w:tcPr>
          <w:p w14:paraId="4C735D20">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275BF936">
            <w:pPr>
              <w:tabs>
                <w:tab w:val="left" w:pos="5580"/>
              </w:tabs>
              <w:ind w:firstLine="482"/>
              <w:jc w:val="center"/>
              <w:rPr>
                <w:rFonts w:eastAsiaTheme="minorEastAsia"/>
                <w:b/>
                <w:sz w:val="24"/>
              </w:rPr>
            </w:pPr>
          </w:p>
        </w:tc>
      </w:tr>
      <w:tr w14:paraId="5D33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1EBFDF64">
            <w:pPr>
              <w:tabs>
                <w:tab w:val="left" w:pos="5580"/>
              </w:tabs>
              <w:jc w:val="center"/>
              <w:rPr>
                <w:rFonts w:eastAsiaTheme="minorEastAsia"/>
                <w:sz w:val="24"/>
              </w:rPr>
            </w:pPr>
          </w:p>
        </w:tc>
        <w:tc>
          <w:tcPr>
            <w:tcW w:w="1498" w:type="pct"/>
            <w:vAlign w:val="center"/>
          </w:tcPr>
          <w:p w14:paraId="41E9CCD7">
            <w:pPr>
              <w:tabs>
                <w:tab w:val="left" w:pos="5580"/>
              </w:tabs>
              <w:jc w:val="center"/>
              <w:rPr>
                <w:rFonts w:eastAsiaTheme="minorEastAsia"/>
                <w:sz w:val="24"/>
              </w:rPr>
            </w:pPr>
          </w:p>
        </w:tc>
        <w:tc>
          <w:tcPr>
            <w:tcW w:w="1114" w:type="pct"/>
            <w:vAlign w:val="center"/>
          </w:tcPr>
          <w:p w14:paraId="41643D91">
            <w:pPr>
              <w:tabs>
                <w:tab w:val="left" w:pos="5580"/>
              </w:tabs>
              <w:jc w:val="center"/>
              <w:rPr>
                <w:rFonts w:eastAsiaTheme="minorEastAsia"/>
                <w:sz w:val="24"/>
              </w:rPr>
            </w:pPr>
          </w:p>
        </w:tc>
        <w:tc>
          <w:tcPr>
            <w:tcW w:w="992" w:type="pct"/>
            <w:vAlign w:val="center"/>
          </w:tcPr>
          <w:p w14:paraId="3D9AC396">
            <w:pPr>
              <w:tabs>
                <w:tab w:val="left" w:pos="5580"/>
              </w:tabs>
              <w:jc w:val="center"/>
              <w:rPr>
                <w:rFonts w:eastAsiaTheme="minorEastAsia"/>
                <w:sz w:val="24"/>
              </w:rPr>
            </w:pPr>
          </w:p>
        </w:tc>
        <w:tc>
          <w:tcPr>
            <w:tcW w:w="949" w:type="pct"/>
            <w:vAlign w:val="center"/>
          </w:tcPr>
          <w:p w14:paraId="50014EA8">
            <w:pPr>
              <w:tabs>
                <w:tab w:val="left" w:pos="5580"/>
              </w:tabs>
              <w:jc w:val="center"/>
              <w:rPr>
                <w:rFonts w:eastAsiaTheme="minorEastAsia"/>
                <w:sz w:val="24"/>
              </w:rPr>
            </w:pPr>
          </w:p>
        </w:tc>
      </w:tr>
    </w:tbl>
    <w:p w14:paraId="19530819">
      <w:pPr>
        <w:autoSpaceDE w:val="0"/>
        <w:autoSpaceDN w:val="0"/>
        <w:adjustRightInd w:val="0"/>
        <w:jc w:val="left"/>
        <w:rPr>
          <w:rFonts w:eastAsiaTheme="minorEastAsia"/>
          <w:color w:val="000000"/>
          <w:kern w:val="0"/>
          <w:sz w:val="24"/>
        </w:rPr>
      </w:pPr>
    </w:p>
    <w:p w14:paraId="05F722E9">
      <w:pPr>
        <w:autoSpaceDE w:val="0"/>
        <w:autoSpaceDN w:val="0"/>
        <w:adjustRightInd w:val="0"/>
        <w:jc w:val="left"/>
        <w:rPr>
          <w:rFonts w:eastAsiaTheme="minorEastAsia"/>
          <w:color w:val="000000"/>
          <w:kern w:val="0"/>
          <w:sz w:val="24"/>
        </w:rPr>
      </w:pPr>
    </w:p>
    <w:p w14:paraId="16512DDD">
      <w:pPr>
        <w:autoSpaceDE w:val="0"/>
        <w:autoSpaceDN w:val="0"/>
        <w:adjustRightInd w:val="0"/>
        <w:jc w:val="left"/>
        <w:rPr>
          <w:rFonts w:eastAsiaTheme="minorEastAsia"/>
          <w:color w:val="000000"/>
          <w:kern w:val="0"/>
          <w:sz w:val="24"/>
        </w:rPr>
      </w:pPr>
    </w:p>
    <w:p w14:paraId="2EB942D9">
      <w:pPr>
        <w:autoSpaceDE w:val="0"/>
        <w:autoSpaceDN w:val="0"/>
        <w:adjustRightInd w:val="0"/>
        <w:jc w:val="left"/>
        <w:rPr>
          <w:rFonts w:eastAsiaTheme="minorEastAsia"/>
          <w:color w:val="000000"/>
          <w:kern w:val="0"/>
          <w:sz w:val="24"/>
        </w:rPr>
      </w:pPr>
    </w:p>
    <w:p w14:paraId="216A576A">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07A8370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1BE92286">
      <w:pPr>
        <w:pStyle w:val="177"/>
        <w:ind w:left="642" w:leftChars="227" w:hanging="165" w:hangingChars="69"/>
        <w:rPr>
          <w:rFonts w:ascii="Times New Roman" w:hAnsi="Times New Roman"/>
          <w:sz w:val="24"/>
          <w:szCs w:val="24"/>
        </w:rPr>
      </w:pPr>
      <w:r>
        <w:rPr>
          <w:rFonts w:ascii="Times New Roman" w:hAnsi="Times New Roman"/>
          <w:sz w:val="24"/>
          <w:szCs w:val="24"/>
        </w:rPr>
        <w:t>3.</w:t>
      </w:r>
      <w:bookmarkStart w:id="2244" w:name="_Hlk137145809"/>
      <w:r>
        <w:rPr>
          <w:rFonts w:ascii="Times New Roman" w:hAnsi="Times New Roman"/>
          <w:sz w:val="24"/>
          <w:szCs w:val="24"/>
        </w:rPr>
        <w:t>此表无需在响应文件中提交，磋商后供应商按磋商小组要求提交。</w:t>
      </w:r>
      <w:bookmarkEnd w:id="2244"/>
    </w:p>
    <w:p w14:paraId="008DC131">
      <w:pPr>
        <w:tabs>
          <w:tab w:val="left" w:pos="5580"/>
        </w:tabs>
        <w:ind w:firstLine="480" w:firstLineChars="200"/>
        <w:rPr>
          <w:rFonts w:eastAsiaTheme="minorEastAsia"/>
          <w:color w:val="000000"/>
          <w:sz w:val="24"/>
          <w:szCs w:val="20"/>
        </w:rPr>
      </w:pPr>
    </w:p>
    <w:p w14:paraId="5B54DABE">
      <w:pPr>
        <w:autoSpaceDE w:val="0"/>
        <w:autoSpaceDN w:val="0"/>
        <w:adjustRightInd w:val="0"/>
        <w:snapToGrid w:val="0"/>
        <w:spacing w:before="25" w:after="25" w:line="360" w:lineRule="auto"/>
        <w:rPr>
          <w:rFonts w:eastAsiaTheme="minorEastAsia"/>
          <w:color w:val="000000"/>
          <w:sz w:val="24"/>
          <w:lang w:val="zh-CN"/>
        </w:rPr>
      </w:pPr>
    </w:p>
    <w:p w14:paraId="61588FE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D9470F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7EEEF3C2">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5AE3CE75">
      <w:pPr>
        <w:widowControl/>
        <w:jc w:val="left"/>
        <w:rPr>
          <w:rFonts w:eastAsiaTheme="minorEastAsia"/>
          <w:color w:val="000000"/>
          <w:sz w:val="24"/>
          <w:szCs w:val="20"/>
        </w:rPr>
      </w:pPr>
    </w:p>
    <w:p w14:paraId="7A0B826E">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4BFE0C85">
      <w:pPr>
        <w:tabs>
          <w:tab w:val="left" w:pos="360"/>
        </w:tabs>
        <w:snapToGrid w:val="0"/>
        <w:spacing w:line="360" w:lineRule="auto"/>
        <w:outlineLvl w:val="1"/>
        <w:rPr>
          <w:rFonts w:eastAsiaTheme="minorEastAsia"/>
          <w:sz w:val="24"/>
        </w:rPr>
      </w:pPr>
      <w:r>
        <w:rPr>
          <w:rFonts w:eastAsiaTheme="minorEastAsia"/>
          <w:sz w:val="24"/>
        </w:rPr>
        <w:t>13  最后分项报价表（实质性格式</w:t>
      </w:r>
      <w:r>
        <w:rPr>
          <w:rFonts w:hint="eastAsia" w:eastAsiaTheme="minorEastAsia"/>
          <w:sz w:val="24"/>
        </w:rPr>
        <w:t>，磋商后提交</w:t>
      </w:r>
      <w:r>
        <w:rPr>
          <w:rFonts w:eastAsiaTheme="minorEastAsia"/>
          <w:sz w:val="24"/>
        </w:rPr>
        <w:t>）</w:t>
      </w:r>
    </w:p>
    <w:p w14:paraId="6C3323DA">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00F364B9">
      <w:pPr>
        <w:spacing w:line="260" w:lineRule="exact"/>
        <w:jc w:val="center"/>
        <w:rPr>
          <w:rFonts w:eastAsiaTheme="minorEastAsia"/>
          <w:color w:val="000000"/>
          <w:sz w:val="36"/>
          <w:szCs w:val="36"/>
        </w:rPr>
      </w:pPr>
    </w:p>
    <w:p w14:paraId="096C0C50">
      <w:pPr>
        <w:tabs>
          <w:tab w:val="left" w:pos="1800"/>
          <w:tab w:val="left" w:pos="5580"/>
        </w:tabs>
        <w:jc w:val="left"/>
        <w:rPr>
          <w:rFonts w:eastAsiaTheme="minorEastAsia"/>
          <w:color w:val="000000"/>
          <w:sz w:val="24"/>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536"/>
        <w:gridCol w:w="1418"/>
        <w:gridCol w:w="1559"/>
      </w:tblGrid>
      <w:tr w14:paraId="76F0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00" w:type="dxa"/>
            <w:vAlign w:val="center"/>
          </w:tcPr>
          <w:p w14:paraId="7DF9DDE1">
            <w:pPr>
              <w:adjustRightInd w:val="0"/>
              <w:jc w:val="center"/>
              <w:textAlignment w:val="baseline"/>
              <w:rPr>
                <w:kern w:val="0"/>
                <w:sz w:val="24"/>
                <w:szCs w:val="20"/>
              </w:rPr>
            </w:pPr>
            <w:r>
              <w:rPr>
                <w:kern w:val="0"/>
                <w:sz w:val="24"/>
                <w:szCs w:val="20"/>
              </w:rPr>
              <w:t>序号</w:t>
            </w:r>
          </w:p>
        </w:tc>
        <w:tc>
          <w:tcPr>
            <w:tcW w:w="4536" w:type="dxa"/>
            <w:vAlign w:val="center"/>
          </w:tcPr>
          <w:p w14:paraId="75C1EB95">
            <w:pPr>
              <w:adjustRightInd w:val="0"/>
              <w:jc w:val="center"/>
              <w:textAlignment w:val="baseline"/>
              <w:rPr>
                <w:kern w:val="0"/>
                <w:sz w:val="24"/>
                <w:szCs w:val="20"/>
              </w:rPr>
            </w:pPr>
            <w:r>
              <w:rPr>
                <w:kern w:val="0"/>
                <w:sz w:val="24"/>
                <w:szCs w:val="20"/>
              </w:rPr>
              <w:t>最后报价计算过程或说明（</w:t>
            </w:r>
            <w:r>
              <w:rPr>
                <w:color w:val="000000"/>
                <w:sz w:val="24"/>
              </w:rPr>
              <w:t>可以填写按第一次报价下浮/上浮比例，也可以填写相对第一次报价某部分价格变化情况</w:t>
            </w:r>
            <w:r>
              <w:rPr>
                <w:kern w:val="0"/>
                <w:sz w:val="24"/>
                <w:szCs w:val="20"/>
              </w:rPr>
              <w:t>）</w:t>
            </w:r>
          </w:p>
        </w:tc>
        <w:tc>
          <w:tcPr>
            <w:tcW w:w="1418" w:type="dxa"/>
            <w:vAlign w:val="center"/>
          </w:tcPr>
          <w:p w14:paraId="2B77B43B">
            <w:pPr>
              <w:adjustRightInd w:val="0"/>
              <w:jc w:val="center"/>
              <w:textAlignment w:val="baseline"/>
              <w:rPr>
                <w:kern w:val="0"/>
                <w:sz w:val="24"/>
                <w:szCs w:val="20"/>
              </w:rPr>
            </w:pPr>
            <w:r>
              <w:rPr>
                <w:kern w:val="0"/>
                <w:sz w:val="24"/>
                <w:szCs w:val="20"/>
              </w:rPr>
              <w:t>总价（元）</w:t>
            </w:r>
          </w:p>
        </w:tc>
        <w:tc>
          <w:tcPr>
            <w:tcW w:w="1559" w:type="dxa"/>
            <w:vAlign w:val="center"/>
          </w:tcPr>
          <w:p w14:paraId="2A4A1413">
            <w:pPr>
              <w:adjustRightInd w:val="0"/>
              <w:jc w:val="center"/>
              <w:textAlignment w:val="baseline"/>
              <w:rPr>
                <w:kern w:val="0"/>
                <w:sz w:val="24"/>
                <w:szCs w:val="20"/>
              </w:rPr>
            </w:pPr>
            <w:r>
              <w:rPr>
                <w:kern w:val="0"/>
                <w:sz w:val="24"/>
                <w:szCs w:val="20"/>
              </w:rPr>
              <w:t>备注</w:t>
            </w:r>
          </w:p>
        </w:tc>
      </w:tr>
      <w:tr w14:paraId="25B6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900" w:type="dxa"/>
            <w:vAlign w:val="center"/>
          </w:tcPr>
          <w:p w14:paraId="14875096">
            <w:pPr>
              <w:adjustRightInd w:val="0"/>
              <w:jc w:val="center"/>
              <w:textAlignment w:val="baseline"/>
              <w:rPr>
                <w:kern w:val="0"/>
                <w:sz w:val="24"/>
                <w:szCs w:val="20"/>
              </w:rPr>
            </w:pPr>
            <w:r>
              <w:rPr>
                <w:kern w:val="0"/>
                <w:sz w:val="24"/>
                <w:szCs w:val="20"/>
              </w:rPr>
              <w:t>1</w:t>
            </w:r>
          </w:p>
        </w:tc>
        <w:tc>
          <w:tcPr>
            <w:tcW w:w="4536" w:type="dxa"/>
            <w:vAlign w:val="center"/>
          </w:tcPr>
          <w:p w14:paraId="262B52CD">
            <w:pPr>
              <w:adjustRightInd w:val="0"/>
              <w:jc w:val="center"/>
              <w:textAlignment w:val="baseline"/>
              <w:rPr>
                <w:kern w:val="0"/>
                <w:sz w:val="24"/>
                <w:szCs w:val="20"/>
              </w:rPr>
            </w:pPr>
          </w:p>
        </w:tc>
        <w:tc>
          <w:tcPr>
            <w:tcW w:w="1418" w:type="dxa"/>
            <w:vAlign w:val="center"/>
          </w:tcPr>
          <w:p w14:paraId="671440D0">
            <w:pPr>
              <w:adjustRightInd w:val="0"/>
              <w:jc w:val="center"/>
              <w:textAlignment w:val="baseline"/>
              <w:rPr>
                <w:kern w:val="0"/>
                <w:sz w:val="24"/>
                <w:szCs w:val="20"/>
              </w:rPr>
            </w:pPr>
          </w:p>
        </w:tc>
        <w:tc>
          <w:tcPr>
            <w:tcW w:w="1559" w:type="dxa"/>
            <w:vAlign w:val="center"/>
          </w:tcPr>
          <w:p w14:paraId="0F074A33">
            <w:pPr>
              <w:adjustRightInd w:val="0"/>
              <w:jc w:val="center"/>
              <w:textAlignment w:val="baseline"/>
              <w:rPr>
                <w:kern w:val="0"/>
                <w:sz w:val="24"/>
                <w:szCs w:val="20"/>
              </w:rPr>
            </w:pPr>
          </w:p>
        </w:tc>
      </w:tr>
      <w:tr w14:paraId="0AA1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436" w:type="dxa"/>
            <w:gridSpan w:val="2"/>
            <w:vAlign w:val="center"/>
          </w:tcPr>
          <w:p w14:paraId="5D3A8EBF">
            <w:pPr>
              <w:adjustRightInd w:val="0"/>
              <w:jc w:val="right"/>
              <w:textAlignment w:val="baseline"/>
              <w:rPr>
                <w:kern w:val="0"/>
                <w:sz w:val="24"/>
                <w:szCs w:val="20"/>
              </w:rPr>
            </w:pPr>
            <w:r>
              <w:rPr>
                <w:kern w:val="0"/>
                <w:sz w:val="24"/>
                <w:szCs w:val="20"/>
              </w:rPr>
              <w:t>合计（元）</w:t>
            </w:r>
          </w:p>
        </w:tc>
        <w:tc>
          <w:tcPr>
            <w:tcW w:w="1418" w:type="dxa"/>
            <w:vAlign w:val="center"/>
          </w:tcPr>
          <w:p w14:paraId="2A831B97">
            <w:pPr>
              <w:adjustRightInd w:val="0"/>
              <w:jc w:val="center"/>
              <w:textAlignment w:val="baseline"/>
              <w:rPr>
                <w:kern w:val="0"/>
                <w:sz w:val="24"/>
                <w:szCs w:val="20"/>
              </w:rPr>
            </w:pPr>
          </w:p>
        </w:tc>
        <w:tc>
          <w:tcPr>
            <w:tcW w:w="1559" w:type="dxa"/>
            <w:vAlign w:val="center"/>
          </w:tcPr>
          <w:p w14:paraId="02C64068">
            <w:pPr>
              <w:adjustRightInd w:val="0"/>
              <w:jc w:val="center"/>
              <w:textAlignment w:val="baseline"/>
              <w:rPr>
                <w:kern w:val="0"/>
                <w:sz w:val="24"/>
                <w:szCs w:val="20"/>
              </w:rPr>
            </w:pPr>
          </w:p>
        </w:tc>
      </w:tr>
    </w:tbl>
    <w:p w14:paraId="6540318F">
      <w:pPr>
        <w:tabs>
          <w:tab w:val="left" w:pos="1800"/>
          <w:tab w:val="left" w:pos="5580"/>
        </w:tabs>
        <w:jc w:val="left"/>
        <w:rPr>
          <w:rFonts w:eastAsiaTheme="minorEastAsia"/>
          <w:color w:val="000000"/>
          <w:sz w:val="24"/>
        </w:rPr>
      </w:pPr>
    </w:p>
    <w:p w14:paraId="5090E604">
      <w:pPr>
        <w:tabs>
          <w:tab w:val="left" w:pos="1800"/>
          <w:tab w:val="left" w:pos="5580"/>
        </w:tabs>
        <w:jc w:val="left"/>
        <w:rPr>
          <w:rFonts w:eastAsiaTheme="minorEastAsia"/>
          <w:color w:val="000000"/>
          <w:sz w:val="24"/>
        </w:rPr>
      </w:pPr>
    </w:p>
    <w:p w14:paraId="11210905">
      <w:pPr>
        <w:tabs>
          <w:tab w:val="left" w:pos="1800"/>
          <w:tab w:val="left" w:pos="5580"/>
        </w:tabs>
        <w:jc w:val="left"/>
        <w:rPr>
          <w:rFonts w:eastAsiaTheme="minorEastAsia"/>
          <w:color w:val="000000"/>
          <w:sz w:val="24"/>
        </w:rPr>
      </w:pPr>
    </w:p>
    <w:p w14:paraId="3B63C1E2">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5818E80A">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255B1D05">
      <w:pPr>
        <w:tabs>
          <w:tab w:val="left" w:pos="1800"/>
          <w:tab w:val="left" w:pos="5580"/>
        </w:tabs>
        <w:ind w:firstLine="480" w:firstLineChars="200"/>
        <w:jc w:val="left"/>
        <w:rPr>
          <w:sz w:val="24"/>
        </w:rPr>
      </w:pPr>
      <w:r>
        <w:rPr>
          <w:sz w:val="24"/>
        </w:rPr>
        <w:t>3.此表无需在响应文件中提交，磋商后供应商按磋商小组要求提交。</w:t>
      </w:r>
    </w:p>
    <w:p w14:paraId="1CDFE6F0">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2245" w:name="_Hlk168431865"/>
      <w:r>
        <w:rPr>
          <w:rFonts w:hint="eastAsia" w:eastAsiaTheme="minorEastAsia"/>
          <w:color w:val="000000"/>
          <w:sz w:val="24"/>
        </w:rPr>
        <w:t>“大型”、</w:t>
      </w:r>
      <w:bookmarkEnd w:id="2245"/>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5F9A80CD">
      <w:pPr>
        <w:tabs>
          <w:tab w:val="left" w:pos="1800"/>
          <w:tab w:val="left" w:pos="5580"/>
        </w:tabs>
        <w:ind w:firstLine="480" w:firstLineChars="200"/>
        <w:jc w:val="left"/>
        <w:rPr>
          <w:rFonts w:eastAsiaTheme="minorEastAsia"/>
          <w:color w:val="000000"/>
          <w:sz w:val="24"/>
        </w:rPr>
      </w:pPr>
    </w:p>
    <w:p w14:paraId="7C898213">
      <w:pPr>
        <w:autoSpaceDE w:val="0"/>
        <w:autoSpaceDN w:val="0"/>
        <w:adjustRightInd w:val="0"/>
        <w:snapToGrid w:val="0"/>
        <w:spacing w:before="25" w:after="25" w:line="360" w:lineRule="auto"/>
        <w:rPr>
          <w:rFonts w:eastAsiaTheme="minorEastAsia"/>
          <w:color w:val="000000"/>
          <w:sz w:val="24"/>
          <w:lang w:val="zh-CN"/>
        </w:rPr>
      </w:pPr>
    </w:p>
    <w:p w14:paraId="43328008">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0366845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432FBBC9">
      <w:pPr>
        <w:widowControl/>
        <w:jc w:val="left"/>
        <w:rPr>
          <w:rFonts w:eastAsiaTheme="minorEastAsia"/>
          <w:b/>
          <w:sz w:val="36"/>
          <w:szCs w:val="36"/>
        </w:rPr>
      </w:pPr>
      <w:r>
        <w:rPr>
          <w:rFonts w:eastAsiaTheme="minorEastAsia"/>
          <w:b/>
          <w:sz w:val="36"/>
          <w:szCs w:val="36"/>
        </w:rPr>
        <w:br w:type="page"/>
      </w:r>
    </w:p>
    <w:p w14:paraId="2442A01B">
      <w:pPr>
        <w:tabs>
          <w:tab w:val="left" w:pos="360"/>
        </w:tabs>
        <w:snapToGrid w:val="0"/>
        <w:spacing w:line="360" w:lineRule="auto"/>
        <w:outlineLvl w:val="1"/>
        <w:rPr>
          <w:rFonts w:eastAsiaTheme="minorEastAsia"/>
          <w:sz w:val="24"/>
        </w:rPr>
      </w:pPr>
      <w:r>
        <w:rPr>
          <w:rFonts w:eastAsiaTheme="minorEastAsia"/>
          <w:sz w:val="24"/>
        </w:rPr>
        <w:t>14  最后报价构成表（</w:t>
      </w:r>
      <w:r>
        <w:rPr>
          <w:rFonts w:hint="eastAsia" w:eastAsiaTheme="minorEastAsia"/>
          <w:sz w:val="24"/>
        </w:rPr>
        <w:t>如有，磋商后提交</w:t>
      </w:r>
      <w:r>
        <w:rPr>
          <w:rFonts w:eastAsiaTheme="minorEastAsia"/>
          <w:sz w:val="24"/>
        </w:rPr>
        <w:t>）</w:t>
      </w:r>
    </w:p>
    <w:p w14:paraId="2B04E01C">
      <w:pPr>
        <w:tabs>
          <w:tab w:val="left" w:pos="1800"/>
          <w:tab w:val="left" w:pos="5580"/>
        </w:tabs>
        <w:jc w:val="left"/>
        <w:rPr>
          <w:rFonts w:eastAsiaTheme="minorEastAsia"/>
          <w:color w:val="000000"/>
          <w:sz w:val="24"/>
        </w:rPr>
      </w:pPr>
      <w:r>
        <w:rPr>
          <w:rFonts w:eastAsiaTheme="minorEastAsia"/>
          <w:color w:val="000000"/>
          <w:sz w:val="24"/>
        </w:rPr>
        <w:t>14-1 最终报价中分包情况说明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74B6C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51663C4">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76FE4EF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1529124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14:paraId="63AE396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2DDE076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14:paraId="39CFD1F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1A45A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280807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6CDBF88">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E399DE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36A493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F873DE3">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725DF9D0">
            <w:pPr>
              <w:pStyle w:val="246"/>
              <w:jc w:val="center"/>
              <w:rPr>
                <w:rFonts w:ascii="Times New Roman" w:hAnsi="Times New Roman" w:cs="Times New Roman" w:eastAsiaTheme="minorEastAsia"/>
                <w:sz w:val="30"/>
                <w:lang w:eastAsia="zh-CN"/>
              </w:rPr>
            </w:pPr>
          </w:p>
        </w:tc>
      </w:tr>
      <w:tr w14:paraId="0F8EC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CBC6AF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635FAB5D">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83E0CE3">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F81553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FAE859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354768DD">
            <w:pPr>
              <w:pStyle w:val="246"/>
              <w:jc w:val="center"/>
              <w:rPr>
                <w:rFonts w:ascii="Times New Roman" w:hAnsi="Times New Roman" w:cs="Times New Roman" w:eastAsiaTheme="minorEastAsia"/>
                <w:sz w:val="30"/>
                <w:lang w:eastAsia="zh-CN"/>
              </w:rPr>
            </w:pPr>
          </w:p>
        </w:tc>
      </w:tr>
      <w:tr w14:paraId="272CE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3984FD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353C0AA1">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B709163">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08866713">
            <w:pPr>
              <w:pStyle w:val="246"/>
              <w:jc w:val="center"/>
              <w:rPr>
                <w:rFonts w:ascii="Times New Roman" w:hAnsi="Times New Roman" w:cs="Times New Roman" w:eastAsiaTheme="minorEastAsia"/>
                <w:sz w:val="30"/>
              </w:rPr>
            </w:pPr>
          </w:p>
        </w:tc>
      </w:tr>
      <w:tr w14:paraId="02303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01382BA4">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62EEE767">
            <w:pPr>
              <w:pStyle w:val="246"/>
              <w:jc w:val="center"/>
              <w:rPr>
                <w:rFonts w:ascii="Times New Roman" w:hAnsi="Times New Roman" w:cs="Times New Roman" w:eastAsiaTheme="minorEastAsia"/>
                <w:sz w:val="30"/>
              </w:rPr>
            </w:pPr>
          </w:p>
        </w:tc>
      </w:tr>
    </w:tbl>
    <w:p w14:paraId="0EA5015E">
      <w:pPr>
        <w:tabs>
          <w:tab w:val="left" w:pos="1800"/>
          <w:tab w:val="left" w:pos="5580"/>
        </w:tabs>
        <w:jc w:val="left"/>
        <w:rPr>
          <w:rFonts w:eastAsiaTheme="minorEastAsia"/>
          <w:color w:val="000000"/>
          <w:sz w:val="24"/>
        </w:rPr>
      </w:pPr>
    </w:p>
    <w:p w14:paraId="6B3219BD">
      <w:pPr>
        <w:tabs>
          <w:tab w:val="left" w:pos="1800"/>
          <w:tab w:val="left" w:pos="5580"/>
        </w:tabs>
        <w:jc w:val="left"/>
        <w:rPr>
          <w:rFonts w:eastAsiaTheme="minorEastAsia"/>
          <w:color w:val="000000"/>
          <w:sz w:val="24"/>
        </w:rPr>
      </w:pPr>
      <w:r>
        <w:rPr>
          <w:rFonts w:eastAsiaTheme="minorEastAsia"/>
          <w:color w:val="000000"/>
          <w:sz w:val="24"/>
        </w:rPr>
        <w:t>14-2 联合体最终报价情况说明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095A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C12470A">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643C53AD">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7962F63A">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14:paraId="648CFBD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0FA7439A">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ED9172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79339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A90C4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7348D00A">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B61FE1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95D153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303B18D">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FBF4E81">
            <w:pPr>
              <w:pStyle w:val="246"/>
              <w:jc w:val="center"/>
              <w:rPr>
                <w:rFonts w:ascii="Times New Roman" w:hAnsi="Times New Roman" w:cs="Times New Roman" w:eastAsiaTheme="minorEastAsia"/>
                <w:sz w:val="30"/>
                <w:lang w:eastAsia="zh-CN"/>
              </w:rPr>
            </w:pPr>
          </w:p>
        </w:tc>
      </w:tr>
      <w:tr w14:paraId="5D99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ACF840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1609156E">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7587CD5D">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5DE4FA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CA2EF5E">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1C5D56C">
            <w:pPr>
              <w:pStyle w:val="246"/>
              <w:jc w:val="center"/>
              <w:rPr>
                <w:rFonts w:ascii="Times New Roman" w:hAnsi="Times New Roman" w:cs="Times New Roman" w:eastAsiaTheme="minorEastAsia"/>
                <w:sz w:val="30"/>
                <w:lang w:eastAsia="zh-CN"/>
              </w:rPr>
            </w:pPr>
          </w:p>
        </w:tc>
      </w:tr>
      <w:tr w14:paraId="3E588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E7F0F7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4B822E50">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C378F39">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5A7E6794">
            <w:pPr>
              <w:pStyle w:val="246"/>
              <w:jc w:val="center"/>
              <w:rPr>
                <w:rFonts w:ascii="Times New Roman" w:hAnsi="Times New Roman" w:cs="Times New Roman" w:eastAsiaTheme="minorEastAsia"/>
                <w:sz w:val="30"/>
              </w:rPr>
            </w:pPr>
          </w:p>
        </w:tc>
      </w:tr>
      <w:tr w14:paraId="38A72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65FA2A65">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49395CBA">
            <w:pPr>
              <w:pStyle w:val="246"/>
              <w:jc w:val="center"/>
              <w:rPr>
                <w:rFonts w:ascii="Times New Roman" w:hAnsi="Times New Roman" w:cs="Times New Roman" w:eastAsiaTheme="minorEastAsia"/>
                <w:sz w:val="30"/>
              </w:rPr>
            </w:pPr>
          </w:p>
        </w:tc>
      </w:tr>
    </w:tbl>
    <w:p w14:paraId="7F41BF97">
      <w:pPr>
        <w:tabs>
          <w:tab w:val="left" w:pos="1800"/>
          <w:tab w:val="left" w:pos="5580"/>
        </w:tabs>
        <w:jc w:val="left"/>
        <w:rPr>
          <w:rFonts w:eastAsiaTheme="minorEastAsia"/>
          <w:color w:val="000000"/>
          <w:sz w:val="24"/>
        </w:rPr>
      </w:pPr>
    </w:p>
    <w:p w14:paraId="185FF5F9">
      <w:pPr>
        <w:tabs>
          <w:tab w:val="left" w:pos="1800"/>
          <w:tab w:val="left" w:pos="5580"/>
        </w:tabs>
        <w:jc w:val="left"/>
        <w:rPr>
          <w:rFonts w:eastAsiaTheme="minorEastAsia"/>
          <w:color w:val="000000"/>
          <w:sz w:val="24"/>
        </w:rPr>
      </w:pPr>
    </w:p>
    <w:p w14:paraId="4C7C6794">
      <w:pPr>
        <w:tabs>
          <w:tab w:val="left" w:pos="1800"/>
          <w:tab w:val="left" w:pos="5580"/>
        </w:tabs>
        <w:jc w:val="left"/>
        <w:rPr>
          <w:sz w:val="24"/>
        </w:rPr>
      </w:pPr>
      <w:r>
        <w:rPr>
          <w:rFonts w:eastAsiaTheme="minorEastAsia"/>
          <w:color w:val="000000"/>
          <w:sz w:val="24"/>
        </w:rPr>
        <w:t xml:space="preserve">注： </w:t>
      </w:r>
    </w:p>
    <w:p w14:paraId="346C1D83">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2246" w:name="_Hlk176775226"/>
      <w:r>
        <w:rPr>
          <w:rFonts w:hint="eastAsia"/>
          <w:sz w:val="24"/>
        </w:rPr>
        <w:t>如供应商为联合体或拟进行合同分包，则必须选择一种表格填报，否则</w:t>
      </w:r>
      <w:r>
        <w:rPr>
          <w:rFonts w:hint="eastAsia"/>
          <w:b/>
          <w:bCs/>
          <w:sz w:val="24"/>
        </w:rPr>
        <w:t>响应无效</w:t>
      </w:r>
      <w:bookmarkEnd w:id="2246"/>
      <w:r>
        <w:rPr>
          <w:rFonts w:hint="eastAsia"/>
          <w:sz w:val="24"/>
        </w:rPr>
        <w:t>。</w:t>
      </w:r>
      <w:r>
        <w:rPr>
          <w:rFonts w:eastAsiaTheme="minorEastAsia"/>
          <w:color w:val="000000"/>
          <w:sz w:val="24"/>
        </w:rPr>
        <w:t>。</w:t>
      </w:r>
    </w:p>
    <w:p w14:paraId="32B4EC14">
      <w:pPr>
        <w:tabs>
          <w:tab w:val="left" w:pos="1800"/>
          <w:tab w:val="left" w:pos="5580"/>
        </w:tabs>
        <w:ind w:firstLine="480" w:firstLineChars="200"/>
        <w:jc w:val="left"/>
        <w:rPr>
          <w:rFonts w:eastAsiaTheme="minorEastAsia"/>
          <w:color w:val="000000"/>
          <w:sz w:val="24"/>
        </w:rPr>
      </w:pPr>
      <w:r>
        <w:rPr>
          <w:rFonts w:eastAsiaTheme="minorEastAsia"/>
          <w:color w:val="000000"/>
          <w:sz w:val="24"/>
        </w:rPr>
        <w:t>2.本表应按包分别填写。</w:t>
      </w:r>
    </w:p>
    <w:p w14:paraId="61D18BA9">
      <w:pPr>
        <w:tabs>
          <w:tab w:val="left" w:pos="1800"/>
          <w:tab w:val="left" w:pos="5580"/>
        </w:tabs>
        <w:ind w:firstLine="480" w:firstLineChars="200"/>
        <w:jc w:val="left"/>
        <w:rPr>
          <w:sz w:val="24"/>
        </w:rPr>
      </w:pPr>
      <w:r>
        <w:rPr>
          <w:rFonts w:eastAsiaTheme="minorEastAsia"/>
          <w:color w:val="000000"/>
          <w:sz w:val="24"/>
        </w:rPr>
        <w:t>3</w:t>
      </w:r>
      <w:r>
        <w:rPr>
          <w:sz w:val="24"/>
        </w:rPr>
        <w:t>.此表无需在响应文件中提交，磋商后供应商按磋商小组要求提交。</w:t>
      </w:r>
    </w:p>
    <w:p w14:paraId="40F91121">
      <w:pPr>
        <w:tabs>
          <w:tab w:val="left" w:pos="1800"/>
          <w:tab w:val="left" w:pos="5580"/>
        </w:tabs>
        <w:jc w:val="left"/>
        <w:rPr>
          <w:rFonts w:eastAsiaTheme="minorEastAsia"/>
          <w:color w:val="000000"/>
          <w:sz w:val="24"/>
        </w:rPr>
      </w:pPr>
    </w:p>
    <w:p w14:paraId="53751DB9">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76102710">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 xml:space="preserve">日期：____年____月____日   </w:t>
      </w:r>
    </w:p>
    <w:p w14:paraId="37AB7F42">
      <w:pPr>
        <w:tabs>
          <w:tab w:val="left" w:pos="1800"/>
          <w:tab w:val="left" w:pos="5580"/>
        </w:tabs>
        <w:jc w:val="left"/>
        <w:rPr>
          <w:rFonts w:eastAsiaTheme="minorEastAsia"/>
          <w:color w:val="000000"/>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2E6A">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34726">
    <w:pPr>
      <w:pStyle w:val="28"/>
      <w:framePr w:wrap="around" w:vAnchor="text" w:hAnchor="margin" w:xAlign="center" w:y="1"/>
      <w:rPr>
        <w:rStyle w:val="47"/>
      </w:rPr>
    </w:pPr>
    <w:r>
      <w:fldChar w:fldCharType="begin"/>
    </w:r>
    <w:r>
      <w:rPr>
        <w:rStyle w:val="47"/>
      </w:rPr>
      <w:instrText xml:space="preserve">PAGE  </w:instrText>
    </w:r>
    <w:r>
      <w:fldChar w:fldCharType="end"/>
    </w:r>
  </w:p>
  <w:p w14:paraId="1B5D5E70">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B8C9">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8E37A53">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48865FEA">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EE353">
    <w:pPr>
      <w:pStyle w:val="28"/>
      <w:jc w:val="center"/>
    </w:pPr>
    <w:r>
      <w:fldChar w:fldCharType="begin"/>
    </w:r>
    <w:r>
      <w:instrText xml:space="preserve">PAGE   \* MERGEFORMAT</w:instrText>
    </w:r>
    <w:r>
      <w:fldChar w:fldCharType="separate"/>
    </w:r>
    <w:r>
      <w:rPr>
        <w:lang w:val="zh-CN"/>
      </w:rPr>
      <w:t>176</w:t>
    </w:r>
    <w:r>
      <w:fldChar w:fldCharType="end"/>
    </w:r>
  </w:p>
  <w:p w14:paraId="707090A3">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ED097">
    <w:pPr>
      <w:pStyle w:val="28"/>
      <w:jc w:val="center"/>
    </w:pPr>
    <w:r>
      <w:fldChar w:fldCharType="begin"/>
    </w:r>
    <w:r>
      <w:instrText xml:space="preserve"> PAGE   \* MERGEFORMAT </w:instrText>
    </w:r>
    <w:r>
      <w:fldChar w:fldCharType="separate"/>
    </w:r>
    <w:r>
      <w:rPr>
        <w:lang w:val="zh-CN"/>
      </w:rPr>
      <w:t>76</w:t>
    </w:r>
    <w:r>
      <w:rPr>
        <w:lang w:val="zh-CN"/>
      </w:rPr>
      <w:fldChar w:fldCharType="end"/>
    </w:r>
  </w:p>
  <w:p w14:paraId="392FEA6F">
    <w:pPr>
      <w:pStyle w:val="28"/>
      <w:tabs>
        <w:tab w:val="left" w:pos="4668"/>
        <w:tab w:val="clear" w:pos="4153"/>
        <w:tab w:val="clear" w:pos="8306"/>
      </w:tabs>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00EF3">
    <w:pPr>
      <w:spacing w:line="169" w:lineRule="exact"/>
      <w:rPr>
        <w:rFonts w:ascii="宋体" w:hAnsi="宋体" w:eastAsia="宋体" w:cs="宋体"/>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792E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B1792E4">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852F2">
    <w:pPr>
      <w:spacing w:line="169" w:lineRule="exact"/>
      <w:rPr>
        <w:rFonts w:ascii="宋体" w:hAnsi="宋体" w:eastAsia="宋体" w:cs="宋体"/>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9F24B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A9F24B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957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7E2DFF5">
    <w:pPr>
      <w:pStyle w:val="2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DE8B">
    <w:pPr>
      <w:pStyle w:val="2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9C42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5D628CF">
    <w:pPr>
      <w:pStyle w:val="28"/>
      <w:ind w:right="360"/>
    </w:pPr>
  </w:p>
  <w:p w14:paraId="33E89319"/>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630C7">
    <w:pPr>
      <w:pStyle w:val="28"/>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9D2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F05934C">
    <w:pPr>
      <w:pStyle w:val="28"/>
      <w:ind w:right="360"/>
    </w:pPr>
  </w:p>
  <w:p w14:paraId="7B895ED9"/>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1E7C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18D91">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29"/>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EE66">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FB462">
    <w:pPr>
      <w:pStyle w:val="29"/>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AAE63">
    <w:pPr>
      <w:pStyle w:val="29"/>
      <w:pBdr>
        <w:bottom w:val="thinThickSmallGap" w:color="auto" w:sz="12" w:space="1"/>
      </w:pBdr>
      <w:jc w:val="left"/>
    </w:pPr>
    <w:r>
      <w:t>.</w:t>
    </w:r>
    <w:r>
      <w:fldChar w:fldCharType="begin"/>
    </w:r>
    <w:r>
      <w:instrText xml:space="preserve">PAGE   \* MERGEFORMAT</w:instrText>
    </w:r>
    <w:r>
      <w:fldChar w:fldCharType="separate"/>
    </w:r>
    <w:r>
      <w:rPr>
        <w:bCs/>
      </w:rPr>
      <w:t>90</w:t>
    </w:r>
    <w:r>
      <w:rPr>
        <w:bCs/>
      </w:rPr>
      <w:fldChar w:fldCharType="end"/>
    </w:r>
    <w:r>
      <w:t>.</w:t>
    </w:r>
    <w:r>
      <w:rPr>
        <w:b/>
      </w:rPr>
      <w:t xml:space="preserve"> </w:t>
    </w:r>
    <w:r>
      <w:rPr>
        <w:rFonts w:hint="eastAsia"/>
      </w:rPr>
      <w:t>北京市房屋建筑和市政工程施工招标文件标准文本（</w:t>
    </w:r>
    <w:r>
      <w:t>2017</w:t>
    </w:r>
    <w:r>
      <w:rPr>
        <w:rFonts w:hint="eastAsia"/>
      </w:rPr>
      <w:t>版）</w:t>
    </w:r>
    <w:r>
      <w:t xml:space="preserve"> </w:t>
    </w:r>
    <w:r>
      <w:rPr>
        <w:rFonts w:hint="eastAsia"/>
      </w:rPr>
      <w:t>专用部分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ACC54">
    <w:pPr>
      <w:pStyle w:val="29"/>
      <w:pBdr>
        <w:bottom w:val="none" w:color="auto" w:sz="0" w:space="1"/>
      </w:pBdr>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BA80D">
    <w:pPr>
      <w:pStyle w:val="29"/>
      <w:pBdr>
        <w:bottom w:val="none" w:color="auto" w:sz="0" w:space="1"/>
      </w:pBdr>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A08B">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93A">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1A1F">
    <w:pPr>
      <w:pStyle w:val="29"/>
    </w:pPr>
  </w:p>
  <w:p w14:paraId="344EF3F3"/>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ED4F">
    <w:pPr>
      <w:pStyle w:val="29"/>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ED5C">
    <w:pPr>
      <w:pStyle w:val="29"/>
    </w:pPr>
  </w:p>
  <w:p w14:paraId="57C6874B"/>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BA16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6073C4"/>
    <w:multiLevelType w:val="singleLevel"/>
    <w:tmpl w:val="AF6073C4"/>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C"/>
    <w:multiLevelType w:val="multilevel"/>
    <w:tmpl w:val="0000000C"/>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67553E74"/>
    <w:multiLevelType w:val="singleLevel"/>
    <w:tmpl w:val="67553E74"/>
    <w:lvl w:ilvl="0" w:tentative="0">
      <w:start w:val="2"/>
      <w:numFmt w:val="decimal"/>
      <w:suff w:val="nothing"/>
      <w:lvlText w:val="（%1）"/>
      <w:lvlJc w:val="left"/>
    </w:lvl>
  </w:abstractNum>
  <w:num w:numId="1">
    <w:abstractNumId w:val="6"/>
  </w:num>
  <w:num w:numId="2">
    <w:abstractNumId w:val="9"/>
  </w:num>
  <w:num w:numId="3">
    <w:abstractNumId w:val="2"/>
  </w:num>
  <w:num w:numId="4">
    <w:abstractNumId w:val="7"/>
  </w:num>
  <w:num w:numId="5">
    <w:abstractNumId w:val="5"/>
  </w:num>
  <w:num w:numId="6">
    <w:abstractNumId w:val="4"/>
  </w:num>
  <w:num w:numId="7">
    <w:abstractNumId w:val="10"/>
  </w:num>
  <w:num w:numId="8">
    <w:abstractNumId w:val="8"/>
  </w:num>
  <w:num w:numId="9">
    <w:abstractNumId w:val="13"/>
  </w:num>
  <w:num w:numId="10">
    <w:abstractNumId w:val="1"/>
  </w:num>
  <w:num w:numId="11">
    <w:abstractNumId w:val="11"/>
  </w:num>
  <w:num w:numId="12">
    <w:abstractNumId w:val="12"/>
  </w:num>
  <w:num w:numId="13">
    <w:abstractNumId w:val="0"/>
  </w:num>
  <w:num w:numId="14">
    <w:abstractNumId w:val="3"/>
  </w:num>
  <w:num w:numId="15">
    <w:abstractNumId w:val="16"/>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DB2AB6"/>
    <w:rsid w:val="0B660C1A"/>
    <w:rsid w:val="0C495B59"/>
    <w:rsid w:val="10016AE2"/>
    <w:rsid w:val="17F93E0B"/>
    <w:rsid w:val="1C455CA5"/>
    <w:rsid w:val="1D2C69D2"/>
    <w:rsid w:val="239E00B4"/>
    <w:rsid w:val="251E74A4"/>
    <w:rsid w:val="27843CE5"/>
    <w:rsid w:val="31AB3D03"/>
    <w:rsid w:val="32EB653A"/>
    <w:rsid w:val="3BCB6780"/>
    <w:rsid w:val="42223C0F"/>
    <w:rsid w:val="42CD0A98"/>
    <w:rsid w:val="431A0C09"/>
    <w:rsid w:val="458A5058"/>
    <w:rsid w:val="480E2158"/>
    <w:rsid w:val="48A24A0A"/>
    <w:rsid w:val="4B65373A"/>
    <w:rsid w:val="4D00163A"/>
    <w:rsid w:val="4F0F5BE3"/>
    <w:rsid w:val="52422029"/>
    <w:rsid w:val="55040901"/>
    <w:rsid w:val="56DF05DE"/>
    <w:rsid w:val="57FC6189"/>
    <w:rsid w:val="5F073306"/>
    <w:rsid w:val="5F5F73B9"/>
    <w:rsid w:val="60333008"/>
    <w:rsid w:val="658958DA"/>
    <w:rsid w:val="6838144E"/>
    <w:rsid w:val="68AA7398"/>
    <w:rsid w:val="713B6CCF"/>
    <w:rsid w:val="7318735E"/>
    <w:rsid w:val="742C597A"/>
    <w:rsid w:val="79C827F1"/>
    <w:rsid w:val="7B900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61"/>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4"/>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12"/>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12"/>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12"/>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5"/>
    <w:qFormat/>
    <w:uiPriority w:val="0"/>
    <w:rPr>
      <w:rFonts w:ascii="Arial" w:hAnsi="Arial" w:eastAsia="黑体"/>
      <w:b/>
      <w:sz w:val="28"/>
    </w:rPr>
  </w:style>
  <w:style w:type="character" w:customStyle="1" w:styleId="230">
    <w:name w:val="标题 5 字符"/>
    <w:basedOn w:val="45"/>
    <w:link w:val="6"/>
    <w:qFormat/>
    <w:uiPriority w:val="0"/>
    <w:rPr>
      <w:b/>
      <w:sz w:val="28"/>
    </w:rPr>
  </w:style>
  <w:style w:type="character" w:customStyle="1" w:styleId="231">
    <w:name w:val="标题 6 字符"/>
    <w:basedOn w:val="45"/>
    <w:link w:val="7"/>
    <w:qFormat/>
    <w:uiPriority w:val="0"/>
    <w:rPr>
      <w:rFonts w:ascii="Arial" w:hAnsi="Arial" w:eastAsia="黑体"/>
      <w:b/>
      <w:sz w:val="24"/>
    </w:rPr>
  </w:style>
  <w:style w:type="character" w:customStyle="1" w:styleId="232">
    <w:name w:val="标题 7 字符"/>
    <w:basedOn w:val="45"/>
    <w:link w:val="8"/>
    <w:qFormat/>
    <w:uiPriority w:val="0"/>
    <w:rPr>
      <w:b/>
      <w:sz w:val="24"/>
    </w:rPr>
  </w:style>
  <w:style w:type="character" w:customStyle="1" w:styleId="233">
    <w:name w:val="标题 8 字符"/>
    <w:basedOn w:val="45"/>
    <w:link w:val="9"/>
    <w:qFormat/>
    <w:uiPriority w:val="0"/>
    <w:rPr>
      <w:rFonts w:ascii="Arial" w:hAnsi="Arial" w:eastAsia="黑体"/>
      <w:sz w:val="24"/>
    </w:rPr>
  </w:style>
  <w:style w:type="character" w:customStyle="1" w:styleId="234">
    <w:name w:val="标题 9 字符"/>
    <w:basedOn w:val="45"/>
    <w:link w:val="10"/>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9">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50">
    <w:name w:val="Table Text"/>
    <w:basedOn w:val="1"/>
    <w:semiHidden/>
    <w:qFormat/>
    <w:uiPriority w:val="0"/>
    <w:rPr>
      <w:rFonts w:ascii="宋体" w:hAnsi="宋体" w:eastAsia="宋体" w:cs="宋体"/>
      <w:sz w:val="24"/>
      <w:szCs w:val="24"/>
      <w:lang w:val="en-US" w:eastAsia="en-US" w:bidi="ar-SA"/>
    </w:rPr>
  </w:style>
  <w:style w:type="paragraph" w:customStyle="1" w:styleId="251">
    <w:name w:val="样式 标题 3 + (中文) 黑体 小四 非加粗 段前: 7.8 磅 段后: 0 磅 行距: 固定值 20 磅"/>
    <w:basedOn w:val="4"/>
    <w:qFormat/>
    <w:uiPriority w:val="0"/>
    <w:pPr>
      <w:spacing w:beforeLines="50" w:afterLines="50" w:line="360" w:lineRule="auto"/>
    </w:pPr>
    <w:rPr>
      <w:rFonts w:ascii="宋体"/>
      <w:b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customXml" Target="../customXml/item2.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1.png"/><Relationship Id="rId31" Type="http://schemas.openxmlformats.org/officeDocument/2006/relationships/theme" Target="theme/theme1.xml"/><Relationship Id="rId30" Type="http://schemas.openxmlformats.org/officeDocument/2006/relationships/footer" Target="footer15.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header" Target="header13.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CFC125-CB4D-469E-B613-909613273AF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140</Pages>
  <Words>20253</Words>
  <Characters>21093</Characters>
  <Lines>230</Lines>
  <Paragraphs>65</Paragraphs>
  <TotalTime>0</TotalTime>
  <ScaleCrop>false</ScaleCrop>
  <LinksUpToDate>false</LinksUpToDate>
  <CharactersWithSpaces>21418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2024-06-04T14:21:00Z</dcterms:created>
  <dc:creator>Yin Hao</dc:creator>
  <cp:lastModifiedBy>一叶知秋</cp:lastModifiedBy>
  <cp:lastPrinted>2020-04-01T03:13:00Z</cp:lastPrinted>
  <dcterms:modified xsi:type="dcterms:W3CDTF">2025-04-23T02:30:05Z</dcterms:modified>
  <dc:title>政府采购示范文本（2023）</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6B4349F886B34D9BA02F087DD736E5FB_13</vt:lpwstr>
  </property>
  <property fmtid="{D5CDD505-2E9C-101B-9397-08002B2CF9AE}" pid="4" name="KSOTemplateDocerSaveRecord">
    <vt:lpwstr>eyJoZGlkIjoiMzhjNGNkYWM0Zjk3ZjU1MzUzODAwMmFkMDZjZTM2ZWIiLCJ1c2VySWQiOiI1MzUxMjEwNDUifQ==</vt:lpwstr>
  </property>
</Properties>
</file>