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EA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中标结果公告</w:t>
      </w:r>
    </w:p>
    <w:p w14:paraId="34617CC6">
      <w:pPr>
        <w:rPr>
          <w:rFonts w:hint="eastAsia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28"/>
        </w:rPr>
        <w:t>一、项目编号：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11011524210200018452-XM001</w:t>
      </w:r>
    </w:p>
    <w:p w14:paraId="138B2C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黑体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二、项目名称：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2024年全区学校共性设备项目-办公家具</w:t>
      </w:r>
    </w:p>
    <w:p w14:paraId="437E2B1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三、中标信息：</w:t>
      </w:r>
    </w:p>
    <w:p w14:paraId="1C7F1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第一包：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br w:type="textWrapping"/>
      </w:r>
      <w:r>
        <w:rPr>
          <w:rFonts w:hint="eastAsia" w:ascii="仿宋" w:hAnsi="仿宋" w:eastAsia="仿宋"/>
          <w:sz w:val="28"/>
          <w:szCs w:val="28"/>
        </w:rPr>
        <w:t>供应商名称：</w:t>
      </w:r>
      <w:bookmarkStart w:id="1" w:name="_GoBack"/>
      <w:r>
        <w:rPr>
          <w:rFonts w:hint="eastAsia" w:ascii="仿宋" w:hAnsi="仿宋" w:eastAsia="仿宋"/>
          <w:sz w:val="28"/>
          <w:szCs w:val="28"/>
        </w:rPr>
        <w:t>河北富都华创家具制造有限公司</w:t>
      </w:r>
      <w:bookmarkEnd w:id="1"/>
    </w:p>
    <w:p w14:paraId="210C9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供应商地址：中国北方家具产业基地C-03号</w:t>
      </w:r>
    </w:p>
    <w:p w14:paraId="10EDC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：934050元 </w:t>
      </w:r>
    </w:p>
    <w:p w14:paraId="023B1A1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第二包：</w:t>
      </w:r>
    </w:p>
    <w:p w14:paraId="4BE04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供应商名称：北京黎明文仪家具有限公司</w:t>
      </w:r>
    </w:p>
    <w:p w14:paraId="4EFDF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w w:val="75"/>
          <w:sz w:val="28"/>
          <w:szCs w:val="28"/>
        </w:rPr>
        <w:t>北京市通州区中关村科技园区通州园金桥科技产业基地景盛南四街 18 号</w:t>
      </w:r>
    </w:p>
    <w:p w14:paraId="0B5F76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00" w:lineRule="exact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：1194160元 </w:t>
      </w:r>
    </w:p>
    <w:p w14:paraId="2131B7FD"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主要标的信息</w:t>
      </w:r>
    </w:p>
    <w:tbl>
      <w:tblPr>
        <w:tblStyle w:val="6"/>
        <w:tblpPr w:leftFromText="180" w:rightFromText="180" w:vertAnchor="text" w:horzAnchor="page" w:tblpX="1938" w:tblpY="162"/>
        <w:tblOverlap w:val="never"/>
        <w:tblW w:w="59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6"/>
        <w:gridCol w:w="2987"/>
      </w:tblGrid>
      <w:tr w14:paraId="502E8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7" w:hRule="atLeast"/>
        </w:trPr>
        <w:tc>
          <w:tcPr>
            <w:tcW w:w="2986" w:type="dxa"/>
            <w:shd w:val="clear" w:color="auto" w:fill="auto"/>
            <w:vAlign w:val="top"/>
          </w:tcPr>
          <w:p w14:paraId="3C447EA5"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第一包</w:t>
            </w:r>
          </w:p>
        </w:tc>
        <w:tc>
          <w:tcPr>
            <w:tcW w:w="2987" w:type="dxa"/>
            <w:shd w:val="clear" w:color="auto" w:fill="auto"/>
            <w:vAlign w:val="top"/>
          </w:tcPr>
          <w:p w14:paraId="5C8B4177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第二包</w:t>
            </w:r>
          </w:p>
        </w:tc>
      </w:tr>
      <w:tr w14:paraId="2782F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5" w:hRule="atLeast"/>
        </w:trPr>
        <w:tc>
          <w:tcPr>
            <w:tcW w:w="2986" w:type="dxa"/>
            <w:shd w:val="clear" w:color="auto" w:fill="auto"/>
            <w:vAlign w:val="center"/>
          </w:tcPr>
          <w:p w14:paraId="0AACCA57">
            <w:pPr>
              <w:jc w:val="lef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教师办公桌1</w:t>
            </w:r>
          </w:p>
          <w:p w14:paraId="39C9D361">
            <w:pPr>
              <w:jc w:val="lef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品牌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HBFD</w:t>
            </w:r>
          </w:p>
          <w:p w14:paraId="1D7FF5D6">
            <w:pPr>
              <w:jc w:val="lef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FD01</w:t>
            </w:r>
          </w:p>
          <w:p w14:paraId="66FC9E1A">
            <w:pPr>
              <w:jc w:val="lef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196</w:t>
            </w:r>
          </w:p>
          <w:p w14:paraId="2917C54A">
            <w:pPr>
              <w:widowControl/>
              <w:spacing w:line="276" w:lineRule="auto"/>
              <w:jc w:val="both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930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  <w:tc>
          <w:tcPr>
            <w:tcW w:w="2987" w:type="dxa"/>
            <w:shd w:val="clear" w:color="auto" w:fill="auto"/>
            <w:vAlign w:val="center"/>
          </w:tcPr>
          <w:p w14:paraId="79092506">
            <w:pPr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教师办公桌1</w:t>
            </w:r>
          </w:p>
          <w:p w14:paraId="744601D6">
            <w:pPr>
              <w:jc w:val="lef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品牌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LMFU黎明</w:t>
            </w:r>
          </w:p>
          <w:p w14:paraId="09390450">
            <w:pPr>
              <w:jc w:val="lef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LM-002</w:t>
            </w:r>
          </w:p>
          <w:p w14:paraId="2EFC9A00">
            <w:pPr>
              <w:jc w:val="left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208</w:t>
            </w:r>
          </w:p>
          <w:p w14:paraId="0F5D9E8A">
            <w:pPr>
              <w:widowControl/>
              <w:spacing w:line="276" w:lineRule="auto"/>
              <w:jc w:val="both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1180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 w14:paraId="3F438DBE">
      <w:pPr>
        <w:pStyle w:val="2"/>
        <w:rPr>
          <w:rFonts w:hint="eastAsia"/>
        </w:rPr>
      </w:pPr>
    </w:p>
    <w:p w14:paraId="5BA0F875">
      <w:pPr>
        <w:pStyle w:val="3"/>
        <w:rPr>
          <w:rFonts w:hint="eastAsia"/>
        </w:rPr>
      </w:pPr>
    </w:p>
    <w:p w14:paraId="49BC97AD">
      <w:pPr>
        <w:rPr>
          <w:rFonts w:hint="eastAsia" w:ascii="黑体" w:hAnsi="黑体" w:eastAsia="黑体" w:cs="黑体"/>
          <w:sz w:val="28"/>
          <w:szCs w:val="28"/>
        </w:rPr>
      </w:pPr>
    </w:p>
    <w:p w14:paraId="75AE3A41">
      <w:pPr>
        <w:rPr>
          <w:rFonts w:hint="eastAsia" w:ascii="黑体" w:hAnsi="黑体" w:eastAsia="黑体" w:cs="黑体"/>
          <w:sz w:val="28"/>
          <w:szCs w:val="28"/>
        </w:rPr>
      </w:pPr>
    </w:p>
    <w:p w14:paraId="0BD370C6">
      <w:pPr>
        <w:rPr>
          <w:rFonts w:hint="eastAsia" w:ascii="黑体" w:hAnsi="黑体" w:eastAsia="黑体" w:cs="黑体"/>
          <w:sz w:val="28"/>
          <w:szCs w:val="28"/>
        </w:rPr>
      </w:pPr>
    </w:p>
    <w:p w14:paraId="09324009">
      <w:pPr>
        <w:rPr>
          <w:rFonts w:hint="eastAsia" w:ascii="黑体" w:hAnsi="黑体" w:eastAsia="黑体" w:cs="黑体"/>
          <w:sz w:val="28"/>
          <w:szCs w:val="28"/>
        </w:rPr>
      </w:pPr>
    </w:p>
    <w:p w14:paraId="49F76F1B">
      <w:pPr>
        <w:rPr>
          <w:rFonts w:hint="eastAsia" w:ascii="黑体" w:hAnsi="黑体" w:eastAsia="黑体" w:cs="黑体"/>
          <w:sz w:val="28"/>
          <w:szCs w:val="28"/>
        </w:rPr>
      </w:pPr>
    </w:p>
    <w:p w14:paraId="29B0C5AC">
      <w:pPr>
        <w:rPr>
          <w:rFonts w:hint="eastAsia" w:ascii="黑体" w:hAnsi="黑体" w:eastAsia="黑体" w:cs="黑体"/>
          <w:sz w:val="28"/>
          <w:szCs w:val="28"/>
        </w:rPr>
      </w:pPr>
    </w:p>
    <w:p w14:paraId="5E9F7E06">
      <w:pPr>
        <w:rPr>
          <w:rFonts w:hint="eastAsia" w:ascii="黑体" w:hAnsi="黑体" w:eastAsia="黑体" w:cs="黑体"/>
          <w:sz w:val="28"/>
          <w:szCs w:val="28"/>
        </w:rPr>
      </w:pPr>
    </w:p>
    <w:p w14:paraId="7C87E7C5">
      <w:pPr>
        <w:rPr>
          <w:rFonts w:hint="eastAsia" w:ascii="黑体" w:hAnsi="黑体" w:eastAsia="黑体" w:cs="黑体"/>
          <w:sz w:val="28"/>
          <w:szCs w:val="28"/>
        </w:rPr>
      </w:pPr>
    </w:p>
    <w:p w14:paraId="40C1B582">
      <w:pPr>
        <w:rPr>
          <w:rFonts w:hint="eastAsia" w:ascii="黑体" w:hAnsi="黑体" w:eastAsia="黑体" w:cs="黑体"/>
          <w:sz w:val="28"/>
          <w:szCs w:val="28"/>
        </w:rPr>
      </w:pPr>
    </w:p>
    <w:p w14:paraId="32D6ACE6">
      <w:pPr>
        <w:rPr>
          <w:rFonts w:hint="eastAsia"/>
        </w:rPr>
      </w:pPr>
      <w:r>
        <w:rPr>
          <w:rFonts w:hint="eastAsia" w:ascii="黑体" w:hAnsi="黑体" w:eastAsia="黑体" w:cs="黑体"/>
          <w:sz w:val="28"/>
          <w:szCs w:val="28"/>
        </w:rPr>
        <w:t>五、评审专家名单：</w:t>
      </w:r>
    </w:p>
    <w:p w14:paraId="74A53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李丕瑾、王文历、靳国良、蔡建强、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杨文起</w:t>
      </w:r>
    </w:p>
    <w:p w14:paraId="26EA8529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六、代理服务收费标准及金额：</w:t>
      </w:r>
    </w:p>
    <w:p w14:paraId="1E82F58E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3EEB87F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七、公告期限</w:t>
      </w:r>
    </w:p>
    <w:p w14:paraId="37D24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自本公告发布之日起1个工作日</w:t>
      </w:r>
    </w:p>
    <w:p w14:paraId="2BE72306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八、其他补充事宜</w:t>
      </w:r>
    </w:p>
    <w:p w14:paraId="3B8F6353">
      <w:pPr>
        <w:ind w:left="559" w:leftChars="266" w:firstLine="0" w:firstLineChars="0"/>
        <w:rPr>
          <w:rFonts w:hint="default" w:ascii="黑体" w:hAnsi="黑体" w:eastAsia="仿宋" w:cs="黑体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</w:rPr>
        <w:t>河北富都华创家具制造有限公司</w:t>
      </w:r>
      <w:r>
        <w:rPr>
          <w:rFonts w:hint="eastAsia" w:ascii="仿宋" w:hAnsi="仿宋" w:eastAsia="仿宋" w:cs="仿宋"/>
          <w:sz w:val="28"/>
          <w:szCs w:val="28"/>
        </w:rPr>
        <w:t>被确定为本项目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第一包</w:t>
      </w:r>
      <w:r>
        <w:rPr>
          <w:rFonts w:hint="eastAsia" w:ascii="仿宋" w:hAnsi="仿宋" w:eastAsia="仿宋" w:cs="仿宋"/>
          <w:sz w:val="28"/>
          <w:szCs w:val="28"/>
        </w:rPr>
        <w:t>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96.4分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；北京黎明文仪家具有限公司</w:t>
      </w:r>
      <w:r>
        <w:rPr>
          <w:rFonts w:hint="eastAsia" w:ascii="仿宋" w:hAnsi="仿宋" w:eastAsia="仿宋" w:cs="仿宋"/>
          <w:sz w:val="28"/>
          <w:szCs w:val="28"/>
        </w:rPr>
        <w:t>被确定为本项目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第二包</w:t>
      </w:r>
      <w:r>
        <w:rPr>
          <w:rFonts w:hint="eastAsia" w:ascii="仿宋" w:hAnsi="仿宋" w:eastAsia="仿宋" w:cs="仿宋"/>
          <w:sz w:val="28"/>
          <w:szCs w:val="28"/>
        </w:rPr>
        <w:t>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93.83分。</w:t>
      </w:r>
    </w:p>
    <w:p w14:paraId="16CB2F43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九、凡对本次公告内容提出询问，请按以下方式联系。</w:t>
      </w:r>
    </w:p>
    <w:p w14:paraId="589B9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 w14:paraId="47E8059C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北京市大兴区教育综合服务中心 </w:t>
      </w:r>
    </w:p>
    <w:p w14:paraId="47EDC720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_GB2312" w:eastAsia="仿宋_GB2312"/>
          <w:color w:val="auto"/>
          <w:sz w:val="24"/>
          <w:szCs w:val="24"/>
          <w:u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bookmarkStart w:id="0" w:name="_Hlk44403296"/>
      <w:r>
        <w:rPr>
          <w:rFonts w:hint="eastAsia" w:ascii="仿宋" w:hAnsi="仿宋" w:eastAsia="仿宋" w:cs="仿宋"/>
          <w:sz w:val="28"/>
          <w:szCs w:val="28"/>
          <w:lang w:eastAsia="zh-CN"/>
        </w:rPr>
        <w:t>大兴区黄村镇龙河路东侧</w:t>
      </w:r>
    </w:p>
    <w:bookmarkEnd w:id="0"/>
    <w:p w14:paraId="3BAE3323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4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010-69256371</w:t>
      </w:r>
    </w:p>
    <w:p w14:paraId="21347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 w14:paraId="14B8F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北京市大兴区政府采购中心</w:t>
      </w:r>
    </w:p>
    <w:p w14:paraId="3392C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北京市大兴区公共资源交易分中心三层</w:t>
      </w:r>
    </w:p>
    <w:p w14:paraId="50260A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none"/>
        </w:rPr>
        <w:t>010-69231333、69231339</w:t>
      </w:r>
    </w:p>
    <w:p w14:paraId="7CBE1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</w:p>
    <w:p w14:paraId="644F3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牛老师</w:t>
      </w:r>
    </w:p>
    <w:p w14:paraId="794E1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010-69231333转209</w:t>
      </w:r>
    </w:p>
    <w:p w14:paraId="2ECD2E4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十、附件</w:t>
      </w:r>
    </w:p>
    <w:p w14:paraId="08DC6CEE"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9F47D9"/>
    <w:multiLevelType w:val="singleLevel"/>
    <w:tmpl w:val="D69F47D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0ZTQwYjYwYmExMTVjZWUyZWM0N2RmYjk2M2JmZmYifQ=="/>
  </w:docVars>
  <w:rsids>
    <w:rsidRoot w:val="00172A27"/>
    <w:rsid w:val="01BA5B62"/>
    <w:rsid w:val="01F47824"/>
    <w:rsid w:val="03163071"/>
    <w:rsid w:val="03A9796F"/>
    <w:rsid w:val="086929DB"/>
    <w:rsid w:val="0A4C4224"/>
    <w:rsid w:val="0C25278A"/>
    <w:rsid w:val="0F896F6F"/>
    <w:rsid w:val="13737E37"/>
    <w:rsid w:val="1EA566F2"/>
    <w:rsid w:val="2011428E"/>
    <w:rsid w:val="263373EC"/>
    <w:rsid w:val="27AF5446"/>
    <w:rsid w:val="2EA47FAC"/>
    <w:rsid w:val="2F3610F8"/>
    <w:rsid w:val="32660391"/>
    <w:rsid w:val="379D6BDA"/>
    <w:rsid w:val="37B06E27"/>
    <w:rsid w:val="38257918"/>
    <w:rsid w:val="38914439"/>
    <w:rsid w:val="39C857AC"/>
    <w:rsid w:val="39E505CC"/>
    <w:rsid w:val="3A0A068D"/>
    <w:rsid w:val="41695227"/>
    <w:rsid w:val="43864E1C"/>
    <w:rsid w:val="43CB69AE"/>
    <w:rsid w:val="4C303F46"/>
    <w:rsid w:val="4EAE256E"/>
    <w:rsid w:val="52A801C5"/>
    <w:rsid w:val="55D829CA"/>
    <w:rsid w:val="57E16165"/>
    <w:rsid w:val="586820F4"/>
    <w:rsid w:val="5996453D"/>
    <w:rsid w:val="5BE5388E"/>
    <w:rsid w:val="5E005E6E"/>
    <w:rsid w:val="67E1286C"/>
    <w:rsid w:val="6AC447F1"/>
    <w:rsid w:val="6F10348F"/>
    <w:rsid w:val="6F4E32D2"/>
    <w:rsid w:val="6FE238B2"/>
    <w:rsid w:val="71EE5130"/>
    <w:rsid w:val="72A23AA5"/>
    <w:rsid w:val="733F6699"/>
    <w:rsid w:val="769073C2"/>
    <w:rsid w:val="78B505D9"/>
    <w:rsid w:val="7D1C3F4A"/>
    <w:rsid w:val="7D546AB8"/>
    <w:rsid w:val="7FA7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unhideWhenUsed/>
    <w:qFormat/>
    <w:uiPriority w:val="99"/>
    <w:pPr>
      <w:spacing w:after="120"/>
    </w:pPr>
  </w:style>
  <w:style w:type="paragraph" w:customStyle="1" w:styleId="3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5">
    <w:name w:val="toc 3"/>
    <w:basedOn w:val="1"/>
    <w:next w:val="1"/>
    <w:autoRedefine/>
    <w:qFormat/>
    <w:uiPriority w:val="0"/>
    <w:pPr>
      <w:ind w:left="840" w:leftChars="400"/>
    </w:pPr>
  </w:style>
  <w:style w:type="table" w:styleId="7">
    <w:name w:val="Table Grid"/>
    <w:basedOn w:val="6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  <w:style w:type="character" w:customStyle="1" w:styleId="11">
    <w:name w:val="not([class*=suffix])"/>
    <w:basedOn w:val="8"/>
    <w:autoRedefine/>
    <w:qFormat/>
    <w:uiPriority w:val="0"/>
    <w:rPr>
      <w:sz w:val="15"/>
      <w:szCs w:val="1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407</Words>
  <Characters>496</Characters>
  <Lines>0</Lines>
  <Paragraphs>0</Paragraphs>
  <TotalTime>0</TotalTime>
  <ScaleCrop>false</ScaleCrop>
  <LinksUpToDate>false</LinksUpToDate>
  <CharactersWithSpaces>516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金金</cp:lastModifiedBy>
  <dcterms:modified xsi:type="dcterms:W3CDTF">2024-08-09T09:23:42Z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478B6311511E4D599053C48ED304B6DF_13</vt:lpwstr>
  </property>
</Properties>
</file>