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8"/>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29"/>
          <w:rFonts w:hint="eastAsia" w:ascii="宋体" w:hAnsi="宋体" w:eastAsia="宋体" w:cs="宋体"/>
          <w:b/>
          <w:bCs/>
          <w:i w:val="0"/>
          <w:caps w:val="0"/>
          <w:color w:val="auto"/>
          <w:spacing w:val="0"/>
          <w:sz w:val="36"/>
          <w:szCs w:val="36"/>
          <w:u w:val="none"/>
          <w:shd w:val="clear" w:color="auto" w:fill="FFFFFF"/>
        </w:rPr>
        <w:t>11010724210200010064-XM001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北大附中石景山学校（新址）教育教学设施设备与多媒体通信设备采购项目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四</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8"/>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29"/>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29"/>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29"/>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29"/>
          <w:rFonts w:hint="eastAsia" w:ascii="宋体" w:hAnsi="宋体"/>
          <w:color w:val="auto"/>
          <w:sz w:val="24"/>
          <w:szCs w:val="24"/>
        </w:rPr>
        <w:t>第四部分 采</w:t>
      </w:r>
      <w:bookmarkStart w:id="0" w:name="_Hlt42179902"/>
      <w:bookmarkStart w:id="1" w:name="_Hlt45033263"/>
      <w:bookmarkStart w:id="2" w:name="_Hlt45033262"/>
      <w:r>
        <w:rPr>
          <w:rStyle w:val="29"/>
          <w:rFonts w:hint="eastAsia" w:ascii="宋体" w:hAnsi="宋体"/>
          <w:color w:val="auto"/>
          <w:sz w:val="24"/>
          <w:szCs w:val="24"/>
        </w:rPr>
        <w:t>购</w:t>
      </w:r>
      <w:bookmarkEnd w:id="0"/>
      <w:bookmarkEnd w:id="1"/>
      <w:bookmarkEnd w:id="2"/>
      <w:bookmarkStart w:id="3" w:name="_Hlt42177996"/>
      <w:bookmarkStart w:id="4" w:name="_Hlt42177995"/>
      <w:r>
        <w:rPr>
          <w:rStyle w:val="29"/>
          <w:rFonts w:hint="eastAsia" w:ascii="宋体" w:hAnsi="宋体"/>
          <w:color w:val="auto"/>
          <w:sz w:val="24"/>
          <w:szCs w:val="24"/>
        </w:rPr>
        <w:t>需</w:t>
      </w:r>
      <w:bookmarkEnd w:id="3"/>
      <w:bookmarkEnd w:id="4"/>
      <w:bookmarkStart w:id="5" w:name="_Hlt43459032"/>
      <w:r>
        <w:rPr>
          <w:rStyle w:val="29"/>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8"/>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29"/>
          <w:rFonts w:hint="eastAsia" w:ascii="宋体" w:hAnsi="宋体"/>
          <w:color w:val="auto"/>
          <w:sz w:val="24"/>
          <w:szCs w:val="24"/>
        </w:rPr>
        <w:t>第五部分 评标标准和</w:t>
      </w:r>
      <w:bookmarkStart w:id="6" w:name="_Hlt43458265"/>
      <w:bookmarkStart w:id="7" w:name="_Hlt43452204"/>
      <w:bookmarkStart w:id="8" w:name="_Hlt43458266"/>
      <w:r>
        <w:rPr>
          <w:rStyle w:val="29"/>
          <w:rFonts w:hint="eastAsia" w:ascii="宋体" w:hAnsi="宋体"/>
          <w:color w:val="auto"/>
          <w:sz w:val="24"/>
          <w:szCs w:val="24"/>
        </w:rPr>
        <w:t>评</w:t>
      </w:r>
      <w:bookmarkEnd w:id="6"/>
      <w:bookmarkEnd w:id="7"/>
      <w:bookmarkEnd w:id="8"/>
      <w:r>
        <w:rPr>
          <w:rStyle w:val="29"/>
          <w:rFonts w:hint="eastAsia" w:ascii="宋体" w:hAnsi="宋体"/>
          <w:color w:val="auto"/>
          <w:sz w:val="24"/>
          <w:szCs w:val="24"/>
        </w:rPr>
        <w:t>标方法</w:t>
      </w:r>
      <w:r>
        <w:rPr>
          <w:color w:val="auto"/>
          <w:sz w:val="24"/>
          <w:szCs w:val="24"/>
        </w:rPr>
        <w:tab/>
      </w:r>
      <w:r>
        <w:rPr>
          <w:rFonts w:hint="eastAsia"/>
          <w:color w:val="auto"/>
          <w:sz w:val="24"/>
          <w:szCs w:val="24"/>
          <w:lang w:val="en-US" w:eastAsia="zh-CN"/>
        </w:rPr>
        <w:t>2</w:t>
      </w:r>
      <w:r>
        <w:rPr>
          <w:color w:val="auto"/>
          <w:szCs w:val="24"/>
        </w:rPr>
        <w:fldChar w:fldCharType="end"/>
      </w:r>
      <w:r>
        <w:rPr>
          <w:rFonts w:hint="eastAsia"/>
          <w:color w:val="auto"/>
          <w:szCs w:val="24"/>
          <w:lang w:val="en-US" w:eastAsia="zh-CN"/>
        </w:rPr>
        <w:t>9</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29"/>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34</w:t>
      </w:r>
      <w:r>
        <w:rPr>
          <w:color w:val="auto"/>
          <w:szCs w:val="24"/>
        </w:rPr>
        <w:fldChar w:fldCharType="end"/>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29"/>
          <w:rFonts w:hint="eastAsia"/>
          <w:color w:val="auto"/>
          <w:sz w:val="24"/>
          <w:szCs w:val="24"/>
        </w:rPr>
        <w:t>第七部分</w:t>
      </w:r>
      <w:r>
        <w:rPr>
          <w:rStyle w:val="29"/>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42</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8"/>
        <w:snapToGrid w:val="0"/>
        <w:spacing w:before="0" w:after="0"/>
        <w:ind w:left="3360" w:firstLine="480"/>
        <w:jc w:val="both"/>
        <w:rPr>
          <w:rFonts w:ascii="宋体" w:hAnsi="宋体"/>
          <w:color w:val="auto"/>
        </w:rPr>
      </w:pPr>
      <w:bookmarkStart w:id="9" w:name="_Toc466015310"/>
      <w:bookmarkStart w:id="10" w:name="_Toc186274096"/>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8"/>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北京市石景山区教育委员会教育技术装备中心</w:t>
      </w:r>
      <w:r>
        <w:rPr>
          <w:rFonts w:hint="eastAsia" w:ascii="宋体" w:hAnsi="宋体"/>
          <w:color w:val="auto"/>
          <w:sz w:val="24"/>
          <w:lang w:val="zh-CN"/>
        </w:rPr>
        <w:t>的委托对</w:t>
      </w:r>
      <w:r>
        <w:rPr>
          <w:rFonts w:hint="eastAsia" w:ascii="宋体" w:hAnsi="宋体"/>
          <w:bCs/>
          <w:color w:val="auto"/>
          <w:sz w:val="24"/>
        </w:rPr>
        <w:t>北大附中石景山学校（新址）教育教学设施设备与多媒体通信设备采购项目</w:t>
      </w:r>
      <w:r>
        <w:rPr>
          <w:rFonts w:hint="eastAsia" w:ascii="宋体" w:hAnsi="宋体"/>
          <w:color w:val="auto"/>
          <w:sz w:val="24"/>
          <w:lang w:val="zh-CN"/>
        </w:rPr>
        <w:t>进行国内公开招标。欢迎符合本招标文件条件的投标人前来投标。</w:t>
      </w:r>
    </w:p>
    <w:p>
      <w:pPr>
        <w:pStyle w:val="16"/>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29"/>
          <w:rFonts w:hint="eastAsia" w:ascii="宋体" w:hAnsi="宋体" w:eastAsia="宋体" w:cs="宋体"/>
          <w:b w:val="0"/>
          <w:bCs w:val="0"/>
          <w:i w:val="0"/>
          <w:caps w:val="0"/>
          <w:color w:val="auto"/>
          <w:spacing w:val="0"/>
          <w:sz w:val="24"/>
          <w:szCs w:val="24"/>
          <w:u w:val="none"/>
          <w:shd w:val="clear" w:color="auto" w:fill="FFFFFF"/>
        </w:rPr>
        <w:t>11010724210200010064-XM001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1008" w:rightChars="-420"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北大附中石景山学校（新址）教育教学设施设备与多媒体通信设备采购项目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w:t>
      </w:r>
      <w:r>
        <w:rPr>
          <w:rFonts w:hint="eastAsia" w:ascii="宋体" w:hAnsi="宋体"/>
          <w:b/>
          <w:bCs/>
          <w:color w:val="auto"/>
          <w:sz w:val="24"/>
        </w:rPr>
        <w:t>人名称：</w:t>
      </w:r>
      <w:r>
        <w:rPr>
          <w:rFonts w:hint="eastAsia" w:ascii="宋体" w:hAnsi="宋体"/>
          <w:bCs/>
          <w:color w:val="auto"/>
          <w:sz w:val="24"/>
        </w:rPr>
        <w:t>北京市石景山区教育委员会教育技术装备中心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w:t>
      </w:r>
      <w:r>
        <w:rPr>
          <w:rFonts w:hint="eastAsia" w:ascii="宋体" w:hAnsi="宋体"/>
          <w:b/>
          <w:bCs/>
          <w:color w:val="auto"/>
          <w:sz w:val="24"/>
        </w:rPr>
        <w:t>人地址：</w:t>
      </w:r>
      <w:r>
        <w:rPr>
          <w:rFonts w:hint="eastAsia" w:ascii="宋体" w:hAnsi="宋体"/>
          <w:bCs/>
          <w:color w:val="auto"/>
          <w:sz w:val="24"/>
        </w:rPr>
        <w:t>北京市石景山区西井三区北门西侧胡同内</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人联系方式：</w:t>
      </w:r>
      <w:r>
        <w:rPr>
          <w:rFonts w:hint="eastAsia" w:ascii="宋体" w:hAnsi="宋体"/>
          <w:color w:val="auto"/>
          <w:sz w:val="24"/>
          <w:lang w:eastAsia="zh-CN"/>
        </w:rPr>
        <w:t>尤轶</w:t>
      </w:r>
      <w:r>
        <w:rPr>
          <w:rFonts w:hint="eastAsia" w:ascii="宋体" w:hAnsi="宋体"/>
          <w:color w:val="auto"/>
          <w:sz w:val="24"/>
          <w:lang w:val="en-US" w:eastAsia="zh-CN"/>
        </w:rPr>
        <w:t>88963530</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rPr>
      </w:pPr>
      <w:r>
        <w:rPr>
          <w:rFonts w:hint="eastAsia" w:ascii="宋体" w:hAnsi="宋体"/>
          <w:color w:val="auto"/>
          <w:sz w:val="24"/>
        </w:rPr>
        <w:t>1、招标内容：</w:t>
      </w:r>
    </w:p>
    <w:p>
      <w:pPr>
        <w:pStyle w:val="16"/>
        <w:rPr>
          <w:rFonts w:hint="eastAsia" w:ascii="宋体" w:hAnsi="宋体" w:cs="宋体"/>
          <w:bCs/>
          <w:color w:val="auto"/>
          <w:kern w:val="0"/>
          <w:sz w:val="24"/>
        </w:rPr>
      </w:pPr>
      <w:r>
        <w:rPr>
          <w:rFonts w:hint="eastAsia"/>
          <w:color w:val="auto"/>
          <w:sz w:val="24"/>
          <w:szCs w:val="24"/>
          <w:lang w:val="en-US" w:eastAsia="zh-CN"/>
        </w:rPr>
        <w:t>第三包：课桌椅              预算控制金额：1，588，133元</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w:t>
      </w:r>
      <w:r>
        <w:rPr>
          <w:rFonts w:hint="eastAsia" w:ascii="宋体" w:hAnsi="宋体" w:cs="宋体"/>
          <w:color w:val="auto"/>
          <w:sz w:val="24"/>
          <w:lang w:eastAsia="zh-CN"/>
        </w:rPr>
        <w:t>第三包</w:t>
      </w:r>
      <w:r>
        <w:rPr>
          <w:rFonts w:hint="eastAsia" w:ascii="宋体" w:hAnsi="宋体" w:cs="宋体"/>
          <w:color w:val="auto"/>
          <w:sz w:val="24"/>
        </w:rPr>
        <w:t>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6"/>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27</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3"/>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84013601"/>
      <w:bookmarkStart w:id="13" w:name="_Toc174185144"/>
      <w:bookmarkStart w:id="14" w:name="_Toc180051008"/>
      <w:bookmarkStart w:id="15" w:name="_Toc184023100"/>
      <w:bookmarkStart w:id="16" w:name="_Toc186274097"/>
      <w:bookmarkStart w:id="17" w:name="_Toc184013607"/>
      <w:bookmarkStart w:id="18" w:name="_Toc186274103"/>
      <w:bookmarkStart w:id="19" w:name="_Toc184023106"/>
      <w:bookmarkStart w:id="20" w:name="_Toc180051014"/>
      <w:bookmarkStart w:id="21" w:name="_Toc174185151"/>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5</w:t>
      </w:r>
      <w:r>
        <w:rPr>
          <w:rFonts w:hint="eastAsia" w:ascii="宋体" w:hAnsi="宋体"/>
          <w:color w:val="auto"/>
          <w:sz w:val="24"/>
        </w:rPr>
        <w:t>月</w:t>
      </w:r>
      <w:r>
        <w:rPr>
          <w:rFonts w:hint="eastAsia" w:ascii="宋体" w:hAnsi="宋体"/>
          <w:color w:val="auto"/>
          <w:sz w:val="24"/>
          <w:lang w:val="en-US" w:eastAsia="zh-CN"/>
        </w:rPr>
        <w:t>8</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5</w:t>
      </w:r>
      <w:r>
        <w:rPr>
          <w:rFonts w:hint="eastAsia" w:ascii="宋体" w:hAnsi="宋体"/>
          <w:b w:val="0"/>
          <w:bCs/>
          <w:color w:val="auto"/>
          <w:sz w:val="24"/>
        </w:rPr>
        <w:t>月</w:t>
      </w:r>
      <w:r>
        <w:rPr>
          <w:rFonts w:hint="eastAsia" w:ascii="宋体" w:hAnsi="宋体"/>
          <w:b w:val="0"/>
          <w:bCs/>
          <w:color w:val="auto"/>
          <w:sz w:val="24"/>
          <w:lang w:val="en-US" w:eastAsia="zh-CN"/>
        </w:rPr>
        <w:t>17</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r>
        <w:rPr>
          <w:rFonts w:hint="eastAsia" w:ascii="宋体" w:hAnsi="宋体"/>
          <w:b w:val="0"/>
          <w:bCs/>
          <w:color w:val="auto"/>
          <w:sz w:val="24"/>
          <w:lang w:eastAsia="zh-CN"/>
        </w:rPr>
        <w:t>，</w:t>
      </w:r>
      <w:r>
        <w:rPr>
          <w:rFonts w:hint="eastAsia" w:ascii="宋体" w:hAnsi="宋体"/>
          <w:b w:val="0"/>
          <w:bCs/>
          <w:color w:val="auto"/>
          <w:sz w:val="24"/>
          <w:lang w:val="en-US" w:eastAsia="zh-CN"/>
        </w:rPr>
        <w:t>投标样品请于2024年5月16日下午15：00-17:00递交至北京市石景山区实兴大街30号院17号楼8层。</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5</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17</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23104"/>
      <w:bookmarkStart w:id="23" w:name="_Toc180051012"/>
      <w:bookmarkStart w:id="24" w:name="_Toc184013605"/>
      <w:bookmarkStart w:id="25" w:name="_Toc174185149"/>
      <w:bookmarkStart w:id="26" w:name="_Toc186274101"/>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9"/>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8"/>
        <w:snapToGrid w:val="0"/>
        <w:spacing w:before="0" w:after="0"/>
        <w:ind w:left="0"/>
        <w:rPr>
          <w:rFonts w:ascii="宋体" w:hAnsi="宋体"/>
          <w:color w:val="auto"/>
        </w:rPr>
      </w:pPr>
      <w:bookmarkStart w:id="27" w:name="_Toc186274104"/>
      <w:bookmarkStart w:id="28" w:name="_Toc466015311"/>
      <w:bookmarkStart w:id="29" w:name="_Toc174185152"/>
      <w:bookmarkStart w:id="30" w:name="_Toc22558"/>
      <w:r>
        <w:rPr>
          <w:rFonts w:hint="eastAsia" w:ascii="宋体" w:hAnsi="宋体"/>
          <w:color w:val="auto"/>
        </w:rPr>
        <w:t>投标人须知前附表</w:t>
      </w:r>
      <w:bookmarkEnd w:id="27"/>
      <w:bookmarkEnd w:id="28"/>
      <w:bookmarkEnd w:id="29"/>
      <w:bookmarkEnd w:id="30"/>
    </w:p>
    <w:p>
      <w:pPr>
        <w:pStyle w:val="48"/>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8"/>
        <w:numPr>
          <w:ilvl w:val="0"/>
          <w:numId w:val="0"/>
        </w:numPr>
        <w:snapToGrid w:val="0"/>
        <w:spacing w:before="0" w:after="0"/>
        <w:jc w:val="left"/>
        <w:rPr>
          <w:rFonts w:cs="微软雅黑"/>
          <w:color w:val="auto"/>
          <w:sz w:val="21"/>
          <w:szCs w:val="21"/>
        </w:rPr>
      </w:pPr>
    </w:p>
    <w:tbl>
      <w:tblPr>
        <w:tblStyle w:val="3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2"/>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2"/>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2"/>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bookmarkStart w:id="31" w:name="_Toc516367023"/>
            <w:bookmarkStart w:id="32" w:name="_Toc520356153"/>
            <w:r>
              <w:rPr>
                <w:rFonts w:hint="eastAsia" w:hAnsi="宋体"/>
                <w:color w:val="auto"/>
                <w:sz w:val="24"/>
                <w:szCs w:val="24"/>
              </w:rPr>
              <w:t>证明投标货物的合格性和符合招标文件规定的文件</w:t>
            </w:r>
            <w:bookmarkEnd w:id="31"/>
            <w:bookmarkEnd w:id="32"/>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投标产品及技术</w:t>
            </w:r>
            <w:r>
              <w:rPr>
                <w:rFonts w:hint="eastAsia" w:ascii="宋体" w:hAnsi="宋体" w:eastAsia="宋体" w:cs="宋体"/>
                <w:bCs/>
                <w:color w:val="auto"/>
                <w:sz w:val="24"/>
                <w:szCs w:val="24"/>
                <w:lang w:eastAsia="zh-CN"/>
              </w:rPr>
              <w:t>方案</w:t>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2"/>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6"/>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6"/>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8"/>
        <w:snapToGrid w:val="0"/>
        <w:spacing w:before="0" w:after="0"/>
        <w:ind w:left="0"/>
        <w:rPr>
          <w:rFonts w:ascii="宋体" w:hAnsi="宋体"/>
          <w:color w:val="auto"/>
        </w:rPr>
      </w:pPr>
      <w:bookmarkStart w:id="33" w:name="_Toc20975"/>
      <w:bookmarkStart w:id="34" w:name="_Toc328815991"/>
      <w:bookmarkStart w:id="35" w:name="_Toc466015312"/>
      <w:bookmarkStart w:id="36" w:name="_Toc174185153"/>
      <w:bookmarkStart w:id="37" w:name="_Toc186274106"/>
      <w:bookmarkStart w:id="38" w:name="_Toc86202581"/>
      <w:r>
        <w:rPr>
          <w:rFonts w:hint="eastAsia" w:ascii="宋体" w:hAnsi="宋体"/>
          <w:color w:val="auto"/>
        </w:rPr>
        <w:t>投标人须知</w:t>
      </w:r>
      <w:bookmarkEnd w:id="33"/>
      <w:bookmarkEnd w:id="34"/>
      <w:bookmarkEnd w:id="35"/>
    </w:p>
    <w:bookmarkEnd w:id="36"/>
    <w:bookmarkEnd w:id="37"/>
    <w:p>
      <w:pPr>
        <w:pStyle w:val="53"/>
        <w:numPr>
          <w:ilvl w:val="0"/>
          <w:numId w:val="0"/>
        </w:numPr>
        <w:adjustRightInd/>
        <w:textAlignment w:val="auto"/>
        <w:rPr>
          <w:color w:val="auto"/>
        </w:rPr>
      </w:pPr>
    </w:p>
    <w:bookmarkEnd w:id="38"/>
    <w:p>
      <w:pPr>
        <w:pStyle w:val="2"/>
        <w:spacing w:before="0" w:after="120" w:line="400" w:lineRule="exact"/>
        <w:ind w:left="238"/>
        <w:rPr>
          <w:rFonts w:ascii="宋体" w:hAnsi="宋体" w:eastAsia="宋体" w:cs="微软雅黑"/>
          <w:bCs w:val="0"/>
          <w:color w:val="auto"/>
          <w:sz w:val="24"/>
          <w:szCs w:val="24"/>
        </w:rPr>
      </w:pPr>
      <w:bookmarkStart w:id="39" w:name="_Toc328815992"/>
      <w:r>
        <w:rPr>
          <w:rFonts w:hint="eastAsia" w:ascii="宋体" w:hAnsi="宋体" w:eastAsia="宋体" w:cs="微软雅黑"/>
          <w:bCs w:val="0"/>
          <w:color w:val="auto"/>
          <w:sz w:val="24"/>
          <w:szCs w:val="24"/>
        </w:rPr>
        <w:t>总则</w:t>
      </w:r>
      <w:bookmarkEnd w:id="39"/>
    </w:p>
    <w:p>
      <w:pPr>
        <w:pStyle w:val="53"/>
        <w:tabs>
          <w:tab w:val="clear" w:pos="709"/>
        </w:tabs>
        <w:spacing w:line="400" w:lineRule="exact"/>
        <w:rPr>
          <w:rFonts w:cs="微软雅黑"/>
          <w:color w:val="auto"/>
          <w:sz w:val="24"/>
          <w:szCs w:val="24"/>
        </w:rPr>
      </w:pPr>
      <w:r>
        <w:rPr>
          <w:rFonts w:hint="eastAsia" w:cs="微软雅黑"/>
          <w:color w:val="auto"/>
          <w:sz w:val="24"/>
          <w:szCs w:val="24"/>
        </w:rPr>
        <w:t>定义：</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29"/>
          <w:rFonts w:cs="微软雅黑"/>
          <w:color w:val="auto"/>
          <w:sz w:val="24"/>
          <w:szCs w:val="24"/>
          <w:u w:val="none"/>
        </w:rPr>
        <w:t>http://www.ccgp-beijing.gov.cn</w:t>
      </w:r>
      <w:r>
        <w:rPr>
          <w:rStyle w:val="29"/>
          <w:rFonts w:cs="微软雅黑"/>
          <w:color w:val="auto"/>
          <w:sz w:val="24"/>
          <w:szCs w:val="24"/>
          <w:u w:val="none"/>
        </w:rPr>
        <w:fldChar w:fldCharType="end"/>
      </w:r>
      <w:r>
        <w:rPr>
          <w:rFonts w:hint="eastAsia" w:cs="微软雅黑"/>
          <w:color w:val="auto"/>
          <w:sz w:val="24"/>
          <w:szCs w:val="24"/>
        </w:rPr>
        <w:t>）。</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3"/>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3"/>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3"/>
        <w:numPr>
          <w:ilvl w:val="-1"/>
          <w:numId w:val="0"/>
        </w:numPr>
        <w:tabs>
          <w:tab w:val="clear" w:pos="709"/>
        </w:tabs>
        <w:snapToGrid w:val="0"/>
        <w:spacing w:line="400" w:lineRule="exact"/>
        <w:rPr>
          <w:rFonts w:cs="微软雅黑"/>
          <w:color w:val="auto"/>
          <w:sz w:val="24"/>
          <w:szCs w:val="24"/>
        </w:rPr>
      </w:pPr>
    </w:p>
    <w:p>
      <w:pPr>
        <w:pStyle w:val="53"/>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3"/>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3"/>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3"/>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3"/>
        <w:numPr>
          <w:ilvl w:val="0"/>
          <w:numId w:val="0"/>
        </w:numPr>
        <w:tabs>
          <w:tab w:val="left" w:pos="420"/>
        </w:tabs>
        <w:spacing w:line="400" w:lineRule="exact"/>
        <w:rPr>
          <w:rFonts w:cs="微软雅黑"/>
          <w:color w:val="auto"/>
        </w:rPr>
      </w:pPr>
    </w:p>
    <w:p>
      <w:pPr>
        <w:pStyle w:val="53"/>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3"/>
        <w:numPr>
          <w:ilvl w:val="0"/>
          <w:numId w:val="0"/>
        </w:numPr>
        <w:snapToGrid w:val="0"/>
        <w:spacing w:line="400" w:lineRule="exact"/>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40" w:name="_Toc328815993"/>
      <w:r>
        <w:rPr>
          <w:rFonts w:hint="eastAsia" w:ascii="宋体" w:hAnsi="宋体" w:eastAsia="宋体" w:cs="微软雅黑"/>
          <w:bCs w:val="0"/>
          <w:color w:val="auto"/>
          <w:sz w:val="24"/>
          <w:szCs w:val="24"/>
        </w:rPr>
        <w:t>招标文件</w:t>
      </w:r>
      <w:bookmarkEnd w:id="40"/>
    </w:p>
    <w:p>
      <w:pPr>
        <w:pStyle w:val="53"/>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3"/>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3"/>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3"/>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3"/>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3"/>
        <w:numPr>
          <w:ilvl w:val="0"/>
          <w:numId w:val="0"/>
        </w:numPr>
        <w:spacing w:line="400" w:lineRule="exact"/>
        <w:ind w:left="709"/>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41" w:name="_Toc328815994"/>
      <w:r>
        <w:rPr>
          <w:rFonts w:hint="eastAsia" w:ascii="宋体" w:hAnsi="宋体" w:eastAsia="宋体" w:cs="微软雅黑"/>
          <w:bCs w:val="0"/>
          <w:color w:val="auto"/>
          <w:sz w:val="24"/>
          <w:szCs w:val="24"/>
        </w:rPr>
        <w:t>电子投标文件</w:t>
      </w:r>
      <w:bookmarkEnd w:id="41"/>
    </w:p>
    <w:p>
      <w:pPr>
        <w:pStyle w:val="53"/>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3"/>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3"/>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3"/>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3"/>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请投标人按照本招标文件第四部分采购需求中采购清单列明的项目填写投标分项报价表，不得增项或减项，不得修改各项目对应的采购数量，填报的分项报价和投标总价均不得为零、为空，否则作无效投标处理。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施工、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3"/>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3"/>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2"/>
        <w:spacing w:before="0" w:after="120" w:line="400" w:lineRule="exact"/>
        <w:ind w:left="238"/>
        <w:rPr>
          <w:rFonts w:ascii="宋体" w:hAnsi="宋体" w:eastAsia="宋体" w:cs="微软雅黑"/>
          <w:bCs w:val="0"/>
          <w:color w:val="auto"/>
          <w:sz w:val="24"/>
          <w:szCs w:val="24"/>
        </w:rPr>
      </w:pPr>
      <w:bookmarkStart w:id="42" w:name="_Toc328815995"/>
      <w:r>
        <w:rPr>
          <w:rFonts w:hint="eastAsia" w:ascii="宋体" w:hAnsi="宋体" w:eastAsia="宋体" w:cs="微软雅黑"/>
          <w:bCs w:val="0"/>
          <w:color w:val="auto"/>
          <w:sz w:val="24"/>
          <w:szCs w:val="24"/>
        </w:rPr>
        <w:t>电子投标文件的</w:t>
      </w:r>
      <w:bookmarkEnd w:id="42"/>
      <w:r>
        <w:rPr>
          <w:rFonts w:hint="eastAsia" w:ascii="宋体" w:hAnsi="宋体" w:eastAsia="宋体" w:cs="微软雅黑"/>
          <w:bCs w:val="0"/>
          <w:color w:val="auto"/>
          <w:sz w:val="24"/>
          <w:szCs w:val="24"/>
        </w:rPr>
        <w:t xml:space="preserve">提交     </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3"/>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3"/>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3"/>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2"/>
        <w:spacing w:before="0" w:after="120" w:line="400" w:lineRule="exact"/>
        <w:ind w:left="238"/>
        <w:rPr>
          <w:rFonts w:ascii="宋体" w:hAnsi="宋体" w:eastAsia="宋体" w:cs="微软雅黑"/>
          <w:bCs w:val="0"/>
          <w:color w:val="auto"/>
          <w:sz w:val="21"/>
          <w:szCs w:val="21"/>
        </w:rPr>
      </w:pPr>
      <w:bookmarkStart w:id="43" w:name="_Toc328815996"/>
      <w:r>
        <w:rPr>
          <w:rFonts w:hint="eastAsia" w:ascii="宋体" w:hAnsi="宋体" w:eastAsia="宋体" w:cs="微软雅黑"/>
          <w:bCs w:val="0"/>
          <w:color w:val="auto"/>
          <w:sz w:val="21"/>
          <w:szCs w:val="21"/>
        </w:rPr>
        <w:t>开标</w:t>
      </w:r>
      <w:bookmarkEnd w:id="43"/>
      <w:r>
        <w:rPr>
          <w:rFonts w:hint="eastAsia" w:ascii="宋体" w:hAnsi="宋体" w:eastAsia="宋体" w:cs="微软雅黑"/>
          <w:bCs w:val="0"/>
          <w:color w:val="auto"/>
          <w:sz w:val="21"/>
          <w:szCs w:val="21"/>
        </w:rPr>
        <w:t xml:space="preserve">、解密及唱标     </w:t>
      </w:r>
    </w:p>
    <w:p>
      <w:pPr>
        <w:pStyle w:val="53"/>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3"/>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3"/>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3"/>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2"/>
        <w:spacing w:before="0" w:after="120" w:line="400" w:lineRule="exact"/>
        <w:ind w:left="238"/>
        <w:rPr>
          <w:rFonts w:ascii="宋体" w:hAnsi="宋体" w:eastAsia="宋体" w:cs="微软雅黑"/>
          <w:bCs w:val="0"/>
          <w:color w:val="auto"/>
          <w:sz w:val="24"/>
          <w:szCs w:val="24"/>
        </w:rPr>
      </w:pPr>
      <w:bookmarkStart w:id="44" w:name="_Toc328815997"/>
      <w:r>
        <w:rPr>
          <w:rFonts w:hint="eastAsia" w:ascii="宋体" w:hAnsi="宋体" w:eastAsia="宋体" w:cs="微软雅黑"/>
          <w:bCs w:val="0"/>
          <w:color w:val="auto"/>
          <w:sz w:val="24"/>
          <w:szCs w:val="24"/>
        </w:rPr>
        <w:t>评标步骤和要求</w:t>
      </w:r>
      <w:bookmarkEnd w:id="44"/>
    </w:p>
    <w:p>
      <w:pPr>
        <w:pStyle w:val="53"/>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3"/>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5"/>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3"/>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3"/>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3"/>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3"/>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核心产品</w:t>
      </w:r>
    </w:p>
    <w:p>
      <w:pPr>
        <w:numPr>
          <w:ilvl w:val="0"/>
          <w:numId w:val="12"/>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第19.2条规定的方式确定一个投标人获得中标候选人推荐资格，招标文件未规定的采取随机抽取方式确定，其他同品牌投标人不作为中标候选人。</w:t>
      </w:r>
    </w:p>
    <w:p>
      <w:pPr>
        <w:numPr>
          <w:ilvl w:val="0"/>
          <w:numId w:val="12"/>
        </w:numPr>
        <w:tabs>
          <w:tab w:val="left" w:pos="567"/>
          <w:tab w:val="clear" w:pos="1200"/>
        </w:tabs>
        <w:snapToGrid w:val="0"/>
        <w:spacing w:line="400" w:lineRule="exact"/>
        <w:ind w:left="567" w:hanging="87"/>
        <w:rPr>
          <w:rFonts w:ascii="宋体" w:hAnsi="宋体"/>
          <w:color w:val="auto"/>
          <w:sz w:val="24"/>
          <w:szCs w:val="24"/>
        </w:rPr>
      </w:pPr>
      <w:r>
        <w:rPr>
          <w:rFonts w:hint="eastAsia" w:ascii="宋体" w:hAnsi="宋体"/>
          <w:color w:val="auto"/>
          <w:sz w:val="24"/>
          <w:szCs w:val="24"/>
        </w:rPr>
        <w:t>非单一产品采购项目，核心产品已在招标文件中载明。多家投标人提供的核心产品品牌相同的，按16.4第（1）款规定处理。</w:t>
      </w:r>
    </w:p>
    <w:p>
      <w:pPr>
        <w:numPr>
          <w:ilvl w:val="0"/>
          <w:numId w:val="12"/>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如按16.4条第（1）款要求计算投标人数量后不足三家的，属于</w:t>
      </w:r>
      <w:r>
        <w:rPr>
          <w:rFonts w:hint="eastAsia" w:ascii="宋体" w:hAnsi="宋体" w:cs="微软雅黑"/>
          <w:color w:val="auto"/>
          <w:sz w:val="24"/>
          <w:szCs w:val="24"/>
        </w:rPr>
        <w:t>对招标文件作实质响应的供应商不足三家，按本部分第22条第（1）款处理。</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3"/>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3"/>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3"/>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3"/>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3"/>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3"/>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3"/>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2"/>
        <w:spacing w:before="0" w:after="120" w:line="400" w:lineRule="exact"/>
        <w:ind w:left="238"/>
        <w:rPr>
          <w:rFonts w:ascii="宋体" w:hAnsi="宋体" w:eastAsia="宋体" w:cs="微软雅黑"/>
          <w:bCs w:val="0"/>
          <w:color w:val="auto"/>
          <w:sz w:val="24"/>
          <w:szCs w:val="24"/>
        </w:rPr>
      </w:pPr>
      <w:bookmarkStart w:id="45" w:name="_Toc328815998"/>
      <w:r>
        <w:rPr>
          <w:rFonts w:hint="eastAsia" w:ascii="宋体" w:hAnsi="宋体" w:eastAsia="宋体" w:cs="微软雅黑"/>
          <w:bCs w:val="0"/>
          <w:color w:val="auto"/>
          <w:sz w:val="24"/>
          <w:szCs w:val="24"/>
        </w:rPr>
        <w:t>中标、未中标通知</w:t>
      </w:r>
      <w:bookmarkEnd w:id="45"/>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3"/>
        <w:numPr>
          <w:ilvl w:val="0"/>
          <w:numId w:val="0"/>
        </w:numPr>
        <w:snapToGrid w:val="0"/>
        <w:spacing w:line="400" w:lineRule="exact"/>
        <w:ind w:left="709"/>
        <w:rPr>
          <w:rFonts w:cs="微软雅黑"/>
          <w:color w:val="auto"/>
          <w:sz w:val="24"/>
          <w:szCs w:val="24"/>
        </w:rPr>
      </w:pP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2"/>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3"/>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3"/>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3"/>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3"/>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2"/>
        <w:spacing w:before="0" w:after="120" w:line="400" w:lineRule="exact"/>
        <w:ind w:left="238"/>
        <w:rPr>
          <w:rFonts w:ascii="宋体" w:hAnsi="宋体" w:eastAsia="宋体" w:cs="微软雅黑"/>
          <w:bCs w:val="0"/>
          <w:color w:val="auto"/>
          <w:sz w:val="24"/>
          <w:szCs w:val="24"/>
        </w:rPr>
      </w:pPr>
      <w:bookmarkStart w:id="46" w:name="_Toc328816000"/>
      <w:r>
        <w:rPr>
          <w:rFonts w:hint="eastAsia" w:ascii="宋体" w:hAnsi="宋体" w:eastAsia="宋体" w:cs="微软雅黑"/>
          <w:bCs w:val="0"/>
          <w:color w:val="auto"/>
          <w:sz w:val="24"/>
          <w:szCs w:val="24"/>
        </w:rPr>
        <w:t>质疑</w:t>
      </w:r>
      <w:bookmarkEnd w:id="46"/>
    </w:p>
    <w:p>
      <w:pPr>
        <w:pStyle w:val="53"/>
        <w:tabs>
          <w:tab w:val="clear" w:pos="709"/>
        </w:tabs>
        <w:spacing w:line="400" w:lineRule="exact"/>
        <w:rPr>
          <w:color w:val="auto"/>
          <w:sz w:val="24"/>
          <w:szCs w:val="24"/>
        </w:rPr>
      </w:pPr>
      <w:r>
        <w:rPr>
          <w:rFonts w:hint="eastAsia"/>
          <w:color w:val="auto"/>
          <w:sz w:val="24"/>
          <w:szCs w:val="24"/>
        </w:rPr>
        <w:t>质疑</w:t>
      </w:r>
    </w:p>
    <w:p>
      <w:pPr>
        <w:pStyle w:val="53"/>
        <w:numPr>
          <w:ilvl w:val="1"/>
          <w:numId w:val="3"/>
        </w:numPr>
        <w:spacing w:line="400" w:lineRule="exact"/>
        <w:rPr>
          <w:rFonts w:cs="微软雅黑"/>
          <w:color w:val="auto"/>
          <w:sz w:val="24"/>
          <w:szCs w:val="24"/>
        </w:rPr>
      </w:pPr>
      <w:bookmarkStart w:id="47"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3"/>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3"/>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3"/>
        <w:numPr>
          <w:ilvl w:val="1"/>
          <w:numId w:val="3"/>
        </w:numPr>
        <w:spacing w:line="400" w:lineRule="exact"/>
        <w:rPr>
          <w:rFonts w:cs="微软雅黑"/>
          <w:color w:val="auto"/>
          <w:sz w:val="24"/>
          <w:szCs w:val="24"/>
        </w:rPr>
      </w:pPr>
      <w:bookmarkStart w:id="48" w:name="_Toc435828258"/>
      <w:bookmarkStart w:id="49" w:name="_Toc435830560"/>
      <w:bookmarkStart w:id="50" w:name="_Toc356478669"/>
      <w:r>
        <w:rPr>
          <w:rFonts w:cs="微软雅黑"/>
          <w:color w:val="auto"/>
          <w:sz w:val="24"/>
          <w:szCs w:val="24"/>
        </w:rPr>
        <w:t>供应商提出质疑应当提交质疑函和必要的证明材料。质疑函应当包括下列内容：</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3"/>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3"/>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3"/>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8"/>
    <w:bookmarkEnd w:id="49"/>
    <w:bookmarkEnd w:id="50"/>
    <w:p>
      <w:pPr>
        <w:pStyle w:val="53"/>
        <w:numPr>
          <w:ilvl w:val="1"/>
          <w:numId w:val="3"/>
        </w:numPr>
        <w:spacing w:line="400" w:lineRule="exact"/>
        <w:rPr>
          <w:rFonts w:cs="微软雅黑"/>
          <w:color w:val="auto"/>
          <w:sz w:val="24"/>
          <w:szCs w:val="24"/>
        </w:rPr>
      </w:pPr>
      <w:bookmarkStart w:id="51" w:name="_Toc435830561"/>
      <w:bookmarkStart w:id="52" w:name="_Toc435828259"/>
      <w:bookmarkStart w:id="53" w:name="_Toc356478670"/>
      <w:r>
        <w:rPr>
          <w:rFonts w:hint="eastAsia" w:cs="微软雅黑"/>
          <w:color w:val="auto"/>
          <w:sz w:val="24"/>
          <w:szCs w:val="24"/>
        </w:rPr>
        <w:t>不符合上述26.2-26.9条规定的质疑函不予受理。</w:t>
      </w:r>
      <w:bookmarkEnd w:id="51"/>
      <w:bookmarkEnd w:id="52"/>
      <w:bookmarkEnd w:id="53"/>
    </w:p>
    <w:p>
      <w:pPr>
        <w:pStyle w:val="53"/>
        <w:numPr>
          <w:ilvl w:val="1"/>
          <w:numId w:val="3"/>
        </w:numPr>
        <w:spacing w:line="400" w:lineRule="exact"/>
        <w:rPr>
          <w:rFonts w:cs="微软雅黑"/>
          <w:color w:val="auto"/>
          <w:sz w:val="24"/>
          <w:szCs w:val="24"/>
        </w:rPr>
      </w:pPr>
      <w:bookmarkStart w:id="54" w:name="_Toc435828260"/>
      <w:bookmarkStart w:id="55" w:name="_Toc435830562"/>
      <w:bookmarkStart w:id="56"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4"/>
      <w:bookmarkEnd w:id="55"/>
      <w:bookmarkEnd w:id="56"/>
    </w:p>
    <w:p>
      <w:pPr>
        <w:pStyle w:val="53"/>
        <w:numPr>
          <w:ilvl w:val="0"/>
          <w:numId w:val="0"/>
        </w:numPr>
        <w:spacing w:line="400" w:lineRule="exact"/>
        <w:rPr>
          <w:rFonts w:cs="微软雅黑"/>
          <w:color w:val="auto"/>
          <w:sz w:val="24"/>
          <w:szCs w:val="24"/>
        </w:rPr>
      </w:pPr>
    </w:p>
    <w:p>
      <w:pPr>
        <w:pStyle w:val="53"/>
        <w:numPr>
          <w:ilvl w:val="0"/>
          <w:numId w:val="0"/>
        </w:numPr>
        <w:spacing w:line="400" w:lineRule="exact"/>
        <w:rPr>
          <w:rStyle w:val="56"/>
          <w:b w:val="0"/>
          <w:bCs w:val="0"/>
          <w:color w:val="auto"/>
          <w:kern w:val="2"/>
          <w:sz w:val="24"/>
          <w:szCs w:val="24"/>
        </w:rPr>
      </w:pPr>
      <w:r>
        <w:rPr>
          <w:rStyle w:val="56"/>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3"/>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7"/>
    </w:p>
    <w:p>
      <w:pPr>
        <w:pStyle w:val="48"/>
        <w:snapToGrid w:val="0"/>
        <w:spacing w:before="0" w:after="0"/>
        <w:ind w:left="0"/>
        <w:rPr>
          <w:rFonts w:ascii="宋体" w:hAnsi="宋体"/>
          <w:color w:val="auto"/>
        </w:rPr>
      </w:pPr>
      <w:bookmarkStart w:id="57" w:name="_Toc5503"/>
      <w:bookmarkEnd w:id="57"/>
      <w:bookmarkStart w:id="58" w:name="_Toc466015313"/>
      <w:r>
        <w:rPr>
          <w:rFonts w:hint="eastAsia" w:ascii="宋体" w:hAnsi="宋体"/>
          <w:color w:val="auto"/>
        </w:rPr>
        <w:t>采购需求</w:t>
      </w:r>
      <w:bookmarkEnd w:id="58"/>
    </w:p>
    <w:p>
      <w:pPr>
        <w:pStyle w:val="24"/>
        <w:numPr>
          <w:ilvl w:val="0"/>
          <w:numId w:val="16"/>
        </w:numPr>
        <w:ind w:left="480" w:leftChars="200" w:firstLine="0" w:firstLineChars="0"/>
        <w:rPr>
          <w:rFonts w:hint="eastAsia" w:ascii="宋体" w:hAnsi="宋体" w:cs="宋体"/>
          <w:b/>
          <w:bCs/>
          <w:color w:val="auto"/>
          <w:lang w:eastAsia="zh-CN"/>
        </w:rPr>
      </w:pPr>
      <w:bookmarkStart w:id="59" w:name="_Toc174185168"/>
      <w:bookmarkStart w:id="60" w:name="_Toc13684"/>
      <w:bookmarkStart w:id="61" w:name="_Toc184023125"/>
      <w:r>
        <w:rPr>
          <w:rFonts w:hint="eastAsia" w:ascii="宋体" w:hAnsi="宋体" w:cs="宋体"/>
          <w:b/>
          <w:bCs/>
          <w:color w:val="auto"/>
          <w:lang w:eastAsia="zh-CN"/>
        </w:rPr>
        <w:t>需求清单</w:t>
      </w:r>
    </w:p>
    <w:tbl>
      <w:tblPr>
        <w:tblStyle w:val="31"/>
        <w:tblW w:w="8544" w:type="dxa"/>
        <w:tblInd w:w="3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2"/>
        <w:gridCol w:w="743"/>
        <w:gridCol w:w="1020"/>
        <w:gridCol w:w="5355"/>
        <w:gridCol w:w="384"/>
        <w:gridCol w:w="6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3"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班级</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设备名称</w:t>
            </w:r>
          </w:p>
        </w:tc>
        <w:tc>
          <w:tcPr>
            <w:tcW w:w="102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参考规格型号</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规格、功能、技术要求</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23" w:hRule="atLeast"/>
        </w:trPr>
        <w:tc>
          <w:tcPr>
            <w:tcW w:w="4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小学教室</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学生课桌（</w:t>
            </w:r>
            <w:r>
              <w:rPr>
                <w:rFonts w:hint="eastAsia" w:ascii="宋体" w:hAnsi="宋体" w:cs="宋体"/>
                <w:i w:val="0"/>
                <w:iCs w:val="0"/>
                <w:color w:val="auto"/>
                <w:kern w:val="0"/>
                <w:sz w:val="24"/>
                <w:szCs w:val="24"/>
                <w:u w:val="none"/>
                <w:lang w:val="en-US" w:eastAsia="zh-CN" w:bidi="ar"/>
              </w:rPr>
              <w:t>核心产品，</w:t>
            </w:r>
            <w:bookmarkStart w:id="90" w:name="_GoBack"/>
            <w:bookmarkEnd w:id="90"/>
            <w:r>
              <w:rPr>
                <w:rFonts w:hint="eastAsia" w:ascii="宋体" w:hAnsi="宋体" w:eastAsia="宋体" w:cs="宋体"/>
                <w:i w:val="0"/>
                <w:iCs w:val="0"/>
                <w:color w:val="auto"/>
                <w:kern w:val="0"/>
                <w:sz w:val="24"/>
                <w:szCs w:val="24"/>
                <w:u w:val="none"/>
                <w:lang w:val="en-US" w:eastAsia="zh-CN" w:bidi="ar"/>
              </w:rPr>
              <w:t>需提供样品）</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8" name="AutoShape_170"/>
                  <wp:cNvGraphicFramePr/>
                  <a:graphic xmlns:a="http://schemas.openxmlformats.org/drawingml/2006/main">
                    <a:graphicData uri="http://schemas.openxmlformats.org/drawingml/2006/picture">
                      <pic:pic xmlns:pic="http://schemas.openxmlformats.org/drawingml/2006/picture">
                        <pic:nvPicPr>
                          <pic:cNvPr id="318" name="AutoShape_170"/>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9" name="AutoShape_170_SpCnt_1"/>
                  <wp:cNvGraphicFramePr/>
                  <a:graphic xmlns:a="http://schemas.openxmlformats.org/drawingml/2006/main">
                    <a:graphicData uri="http://schemas.openxmlformats.org/drawingml/2006/picture">
                      <pic:pic xmlns:pic="http://schemas.openxmlformats.org/drawingml/2006/picture">
                        <pic:nvPicPr>
                          <pic:cNvPr id="319" name="AutoShape_170_SpCnt_1"/>
                          <pic:cNvPicPr/>
                        </pic:nvPicPr>
                        <pic:blipFill>
                          <a:blip r:embed="rId1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5" name="AutoShape_170_SpCnt_2"/>
                  <wp:cNvGraphicFramePr/>
                  <a:graphic xmlns:a="http://schemas.openxmlformats.org/drawingml/2006/main">
                    <a:graphicData uri="http://schemas.openxmlformats.org/drawingml/2006/picture">
                      <pic:pic xmlns:pic="http://schemas.openxmlformats.org/drawingml/2006/picture">
                        <pic:nvPicPr>
                          <pic:cNvPr id="315" name="AutoShape_170_SpCnt_2"/>
                          <pic:cNvPicPr/>
                        </pic:nvPicPr>
                        <pic:blipFill>
                          <a:blip r:embed="rId1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6" name="AutoShape_170_SpCnt_3"/>
                  <wp:cNvGraphicFramePr/>
                  <a:graphic xmlns:a="http://schemas.openxmlformats.org/drawingml/2006/main">
                    <a:graphicData uri="http://schemas.openxmlformats.org/drawingml/2006/picture">
                      <pic:pic xmlns:pic="http://schemas.openxmlformats.org/drawingml/2006/picture">
                        <pic:nvPicPr>
                          <pic:cNvPr id="316" name="AutoShape_170_SpCnt_3"/>
                          <pic:cNvPicPr/>
                        </pic:nvPicPr>
                        <pic:blipFill>
                          <a:blip r:embed="rId1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7" name="AutoShape_170_SpCnt_4"/>
                  <wp:cNvGraphicFramePr/>
                  <a:graphic xmlns:a="http://schemas.openxmlformats.org/drawingml/2006/main">
                    <a:graphicData uri="http://schemas.openxmlformats.org/drawingml/2006/picture">
                      <pic:pic xmlns:pic="http://schemas.openxmlformats.org/drawingml/2006/picture">
                        <pic:nvPicPr>
                          <pic:cNvPr id="317" name="AutoShape_170_SpCnt_4"/>
                          <pic:cNvPicPr/>
                        </pic:nvPicPr>
                        <pic:blipFill>
                          <a:blip r:embed="rId1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3" name="AutoShape_170_SpCnt_5"/>
                  <wp:cNvGraphicFramePr/>
                  <a:graphic xmlns:a="http://schemas.openxmlformats.org/drawingml/2006/main">
                    <a:graphicData uri="http://schemas.openxmlformats.org/drawingml/2006/picture">
                      <pic:pic xmlns:pic="http://schemas.openxmlformats.org/drawingml/2006/picture">
                        <pic:nvPicPr>
                          <pic:cNvPr id="313" name="AutoShape_170_SpCnt_5"/>
                          <pic:cNvPicPr/>
                        </pic:nvPicPr>
                        <pic:blipFill>
                          <a:blip r:embed="rId1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4" name="AutoShape_170_SpCnt_6"/>
                  <wp:cNvGraphicFramePr/>
                  <a:graphic xmlns:a="http://schemas.openxmlformats.org/drawingml/2006/main">
                    <a:graphicData uri="http://schemas.openxmlformats.org/drawingml/2006/picture">
                      <pic:pic xmlns:pic="http://schemas.openxmlformats.org/drawingml/2006/picture">
                        <pic:nvPicPr>
                          <pic:cNvPr id="314" name="AutoShape_170_SpCnt_6"/>
                          <pic:cNvPicPr/>
                        </pic:nvPicPr>
                        <pic:blipFill>
                          <a:blip r:embed="rId1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9" name="AutoShape_170_SpCnt_7"/>
                  <wp:cNvGraphicFramePr/>
                  <a:graphic xmlns:a="http://schemas.openxmlformats.org/drawingml/2006/main">
                    <a:graphicData uri="http://schemas.openxmlformats.org/drawingml/2006/picture">
                      <pic:pic xmlns:pic="http://schemas.openxmlformats.org/drawingml/2006/picture">
                        <pic:nvPicPr>
                          <pic:cNvPr id="329" name="AutoShape_170_SpCnt_7"/>
                          <pic:cNvPicPr/>
                        </pic:nvPicPr>
                        <pic:blipFill>
                          <a:blip r:embed="rId1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0" name="AutoShape_170_SpCnt_8"/>
                  <wp:cNvGraphicFramePr/>
                  <a:graphic xmlns:a="http://schemas.openxmlformats.org/drawingml/2006/main">
                    <a:graphicData uri="http://schemas.openxmlformats.org/drawingml/2006/picture">
                      <pic:pic xmlns:pic="http://schemas.openxmlformats.org/drawingml/2006/picture">
                        <pic:nvPicPr>
                          <pic:cNvPr id="320" name="AutoShape_170_SpCnt_8"/>
                          <pic:cNvPicPr/>
                        </pic:nvPicPr>
                        <pic:blipFill>
                          <a:blip r:embed="rId1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1" name="AutoShape_170_SpCnt_9"/>
                  <wp:cNvGraphicFramePr/>
                  <a:graphic xmlns:a="http://schemas.openxmlformats.org/drawingml/2006/main">
                    <a:graphicData uri="http://schemas.openxmlformats.org/drawingml/2006/picture">
                      <pic:pic xmlns:pic="http://schemas.openxmlformats.org/drawingml/2006/picture">
                        <pic:nvPicPr>
                          <pic:cNvPr id="321" name="AutoShape_170_SpCnt_9"/>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2" name="AutoShape_170_SpCnt_10"/>
                  <wp:cNvGraphicFramePr/>
                  <a:graphic xmlns:a="http://schemas.openxmlformats.org/drawingml/2006/main">
                    <a:graphicData uri="http://schemas.openxmlformats.org/drawingml/2006/picture">
                      <pic:pic xmlns:pic="http://schemas.openxmlformats.org/drawingml/2006/picture">
                        <pic:nvPicPr>
                          <pic:cNvPr id="322" name="AutoShape_170_SpCnt_10"/>
                          <pic:cNvPicPr/>
                        </pic:nvPicPr>
                        <pic:blipFill>
                          <a:blip r:embed="rId1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0" name="AutoShape_170_SpCnt_11"/>
                  <wp:cNvGraphicFramePr/>
                  <a:graphic xmlns:a="http://schemas.openxmlformats.org/drawingml/2006/main">
                    <a:graphicData uri="http://schemas.openxmlformats.org/drawingml/2006/picture">
                      <pic:pic xmlns:pic="http://schemas.openxmlformats.org/drawingml/2006/picture">
                        <pic:nvPicPr>
                          <pic:cNvPr id="330" name="AutoShape_170_SpCnt_11"/>
                          <pic:cNvPicPr/>
                        </pic:nvPicPr>
                        <pic:blipFill>
                          <a:blip r:embed="rId2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3" name="AutoShape_170_SpCnt_12"/>
                  <wp:cNvGraphicFramePr/>
                  <a:graphic xmlns:a="http://schemas.openxmlformats.org/drawingml/2006/main">
                    <a:graphicData uri="http://schemas.openxmlformats.org/drawingml/2006/picture">
                      <pic:pic xmlns:pic="http://schemas.openxmlformats.org/drawingml/2006/picture">
                        <pic:nvPicPr>
                          <pic:cNvPr id="323" name="AutoShape_170_SpCnt_12"/>
                          <pic:cNvPicPr/>
                        </pic:nvPicPr>
                        <pic:blipFill>
                          <a:blip r:embed="rId2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4" name="AutoShape_170_SpCnt_13"/>
                  <wp:cNvGraphicFramePr/>
                  <a:graphic xmlns:a="http://schemas.openxmlformats.org/drawingml/2006/main">
                    <a:graphicData uri="http://schemas.openxmlformats.org/drawingml/2006/picture">
                      <pic:pic xmlns:pic="http://schemas.openxmlformats.org/drawingml/2006/picture">
                        <pic:nvPicPr>
                          <pic:cNvPr id="324" name="AutoShape_170_SpCnt_13"/>
                          <pic:cNvPicPr/>
                        </pic:nvPicPr>
                        <pic:blipFill>
                          <a:blip r:embed="rId2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5" name="AutoShape_170_SpCnt_14"/>
                  <wp:cNvGraphicFramePr/>
                  <a:graphic xmlns:a="http://schemas.openxmlformats.org/drawingml/2006/main">
                    <a:graphicData uri="http://schemas.openxmlformats.org/drawingml/2006/picture">
                      <pic:pic xmlns:pic="http://schemas.openxmlformats.org/drawingml/2006/picture">
                        <pic:nvPicPr>
                          <pic:cNvPr id="325" name="AutoShape_170_SpCnt_14"/>
                          <pic:cNvPicPr/>
                        </pic:nvPicPr>
                        <pic:blipFill>
                          <a:blip r:embed="rId2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6" name="AutoShape_170_SpCnt_15"/>
                  <wp:cNvGraphicFramePr/>
                  <a:graphic xmlns:a="http://schemas.openxmlformats.org/drawingml/2006/main">
                    <a:graphicData uri="http://schemas.openxmlformats.org/drawingml/2006/picture">
                      <pic:pic xmlns:pic="http://schemas.openxmlformats.org/drawingml/2006/picture">
                        <pic:nvPicPr>
                          <pic:cNvPr id="326" name="AutoShape_170_SpCnt_15"/>
                          <pic:cNvPicPr/>
                        </pic:nvPicPr>
                        <pic:blipFill>
                          <a:blip r:embed="rId2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7" name="AutoShape_170_SpCnt_16"/>
                  <wp:cNvGraphicFramePr/>
                  <a:graphic xmlns:a="http://schemas.openxmlformats.org/drawingml/2006/main">
                    <a:graphicData uri="http://schemas.openxmlformats.org/drawingml/2006/picture">
                      <pic:pic xmlns:pic="http://schemas.openxmlformats.org/drawingml/2006/picture">
                        <pic:nvPicPr>
                          <pic:cNvPr id="327" name="AutoShape_170_SpCnt_16"/>
                          <pic:cNvPicPr/>
                        </pic:nvPicPr>
                        <pic:blipFill>
                          <a:blip r:embed="rId1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8" name="AutoShape_170_SpCnt_17"/>
                  <wp:cNvGraphicFramePr/>
                  <a:graphic xmlns:a="http://schemas.openxmlformats.org/drawingml/2006/main">
                    <a:graphicData uri="http://schemas.openxmlformats.org/drawingml/2006/picture">
                      <pic:pic xmlns:pic="http://schemas.openxmlformats.org/drawingml/2006/picture">
                        <pic:nvPicPr>
                          <pic:cNvPr id="328" name="AutoShape_170_SpCnt_17"/>
                          <pic:cNvPicPr/>
                        </pic:nvPicPr>
                        <pic:blipFill>
                          <a:blip r:embed="rId2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4" name="AutoShape_170_SpCnt_18"/>
                  <wp:cNvGraphicFramePr/>
                  <a:graphic xmlns:a="http://schemas.openxmlformats.org/drawingml/2006/main">
                    <a:graphicData uri="http://schemas.openxmlformats.org/drawingml/2006/picture">
                      <pic:pic xmlns:pic="http://schemas.openxmlformats.org/drawingml/2006/picture">
                        <pic:nvPicPr>
                          <pic:cNvPr id="334" name="AutoShape_170_SpCnt_18"/>
                          <pic:cNvPicPr/>
                        </pic:nvPicPr>
                        <pic:blipFill>
                          <a:blip r:embed="rId1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50" name="AutoShape_170_SpCnt_19"/>
                  <wp:cNvGraphicFramePr/>
                  <a:graphic xmlns:a="http://schemas.openxmlformats.org/drawingml/2006/main">
                    <a:graphicData uri="http://schemas.openxmlformats.org/drawingml/2006/picture">
                      <pic:pic xmlns:pic="http://schemas.openxmlformats.org/drawingml/2006/picture">
                        <pic:nvPicPr>
                          <pic:cNvPr id="350" name="AutoShape_170_SpCnt_19"/>
                          <pic:cNvPicPr/>
                        </pic:nvPicPr>
                        <pic:blipFill>
                          <a:blip r:embed="rId2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4" name="AutoShape_170_SpCnt_20"/>
                  <wp:cNvGraphicFramePr/>
                  <a:graphic xmlns:a="http://schemas.openxmlformats.org/drawingml/2006/main">
                    <a:graphicData uri="http://schemas.openxmlformats.org/drawingml/2006/picture">
                      <pic:pic xmlns:pic="http://schemas.openxmlformats.org/drawingml/2006/picture">
                        <pic:nvPicPr>
                          <pic:cNvPr id="344" name="AutoShape_170_SpCnt_20"/>
                          <pic:cNvPicPr/>
                        </pic:nvPicPr>
                        <pic:blipFill>
                          <a:blip r:embed="rId2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5" name="AutoShape_170_SpCnt_21"/>
                  <wp:cNvGraphicFramePr/>
                  <a:graphic xmlns:a="http://schemas.openxmlformats.org/drawingml/2006/main">
                    <a:graphicData uri="http://schemas.openxmlformats.org/drawingml/2006/picture">
                      <pic:pic xmlns:pic="http://schemas.openxmlformats.org/drawingml/2006/picture">
                        <pic:nvPicPr>
                          <pic:cNvPr id="335" name="AutoShape_170_SpCnt_21"/>
                          <pic:cNvPicPr/>
                        </pic:nvPicPr>
                        <pic:blipFill>
                          <a:blip r:embed="rId1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6" name="AutoShape_170_SpCnt_22"/>
                  <wp:cNvGraphicFramePr/>
                  <a:graphic xmlns:a="http://schemas.openxmlformats.org/drawingml/2006/main">
                    <a:graphicData uri="http://schemas.openxmlformats.org/drawingml/2006/picture">
                      <pic:pic xmlns:pic="http://schemas.openxmlformats.org/drawingml/2006/picture">
                        <pic:nvPicPr>
                          <pic:cNvPr id="336" name="AutoShape_170_SpCnt_22"/>
                          <pic:cNvPicPr/>
                        </pic:nvPicPr>
                        <pic:blipFill>
                          <a:blip r:embed="rId2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0" name="AutoShape_170_SpCnt_23"/>
                  <wp:cNvGraphicFramePr/>
                  <a:graphic xmlns:a="http://schemas.openxmlformats.org/drawingml/2006/main">
                    <a:graphicData uri="http://schemas.openxmlformats.org/drawingml/2006/picture">
                      <pic:pic xmlns:pic="http://schemas.openxmlformats.org/drawingml/2006/picture">
                        <pic:nvPicPr>
                          <pic:cNvPr id="340" name="AutoShape_170_SpCnt_23"/>
                          <pic:cNvPicPr/>
                        </pic:nvPicPr>
                        <pic:blipFill>
                          <a:blip r:embed="rId2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7" name="AutoShape_170_SpCnt_24"/>
                  <wp:cNvGraphicFramePr/>
                  <a:graphic xmlns:a="http://schemas.openxmlformats.org/drawingml/2006/main">
                    <a:graphicData uri="http://schemas.openxmlformats.org/drawingml/2006/picture">
                      <pic:pic xmlns:pic="http://schemas.openxmlformats.org/drawingml/2006/picture">
                        <pic:nvPicPr>
                          <pic:cNvPr id="337" name="AutoShape_170_SpCnt_24"/>
                          <pic:cNvPicPr/>
                        </pic:nvPicPr>
                        <pic:blipFill>
                          <a:blip r:embed="rId2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51" name="AutoShape_170_SpCnt_25"/>
                  <wp:cNvGraphicFramePr/>
                  <a:graphic xmlns:a="http://schemas.openxmlformats.org/drawingml/2006/main">
                    <a:graphicData uri="http://schemas.openxmlformats.org/drawingml/2006/picture">
                      <pic:pic xmlns:pic="http://schemas.openxmlformats.org/drawingml/2006/picture">
                        <pic:nvPicPr>
                          <pic:cNvPr id="351" name="AutoShape_170_SpCnt_25"/>
                          <pic:cNvPicPr/>
                        </pic:nvPicPr>
                        <pic:blipFill>
                          <a:blip r:embed="rId3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1" name="AutoShape_170_SpCnt_26"/>
                  <wp:cNvGraphicFramePr/>
                  <a:graphic xmlns:a="http://schemas.openxmlformats.org/drawingml/2006/main">
                    <a:graphicData uri="http://schemas.openxmlformats.org/drawingml/2006/picture">
                      <pic:pic xmlns:pic="http://schemas.openxmlformats.org/drawingml/2006/picture">
                        <pic:nvPicPr>
                          <pic:cNvPr id="341" name="AutoShape_170_SpCnt_26"/>
                          <pic:cNvPicPr/>
                        </pic:nvPicPr>
                        <pic:blipFill>
                          <a:blip r:embed="rId3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8" name="AutoShape_170_SpCnt_27"/>
                  <wp:cNvGraphicFramePr/>
                  <a:graphic xmlns:a="http://schemas.openxmlformats.org/drawingml/2006/main">
                    <a:graphicData uri="http://schemas.openxmlformats.org/drawingml/2006/picture">
                      <pic:pic xmlns:pic="http://schemas.openxmlformats.org/drawingml/2006/picture">
                        <pic:nvPicPr>
                          <pic:cNvPr id="348" name="AutoShape_170_SpCnt_27"/>
                          <pic:cNvPicPr/>
                        </pic:nvPicPr>
                        <pic:blipFill>
                          <a:blip r:embed="rId3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8" name="AutoShape_170_SpCnt_28"/>
                  <wp:cNvGraphicFramePr/>
                  <a:graphic xmlns:a="http://schemas.openxmlformats.org/drawingml/2006/main">
                    <a:graphicData uri="http://schemas.openxmlformats.org/drawingml/2006/picture">
                      <pic:pic xmlns:pic="http://schemas.openxmlformats.org/drawingml/2006/picture">
                        <pic:nvPicPr>
                          <pic:cNvPr id="338" name="AutoShape_170_SpCnt_28"/>
                          <pic:cNvPicPr/>
                        </pic:nvPicPr>
                        <pic:blipFill>
                          <a:blip r:embed="rId3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1" name="AutoShape_170_SpCnt_29"/>
                  <wp:cNvGraphicFramePr/>
                  <a:graphic xmlns:a="http://schemas.openxmlformats.org/drawingml/2006/main">
                    <a:graphicData uri="http://schemas.openxmlformats.org/drawingml/2006/picture">
                      <pic:pic xmlns:pic="http://schemas.openxmlformats.org/drawingml/2006/picture">
                        <pic:nvPicPr>
                          <pic:cNvPr id="331" name="AutoShape_170_SpCnt_29"/>
                          <pic:cNvPicPr/>
                        </pic:nvPicPr>
                        <pic:blipFill>
                          <a:blip r:embed="rId3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2" name="AutoShape_170_SpCnt_30"/>
                  <wp:cNvGraphicFramePr/>
                  <a:graphic xmlns:a="http://schemas.openxmlformats.org/drawingml/2006/main">
                    <a:graphicData uri="http://schemas.openxmlformats.org/drawingml/2006/picture">
                      <pic:pic xmlns:pic="http://schemas.openxmlformats.org/drawingml/2006/picture">
                        <pic:nvPicPr>
                          <pic:cNvPr id="332" name="AutoShape_170_SpCnt_30"/>
                          <pic:cNvPicPr/>
                        </pic:nvPicPr>
                        <pic:blipFill>
                          <a:blip r:embed="rId3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2" name="AutoShape_170_SpCnt_31"/>
                  <wp:cNvGraphicFramePr/>
                  <a:graphic xmlns:a="http://schemas.openxmlformats.org/drawingml/2006/main">
                    <a:graphicData uri="http://schemas.openxmlformats.org/drawingml/2006/picture">
                      <pic:pic xmlns:pic="http://schemas.openxmlformats.org/drawingml/2006/picture">
                        <pic:nvPicPr>
                          <pic:cNvPr id="342" name="AutoShape_170_SpCnt_31"/>
                          <pic:cNvPicPr/>
                        </pic:nvPicPr>
                        <pic:blipFill>
                          <a:blip r:embed="rId3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9" name="AutoShape_170_SpCnt_32"/>
                  <wp:cNvGraphicFramePr/>
                  <a:graphic xmlns:a="http://schemas.openxmlformats.org/drawingml/2006/main">
                    <a:graphicData uri="http://schemas.openxmlformats.org/drawingml/2006/picture">
                      <pic:pic xmlns:pic="http://schemas.openxmlformats.org/drawingml/2006/picture">
                        <pic:nvPicPr>
                          <pic:cNvPr id="339" name="AutoShape_170_SpCnt_32"/>
                          <pic:cNvPicPr/>
                        </pic:nvPicPr>
                        <pic:blipFill>
                          <a:blip r:embed="rId3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3" name="AutoShape_170_SpCnt_33"/>
                  <wp:cNvGraphicFramePr/>
                  <a:graphic xmlns:a="http://schemas.openxmlformats.org/drawingml/2006/main">
                    <a:graphicData uri="http://schemas.openxmlformats.org/drawingml/2006/picture">
                      <pic:pic xmlns:pic="http://schemas.openxmlformats.org/drawingml/2006/picture">
                        <pic:nvPicPr>
                          <pic:cNvPr id="343" name="AutoShape_170_SpCnt_33"/>
                          <pic:cNvPicPr/>
                        </pic:nvPicPr>
                        <pic:blipFill>
                          <a:blip r:embed="rId3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3" name="AutoShape_170_SpCnt_34"/>
                  <wp:cNvGraphicFramePr/>
                  <a:graphic xmlns:a="http://schemas.openxmlformats.org/drawingml/2006/main">
                    <a:graphicData uri="http://schemas.openxmlformats.org/drawingml/2006/picture">
                      <pic:pic xmlns:pic="http://schemas.openxmlformats.org/drawingml/2006/picture">
                        <pic:nvPicPr>
                          <pic:cNvPr id="333" name="AutoShape_170_SpCnt_34"/>
                          <pic:cNvPicPr/>
                        </pic:nvPicPr>
                        <pic:blipFill>
                          <a:blip r:embed="rId3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5" name="AutoShape_170_SpCnt_35"/>
                  <wp:cNvGraphicFramePr/>
                  <a:graphic xmlns:a="http://schemas.openxmlformats.org/drawingml/2006/main">
                    <a:graphicData uri="http://schemas.openxmlformats.org/drawingml/2006/picture">
                      <pic:pic xmlns:pic="http://schemas.openxmlformats.org/drawingml/2006/picture">
                        <pic:nvPicPr>
                          <pic:cNvPr id="345" name="AutoShape_170_SpCnt_35"/>
                          <pic:cNvPicPr/>
                        </pic:nvPicPr>
                        <pic:blipFill>
                          <a:blip r:embed="rId4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6" name="AutoShape_170_SpCnt_36"/>
                  <wp:cNvGraphicFramePr/>
                  <a:graphic xmlns:a="http://schemas.openxmlformats.org/drawingml/2006/main">
                    <a:graphicData uri="http://schemas.openxmlformats.org/drawingml/2006/picture">
                      <pic:pic xmlns:pic="http://schemas.openxmlformats.org/drawingml/2006/picture">
                        <pic:nvPicPr>
                          <pic:cNvPr id="346" name="AutoShape_170_SpCnt_36"/>
                          <pic:cNvPicPr/>
                        </pic:nvPicPr>
                        <pic:blipFill>
                          <a:blip r:embed="rId3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7" name="AutoShape_170_SpCnt_37"/>
                  <wp:cNvGraphicFramePr/>
                  <a:graphic xmlns:a="http://schemas.openxmlformats.org/drawingml/2006/main">
                    <a:graphicData uri="http://schemas.openxmlformats.org/drawingml/2006/picture">
                      <pic:pic xmlns:pic="http://schemas.openxmlformats.org/drawingml/2006/picture">
                        <pic:nvPicPr>
                          <pic:cNvPr id="347" name="AutoShape_170_SpCnt_37"/>
                          <pic:cNvPicPr/>
                        </pic:nvPicPr>
                        <pic:blipFill>
                          <a:blip r:embed="rId1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9" name="AutoShape_170_SpCnt_38"/>
                  <wp:cNvGraphicFramePr/>
                  <a:graphic xmlns:a="http://schemas.openxmlformats.org/drawingml/2006/main">
                    <a:graphicData uri="http://schemas.openxmlformats.org/drawingml/2006/picture">
                      <pic:pic xmlns:pic="http://schemas.openxmlformats.org/drawingml/2006/picture">
                        <pic:nvPicPr>
                          <pic:cNvPr id="349" name="AutoShape_170_SpCnt_38"/>
                          <pic:cNvPicPr/>
                        </pic:nvPicPr>
                        <pic:blipFill>
                          <a:blip r:embed="rId4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52" name="AutoShape_170_SpCnt_39"/>
                  <wp:cNvGraphicFramePr/>
                  <a:graphic xmlns:a="http://schemas.openxmlformats.org/drawingml/2006/main">
                    <a:graphicData uri="http://schemas.openxmlformats.org/drawingml/2006/picture">
                      <pic:pic xmlns:pic="http://schemas.openxmlformats.org/drawingml/2006/picture">
                        <pic:nvPicPr>
                          <pic:cNvPr id="352" name="AutoShape_170_SpCnt_39"/>
                          <pic:cNvPicPr/>
                        </pic:nvPicPr>
                        <pic:blipFill>
                          <a:blip r:embed="rId3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53" name="AutoShape_170_SpCnt_40"/>
                  <wp:cNvGraphicFramePr/>
                  <a:graphic xmlns:a="http://schemas.openxmlformats.org/drawingml/2006/main">
                    <a:graphicData uri="http://schemas.openxmlformats.org/drawingml/2006/picture">
                      <pic:pic xmlns:pic="http://schemas.openxmlformats.org/drawingml/2006/picture">
                        <pic:nvPicPr>
                          <pic:cNvPr id="353" name="AutoShape_170_SpCnt_40"/>
                          <pic:cNvPicPr/>
                        </pic:nvPicPr>
                        <pic:blipFill>
                          <a:blip r:embed="rId2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lang w:val="en-US" w:eastAsia="zh-CN" w:bidi="ar"/>
              </w:rPr>
              <w:t>W700*D500*H569-793mm</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54" name="AutoShape_170_SpCnt_41"/>
                  <wp:cNvGraphicFramePr/>
                  <a:graphic xmlns:a="http://schemas.openxmlformats.org/drawingml/2006/main">
                    <a:graphicData uri="http://schemas.openxmlformats.org/drawingml/2006/picture">
                      <pic:pic xmlns:pic="http://schemas.openxmlformats.org/drawingml/2006/picture">
                        <pic:nvPicPr>
                          <pic:cNvPr id="354" name="AutoShape_170_SpCnt_41"/>
                          <pic:cNvPicPr/>
                        </pic:nvPicPr>
                        <pic:blipFill>
                          <a:blip r:embed="rId4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1" name="AutoShape_170_SpCnt_42"/>
                  <wp:cNvGraphicFramePr/>
                  <a:graphic xmlns:a="http://schemas.openxmlformats.org/drawingml/2006/main">
                    <a:graphicData uri="http://schemas.openxmlformats.org/drawingml/2006/picture">
                      <pic:pic xmlns:pic="http://schemas.openxmlformats.org/drawingml/2006/picture">
                        <pic:nvPicPr>
                          <pic:cNvPr id="311" name="AutoShape_170_SpCnt_42"/>
                          <pic:cNvPicPr/>
                        </pic:nvPicPr>
                        <pic:blipFill>
                          <a:blip r:embed="rId1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lang w:val="en-US" w:eastAsia="zh-CN" w:bidi="ar"/>
              </w:rPr>
              <w:t>1. 桌脚：60*30*1.5mm方管配50*25*1.5mm, 含前挡板，桌架采用30方管，1.5mm壁厚，前后采用两根30方管焊接V字形支撑，底脚采用30方管，1.5mm壁厚，每个脚配M8热熔钻攻丝，配尼龙可调节脚垫， 前挡板采用1.0mm 冷板折弯成型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 25mm 桌面采用不低于环保E1级浸渍胶膜纸，基材采用25mm厚中密度纤维板，经过防虫、防腐等化学处理，持久不变形，符合GB/T 11718-2019及GB 18580-2017标准。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面板四周弧形处理，四边采用喷射pu，（聚氨酯）厚度不小于1.0mm。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 调节高度：569-793mm， 25mm 一个档位。                                             4.PP全注塑一体成形桌斗，带防滑功能。</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学生椅（需提供样品）</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W420*D410*H400-460*SH820-870mm</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椅子：W420*D410*H400-460*SH820-870mm（±5mm）：椅面：采用全新环保PP工程塑料，一次注塑成型。背部纵横加强筋设计，增强牢固性。椅面心型把手（可作透气孔）设计，椅面多种颜色可选择。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椅架：呈C型设计，可升降调节，套管式升降机构，内管采直径25mm折弯成型后与厚度2.0mm钢板折弯的宽45*高度40mmU型槽焊接而成，内管底部预留3个高度调节固定孔。外管采用直径32mm钢制圆管，折弯呈L型，管壁厚度2.0mm。顶部预留M8高度调节定位孔。椅子所有钢制部件焊接处采用二氧化碳保护焊接工艺.所有钢制部件必须经去油、去锈、酸洗、磷化、清 洗以及烘干工艺处理,各钢管表面高温静电喷涂。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件：1前脚塞半球形与底座一体式，采用PP工程塑料一次注塑成型。要求：管塞插入圆管长度不低于1.5mm，同时底座固定与管子底部。后脚套呈L型设计，采用PP工程塑料一次注塑成型。要求后脚圆管要嵌入脚套一半后用螺丝固定。升降管套：内塞外套一体化，采用PP工程塑料一次注塑成型，内径25mm内嵌入管中深度不低于25mm，同时外套入管中深度不低于40mm。</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初中</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学生课桌</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9" name="AutoShape_170_SpCnt_43"/>
                  <wp:cNvGraphicFramePr/>
                  <a:graphic xmlns:a="http://schemas.openxmlformats.org/drawingml/2006/main">
                    <a:graphicData uri="http://schemas.openxmlformats.org/drawingml/2006/picture">
                      <pic:pic xmlns:pic="http://schemas.openxmlformats.org/drawingml/2006/picture">
                        <pic:nvPicPr>
                          <pic:cNvPr id="309" name="AutoShape_170_SpCnt_43"/>
                          <pic:cNvPicPr/>
                        </pic:nvPicPr>
                        <pic:blipFill>
                          <a:blip r:embed="rId4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2" name="AutoShape_170_SpCnt_44"/>
                  <wp:cNvGraphicFramePr/>
                  <a:graphic xmlns:a="http://schemas.openxmlformats.org/drawingml/2006/main">
                    <a:graphicData uri="http://schemas.openxmlformats.org/drawingml/2006/picture">
                      <pic:pic xmlns:pic="http://schemas.openxmlformats.org/drawingml/2006/picture">
                        <pic:nvPicPr>
                          <pic:cNvPr id="312" name="AutoShape_170_SpCnt_44"/>
                          <pic:cNvPicPr/>
                        </pic:nvPicPr>
                        <pic:blipFill>
                          <a:blip r:embed="rId4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10" name="AutoShape_170_SpCnt_45"/>
                  <wp:cNvGraphicFramePr/>
                  <a:graphic xmlns:a="http://schemas.openxmlformats.org/drawingml/2006/main">
                    <a:graphicData uri="http://schemas.openxmlformats.org/drawingml/2006/picture">
                      <pic:pic xmlns:pic="http://schemas.openxmlformats.org/drawingml/2006/picture">
                        <pic:nvPicPr>
                          <pic:cNvPr id="310" name="AutoShape_170_SpCnt_45"/>
                          <pic:cNvPicPr/>
                        </pic:nvPicPr>
                        <pic:blipFill>
                          <a:blip r:embed="rId4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8" name="AutoShape_170_SpCnt_46"/>
                  <wp:cNvGraphicFramePr/>
                  <a:graphic xmlns:a="http://schemas.openxmlformats.org/drawingml/2006/main">
                    <a:graphicData uri="http://schemas.openxmlformats.org/drawingml/2006/picture">
                      <pic:pic xmlns:pic="http://schemas.openxmlformats.org/drawingml/2006/picture">
                        <pic:nvPicPr>
                          <pic:cNvPr id="308" name="AutoShape_170_SpCnt_46"/>
                          <pic:cNvPicPr/>
                        </pic:nvPicPr>
                        <pic:blipFill>
                          <a:blip r:embed="rId4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7" name="AutoShape_170_SpCnt_47"/>
                  <wp:cNvGraphicFramePr/>
                  <a:graphic xmlns:a="http://schemas.openxmlformats.org/drawingml/2006/main">
                    <a:graphicData uri="http://schemas.openxmlformats.org/drawingml/2006/picture">
                      <pic:pic xmlns:pic="http://schemas.openxmlformats.org/drawingml/2006/picture">
                        <pic:nvPicPr>
                          <pic:cNvPr id="297" name="AutoShape_170_SpCnt_47"/>
                          <pic:cNvPicPr/>
                        </pic:nvPicPr>
                        <pic:blipFill>
                          <a:blip r:embed="rId4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9" name="AutoShape_170_SpCnt_48"/>
                  <wp:cNvGraphicFramePr/>
                  <a:graphic xmlns:a="http://schemas.openxmlformats.org/drawingml/2006/main">
                    <a:graphicData uri="http://schemas.openxmlformats.org/drawingml/2006/picture">
                      <pic:pic xmlns:pic="http://schemas.openxmlformats.org/drawingml/2006/picture">
                        <pic:nvPicPr>
                          <pic:cNvPr id="299" name="AutoShape_170_SpCnt_48"/>
                          <pic:cNvPicPr/>
                        </pic:nvPicPr>
                        <pic:blipFill>
                          <a:blip r:embed="rId4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7" name="AutoShape_170_SpCnt_49"/>
                  <wp:cNvGraphicFramePr/>
                  <a:graphic xmlns:a="http://schemas.openxmlformats.org/drawingml/2006/main">
                    <a:graphicData uri="http://schemas.openxmlformats.org/drawingml/2006/picture">
                      <pic:pic xmlns:pic="http://schemas.openxmlformats.org/drawingml/2006/picture">
                        <pic:nvPicPr>
                          <pic:cNvPr id="307" name="AutoShape_170_SpCnt_49"/>
                          <pic:cNvPicPr/>
                        </pic:nvPicPr>
                        <pic:blipFill>
                          <a:blip r:embed="rId4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1" name="AutoShape_170_SpCnt_50"/>
                  <wp:cNvGraphicFramePr/>
                  <a:graphic xmlns:a="http://schemas.openxmlformats.org/drawingml/2006/main">
                    <a:graphicData uri="http://schemas.openxmlformats.org/drawingml/2006/picture">
                      <pic:pic xmlns:pic="http://schemas.openxmlformats.org/drawingml/2006/picture">
                        <pic:nvPicPr>
                          <pic:cNvPr id="291" name="AutoShape_170_SpCnt_50"/>
                          <pic:cNvPicPr/>
                        </pic:nvPicPr>
                        <pic:blipFill>
                          <a:blip r:embed="rId5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4" name="AutoShape_170_SpCnt_51"/>
                  <wp:cNvGraphicFramePr/>
                  <a:graphic xmlns:a="http://schemas.openxmlformats.org/drawingml/2006/main">
                    <a:graphicData uri="http://schemas.openxmlformats.org/drawingml/2006/picture">
                      <pic:pic xmlns:pic="http://schemas.openxmlformats.org/drawingml/2006/picture">
                        <pic:nvPicPr>
                          <pic:cNvPr id="294" name="AutoShape_170_SpCnt_51"/>
                          <pic:cNvPicPr/>
                        </pic:nvPicPr>
                        <pic:blipFill>
                          <a:blip r:embed="rId4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3" name="AutoShape_170_SpCnt_52"/>
                  <wp:cNvGraphicFramePr/>
                  <a:graphic xmlns:a="http://schemas.openxmlformats.org/drawingml/2006/main">
                    <a:graphicData uri="http://schemas.openxmlformats.org/drawingml/2006/picture">
                      <pic:pic xmlns:pic="http://schemas.openxmlformats.org/drawingml/2006/picture">
                        <pic:nvPicPr>
                          <pic:cNvPr id="293" name="AutoShape_170_SpCnt_52"/>
                          <pic:cNvPicPr/>
                        </pic:nvPicPr>
                        <pic:blipFill>
                          <a:blip r:embed="rId5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3" name="AutoShape_170_SpCnt_53"/>
                  <wp:cNvGraphicFramePr/>
                  <a:graphic xmlns:a="http://schemas.openxmlformats.org/drawingml/2006/main">
                    <a:graphicData uri="http://schemas.openxmlformats.org/drawingml/2006/picture">
                      <pic:pic xmlns:pic="http://schemas.openxmlformats.org/drawingml/2006/picture">
                        <pic:nvPicPr>
                          <pic:cNvPr id="303" name="AutoShape_170_SpCnt_53"/>
                          <pic:cNvPicPr/>
                        </pic:nvPicPr>
                        <pic:blipFill>
                          <a:blip r:embed="rId5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1" name="AutoShape_170_SpCnt_54"/>
                  <wp:cNvGraphicFramePr/>
                  <a:graphic xmlns:a="http://schemas.openxmlformats.org/drawingml/2006/main">
                    <a:graphicData uri="http://schemas.openxmlformats.org/drawingml/2006/picture">
                      <pic:pic xmlns:pic="http://schemas.openxmlformats.org/drawingml/2006/picture">
                        <pic:nvPicPr>
                          <pic:cNvPr id="301" name="AutoShape_170_SpCnt_54"/>
                          <pic:cNvPicPr/>
                        </pic:nvPicPr>
                        <pic:blipFill>
                          <a:blip r:embed="rId5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2" name="AutoShape_170_SpCnt_55"/>
                  <wp:cNvGraphicFramePr/>
                  <a:graphic xmlns:a="http://schemas.openxmlformats.org/drawingml/2006/main">
                    <a:graphicData uri="http://schemas.openxmlformats.org/drawingml/2006/picture">
                      <pic:pic xmlns:pic="http://schemas.openxmlformats.org/drawingml/2006/picture">
                        <pic:nvPicPr>
                          <pic:cNvPr id="292" name="AutoShape_170_SpCnt_55"/>
                          <pic:cNvPicPr/>
                        </pic:nvPicPr>
                        <pic:blipFill>
                          <a:blip r:embed="rId5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5" name="AutoShape_170_SpCnt_56"/>
                  <wp:cNvGraphicFramePr/>
                  <a:graphic xmlns:a="http://schemas.openxmlformats.org/drawingml/2006/main">
                    <a:graphicData uri="http://schemas.openxmlformats.org/drawingml/2006/picture">
                      <pic:pic xmlns:pic="http://schemas.openxmlformats.org/drawingml/2006/picture">
                        <pic:nvPicPr>
                          <pic:cNvPr id="295" name="AutoShape_170_SpCnt_56"/>
                          <pic:cNvPicPr/>
                        </pic:nvPicPr>
                        <pic:blipFill>
                          <a:blip r:embed="rId5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6" name="AutoShape_170_SpCnt_57"/>
                  <wp:cNvGraphicFramePr/>
                  <a:graphic xmlns:a="http://schemas.openxmlformats.org/drawingml/2006/main">
                    <a:graphicData uri="http://schemas.openxmlformats.org/drawingml/2006/picture">
                      <pic:pic xmlns:pic="http://schemas.openxmlformats.org/drawingml/2006/picture">
                        <pic:nvPicPr>
                          <pic:cNvPr id="296" name="AutoShape_170_SpCnt_57"/>
                          <pic:cNvPicPr/>
                        </pic:nvPicPr>
                        <pic:blipFill>
                          <a:blip r:embed="rId5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8" name="AutoShape_170_SpCnt_58"/>
                  <wp:cNvGraphicFramePr/>
                  <a:graphic xmlns:a="http://schemas.openxmlformats.org/drawingml/2006/main">
                    <a:graphicData uri="http://schemas.openxmlformats.org/drawingml/2006/picture">
                      <pic:pic xmlns:pic="http://schemas.openxmlformats.org/drawingml/2006/picture">
                        <pic:nvPicPr>
                          <pic:cNvPr id="298" name="AutoShape_170_SpCnt_58"/>
                          <pic:cNvPicPr/>
                        </pic:nvPicPr>
                        <pic:blipFill>
                          <a:blip r:embed="rId5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2" name="AutoShape_170_SpCnt_59"/>
                  <wp:cNvGraphicFramePr/>
                  <a:graphic xmlns:a="http://schemas.openxmlformats.org/drawingml/2006/main">
                    <a:graphicData uri="http://schemas.openxmlformats.org/drawingml/2006/picture">
                      <pic:pic xmlns:pic="http://schemas.openxmlformats.org/drawingml/2006/picture">
                        <pic:nvPicPr>
                          <pic:cNvPr id="302" name="AutoShape_170_SpCnt_59"/>
                          <pic:cNvPicPr/>
                        </pic:nvPicPr>
                        <pic:blipFill>
                          <a:blip r:embed="rId5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0" name="AutoShape_170_SpCnt_60"/>
                  <wp:cNvGraphicFramePr/>
                  <a:graphic xmlns:a="http://schemas.openxmlformats.org/drawingml/2006/main">
                    <a:graphicData uri="http://schemas.openxmlformats.org/drawingml/2006/picture">
                      <pic:pic xmlns:pic="http://schemas.openxmlformats.org/drawingml/2006/picture">
                        <pic:nvPicPr>
                          <pic:cNvPr id="300" name="AutoShape_170_SpCnt_60"/>
                          <pic:cNvPicPr/>
                        </pic:nvPicPr>
                        <pic:blipFill>
                          <a:blip r:embed="rId5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4" name="AutoShape_170_SpCnt_61"/>
                  <wp:cNvGraphicFramePr/>
                  <a:graphic xmlns:a="http://schemas.openxmlformats.org/drawingml/2006/main">
                    <a:graphicData uri="http://schemas.openxmlformats.org/drawingml/2006/picture">
                      <pic:pic xmlns:pic="http://schemas.openxmlformats.org/drawingml/2006/picture">
                        <pic:nvPicPr>
                          <pic:cNvPr id="304" name="AutoShape_170_SpCnt_61"/>
                          <pic:cNvPicPr/>
                        </pic:nvPicPr>
                        <pic:blipFill>
                          <a:blip r:embed="rId6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6" name="AutoShape_170_SpCnt_62"/>
                  <wp:cNvGraphicFramePr/>
                  <a:graphic xmlns:a="http://schemas.openxmlformats.org/drawingml/2006/main">
                    <a:graphicData uri="http://schemas.openxmlformats.org/drawingml/2006/picture">
                      <pic:pic xmlns:pic="http://schemas.openxmlformats.org/drawingml/2006/picture">
                        <pic:nvPicPr>
                          <pic:cNvPr id="306" name="AutoShape_170_SpCnt_62"/>
                          <pic:cNvPicPr/>
                        </pic:nvPicPr>
                        <pic:blipFill>
                          <a:blip r:embed="rId6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5" name="AutoShape_170_SpCnt_63"/>
                  <wp:cNvGraphicFramePr/>
                  <a:graphic xmlns:a="http://schemas.openxmlformats.org/drawingml/2006/main">
                    <a:graphicData uri="http://schemas.openxmlformats.org/drawingml/2006/picture">
                      <pic:pic xmlns:pic="http://schemas.openxmlformats.org/drawingml/2006/picture">
                        <pic:nvPicPr>
                          <pic:cNvPr id="305" name="AutoShape_170_SpCnt_63"/>
                          <pic:cNvPicPr/>
                        </pic:nvPicPr>
                        <pic:blipFill>
                          <a:blip r:embed="rId6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5" name="AutoShape_170_SpCnt_64"/>
                  <wp:cNvGraphicFramePr/>
                  <a:graphic xmlns:a="http://schemas.openxmlformats.org/drawingml/2006/main">
                    <a:graphicData uri="http://schemas.openxmlformats.org/drawingml/2006/picture">
                      <pic:pic xmlns:pic="http://schemas.openxmlformats.org/drawingml/2006/picture">
                        <pic:nvPicPr>
                          <pic:cNvPr id="265" name="AutoShape_170_SpCnt_64"/>
                          <pic:cNvPicPr/>
                        </pic:nvPicPr>
                        <pic:blipFill>
                          <a:blip r:embed="rId4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2" name="AutoShape_170_SpCnt_65"/>
                  <wp:cNvGraphicFramePr/>
                  <a:graphic xmlns:a="http://schemas.openxmlformats.org/drawingml/2006/main">
                    <a:graphicData uri="http://schemas.openxmlformats.org/drawingml/2006/picture">
                      <pic:pic xmlns:pic="http://schemas.openxmlformats.org/drawingml/2006/picture">
                        <pic:nvPicPr>
                          <pic:cNvPr id="242" name="AutoShape_170_SpCnt_65"/>
                          <pic:cNvPicPr/>
                        </pic:nvPicPr>
                        <pic:blipFill>
                          <a:blip r:embed="rId6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3" name="AutoShape_170_SpCnt_66"/>
                  <wp:cNvGraphicFramePr/>
                  <a:graphic xmlns:a="http://schemas.openxmlformats.org/drawingml/2006/main">
                    <a:graphicData uri="http://schemas.openxmlformats.org/drawingml/2006/picture">
                      <pic:pic xmlns:pic="http://schemas.openxmlformats.org/drawingml/2006/picture">
                        <pic:nvPicPr>
                          <pic:cNvPr id="253" name="AutoShape_170_SpCnt_66"/>
                          <pic:cNvPicPr/>
                        </pic:nvPicPr>
                        <pic:blipFill>
                          <a:blip r:embed="rId4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7" name="AutoShape_170_SpCnt_67"/>
                  <wp:cNvGraphicFramePr/>
                  <a:graphic xmlns:a="http://schemas.openxmlformats.org/drawingml/2006/main">
                    <a:graphicData uri="http://schemas.openxmlformats.org/drawingml/2006/picture">
                      <pic:pic xmlns:pic="http://schemas.openxmlformats.org/drawingml/2006/picture">
                        <pic:nvPicPr>
                          <pic:cNvPr id="267" name="AutoShape_170_SpCnt_67"/>
                          <pic:cNvPicPr/>
                        </pic:nvPicPr>
                        <pic:blipFill>
                          <a:blip r:embed="rId6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37" name="AutoShape_170_SpCnt_68"/>
                  <wp:cNvGraphicFramePr/>
                  <a:graphic xmlns:a="http://schemas.openxmlformats.org/drawingml/2006/main">
                    <a:graphicData uri="http://schemas.openxmlformats.org/drawingml/2006/picture">
                      <pic:pic xmlns:pic="http://schemas.openxmlformats.org/drawingml/2006/picture">
                        <pic:nvPicPr>
                          <pic:cNvPr id="237" name="AutoShape_170_SpCnt_68"/>
                          <pic:cNvPicPr/>
                        </pic:nvPicPr>
                        <pic:blipFill>
                          <a:blip r:embed="rId6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9" name="AutoShape_170_SpCnt_69"/>
                  <wp:cNvGraphicFramePr/>
                  <a:graphic xmlns:a="http://schemas.openxmlformats.org/drawingml/2006/main">
                    <a:graphicData uri="http://schemas.openxmlformats.org/drawingml/2006/picture">
                      <pic:pic xmlns:pic="http://schemas.openxmlformats.org/drawingml/2006/picture">
                        <pic:nvPicPr>
                          <pic:cNvPr id="249" name="AutoShape_170_SpCnt_69"/>
                          <pic:cNvPicPr/>
                        </pic:nvPicPr>
                        <pic:blipFill>
                          <a:blip r:embed="rId5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2" name="AutoShape_170_SpCnt_70"/>
                  <wp:cNvGraphicFramePr/>
                  <a:graphic xmlns:a="http://schemas.openxmlformats.org/drawingml/2006/main">
                    <a:graphicData uri="http://schemas.openxmlformats.org/drawingml/2006/picture">
                      <pic:pic xmlns:pic="http://schemas.openxmlformats.org/drawingml/2006/picture">
                        <pic:nvPicPr>
                          <pic:cNvPr id="252" name="AutoShape_170_SpCnt_70"/>
                          <pic:cNvPicPr/>
                        </pic:nvPicPr>
                        <pic:blipFill>
                          <a:blip r:embed="rId5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4" name="AutoShape_170_SpCnt_71"/>
                  <wp:cNvGraphicFramePr/>
                  <a:graphic xmlns:a="http://schemas.openxmlformats.org/drawingml/2006/main">
                    <a:graphicData uri="http://schemas.openxmlformats.org/drawingml/2006/picture">
                      <pic:pic xmlns:pic="http://schemas.openxmlformats.org/drawingml/2006/picture">
                        <pic:nvPicPr>
                          <pic:cNvPr id="254" name="AutoShape_170_SpCnt_71"/>
                          <pic:cNvPicPr/>
                        </pic:nvPicPr>
                        <pic:blipFill>
                          <a:blip r:embed="rId5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4" name="AutoShape_170_SpCnt_72"/>
                  <wp:cNvGraphicFramePr/>
                  <a:graphic xmlns:a="http://schemas.openxmlformats.org/drawingml/2006/main">
                    <a:graphicData uri="http://schemas.openxmlformats.org/drawingml/2006/picture">
                      <pic:pic xmlns:pic="http://schemas.openxmlformats.org/drawingml/2006/picture">
                        <pic:nvPicPr>
                          <pic:cNvPr id="244" name="AutoShape_170_SpCnt_72"/>
                          <pic:cNvPicPr/>
                        </pic:nvPicPr>
                        <pic:blipFill>
                          <a:blip r:embed="rId5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2" name="AutoShape_170_SpCnt_73"/>
                  <wp:cNvGraphicFramePr/>
                  <a:graphic xmlns:a="http://schemas.openxmlformats.org/drawingml/2006/main">
                    <a:graphicData uri="http://schemas.openxmlformats.org/drawingml/2006/picture">
                      <pic:pic xmlns:pic="http://schemas.openxmlformats.org/drawingml/2006/picture">
                        <pic:nvPicPr>
                          <pic:cNvPr id="262" name="AutoShape_170_SpCnt_73"/>
                          <pic:cNvPicPr/>
                        </pic:nvPicPr>
                        <pic:blipFill>
                          <a:blip r:embed="rId5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38" name="AutoShape_170_SpCnt_74"/>
                  <wp:cNvGraphicFramePr/>
                  <a:graphic xmlns:a="http://schemas.openxmlformats.org/drawingml/2006/main">
                    <a:graphicData uri="http://schemas.openxmlformats.org/drawingml/2006/picture">
                      <pic:pic xmlns:pic="http://schemas.openxmlformats.org/drawingml/2006/picture">
                        <pic:nvPicPr>
                          <pic:cNvPr id="238" name="AutoShape_170_SpCnt_74"/>
                          <pic:cNvPicPr/>
                        </pic:nvPicPr>
                        <pic:blipFill>
                          <a:blip r:embed="rId6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8" name="AutoShape_170_SpCnt_75"/>
                  <wp:cNvGraphicFramePr/>
                  <a:graphic xmlns:a="http://schemas.openxmlformats.org/drawingml/2006/main">
                    <a:graphicData uri="http://schemas.openxmlformats.org/drawingml/2006/picture">
                      <pic:pic xmlns:pic="http://schemas.openxmlformats.org/drawingml/2006/picture">
                        <pic:nvPicPr>
                          <pic:cNvPr id="258" name="AutoShape_170_SpCnt_75"/>
                          <pic:cNvPicPr/>
                        </pic:nvPicPr>
                        <pic:blipFill>
                          <a:blip r:embed="rId6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9" name="AutoShape_170_SpCnt_76"/>
                  <wp:cNvGraphicFramePr/>
                  <a:graphic xmlns:a="http://schemas.openxmlformats.org/drawingml/2006/main">
                    <a:graphicData uri="http://schemas.openxmlformats.org/drawingml/2006/picture">
                      <pic:pic xmlns:pic="http://schemas.openxmlformats.org/drawingml/2006/picture">
                        <pic:nvPicPr>
                          <pic:cNvPr id="259" name="AutoShape_170_SpCnt_76"/>
                          <pic:cNvPicPr/>
                        </pic:nvPicPr>
                        <pic:blipFill>
                          <a:blip r:embed="rId6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5" name="AutoShape_170_SpCnt_77"/>
                  <wp:cNvGraphicFramePr/>
                  <a:graphic xmlns:a="http://schemas.openxmlformats.org/drawingml/2006/main">
                    <a:graphicData uri="http://schemas.openxmlformats.org/drawingml/2006/picture">
                      <pic:pic xmlns:pic="http://schemas.openxmlformats.org/drawingml/2006/picture">
                        <pic:nvPicPr>
                          <pic:cNvPr id="255" name="AutoShape_170_SpCnt_77"/>
                          <pic:cNvPicPr/>
                        </pic:nvPicPr>
                        <pic:blipFill>
                          <a:blip r:embed="rId6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0" name="AutoShape_170_SpCnt_78"/>
                  <wp:cNvGraphicFramePr/>
                  <a:graphic xmlns:a="http://schemas.openxmlformats.org/drawingml/2006/main">
                    <a:graphicData uri="http://schemas.openxmlformats.org/drawingml/2006/picture">
                      <pic:pic xmlns:pic="http://schemas.openxmlformats.org/drawingml/2006/picture">
                        <pic:nvPicPr>
                          <pic:cNvPr id="260" name="AutoShape_170_SpCnt_78"/>
                          <pic:cNvPicPr/>
                        </pic:nvPicPr>
                        <pic:blipFill>
                          <a:blip r:embed="rId6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6" name="AutoShape_170_SpCnt_79"/>
                  <wp:cNvGraphicFramePr/>
                  <a:graphic xmlns:a="http://schemas.openxmlformats.org/drawingml/2006/main">
                    <a:graphicData uri="http://schemas.openxmlformats.org/drawingml/2006/picture">
                      <pic:pic xmlns:pic="http://schemas.openxmlformats.org/drawingml/2006/picture">
                        <pic:nvPicPr>
                          <pic:cNvPr id="256" name="AutoShape_170_SpCnt_79"/>
                          <pic:cNvPicPr/>
                        </pic:nvPicPr>
                        <pic:blipFill>
                          <a:blip r:embed="rId5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8" name="AutoShape_170_SpCnt_80"/>
                  <wp:cNvGraphicFramePr/>
                  <a:graphic xmlns:a="http://schemas.openxmlformats.org/drawingml/2006/main">
                    <a:graphicData uri="http://schemas.openxmlformats.org/drawingml/2006/picture">
                      <pic:pic xmlns:pic="http://schemas.openxmlformats.org/drawingml/2006/picture">
                        <pic:nvPicPr>
                          <pic:cNvPr id="268" name="AutoShape_170_SpCnt_80"/>
                          <pic:cNvPicPr/>
                        </pic:nvPicPr>
                        <pic:blipFill>
                          <a:blip r:embed="rId4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7" name="AutoShape_170_SpCnt_81"/>
                  <wp:cNvGraphicFramePr/>
                  <a:graphic xmlns:a="http://schemas.openxmlformats.org/drawingml/2006/main">
                    <a:graphicData uri="http://schemas.openxmlformats.org/drawingml/2006/picture">
                      <pic:pic xmlns:pic="http://schemas.openxmlformats.org/drawingml/2006/picture">
                        <pic:nvPicPr>
                          <pic:cNvPr id="257" name="AutoShape_170_SpCnt_81"/>
                          <pic:cNvPicPr/>
                        </pic:nvPicPr>
                        <pic:blipFill>
                          <a:blip r:embed="rId5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3" name="AutoShape_170_SpCnt_82"/>
                  <wp:cNvGraphicFramePr/>
                  <a:graphic xmlns:a="http://schemas.openxmlformats.org/drawingml/2006/main">
                    <a:graphicData uri="http://schemas.openxmlformats.org/drawingml/2006/picture">
                      <pic:pic xmlns:pic="http://schemas.openxmlformats.org/drawingml/2006/picture">
                        <pic:nvPicPr>
                          <pic:cNvPr id="243" name="AutoShape_170_SpCnt_82"/>
                          <pic:cNvPicPr/>
                        </pic:nvPicPr>
                        <pic:blipFill>
                          <a:blip r:embed="rId5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7" name="AutoShape_170_SpCnt_83"/>
                  <wp:cNvGraphicFramePr/>
                  <a:graphic xmlns:a="http://schemas.openxmlformats.org/drawingml/2006/main">
                    <a:graphicData uri="http://schemas.openxmlformats.org/drawingml/2006/picture">
                      <pic:pic xmlns:pic="http://schemas.openxmlformats.org/drawingml/2006/picture">
                        <pic:nvPicPr>
                          <pic:cNvPr id="247" name="AutoShape_170_SpCnt_83"/>
                          <pic:cNvPicPr/>
                        </pic:nvPicPr>
                        <pic:blipFill>
                          <a:blip r:embed="rId6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lang w:val="en-US" w:eastAsia="zh-CN" w:bidi="ar"/>
              </w:rPr>
              <w:t>W700*D500*H569-793mm</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 桌脚：60*30*1.5mm方管配50*25*1.5mm, 含前挡板，桌架采用30方管，1.5mm壁厚，前后采用两根30方管焊接V字形支撑，底脚采用30方管，1.5mm壁厚，每个脚配M8热熔钻攻丝，配尼龙可调节脚垫， 前挡板采用1.0mm 冷板折弯成型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 25mm 桌面采用不低于环保E1级浸渍胶膜纸，基材采用25mm厚中密度纤维板，经过防虫、防腐等化学处理，持久不变形，符合GB/T 11718-2019及GB 18580-2017标准。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面板四周弧形处理，四边采用喷射pu，（聚氨酯）厚度不小于1.0mm。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 调节高度：569-793mm， 25mm 一个档位。                                                   4.PP全注塑一体成形桌斗，带防滑功能。</w:t>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5" name="AutoShape_170_SpCnt_84"/>
                  <wp:cNvGraphicFramePr/>
                  <a:graphic xmlns:a="http://schemas.openxmlformats.org/drawingml/2006/main">
                    <a:graphicData uri="http://schemas.openxmlformats.org/drawingml/2006/picture">
                      <pic:pic xmlns:pic="http://schemas.openxmlformats.org/drawingml/2006/picture">
                        <pic:nvPicPr>
                          <pic:cNvPr id="245" name="AutoShape_170_SpCnt_84"/>
                          <pic:cNvPicPr/>
                        </pic:nvPicPr>
                        <pic:blipFill>
                          <a:blip r:embed="rId5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8" name="AutoShape_170_SpCnt_85"/>
                  <wp:cNvGraphicFramePr/>
                  <a:graphic xmlns:a="http://schemas.openxmlformats.org/drawingml/2006/main">
                    <a:graphicData uri="http://schemas.openxmlformats.org/drawingml/2006/picture">
                      <pic:pic xmlns:pic="http://schemas.openxmlformats.org/drawingml/2006/picture">
                        <pic:nvPicPr>
                          <pic:cNvPr id="248" name="AutoShape_170_SpCnt_85"/>
                          <pic:cNvPicPr/>
                        </pic:nvPicPr>
                        <pic:blipFill>
                          <a:blip r:embed="rId60"/>
                          <a:stretch>
                            <a:fillRect/>
                          </a:stretch>
                        </pic:blipFill>
                        <pic:spPr>
                          <a:xfrm>
                            <a:off x="0" y="0"/>
                            <a:ext cx="304800" cy="171450"/>
                          </a:xfrm>
                          <a:prstGeom prst="rect">
                            <a:avLst/>
                          </a:prstGeom>
                          <a:noFill/>
                          <a:ln>
                            <a:noFill/>
                          </a:ln>
                        </pic:spPr>
                      </pic:pic>
                    </a:graphicData>
                  </a:graphic>
                </wp:anchor>
              </w:drawing>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学生椅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W420*D410*H400-460*SH820-870mm</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椅子：W420*D410*H400-460*SH820-870mm（±5mm）：椅面：采用全新环保PP工程塑料，一次注塑成型。背部纵横加强筋设计，增强牢固性。椅面心型把手（可作透气孔）设计，椅面多种颜色可选择。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椅架：呈C型设计，可升降调节，套管式升降机构，内管采直径25mm折弯成型后与厚度2.0mm钢板折弯的宽45*高度40mmU型槽焊接而成，内管底部预留3个高度调节固定孔。外管采用直径32mm钢制圆管，折弯呈L型，管壁厚度2.0mm。顶部预留M8高度调节定位孔。椅子所有钢制部件焊接处采用二氧化碳保护焊接工艺.所有钢制部件必须经去油、去锈、酸洗、磷化、清 洗以及烘干工艺处理,各钢管表面高温静电喷涂。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件：1前脚塞半球形与底座一体式，采用PP工程塑料一次注塑成型。要求：管塞插入圆管长度不低于1.5mm，同时底座固定与管子底部。后脚套呈L型设计，采用PP工程塑料一次注塑成型。要求后脚圆管要嵌入脚套一半后用螺丝固定。升降管套：内塞外套一体化，采用PP工程塑料一次注塑成型，内径25mm内嵌入管中深度不低于25mm，同时外套入管中深度不低于40mm。</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高中</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学生课桌</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4" name="AutoShape_170_SpCnt_86"/>
                  <wp:cNvGraphicFramePr/>
                  <a:graphic xmlns:a="http://schemas.openxmlformats.org/drawingml/2006/main">
                    <a:graphicData uri="http://schemas.openxmlformats.org/drawingml/2006/picture">
                      <pic:pic xmlns:pic="http://schemas.openxmlformats.org/drawingml/2006/picture">
                        <pic:nvPicPr>
                          <pic:cNvPr id="264" name="AutoShape_170_SpCnt_86"/>
                          <pic:cNvPicPr/>
                        </pic:nvPicPr>
                        <pic:blipFill>
                          <a:blip r:embed="rId5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6" name="AutoShape_170_SpCnt_87"/>
                  <wp:cNvGraphicFramePr/>
                  <a:graphic xmlns:a="http://schemas.openxmlformats.org/drawingml/2006/main">
                    <a:graphicData uri="http://schemas.openxmlformats.org/drawingml/2006/picture">
                      <pic:pic xmlns:pic="http://schemas.openxmlformats.org/drawingml/2006/picture">
                        <pic:nvPicPr>
                          <pic:cNvPr id="246" name="AutoShape_170_SpCnt_87"/>
                          <pic:cNvPicPr/>
                        </pic:nvPicPr>
                        <pic:blipFill>
                          <a:blip r:embed="rId5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0" name="AutoShape_170_SpCnt_88"/>
                  <wp:cNvGraphicFramePr/>
                  <a:graphic xmlns:a="http://schemas.openxmlformats.org/drawingml/2006/main">
                    <a:graphicData uri="http://schemas.openxmlformats.org/drawingml/2006/picture">
                      <pic:pic xmlns:pic="http://schemas.openxmlformats.org/drawingml/2006/picture">
                        <pic:nvPicPr>
                          <pic:cNvPr id="250" name="AutoShape_170_SpCnt_88"/>
                          <pic:cNvPicPr/>
                        </pic:nvPicPr>
                        <pic:blipFill>
                          <a:blip r:embed="rId7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1" name="AutoShape_170_SpCnt_89"/>
                  <wp:cNvGraphicFramePr/>
                  <a:graphic xmlns:a="http://schemas.openxmlformats.org/drawingml/2006/main">
                    <a:graphicData uri="http://schemas.openxmlformats.org/drawingml/2006/picture">
                      <pic:pic xmlns:pic="http://schemas.openxmlformats.org/drawingml/2006/picture">
                        <pic:nvPicPr>
                          <pic:cNvPr id="261" name="AutoShape_170_SpCnt_89"/>
                          <pic:cNvPicPr/>
                        </pic:nvPicPr>
                        <pic:blipFill>
                          <a:blip r:embed="rId7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3" name="AutoShape_170_SpCnt_90"/>
                  <wp:cNvGraphicFramePr/>
                  <a:graphic xmlns:a="http://schemas.openxmlformats.org/drawingml/2006/main">
                    <a:graphicData uri="http://schemas.openxmlformats.org/drawingml/2006/picture">
                      <pic:pic xmlns:pic="http://schemas.openxmlformats.org/drawingml/2006/picture">
                        <pic:nvPicPr>
                          <pic:cNvPr id="263" name="AutoShape_170_SpCnt_90"/>
                          <pic:cNvPicPr/>
                        </pic:nvPicPr>
                        <pic:blipFill>
                          <a:blip r:embed="rId7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1" name="AutoShape_170_SpCnt_91"/>
                  <wp:cNvGraphicFramePr/>
                  <a:graphic xmlns:a="http://schemas.openxmlformats.org/drawingml/2006/main">
                    <a:graphicData uri="http://schemas.openxmlformats.org/drawingml/2006/picture">
                      <pic:pic xmlns:pic="http://schemas.openxmlformats.org/drawingml/2006/picture">
                        <pic:nvPicPr>
                          <pic:cNvPr id="251" name="AutoShape_170_SpCnt_91"/>
                          <pic:cNvPicPr/>
                        </pic:nvPicPr>
                        <pic:blipFill>
                          <a:blip r:embed="rId5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6" name="AutoShape_170_SpCnt_92"/>
                  <wp:cNvGraphicFramePr/>
                  <a:graphic xmlns:a="http://schemas.openxmlformats.org/drawingml/2006/main">
                    <a:graphicData uri="http://schemas.openxmlformats.org/drawingml/2006/picture">
                      <pic:pic xmlns:pic="http://schemas.openxmlformats.org/drawingml/2006/picture">
                        <pic:nvPicPr>
                          <pic:cNvPr id="266" name="AutoShape_170_SpCnt_92"/>
                          <pic:cNvPicPr/>
                        </pic:nvPicPr>
                        <pic:blipFill>
                          <a:blip r:embed="rId5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39" name="AutoShape_170_SpCnt_93"/>
                  <wp:cNvGraphicFramePr/>
                  <a:graphic xmlns:a="http://schemas.openxmlformats.org/drawingml/2006/main">
                    <a:graphicData uri="http://schemas.openxmlformats.org/drawingml/2006/picture">
                      <pic:pic xmlns:pic="http://schemas.openxmlformats.org/drawingml/2006/picture">
                        <pic:nvPicPr>
                          <pic:cNvPr id="239" name="AutoShape_170_SpCnt_93"/>
                          <pic:cNvPicPr/>
                        </pic:nvPicPr>
                        <pic:blipFill>
                          <a:blip r:embed="rId5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0" name="AutoShape_170_SpCnt_94"/>
                  <wp:cNvGraphicFramePr/>
                  <a:graphic xmlns:a="http://schemas.openxmlformats.org/drawingml/2006/main">
                    <a:graphicData uri="http://schemas.openxmlformats.org/drawingml/2006/picture">
                      <pic:pic xmlns:pic="http://schemas.openxmlformats.org/drawingml/2006/picture">
                        <pic:nvPicPr>
                          <pic:cNvPr id="240" name="AutoShape_170_SpCnt_94"/>
                          <pic:cNvPicPr/>
                        </pic:nvPicPr>
                        <pic:blipFill>
                          <a:blip r:embed="rId5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1" name="AutoShape_170_SpCnt_95"/>
                  <wp:cNvGraphicFramePr/>
                  <a:graphic xmlns:a="http://schemas.openxmlformats.org/drawingml/2006/main">
                    <a:graphicData uri="http://schemas.openxmlformats.org/drawingml/2006/picture">
                      <pic:pic xmlns:pic="http://schemas.openxmlformats.org/drawingml/2006/picture">
                        <pic:nvPicPr>
                          <pic:cNvPr id="241" name="AutoShape_170_SpCnt_95"/>
                          <pic:cNvPicPr/>
                        </pic:nvPicPr>
                        <pic:blipFill>
                          <a:blip r:embed="rId7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0" name="AutoShape_170_SpCnt_96"/>
                  <wp:cNvGraphicFramePr/>
                  <a:graphic xmlns:a="http://schemas.openxmlformats.org/drawingml/2006/main">
                    <a:graphicData uri="http://schemas.openxmlformats.org/drawingml/2006/picture">
                      <pic:pic xmlns:pic="http://schemas.openxmlformats.org/drawingml/2006/picture">
                        <pic:nvPicPr>
                          <pic:cNvPr id="270" name="AutoShape_170_SpCnt_96"/>
                          <pic:cNvPicPr/>
                        </pic:nvPicPr>
                        <pic:blipFill>
                          <a:blip r:embed="rId7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lang w:val="en-US" w:eastAsia="zh-CN" w:bidi="ar"/>
              </w:rPr>
              <w:t>W700*D500*H750</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1、桌面采用E0级浸渍胶膜纸饰面实木颗粒板，25mm厚，经过防虫、防腐等化学处理，持久不变形，</w:t>
            </w:r>
            <w:r>
              <w:rPr>
                <w:rStyle w:val="77"/>
                <w:rFonts w:hint="eastAsia" w:ascii="宋体" w:hAnsi="宋体" w:eastAsia="宋体" w:cs="宋体"/>
                <w:color w:val="auto"/>
                <w:sz w:val="24"/>
                <w:szCs w:val="24"/>
                <w:lang w:val="en-US" w:eastAsia="zh-CN" w:bidi="ar"/>
              </w:rPr>
              <w:t>符合GB/T 15102-2017及GB 18580-2017标准</w:t>
            </w:r>
            <w:r>
              <w:rPr>
                <w:rFonts w:hint="eastAsia" w:ascii="宋体" w:hAnsi="宋体" w:eastAsia="宋体" w:cs="宋体"/>
                <w:i w:val="0"/>
                <w:iCs w:val="0"/>
                <w:color w:val="auto"/>
                <w:kern w:val="0"/>
                <w:sz w:val="24"/>
                <w:szCs w:val="24"/>
                <w:u w:val="none"/>
                <w:lang w:val="en-US" w:eastAsia="zh-CN" w:bidi="ar"/>
              </w:rPr>
              <w:t>；甲醛含量≦0.05mg/m3（气候箱法）；</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2、面板四周弧形处理，四边采用喷射pu，（聚氨酯）厚度不小于1.0mm。 或同等水平不低于2.0mm厚PVC半圆形封边处理。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课桌架：两侧前腿宽度555mm，高度650mm。前脚采用整根φ32mm钢制圆管折弯，管壁厚1.5mm。前脚与水平面呈30°焊接设计，底部高度70mm位置呈90°折弯。距前脚顶部向下100mm位置焊接一根长度495mm宽度40mm矩型钢制拉杆，壁厚1.5mm。两侧后脚宽度625mm，高度690mm。两侧后脚各采用一根φ32mm钢制圆管折弯，呈S型。管壁厚度1.5mm。后脚底部高度70mm位置呈90°折弯。后脚上部170mm位置呈30°折弯，始终保持与前腿表面平整。前后桌腿经机械手精焊接而成。桌面支撑框架呈U型设计，增强承重力，防止桌面变形。两侧分别采用长度378mm宽度36mm深度25mm壁厚1.5mm的U型钢槽，与前腿顶部呈内嵌式焊接，圆管嵌入U型槽内。U型槽四周呈圆弧角。正前方采用一根长度555mm的25*25mm钢制方管与两侧U型槽焊接而成，管壁厚度1.5mm。桌架钢制部分表面静电喷塑处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底脚：课桌整体设计采用前腿万向移动轮，后腿固定调节脚，方便学生移动。前后腿管塞直径32mm，高度30mm，采用PP工程塑料一次注塑成型。其中长度18mm呈直径29mm螺纹型内嵌入桌腿底部。管塞底部12mm呈收腰设计，底部直径26mm。管塞内部铸有直径M10螺母，与调节脚和移动轮紧密连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移动轮：静音万向轮高度110mm，其中丝牙长度30mm，轮子直径72mm。丝杆配有直径35mm旋转紧固件，紧固件作用：当安装轮子或调解桌子水平时，无需任何工具可轻松实现松紧。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5、调节脚：喇叭型调节脚顶部直径20mm，底部直径60mm，增加接触地面面积，增强稳定性能。高度40mm，其中丝杆长度18mm，采用PP工程塑料与M10丝杆一次注塑成型。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6、走班制教学，无桌斗设计</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学生椅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450*440*725</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numPr>
                <w:ilvl w:val="0"/>
                <w:numId w:val="17"/>
              </w:numPr>
              <w:suppressLineNumbers w:val="0"/>
              <w:jc w:val="left"/>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聚丙烯一次性注塑成型，所用材质具有可循环再用的环保特色，鲜艳多彩，颜色多样，所用塑料部件均为原色，不经过二次的表面喷涂加工处理。</w:t>
            </w:r>
          </w:p>
          <w:p>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2、靠背有手提扣手设计；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3、椅子靠背“拉筋条设计”；椅子至少可提两种坐高400或430mm高度选择；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4、采用静电喷涂环保脚架，脚架表面采用静电喷涂处理，环保耐腐蚀，承重力强；直径20mm*壁厚1.6mm钢制铁架。                                                                         5、脚架底部均配有PP胶塞，起到接触地面部分的缓冲作用，并有耐摩擦的防滑功效；</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美术教室</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学生桌</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5" name="AutoShape_170_SpCnt_97"/>
                  <wp:cNvGraphicFramePr/>
                  <a:graphic xmlns:a="http://schemas.openxmlformats.org/drawingml/2006/main">
                    <a:graphicData uri="http://schemas.openxmlformats.org/drawingml/2006/picture">
                      <pic:pic xmlns:pic="http://schemas.openxmlformats.org/drawingml/2006/picture">
                        <pic:nvPicPr>
                          <pic:cNvPr id="275" name="AutoShape_170_SpCnt_97"/>
                          <pic:cNvPicPr/>
                        </pic:nvPicPr>
                        <pic:blipFill>
                          <a:blip r:embed="rId4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7" name="AutoShape_170_SpCnt_98"/>
                  <wp:cNvGraphicFramePr/>
                  <a:graphic xmlns:a="http://schemas.openxmlformats.org/drawingml/2006/main">
                    <a:graphicData uri="http://schemas.openxmlformats.org/drawingml/2006/picture">
                      <pic:pic xmlns:pic="http://schemas.openxmlformats.org/drawingml/2006/picture">
                        <pic:nvPicPr>
                          <pic:cNvPr id="277" name="AutoShape_170_SpCnt_98"/>
                          <pic:cNvPicPr/>
                        </pic:nvPicPr>
                        <pic:blipFill>
                          <a:blip r:embed="rId7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1" name="AutoShape_170_SpCnt_99"/>
                  <wp:cNvGraphicFramePr/>
                  <a:graphic xmlns:a="http://schemas.openxmlformats.org/drawingml/2006/main">
                    <a:graphicData uri="http://schemas.openxmlformats.org/drawingml/2006/picture">
                      <pic:pic xmlns:pic="http://schemas.openxmlformats.org/drawingml/2006/picture">
                        <pic:nvPicPr>
                          <pic:cNvPr id="281" name="AutoShape_170_SpCnt_99"/>
                          <pic:cNvPicPr/>
                        </pic:nvPicPr>
                        <pic:blipFill>
                          <a:blip r:embed="rId7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4" name="AutoShape_170_SpCnt_100"/>
                  <wp:cNvGraphicFramePr/>
                  <a:graphic xmlns:a="http://schemas.openxmlformats.org/drawingml/2006/main">
                    <a:graphicData uri="http://schemas.openxmlformats.org/drawingml/2006/picture">
                      <pic:pic xmlns:pic="http://schemas.openxmlformats.org/drawingml/2006/picture">
                        <pic:nvPicPr>
                          <pic:cNvPr id="274" name="AutoShape_170_SpCnt_100"/>
                          <pic:cNvPicPr/>
                        </pic:nvPicPr>
                        <pic:blipFill>
                          <a:blip r:embed="rId7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9" name="AutoShape_170_SpCnt_101"/>
                  <wp:cNvGraphicFramePr/>
                  <a:graphic xmlns:a="http://schemas.openxmlformats.org/drawingml/2006/main">
                    <a:graphicData uri="http://schemas.openxmlformats.org/drawingml/2006/picture">
                      <pic:pic xmlns:pic="http://schemas.openxmlformats.org/drawingml/2006/picture">
                        <pic:nvPicPr>
                          <pic:cNvPr id="289" name="AutoShape_170_SpCnt_101"/>
                          <pic:cNvPicPr/>
                        </pic:nvPicPr>
                        <pic:blipFill>
                          <a:blip r:embed="rId7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2" name="AutoShape_170_SpCnt_102"/>
                  <wp:cNvGraphicFramePr/>
                  <a:graphic xmlns:a="http://schemas.openxmlformats.org/drawingml/2006/main">
                    <a:graphicData uri="http://schemas.openxmlformats.org/drawingml/2006/picture">
                      <pic:pic xmlns:pic="http://schemas.openxmlformats.org/drawingml/2006/picture">
                        <pic:nvPicPr>
                          <pic:cNvPr id="272" name="AutoShape_170_SpCnt_102"/>
                          <pic:cNvPicPr/>
                        </pic:nvPicPr>
                        <pic:blipFill>
                          <a:blip r:embed="rId4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3" name="AutoShape_170_SpCnt_103"/>
                  <wp:cNvGraphicFramePr/>
                  <a:graphic xmlns:a="http://schemas.openxmlformats.org/drawingml/2006/main">
                    <a:graphicData uri="http://schemas.openxmlformats.org/drawingml/2006/picture">
                      <pic:pic xmlns:pic="http://schemas.openxmlformats.org/drawingml/2006/picture">
                        <pic:nvPicPr>
                          <pic:cNvPr id="283" name="AutoShape_170_SpCnt_103"/>
                          <pic:cNvPicPr/>
                        </pic:nvPicPr>
                        <pic:blipFill>
                          <a:blip r:embed="rId7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6" name="AutoShape_170_SpCnt_104"/>
                  <wp:cNvGraphicFramePr/>
                  <a:graphic xmlns:a="http://schemas.openxmlformats.org/drawingml/2006/main">
                    <a:graphicData uri="http://schemas.openxmlformats.org/drawingml/2006/picture">
                      <pic:pic xmlns:pic="http://schemas.openxmlformats.org/drawingml/2006/picture">
                        <pic:nvPicPr>
                          <pic:cNvPr id="276" name="AutoShape_170_SpCnt_104"/>
                          <pic:cNvPicPr/>
                        </pic:nvPicPr>
                        <pic:blipFill>
                          <a:blip r:embed="rId79"/>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2" name="AutoShape_170_SpCnt_105"/>
                  <wp:cNvGraphicFramePr/>
                  <a:graphic xmlns:a="http://schemas.openxmlformats.org/drawingml/2006/main">
                    <a:graphicData uri="http://schemas.openxmlformats.org/drawingml/2006/picture">
                      <pic:pic xmlns:pic="http://schemas.openxmlformats.org/drawingml/2006/picture">
                        <pic:nvPicPr>
                          <pic:cNvPr id="282" name="AutoShape_170_SpCnt_105"/>
                          <pic:cNvPicPr/>
                        </pic:nvPicPr>
                        <pic:blipFill>
                          <a:blip r:embed="rId4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8" name="AutoShape_170_SpCnt_106"/>
                  <wp:cNvGraphicFramePr/>
                  <a:graphic xmlns:a="http://schemas.openxmlformats.org/drawingml/2006/main">
                    <a:graphicData uri="http://schemas.openxmlformats.org/drawingml/2006/picture">
                      <pic:pic xmlns:pic="http://schemas.openxmlformats.org/drawingml/2006/picture">
                        <pic:nvPicPr>
                          <pic:cNvPr id="288" name="AutoShape_170_SpCnt_106"/>
                          <pic:cNvPicPr/>
                        </pic:nvPicPr>
                        <pic:blipFill>
                          <a:blip r:embed="rId8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8" name="AutoShape_170_SpCnt_107"/>
                  <wp:cNvGraphicFramePr/>
                  <a:graphic xmlns:a="http://schemas.openxmlformats.org/drawingml/2006/main">
                    <a:graphicData uri="http://schemas.openxmlformats.org/drawingml/2006/picture">
                      <pic:pic xmlns:pic="http://schemas.openxmlformats.org/drawingml/2006/picture">
                        <pic:nvPicPr>
                          <pic:cNvPr id="278" name="AutoShape_170_SpCnt_107"/>
                          <pic:cNvPicPr/>
                        </pic:nvPicPr>
                        <pic:blipFill>
                          <a:blip r:embed="rId6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9" name="AutoShape_170_SpCnt_108"/>
                  <wp:cNvGraphicFramePr/>
                  <a:graphic xmlns:a="http://schemas.openxmlformats.org/drawingml/2006/main">
                    <a:graphicData uri="http://schemas.openxmlformats.org/drawingml/2006/picture">
                      <pic:pic xmlns:pic="http://schemas.openxmlformats.org/drawingml/2006/picture">
                        <pic:nvPicPr>
                          <pic:cNvPr id="279" name="AutoShape_170_SpCnt_108"/>
                          <pic:cNvPicPr/>
                        </pic:nvPicPr>
                        <pic:blipFill>
                          <a:blip r:embed="rId8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0" name="AutoShape_170_SpCnt_109"/>
                  <wp:cNvGraphicFramePr/>
                  <a:graphic xmlns:a="http://schemas.openxmlformats.org/drawingml/2006/main">
                    <a:graphicData uri="http://schemas.openxmlformats.org/drawingml/2006/picture">
                      <pic:pic xmlns:pic="http://schemas.openxmlformats.org/drawingml/2006/picture">
                        <pic:nvPicPr>
                          <pic:cNvPr id="290" name="AutoShape_170_SpCnt_109"/>
                          <pic:cNvPicPr/>
                        </pic:nvPicPr>
                        <pic:blipFill>
                          <a:blip r:embed="rId6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0" name="AutoShape_170_SpCnt_110"/>
                  <wp:cNvGraphicFramePr/>
                  <a:graphic xmlns:a="http://schemas.openxmlformats.org/drawingml/2006/main">
                    <a:graphicData uri="http://schemas.openxmlformats.org/drawingml/2006/picture">
                      <pic:pic xmlns:pic="http://schemas.openxmlformats.org/drawingml/2006/picture">
                        <pic:nvPicPr>
                          <pic:cNvPr id="280" name="AutoShape_170_SpCnt_110"/>
                          <pic:cNvPicPr/>
                        </pic:nvPicPr>
                        <pic:blipFill>
                          <a:blip r:embed="rId8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4" name="AutoShape_170_SpCnt_111"/>
                  <wp:cNvGraphicFramePr/>
                  <a:graphic xmlns:a="http://schemas.openxmlformats.org/drawingml/2006/main">
                    <a:graphicData uri="http://schemas.openxmlformats.org/drawingml/2006/picture">
                      <pic:pic xmlns:pic="http://schemas.openxmlformats.org/drawingml/2006/picture">
                        <pic:nvPicPr>
                          <pic:cNvPr id="284" name="AutoShape_170_SpCnt_111"/>
                          <pic:cNvPicPr/>
                        </pic:nvPicPr>
                        <pic:blipFill>
                          <a:blip r:embed="rId6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5" name="AutoShape_170_SpCnt_112"/>
                  <wp:cNvGraphicFramePr/>
                  <a:graphic xmlns:a="http://schemas.openxmlformats.org/drawingml/2006/main">
                    <a:graphicData uri="http://schemas.openxmlformats.org/drawingml/2006/picture">
                      <pic:pic xmlns:pic="http://schemas.openxmlformats.org/drawingml/2006/picture">
                        <pic:nvPicPr>
                          <pic:cNvPr id="285" name="AutoShape_170_SpCnt_112"/>
                          <pic:cNvPicPr/>
                        </pic:nvPicPr>
                        <pic:blipFill>
                          <a:blip r:embed="rId6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9" name="AutoShape_170_SpCnt_113"/>
                  <wp:cNvGraphicFramePr/>
                  <a:graphic xmlns:a="http://schemas.openxmlformats.org/drawingml/2006/main">
                    <a:graphicData uri="http://schemas.openxmlformats.org/drawingml/2006/picture">
                      <pic:pic xmlns:pic="http://schemas.openxmlformats.org/drawingml/2006/picture">
                        <pic:nvPicPr>
                          <pic:cNvPr id="269" name="AutoShape_170_SpCnt_113"/>
                          <pic:cNvPicPr/>
                        </pic:nvPicPr>
                        <pic:blipFill>
                          <a:blip r:embed="rId6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6" name="AutoShape_170_SpCnt_114"/>
                  <wp:cNvGraphicFramePr/>
                  <a:graphic xmlns:a="http://schemas.openxmlformats.org/drawingml/2006/main">
                    <a:graphicData uri="http://schemas.openxmlformats.org/drawingml/2006/picture">
                      <pic:pic xmlns:pic="http://schemas.openxmlformats.org/drawingml/2006/picture">
                        <pic:nvPicPr>
                          <pic:cNvPr id="286" name="AutoShape_170_SpCnt_114"/>
                          <pic:cNvPicPr/>
                        </pic:nvPicPr>
                        <pic:blipFill>
                          <a:blip r:embed="rId8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1" name="AutoShape_170_SpCnt_115"/>
                  <wp:cNvGraphicFramePr/>
                  <a:graphic xmlns:a="http://schemas.openxmlformats.org/drawingml/2006/main">
                    <a:graphicData uri="http://schemas.openxmlformats.org/drawingml/2006/picture">
                      <pic:pic xmlns:pic="http://schemas.openxmlformats.org/drawingml/2006/picture">
                        <pic:nvPicPr>
                          <pic:cNvPr id="271" name="AutoShape_170_SpCnt_115"/>
                          <pic:cNvPicPr/>
                        </pic:nvPicPr>
                        <pic:blipFill>
                          <a:blip r:embed="rId8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lang w:val="en-US" w:eastAsia="zh-CN" w:bidi="ar"/>
              </w:rPr>
              <w:t>2000*1000*750</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3" name="AutoShape_170_SpCnt_116"/>
                  <wp:cNvGraphicFramePr/>
                  <a:graphic xmlns:a="http://schemas.openxmlformats.org/drawingml/2006/main">
                    <a:graphicData uri="http://schemas.openxmlformats.org/drawingml/2006/picture">
                      <pic:pic xmlns:pic="http://schemas.openxmlformats.org/drawingml/2006/picture">
                        <pic:nvPicPr>
                          <pic:cNvPr id="273" name="AutoShape_170_SpCnt_116"/>
                          <pic:cNvPicPr/>
                        </pic:nvPicPr>
                        <pic:blipFill>
                          <a:blip r:embed="rId4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7" name="AutoShape_170_SpCnt_117"/>
                  <wp:cNvGraphicFramePr/>
                  <a:graphic xmlns:a="http://schemas.openxmlformats.org/drawingml/2006/main">
                    <a:graphicData uri="http://schemas.openxmlformats.org/drawingml/2006/picture">
                      <pic:pic xmlns:pic="http://schemas.openxmlformats.org/drawingml/2006/picture">
                        <pic:nvPicPr>
                          <pic:cNvPr id="287" name="AutoShape_170_SpCnt_117"/>
                          <pic:cNvPicPr/>
                        </pic:nvPicPr>
                        <pic:blipFill>
                          <a:blip r:embed="rId4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lang w:val="en-US" w:eastAsia="zh-CN" w:bidi="ar"/>
              </w:rPr>
              <w:t>桌面采用环保E1级浸渍胶膜纸，基材采用25mm厚中密度纤维板，经过防虫、防腐等化学处理，持久不变形，符合GB/T 11718-2019及GB 18580-2017标准；甲醛含量≦0.124mg/m3（气候箱法）；</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 桌面梯形结构，1200*600*25mm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 封边：厚度不小于1.0mm聚氨酯PU 喷射封边，无接缝，耐刮，防水，防高温，不脱落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4、桌架：30*1.5mm 优质钢管静电喷塑，调节脚：25*1.5mm 圆管电镀，防刮伤，配高度可调节尼龙万向脚垫</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5、调节高度：610/635/660/685/710/735/760 mm 含桌面</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学生椅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450*440*725</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numPr>
                <w:ilvl w:val="0"/>
                <w:numId w:val="18"/>
              </w:numPr>
              <w:suppressLineNumbers w:val="0"/>
              <w:jc w:val="left"/>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聚丙烯一次性注塑成型，所用塑料部件均为原色，不经过二次的表面喷涂加工处理。</w:t>
            </w:r>
          </w:p>
          <w:p>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2、靠背有手提扣手设计；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3、椅子靠背“拉筋条设计”；椅子至少可提两种坐高400或430mm高度选择；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4、采用静电喷涂环保脚架，脚架表面采用静电喷涂处理，环保耐腐蚀，承重力强；直径20mm*壁厚1.6mm钢制铁架。                                                                         5、脚架底部均配有PP胶塞，起到接触地面部分的缓冲作用，并有耐摩擦的防滑功效；</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讲桌</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1400*700*750</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基材：厚度1.0mm一级冷轧钢板，经过防腐防酸防锈处理，表面高温静电粉末喷涂，防化、防潮、耐高温以及耐磨。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2、工艺：通过数控机械折弯、冲压、等离子高精度切割，先进的无缝、二氧化碳保护焊接、再通过精细打磨一系列工艺精致而成。面板、正视面板件平整度≤2.0，底脚与水平面的差值 ≤2.0，耐腐蚀100H内，在溶剂中划道两侧3mm以外，无气泡产生；100H后无锈迹、剥落、起皱、变色和失光等现象。检测标准符符合：GB/T 3325-2017《金属家具通用技术条件）为尽可能扩大学生使用空间，使用检修带下控方式。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3、门铰：采用≥2mm厚304#不锈钢制作，带缓冲阻尼功能，柜门与柜体垂直开启角度达到180°，开启和关闭时柜门吻合，柜门的位置保持固定，无噪音。水平静载荷达到30N,耐久性达40000次，符合QB/T 2189-2013检测标准。</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讲椅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600*590*750</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桌面：采用厚度18mm三聚氰胺板加工，四边采用喷射pu，（聚氨酯）厚度不小于1.0mm具有防水防潮</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桌架：桌腿采用直径60mm钢制圆管，壁厚1.5mm。经铝合金铸造件与铝合金桌脚呈外八字连接固定，横梁采用30*60mm矩形管与25*25mm方管焊接而成。管壁厚度1.5mm。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挡板：采用厚度1.0mm钢板折弯呈L型，表面经激光切割成小方孔设计，一端与桌腿连接，另一端与柜体连接。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钢柜：采用厚度1.0mm冷轧钢板折弯焊接而成，上层内空设计，可放置大件物品，下部柜体带门内置一块钢制层板，高度可自由调节。柜门采用厚度1.0mm钢板加工，柜门连接方式采用不锈钢铰链。</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柜体顶部采用四根直径25mm钢制圆管与折弯呈L型的钢板焊接而成，钢板厚度2.5mm。所有金属件表面高温静电喷涂。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脚轮：采用直径75mm静音刹车轮。</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小学、初中、高中</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讲桌</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1500*600*750-SH1100mm</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桌面：采用厚度18mm三聚氰胺板加工，四边采用喷射pu，（聚氨酯）厚度不小于1.0mm。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桌架：桌腿采用直径60mm钢制圆管，壁厚1.5mm。经铝合金铸造件与铝合金桌脚呈外八字连接固定，横梁采用30*60mm矩形管与25*25mm方管焊接而成。管壁厚度1.5mm。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挡板：采用厚度1.0mm钢板折弯呈L型，表面经激光切割成小方孔设计，一端与桌腿连接，另一端与柜体连接。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钢柜：采用厚度1.0mm冷轧钢板折弯焊接而成，上层内空设计，可放置大件物品，下部柜体带门内置一块钢制层板，高度可自由调节。柜门采用厚度1.0mm钢板加工，柜门连接方式采用不锈钢铰链。</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柜体顶部采用四根直径25mm钢制圆管与折弯呈L型的钢板焊接而成，钢板厚度2.5mm。所有金属件表面高温静电喷涂。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脚轮：采用直径75mm静音刹车轮。</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4"/>
                <w:szCs w:val="24"/>
                <w:u w:val="none"/>
              </w:rPr>
            </w:pPr>
            <w:r>
              <w:rPr>
                <w:rFonts w:hint="eastAsia" w:ascii="微软雅黑" w:hAnsi="微软雅黑" w:eastAsia="微软雅黑" w:cs="微软雅黑"/>
                <w:i w:val="0"/>
                <w:iCs w:val="0"/>
                <w:color w:val="auto"/>
                <w:kern w:val="0"/>
                <w:sz w:val="24"/>
                <w:szCs w:val="24"/>
                <w:u w:val="none"/>
                <w:lang w:val="en-US" w:eastAsia="zh-CN" w:bidi="ar"/>
              </w:rPr>
              <w:t>讲椅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600*520*790</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25管1.5厚椅架银灰色喷塑，实用耐用，高承重。高脚塞脚垫简约润架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3D立体镂空雅灰PP加玻纤塑胶座背，一体注塑成型，舒适透气。实心杆工学双扶手</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bl>
    <w:p>
      <w:pPr>
        <w:pStyle w:val="24"/>
        <w:numPr>
          <w:ilvl w:val="0"/>
          <w:numId w:val="0"/>
        </w:numPr>
        <w:ind w:leftChars="200"/>
        <w:rPr>
          <w:rFonts w:hint="eastAsia" w:ascii="宋体" w:hAnsi="宋体" w:cs="宋体"/>
          <w:b/>
          <w:bCs/>
          <w:color w:val="auto"/>
          <w:lang w:eastAsia="zh-CN"/>
        </w:rPr>
      </w:pPr>
    </w:p>
    <w:p>
      <w:pPr>
        <w:pStyle w:val="24"/>
        <w:ind w:left="480" w:leftChars="200" w:firstLine="0" w:firstLineChars="0"/>
        <w:rPr>
          <w:rFonts w:hint="eastAsia" w:ascii="宋体" w:hAnsi="宋体" w:cs="宋体"/>
          <w:color w:val="auto"/>
        </w:rPr>
      </w:pPr>
      <w:r>
        <w:rPr>
          <w:rFonts w:hint="eastAsia" w:ascii="宋体" w:hAnsi="宋体" w:cs="宋体"/>
          <w:b/>
          <w:bCs/>
          <w:color w:val="auto"/>
          <w:lang w:eastAsia="zh-CN"/>
        </w:rPr>
        <w:t>二、</w:t>
      </w:r>
      <w:r>
        <w:rPr>
          <w:rFonts w:hint="eastAsia" w:ascii="宋体" w:hAnsi="宋体" w:cs="宋体"/>
          <w:b/>
          <w:bCs/>
          <w:color w:val="auto"/>
        </w:rPr>
        <w:t>售后服务</w:t>
      </w:r>
    </w:p>
    <w:p>
      <w:pPr>
        <w:pStyle w:val="24"/>
        <w:ind w:left="480" w:leftChars="200" w:firstLine="0" w:firstLineChars="0"/>
        <w:rPr>
          <w:rFonts w:hint="eastAsia" w:ascii="宋体" w:hAnsi="宋体" w:cs="宋体"/>
          <w:color w:val="000000"/>
        </w:rPr>
      </w:pPr>
      <w:r>
        <w:rPr>
          <w:rFonts w:hint="eastAsia" w:ascii="宋体" w:hAnsi="宋体" w:cs="宋体"/>
          <w:color w:val="000000"/>
        </w:rPr>
        <w:t xml:space="preserve">自验收合格之日后： </w:t>
      </w:r>
    </w:p>
    <w:p>
      <w:pPr>
        <w:pStyle w:val="24"/>
        <w:ind w:left="480" w:leftChars="200" w:firstLine="0" w:firstLineChars="0"/>
        <w:rPr>
          <w:rFonts w:hint="eastAsia" w:ascii="宋体" w:hAnsi="宋体" w:cs="宋体"/>
          <w:color w:val="000000"/>
        </w:rPr>
      </w:pPr>
      <w:r>
        <w:rPr>
          <w:rFonts w:hint="eastAsia" w:ascii="宋体" w:hAnsi="宋体" w:cs="宋体"/>
          <w:color w:val="000000"/>
        </w:rPr>
        <w:t>（1）免费质保期限：</w:t>
      </w:r>
    </w:p>
    <w:p>
      <w:pPr>
        <w:pStyle w:val="24"/>
        <w:ind w:left="480" w:leftChars="200" w:firstLine="0" w:firstLineChars="0"/>
        <w:rPr>
          <w:rFonts w:hint="eastAsia" w:ascii="宋体" w:hAnsi="宋体" w:cs="宋体"/>
          <w:color w:val="000000"/>
        </w:rPr>
      </w:pPr>
      <w:r>
        <w:rPr>
          <w:rFonts w:hint="eastAsia" w:ascii="宋体" w:hAnsi="宋体" w:cs="宋体"/>
          <w:color w:val="000000"/>
        </w:rPr>
        <w:t>投标人应在投标文件中承诺免费质保期不</w:t>
      </w:r>
      <w:r>
        <w:rPr>
          <w:rFonts w:hint="eastAsia" w:ascii="宋体" w:hAnsi="宋体" w:cs="宋体"/>
          <w:color w:val="auto"/>
        </w:rPr>
        <w:t>少于</w:t>
      </w:r>
      <w:r>
        <w:rPr>
          <w:rFonts w:hint="eastAsia" w:ascii="宋体" w:hAnsi="宋体" w:cs="宋体"/>
          <w:color w:val="auto"/>
          <w:lang w:val="en-US" w:eastAsia="zh-CN"/>
        </w:rPr>
        <w:t>5</w:t>
      </w:r>
      <w:r>
        <w:rPr>
          <w:rFonts w:hint="eastAsia" w:ascii="宋体" w:hAnsi="宋体" w:cs="宋体"/>
          <w:color w:val="auto"/>
        </w:rPr>
        <w:t>年</w:t>
      </w:r>
      <w:r>
        <w:rPr>
          <w:rFonts w:hint="eastAsia" w:ascii="宋体" w:hAnsi="宋体" w:cs="宋体"/>
          <w:color w:val="000000"/>
        </w:rPr>
        <w:t>。在免费质保期内，投标人应负责免费更换部件，负责产品的日常维护保养。</w:t>
      </w:r>
    </w:p>
    <w:p>
      <w:pPr>
        <w:pStyle w:val="24"/>
        <w:ind w:left="480" w:leftChars="200" w:firstLine="0" w:firstLineChars="0"/>
        <w:rPr>
          <w:rFonts w:hint="eastAsia" w:ascii="宋体" w:hAnsi="宋体" w:cs="宋体"/>
          <w:color w:val="000000"/>
        </w:rPr>
      </w:pPr>
      <w:r>
        <w:rPr>
          <w:rFonts w:hint="eastAsia" w:ascii="宋体" w:hAnsi="宋体" w:cs="宋体"/>
          <w:color w:val="000000"/>
        </w:rPr>
        <w:t>（2）投标人确保对使用方提出的保修等质量信息，做到30分钟内电话响应，2小时内服务到位，组织维修和专业服务队伍到达现场，对产品进行免费保修服务。8小时内修复，如不能及时修复提供同等档次</w:t>
      </w:r>
      <w:r>
        <w:rPr>
          <w:rFonts w:hint="eastAsia" w:ascii="宋体" w:hAnsi="宋体" w:cs="宋体"/>
          <w:color w:val="000000"/>
          <w:lang w:eastAsia="zh-CN"/>
        </w:rPr>
        <w:t>产品</w:t>
      </w:r>
      <w:r>
        <w:rPr>
          <w:rFonts w:hint="eastAsia" w:ascii="宋体" w:hAnsi="宋体" w:cs="宋体"/>
          <w:color w:val="000000"/>
        </w:rPr>
        <w:t>。投标人应明示售后服务中心地址（地址以投标人营业执照注册地或其他有效证明材料为准）、电话、负责人和服务组织机构，应设置24小时服务热线电话。</w:t>
      </w:r>
    </w:p>
    <w:p>
      <w:pPr>
        <w:pStyle w:val="24"/>
        <w:ind w:left="480" w:leftChars="200" w:firstLine="0" w:firstLineChars="0"/>
        <w:rPr>
          <w:rFonts w:hint="eastAsia" w:ascii="宋体" w:hAnsi="宋体" w:cs="宋体"/>
          <w:b/>
          <w:bCs/>
          <w:color w:val="000000"/>
          <w:lang w:eastAsia="zh-CN"/>
        </w:rPr>
      </w:pPr>
      <w:r>
        <w:rPr>
          <w:rFonts w:hint="eastAsia" w:ascii="宋体" w:hAnsi="宋体" w:cs="宋体"/>
          <w:color w:val="000000"/>
        </w:rPr>
        <w:t>（3）投标人需提供定期巡检服务。</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三</w:t>
      </w:r>
      <w:r>
        <w:rPr>
          <w:rFonts w:hint="eastAsia" w:ascii="宋体" w:hAnsi="宋体" w:cs="宋体"/>
          <w:b/>
          <w:bCs/>
          <w:color w:val="000000"/>
        </w:rPr>
        <w:t>、交货日期及交货地点</w:t>
      </w:r>
    </w:p>
    <w:p>
      <w:pPr>
        <w:pStyle w:val="24"/>
        <w:ind w:left="480" w:leftChars="200" w:firstLine="0" w:firstLineChars="0"/>
        <w:rPr>
          <w:rFonts w:hint="eastAsia" w:ascii="宋体" w:hAnsi="宋体" w:cs="宋体"/>
          <w:color w:val="000000"/>
        </w:rPr>
      </w:pPr>
      <w:r>
        <w:rPr>
          <w:rFonts w:hint="eastAsia" w:ascii="宋体" w:hAnsi="宋体" w:cs="宋体"/>
          <w:color w:val="000000"/>
        </w:rPr>
        <w:t>（1）交货日期：合同签订生效后</w:t>
      </w:r>
      <w:r>
        <w:rPr>
          <w:rFonts w:hint="eastAsia" w:ascii="宋体" w:hAnsi="宋体" w:cs="宋体"/>
          <w:color w:val="auto"/>
          <w:lang w:val="en-US" w:eastAsia="zh-CN"/>
        </w:rPr>
        <w:t>45</w:t>
      </w:r>
      <w:r>
        <w:rPr>
          <w:rFonts w:hint="eastAsia" w:ascii="宋体" w:hAnsi="宋体" w:cs="宋体"/>
          <w:color w:val="auto"/>
        </w:rPr>
        <w:t>个日</w:t>
      </w:r>
      <w:r>
        <w:rPr>
          <w:rFonts w:hint="eastAsia" w:ascii="宋体" w:hAnsi="宋体" w:cs="宋体"/>
          <w:color w:val="000000"/>
        </w:rPr>
        <w:t>历日内。</w:t>
      </w:r>
    </w:p>
    <w:p>
      <w:pPr>
        <w:pStyle w:val="24"/>
        <w:ind w:left="480" w:leftChars="200" w:firstLine="0" w:firstLineChars="0"/>
        <w:rPr>
          <w:rFonts w:hint="eastAsia" w:ascii="宋体" w:hAnsi="宋体" w:cs="宋体"/>
          <w:b/>
          <w:bCs/>
          <w:color w:val="000000"/>
          <w:lang w:eastAsia="zh-CN"/>
        </w:rPr>
      </w:pPr>
      <w:r>
        <w:rPr>
          <w:rFonts w:hint="eastAsia" w:ascii="宋体" w:hAnsi="宋体" w:cs="宋体"/>
          <w:color w:val="000000"/>
        </w:rPr>
        <w:t>（2）送货地点：用户指定。</w:t>
      </w:r>
    </w:p>
    <w:p>
      <w:pPr>
        <w:pStyle w:val="24"/>
        <w:ind w:left="480" w:leftChars="200" w:firstLine="0" w:firstLineChars="0"/>
        <w:rPr>
          <w:rFonts w:hint="eastAsia" w:ascii="宋体" w:hAnsi="宋体" w:cs="宋体"/>
          <w:b/>
          <w:bCs/>
          <w:color w:val="000000"/>
          <w:lang w:eastAsia="zh-CN"/>
        </w:rPr>
      </w:pPr>
      <w:r>
        <w:rPr>
          <w:rFonts w:hint="eastAsia" w:ascii="宋体" w:hAnsi="宋体" w:cs="宋体"/>
          <w:b/>
          <w:bCs/>
          <w:color w:val="000000"/>
          <w:lang w:eastAsia="zh-CN"/>
        </w:rPr>
        <w:t>四、验收</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全部设备交付使用后并试运行7日之内由用户方组织验收。</w:t>
      </w:r>
    </w:p>
    <w:p>
      <w:pPr>
        <w:pStyle w:val="24"/>
        <w:ind w:left="480" w:leftChars="200" w:firstLine="0" w:firstLineChars="0"/>
        <w:rPr>
          <w:rFonts w:hint="eastAsia" w:ascii="宋体" w:hAnsi="宋体" w:cs="宋体"/>
          <w:b/>
          <w:bCs/>
          <w:color w:val="000000"/>
          <w:lang w:eastAsia="zh-CN"/>
        </w:rPr>
      </w:pPr>
      <w:r>
        <w:rPr>
          <w:rFonts w:hint="eastAsia" w:ascii="宋体" w:hAnsi="宋体" w:cs="宋体"/>
          <w:b/>
          <w:bCs/>
          <w:color w:val="000000"/>
          <w:lang w:eastAsia="zh-CN"/>
        </w:rPr>
        <w:t>五、付款方式</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（1）合同签署生效后，由采购方向中标商支付合同总价</w:t>
      </w:r>
      <w:r>
        <w:rPr>
          <w:rFonts w:hint="eastAsia" w:ascii="宋体" w:hAnsi="宋体" w:cs="宋体"/>
          <w:b w:val="0"/>
          <w:bCs w:val="0"/>
          <w:color w:val="000000"/>
          <w:lang w:val="en-US" w:eastAsia="zh-CN"/>
        </w:rPr>
        <w:t>5</w:t>
      </w:r>
      <w:r>
        <w:rPr>
          <w:rFonts w:hint="eastAsia" w:ascii="宋体" w:hAnsi="宋体" w:cs="宋体"/>
          <w:b w:val="0"/>
          <w:bCs w:val="0"/>
          <w:color w:val="000000"/>
          <w:lang w:eastAsia="zh-CN"/>
        </w:rPr>
        <w:t>0%的货款，同时中标商向采购方支付合同总价5%的履约保证金，自项目验收合格之日起2年后无息退还。</w:t>
      </w:r>
    </w:p>
    <w:p>
      <w:pPr>
        <w:pStyle w:val="24"/>
        <w:ind w:left="480" w:leftChars="200" w:firstLine="0" w:firstLineChars="0"/>
        <w:rPr>
          <w:rFonts w:hint="eastAsia" w:ascii="宋体" w:hAnsi="宋体" w:cs="宋体"/>
          <w:b/>
          <w:bCs/>
          <w:color w:val="000000"/>
          <w:lang w:eastAsia="zh-CN"/>
        </w:rPr>
      </w:pPr>
      <w:r>
        <w:rPr>
          <w:rFonts w:hint="eastAsia" w:ascii="宋体" w:hAnsi="宋体" w:cs="宋体"/>
          <w:b w:val="0"/>
          <w:bCs w:val="0"/>
          <w:color w:val="000000"/>
          <w:lang w:eastAsia="zh-CN"/>
        </w:rPr>
        <w:t>（2）中标商将货物送达合同指定地点并安装调试完毕验收合格后，由采购方向中标商支付合同总价</w:t>
      </w:r>
      <w:r>
        <w:rPr>
          <w:rFonts w:hint="eastAsia" w:ascii="宋体" w:hAnsi="宋体" w:cs="宋体"/>
          <w:b w:val="0"/>
          <w:bCs w:val="0"/>
          <w:color w:val="000000"/>
          <w:lang w:val="en-US" w:eastAsia="zh-CN"/>
        </w:rPr>
        <w:t>5</w:t>
      </w:r>
      <w:r>
        <w:rPr>
          <w:rFonts w:hint="eastAsia" w:ascii="宋体" w:hAnsi="宋体" w:cs="宋体"/>
          <w:b w:val="0"/>
          <w:bCs w:val="0"/>
          <w:color w:val="000000"/>
          <w:lang w:eastAsia="zh-CN"/>
        </w:rPr>
        <w:t>0%的货款。</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六</w:t>
      </w:r>
      <w:r>
        <w:rPr>
          <w:rFonts w:hint="eastAsia" w:ascii="宋体" w:hAnsi="宋体" w:cs="宋体"/>
          <w:b/>
          <w:bCs/>
          <w:color w:val="000000"/>
        </w:rPr>
        <w:t>、总体要求</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投标人所投产品应为满足、相当于或者高于本招标文件要求的货物。</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软硬件设备需具备可靠性、安全性，符合国家和相关行业标准。</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七</w:t>
      </w:r>
      <w:r>
        <w:rPr>
          <w:rFonts w:hint="eastAsia" w:ascii="宋体" w:hAnsi="宋体" w:cs="宋体"/>
          <w:b/>
          <w:bCs/>
          <w:color w:val="000000"/>
        </w:rPr>
        <w:t>、政策要求</w:t>
      </w:r>
    </w:p>
    <w:p>
      <w:pPr>
        <w:pStyle w:val="24"/>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4"/>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4"/>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4"/>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4"/>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4"/>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4"/>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4"/>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政府采购节能产品、环境标志产品</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.1政府采购节能产品、环境标志产品实施品目清单管理。财政部、发展改革委、生态环境部等部门根据产品节能环保性能、技术水平和市场成熟程度等因素，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.3 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.4非政府强制采购的节能产品或环境标志产品，依据品目清单和认证证书实施政府优先采购。优先采购的具体规定见第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24"/>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3.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bookmarkEnd w:id="59"/>
    <w:bookmarkEnd w:id="60"/>
    <w:bookmarkEnd w:id="61"/>
    <w:p>
      <w:pPr>
        <w:pStyle w:val="48"/>
        <w:snapToGrid w:val="0"/>
        <w:spacing w:before="0" w:after="0"/>
        <w:ind w:left="0"/>
        <w:rPr>
          <w:rFonts w:ascii="宋体" w:hAnsi="宋体"/>
          <w:color w:val="auto"/>
        </w:rPr>
      </w:pPr>
      <w:bookmarkStart w:id="62"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2"/>
    </w:p>
    <w:p>
      <w:pPr>
        <w:pStyle w:val="24"/>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4"/>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4"/>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4"/>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1"/>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本项目第三包为专门面向小微企业采购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4"/>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1"/>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9"/>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1"/>
        <w:tblW w:w="9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092"/>
        <w:gridCol w:w="804"/>
        <w:gridCol w:w="7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left="-161" w:leftChars="-67" w:right="-122" w:rightChars="-51" w:firstLine="28"/>
              <w:jc w:val="center"/>
              <w:rPr>
                <w:rFonts w:ascii="宋体" w:hAnsi="宋体" w:cs="宋体"/>
                <w:b/>
                <w:sz w:val="24"/>
                <w:szCs w:val="24"/>
              </w:rPr>
            </w:pPr>
            <w:r>
              <w:rPr>
                <w:rFonts w:hint="eastAsia" w:ascii="宋体" w:hAnsi="宋体" w:cs="宋体"/>
                <w:b/>
                <w:sz w:val="24"/>
                <w:szCs w:val="24"/>
              </w:rPr>
              <w:t>序号</w:t>
            </w:r>
          </w:p>
        </w:tc>
        <w:tc>
          <w:tcPr>
            <w:tcW w:w="1092" w:type="dxa"/>
            <w:vAlign w:val="center"/>
          </w:tcPr>
          <w:p>
            <w:pPr>
              <w:ind w:left="-29" w:leftChars="-13" w:right="-98" w:rightChars="-41" w:hanging="2"/>
              <w:jc w:val="center"/>
              <w:rPr>
                <w:rFonts w:ascii="宋体" w:hAnsi="宋体" w:cs="宋体"/>
                <w:b/>
                <w:sz w:val="24"/>
                <w:szCs w:val="24"/>
              </w:rPr>
            </w:pPr>
            <w:r>
              <w:rPr>
                <w:rFonts w:hint="eastAsia" w:ascii="宋体" w:hAnsi="宋体" w:cs="宋体"/>
                <w:b/>
                <w:sz w:val="24"/>
                <w:szCs w:val="24"/>
              </w:rPr>
              <w:t>评分因素</w:t>
            </w:r>
          </w:p>
        </w:tc>
        <w:tc>
          <w:tcPr>
            <w:tcW w:w="804" w:type="dxa"/>
            <w:vAlign w:val="center"/>
          </w:tcPr>
          <w:p>
            <w:pPr>
              <w:ind w:firstLine="28"/>
              <w:jc w:val="center"/>
              <w:rPr>
                <w:rFonts w:ascii="宋体" w:hAnsi="宋体" w:cs="宋体"/>
                <w:b/>
                <w:sz w:val="24"/>
                <w:szCs w:val="24"/>
              </w:rPr>
            </w:pPr>
            <w:r>
              <w:rPr>
                <w:rFonts w:hint="eastAsia" w:ascii="宋体" w:hAnsi="宋体" w:cs="宋体"/>
                <w:b/>
                <w:sz w:val="24"/>
                <w:szCs w:val="24"/>
              </w:rPr>
              <w:t>分值</w:t>
            </w:r>
          </w:p>
        </w:tc>
        <w:tc>
          <w:tcPr>
            <w:tcW w:w="7389" w:type="dxa"/>
            <w:vAlign w:val="center"/>
          </w:tcPr>
          <w:p>
            <w:pPr>
              <w:ind w:firstLine="28"/>
              <w:jc w:val="center"/>
              <w:rPr>
                <w:rFonts w:ascii="宋体" w:hAnsi="宋体" w:cs="宋体"/>
                <w:b/>
                <w:sz w:val="24"/>
                <w:szCs w:val="24"/>
              </w:rPr>
            </w:pPr>
            <w:r>
              <w:rPr>
                <w:rFonts w:hint="eastAsia" w:ascii="宋体" w:hAnsi="宋体" w:cs="宋体"/>
                <w:b/>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960" w:type="dxa"/>
            <w:gridSpan w:val="4"/>
            <w:vAlign w:val="center"/>
          </w:tcPr>
          <w:p>
            <w:pPr>
              <w:ind w:firstLine="28"/>
              <w:jc w:val="center"/>
              <w:rPr>
                <w:rFonts w:ascii="宋体" w:hAnsi="宋体" w:cs="宋体"/>
                <w:b/>
                <w:sz w:val="24"/>
                <w:szCs w:val="24"/>
              </w:rPr>
            </w:pPr>
            <w:r>
              <w:rPr>
                <w:rFonts w:hint="eastAsia" w:ascii="宋体" w:hAnsi="宋体" w:cs="宋体"/>
                <w:b/>
                <w:sz w:val="24"/>
                <w:szCs w:val="24"/>
                <w:lang w:eastAsia="zh-CN"/>
              </w:rPr>
              <w:t>履约能力</w:t>
            </w:r>
            <w:r>
              <w:rPr>
                <w:rFonts w:hint="eastAsia" w:ascii="宋体" w:hAnsi="宋体" w:cs="宋体"/>
                <w:b/>
                <w:sz w:val="24"/>
                <w:szCs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ascii="宋体" w:hAnsi="宋体" w:cs="宋体"/>
                <w:bCs/>
                <w:sz w:val="24"/>
                <w:szCs w:val="24"/>
              </w:rPr>
            </w:pPr>
            <w:r>
              <w:rPr>
                <w:rFonts w:hint="eastAsia" w:ascii="宋体" w:hAnsi="宋体" w:cs="宋体"/>
                <w:bCs/>
                <w:sz w:val="24"/>
                <w:szCs w:val="24"/>
              </w:rPr>
              <w:t>1</w:t>
            </w:r>
          </w:p>
        </w:tc>
        <w:tc>
          <w:tcPr>
            <w:tcW w:w="1092" w:type="dxa"/>
            <w:vAlign w:val="center"/>
          </w:tcPr>
          <w:p>
            <w:pPr>
              <w:ind w:firstLine="28"/>
              <w:jc w:val="center"/>
              <w:rPr>
                <w:rFonts w:ascii="宋体" w:hAnsi="宋体" w:cs="宋体"/>
                <w:bCs/>
                <w:sz w:val="24"/>
                <w:szCs w:val="24"/>
              </w:rPr>
            </w:pPr>
            <w:r>
              <w:rPr>
                <w:rFonts w:hint="eastAsia" w:ascii="宋体" w:hAnsi="宋体" w:cs="宋体"/>
                <w:bCs/>
                <w:sz w:val="24"/>
                <w:szCs w:val="24"/>
                <w:lang w:eastAsia="zh-CN"/>
              </w:rPr>
              <w:t>投标人</w:t>
            </w:r>
            <w:r>
              <w:rPr>
                <w:rFonts w:hint="eastAsia" w:ascii="宋体" w:hAnsi="宋体" w:cs="宋体"/>
                <w:bCs/>
                <w:sz w:val="24"/>
                <w:szCs w:val="24"/>
              </w:rPr>
              <w:t>业绩</w:t>
            </w:r>
          </w:p>
        </w:tc>
        <w:tc>
          <w:tcPr>
            <w:tcW w:w="804" w:type="dxa"/>
            <w:vAlign w:val="center"/>
          </w:tcPr>
          <w:p>
            <w:pPr>
              <w:ind w:firstLine="28"/>
              <w:jc w:val="center"/>
              <w:rPr>
                <w:rFonts w:ascii="宋体" w:hAnsi="宋体" w:cs="宋体"/>
                <w:bCs/>
                <w:sz w:val="24"/>
                <w:szCs w:val="24"/>
              </w:rPr>
            </w:pPr>
            <w:r>
              <w:rPr>
                <w:rFonts w:hint="eastAsia" w:ascii="宋体" w:hAnsi="宋体" w:cs="宋体"/>
                <w:bCs/>
                <w:sz w:val="24"/>
                <w:szCs w:val="24"/>
              </w:rPr>
              <w:t>4分</w:t>
            </w:r>
          </w:p>
        </w:tc>
        <w:tc>
          <w:tcPr>
            <w:tcW w:w="7389" w:type="dxa"/>
            <w:vAlign w:val="center"/>
          </w:tcPr>
          <w:p>
            <w:pPr>
              <w:ind w:firstLine="28"/>
              <w:rPr>
                <w:rFonts w:ascii="宋体" w:hAnsi="宋体" w:cs="宋体"/>
                <w:bCs/>
                <w:sz w:val="24"/>
                <w:szCs w:val="24"/>
              </w:rPr>
            </w:pPr>
            <w:r>
              <w:rPr>
                <w:rFonts w:hint="eastAsia" w:ascii="宋体" w:hAnsi="宋体" w:cs="宋体"/>
                <w:bCs/>
                <w:sz w:val="24"/>
                <w:szCs w:val="24"/>
              </w:rPr>
              <w:t>投标人近3年（202</w:t>
            </w:r>
            <w:r>
              <w:rPr>
                <w:rFonts w:hint="eastAsia" w:ascii="宋体" w:hAnsi="宋体" w:cs="宋体"/>
                <w:bCs/>
                <w:sz w:val="24"/>
                <w:szCs w:val="24"/>
                <w:lang w:val="en-US" w:eastAsia="zh-CN"/>
              </w:rPr>
              <w:t>1</w:t>
            </w:r>
            <w:r>
              <w:rPr>
                <w:rFonts w:hint="eastAsia" w:ascii="宋体" w:hAnsi="宋体" w:cs="宋体"/>
                <w:bCs/>
                <w:sz w:val="24"/>
                <w:szCs w:val="24"/>
              </w:rPr>
              <w:t>年</w:t>
            </w:r>
            <w:r>
              <w:rPr>
                <w:rFonts w:hint="eastAsia" w:ascii="宋体" w:hAnsi="宋体" w:cs="宋体"/>
                <w:bCs/>
                <w:sz w:val="24"/>
                <w:szCs w:val="24"/>
                <w:lang w:val="en-US" w:eastAsia="zh-CN"/>
              </w:rPr>
              <w:t>4</w:t>
            </w:r>
            <w:r>
              <w:rPr>
                <w:rFonts w:hint="eastAsia" w:ascii="宋体" w:hAnsi="宋体" w:cs="宋体"/>
                <w:bCs/>
                <w:sz w:val="24"/>
                <w:szCs w:val="24"/>
              </w:rPr>
              <w:t>月至今</w:t>
            </w:r>
            <w:r>
              <w:rPr>
                <w:rFonts w:hint="eastAsia" w:ascii="宋体" w:hAnsi="宋体" w:cs="宋体"/>
                <w:sz w:val="24"/>
                <w:szCs w:val="24"/>
              </w:rPr>
              <w:t>，以合同签订日期为准</w:t>
            </w:r>
            <w:r>
              <w:rPr>
                <w:rFonts w:hint="eastAsia" w:ascii="宋体" w:hAnsi="宋体" w:cs="宋体"/>
                <w:bCs/>
                <w:sz w:val="24"/>
                <w:szCs w:val="24"/>
              </w:rPr>
              <w:t>）的类似业绩，每提供一个得1分，最高得4分（须提供相应的合同首页、标的（内容）页、与合同双方盖章页复印件并加盖公章）。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bottom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2</w:t>
            </w:r>
          </w:p>
        </w:tc>
        <w:tc>
          <w:tcPr>
            <w:tcW w:w="1092" w:type="dxa"/>
            <w:tcBorders>
              <w:bottom w:val="single" w:color="auto" w:sz="4" w:space="0"/>
            </w:tcBorders>
            <w:vAlign w:val="center"/>
          </w:tcPr>
          <w:p>
            <w:pPr>
              <w:ind w:firstLine="28"/>
              <w:jc w:val="center"/>
              <w:rPr>
                <w:rFonts w:ascii="宋体" w:hAnsi="宋体" w:cs="宋体"/>
                <w:bCs/>
                <w:sz w:val="24"/>
                <w:szCs w:val="24"/>
              </w:rPr>
            </w:pPr>
            <w:r>
              <w:rPr>
                <w:rFonts w:hint="eastAsia" w:ascii="宋体" w:hAnsi="宋体" w:cs="宋体"/>
                <w:sz w:val="24"/>
                <w:szCs w:val="24"/>
              </w:rPr>
              <w:t>投标人的实力评价</w:t>
            </w:r>
          </w:p>
        </w:tc>
        <w:tc>
          <w:tcPr>
            <w:tcW w:w="804" w:type="dxa"/>
            <w:tcBorders>
              <w:bottom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10分</w:t>
            </w:r>
          </w:p>
        </w:tc>
        <w:tc>
          <w:tcPr>
            <w:tcW w:w="7389" w:type="dxa"/>
            <w:tcBorders>
              <w:bottom w:val="single" w:color="auto" w:sz="4" w:space="0"/>
            </w:tcBorders>
            <w:vAlign w:val="center"/>
          </w:tcPr>
          <w:p>
            <w:pPr>
              <w:jc w:val="left"/>
              <w:rPr>
                <w:rFonts w:ascii="宋体" w:hAnsi="宋体" w:cs="宋体"/>
                <w:sz w:val="24"/>
                <w:szCs w:val="24"/>
              </w:rPr>
            </w:pPr>
            <w:r>
              <w:rPr>
                <w:rFonts w:hint="eastAsia" w:ascii="宋体" w:hAnsi="宋体" w:cs="宋体"/>
                <w:sz w:val="24"/>
                <w:szCs w:val="24"/>
              </w:rPr>
              <w:t>1、投标人具备ISO9001质量管理体系认证、 ISO14001环境管理体系认证 、ISO45001职业健康安全管理体系认证（覆盖范围包含：本次投标</w:t>
            </w:r>
            <w:r>
              <w:rPr>
                <w:rFonts w:hint="eastAsia" w:ascii="宋体" w:hAnsi="宋体" w:cs="宋体"/>
                <w:sz w:val="24"/>
                <w:szCs w:val="24"/>
                <w:lang w:val="en-US" w:eastAsia="zh-CN"/>
              </w:rPr>
              <w:t>全部</w:t>
            </w:r>
            <w:r>
              <w:rPr>
                <w:rFonts w:hint="eastAsia" w:ascii="宋体" w:hAnsi="宋体" w:cs="宋体"/>
                <w:sz w:val="24"/>
                <w:szCs w:val="24"/>
              </w:rPr>
              <w:t>内容），满足得2分；</w:t>
            </w:r>
          </w:p>
          <w:p>
            <w:pPr>
              <w:jc w:val="left"/>
              <w:rPr>
                <w:rFonts w:ascii="宋体" w:hAnsi="宋体" w:cs="宋体"/>
                <w:sz w:val="24"/>
                <w:szCs w:val="24"/>
              </w:rPr>
            </w:pPr>
            <w:r>
              <w:rPr>
                <w:rFonts w:hint="eastAsia" w:ascii="宋体" w:hAnsi="宋体" w:cs="宋体"/>
                <w:sz w:val="24"/>
                <w:szCs w:val="24"/>
              </w:rPr>
              <w:t>2、投标人具备企业诚信管理体系认证证书（覆盖范围包含：本次投标</w:t>
            </w:r>
            <w:r>
              <w:rPr>
                <w:rFonts w:hint="eastAsia" w:ascii="宋体" w:hAnsi="宋体" w:cs="宋体"/>
                <w:sz w:val="24"/>
                <w:szCs w:val="24"/>
                <w:lang w:val="en-US" w:eastAsia="zh-CN"/>
              </w:rPr>
              <w:t>全部</w:t>
            </w:r>
            <w:r>
              <w:rPr>
                <w:rFonts w:hint="eastAsia" w:ascii="宋体" w:hAnsi="宋体" w:cs="宋体"/>
                <w:sz w:val="24"/>
                <w:szCs w:val="24"/>
              </w:rPr>
              <w:t>内容），满足得2分；</w:t>
            </w:r>
          </w:p>
          <w:p>
            <w:pPr>
              <w:jc w:val="left"/>
              <w:rPr>
                <w:rFonts w:ascii="宋体" w:hAnsi="宋体" w:cs="宋体"/>
                <w:sz w:val="24"/>
                <w:szCs w:val="24"/>
              </w:rPr>
            </w:pPr>
            <w:r>
              <w:rPr>
                <w:rFonts w:hint="eastAsia" w:ascii="宋体" w:hAnsi="宋体" w:cs="宋体"/>
                <w:sz w:val="24"/>
                <w:szCs w:val="24"/>
              </w:rPr>
              <w:t>3、投标人具备ISO50001能源管理体系认证证书（覆盖范围包含：本次投标</w:t>
            </w:r>
            <w:r>
              <w:rPr>
                <w:rFonts w:hint="eastAsia" w:ascii="宋体" w:hAnsi="宋体" w:cs="宋体"/>
                <w:sz w:val="24"/>
                <w:szCs w:val="24"/>
                <w:lang w:val="en-US" w:eastAsia="zh-CN"/>
              </w:rPr>
              <w:t>全部</w:t>
            </w:r>
            <w:r>
              <w:rPr>
                <w:rFonts w:hint="eastAsia" w:ascii="宋体" w:hAnsi="宋体" w:cs="宋体"/>
                <w:sz w:val="24"/>
                <w:szCs w:val="24"/>
              </w:rPr>
              <w:t>内容），满足得2分；</w:t>
            </w:r>
          </w:p>
          <w:p>
            <w:pPr>
              <w:jc w:val="left"/>
              <w:rPr>
                <w:rFonts w:ascii="宋体" w:hAnsi="宋体" w:cs="宋体"/>
                <w:sz w:val="24"/>
                <w:szCs w:val="24"/>
              </w:rPr>
            </w:pPr>
            <w:r>
              <w:rPr>
                <w:rFonts w:hint="eastAsia" w:ascii="宋体" w:hAnsi="宋体" w:cs="宋体"/>
                <w:sz w:val="24"/>
                <w:szCs w:val="24"/>
              </w:rPr>
              <w:t>4、投标人具备履约能力评价体系认证证书（认证范围包含：本次投标</w:t>
            </w:r>
            <w:r>
              <w:rPr>
                <w:rFonts w:hint="eastAsia" w:ascii="宋体" w:hAnsi="宋体" w:cs="宋体"/>
                <w:sz w:val="24"/>
                <w:szCs w:val="24"/>
                <w:lang w:val="en-US" w:eastAsia="zh-CN"/>
              </w:rPr>
              <w:t>全部</w:t>
            </w:r>
            <w:r>
              <w:rPr>
                <w:rFonts w:hint="eastAsia" w:ascii="宋体" w:hAnsi="宋体" w:cs="宋体"/>
                <w:sz w:val="24"/>
                <w:szCs w:val="24"/>
              </w:rPr>
              <w:t>内容），满足得2分；</w:t>
            </w:r>
          </w:p>
          <w:p>
            <w:pPr>
              <w:rPr>
                <w:rFonts w:ascii="宋体" w:hAnsi="宋体" w:cs="宋体"/>
                <w:sz w:val="24"/>
                <w:szCs w:val="24"/>
              </w:rPr>
            </w:pPr>
            <w:r>
              <w:rPr>
                <w:rFonts w:hint="eastAsia" w:ascii="宋体" w:hAnsi="宋体" w:cs="宋体"/>
                <w:sz w:val="24"/>
                <w:szCs w:val="24"/>
              </w:rPr>
              <w:t>5、投标人具备GB/T 33635-2017标准的绿色供应链认证证书（认证范围：本次投标</w:t>
            </w:r>
            <w:r>
              <w:rPr>
                <w:rFonts w:hint="eastAsia" w:ascii="宋体" w:hAnsi="宋体" w:cs="宋体"/>
                <w:sz w:val="24"/>
                <w:szCs w:val="24"/>
                <w:lang w:val="en-US" w:eastAsia="zh-CN"/>
              </w:rPr>
              <w:t>全部</w:t>
            </w:r>
            <w:r>
              <w:rPr>
                <w:rFonts w:hint="eastAsia" w:ascii="宋体" w:hAnsi="宋体" w:cs="宋体"/>
                <w:sz w:val="24"/>
                <w:szCs w:val="24"/>
              </w:rPr>
              <w:t>内容），满足得2分；</w:t>
            </w:r>
          </w:p>
          <w:p>
            <w:pPr>
              <w:ind w:firstLine="28"/>
              <w:rPr>
                <w:rFonts w:ascii="宋体" w:hAnsi="宋体" w:cs="宋体"/>
                <w:bCs/>
                <w:sz w:val="24"/>
                <w:szCs w:val="24"/>
              </w:rPr>
            </w:pPr>
            <w:r>
              <w:rPr>
                <w:rFonts w:hint="eastAsia" w:ascii="宋体" w:hAnsi="宋体" w:cs="宋体"/>
                <w:b/>
                <w:sz w:val="24"/>
                <w:szCs w:val="24"/>
              </w:rPr>
              <w:t>以上证件复印件并加盖供应商公章，并提供网站查询截图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3</w:t>
            </w:r>
          </w:p>
        </w:tc>
        <w:tc>
          <w:tcPr>
            <w:tcW w:w="1092" w:type="dxa"/>
            <w:tcBorders>
              <w:top w:val="single" w:color="auto" w:sz="4" w:space="0"/>
              <w:left w:val="single" w:color="auto" w:sz="4" w:space="0"/>
              <w:bottom w:val="single" w:color="auto" w:sz="4" w:space="0"/>
              <w:right w:val="single" w:color="auto" w:sz="4" w:space="0"/>
            </w:tcBorders>
            <w:vAlign w:val="center"/>
          </w:tcPr>
          <w:p>
            <w:pPr>
              <w:ind w:left="-31" w:leftChars="-13" w:right="-98" w:rightChars="-41" w:firstLine="28"/>
              <w:jc w:val="center"/>
              <w:rPr>
                <w:rFonts w:ascii="宋体" w:hAnsi="宋体" w:cs="宋体"/>
                <w:bCs/>
                <w:sz w:val="24"/>
                <w:szCs w:val="24"/>
              </w:rPr>
            </w:pPr>
            <w:r>
              <w:rPr>
                <w:rFonts w:hint="eastAsia" w:ascii="宋体" w:hAnsi="宋体" w:cs="宋体"/>
                <w:sz w:val="24"/>
                <w:szCs w:val="24"/>
              </w:rPr>
              <w:t xml:space="preserve">政策功能 </w:t>
            </w:r>
          </w:p>
        </w:tc>
        <w:tc>
          <w:tcPr>
            <w:tcW w:w="8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1分</w:t>
            </w:r>
          </w:p>
        </w:tc>
        <w:tc>
          <w:tcPr>
            <w:tcW w:w="7389" w:type="dxa"/>
            <w:tcBorders>
              <w:top w:val="single" w:color="auto" w:sz="4" w:space="0"/>
              <w:left w:val="single" w:color="auto" w:sz="4" w:space="0"/>
              <w:bottom w:val="single" w:color="auto" w:sz="4" w:space="0"/>
              <w:right w:val="single" w:color="auto" w:sz="4" w:space="0"/>
            </w:tcBorders>
            <w:vAlign w:val="center"/>
          </w:tcPr>
          <w:p>
            <w:pPr>
              <w:ind w:firstLine="28"/>
              <w:rPr>
                <w:rFonts w:ascii="宋体" w:hAnsi="宋体" w:cs="宋体"/>
                <w:sz w:val="24"/>
                <w:szCs w:val="24"/>
              </w:rPr>
            </w:pPr>
            <w:r>
              <w:rPr>
                <w:rFonts w:hint="eastAsia" w:ascii="宋体" w:hAnsi="宋体" w:cs="宋体"/>
                <w:sz w:val="24"/>
                <w:szCs w:val="24"/>
              </w:rPr>
              <w:t>环境标志产品(1分)：</w:t>
            </w:r>
          </w:p>
          <w:p>
            <w:pPr>
              <w:ind w:firstLine="28"/>
              <w:rPr>
                <w:rFonts w:ascii="宋体" w:hAnsi="宋体" w:cs="宋体"/>
                <w:bCs/>
                <w:sz w:val="24"/>
                <w:szCs w:val="24"/>
              </w:rPr>
            </w:pPr>
            <w:r>
              <w:rPr>
                <w:rFonts w:hint="eastAsia" w:ascii="宋体" w:hAnsi="宋体" w:cs="宋体"/>
                <w:sz w:val="24"/>
                <w:szCs w:val="24"/>
              </w:rPr>
              <w:t>投标人所投货物具有中国环境标志产品认证证书，且认证证书 在有效截止日期内，得 1 分(提供复印件并加盖投标人公章， 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960" w:type="dxa"/>
            <w:gridSpan w:val="4"/>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
                <w:sz w:val="24"/>
                <w:szCs w:val="24"/>
              </w:rPr>
            </w:pPr>
            <w:r>
              <w:rPr>
                <w:rFonts w:hint="eastAsia" w:ascii="宋体" w:hAnsi="宋体" w:cs="宋体"/>
                <w:b/>
                <w:sz w:val="24"/>
                <w:szCs w:val="24"/>
                <w:lang w:eastAsia="zh-CN"/>
              </w:rPr>
              <w:t>投标产品及技术方案</w:t>
            </w:r>
            <w:r>
              <w:rPr>
                <w:rFonts w:hint="eastAsia" w:ascii="宋体" w:hAnsi="宋体" w:cs="宋体"/>
                <w:b/>
                <w:sz w:val="24"/>
                <w:szCs w:val="24"/>
              </w:rPr>
              <w:t>（55分）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4</w:t>
            </w:r>
          </w:p>
        </w:tc>
        <w:tc>
          <w:tcPr>
            <w:tcW w:w="1092"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主要技术参数</w:t>
            </w:r>
          </w:p>
        </w:tc>
        <w:tc>
          <w:tcPr>
            <w:tcW w:w="8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6分</w:t>
            </w:r>
          </w:p>
        </w:tc>
        <w:tc>
          <w:tcPr>
            <w:tcW w:w="738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lang w:val="en-US" w:eastAsia="zh-CN"/>
              </w:rPr>
            </w:pPr>
            <w:r>
              <w:rPr>
                <w:rFonts w:hint="eastAsia" w:ascii="宋体" w:hAnsi="宋体" w:cs="宋体"/>
                <w:kern w:val="0"/>
                <w:sz w:val="24"/>
                <w:szCs w:val="24"/>
              </w:rPr>
              <w:t>完全响应招标文件</w:t>
            </w:r>
            <w:r>
              <w:rPr>
                <w:rFonts w:hint="eastAsia" w:ascii="宋体" w:hAnsi="宋体" w:cs="宋体"/>
                <w:kern w:val="0"/>
                <w:sz w:val="24"/>
                <w:szCs w:val="24"/>
                <w:lang w:val="en-US" w:eastAsia="zh-CN"/>
              </w:rPr>
              <w:t>6</w:t>
            </w:r>
            <w:r>
              <w:rPr>
                <w:rFonts w:hint="eastAsia" w:ascii="宋体" w:hAnsi="宋体" w:cs="宋体"/>
                <w:kern w:val="0"/>
                <w:sz w:val="24"/>
                <w:szCs w:val="24"/>
              </w:rPr>
              <w:t>分，每出现1</w:t>
            </w:r>
            <w:r>
              <w:rPr>
                <w:rFonts w:hint="eastAsia" w:ascii="宋体" w:hAnsi="宋体"/>
                <w:bCs/>
                <w:sz w:val="24"/>
                <w:szCs w:val="24"/>
                <w:lang w:val="zh-CN"/>
              </w:rPr>
              <w:t>项负偏离扣1分</w:t>
            </w:r>
            <w:r>
              <w:rPr>
                <w:rFonts w:ascii="宋体" w:hAnsi="宋体" w:cs="宋体"/>
                <w:kern w:val="0"/>
                <w:sz w:val="24"/>
                <w:szCs w:val="24"/>
              </w:rPr>
              <w:t>,</w:t>
            </w:r>
            <w:r>
              <w:rPr>
                <w:rFonts w:hint="eastAsia" w:ascii="宋体" w:hAnsi="宋体" w:cs="宋体"/>
                <w:kern w:val="0"/>
                <w:sz w:val="24"/>
                <w:szCs w:val="24"/>
              </w:rPr>
              <w:t>扣完为止</w:t>
            </w:r>
            <w:r>
              <w:rPr>
                <w:rFonts w:hint="eastAsia" w:ascii="宋体" w:hAnsi="宋体" w:cs="宋体"/>
                <w:kern w:val="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5</w:t>
            </w:r>
          </w:p>
        </w:tc>
        <w:tc>
          <w:tcPr>
            <w:tcW w:w="1092"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center"/>
              <w:rPr>
                <w:rFonts w:ascii="宋体" w:hAnsi="宋体" w:cs="宋体"/>
                <w:bCs/>
                <w:sz w:val="24"/>
                <w:szCs w:val="24"/>
              </w:rPr>
            </w:pPr>
            <w:r>
              <w:rPr>
                <w:rFonts w:hint="eastAsia" w:ascii="宋体" w:hAnsi="宋体" w:cs="宋体"/>
                <w:sz w:val="24"/>
                <w:szCs w:val="24"/>
              </w:rPr>
              <w:t>相关原材料检测报告</w:t>
            </w:r>
          </w:p>
        </w:tc>
        <w:tc>
          <w:tcPr>
            <w:tcW w:w="8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lang w:val="en-US" w:eastAsia="zh-CN"/>
              </w:rPr>
              <w:t>8</w:t>
            </w:r>
            <w:r>
              <w:rPr>
                <w:rFonts w:hint="eastAsia" w:ascii="宋体" w:hAnsi="宋体" w:cs="宋体"/>
                <w:bCs/>
                <w:sz w:val="24"/>
                <w:szCs w:val="24"/>
              </w:rPr>
              <w:t>分</w:t>
            </w:r>
          </w:p>
        </w:tc>
        <w:tc>
          <w:tcPr>
            <w:tcW w:w="7389"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left"/>
              <w:rPr>
                <w:rFonts w:ascii="宋体" w:hAnsi="宋体" w:cs="宋体"/>
                <w:sz w:val="24"/>
                <w:szCs w:val="24"/>
              </w:rPr>
            </w:pPr>
            <w:r>
              <w:rPr>
                <w:rFonts w:hint="eastAsia" w:ascii="宋体" w:hAnsi="宋体" w:cs="宋体"/>
                <w:sz w:val="24"/>
                <w:szCs w:val="24"/>
              </w:rPr>
              <w:t>提供检验检测机构出具的符合国家标准的有效期内抽样原材料检测报告复印件加盖供应商公章：</w:t>
            </w:r>
          </w:p>
          <w:p>
            <w:pPr>
              <w:rPr>
                <w:rFonts w:hint="default"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val="en-US" w:eastAsia="zh-CN"/>
              </w:rPr>
              <w:t>中密度纤维板：</w:t>
            </w:r>
            <w:r>
              <w:rPr>
                <w:rFonts w:hint="eastAsia" w:ascii="宋体" w:hAnsi="宋体" w:cs="宋体"/>
                <w:color w:val="000000"/>
                <w:kern w:val="0"/>
                <w:sz w:val="24"/>
                <w:szCs w:val="24"/>
                <w:lang w:bidi="ar"/>
              </w:rPr>
              <w:t>符合GB/T 11718-2021及GB18580-2017标准，其中甲醛释放量≤0.02mg/m³，TVOC检测≤0.5μg/m³，含水率7-9％，静曲强度≥40MPa，弹性模量≥3000MPa，吸水后膨胀率≤4％，笨、甲苯、二甲苯均≤0.5μg/m³</w:t>
            </w:r>
          </w:p>
          <w:p>
            <w:pPr>
              <w:rPr>
                <w:rFonts w:hint="default" w:ascii="宋体" w:hAnsi="宋体" w:eastAsia="宋体" w:cs="宋体"/>
                <w:sz w:val="24"/>
                <w:szCs w:val="24"/>
                <w:lang w:val="en-US" w:eastAsia="zh-CN"/>
              </w:rPr>
            </w:pPr>
            <w:r>
              <w:rPr>
                <w:rFonts w:hint="eastAsia" w:ascii="宋体" w:hAnsi="宋体" w:cs="宋体"/>
                <w:sz w:val="24"/>
                <w:szCs w:val="24"/>
              </w:rPr>
              <w:t>（2）</w:t>
            </w:r>
            <w:r>
              <w:rPr>
                <w:rFonts w:hint="eastAsia" w:ascii="宋体" w:hAnsi="宋体" w:cs="宋体"/>
                <w:sz w:val="24"/>
                <w:szCs w:val="24"/>
                <w:lang w:val="en-US" w:eastAsia="zh-CN"/>
              </w:rPr>
              <w:t>浸渍胶膜纸饰面刨花板：</w:t>
            </w:r>
            <w:r>
              <w:rPr>
                <w:rFonts w:hint="eastAsia" w:ascii="宋体" w:hAnsi="宋体" w:eastAsia="宋体" w:cs="宋体"/>
                <w:kern w:val="28"/>
                <w:sz w:val="24"/>
                <w:szCs w:val="24"/>
                <w:lang w:val="en-US" w:eastAsia="zh-CN" w:bidi="ar-SA"/>
              </w:rPr>
              <w:t xml:space="preserve">符合 </w:t>
            </w:r>
            <w:r>
              <w:rPr>
                <w:rFonts w:hint="default" w:ascii="宋体" w:hAnsi="宋体" w:eastAsia="宋体" w:cs="宋体"/>
                <w:kern w:val="28"/>
                <w:sz w:val="24"/>
                <w:szCs w:val="24"/>
                <w:lang w:val="en-US" w:eastAsia="zh-CN" w:bidi="ar-SA"/>
              </w:rPr>
              <w:t xml:space="preserve">GB/T 15102-2017 </w:t>
            </w:r>
            <w:r>
              <w:rPr>
                <w:rFonts w:hint="eastAsia" w:ascii="宋体" w:hAnsi="宋体" w:eastAsia="宋体" w:cs="宋体"/>
                <w:kern w:val="28"/>
                <w:sz w:val="24"/>
                <w:szCs w:val="24"/>
                <w:lang w:val="en-US" w:eastAsia="zh-CN" w:bidi="ar-SA"/>
              </w:rPr>
              <w:t>《浸渍胶膜纸饰纤维板和刨花板》、</w:t>
            </w:r>
            <w:r>
              <w:rPr>
                <w:rFonts w:hint="default" w:ascii="宋体" w:hAnsi="宋体" w:eastAsia="宋体" w:cs="宋体"/>
                <w:kern w:val="28"/>
                <w:sz w:val="24"/>
                <w:szCs w:val="24"/>
                <w:lang w:val="en-US" w:eastAsia="zh-CN" w:bidi="ar-SA"/>
              </w:rPr>
              <w:t>GB/T 35601-2017</w:t>
            </w:r>
            <w:r>
              <w:rPr>
                <w:rFonts w:hint="eastAsia" w:ascii="宋体" w:hAnsi="宋体" w:eastAsia="宋体" w:cs="宋体"/>
                <w:kern w:val="28"/>
                <w:sz w:val="24"/>
                <w:szCs w:val="24"/>
                <w:lang w:val="en-US" w:eastAsia="zh-CN" w:bidi="ar-SA"/>
              </w:rPr>
              <w:t>《绿色产品评价 人造板和木质地板》、</w:t>
            </w:r>
            <w:r>
              <w:rPr>
                <w:rFonts w:hint="default" w:ascii="宋体" w:hAnsi="宋体" w:eastAsia="宋体" w:cs="宋体"/>
                <w:kern w:val="28"/>
                <w:sz w:val="24"/>
                <w:szCs w:val="24"/>
                <w:lang w:val="en-US" w:eastAsia="zh-CN" w:bidi="ar-SA"/>
              </w:rPr>
              <w:t>GB 18580-2017</w:t>
            </w:r>
            <w:r>
              <w:rPr>
                <w:rFonts w:hint="eastAsia" w:ascii="宋体" w:hAnsi="宋体" w:eastAsia="宋体" w:cs="宋体"/>
                <w:kern w:val="28"/>
                <w:sz w:val="24"/>
                <w:szCs w:val="24"/>
                <w:lang w:val="en-US" w:eastAsia="zh-CN" w:bidi="ar-SA"/>
              </w:rPr>
              <w:t>《室内装饰装修材料 人造板及其制品中甲醛释放限量》的标准，外观质量（</w:t>
            </w:r>
            <w:r>
              <w:rPr>
                <w:rFonts w:hint="default" w:ascii="宋体" w:hAnsi="宋体" w:eastAsia="宋体" w:cs="宋体"/>
                <w:kern w:val="28"/>
                <w:sz w:val="24"/>
                <w:szCs w:val="24"/>
                <w:lang w:val="en-US" w:eastAsia="zh-CN" w:bidi="ar-SA"/>
              </w:rPr>
              <w:t>14</w:t>
            </w:r>
            <w:r>
              <w:rPr>
                <w:rFonts w:hint="eastAsia" w:ascii="宋体" w:hAnsi="宋体" w:eastAsia="宋体" w:cs="宋体"/>
                <w:kern w:val="28"/>
                <w:sz w:val="24"/>
                <w:szCs w:val="24"/>
                <w:lang w:val="en-US" w:eastAsia="zh-CN" w:bidi="ar-SA"/>
              </w:rPr>
              <w:t>项）检测符合要求，挥发性有机化合物（</w:t>
            </w:r>
            <w:r>
              <w:rPr>
                <w:rFonts w:hint="default" w:ascii="宋体" w:hAnsi="宋体" w:eastAsia="宋体" w:cs="宋体"/>
                <w:kern w:val="28"/>
                <w:sz w:val="24"/>
                <w:szCs w:val="24"/>
                <w:lang w:val="en-US" w:eastAsia="zh-CN" w:bidi="ar-SA"/>
              </w:rPr>
              <w:t>72h</w:t>
            </w:r>
            <w:r>
              <w:rPr>
                <w:rFonts w:hint="eastAsia" w:ascii="宋体" w:hAnsi="宋体" w:eastAsia="宋体" w:cs="宋体"/>
                <w:kern w:val="28"/>
                <w:sz w:val="24"/>
                <w:szCs w:val="24"/>
                <w:lang w:val="en-US" w:eastAsia="zh-CN" w:bidi="ar-SA"/>
              </w:rPr>
              <w:t>）：</w:t>
            </w:r>
            <w:r>
              <w:rPr>
                <w:rFonts w:hint="default" w:ascii="宋体" w:hAnsi="宋体" w:eastAsia="宋体" w:cs="宋体"/>
                <w:kern w:val="28"/>
                <w:sz w:val="24"/>
                <w:szCs w:val="24"/>
                <w:lang w:val="en-US" w:eastAsia="zh-CN" w:bidi="ar-SA"/>
              </w:rPr>
              <w:t>(</w:t>
            </w:r>
            <w:r>
              <w:rPr>
                <w:rFonts w:hint="eastAsia" w:ascii="宋体" w:hAnsi="宋体" w:eastAsia="宋体" w:cs="宋体"/>
                <w:kern w:val="28"/>
                <w:sz w:val="24"/>
                <w:szCs w:val="24"/>
                <w:lang w:val="en-US" w:eastAsia="zh-CN" w:bidi="ar-SA"/>
              </w:rPr>
              <w:t>苯</w:t>
            </w:r>
            <w:r>
              <w:rPr>
                <w:rFonts w:hint="default" w:ascii="宋体" w:hAnsi="宋体" w:eastAsia="宋体" w:cs="宋体"/>
                <w:kern w:val="28"/>
                <w:sz w:val="24"/>
                <w:szCs w:val="24"/>
                <w:lang w:val="en-US" w:eastAsia="zh-CN" w:bidi="ar-SA"/>
              </w:rPr>
              <w:t>ug/m</w:t>
            </w:r>
            <w:r>
              <w:rPr>
                <w:rFonts w:hint="eastAsia" w:ascii="宋体" w:hAnsi="宋体" w:eastAsia="宋体" w:cs="宋体"/>
                <w:kern w:val="28"/>
                <w:sz w:val="24"/>
                <w:szCs w:val="24"/>
                <w:lang w:val="en-US" w:eastAsia="zh-CN" w:bidi="ar-SA"/>
              </w:rPr>
              <w:t>³、甲苯</w:t>
            </w:r>
            <w:r>
              <w:rPr>
                <w:rFonts w:hint="default" w:ascii="宋体" w:hAnsi="宋体" w:eastAsia="宋体" w:cs="宋体"/>
                <w:kern w:val="28"/>
                <w:sz w:val="24"/>
                <w:szCs w:val="24"/>
                <w:lang w:val="en-US" w:eastAsia="zh-CN" w:bidi="ar-SA"/>
              </w:rPr>
              <w:t>ug/m</w:t>
            </w:r>
            <w:r>
              <w:rPr>
                <w:rFonts w:hint="eastAsia" w:ascii="宋体" w:hAnsi="宋体" w:eastAsia="宋体" w:cs="宋体"/>
                <w:kern w:val="28"/>
                <w:sz w:val="24"/>
                <w:szCs w:val="24"/>
                <w:lang w:val="en-US" w:eastAsia="zh-CN" w:bidi="ar-SA"/>
              </w:rPr>
              <w:t>³、二甲苯</w:t>
            </w:r>
            <w:r>
              <w:rPr>
                <w:rFonts w:hint="default" w:ascii="宋体" w:hAnsi="宋体" w:eastAsia="宋体" w:cs="宋体"/>
                <w:kern w:val="28"/>
                <w:sz w:val="24"/>
                <w:szCs w:val="24"/>
                <w:lang w:val="en-US" w:eastAsia="zh-CN" w:bidi="ar-SA"/>
              </w:rPr>
              <w:t>ug/m</w:t>
            </w:r>
            <w:r>
              <w:rPr>
                <w:rFonts w:hint="eastAsia" w:ascii="宋体" w:hAnsi="宋体" w:eastAsia="宋体" w:cs="宋体"/>
                <w:kern w:val="28"/>
                <w:sz w:val="24"/>
                <w:szCs w:val="24"/>
                <w:lang w:val="en-US" w:eastAsia="zh-CN" w:bidi="ar-SA"/>
              </w:rPr>
              <w:t>³</w:t>
            </w:r>
            <w:r>
              <w:rPr>
                <w:rFonts w:hint="default" w:ascii="宋体" w:hAnsi="宋体" w:eastAsia="宋体" w:cs="宋体"/>
                <w:kern w:val="28"/>
                <w:sz w:val="24"/>
                <w:szCs w:val="24"/>
                <w:lang w:val="en-US" w:eastAsia="zh-CN" w:bidi="ar-SA"/>
              </w:rPr>
              <w:t>)</w:t>
            </w:r>
            <w:r>
              <w:rPr>
                <w:rFonts w:hint="eastAsia" w:ascii="宋体" w:hAnsi="宋体" w:eastAsia="宋体" w:cs="宋体"/>
                <w:kern w:val="28"/>
                <w:sz w:val="24"/>
                <w:szCs w:val="24"/>
                <w:lang w:val="en-US" w:eastAsia="zh-CN" w:bidi="ar-SA"/>
              </w:rPr>
              <w:t>未检出、总发挥性有机化合物</w:t>
            </w:r>
            <w:r>
              <w:rPr>
                <w:rFonts w:hint="default" w:ascii="宋体" w:hAnsi="宋体" w:eastAsia="宋体" w:cs="宋体"/>
                <w:kern w:val="28"/>
                <w:sz w:val="24"/>
                <w:szCs w:val="24"/>
                <w:lang w:val="en-US" w:eastAsia="zh-CN" w:bidi="ar-SA"/>
              </w:rPr>
              <w:t xml:space="preserve">(TVOC) </w:t>
            </w:r>
            <w:r>
              <w:rPr>
                <w:rFonts w:hint="eastAsia" w:ascii="宋体" w:hAnsi="宋体" w:eastAsia="宋体" w:cs="宋体"/>
                <w:kern w:val="28"/>
                <w:sz w:val="24"/>
                <w:szCs w:val="24"/>
                <w:lang w:val="en-US" w:eastAsia="zh-CN" w:bidi="ar-SA"/>
              </w:rPr>
              <w:t>≤</w:t>
            </w:r>
            <w:r>
              <w:rPr>
                <w:rFonts w:hint="default" w:ascii="宋体" w:hAnsi="宋体" w:eastAsia="宋体" w:cs="宋体"/>
                <w:kern w:val="28"/>
                <w:sz w:val="24"/>
                <w:szCs w:val="24"/>
                <w:lang w:val="en-US" w:eastAsia="zh-CN" w:bidi="ar-SA"/>
              </w:rPr>
              <w:t>55ug/m</w:t>
            </w:r>
            <w:r>
              <w:rPr>
                <w:rFonts w:hint="eastAsia" w:ascii="宋体" w:hAnsi="宋体" w:eastAsia="宋体" w:cs="宋体"/>
                <w:kern w:val="28"/>
                <w:sz w:val="24"/>
                <w:szCs w:val="24"/>
                <w:lang w:val="en-US" w:eastAsia="zh-CN" w:bidi="ar-SA"/>
              </w:rPr>
              <w:t>³，甲醛释放量≤</w:t>
            </w:r>
            <w:r>
              <w:rPr>
                <w:rFonts w:hint="default" w:ascii="宋体" w:hAnsi="宋体" w:eastAsia="宋体" w:cs="宋体"/>
                <w:kern w:val="28"/>
                <w:sz w:val="24"/>
                <w:szCs w:val="24"/>
                <w:lang w:val="en-US" w:eastAsia="zh-CN" w:bidi="ar-SA"/>
              </w:rPr>
              <w:t>0.025mg/m</w:t>
            </w:r>
            <w:r>
              <w:rPr>
                <w:rFonts w:hint="eastAsia" w:ascii="宋体" w:hAnsi="宋体" w:eastAsia="宋体" w:cs="宋体"/>
                <w:kern w:val="28"/>
                <w:sz w:val="24"/>
                <w:szCs w:val="24"/>
                <w:lang w:val="en-US" w:eastAsia="zh-CN" w:bidi="ar-SA"/>
              </w:rPr>
              <w:t>³</w:t>
            </w:r>
          </w:p>
          <w:p>
            <w:pPr>
              <w:rPr>
                <w:rFonts w:hint="default" w:ascii="宋体" w:hAnsi="宋体" w:eastAsia="宋体" w:cs="宋体"/>
                <w:sz w:val="24"/>
                <w:szCs w:val="24"/>
                <w:lang w:val="en-US" w:eastAsia="zh-CN"/>
              </w:rPr>
            </w:pPr>
            <w:r>
              <w:rPr>
                <w:rFonts w:hint="eastAsia" w:ascii="宋体" w:hAnsi="宋体" w:cs="宋体"/>
                <w:sz w:val="24"/>
                <w:szCs w:val="24"/>
              </w:rPr>
              <w:t>（3）</w:t>
            </w:r>
            <w:r>
              <w:rPr>
                <w:rFonts w:hint="eastAsia" w:ascii="宋体" w:hAnsi="宋体" w:cs="宋体"/>
                <w:sz w:val="24"/>
                <w:szCs w:val="24"/>
                <w:lang w:val="en-US" w:eastAsia="zh-CN"/>
              </w:rPr>
              <w:t>PP塑料：</w:t>
            </w:r>
            <w:r>
              <w:rPr>
                <w:rFonts w:hint="eastAsia" w:ascii="宋体" w:hAnsi="宋体" w:cs="宋体"/>
                <w:sz w:val="24"/>
                <w:szCs w:val="24"/>
              </w:rPr>
              <w:t>符合GB/T 32487-2016及GB 6675.4-2014标准，可迁移元素锑、砷、镉、铬、铅、汞、硒均≤0.02mg/kg，可迁移元素钡≤0.1mg/kg，耐老化性能室内500h冲击强度保持率≥70、外观颜色变色评级≥5级、冲击强度≥360000J/㎡</w:t>
            </w:r>
          </w:p>
          <w:p>
            <w:pPr>
              <w:rPr>
                <w:rFonts w:hint="default" w:ascii="宋体" w:hAnsi="宋体" w:eastAsia="宋体" w:cs="宋体"/>
                <w:sz w:val="24"/>
                <w:szCs w:val="24"/>
                <w:lang w:val="en-US" w:eastAsia="zh-CN"/>
              </w:rPr>
            </w:pPr>
            <w:r>
              <w:rPr>
                <w:rFonts w:hint="eastAsia" w:ascii="宋体" w:hAnsi="宋体" w:cs="宋体"/>
                <w:sz w:val="24"/>
                <w:szCs w:val="24"/>
              </w:rPr>
              <w:t>（4）</w:t>
            </w:r>
            <w:r>
              <w:rPr>
                <w:rFonts w:hint="eastAsia" w:ascii="宋体" w:hAnsi="宋体" w:cs="宋体"/>
                <w:sz w:val="24"/>
                <w:szCs w:val="24"/>
                <w:lang w:val="en-US" w:eastAsia="zh-CN"/>
              </w:rPr>
              <w:t>冷轧钢板：</w:t>
            </w:r>
            <w:r>
              <w:rPr>
                <w:rFonts w:hint="eastAsia" w:ascii="宋体" w:hAnsi="宋体" w:cs="宋体"/>
                <w:kern w:val="0"/>
                <w:sz w:val="24"/>
                <w:szCs w:val="24"/>
              </w:rPr>
              <w:t>符合GB/T5213-2019标准，检测内容包含：屈服强度≤230Mpa，抗拉强度合格，断后伸长率≥33%，化学成分（C≤0.05%，Mn≤0.2%，P≤0.02%，S≤0.02%，AL≥0.03%）</w:t>
            </w:r>
          </w:p>
          <w:p>
            <w:pPr>
              <w:rPr>
                <w:rFonts w:hint="eastAsia" w:ascii="宋体" w:hAnsi="宋体" w:eastAsia="宋体" w:cs="宋体"/>
                <w:sz w:val="24"/>
                <w:szCs w:val="24"/>
                <w:lang w:val="en-US" w:eastAsia="zh-CN"/>
              </w:rPr>
            </w:pPr>
            <w:r>
              <w:rPr>
                <w:rFonts w:hint="eastAsia" w:ascii="宋体" w:hAnsi="宋体" w:cs="宋体"/>
                <w:sz w:val="24"/>
                <w:szCs w:val="24"/>
              </w:rPr>
              <w:t>（5）</w:t>
            </w:r>
            <w:r>
              <w:rPr>
                <w:rFonts w:hint="eastAsia" w:ascii="宋体" w:hAnsi="宋体" w:cs="宋体"/>
                <w:sz w:val="24"/>
                <w:szCs w:val="24"/>
                <w:lang w:val="en-US" w:eastAsia="zh-CN"/>
              </w:rPr>
              <w:t>钢管：</w:t>
            </w:r>
            <w:r>
              <w:rPr>
                <w:rFonts w:hint="eastAsia" w:ascii="宋体" w:hAnsi="宋体" w:cs="宋体"/>
                <w:sz w:val="24"/>
                <w:szCs w:val="24"/>
              </w:rPr>
              <w:t>符合GB/T 228.1-2021、GB/T 10125-2021及QB/T 3832-1999标准，抗拉强度≥390MPa，眼神强度≥270MPa，伸长率≥40%，</w:t>
            </w:r>
          </w:p>
          <w:p>
            <w:pPr>
              <w:rPr>
                <w:rFonts w:hint="eastAsia" w:ascii="宋体" w:hAnsi="宋体" w:eastAsia="宋体" w:cs="宋体"/>
                <w:sz w:val="24"/>
                <w:szCs w:val="24"/>
                <w:lang w:val="en-US" w:eastAsia="zh-CN"/>
              </w:rPr>
            </w:pPr>
            <w:r>
              <w:rPr>
                <w:rFonts w:hint="eastAsia" w:ascii="宋体" w:hAnsi="宋体" w:cs="宋体"/>
                <w:sz w:val="24"/>
                <w:szCs w:val="24"/>
              </w:rPr>
              <w:t>（6）</w:t>
            </w:r>
            <w:r>
              <w:rPr>
                <w:rFonts w:hint="eastAsia" w:ascii="宋体" w:hAnsi="宋体" w:cs="宋体"/>
                <w:sz w:val="24"/>
                <w:szCs w:val="24"/>
                <w:lang w:val="en-US" w:eastAsia="zh-CN"/>
              </w:rPr>
              <w:t>塑粉：</w:t>
            </w:r>
            <w:r>
              <w:rPr>
                <w:rFonts w:hint="eastAsia" w:ascii="宋体" w:hAnsi="宋体" w:cs="宋体"/>
                <w:sz w:val="24"/>
                <w:szCs w:val="24"/>
              </w:rPr>
              <w:t>符合HG/T2006-2022《热固性和热塑性粉末涂料》标准，可溶性铅≤0.5mg/kg，可溶性镉≤0.1mg/kg，可溶性铬≤0.3mg/kg，可溶性汞≤0.01mg/kg，硬度≥6H</w:t>
            </w:r>
            <w:r>
              <w:rPr>
                <w:rFonts w:hint="eastAsia" w:ascii="宋体" w:hAnsi="宋体" w:cs="宋体"/>
                <w:sz w:val="24"/>
                <w:szCs w:val="24"/>
                <w:lang w:eastAsia="zh-CN"/>
              </w:rPr>
              <w:t>；</w:t>
            </w:r>
          </w:p>
          <w:p>
            <w:pPr>
              <w:rPr>
                <w:rFonts w:hint="eastAsia" w:ascii="宋体" w:hAnsi="宋体" w:eastAsia="宋体" w:cs="宋体"/>
                <w:sz w:val="24"/>
                <w:szCs w:val="24"/>
                <w:lang w:val="en-US" w:eastAsia="zh-CN"/>
              </w:rPr>
            </w:pPr>
            <w:r>
              <w:rPr>
                <w:rFonts w:hint="eastAsia" w:ascii="宋体" w:hAnsi="宋体" w:cs="宋体"/>
                <w:sz w:val="24"/>
                <w:szCs w:val="24"/>
              </w:rPr>
              <w:t>（7）</w:t>
            </w:r>
            <w:r>
              <w:rPr>
                <w:rFonts w:hint="eastAsia" w:ascii="宋体" w:hAnsi="宋体" w:cs="宋体"/>
                <w:sz w:val="24"/>
                <w:szCs w:val="24"/>
                <w:lang w:val="en-US" w:eastAsia="zh-CN"/>
              </w:rPr>
              <w:t>脚轮：</w:t>
            </w:r>
            <w:r>
              <w:rPr>
                <w:rFonts w:hint="eastAsia" w:asciiTheme="minorEastAsia" w:hAnsiTheme="minorEastAsia" w:eastAsiaTheme="minorEastAsia" w:cstheme="minorEastAsia"/>
                <w:kern w:val="28"/>
                <w:sz w:val="24"/>
                <w:szCs w:val="24"/>
                <w:lang w:val="en-US" w:eastAsia="zh-CN" w:bidi="ar-SA"/>
              </w:rPr>
              <w:t>符合QB/T 4765-2014《家具用脚轮》QB/T 2280-2016《办公家具 办公椅》外观、装配、抗冲击性公、动载荷公、静载荷公、力学性能符合要求。</w:t>
            </w:r>
          </w:p>
          <w:p>
            <w:pPr>
              <w:rPr>
                <w:rFonts w:hint="eastAsia" w:ascii="宋体" w:hAnsi="宋体" w:eastAsia="宋体" w:cs="宋体"/>
                <w:sz w:val="24"/>
                <w:szCs w:val="24"/>
                <w:lang w:val="en-US" w:eastAsia="zh-CN"/>
              </w:rPr>
            </w:pPr>
            <w:r>
              <w:rPr>
                <w:rFonts w:hint="eastAsia" w:ascii="宋体" w:hAnsi="宋体" w:cs="宋体"/>
                <w:sz w:val="24"/>
                <w:szCs w:val="24"/>
              </w:rPr>
              <w:t>（8）</w:t>
            </w:r>
            <w:r>
              <w:rPr>
                <w:rFonts w:hint="eastAsia" w:ascii="宋体" w:hAnsi="宋体" w:cs="宋体"/>
                <w:sz w:val="24"/>
                <w:szCs w:val="24"/>
                <w:lang w:val="en-US" w:eastAsia="zh-CN"/>
              </w:rPr>
              <w:t>铰链：</w:t>
            </w:r>
            <w:r>
              <w:rPr>
                <w:rFonts w:hint="eastAsia" w:ascii="宋体" w:hAnsi="宋体" w:cs="宋体"/>
                <w:sz w:val="24"/>
                <w:szCs w:val="24"/>
              </w:rPr>
              <w:t>符合QB/T2189-2013《家具五金 杯状暗铰链》，垂直静载荷及水平静载荷检测合格，操作力在耐久性试验前及试验后打开力≤8N和关闭力≤5N，耐久性检测合格，下沉量≤1mm，耐腐蚀18h，无锈点</w:t>
            </w:r>
            <w:r>
              <w:rPr>
                <w:rFonts w:hint="eastAsia" w:ascii="宋体" w:hAnsi="宋体" w:cs="宋体"/>
                <w:sz w:val="24"/>
                <w:szCs w:val="24"/>
                <w:lang w:eastAsia="zh-CN"/>
              </w:rPr>
              <w:t>。</w:t>
            </w:r>
          </w:p>
          <w:p>
            <w:pPr>
              <w:rPr>
                <w:rFonts w:ascii="宋体" w:hAnsi="宋体" w:cs="宋体"/>
                <w:sz w:val="24"/>
                <w:szCs w:val="24"/>
              </w:rPr>
            </w:pPr>
            <w:r>
              <w:rPr>
                <w:rFonts w:hint="eastAsia" w:ascii="宋体" w:hAnsi="宋体" w:cs="宋体"/>
                <w:sz w:val="24"/>
                <w:szCs w:val="24"/>
              </w:rPr>
              <w:t>全部提供并满足要求得</w:t>
            </w:r>
            <w:r>
              <w:rPr>
                <w:rFonts w:hint="eastAsia" w:ascii="宋体" w:hAnsi="宋体" w:cs="宋体"/>
                <w:sz w:val="24"/>
                <w:szCs w:val="24"/>
                <w:lang w:val="en-US" w:eastAsia="zh-CN"/>
              </w:rPr>
              <w:t>8</w:t>
            </w:r>
            <w:r>
              <w:rPr>
                <w:rFonts w:hint="eastAsia" w:ascii="宋体" w:hAnsi="宋体" w:cs="宋体"/>
                <w:sz w:val="24"/>
                <w:szCs w:val="24"/>
              </w:rPr>
              <w:t>分，每少一项扣</w:t>
            </w:r>
            <w:r>
              <w:rPr>
                <w:rFonts w:hint="eastAsia" w:ascii="宋体" w:hAnsi="宋体" w:cs="宋体"/>
                <w:sz w:val="24"/>
                <w:szCs w:val="24"/>
                <w:lang w:val="en-US" w:eastAsia="zh-CN"/>
              </w:rPr>
              <w:t>1</w:t>
            </w:r>
            <w:r>
              <w:rPr>
                <w:rFonts w:hint="eastAsia" w:ascii="宋体" w:hAnsi="宋体" w:cs="宋体"/>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tcBorders>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6</w:t>
            </w:r>
          </w:p>
        </w:tc>
        <w:tc>
          <w:tcPr>
            <w:tcW w:w="1092" w:type="dxa"/>
            <w:tcBorders>
              <w:top w:val="single" w:color="auto" w:sz="4" w:space="0"/>
            </w:tcBorders>
            <w:vAlign w:val="center"/>
          </w:tcPr>
          <w:p>
            <w:pPr>
              <w:kinsoku w:val="0"/>
              <w:wordWrap w:val="0"/>
              <w:adjustRightInd w:val="0"/>
              <w:snapToGrid w:val="0"/>
              <w:jc w:val="center"/>
              <w:rPr>
                <w:rFonts w:ascii="宋体" w:hAnsi="宋体" w:cs="宋体"/>
                <w:sz w:val="24"/>
                <w:szCs w:val="24"/>
              </w:rPr>
            </w:pPr>
            <w:r>
              <w:rPr>
                <w:rFonts w:hint="eastAsia" w:ascii="宋体" w:hAnsi="宋体" w:cs="宋体"/>
                <w:sz w:val="24"/>
                <w:szCs w:val="24"/>
              </w:rPr>
              <w:t>相关产品检测报告</w:t>
            </w:r>
          </w:p>
        </w:tc>
        <w:tc>
          <w:tcPr>
            <w:tcW w:w="804" w:type="dxa"/>
            <w:tcBorders>
              <w:top w:val="single" w:color="auto" w:sz="4" w:space="0"/>
            </w:tcBorders>
            <w:vAlign w:val="center"/>
          </w:tcPr>
          <w:p>
            <w:pPr>
              <w:pStyle w:val="15"/>
              <w:jc w:val="center"/>
              <w:rPr>
                <w:rFonts w:hAnsi="宋体" w:cs="宋体"/>
                <w:sz w:val="24"/>
                <w:szCs w:val="24"/>
              </w:rPr>
            </w:pPr>
            <w:r>
              <w:rPr>
                <w:rFonts w:hint="eastAsia" w:hAnsi="宋体" w:cs="宋体"/>
                <w:sz w:val="24"/>
                <w:szCs w:val="24"/>
                <w:lang w:val="en-US" w:eastAsia="zh-CN"/>
              </w:rPr>
              <w:t>3</w:t>
            </w:r>
            <w:r>
              <w:rPr>
                <w:rFonts w:hint="eastAsia" w:hAnsi="宋体" w:cs="宋体"/>
                <w:sz w:val="24"/>
                <w:szCs w:val="24"/>
              </w:rPr>
              <w:t>分</w:t>
            </w:r>
          </w:p>
        </w:tc>
        <w:tc>
          <w:tcPr>
            <w:tcW w:w="7389" w:type="dxa"/>
            <w:tcBorders>
              <w:top w:val="single" w:color="auto" w:sz="4" w:space="0"/>
            </w:tcBorders>
            <w:vAlign w:val="center"/>
          </w:tcPr>
          <w:p>
            <w:pPr>
              <w:kinsoku w:val="0"/>
              <w:wordWrap w:val="0"/>
              <w:adjustRightInd w:val="0"/>
              <w:snapToGrid w:val="0"/>
              <w:jc w:val="left"/>
              <w:rPr>
                <w:rFonts w:ascii="宋体" w:hAnsi="宋体" w:cs="宋体"/>
                <w:sz w:val="24"/>
                <w:szCs w:val="24"/>
              </w:rPr>
            </w:pPr>
            <w:r>
              <w:rPr>
                <w:rFonts w:hint="eastAsia" w:ascii="宋体" w:hAnsi="宋体" w:cs="宋体"/>
                <w:sz w:val="24"/>
                <w:szCs w:val="24"/>
              </w:rPr>
              <w:t>提供检验检测机构出具的符合国家标准的有效期内抽样检测报告复印件加盖供应商公章：</w:t>
            </w:r>
          </w:p>
          <w:p>
            <w:pPr>
              <w:kinsoku w:val="0"/>
              <w:wordWrap w:val="0"/>
              <w:adjustRightInd w:val="0"/>
              <w:snapToGrid w:val="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课桌椅：</w:t>
            </w:r>
            <w:r>
              <w:rPr>
                <w:rFonts w:hint="eastAsia" w:ascii="宋体" w:hAnsi="宋体" w:eastAsia="宋体" w:cs="宋体"/>
                <w:kern w:val="28"/>
                <w:sz w:val="24"/>
                <w:szCs w:val="24"/>
                <w:lang w:val="en-US" w:eastAsia="zh-CN" w:bidi="ar-SA"/>
              </w:rPr>
              <w:t>符合</w:t>
            </w:r>
            <w:r>
              <w:rPr>
                <w:rFonts w:hint="eastAsia" w:ascii="宋体" w:hAnsi="宋体" w:eastAsia="宋体" w:cs="宋体"/>
                <w:color w:val="auto"/>
                <w:sz w:val="24"/>
                <w:szCs w:val="24"/>
              </w:rPr>
              <w:t>《学校课桌椅功能尺寸及技术要求》（GB/T3976-2014）标准和《课桌椅》（QB/T4071-2021）标准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外观、安全性能、桌面力学性能、金属电镀层理化性能符合标准、甲醛释放量≤0.1mg/L,可溶性重金属铅、铬、镉、汞未检出</w:t>
            </w:r>
            <w:r>
              <w:rPr>
                <w:rFonts w:hint="eastAsia" w:ascii="宋体" w:hAnsi="宋体" w:cs="宋体"/>
                <w:color w:val="000000"/>
                <w:kern w:val="0"/>
                <w:sz w:val="24"/>
                <w:szCs w:val="24"/>
                <w:lang w:bidi="ar"/>
              </w:rPr>
              <w:t>。</w:t>
            </w:r>
          </w:p>
          <w:p>
            <w:pPr>
              <w:tabs>
                <w:tab w:val="left" w:pos="567"/>
              </w:tabs>
              <w:kinsoku w:val="0"/>
              <w:wordWrap w:val="0"/>
              <w:rPr>
                <w:rFonts w:hint="default" w:ascii="宋体" w:hAnsi="宋体" w:eastAsia="宋体" w:cs="宋体"/>
                <w:sz w:val="24"/>
                <w:szCs w:val="24"/>
                <w:lang w:val="en-US" w:eastAsia="zh-CN"/>
              </w:rPr>
            </w:pPr>
            <w:r>
              <w:rPr>
                <w:rFonts w:hint="eastAsia" w:ascii="宋体" w:hAnsi="宋体" w:cs="宋体"/>
                <w:sz w:val="24"/>
                <w:szCs w:val="24"/>
              </w:rPr>
              <w:t>2、</w:t>
            </w:r>
            <w:r>
              <w:rPr>
                <w:rFonts w:hint="eastAsia" w:ascii="宋体" w:hAnsi="宋体" w:cs="宋体"/>
                <w:sz w:val="24"/>
                <w:szCs w:val="24"/>
                <w:lang w:val="en-US" w:eastAsia="zh-CN"/>
              </w:rPr>
              <w:t>课椅：符合GB18584-2001及GB/T3325-2017标准，甲醛释放量≤0.2mg/L，重金属（可溶性铅、可溶性镉、可溶性铬、可溶性汞）均未检出，外观喷涂层检测合格</w:t>
            </w:r>
          </w:p>
          <w:p>
            <w:pPr>
              <w:pStyle w:val="9"/>
              <w:tabs>
                <w:tab w:val="left" w:pos="567"/>
              </w:tabs>
              <w:spacing w:before="0" w:line="240" w:lineRule="auto"/>
              <w:rPr>
                <w:rFonts w:hint="default" w:eastAsia="宋体" w:cs="宋体"/>
                <w:sz w:val="24"/>
                <w:szCs w:val="24"/>
                <w:lang w:val="en-US" w:eastAsia="zh-CN"/>
              </w:rPr>
            </w:pPr>
            <w:r>
              <w:rPr>
                <w:rFonts w:hint="eastAsia" w:cs="宋体"/>
                <w:sz w:val="24"/>
                <w:szCs w:val="24"/>
              </w:rPr>
              <w:t>3、</w:t>
            </w:r>
            <w:r>
              <w:rPr>
                <w:rFonts w:hint="eastAsia" w:cs="宋体"/>
                <w:sz w:val="24"/>
                <w:szCs w:val="24"/>
                <w:lang w:val="en-US" w:eastAsia="zh-CN"/>
              </w:rPr>
              <w:t>学习椅：符合GB/T3325-2017标准，金属件管材及金属件喷涂层检测合格</w:t>
            </w:r>
          </w:p>
          <w:p>
            <w:pPr>
              <w:kinsoku w:val="0"/>
              <w:wordWrap w:val="0"/>
              <w:rPr>
                <w:rFonts w:ascii="宋体" w:hAnsi="宋体" w:cs="宋体"/>
                <w:bCs/>
                <w:sz w:val="24"/>
                <w:szCs w:val="24"/>
              </w:rPr>
            </w:pPr>
            <w:r>
              <w:rPr>
                <w:rFonts w:hint="eastAsia" w:ascii="宋体" w:hAnsi="宋体" w:cs="宋体"/>
                <w:sz w:val="24"/>
                <w:szCs w:val="24"/>
              </w:rPr>
              <w:t>全部提供并满足要求得</w:t>
            </w:r>
            <w:r>
              <w:rPr>
                <w:rFonts w:hint="eastAsia" w:ascii="宋体" w:hAnsi="宋体" w:cs="宋体"/>
                <w:sz w:val="24"/>
                <w:szCs w:val="24"/>
                <w:lang w:val="en-US" w:eastAsia="zh-CN"/>
              </w:rPr>
              <w:t>3</w:t>
            </w:r>
            <w:r>
              <w:rPr>
                <w:rFonts w:hint="eastAsia" w:ascii="宋体" w:hAnsi="宋体" w:cs="宋体"/>
                <w:sz w:val="24"/>
                <w:szCs w:val="24"/>
              </w:rPr>
              <w:t>分，每少一项扣</w:t>
            </w:r>
            <w:r>
              <w:rPr>
                <w:rFonts w:hint="eastAsia" w:ascii="宋体" w:hAnsi="宋体" w:cs="宋体"/>
                <w:sz w:val="24"/>
                <w:szCs w:val="24"/>
                <w:lang w:val="en-US" w:eastAsia="zh-CN"/>
              </w:rPr>
              <w:t>1</w:t>
            </w:r>
            <w:r>
              <w:rPr>
                <w:rFonts w:hint="eastAsia" w:ascii="宋体" w:hAnsi="宋体" w:cs="宋体"/>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7</w:t>
            </w:r>
          </w:p>
        </w:tc>
        <w:tc>
          <w:tcPr>
            <w:tcW w:w="1092" w:type="dxa"/>
            <w:vAlign w:val="center"/>
          </w:tcPr>
          <w:p>
            <w:pPr>
              <w:kinsoku w:val="0"/>
              <w:wordWrap w:val="0"/>
              <w:jc w:val="center"/>
              <w:rPr>
                <w:rFonts w:ascii="宋体" w:hAnsi="宋体" w:cs="宋体"/>
                <w:sz w:val="24"/>
                <w:szCs w:val="24"/>
              </w:rPr>
            </w:pPr>
            <w:r>
              <w:rPr>
                <w:rFonts w:hint="eastAsia" w:ascii="宋体" w:hAnsi="宋体" w:cs="宋体"/>
                <w:kern w:val="0"/>
                <w:sz w:val="24"/>
                <w:szCs w:val="24"/>
              </w:rPr>
              <w:t>环保认证</w:t>
            </w:r>
          </w:p>
        </w:tc>
        <w:tc>
          <w:tcPr>
            <w:tcW w:w="804" w:type="dxa"/>
            <w:vAlign w:val="center"/>
          </w:tcPr>
          <w:p>
            <w:pPr>
              <w:pStyle w:val="15"/>
              <w:jc w:val="center"/>
              <w:rPr>
                <w:rFonts w:hAnsi="宋体" w:cs="宋体"/>
                <w:sz w:val="24"/>
                <w:szCs w:val="24"/>
              </w:rPr>
            </w:pPr>
            <w:r>
              <w:rPr>
                <w:rFonts w:hint="eastAsia" w:hAnsi="宋体" w:cs="宋体"/>
                <w:sz w:val="24"/>
                <w:szCs w:val="24"/>
                <w:lang w:val="en-US" w:eastAsia="zh-CN"/>
              </w:rPr>
              <w:t>8</w:t>
            </w:r>
            <w:r>
              <w:rPr>
                <w:rFonts w:hint="eastAsia" w:hAnsi="宋体" w:cs="宋体"/>
                <w:sz w:val="24"/>
                <w:szCs w:val="24"/>
              </w:rPr>
              <w:t>分</w:t>
            </w:r>
          </w:p>
        </w:tc>
        <w:tc>
          <w:tcPr>
            <w:tcW w:w="7389" w:type="dxa"/>
            <w:vAlign w:val="center"/>
          </w:tcPr>
          <w:p>
            <w:pPr>
              <w:kinsoku w:val="0"/>
              <w:wordWrap w:val="0"/>
              <w:jc w:val="left"/>
              <w:rPr>
                <w:rFonts w:ascii="宋体" w:hAnsi="宋体" w:cs="宋体"/>
                <w:sz w:val="24"/>
                <w:szCs w:val="24"/>
              </w:rPr>
            </w:pPr>
            <w:r>
              <w:rPr>
                <w:rFonts w:hint="eastAsia" w:ascii="宋体" w:hAnsi="宋体" w:cs="宋体"/>
                <w:sz w:val="24"/>
                <w:szCs w:val="24"/>
              </w:rPr>
              <w:t>1、具有中国环保产品认证证书(包含本次投标</w:t>
            </w:r>
            <w:r>
              <w:rPr>
                <w:rFonts w:hint="eastAsia" w:ascii="宋体" w:hAnsi="宋体" w:cs="宋体"/>
                <w:sz w:val="24"/>
                <w:szCs w:val="24"/>
                <w:lang w:val="en-US" w:eastAsia="zh-CN"/>
              </w:rPr>
              <w:t>全部</w:t>
            </w:r>
            <w:r>
              <w:rPr>
                <w:rFonts w:hint="eastAsia" w:ascii="宋体" w:hAnsi="宋体" w:cs="宋体"/>
                <w:sz w:val="24"/>
                <w:szCs w:val="24"/>
              </w:rPr>
              <w:t>内容)得</w:t>
            </w:r>
            <w:r>
              <w:rPr>
                <w:rFonts w:hint="eastAsia" w:ascii="宋体" w:hAnsi="宋体" w:cs="宋体"/>
                <w:sz w:val="24"/>
                <w:szCs w:val="24"/>
                <w:lang w:val="en-US" w:eastAsia="zh-CN"/>
              </w:rPr>
              <w:t>1</w:t>
            </w:r>
            <w:r>
              <w:rPr>
                <w:rFonts w:hint="eastAsia" w:ascii="宋体" w:hAnsi="宋体" w:cs="宋体"/>
                <w:sz w:val="24"/>
                <w:szCs w:val="24"/>
              </w:rPr>
              <w:t>分；</w:t>
            </w:r>
          </w:p>
          <w:p>
            <w:pPr>
              <w:kinsoku w:val="0"/>
              <w:wordWrap w:val="0"/>
              <w:jc w:val="left"/>
              <w:rPr>
                <w:rFonts w:ascii="宋体" w:hAnsi="宋体" w:cs="宋体"/>
                <w:sz w:val="24"/>
                <w:szCs w:val="24"/>
              </w:rPr>
            </w:pPr>
            <w:r>
              <w:rPr>
                <w:rFonts w:hint="eastAsia" w:ascii="宋体" w:hAnsi="宋体" w:cs="宋体"/>
                <w:sz w:val="24"/>
                <w:szCs w:val="24"/>
              </w:rPr>
              <w:t>2、具有中国绿色产品认证 （包含实本次投标</w:t>
            </w:r>
            <w:r>
              <w:rPr>
                <w:rFonts w:hint="eastAsia" w:ascii="宋体" w:hAnsi="宋体" w:cs="宋体"/>
                <w:sz w:val="24"/>
                <w:szCs w:val="24"/>
                <w:lang w:val="en-US" w:eastAsia="zh-CN"/>
              </w:rPr>
              <w:t>全部</w:t>
            </w:r>
            <w:r>
              <w:rPr>
                <w:rFonts w:hint="eastAsia" w:ascii="宋体" w:hAnsi="宋体" w:cs="宋体"/>
                <w:sz w:val="24"/>
                <w:szCs w:val="24"/>
              </w:rPr>
              <w:t>内容）得1分；</w:t>
            </w:r>
          </w:p>
          <w:p>
            <w:pPr>
              <w:kinsoku w:val="0"/>
              <w:wordWrap w:val="0"/>
              <w:jc w:val="left"/>
              <w:rPr>
                <w:rFonts w:ascii="宋体" w:hAnsi="宋体" w:cs="宋体"/>
                <w:sz w:val="24"/>
                <w:szCs w:val="24"/>
              </w:rPr>
            </w:pPr>
            <w:r>
              <w:rPr>
                <w:rFonts w:hint="eastAsia" w:ascii="宋体" w:hAnsi="宋体" w:cs="宋体"/>
                <w:sz w:val="24"/>
                <w:szCs w:val="24"/>
              </w:rPr>
              <w:t>3、具有家具产品有害物质限量认证证书（包含本次投标</w:t>
            </w:r>
            <w:r>
              <w:rPr>
                <w:rFonts w:hint="eastAsia" w:ascii="宋体" w:hAnsi="宋体" w:cs="宋体"/>
                <w:sz w:val="24"/>
                <w:szCs w:val="24"/>
                <w:lang w:val="en-US" w:eastAsia="zh-CN"/>
              </w:rPr>
              <w:t>全部</w:t>
            </w:r>
            <w:r>
              <w:rPr>
                <w:rFonts w:hint="eastAsia" w:ascii="宋体" w:hAnsi="宋体" w:cs="宋体"/>
                <w:sz w:val="24"/>
                <w:szCs w:val="24"/>
              </w:rPr>
              <w:t>内容）得</w:t>
            </w:r>
            <w:r>
              <w:rPr>
                <w:rFonts w:hint="eastAsia" w:ascii="宋体" w:hAnsi="宋体" w:cs="宋体"/>
                <w:sz w:val="24"/>
                <w:szCs w:val="24"/>
                <w:lang w:val="en-US" w:eastAsia="zh-CN"/>
              </w:rPr>
              <w:t>1</w:t>
            </w:r>
            <w:r>
              <w:rPr>
                <w:rFonts w:hint="eastAsia" w:ascii="宋体" w:hAnsi="宋体" w:cs="宋体"/>
                <w:sz w:val="24"/>
                <w:szCs w:val="24"/>
              </w:rPr>
              <w:t>分；</w:t>
            </w:r>
          </w:p>
          <w:p>
            <w:pPr>
              <w:kinsoku w:val="0"/>
              <w:wordWrap w:val="0"/>
              <w:jc w:val="left"/>
              <w:rPr>
                <w:rFonts w:hint="eastAsia" w:ascii="宋体" w:hAnsi="宋体" w:eastAsia="宋体" w:cs="宋体"/>
                <w:kern w:val="0"/>
                <w:sz w:val="24"/>
                <w:szCs w:val="24"/>
                <w:lang w:eastAsia="zh-CN"/>
              </w:rPr>
            </w:pPr>
            <w:r>
              <w:rPr>
                <w:rFonts w:hint="eastAsia" w:ascii="宋体" w:hAnsi="宋体" w:cs="宋体"/>
                <w:sz w:val="24"/>
                <w:szCs w:val="24"/>
              </w:rPr>
              <w:t>4、具有</w:t>
            </w:r>
            <w:r>
              <w:rPr>
                <w:rFonts w:hint="eastAsia" w:ascii="宋体" w:hAnsi="宋体" w:cs="宋体"/>
                <w:kern w:val="0"/>
                <w:sz w:val="24"/>
                <w:szCs w:val="24"/>
              </w:rPr>
              <w:t>低VOCs家具产品认证证书（包含</w:t>
            </w:r>
            <w:r>
              <w:rPr>
                <w:rFonts w:hint="eastAsia" w:ascii="宋体" w:hAnsi="宋体" w:cs="宋体"/>
                <w:sz w:val="24"/>
                <w:szCs w:val="24"/>
              </w:rPr>
              <w:t>本次投标</w:t>
            </w:r>
            <w:r>
              <w:rPr>
                <w:rFonts w:hint="eastAsia" w:ascii="宋体" w:hAnsi="宋体" w:cs="宋体"/>
                <w:sz w:val="24"/>
                <w:szCs w:val="24"/>
                <w:lang w:val="en-US" w:eastAsia="zh-CN"/>
              </w:rPr>
              <w:t>全部</w:t>
            </w:r>
            <w:r>
              <w:rPr>
                <w:rFonts w:hint="eastAsia" w:ascii="宋体" w:hAnsi="宋体" w:cs="宋体"/>
                <w:sz w:val="24"/>
                <w:szCs w:val="24"/>
              </w:rPr>
              <w:t>内容</w:t>
            </w:r>
            <w:r>
              <w:rPr>
                <w:rFonts w:hint="eastAsia" w:ascii="宋体" w:hAnsi="宋体" w:cs="宋体"/>
                <w:kern w:val="0"/>
                <w:sz w:val="24"/>
                <w:szCs w:val="24"/>
              </w:rPr>
              <w:t>），</w:t>
            </w:r>
            <w:r>
              <w:rPr>
                <w:rFonts w:hint="eastAsia" w:ascii="宋体" w:hAnsi="宋体" w:cs="宋体"/>
                <w:sz w:val="24"/>
                <w:szCs w:val="24"/>
              </w:rPr>
              <w:t>得1分</w:t>
            </w:r>
            <w:r>
              <w:rPr>
                <w:rFonts w:hint="eastAsia" w:ascii="宋体" w:hAnsi="宋体" w:cs="宋体"/>
                <w:sz w:val="24"/>
                <w:szCs w:val="24"/>
                <w:lang w:eastAsia="zh-CN"/>
              </w:rPr>
              <w:t>；</w:t>
            </w:r>
          </w:p>
          <w:p>
            <w:pPr>
              <w:kinsoku w:val="0"/>
              <w:wordWrap w:val="0"/>
              <w:adjustRightInd w:val="0"/>
              <w:snapToGrid w:val="0"/>
              <w:jc w:val="left"/>
              <w:rPr>
                <w:rFonts w:hint="eastAsia" w:ascii="宋体" w:hAnsi="宋体" w:eastAsia="宋体" w:cs="宋体"/>
                <w:sz w:val="24"/>
                <w:szCs w:val="24"/>
                <w:lang w:eastAsia="zh-CN"/>
              </w:rPr>
            </w:pPr>
            <w:r>
              <w:rPr>
                <w:rFonts w:hint="eastAsia" w:ascii="宋体" w:hAnsi="宋体" w:cs="宋体"/>
                <w:sz w:val="24"/>
                <w:szCs w:val="24"/>
              </w:rPr>
              <w:t>5、具有ISO14025环境标志国际标准III型认证证书（认证范围包含本次投标</w:t>
            </w:r>
            <w:r>
              <w:rPr>
                <w:rFonts w:hint="eastAsia" w:ascii="宋体" w:hAnsi="宋体" w:cs="宋体"/>
                <w:sz w:val="24"/>
                <w:szCs w:val="24"/>
                <w:lang w:val="en-US" w:eastAsia="zh-CN"/>
              </w:rPr>
              <w:t>全部</w:t>
            </w:r>
            <w:r>
              <w:rPr>
                <w:rFonts w:hint="eastAsia" w:ascii="宋体" w:hAnsi="宋体" w:cs="宋体"/>
                <w:sz w:val="24"/>
                <w:szCs w:val="24"/>
              </w:rPr>
              <w:t>内容）；得1分</w:t>
            </w:r>
            <w:r>
              <w:rPr>
                <w:rFonts w:hint="eastAsia" w:ascii="宋体" w:hAnsi="宋体" w:cs="宋体"/>
                <w:sz w:val="24"/>
                <w:szCs w:val="24"/>
                <w:lang w:eastAsia="zh-CN"/>
              </w:rPr>
              <w:t>；</w:t>
            </w:r>
          </w:p>
          <w:p>
            <w:pPr>
              <w:kinsoku w:val="0"/>
              <w:wordWrap w:val="0"/>
              <w:adjustRightInd w:val="0"/>
              <w:snapToGrid w:val="0"/>
              <w:jc w:val="left"/>
              <w:rPr>
                <w:rFonts w:hint="eastAsia" w:ascii="宋体" w:hAnsi="宋体" w:cs="宋体"/>
                <w:sz w:val="24"/>
                <w:szCs w:val="24"/>
              </w:rPr>
            </w:pPr>
            <w:r>
              <w:rPr>
                <w:rFonts w:hint="eastAsia" w:ascii="宋体" w:hAnsi="宋体" w:cs="宋体"/>
                <w:sz w:val="24"/>
                <w:szCs w:val="24"/>
              </w:rPr>
              <w:t>6、具有家具产品环保卫士认证证书</w:t>
            </w:r>
            <w:r>
              <w:rPr>
                <w:rFonts w:hint="eastAsia" w:ascii="宋体" w:hAnsi="宋体" w:cs="宋体"/>
                <w:kern w:val="0"/>
                <w:sz w:val="24"/>
                <w:szCs w:val="24"/>
              </w:rPr>
              <w:t>（包含</w:t>
            </w:r>
            <w:r>
              <w:rPr>
                <w:rFonts w:hint="eastAsia" w:ascii="宋体" w:hAnsi="宋体" w:cs="宋体"/>
                <w:sz w:val="24"/>
                <w:szCs w:val="24"/>
              </w:rPr>
              <w:t>本次投标</w:t>
            </w:r>
            <w:r>
              <w:rPr>
                <w:rFonts w:hint="eastAsia" w:ascii="宋体" w:hAnsi="宋体" w:cs="宋体"/>
                <w:sz w:val="24"/>
                <w:szCs w:val="24"/>
                <w:lang w:val="en-US" w:eastAsia="zh-CN"/>
              </w:rPr>
              <w:t>全部</w:t>
            </w:r>
            <w:r>
              <w:rPr>
                <w:rFonts w:hint="eastAsia" w:ascii="宋体" w:hAnsi="宋体" w:cs="宋体"/>
                <w:sz w:val="24"/>
                <w:szCs w:val="24"/>
              </w:rPr>
              <w:t>内容</w:t>
            </w:r>
            <w:r>
              <w:rPr>
                <w:rFonts w:hint="eastAsia" w:ascii="宋体" w:hAnsi="宋体" w:cs="宋体"/>
                <w:kern w:val="0"/>
                <w:sz w:val="24"/>
                <w:szCs w:val="24"/>
              </w:rPr>
              <w:t>）</w:t>
            </w:r>
            <w:r>
              <w:rPr>
                <w:rFonts w:hint="eastAsia" w:ascii="宋体" w:hAnsi="宋体" w:cs="宋体"/>
                <w:sz w:val="24"/>
                <w:szCs w:val="24"/>
              </w:rPr>
              <w:t xml:space="preserve"> 得1分；</w:t>
            </w:r>
          </w:p>
          <w:p>
            <w:pPr>
              <w:kinsoku w:val="0"/>
              <w:wordWrap w:val="0"/>
              <w:adjustRightInd w:val="0"/>
              <w:snapToGrid w:val="0"/>
              <w:jc w:val="left"/>
              <w:rPr>
                <w:rFonts w:hint="eastAsia" w:ascii="宋体" w:hAnsi="宋体" w:eastAsia="宋体" w:cs="宋体"/>
                <w:sz w:val="24"/>
                <w:szCs w:val="24"/>
                <w:lang w:val="en-US" w:eastAsia="zh-CN"/>
              </w:rPr>
            </w:pPr>
            <w:r>
              <w:rPr>
                <w:rFonts w:hint="eastAsia" w:ascii="宋体" w:hAnsi="宋体" w:cs="宋体"/>
                <w:sz w:val="24"/>
                <w:szCs w:val="24"/>
                <w:lang w:val="en-US" w:eastAsia="zh-CN"/>
              </w:rPr>
              <w:t>7、低甲醛家具产品认证证书</w:t>
            </w:r>
            <w:r>
              <w:rPr>
                <w:rFonts w:hint="eastAsia" w:ascii="宋体" w:hAnsi="宋体" w:cs="宋体"/>
                <w:kern w:val="0"/>
                <w:sz w:val="24"/>
                <w:szCs w:val="24"/>
              </w:rPr>
              <w:t>（包含</w:t>
            </w:r>
            <w:r>
              <w:rPr>
                <w:rFonts w:hint="eastAsia" w:ascii="宋体" w:hAnsi="宋体" w:cs="宋体"/>
                <w:sz w:val="24"/>
                <w:szCs w:val="24"/>
              </w:rPr>
              <w:t>本次投标</w:t>
            </w:r>
            <w:r>
              <w:rPr>
                <w:rFonts w:hint="eastAsia" w:ascii="宋体" w:hAnsi="宋体" w:cs="宋体"/>
                <w:sz w:val="24"/>
                <w:szCs w:val="24"/>
                <w:lang w:val="en-US" w:eastAsia="zh-CN"/>
              </w:rPr>
              <w:t>全部</w:t>
            </w:r>
            <w:r>
              <w:rPr>
                <w:rFonts w:hint="eastAsia" w:ascii="宋体" w:hAnsi="宋体" w:cs="宋体"/>
                <w:sz w:val="24"/>
                <w:szCs w:val="24"/>
              </w:rPr>
              <w:t>内容</w:t>
            </w:r>
            <w:r>
              <w:rPr>
                <w:rFonts w:hint="eastAsia" w:ascii="宋体" w:hAnsi="宋体" w:cs="宋体"/>
                <w:kern w:val="0"/>
                <w:sz w:val="24"/>
                <w:szCs w:val="24"/>
              </w:rPr>
              <w:t>）</w:t>
            </w:r>
            <w:r>
              <w:rPr>
                <w:rFonts w:hint="eastAsia" w:ascii="宋体" w:hAnsi="宋体" w:cs="宋体"/>
                <w:sz w:val="24"/>
                <w:szCs w:val="24"/>
              </w:rPr>
              <w:t>得1分</w:t>
            </w:r>
            <w:r>
              <w:rPr>
                <w:rFonts w:hint="eastAsia" w:ascii="宋体" w:hAnsi="宋体" w:cs="宋体"/>
                <w:sz w:val="24"/>
                <w:szCs w:val="24"/>
                <w:lang w:eastAsia="zh-CN"/>
              </w:rPr>
              <w:t>；</w:t>
            </w:r>
          </w:p>
          <w:p>
            <w:pPr>
              <w:kinsoku w:val="0"/>
              <w:wordWrap w:val="0"/>
              <w:adjustRightInd w:val="0"/>
              <w:snapToGrid w:val="0"/>
              <w:jc w:val="left"/>
              <w:rPr>
                <w:rFonts w:hint="eastAsia" w:ascii="宋体" w:hAnsi="宋体" w:eastAsia="宋体" w:cs="宋体"/>
                <w:sz w:val="24"/>
                <w:szCs w:val="24"/>
                <w:lang w:eastAsia="zh-CN"/>
              </w:rPr>
            </w:pPr>
            <w:r>
              <w:rPr>
                <w:rFonts w:hint="eastAsia" w:ascii="宋体" w:hAnsi="宋体" w:cs="宋体"/>
                <w:sz w:val="24"/>
                <w:szCs w:val="24"/>
                <w:lang w:val="en-US" w:eastAsia="zh-CN"/>
              </w:rPr>
              <w:t>8、绿色之星认证证书</w:t>
            </w:r>
            <w:r>
              <w:rPr>
                <w:rFonts w:hint="eastAsia" w:ascii="宋体" w:hAnsi="宋体" w:cs="宋体"/>
                <w:kern w:val="0"/>
                <w:sz w:val="24"/>
                <w:szCs w:val="24"/>
              </w:rPr>
              <w:t>（包含</w:t>
            </w:r>
            <w:r>
              <w:rPr>
                <w:rFonts w:hint="eastAsia" w:ascii="宋体" w:hAnsi="宋体" w:cs="宋体"/>
                <w:sz w:val="24"/>
                <w:szCs w:val="24"/>
              </w:rPr>
              <w:t>本次投标</w:t>
            </w:r>
            <w:r>
              <w:rPr>
                <w:rFonts w:hint="eastAsia" w:ascii="宋体" w:hAnsi="宋体" w:cs="宋体"/>
                <w:sz w:val="24"/>
                <w:szCs w:val="24"/>
                <w:lang w:val="en-US" w:eastAsia="zh-CN"/>
              </w:rPr>
              <w:t>全部</w:t>
            </w:r>
            <w:r>
              <w:rPr>
                <w:rFonts w:hint="eastAsia" w:ascii="宋体" w:hAnsi="宋体" w:cs="宋体"/>
                <w:sz w:val="24"/>
                <w:szCs w:val="24"/>
              </w:rPr>
              <w:t>内容</w:t>
            </w:r>
            <w:r>
              <w:rPr>
                <w:rFonts w:hint="eastAsia" w:ascii="宋体" w:hAnsi="宋体" w:cs="宋体"/>
                <w:kern w:val="0"/>
                <w:sz w:val="24"/>
                <w:szCs w:val="24"/>
              </w:rPr>
              <w:t>）</w:t>
            </w:r>
            <w:r>
              <w:rPr>
                <w:rFonts w:hint="eastAsia" w:ascii="宋体" w:hAnsi="宋体" w:cs="宋体"/>
                <w:sz w:val="24"/>
                <w:szCs w:val="24"/>
              </w:rPr>
              <w:t>得1分</w:t>
            </w:r>
            <w:r>
              <w:rPr>
                <w:rFonts w:hint="eastAsia" w:ascii="宋体" w:hAnsi="宋体" w:cs="宋体"/>
                <w:sz w:val="24"/>
                <w:szCs w:val="24"/>
                <w:lang w:eastAsia="zh-CN"/>
              </w:rPr>
              <w:t>；</w:t>
            </w:r>
          </w:p>
          <w:p>
            <w:pPr>
              <w:kinsoku w:val="0"/>
              <w:wordWrap w:val="0"/>
              <w:adjustRightInd w:val="0"/>
              <w:snapToGrid w:val="0"/>
              <w:jc w:val="left"/>
              <w:rPr>
                <w:rFonts w:ascii="宋体" w:hAnsi="宋体" w:cs="宋体"/>
                <w:b/>
                <w:sz w:val="24"/>
                <w:szCs w:val="24"/>
              </w:rPr>
            </w:pPr>
            <w:r>
              <w:rPr>
                <w:rFonts w:hint="eastAsia" w:ascii="宋体" w:hAnsi="宋体" w:cs="宋体"/>
                <w:b/>
                <w:sz w:val="24"/>
                <w:szCs w:val="24"/>
              </w:rPr>
              <w:t>以上证件复印件并加盖供应商公章，并提供网站查询截图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8</w:t>
            </w:r>
          </w:p>
        </w:tc>
        <w:tc>
          <w:tcPr>
            <w:tcW w:w="1092" w:type="dxa"/>
            <w:vAlign w:val="center"/>
          </w:tcPr>
          <w:p>
            <w:pPr>
              <w:kinsoku w:val="0"/>
              <w:wordWrap w:val="0"/>
              <w:adjustRightInd w:val="0"/>
              <w:snapToGrid w:val="0"/>
              <w:jc w:val="center"/>
              <w:rPr>
                <w:rFonts w:ascii="宋体" w:hAnsi="宋体" w:cs="宋体"/>
                <w:sz w:val="24"/>
                <w:szCs w:val="24"/>
              </w:rPr>
            </w:pPr>
            <w:r>
              <w:rPr>
                <w:rFonts w:hint="eastAsia" w:ascii="宋体" w:hAnsi="宋体" w:cs="宋体"/>
                <w:sz w:val="24"/>
                <w:szCs w:val="24"/>
              </w:rPr>
              <w:t>供货安装及调试方案</w:t>
            </w:r>
          </w:p>
        </w:tc>
        <w:tc>
          <w:tcPr>
            <w:tcW w:w="804" w:type="dxa"/>
            <w:vAlign w:val="center"/>
          </w:tcPr>
          <w:p>
            <w:pPr>
              <w:pStyle w:val="15"/>
              <w:jc w:val="center"/>
              <w:rPr>
                <w:rFonts w:hAnsi="宋体" w:cs="宋体"/>
                <w:sz w:val="24"/>
                <w:szCs w:val="24"/>
              </w:rPr>
            </w:pPr>
            <w:r>
              <w:rPr>
                <w:rFonts w:hint="eastAsia" w:hAnsi="宋体" w:cs="宋体"/>
                <w:sz w:val="24"/>
                <w:szCs w:val="24"/>
                <w:lang w:val="en-US" w:eastAsia="zh-CN"/>
              </w:rPr>
              <w:t>5</w:t>
            </w:r>
            <w:r>
              <w:rPr>
                <w:rFonts w:hint="eastAsia" w:hAnsi="宋体" w:cs="宋体"/>
                <w:sz w:val="24"/>
                <w:szCs w:val="24"/>
              </w:rPr>
              <w:t>分</w:t>
            </w:r>
          </w:p>
        </w:tc>
        <w:tc>
          <w:tcPr>
            <w:tcW w:w="7389" w:type="dxa"/>
            <w:vAlign w:val="center"/>
          </w:tcPr>
          <w:p>
            <w:pPr>
              <w:kinsoku w:val="0"/>
              <w:wordWrap w:val="0"/>
              <w:adjustRightInd w:val="0"/>
              <w:snapToGrid w:val="0"/>
              <w:rPr>
                <w:rFonts w:ascii="宋体" w:hAnsi="宋体" w:cs="宋体"/>
                <w:sz w:val="24"/>
                <w:szCs w:val="24"/>
              </w:rPr>
            </w:pPr>
            <w:r>
              <w:rPr>
                <w:rFonts w:hint="eastAsia" w:ascii="宋体" w:hAnsi="宋体" w:cs="宋体"/>
                <w:sz w:val="24"/>
                <w:szCs w:val="24"/>
              </w:rPr>
              <w:t>组织实施方案、安全保证措施、项目进度计划安排、人员配备</w:t>
            </w:r>
            <w:r>
              <w:rPr>
                <w:rFonts w:hint="eastAsia" w:ascii="宋体" w:hAnsi="宋体" w:cs="宋体"/>
                <w:kern w:val="0"/>
                <w:sz w:val="24"/>
                <w:szCs w:val="24"/>
              </w:rPr>
              <w:t>优于项目需求得</w:t>
            </w:r>
            <w:r>
              <w:rPr>
                <w:rFonts w:hint="eastAsia" w:ascii="宋体" w:hAnsi="宋体" w:cs="宋体"/>
                <w:kern w:val="0"/>
                <w:sz w:val="24"/>
                <w:szCs w:val="24"/>
                <w:lang w:val="en-US" w:eastAsia="zh-CN"/>
              </w:rPr>
              <w:t>5</w:t>
            </w:r>
            <w:r>
              <w:rPr>
                <w:rFonts w:hint="eastAsia" w:ascii="宋体" w:hAnsi="宋体" w:cs="宋体"/>
                <w:kern w:val="0"/>
                <w:sz w:val="24"/>
                <w:szCs w:val="24"/>
              </w:rPr>
              <w:t>分；</w:t>
            </w:r>
            <w:r>
              <w:rPr>
                <w:rFonts w:hint="eastAsia" w:ascii="宋体" w:hAnsi="宋体" w:cs="宋体"/>
                <w:kern w:val="0"/>
                <w:sz w:val="24"/>
                <w:szCs w:val="24"/>
              </w:rPr>
              <w:br w:type="textWrapping"/>
            </w:r>
            <w:r>
              <w:rPr>
                <w:rFonts w:hint="eastAsia" w:ascii="宋体" w:hAnsi="宋体" w:cs="宋体"/>
                <w:sz w:val="24"/>
                <w:szCs w:val="24"/>
              </w:rPr>
              <w:t>组织实施方案、安全保证措施、项目进度计划安排、人员配备</w:t>
            </w:r>
            <w:r>
              <w:rPr>
                <w:rFonts w:hint="eastAsia" w:ascii="宋体" w:hAnsi="宋体" w:cs="宋体"/>
                <w:kern w:val="0"/>
                <w:sz w:val="24"/>
                <w:szCs w:val="24"/>
              </w:rPr>
              <w:t>满足项目需求，得</w:t>
            </w:r>
            <w:r>
              <w:rPr>
                <w:rFonts w:hint="eastAsia" w:ascii="宋体" w:hAnsi="宋体" w:cs="宋体"/>
                <w:kern w:val="0"/>
                <w:sz w:val="24"/>
                <w:szCs w:val="24"/>
                <w:lang w:val="en-US" w:eastAsia="zh-CN"/>
              </w:rPr>
              <w:t>3</w:t>
            </w:r>
            <w:r>
              <w:rPr>
                <w:rFonts w:hint="eastAsia" w:ascii="宋体" w:hAnsi="宋体" w:cs="宋体"/>
                <w:kern w:val="0"/>
                <w:sz w:val="24"/>
                <w:szCs w:val="24"/>
              </w:rPr>
              <w:t>分</w:t>
            </w:r>
            <w:r>
              <w:rPr>
                <w:rFonts w:hint="eastAsia" w:ascii="宋体" w:hAnsi="宋体" w:cs="宋体"/>
                <w:kern w:val="0"/>
                <w:sz w:val="24"/>
                <w:szCs w:val="24"/>
                <w:lang w:eastAsia="zh-CN"/>
              </w:rPr>
              <w:t>；</w:t>
            </w:r>
            <w:r>
              <w:rPr>
                <w:rFonts w:hint="eastAsia" w:ascii="宋体" w:hAnsi="宋体" w:cs="宋体"/>
                <w:kern w:val="0"/>
                <w:sz w:val="24"/>
                <w:szCs w:val="24"/>
              </w:rPr>
              <w:br w:type="textWrapping"/>
            </w:r>
            <w:r>
              <w:rPr>
                <w:rFonts w:hint="eastAsia" w:ascii="宋体" w:hAnsi="宋体" w:cs="宋体"/>
                <w:sz w:val="24"/>
                <w:szCs w:val="24"/>
              </w:rPr>
              <w:t>组织实施方案、安全保证措施、项目进度计划安排、人员配备</w:t>
            </w:r>
            <w:r>
              <w:rPr>
                <w:rFonts w:hint="eastAsia" w:ascii="宋体" w:hAnsi="宋体" w:cs="宋体"/>
                <w:kern w:val="0"/>
                <w:sz w:val="24"/>
                <w:szCs w:val="24"/>
              </w:rPr>
              <w:t>欠完善，施工布置一般，得</w:t>
            </w:r>
            <w:r>
              <w:rPr>
                <w:rFonts w:hint="eastAsia" w:ascii="宋体" w:hAnsi="宋体" w:cs="宋体"/>
                <w:kern w:val="0"/>
                <w:sz w:val="24"/>
                <w:szCs w:val="24"/>
                <w:lang w:val="en-US" w:eastAsia="zh-CN"/>
              </w:rPr>
              <w:t>2</w:t>
            </w:r>
            <w:r>
              <w:rPr>
                <w:rFonts w:hint="eastAsia" w:ascii="宋体" w:hAnsi="宋体" w:cs="宋体"/>
                <w:kern w:val="0"/>
                <w:sz w:val="24"/>
                <w:szCs w:val="24"/>
              </w:rPr>
              <w:t>分</w:t>
            </w:r>
            <w:r>
              <w:rPr>
                <w:rFonts w:hint="eastAsia" w:ascii="宋体" w:hAnsi="宋体" w:cs="宋体"/>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9</w:t>
            </w:r>
          </w:p>
        </w:tc>
        <w:tc>
          <w:tcPr>
            <w:tcW w:w="1092" w:type="dxa"/>
            <w:vAlign w:val="center"/>
          </w:tcPr>
          <w:p>
            <w:pPr>
              <w:kinsoku w:val="0"/>
              <w:wordWrap w:val="0"/>
              <w:adjustRightInd w:val="0"/>
              <w:snapToGrid w:val="0"/>
              <w:jc w:val="center"/>
              <w:rPr>
                <w:rFonts w:ascii="宋体" w:hAnsi="宋体" w:cs="宋体"/>
                <w:sz w:val="24"/>
                <w:szCs w:val="24"/>
              </w:rPr>
            </w:pPr>
            <w:r>
              <w:rPr>
                <w:rFonts w:hint="eastAsia" w:ascii="宋体" w:hAnsi="宋体" w:cs="宋体"/>
                <w:sz w:val="24"/>
                <w:szCs w:val="24"/>
              </w:rPr>
              <w:t>售后服务方案</w:t>
            </w:r>
          </w:p>
        </w:tc>
        <w:tc>
          <w:tcPr>
            <w:tcW w:w="804" w:type="dxa"/>
            <w:vAlign w:val="center"/>
          </w:tcPr>
          <w:p>
            <w:pPr>
              <w:ind w:firstLine="28"/>
              <w:jc w:val="center"/>
              <w:rPr>
                <w:rFonts w:ascii="宋体" w:hAnsi="宋体" w:cs="宋体"/>
                <w:sz w:val="24"/>
                <w:szCs w:val="24"/>
              </w:rPr>
            </w:pPr>
            <w:r>
              <w:rPr>
                <w:rFonts w:hint="eastAsia" w:ascii="宋体" w:hAnsi="宋体" w:cs="宋体"/>
                <w:bCs/>
                <w:sz w:val="24"/>
                <w:szCs w:val="24"/>
                <w:lang w:val="en-US" w:eastAsia="zh-CN"/>
              </w:rPr>
              <w:t>5</w:t>
            </w:r>
            <w:r>
              <w:rPr>
                <w:rFonts w:hint="eastAsia" w:ascii="宋体" w:hAnsi="宋体" w:cs="宋体"/>
                <w:bCs/>
                <w:sz w:val="24"/>
                <w:szCs w:val="24"/>
              </w:rPr>
              <w:t>分</w:t>
            </w:r>
          </w:p>
        </w:tc>
        <w:tc>
          <w:tcPr>
            <w:tcW w:w="7389" w:type="dxa"/>
            <w:vAlign w:val="center"/>
          </w:tcPr>
          <w:p>
            <w:pPr>
              <w:kinsoku w:val="0"/>
              <w:wordWrap w:val="0"/>
              <w:rPr>
                <w:rFonts w:hint="eastAsia" w:ascii="宋体" w:hAnsi="宋体" w:cs="宋体"/>
                <w:bCs/>
                <w:sz w:val="24"/>
                <w:szCs w:val="24"/>
              </w:rPr>
            </w:pPr>
            <w:r>
              <w:rPr>
                <w:rFonts w:hint="eastAsia" w:ascii="宋体" w:hAnsi="宋体" w:cs="宋体"/>
                <w:bCs/>
                <w:sz w:val="24"/>
                <w:szCs w:val="24"/>
                <w:lang w:val="en-US" w:eastAsia="zh-CN"/>
              </w:rPr>
              <w:t>1、</w:t>
            </w:r>
            <w:r>
              <w:rPr>
                <w:rFonts w:hint="eastAsia" w:ascii="宋体" w:hAnsi="宋体" w:cs="宋体"/>
                <w:bCs/>
                <w:sz w:val="24"/>
                <w:szCs w:val="24"/>
              </w:rPr>
              <w:t>售后服务保障体系及措施</w:t>
            </w:r>
          </w:p>
          <w:p>
            <w:pPr>
              <w:kinsoku w:val="0"/>
              <w:wordWrap w:val="0"/>
              <w:rPr>
                <w:rFonts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1</w:t>
            </w:r>
            <w:r>
              <w:rPr>
                <w:rFonts w:hint="eastAsia" w:ascii="宋体" w:hAnsi="宋体" w:cs="宋体"/>
                <w:bCs/>
                <w:sz w:val="24"/>
                <w:szCs w:val="24"/>
                <w:lang w:eastAsia="zh-CN"/>
              </w:rPr>
              <w:t>）</w:t>
            </w:r>
            <w:r>
              <w:rPr>
                <w:rFonts w:hint="eastAsia" w:ascii="宋体" w:hAnsi="宋体" w:cs="宋体"/>
                <w:bCs/>
                <w:sz w:val="24"/>
                <w:szCs w:val="24"/>
              </w:rPr>
              <w:t>售后服务保障体系及措施完善，技术支持能力强，</w:t>
            </w:r>
            <w:r>
              <w:rPr>
                <w:rFonts w:hint="eastAsia" w:ascii="宋体" w:hAnsi="宋体" w:cs="宋体"/>
                <w:bCs/>
                <w:sz w:val="24"/>
                <w:szCs w:val="24"/>
                <w:lang w:val="en-US" w:eastAsia="zh-CN"/>
              </w:rPr>
              <w:t>2小时响应，8小时修复，24小时提供备用产品</w:t>
            </w:r>
            <w:r>
              <w:rPr>
                <w:rFonts w:hint="eastAsia" w:ascii="宋体" w:hAnsi="宋体" w:cs="宋体"/>
                <w:bCs/>
                <w:sz w:val="24"/>
                <w:szCs w:val="24"/>
              </w:rPr>
              <w:t>，响应程度高或优于采购需求的</w:t>
            </w:r>
            <w:r>
              <w:rPr>
                <w:rFonts w:hint="eastAsia" w:ascii="宋体" w:hAnsi="宋体" w:cs="宋体"/>
                <w:bCs/>
                <w:sz w:val="24"/>
                <w:szCs w:val="24"/>
                <w:lang w:val="en-US" w:eastAsia="zh-CN"/>
              </w:rPr>
              <w:t>3</w:t>
            </w:r>
            <w:r>
              <w:rPr>
                <w:rFonts w:hint="eastAsia" w:ascii="宋体" w:hAnsi="宋体" w:cs="宋体"/>
                <w:bCs/>
                <w:sz w:val="24"/>
                <w:szCs w:val="24"/>
              </w:rPr>
              <w:t>分；</w:t>
            </w:r>
          </w:p>
          <w:p>
            <w:pPr>
              <w:kinsoku w:val="0"/>
              <w:wordWrap w:val="0"/>
              <w:rPr>
                <w:rFonts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2</w:t>
            </w:r>
            <w:r>
              <w:rPr>
                <w:rFonts w:hint="eastAsia" w:ascii="宋体" w:hAnsi="宋体" w:cs="宋体"/>
                <w:bCs/>
                <w:sz w:val="24"/>
                <w:szCs w:val="24"/>
                <w:lang w:eastAsia="zh-CN"/>
              </w:rPr>
              <w:t>）</w:t>
            </w:r>
            <w:r>
              <w:rPr>
                <w:rFonts w:hint="eastAsia" w:ascii="宋体" w:hAnsi="宋体" w:cs="宋体"/>
                <w:bCs/>
                <w:sz w:val="24"/>
                <w:szCs w:val="24"/>
              </w:rPr>
              <w:t>售后服务保障体系及多措施较好，技术支持能力较强，</w:t>
            </w:r>
            <w:r>
              <w:rPr>
                <w:rFonts w:hint="eastAsia" w:ascii="宋体" w:hAnsi="宋体" w:cs="宋体"/>
                <w:bCs/>
                <w:sz w:val="24"/>
                <w:szCs w:val="24"/>
                <w:lang w:val="en-US" w:eastAsia="zh-CN"/>
              </w:rPr>
              <w:t>4小时响应</w:t>
            </w:r>
            <w:r>
              <w:rPr>
                <w:rFonts w:hint="eastAsia" w:ascii="宋体" w:hAnsi="宋体" w:cs="宋体"/>
                <w:bCs/>
                <w:sz w:val="24"/>
                <w:szCs w:val="24"/>
              </w:rPr>
              <w:t>，</w:t>
            </w:r>
            <w:r>
              <w:rPr>
                <w:rFonts w:hint="eastAsia" w:ascii="宋体" w:hAnsi="宋体" w:cs="宋体"/>
                <w:bCs/>
                <w:sz w:val="24"/>
                <w:szCs w:val="24"/>
                <w:lang w:val="en-US" w:eastAsia="zh-CN"/>
              </w:rPr>
              <w:t>12小时修复，不能提供备用产品；2</w:t>
            </w:r>
            <w:r>
              <w:rPr>
                <w:rFonts w:hint="eastAsia" w:ascii="宋体" w:hAnsi="宋体" w:cs="宋体"/>
                <w:bCs/>
                <w:sz w:val="24"/>
                <w:szCs w:val="24"/>
              </w:rPr>
              <w:t>分；</w:t>
            </w:r>
          </w:p>
          <w:p>
            <w:pPr>
              <w:kinsoku w:val="0"/>
              <w:wordWrap w:val="0"/>
              <w:adjustRightInd w:val="0"/>
              <w:snapToGrid w:val="0"/>
              <w:jc w:val="left"/>
              <w:rPr>
                <w:rFonts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3</w:t>
            </w:r>
            <w:r>
              <w:rPr>
                <w:rFonts w:hint="eastAsia" w:ascii="宋体" w:hAnsi="宋体" w:cs="宋体"/>
                <w:bCs/>
                <w:sz w:val="24"/>
                <w:szCs w:val="24"/>
                <w:lang w:eastAsia="zh-CN"/>
              </w:rPr>
              <w:t>）</w:t>
            </w:r>
            <w:r>
              <w:rPr>
                <w:rFonts w:hint="eastAsia" w:ascii="宋体" w:hAnsi="宋体" w:cs="宋体"/>
                <w:bCs/>
                <w:sz w:val="24"/>
                <w:szCs w:val="24"/>
              </w:rPr>
              <w:t>售后服务保障体系及措施基本符合招标要求，</w:t>
            </w:r>
            <w:r>
              <w:rPr>
                <w:rFonts w:hint="eastAsia" w:ascii="宋体" w:hAnsi="宋体" w:cs="宋体"/>
                <w:bCs/>
                <w:sz w:val="24"/>
                <w:szCs w:val="24"/>
                <w:lang w:val="en-US" w:eastAsia="zh-CN"/>
              </w:rPr>
              <w:t>12小时或更长响应、24小时修复，不能提供备用产品；1</w:t>
            </w:r>
            <w:r>
              <w:rPr>
                <w:rFonts w:hint="eastAsia" w:ascii="宋体" w:hAnsi="宋体" w:cs="宋体"/>
                <w:bCs/>
                <w:sz w:val="24"/>
                <w:szCs w:val="24"/>
              </w:rPr>
              <w:t>分，未提供得0分。</w:t>
            </w:r>
          </w:p>
          <w:p>
            <w:pPr>
              <w:tabs>
                <w:tab w:val="left" w:pos="567"/>
              </w:tabs>
              <w:kinsoku w:val="0"/>
              <w:wordWrap w:val="0"/>
              <w:rPr>
                <w:rFonts w:hint="default"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cs="宋体"/>
                <w:sz w:val="24"/>
                <w:szCs w:val="24"/>
                <w:lang w:val="en-US" w:eastAsia="zh-CN"/>
              </w:rPr>
              <w:t>质保期5年，质保期内免费三包，超过质保期仅收取配件费，延保2年加1分，最多加2分。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ascii="宋体" w:hAnsi="宋体" w:cs="宋体"/>
                <w:bCs/>
                <w:sz w:val="24"/>
                <w:szCs w:val="24"/>
              </w:rPr>
            </w:pPr>
            <w:r>
              <w:rPr>
                <w:rFonts w:hint="eastAsia" w:ascii="宋体" w:hAnsi="宋体" w:cs="宋体"/>
                <w:bCs/>
                <w:sz w:val="24"/>
                <w:szCs w:val="24"/>
              </w:rPr>
              <w:t>10</w:t>
            </w:r>
          </w:p>
        </w:tc>
        <w:tc>
          <w:tcPr>
            <w:tcW w:w="1092" w:type="dxa"/>
            <w:vAlign w:val="center"/>
          </w:tcPr>
          <w:p>
            <w:pPr>
              <w:ind w:firstLine="28"/>
              <w:jc w:val="center"/>
              <w:rPr>
                <w:rFonts w:ascii="宋体" w:hAnsi="宋体" w:cs="宋体"/>
                <w:bCs/>
                <w:sz w:val="24"/>
                <w:szCs w:val="24"/>
              </w:rPr>
            </w:pPr>
            <w:r>
              <w:rPr>
                <w:rFonts w:hint="eastAsia" w:ascii="宋体" w:hAnsi="宋体" w:cs="宋体"/>
                <w:kern w:val="0"/>
                <w:sz w:val="24"/>
                <w:szCs w:val="24"/>
              </w:rPr>
              <w:t>生产设备能力</w:t>
            </w:r>
          </w:p>
        </w:tc>
        <w:tc>
          <w:tcPr>
            <w:tcW w:w="804" w:type="dxa"/>
            <w:vAlign w:val="center"/>
          </w:tcPr>
          <w:p>
            <w:pPr>
              <w:ind w:firstLine="28"/>
              <w:jc w:val="center"/>
              <w:rPr>
                <w:rFonts w:ascii="宋体" w:hAnsi="宋体" w:cs="宋体"/>
                <w:bCs/>
                <w:sz w:val="24"/>
                <w:szCs w:val="24"/>
              </w:rPr>
            </w:pPr>
            <w:r>
              <w:rPr>
                <w:rFonts w:hint="eastAsia" w:ascii="宋体" w:hAnsi="宋体" w:cs="宋体"/>
                <w:bCs/>
                <w:sz w:val="24"/>
                <w:szCs w:val="24"/>
                <w:lang w:val="en-US" w:eastAsia="zh-CN"/>
              </w:rPr>
              <w:t>5</w:t>
            </w:r>
            <w:r>
              <w:rPr>
                <w:rFonts w:hint="eastAsia" w:ascii="宋体" w:hAnsi="宋体" w:cs="宋体"/>
                <w:bCs/>
                <w:sz w:val="24"/>
                <w:szCs w:val="24"/>
              </w:rPr>
              <w:t>分</w:t>
            </w:r>
          </w:p>
        </w:tc>
        <w:tc>
          <w:tcPr>
            <w:tcW w:w="7389" w:type="dxa"/>
            <w:vAlign w:val="center"/>
          </w:tcPr>
          <w:p>
            <w:pPr>
              <w:kinsoku w:val="0"/>
              <w:wordWrap w:val="0"/>
              <w:rPr>
                <w:rFonts w:ascii="宋体" w:hAnsi="宋体" w:cs="宋体"/>
                <w:bCs/>
                <w:sz w:val="24"/>
                <w:szCs w:val="24"/>
              </w:rPr>
            </w:pPr>
            <w:r>
              <w:rPr>
                <w:rFonts w:hint="eastAsia" w:ascii="宋体" w:hAnsi="宋体" w:cs="宋体"/>
                <w:bCs/>
                <w:sz w:val="24"/>
                <w:szCs w:val="24"/>
              </w:rPr>
              <w:t>涂装生产线</w:t>
            </w:r>
            <w:r>
              <w:rPr>
                <w:rFonts w:hint="eastAsia" w:ascii="宋体" w:hAnsi="宋体" w:cs="宋体"/>
                <w:bCs/>
                <w:sz w:val="24"/>
                <w:szCs w:val="24"/>
                <w:lang w:eastAsia="zh-CN"/>
              </w:rPr>
              <w:t>、激光切割机、</w:t>
            </w:r>
            <w:r>
              <w:rPr>
                <w:rFonts w:hint="eastAsia" w:ascii="宋体" w:hAnsi="宋体" w:cs="宋体"/>
                <w:bCs/>
                <w:sz w:val="24"/>
                <w:szCs w:val="24"/>
                <w:lang w:val="en-US" w:eastAsia="zh-CN"/>
              </w:rPr>
              <w:t>冲压机、整平机、注塑机、</w:t>
            </w:r>
            <w:r>
              <w:rPr>
                <w:rFonts w:hint="eastAsia" w:ascii="宋体" w:hAnsi="宋体" w:cs="宋体"/>
                <w:bCs/>
                <w:sz w:val="24"/>
                <w:szCs w:val="24"/>
                <w:lang w:eastAsia="zh-CN"/>
              </w:rPr>
              <w:t>宽带砂光机、</w:t>
            </w:r>
            <w:r>
              <w:rPr>
                <w:rFonts w:hint="eastAsia" w:ascii="宋体" w:hAnsi="宋体" w:cs="宋体"/>
                <w:bCs/>
                <w:sz w:val="24"/>
                <w:szCs w:val="24"/>
              </w:rPr>
              <w:t>木工除尘设备、高速电脑裁板锯、多排多轴钻、自动封边机、数控钻孔中心、数控开料机、智能加工中心机器人下料机、拼缝机、水性漆涂装生产线（齐全并满足得</w:t>
            </w:r>
            <w:r>
              <w:rPr>
                <w:rFonts w:hint="eastAsia" w:ascii="宋体" w:hAnsi="宋体" w:cs="宋体"/>
                <w:bCs/>
                <w:sz w:val="24"/>
                <w:szCs w:val="24"/>
                <w:lang w:val="en-US" w:eastAsia="zh-CN"/>
              </w:rPr>
              <w:t>5</w:t>
            </w:r>
            <w:r>
              <w:rPr>
                <w:rFonts w:hint="eastAsia" w:ascii="宋体" w:hAnsi="宋体" w:cs="宋体"/>
                <w:bCs/>
                <w:sz w:val="24"/>
                <w:szCs w:val="24"/>
              </w:rPr>
              <w:t>分，缺一项扣</w:t>
            </w:r>
            <w:r>
              <w:rPr>
                <w:rFonts w:hint="eastAsia" w:ascii="宋体" w:hAnsi="宋体" w:cs="宋体"/>
                <w:bCs/>
                <w:sz w:val="24"/>
                <w:szCs w:val="24"/>
                <w:lang w:val="en-US" w:eastAsia="zh-CN"/>
              </w:rPr>
              <w:t>1</w:t>
            </w:r>
            <w:r>
              <w:rPr>
                <w:rFonts w:hint="eastAsia" w:ascii="宋体" w:hAnsi="宋体" w:cs="宋体"/>
                <w:bCs/>
                <w:sz w:val="24"/>
                <w:szCs w:val="24"/>
              </w:rPr>
              <w:t>分）</w:t>
            </w:r>
          </w:p>
          <w:p>
            <w:pPr>
              <w:widowControl/>
              <w:kinsoku w:val="0"/>
              <w:wordWrap w:val="0"/>
              <w:jc w:val="left"/>
              <w:rPr>
                <w:rFonts w:ascii="宋体" w:hAnsi="宋体" w:cs="宋体"/>
                <w:b/>
                <w:kern w:val="0"/>
                <w:sz w:val="24"/>
                <w:szCs w:val="24"/>
              </w:rPr>
            </w:pPr>
            <w:r>
              <w:rPr>
                <w:rFonts w:hint="eastAsia" w:ascii="宋体" w:hAnsi="宋体" w:cs="宋体"/>
                <w:b/>
                <w:bCs/>
                <w:sz w:val="24"/>
                <w:szCs w:val="24"/>
              </w:rPr>
              <w:t>提供生产设备实景照片、设备发票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11</w:t>
            </w:r>
          </w:p>
        </w:tc>
        <w:tc>
          <w:tcPr>
            <w:tcW w:w="1092" w:type="dxa"/>
            <w:vAlign w:val="center"/>
          </w:tcPr>
          <w:p>
            <w:pPr>
              <w:ind w:firstLine="28"/>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样品</w:t>
            </w:r>
          </w:p>
        </w:tc>
        <w:tc>
          <w:tcPr>
            <w:tcW w:w="804" w:type="dxa"/>
            <w:vAlign w:val="center"/>
          </w:tcPr>
          <w:p>
            <w:pPr>
              <w:ind w:firstLine="28"/>
              <w:jc w:val="center"/>
              <w:rPr>
                <w:rFonts w:hint="default" w:ascii="宋体" w:hAnsi="宋体" w:cs="宋体"/>
                <w:bCs/>
                <w:sz w:val="24"/>
                <w:szCs w:val="24"/>
                <w:lang w:val="en-US" w:eastAsia="zh-CN"/>
              </w:rPr>
            </w:pPr>
            <w:r>
              <w:rPr>
                <w:rFonts w:hint="eastAsia" w:ascii="宋体" w:hAnsi="宋体" w:cs="宋体"/>
                <w:bCs/>
                <w:sz w:val="24"/>
                <w:szCs w:val="24"/>
                <w:lang w:val="en-US" w:eastAsia="zh-CN"/>
              </w:rPr>
              <w:t>15</w:t>
            </w:r>
          </w:p>
        </w:tc>
        <w:tc>
          <w:tcPr>
            <w:tcW w:w="7389" w:type="dxa"/>
            <w:vAlign w:val="center"/>
          </w:tcPr>
          <w:p>
            <w:pPr>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投标样品：从投标样品材质、样式满意度、实用性、美观性、及产品加工工艺水平等因素进行横向比较。</w:t>
            </w:r>
          </w:p>
          <w:p>
            <w:pPr>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优秀得1</w:t>
            </w:r>
            <w:r>
              <w:rPr>
                <w:rFonts w:hint="eastAsia" w:cs="宋体" w:asciiTheme="minorEastAsia" w:hAnsiTheme="minorEastAsia" w:eastAsiaTheme="minorEastAsia"/>
                <w:b w:val="0"/>
                <w:bCs w:val="0"/>
                <w:sz w:val="24"/>
                <w:szCs w:val="24"/>
                <w:lang w:val="en-US" w:eastAsia="zh-CN"/>
              </w:rPr>
              <w:t>5</w:t>
            </w:r>
            <w:r>
              <w:rPr>
                <w:rFonts w:hint="eastAsia" w:cs="宋体" w:asciiTheme="minorEastAsia" w:hAnsiTheme="minorEastAsia" w:eastAsiaTheme="minorEastAsia"/>
                <w:b w:val="0"/>
                <w:bCs w:val="0"/>
                <w:sz w:val="24"/>
                <w:szCs w:val="24"/>
              </w:rPr>
              <w:t>分，良好得</w:t>
            </w:r>
            <w:r>
              <w:rPr>
                <w:rFonts w:hint="eastAsia" w:cs="宋体" w:asciiTheme="minorEastAsia" w:hAnsiTheme="minorEastAsia" w:eastAsiaTheme="minorEastAsia"/>
                <w:b w:val="0"/>
                <w:bCs w:val="0"/>
                <w:sz w:val="24"/>
                <w:szCs w:val="24"/>
                <w:lang w:val="en-US" w:eastAsia="zh-CN"/>
              </w:rPr>
              <w:t>10</w:t>
            </w:r>
            <w:r>
              <w:rPr>
                <w:rFonts w:hint="eastAsia" w:cs="宋体" w:asciiTheme="minorEastAsia" w:hAnsiTheme="minorEastAsia" w:eastAsiaTheme="minorEastAsia"/>
                <w:b w:val="0"/>
                <w:bCs w:val="0"/>
                <w:sz w:val="24"/>
                <w:szCs w:val="24"/>
              </w:rPr>
              <w:t>分,一般得</w:t>
            </w:r>
            <w:r>
              <w:rPr>
                <w:rFonts w:hint="eastAsia" w:cs="宋体" w:asciiTheme="minorEastAsia" w:hAnsiTheme="minorEastAsia" w:eastAsiaTheme="minorEastAsia"/>
                <w:b w:val="0"/>
                <w:bCs w:val="0"/>
                <w:sz w:val="24"/>
                <w:szCs w:val="24"/>
                <w:lang w:val="en-US" w:eastAsia="zh-CN"/>
              </w:rPr>
              <w:t>5</w:t>
            </w:r>
            <w:r>
              <w:rPr>
                <w:rFonts w:hint="eastAsia" w:cs="宋体" w:asciiTheme="minorEastAsia" w:hAnsiTheme="minorEastAsia" w:eastAsiaTheme="minorEastAsia"/>
                <w:b w:val="0"/>
                <w:bCs w:val="0"/>
                <w:sz w:val="24"/>
                <w:szCs w:val="24"/>
              </w:rPr>
              <w:t>分，较差得0分。</w:t>
            </w:r>
          </w:p>
          <w:p>
            <w:pPr>
              <w:widowControl/>
              <w:kinsoku w:val="0"/>
              <w:wordWrap w:val="0"/>
              <w:jc w:val="left"/>
              <w:rPr>
                <w:rFonts w:hint="eastAsia" w:ascii="宋体" w:hAnsi="宋体" w:cs="宋体"/>
                <w:b/>
                <w:bCs/>
                <w:sz w:val="24"/>
                <w:szCs w:val="24"/>
              </w:rPr>
            </w:pPr>
            <w:r>
              <w:rPr>
                <w:rFonts w:hint="eastAsia" w:cs="宋体" w:asciiTheme="minorEastAsia" w:hAnsiTheme="minorEastAsia" w:eastAsiaTheme="minorEastAsia"/>
                <w:b w:val="0"/>
                <w:bCs w:val="0"/>
                <w:sz w:val="24"/>
                <w:szCs w:val="24"/>
              </w:rPr>
              <w:t>另：如投标人未按招标文件要求提供样品，此部分不得分。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960" w:type="dxa"/>
            <w:gridSpan w:val="4"/>
            <w:vAlign w:val="center"/>
          </w:tcPr>
          <w:p>
            <w:pPr>
              <w:widowControl/>
              <w:kinsoku w:val="0"/>
              <w:wordWrap w:val="0"/>
              <w:jc w:val="center"/>
              <w:rPr>
                <w:rFonts w:ascii="宋体" w:hAnsi="宋体" w:cs="宋体"/>
                <w:b/>
                <w:bCs/>
                <w:sz w:val="24"/>
                <w:szCs w:val="24"/>
              </w:rPr>
            </w:pPr>
            <w:r>
              <w:rPr>
                <w:rFonts w:hint="eastAsia" w:ascii="宋体" w:hAnsi="宋体" w:cs="宋体"/>
                <w:b/>
                <w:bCs/>
                <w:sz w:val="24"/>
                <w:szCs w:val="24"/>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ascii="宋体" w:hAnsi="宋体" w:cs="宋体"/>
                <w:sz w:val="24"/>
                <w:szCs w:val="24"/>
              </w:rPr>
            </w:pPr>
            <w:r>
              <w:rPr>
                <w:rFonts w:hint="eastAsia" w:ascii="宋体" w:hAnsi="宋体" w:cs="宋体"/>
                <w:sz w:val="24"/>
                <w:szCs w:val="24"/>
              </w:rPr>
              <w:t>11</w:t>
            </w:r>
          </w:p>
        </w:tc>
        <w:tc>
          <w:tcPr>
            <w:tcW w:w="1092" w:type="dxa"/>
            <w:vAlign w:val="center"/>
          </w:tcPr>
          <w:p>
            <w:pPr>
              <w:ind w:firstLine="28"/>
              <w:jc w:val="center"/>
              <w:rPr>
                <w:rFonts w:ascii="宋体" w:hAnsi="宋体" w:cs="宋体"/>
                <w:sz w:val="24"/>
                <w:szCs w:val="24"/>
              </w:rPr>
            </w:pPr>
            <w:r>
              <w:rPr>
                <w:rFonts w:hint="eastAsia" w:ascii="宋体" w:hAnsi="宋体" w:cs="宋体"/>
                <w:spacing w:val="-4"/>
                <w:sz w:val="24"/>
                <w:szCs w:val="24"/>
              </w:rPr>
              <w:t>投</w:t>
            </w:r>
            <w:r>
              <w:rPr>
                <w:rFonts w:hint="eastAsia" w:ascii="宋体" w:hAnsi="宋体" w:cs="宋体"/>
                <w:spacing w:val="-2"/>
                <w:sz w:val="24"/>
                <w:szCs w:val="24"/>
              </w:rPr>
              <w:t>标报价</w:t>
            </w:r>
          </w:p>
        </w:tc>
        <w:tc>
          <w:tcPr>
            <w:tcW w:w="804" w:type="dxa"/>
            <w:vAlign w:val="center"/>
          </w:tcPr>
          <w:p>
            <w:pPr>
              <w:ind w:firstLine="28"/>
              <w:jc w:val="center"/>
              <w:rPr>
                <w:rFonts w:ascii="宋体" w:hAnsi="宋体" w:cs="宋体"/>
                <w:sz w:val="24"/>
                <w:szCs w:val="24"/>
              </w:rPr>
            </w:pPr>
            <w:r>
              <w:rPr>
                <w:rFonts w:hint="eastAsia" w:ascii="宋体" w:hAnsi="宋体" w:cs="宋体"/>
                <w:sz w:val="24"/>
                <w:szCs w:val="24"/>
              </w:rPr>
              <w:t>30分</w:t>
            </w:r>
          </w:p>
        </w:tc>
        <w:tc>
          <w:tcPr>
            <w:tcW w:w="7389" w:type="dxa"/>
            <w:vAlign w:val="center"/>
          </w:tcPr>
          <w:p>
            <w:pPr>
              <w:spacing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本项目价格权重为：30分</w:t>
            </w:r>
          </w:p>
          <w:p>
            <w:pPr>
              <w:spacing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投标人报价得分的计算采用低价优先法，按如下公式进行计算：</w:t>
            </w:r>
          </w:p>
          <w:p>
            <w:pPr>
              <w:spacing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投标人报价得分=（满足招标文件要求且投标价格最低的投标人评标价/投标人评标价）×价格权重</w:t>
            </w:r>
          </w:p>
          <w:p>
            <w:pPr>
              <w:ind w:left="116"/>
              <w:rPr>
                <w:rFonts w:ascii="宋体" w:hAnsi="宋体" w:cs="宋体"/>
                <w:sz w:val="24"/>
                <w:szCs w:val="24"/>
              </w:rPr>
            </w:pPr>
            <w:r>
              <w:rPr>
                <w:rFonts w:hint="eastAsia" w:ascii="宋体" w:hAnsi="宋体" w:cs="宋体"/>
                <w:sz w:val="24"/>
                <w:szCs w:val="24"/>
              </w:rPr>
              <w:t>报价明显低于其他通过符合性审查投标人的报价，有可能影响 产品质量或者不能诚信履约的，不能按评审委员会要求时间提交相关证明材料证明其报价合理性的视为无效投标。</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2"/>
        <w:numPr>
          <w:ilvl w:val="1"/>
          <w:numId w:val="0"/>
        </w:numPr>
        <w:ind w:left="254" w:leftChars="0"/>
      </w:pPr>
    </w:p>
    <w:p>
      <w:pPr>
        <w:pStyle w:val="2"/>
        <w:numPr>
          <w:ilvl w:val="1"/>
          <w:numId w:val="0"/>
        </w:numPr>
        <w:ind w:left="254" w:leftChars="0"/>
      </w:pPr>
    </w:p>
    <w:p/>
    <w:p>
      <w:pPr>
        <w:pStyle w:val="2"/>
        <w:numPr>
          <w:ilvl w:val="1"/>
          <w:numId w:val="0"/>
        </w:numPr>
        <w:ind w:left="254" w:leftChars="0"/>
      </w:pPr>
    </w:p>
    <w:p/>
    <w:p/>
    <w:p>
      <w:pPr>
        <w:pStyle w:val="48"/>
        <w:snapToGrid w:val="0"/>
        <w:spacing w:before="0" w:after="0"/>
        <w:ind w:left="0"/>
        <w:rPr>
          <w:rFonts w:ascii="宋体" w:hAnsi="宋体"/>
          <w:color w:val="auto"/>
          <w:szCs w:val="28"/>
        </w:rPr>
      </w:pPr>
      <w:bookmarkStart w:id="63" w:name="_Toc328816004"/>
      <w:bookmarkStart w:id="64" w:name="_Toc466015315"/>
      <w:bookmarkStart w:id="65" w:name="_Toc23703"/>
      <w:bookmarkStart w:id="66" w:name="_Toc174185201"/>
      <w:bookmarkStart w:id="67" w:name="_Toc186274124"/>
      <w:r>
        <w:rPr>
          <w:rFonts w:hint="eastAsia" w:ascii="宋体" w:hAnsi="宋体"/>
          <w:color w:val="auto"/>
        </w:rPr>
        <w:t>政府采购合同</w:t>
      </w:r>
      <w:bookmarkEnd w:id="63"/>
      <w:bookmarkEnd w:id="64"/>
      <w:bookmarkEnd w:id="65"/>
    </w:p>
    <w:p>
      <w:pPr>
        <w:pStyle w:val="4"/>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68" w:name="_Toc15708"/>
      <w:bookmarkStart w:id="69" w:name="_Toc86202632"/>
    </w:p>
    <w:p>
      <w:pPr>
        <w:ind w:left="570" w:firstLine="705"/>
        <w:rPr>
          <w:rFonts w:hint="eastAsia" w:ascii="宋体" w:hAnsi="宋体"/>
          <w:b/>
          <w:bCs/>
          <w:sz w:val="44"/>
        </w:rPr>
      </w:pPr>
      <w:r>
        <w:rPr>
          <w:rFonts w:hint="eastAsia" w:ascii="宋体" w:hAnsi="宋体"/>
          <w:color w:val="auto"/>
          <w:kern w:val="44"/>
          <w:sz w:val="28"/>
          <w:szCs w:val="28"/>
        </w:rPr>
        <w:t xml:space="preserve">             </w:t>
      </w:r>
      <w:r>
        <w:rPr>
          <w:rFonts w:hint="eastAsia" w:ascii="宋体" w:hAnsi="宋体"/>
          <w:b/>
          <w:bCs/>
          <w:sz w:val="44"/>
        </w:rPr>
        <w:t>政府采购合同（货物类）</w:t>
      </w:r>
    </w:p>
    <w:p>
      <w:pPr>
        <w:ind w:left="570" w:firstLine="705"/>
        <w:rPr>
          <w:rFonts w:hint="eastAsia" w:ascii="宋体" w:hAnsi="宋体"/>
        </w:rPr>
      </w:pPr>
    </w:p>
    <w:p>
      <w:pPr>
        <w:ind w:left="570" w:firstLine="705"/>
        <w:rPr>
          <w:rFonts w:hint="eastAsia" w:ascii="宋体" w:hAnsi="宋体"/>
        </w:rPr>
      </w:pPr>
      <w:r>
        <w:rPr>
          <w:rFonts w:hint="eastAsia" w:ascii="宋体" w:hAnsi="宋体"/>
        </w:rPr>
        <w:t xml:space="preserve">                                             </w:t>
      </w:r>
    </w:p>
    <w:p>
      <w:pPr>
        <w:ind w:left="6787" w:leftChars="-200" w:hanging="7267" w:hangingChars="3028"/>
        <w:jc w:val="right"/>
        <w:rPr>
          <w:rFonts w:hint="eastAsia" w:ascii="宋体" w:hAnsi="宋体"/>
          <w:sz w:val="28"/>
          <w:szCs w:val="28"/>
        </w:rPr>
      </w:pPr>
      <w:r>
        <w:rPr>
          <w:rFonts w:hint="eastAsia" w:ascii="宋体" w:hAnsi="宋体"/>
        </w:rPr>
        <w:t xml:space="preserve">                                                            </w:t>
      </w:r>
      <w:r>
        <w:rPr>
          <w:rFonts w:hint="eastAsia" w:ascii="宋体" w:hAnsi="宋体"/>
          <w:sz w:val="28"/>
          <w:szCs w:val="28"/>
        </w:rPr>
        <w:t>采购中心已备案</w:t>
      </w:r>
      <w:r>
        <w:rPr>
          <w:rFonts w:hint="eastAsia" w:ascii="宋体" w:hAnsi="宋体"/>
        </w:rPr>
        <w:t xml:space="preserve">                                                     </w:t>
      </w:r>
      <w:r>
        <w:rPr>
          <w:rFonts w:hint="eastAsia" w:ascii="宋体" w:hAnsi="宋体"/>
          <w:sz w:val="28"/>
          <w:szCs w:val="28"/>
        </w:rPr>
        <w:t>年  月</w:t>
      </w:r>
      <w:r>
        <w:rPr>
          <w:rFonts w:hint="eastAsia" w:ascii="宋体" w:hAnsi="宋体"/>
          <w:color w:val="FF0000"/>
          <w:sz w:val="28"/>
          <w:szCs w:val="28"/>
        </w:rPr>
        <w:t xml:space="preserve">  </w:t>
      </w:r>
      <w:r>
        <w:rPr>
          <w:rFonts w:hint="eastAsia" w:ascii="宋体" w:hAnsi="宋体"/>
          <w:sz w:val="28"/>
          <w:szCs w:val="28"/>
        </w:rPr>
        <w:t>日</w:t>
      </w:r>
    </w:p>
    <w:p>
      <w:pPr>
        <w:rPr>
          <w:rFonts w:hint="eastAsia" w:ascii="宋体" w:hAnsi="宋体"/>
        </w:rPr>
      </w:pPr>
    </w:p>
    <w:p>
      <w:pPr>
        <w:rPr>
          <w:rFonts w:hint="eastAsia" w:ascii="宋体" w:hAnsi="宋体"/>
          <w:sz w:val="30"/>
        </w:rPr>
      </w:pPr>
    </w:p>
    <w:p>
      <w:pPr>
        <w:rPr>
          <w:rFonts w:hint="eastAsia" w:ascii="宋体" w:hAnsi="宋体"/>
          <w:sz w:val="30"/>
          <w:szCs w:val="30"/>
        </w:rPr>
      </w:pPr>
      <w:r>
        <w:rPr>
          <w:rFonts w:hint="eastAsia" w:ascii="宋体" w:hAnsi="宋体"/>
          <w:sz w:val="30"/>
        </w:rPr>
        <w:t>项目编号</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cs="宋体"/>
          <w:bCs/>
          <w:sz w:val="30"/>
          <w:szCs w:val="30"/>
        </w:rPr>
      </w:pPr>
      <w:r>
        <w:rPr>
          <w:rFonts w:hint="eastAsia" w:ascii="宋体" w:hAnsi="宋体"/>
          <w:sz w:val="30"/>
          <w:szCs w:val="30"/>
        </w:rPr>
        <w:t>合同编号：</w:t>
      </w:r>
      <w:r>
        <w:rPr>
          <w:rFonts w:hint="eastAsia" w:ascii="宋体" w:hAnsi="宋体"/>
          <w:sz w:val="30"/>
          <w:szCs w:val="30"/>
          <w:u w:val="single"/>
        </w:rPr>
        <w:t xml:space="preserve">                        </w:t>
      </w:r>
    </w:p>
    <w:p>
      <w:pPr>
        <w:ind w:left="1500" w:hanging="1500" w:hangingChars="500"/>
        <w:rPr>
          <w:rFonts w:hint="eastAsia" w:ascii="宋体" w:hAnsi="宋体"/>
          <w:sz w:val="30"/>
          <w:szCs w:val="30"/>
        </w:rPr>
      </w:pPr>
      <w:r>
        <w:rPr>
          <w:rFonts w:hint="eastAsia" w:ascii="宋体" w:hAnsi="宋体"/>
          <w:sz w:val="30"/>
        </w:rPr>
        <w:t>项目名称：</w:t>
      </w:r>
      <w:r>
        <w:rPr>
          <w:rFonts w:hint="eastAsia" w:ascii="宋体" w:hAnsi="宋体"/>
          <w:sz w:val="30"/>
          <w:u w:val="single"/>
        </w:rPr>
        <w:t xml:space="preserve">                        </w:t>
      </w:r>
    </w:p>
    <w:p>
      <w:pPr>
        <w:ind w:left="1500" w:right="-382" w:rightChars="-159" w:hanging="1500" w:hangingChars="500"/>
        <w:rPr>
          <w:rFonts w:hint="eastAsia" w:ascii="宋体" w:hAnsi="宋体"/>
          <w:sz w:val="30"/>
          <w:szCs w:val="30"/>
        </w:rPr>
      </w:pPr>
      <w:r>
        <w:rPr>
          <w:rFonts w:hint="eastAsia" w:ascii="宋体" w:hAnsi="宋体"/>
          <w:sz w:val="30"/>
        </w:rPr>
        <w:t>货物名称</w:t>
      </w:r>
      <w:r>
        <w:rPr>
          <w:rFonts w:hint="eastAsia" w:ascii="宋体" w:hAnsi="宋体"/>
          <w:b/>
          <w:bCs/>
          <w:sz w:val="30"/>
          <w:szCs w:val="30"/>
        </w:rPr>
        <w:t>：</w:t>
      </w:r>
      <w:r>
        <w:rPr>
          <w:rFonts w:hint="eastAsia" w:ascii="宋体" w:hAnsi="宋体"/>
          <w:b/>
          <w:bCs/>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p>
    <w:p>
      <w:pPr>
        <w:rPr>
          <w:rFonts w:hint="eastAsia" w:ascii="宋体" w:hAnsi="宋体"/>
          <w:sz w:val="30"/>
          <w:szCs w:val="30"/>
        </w:rPr>
      </w:pPr>
      <w:r>
        <w:rPr>
          <w:rFonts w:hint="eastAsia" w:ascii="宋体" w:hAnsi="宋体"/>
          <w:sz w:val="30"/>
        </w:rPr>
        <w:t>甲    方：</w:t>
      </w:r>
      <w:r>
        <w:rPr>
          <w:rFonts w:hint="eastAsia" w:ascii="宋体" w:hAnsi="宋体"/>
          <w:sz w:val="30"/>
          <w:u w:val="single"/>
        </w:rPr>
        <w:t xml:space="preserve">                             </w:t>
      </w:r>
      <w:r>
        <w:rPr>
          <w:rFonts w:hint="eastAsia" w:ascii="宋体" w:hAnsi="宋体"/>
          <w:sz w:val="30"/>
        </w:rPr>
        <w:t xml:space="preserve">    </w:t>
      </w:r>
    </w:p>
    <w:p>
      <w:pPr>
        <w:rPr>
          <w:rFonts w:hint="eastAsia" w:ascii="宋体" w:hAnsi="宋体"/>
          <w:sz w:val="30"/>
          <w:u w:val="single"/>
        </w:rPr>
      </w:pPr>
    </w:p>
    <w:p>
      <w:pPr>
        <w:rPr>
          <w:rFonts w:hint="eastAsia" w:ascii="宋体" w:hAnsi="宋体"/>
          <w:sz w:val="30"/>
          <w:szCs w:val="30"/>
        </w:rPr>
      </w:pPr>
      <w:r>
        <w:rPr>
          <w:rFonts w:hint="eastAsia" w:ascii="宋体" w:hAnsi="宋体"/>
          <w:sz w:val="30"/>
        </w:rPr>
        <w:t>乙</w:t>
      </w:r>
      <w:r>
        <w:rPr>
          <w:rFonts w:hint="eastAsia" w:ascii="宋体" w:hAnsi="宋体"/>
          <w:sz w:val="30"/>
        </w:rPr>
        <w:tab/>
      </w:r>
      <w:r>
        <w:rPr>
          <w:rFonts w:hint="eastAsia" w:ascii="宋体" w:hAnsi="宋体"/>
          <w:sz w:val="30"/>
        </w:rPr>
        <w:t xml:space="preserve">   方</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r>
        <w:rPr>
          <w:rFonts w:hint="eastAsia" w:ascii="宋体" w:hAnsi="宋体"/>
          <w:sz w:val="30"/>
        </w:rPr>
        <w:t xml:space="preserve">签署日期：   年  月 </w:t>
      </w:r>
      <w:r>
        <w:rPr>
          <w:rFonts w:hint="eastAsia" w:ascii="宋体" w:hAnsi="宋体"/>
          <w:color w:val="FF0000"/>
          <w:sz w:val="30"/>
        </w:rPr>
        <w:t xml:space="preserve"> </w:t>
      </w:r>
      <w:r>
        <w:rPr>
          <w:rFonts w:hint="eastAsia" w:ascii="宋体" w:hAnsi="宋体"/>
          <w:sz w:val="30"/>
        </w:rPr>
        <w:t>日</w:t>
      </w:r>
    </w:p>
    <w:p>
      <w:pPr>
        <w:spacing w:line="360" w:lineRule="auto"/>
        <w:jc w:val="center"/>
        <w:rPr>
          <w:rFonts w:hint="eastAsia" w:ascii="宋体" w:hAnsi="宋体" w:cs="宋体"/>
          <w:b/>
          <w:bCs/>
          <w:sz w:val="24"/>
          <w:szCs w:val="24"/>
        </w:rPr>
      </w:pPr>
    </w:p>
    <w:p>
      <w:pPr>
        <w:spacing w:line="360" w:lineRule="auto"/>
        <w:jc w:val="center"/>
        <w:rPr>
          <w:rFonts w:hint="eastAsia" w:ascii="宋体" w:hAnsi="宋体" w:cs="宋体"/>
          <w:b/>
          <w:bCs/>
          <w:sz w:val="24"/>
          <w:szCs w:val="24"/>
        </w:rPr>
      </w:pPr>
    </w:p>
    <w:p>
      <w:pPr>
        <w:spacing w:line="360" w:lineRule="auto"/>
        <w:jc w:val="center"/>
        <w:rPr>
          <w:rFonts w:hint="eastAsia" w:ascii="宋体" w:hAnsi="宋体" w:cs="宋体"/>
          <w:b/>
          <w:bCs/>
          <w:sz w:val="24"/>
          <w:szCs w:val="24"/>
        </w:rPr>
      </w:pPr>
      <w:r>
        <w:rPr>
          <w:rFonts w:hint="eastAsia" w:ascii="宋体" w:hAnsi="宋体" w:cs="宋体"/>
          <w:b/>
          <w:bCs/>
          <w:sz w:val="24"/>
          <w:szCs w:val="24"/>
        </w:rPr>
        <w:t>合   同  书</w:t>
      </w:r>
    </w:p>
    <w:p>
      <w:pPr>
        <w:spacing w:line="360" w:lineRule="auto"/>
        <w:ind w:left="22" w:leftChars="9" w:firstLine="818" w:firstLineChars="341"/>
        <w:rPr>
          <w:rFonts w:hint="eastAsia" w:ascii="宋体" w:hAnsi="宋体" w:cs="宋体"/>
          <w:sz w:val="24"/>
          <w:szCs w:val="24"/>
        </w:rPr>
      </w:pPr>
      <w:r>
        <w:rPr>
          <w:rFonts w:hint="eastAsia" w:ascii="宋体" w:hAnsi="宋体" w:cs="宋体"/>
          <w:bCs/>
          <w:sz w:val="24"/>
          <w:szCs w:val="24"/>
          <w:u w:val="single"/>
        </w:rPr>
        <w:t xml:space="preserve">  （甲方）   </w:t>
      </w:r>
      <w:r>
        <w:rPr>
          <w:rFonts w:hint="eastAsia" w:ascii="宋体" w:hAnsi="宋体" w:cs="宋体"/>
          <w:sz w:val="24"/>
          <w:szCs w:val="24"/>
        </w:rPr>
        <w:t>在</w:t>
      </w:r>
      <w:r>
        <w:rPr>
          <w:rFonts w:hint="eastAsia" w:ascii="宋体" w:hAnsi="宋体" w:cs="宋体"/>
          <w:bCs/>
          <w:sz w:val="24"/>
          <w:szCs w:val="24"/>
          <w:u w:val="single"/>
        </w:rPr>
        <w:t xml:space="preserve">   （项目名称）  </w:t>
      </w:r>
      <w:r>
        <w:rPr>
          <w:rFonts w:hint="eastAsia" w:ascii="宋体" w:hAnsi="宋体" w:cs="宋体"/>
          <w:sz w:val="24"/>
          <w:szCs w:val="24"/>
        </w:rPr>
        <w:t>中所需</w:t>
      </w:r>
      <w:r>
        <w:rPr>
          <w:rFonts w:hint="eastAsia" w:ascii="宋体" w:hAnsi="宋体" w:cs="宋体"/>
          <w:bCs/>
          <w:sz w:val="24"/>
          <w:szCs w:val="24"/>
          <w:u w:val="single"/>
        </w:rPr>
        <w:t>（货物名称）</w:t>
      </w:r>
      <w:r>
        <w:rPr>
          <w:rFonts w:hint="eastAsia" w:ascii="宋体" w:hAnsi="宋体" w:cs="宋体"/>
          <w:sz w:val="24"/>
          <w:szCs w:val="24"/>
        </w:rPr>
        <w:t>经北京市石景山区政府采购中心以</w:t>
      </w:r>
      <w:r>
        <w:rPr>
          <w:rFonts w:hint="eastAsia" w:ascii="宋体" w:hAnsi="宋体" w:cs="宋体"/>
          <w:sz w:val="24"/>
          <w:szCs w:val="24"/>
          <w:u w:val="single"/>
        </w:rPr>
        <w:t xml:space="preserve"> （项目编号）号</w:t>
      </w:r>
      <w:r>
        <w:rPr>
          <w:rFonts w:hint="eastAsia" w:ascii="宋体" w:hAnsi="宋体" w:cs="宋体"/>
          <w:sz w:val="24"/>
          <w:szCs w:val="24"/>
        </w:rPr>
        <w:t>招标文件在国内公开招标。经评标委员会评定</w:t>
      </w:r>
      <w:r>
        <w:rPr>
          <w:rFonts w:hint="eastAsia" w:ascii="宋体" w:hAnsi="宋体" w:cs="宋体"/>
          <w:sz w:val="24"/>
          <w:szCs w:val="24"/>
          <w:u w:val="single"/>
        </w:rPr>
        <w:t xml:space="preserve">  （乙方）  </w:t>
      </w:r>
      <w:r>
        <w:rPr>
          <w:rFonts w:hint="eastAsia" w:ascii="宋体" w:hAnsi="宋体" w:cs="宋体"/>
          <w:sz w:val="24"/>
          <w:szCs w:val="24"/>
        </w:rPr>
        <w:t>为中标人。甲、乙双方同意按照下面的条款和条件，签署本合同。</w:t>
      </w:r>
    </w:p>
    <w:p>
      <w:pPr>
        <w:spacing w:line="360" w:lineRule="auto"/>
        <w:ind w:left="410" w:leftChars="171" w:firstLine="480" w:firstLineChars="200"/>
        <w:rPr>
          <w:rFonts w:hint="eastAsia" w:ascii="宋体" w:hAnsi="宋体" w:cs="宋体"/>
          <w:sz w:val="24"/>
          <w:szCs w:val="24"/>
        </w:rPr>
      </w:pPr>
    </w:p>
    <w:p>
      <w:pPr>
        <w:numPr>
          <w:ilvl w:val="0"/>
          <w:numId w:val="20"/>
        </w:numPr>
        <w:spacing w:line="360" w:lineRule="auto"/>
        <w:ind w:firstLine="480" w:firstLineChars="200"/>
        <w:rPr>
          <w:rFonts w:hint="eastAsia" w:ascii="宋体" w:hAnsi="宋体" w:cs="宋体"/>
          <w:sz w:val="24"/>
          <w:szCs w:val="24"/>
        </w:rPr>
      </w:pPr>
      <w:r>
        <w:rPr>
          <w:rFonts w:hint="eastAsia" w:ascii="宋体" w:hAnsi="宋体" w:cs="宋体"/>
          <w:sz w:val="24"/>
          <w:szCs w:val="24"/>
        </w:rPr>
        <w:t>合同文件：下列文件构成本合同的组成部分，应该认为是一个整体，彼此相互解释，相互补充。为便于解释，组成合同的多个文件的优先支配地位的次序如下：</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1、本合同书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2、中标通知书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3、补充协议</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4、投标文件       （含澄清文件）</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5、招标文件       （含招标文件补充通知）</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6、货物清单       （附合同后）</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二、定义：本合同中的下列术语应解释为：</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3、“货物”系指乙方根据合同规定须向甲方提供的所有硬件设备、安装调试、技术资料及其它材料。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4、“服务”系指根据合同规定乙方承担与供货有关的辅助服务,如送货、安装、调试、维修、提供技术援助、培训和其它类似的义务。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三、采购货物及数量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货物名称： </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u w:val="single"/>
        </w:rPr>
      </w:pPr>
      <w:r>
        <w:rPr>
          <w:rFonts w:hint="eastAsia" w:ascii="宋体" w:hAnsi="宋体" w:cs="宋体"/>
          <w:sz w:val="24"/>
          <w:szCs w:val="24"/>
        </w:rPr>
        <w:t xml:space="preserve">    采购数量： </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价格：</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四、技术规格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1、乙方提供的货物的技术规格、功能结构等应与其投标文件中的相关内容及技术资料等相关内容一致。</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2、当所供货物、价格、服务等与投标文件不一致时,</w:t>
      </w:r>
      <w:r>
        <w:rPr>
          <w:rFonts w:hint="eastAsia" w:ascii="宋体" w:hAnsi="宋体" w:cs="宋体"/>
          <w:color w:val="000000"/>
          <w:sz w:val="24"/>
          <w:szCs w:val="24"/>
        </w:rPr>
        <w:t>乙方</w:t>
      </w:r>
      <w:r>
        <w:rPr>
          <w:rFonts w:hint="eastAsia" w:ascii="宋体" w:hAnsi="宋体" w:cs="宋体"/>
          <w:sz w:val="24"/>
          <w:szCs w:val="24"/>
        </w:rPr>
        <w:t>应提出书面申请。</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3、乙方承诺投标文件中有关技术资料的正偏离参数具有向下指标的兼容性。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五、权利保证</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1、乙方应保证对其提供的货物拥有合法的所有权。</w:t>
      </w:r>
      <w:r>
        <w:rPr>
          <w:rFonts w:hint="eastAsia" w:ascii="宋体" w:hAnsi="宋体" w:cs="宋体"/>
          <w:color w:val="000000"/>
          <w:sz w:val="24"/>
          <w:szCs w:val="24"/>
        </w:rPr>
        <w:t>若乙</w:t>
      </w:r>
      <w:r>
        <w:rPr>
          <w:rFonts w:hint="eastAsia" w:ascii="宋体" w:hAnsi="宋体" w:cs="宋体"/>
          <w:sz w:val="24"/>
          <w:szCs w:val="24"/>
        </w:rPr>
        <w:t>方所交货物包含任何知识产权，乙方应保证不侵犯任何第三方的知识产权。对乙方所交货物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w:t>
      </w:r>
      <w:r>
        <w:rPr>
          <w:rFonts w:hint="eastAsia" w:ascii="宋体" w:hAnsi="宋体" w:cs="宋体"/>
          <w:color w:val="000000"/>
          <w:sz w:val="24"/>
          <w:szCs w:val="24"/>
        </w:rPr>
        <w:t>乙方保证在货物上不存在其他任何第三人的担保物权。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3、乙方保证货物不侵犯任何第三人的姓名权、名称权、肖像权、荣誉权等人身权。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4、如上所述的诉讼或其他法律程序禁止甲方使用货物，乙方应赔偿甲方因此而受到的损失。对于甲方购买的货物，乙方应当：</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1）自付费用向销售人取得使用货物的许可。</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2）自负风险及费用将货物运回并退回甲方已支付的货款。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六、供货时间及包装要求</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1、供货时间自合同签订之日起不超过</w:t>
      </w:r>
      <w:r>
        <w:rPr>
          <w:rFonts w:hint="eastAsia" w:ascii="宋体" w:hAnsi="宋体" w:cs="宋体"/>
          <w:sz w:val="24"/>
          <w:szCs w:val="24"/>
          <w:u w:val="single"/>
        </w:rPr>
        <w:t xml:space="preserve">   </w:t>
      </w:r>
      <w:r>
        <w:rPr>
          <w:rFonts w:hint="eastAsia" w:ascii="宋体" w:hAnsi="宋体" w:cs="宋体"/>
          <w:sz w:val="24"/>
          <w:szCs w:val="24"/>
        </w:rPr>
        <w:t>个日历日。供货商应将本批全部货物运抵甲方指定的使用单位并完成安装调试投入使用。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2、乙方提供的全部货物均应采用标准保护措施进行包装，确保货物安全无损运抵现场。由于包装、运输、安装、调试等不善所引起的货物损坏和损失均由乙方承担。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3、每件包装箱内应附一份详细装箱单、使用说明书、质量合格证等相关资料。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七、装运条件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1、乙方负责安排运输工具,运输过程中涉及的全部费用均由乙方承担。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2、乙方将全部货物运抵使用单位指定地点并完成安装调试工作后，乙方完成交付。</w:t>
      </w:r>
    </w:p>
    <w:p>
      <w:pPr>
        <w:spacing w:line="360" w:lineRule="auto"/>
        <w:ind w:right="113" w:rightChars="47" w:firstLine="477" w:firstLineChars="199"/>
        <w:rPr>
          <w:rFonts w:hint="eastAsia" w:ascii="宋体" w:hAnsi="宋体" w:cs="宋体"/>
          <w:color w:val="FF9900"/>
          <w:sz w:val="24"/>
          <w:szCs w:val="24"/>
        </w:rPr>
      </w:pPr>
      <w:r>
        <w:rPr>
          <w:rFonts w:hint="eastAsia" w:ascii="宋体" w:hAnsi="宋体" w:cs="宋体"/>
          <w:sz w:val="24"/>
          <w:szCs w:val="24"/>
        </w:rPr>
        <w:t>八、货款支付：</w:t>
      </w:r>
    </w:p>
    <w:p>
      <w:pPr>
        <w:spacing w:line="560" w:lineRule="exact"/>
        <w:ind w:firstLine="480"/>
        <w:rPr>
          <w:rFonts w:hint="eastAsia" w:ascii="宋体" w:hAnsi="宋体"/>
          <w:sz w:val="24"/>
        </w:rPr>
      </w:pPr>
      <w:r>
        <w:rPr>
          <w:rFonts w:hint="eastAsia" w:ascii="宋体" w:hAnsi="宋体"/>
          <w:sz w:val="24"/>
        </w:rPr>
        <w:t>本合同的付款方式为：</w:t>
      </w:r>
    </w:p>
    <w:p>
      <w:pPr>
        <w:spacing w:line="560" w:lineRule="exact"/>
        <w:ind w:firstLine="480"/>
        <w:rPr>
          <w:rFonts w:hint="eastAsia" w:ascii="宋体" w:hAnsi="宋体" w:cs="宋体"/>
          <w:sz w:val="24"/>
          <w:szCs w:val="24"/>
        </w:rPr>
      </w:pPr>
      <w:r>
        <w:rPr>
          <w:rFonts w:hint="eastAsia" w:ascii="宋体" w:hAnsi="宋体" w:cs="宋体"/>
          <w:sz w:val="24"/>
          <w:szCs w:val="24"/>
        </w:rPr>
        <w:t xml:space="preserve">1、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九、技术资料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2、甲方因使用、维修需要，有翻译成其它文字和复印的权利。</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十、质量保证</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2、本合同涉及货物的质量保证以招标文件为准。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3、本合同涉及货物的质量保证期以投标书中“保修和售后服务承诺书”为准。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4、若乙方违反上述担保，货物被禁止使用，乙方应自负风险和费用将货物收回，退还甲方已支付的货款。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十一、保修和售后服务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1、乙方负责设备的免费送货。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2、质量保证期内设备（包括易损件）出现故障，乙方应在投标文件中承诺响应时间内免费上门服务并免费更换损坏的部件。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3、质量保证期后，维修调试、更换配件等只收取成本费。</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4、如果乙方在收到报修通知后在投标文件承诺的时间内没有维修或弥补缺陷,甲方可采取必要的补救措施,但风险和费用将由乙方承担。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5、设备售出后乙方应用多种方式定期进行回访。</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6、乙方应兑现投标文件中“质量保证和售后服务承诺书”中承诺的其它各项售后服务。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十二、检验和安装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1、在交货前乙方应对货物的质量、规格、性能、数量等进行详细而全面的检验。</w:t>
      </w:r>
    </w:p>
    <w:p>
      <w:pPr>
        <w:spacing w:line="360" w:lineRule="auto"/>
        <w:ind w:right="113" w:rightChars="47" w:firstLine="477" w:firstLineChars="199"/>
        <w:rPr>
          <w:rFonts w:hint="eastAsia" w:ascii="宋体" w:hAnsi="宋体" w:cs="宋体"/>
          <w:color w:val="FF0000"/>
          <w:sz w:val="24"/>
          <w:szCs w:val="24"/>
        </w:rPr>
      </w:pPr>
      <w:r>
        <w:rPr>
          <w:rFonts w:hint="eastAsia" w:ascii="宋体" w:hAnsi="宋体" w:cs="宋体"/>
          <w:sz w:val="24"/>
          <w:szCs w:val="24"/>
        </w:rPr>
        <w:t>2、</w:t>
      </w:r>
      <w:r>
        <w:rPr>
          <w:rFonts w:hint="eastAsia" w:ascii="宋体" w:hAnsi="宋体" w:cs="宋体"/>
          <w:color w:val="000000"/>
          <w:sz w:val="24"/>
          <w:szCs w:val="24"/>
        </w:rPr>
        <w:t>严格按照甲方和产品安装要求进行安装；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3、货物运抵甲方指定的使用单位并经乙方安装调试后,</w:t>
      </w:r>
      <w:r>
        <w:rPr>
          <w:rFonts w:hint="eastAsia" w:ascii="宋体" w:hAnsi="宋体" w:cs="宋体"/>
          <w:color w:val="000000"/>
          <w:sz w:val="24"/>
          <w:szCs w:val="24"/>
        </w:rPr>
        <w:t>由甲乙双方</w:t>
      </w:r>
      <w:r>
        <w:rPr>
          <w:rFonts w:hint="eastAsia" w:ascii="宋体" w:hAnsi="宋体" w:cs="宋体"/>
          <w:sz w:val="24"/>
          <w:szCs w:val="24"/>
        </w:rPr>
        <w:t>验收。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十三、索赔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1、若验收不合格，延误工期，甲方以书面形式通知乙方，提出索赔。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2、在质量保证期内，如果货物存在规格、性能等方面与合同不符，或证实货物是有缺陷的，包括潜在的缺陷或使用不符合要求的部件等，甲方以书面形式通知乙方，提出索赔。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3、当甲方与乙方对货物的质量性能和技术指标等存在的问题认知不一致时,可向当地的商检局或产品检验所申请对货物的质量、技术规格等进行检验，并出具检验证书。检验费用由责任方负担。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（1）若设备检验不合格，甲方要求退货，乙方承担由此发生的一切损失和费用。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（2）如验收不合格，延误工期，乙方应承担甲方所遭受的一切经济损失。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用符合规格、质量和性能要求的新零件、部件或货物来更换有缺陷的部分，乙方应承担一切费用和风险并负担甲方所遭受的损失。同时，乙方应按合同条款第十条规定，相应延长修补或更换部分的质量保证期。</w:t>
      </w:r>
    </w:p>
    <w:p>
      <w:pPr>
        <w:spacing w:line="360" w:lineRule="auto"/>
        <w:ind w:right="113" w:rightChars="47" w:firstLine="477" w:firstLineChars="199"/>
        <w:rPr>
          <w:rFonts w:hint="eastAsia" w:ascii="宋体" w:hAnsi="宋体" w:cs="宋体"/>
          <w:color w:val="000000"/>
          <w:sz w:val="24"/>
          <w:szCs w:val="24"/>
        </w:rPr>
      </w:pPr>
      <w:r>
        <w:rPr>
          <w:rFonts w:hint="eastAsia" w:ascii="宋体" w:hAnsi="宋体" w:cs="宋体"/>
          <w:color w:val="000000"/>
          <w:sz w:val="24"/>
          <w:szCs w:val="24"/>
        </w:rPr>
        <w:t>5、如果在甲方发出索赔通知后十天内,乙方未作答复，上述索赔应视为已被乙方接受；如乙方未能在甲方提出索赔通知后十天内或甲方同意的更长时间内，按照合同条款规定的任何的一种方法解决索赔事宜，甲方有权从质量保证金中扣出索赔金额，如果质量保证金不足以补偿给甲方造成的损失或已支付乙方，乙方另外赔偿相应的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十四、争议解决方式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1、甲乙双方通过友好协商，解决在执行合同中所发生的或与本合同有关的一切争端，如从协商开始十日内仍得不到解决，甲乙方双方将争端提交石景山区政府采购管理科进行调解。</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3、诉讼的费用应由败诉方负担。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十五、不可抗力</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十六、税费</w:t>
      </w:r>
    </w:p>
    <w:p>
      <w:pPr>
        <w:spacing w:line="360" w:lineRule="auto"/>
        <w:ind w:right="113" w:rightChars="47" w:firstLine="477" w:firstLineChars="199"/>
        <w:rPr>
          <w:rFonts w:hint="eastAsia" w:ascii="宋体" w:hAnsi="宋体" w:cs="宋体"/>
          <w:color w:val="000000"/>
          <w:sz w:val="24"/>
          <w:szCs w:val="24"/>
        </w:rPr>
      </w:pPr>
      <w:r>
        <w:rPr>
          <w:rFonts w:hint="eastAsia" w:ascii="宋体" w:hAnsi="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color w:val="000000"/>
          <w:sz w:val="24"/>
          <w:szCs w:val="24"/>
        </w:rPr>
        <w:t>2、中国政府根据现行税法对乙方征收的与本合同有关的一切税费均由</w:t>
      </w:r>
      <w:r>
        <w:rPr>
          <w:rFonts w:hint="eastAsia" w:ascii="宋体" w:hAnsi="宋体" w:cs="宋体"/>
          <w:sz w:val="24"/>
          <w:szCs w:val="24"/>
        </w:rPr>
        <w:t>乙方负担。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十七、合同解除和终止</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1、合同解除：</w:t>
      </w:r>
      <w:r>
        <w:rPr>
          <w:rFonts w:hint="eastAsia" w:ascii="宋体" w:hAnsi="宋体" w:cs="宋体"/>
          <w:color w:val="000000"/>
          <w:sz w:val="24"/>
          <w:szCs w:val="24"/>
        </w:rPr>
        <w:t>在甲方对乙方违约而采取的任何补救措施不受影响的情况下，</w:t>
      </w:r>
      <w:r>
        <w:rPr>
          <w:rFonts w:hint="eastAsia" w:ascii="宋体" w:hAnsi="宋体" w:cs="宋体"/>
          <w:sz w:val="24"/>
          <w:szCs w:val="24"/>
        </w:rPr>
        <w:t>出现下列情况，甲方可向乙方发出书面通知，提出解除合同，并要求退货、返款。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（1）乙方未能在规定的期限或甲方同意延长的期限内交货。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（2）乙方使用假冒、伪劣产品，或达不到合同规定的质量、性能。</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（3）乙方其它严重违反合同规定的行为。</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2、提前终止合同：如果乙方在合同履行期间破产，甲方可在任何时候以书面形式通知乙方即时终止合同，不予退还质量保证金，并保留甲方已经采取或将要采取的补救措施的权利。</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十八、违约责任</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因乙方原因（包括乙方提供的货物未达到验收标准）使货物未按规定运抵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3、因产品缺陷而产生的退换货或赔偿损失的直接费用，如检验费、退换货往返运费、保险费、仓储费及装卸费等，均由乙方承担。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（1）在质量保证金中扣除直接损失和间接损失。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（2）解除合同。</w:t>
      </w:r>
    </w:p>
    <w:p>
      <w:pPr>
        <w:tabs>
          <w:tab w:val="left" w:pos="1050"/>
          <w:tab w:val="left" w:pos="1260"/>
        </w:tabs>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十九、转让：未经甲方事先书面同意，乙方不得部分转让或全部转让其应履行的合同义务。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二十、适用法律 ：本合同应按照中华人民共和国的相关法律进行解释。</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二十一、合同生效及其它：合同在甲乙双方签字盖章后开始生效。本合同一式三份，甲乙双方各执一份，石景山区政府采购中心备案一份。如需修改或补充合同内容，经协商，双方应签署书面修改或补充协议，该协议作为本合同的一个组成部分。</w:t>
      </w:r>
    </w:p>
    <w:p>
      <w:pPr>
        <w:spacing w:line="360" w:lineRule="auto"/>
        <w:ind w:right="113" w:rightChars="47" w:firstLine="477" w:firstLineChars="199"/>
        <w:rPr>
          <w:rFonts w:hint="eastAsia" w:ascii="宋体" w:hAnsi="宋体" w:cs="宋体"/>
          <w:sz w:val="24"/>
          <w:szCs w:val="24"/>
        </w:rPr>
      </w:pPr>
    </w:p>
    <w:p>
      <w:pPr>
        <w:ind w:left="5366" w:leftChars="-114" w:hanging="5640" w:hangingChars="2350"/>
        <w:rPr>
          <w:rFonts w:hint="eastAsia" w:ascii="宋体" w:hAnsi="宋体"/>
          <w:sz w:val="24"/>
        </w:rPr>
      </w:pPr>
    </w:p>
    <w:p>
      <w:pPr>
        <w:ind w:left="5366" w:leftChars="-114" w:right="-838" w:rightChars="-349" w:hanging="5640" w:hangingChars="2350"/>
        <w:rPr>
          <w:rFonts w:hint="eastAsia" w:ascii="宋体" w:hAnsi="宋体"/>
          <w:sz w:val="24"/>
        </w:rPr>
      </w:pPr>
      <w:r>
        <w:rPr>
          <w:rFonts w:hint="eastAsia" w:ascii="宋体" w:hAnsi="宋体"/>
          <w:sz w:val="24"/>
        </w:rPr>
        <w:t>甲方：                                    乙方：</w:t>
      </w:r>
    </w:p>
    <w:p>
      <w:pPr>
        <w:ind w:left="5632" w:leftChars="86" w:hanging="5426" w:hangingChars="2261"/>
        <w:rPr>
          <w:rFonts w:hint="eastAsia" w:ascii="宋体" w:hAnsi="宋体"/>
          <w:sz w:val="24"/>
        </w:rPr>
      </w:pPr>
      <w:r>
        <w:rPr>
          <w:rFonts w:hint="eastAsia" w:ascii="宋体" w:hAnsi="宋体"/>
          <w:sz w:val="24"/>
        </w:rPr>
        <w:t xml:space="preserve">                         </w:t>
      </w:r>
    </w:p>
    <w:p>
      <w:pPr>
        <w:rPr>
          <w:rFonts w:hint="eastAsia" w:ascii="宋体" w:hAnsi="宋体"/>
          <w:sz w:val="24"/>
          <w:u w:val="single"/>
        </w:rPr>
      </w:pPr>
    </w:p>
    <w:p>
      <w:pPr>
        <w:spacing w:before="624" w:beforeLines="200"/>
        <w:ind w:firstLine="573"/>
        <w:rPr>
          <w:rFonts w:hint="eastAsia" w:ascii="宋体" w:hAnsi="宋体"/>
          <w:sz w:val="24"/>
        </w:rPr>
      </w:pPr>
      <w:r>
        <w:rPr>
          <w:rFonts w:hint="eastAsia" w:ascii="宋体" w:hAnsi="宋体"/>
          <w:sz w:val="24"/>
        </w:rPr>
        <w:t>名称：（印章）                        名称：（印章）</w:t>
      </w:r>
    </w:p>
    <w:p>
      <w:pPr>
        <w:ind w:firstLine="570"/>
        <w:rPr>
          <w:rFonts w:hint="eastAsia" w:ascii="宋体" w:hAnsi="宋体"/>
          <w:sz w:val="24"/>
        </w:rPr>
      </w:pPr>
      <w:r>
        <w:rPr>
          <w:rFonts w:hint="eastAsia" w:ascii="宋体" w:hAnsi="宋体"/>
          <w:sz w:val="24"/>
        </w:rPr>
        <w:t xml:space="preserve">          </w:t>
      </w:r>
    </w:p>
    <w:p>
      <w:pPr>
        <w:ind w:firstLine="570"/>
        <w:rPr>
          <w:rFonts w:hint="eastAsia" w:ascii="宋体" w:hAnsi="宋体"/>
          <w:sz w:val="24"/>
        </w:rPr>
      </w:pPr>
      <w:r>
        <w:rPr>
          <w:rFonts w:hint="eastAsia" w:ascii="宋体" w:hAnsi="宋体"/>
          <w:sz w:val="24"/>
        </w:rPr>
        <w:t xml:space="preserve">     年  月</w:t>
      </w:r>
      <w:r>
        <w:rPr>
          <w:rFonts w:hint="eastAsia" w:ascii="宋体" w:hAnsi="宋体"/>
          <w:color w:val="FF0000"/>
          <w:sz w:val="24"/>
        </w:rPr>
        <w:t xml:space="preserve">  </w:t>
      </w:r>
      <w:r>
        <w:rPr>
          <w:rFonts w:hint="eastAsia" w:ascii="宋体" w:hAnsi="宋体"/>
          <w:sz w:val="24"/>
        </w:rPr>
        <w:t>日                       年  月</w:t>
      </w:r>
      <w:r>
        <w:rPr>
          <w:rFonts w:hint="eastAsia" w:ascii="宋体" w:hAnsi="宋体"/>
          <w:color w:val="FF0000"/>
          <w:sz w:val="24"/>
        </w:rPr>
        <w:t xml:space="preserve">  </w:t>
      </w:r>
      <w:r>
        <w:rPr>
          <w:rFonts w:hint="eastAsia" w:ascii="宋体" w:hAnsi="宋体"/>
          <w:sz w:val="24"/>
        </w:rPr>
        <w:t>日</w:t>
      </w:r>
    </w:p>
    <w:p>
      <w:pPr>
        <w:spacing w:before="312" w:beforeLines="100"/>
        <w:ind w:firstLine="573"/>
        <w:rPr>
          <w:rFonts w:hint="eastAsia" w:ascii="宋体" w:hAnsi="宋体"/>
          <w:sz w:val="24"/>
          <w:u w:val="single"/>
        </w:rPr>
      </w:pPr>
      <w:r>
        <w:rPr>
          <w:rFonts w:hint="eastAsia" w:ascii="宋体" w:hAnsi="宋体"/>
          <w:sz w:val="24"/>
          <w:lang w:eastAsia="zh-CN"/>
        </w:rPr>
        <w:t>法定代表人或</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lang w:eastAsia="zh-CN"/>
        </w:rPr>
        <w:t>法定代表人或</w:t>
      </w:r>
    </w:p>
    <w:p>
      <w:pPr>
        <w:ind w:firstLine="570"/>
        <w:rPr>
          <w:rFonts w:hint="eastAsia" w:ascii="宋体" w:hAnsi="宋体"/>
          <w:sz w:val="24"/>
          <w:u w:val="single"/>
          <w:lang w:val="en-US" w:eastAsia="zh-CN"/>
        </w:rPr>
      </w:pPr>
      <w:r>
        <w:rPr>
          <w:rFonts w:hint="eastAsia" w:ascii="宋体" w:hAnsi="宋体"/>
          <w:sz w:val="24"/>
        </w:rPr>
        <w:t>授权代理（签字）：</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授权代理（签字）</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p>
    <w:p>
      <w:pPr>
        <w:pStyle w:val="16"/>
        <w:rPr>
          <w:rFonts w:hint="eastAsia"/>
        </w:rPr>
      </w:pPr>
    </w:p>
    <w:p>
      <w:pPr>
        <w:ind w:left="5808" w:leftChars="270" w:hanging="5160" w:hangingChars="2150"/>
        <w:rPr>
          <w:rFonts w:hint="eastAsia" w:ascii="宋体" w:hAnsi="宋体"/>
          <w:sz w:val="24"/>
          <w:u w:val="single"/>
        </w:rPr>
      </w:pPr>
      <w:r>
        <w:rPr>
          <w:rFonts w:hint="eastAsia" w:ascii="宋体" w:hAnsi="宋体"/>
          <w:sz w:val="24"/>
        </w:rPr>
        <w:t xml:space="preserve">地    址：                            地    址： </w:t>
      </w:r>
    </w:p>
    <w:p>
      <w:pPr>
        <w:ind w:firstLine="1680" w:firstLineChars="700"/>
        <w:rPr>
          <w:rFonts w:hint="eastAsia" w:ascii="宋体" w:hAnsi="宋体"/>
          <w:sz w:val="24"/>
          <w:u w:val="single"/>
        </w:rPr>
      </w:pPr>
      <w:r>
        <w:rPr>
          <w:rFonts w:hint="eastAsia" w:ascii="宋体" w:hAnsi="宋体"/>
          <w:sz w:val="24"/>
        </w:rPr>
        <w:t xml:space="preserve">                                     </w:t>
      </w:r>
    </w:p>
    <w:p>
      <w:pPr>
        <w:ind w:firstLine="570"/>
        <w:rPr>
          <w:rFonts w:hint="eastAsia" w:ascii="宋体" w:hAnsi="宋体"/>
          <w:sz w:val="24"/>
        </w:rPr>
      </w:pPr>
      <w:r>
        <w:rPr>
          <w:rFonts w:hint="eastAsia" w:ascii="宋体" w:hAnsi="宋体"/>
          <w:sz w:val="24"/>
        </w:rPr>
        <w:t xml:space="preserve"> </w:t>
      </w:r>
    </w:p>
    <w:p>
      <w:pPr>
        <w:ind w:firstLine="570"/>
        <w:rPr>
          <w:rFonts w:hint="eastAsia" w:ascii="宋体" w:hAnsi="宋体"/>
          <w:sz w:val="24"/>
          <w:u w:val="single"/>
        </w:rPr>
      </w:pPr>
      <w:r>
        <w:rPr>
          <w:rFonts w:hint="eastAsia" w:ascii="宋体" w:hAnsi="宋体"/>
          <w:sz w:val="24"/>
        </w:rPr>
        <w:t xml:space="preserve">邮政编码：                            邮政编码： </w:t>
      </w:r>
    </w:p>
    <w:p>
      <w:pPr>
        <w:ind w:firstLine="570"/>
        <w:rPr>
          <w:rFonts w:hint="eastAsia" w:ascii="宋体" w:hAnsi="宋体"/>
          <w:sz w:val="24"/>
        </w:rPr>
      </w:pPr>
      <w:r>
        <w:rPr>
          <w:rFonts w:hint="eastAsia" w:ascii="宋体" w:hAnsi="宋体"/>
          <w:sz w:val="24"/>
        </w:rPr>
        <w:t xml:space="preserve"> </w:t>
      </w:r>
    </w:p>
    <w:p>
      <w:pPr>
        <w:ind w:firstLine="570"/>
        <w:rPr>
          <w:rFonts w:hint="eastAsia" w:ascii="宋体" w:hAnsi="宋体"/>
          <w:sz w:val="24"/>
        </w:rPr>
      </w:pPr>
      <w:r>
        <w:rPr>
          <w:rFonts w:hint="eastAsia" w:ascii="宋体" w:hAnsi="宋体"/>
          <w:sz w:val="24"/>
        </w:rPr>
        <w:t xml:space="preserve">电    话：                            电     话：  </w:t>
      </w:r>
    </w:p>
    <w:p>
      <w:pPr>
        <w:ind w:firstLine="570"/>
        <w:rPr>
          <w:rFonts w:hint="eastAsia" w:ascii="宋体" w:hAnsi="宋体"/>
          <w:sz w:val="24"/>
        </w:rPr>
      </w:pPr>
    </w:p>
    <w:p>
      <w:pPr>
        <w:ind w:firstLine="570"/>
        <w:rPr>
          <w:rFonts w:hint="eastAsia" w:ascii="宋体" w:hAnsi="宋体"/>
          <w:sz w:val="24"/>
          <w:u w:val="single"/>
        </w:rPr>
      </w:pPr>
      <w:r>
        <w:rPr>
          <w:rFonts w:hint="eastAsia" w:ascii="宋体" w:hAnsi="宋体"/>
          <w:sz w:val="24"/>
        </w:rPr>
        <w:t>开户银行：                            开户银行：</w:t>
      </w:r>
    </w:p>
    <w:p>
      <w:pPr>
        <w:ind w:firstLine="570"/>
        <w:rPr>
          <w:rFonts w:hint="eastAsia" w:ascii="宋体" w:hAnsi="宋体"/>
          <w:sz w:val="24"/>
        </w:rPr>
      </w:pPr>
    </w:p>
    <w:p>
      <w:pPr>
        <w:ind w:firstLine="570"/>
        <w:rPr>
          <w:rFonts w:hint="eastAsia" w:ascii="宋体" w:hAnsi="宋体"/>
          <w:sz w:val="24"/>
        </w:rPr>
      </w:pPr>
      <w:r>
        <w:rPr>
          <w:rFonts w:hint="eastAsia" w:ascii="宋体" w:hAnsi="宋体"/>
          <w:sz w:val="24"/>
        </w:rPr>
        <w:t>帐    号：                            帐     号：</w:t>
      </w:r>
    </w:p>
    <w:p>
      <w:pPr>
        <w:pStyle w:val="4"/>
        <w:rPr>
          <w:color w:val="auto"/>
        </w:rPr>
      </w:pPr>
      <w:r>
        <w:rPr>
          <w:rFonts w:hint="eastAsia" w:ascii="宋体" w:hAnsi="宋体"/>
          <w:color w:val="auto"/>
          <w:kern w:val="44"/>
          <w:sz w:val="28"/>
          <w:szCs w:val="28"/>
        </w:rPr>
        <w:t xml:space="preserve">                  </w:t>
      </w:r>
    </w:p>
    <w:p>
      <w:pPr>
        <w:rPr>
          <w:color w:val="auto"/>
        </w:rPr>
      </w:pPr>
    </w:p>
    <w:p>
      <w:pPr>
        <w:ind w:firstLine="482" w:firstLineChars="200"/>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48"/>
        <w:snapToGrid w:val="0"/>
        <w:spacing w:before="0" w:after="0"/>
        <w:ind w:left="0"/>
        <w:rPr>
          <w:color w:val="auto"/>
        </w:rPr>
      </w:pPr>
      <w:bookmarkStart w:id="70" w:name="_Toc466015317"/>
      <w:r>
        <w:rPr>
          <w:rFonts w:hint="eastAsia" w:ascii="宋体" w:hAnsi="宋体"/>
          <w:color w:val="auto"/>
          <w:lang w:eastAsia="zh-CN"/>
        </w:rPr>
        <w:t>电子</w:t>
      </w:r>
      <w:r>
        <w:rPr>
          <w:rFonts w:hint="eastAsia" w:ascii="宋体" w:hAnsi="宋体"/>
          <w:color w:val="auto"/>
        </w:rPr>
        <w:t>投标文件格式</w:t>
      </w:r>
      <w:bookmarkEnd w:id="66"/>
      <w:bookmarkEnd w:id="67"/>
      <w:bookmarkEnd w:id="68"/>
      <w:bookmarkEnd w:id="69"/>
      <w:bookmarkEnd w:id="70"/>
    </w:p>
    <w:p>
      <w:pPr>
        <w:spacing w:before="312" w:beforeLines="100" w:after="156" w:afterLines="50"/>
        <w:ind w:firstLine="482" w:firstLineChars="200"/>
        <w:outlineLvl w:val="1"/>
        <w:rPr>
          <w:rFonts w:hint="eastAsia" w:ascii="宋体" w:hAnsi="宋体"/>
          <w:b/>
          <w:color w:val="auto"/>
          <w:sz w:val="24"/>
          <w:szCs w:val="24"/>
        </w:rPr>
      </w:pPr>
      <w:bookmarkStart w:id="71" w:name="_Toc192444818"/>
      <w:bookmarkStart w:id="72" w:name="_Toc129190753"/>
      <w:bookmarkStart w:id="73" w:name="_Toc341716002"/>
      <w:bookmarkStart w:id="74" w:name="_Toc146544227"/>
      <w:bookmarkStart w:id="75" w:name="_Toc134067010"/>
      <w:r>
        <w:rPr>
          <w:rFonts w:hint="eastAsia" w:ascii="宋体" w:hAnsi="宋体"/>
          <w:b/>
          <w:color w:val="auto"/>
          <w:sz w:val="24"/>
          <w:szCs w:val="24"/>
        </w:rPr>
        <w:t>一、投标人提交文件须知</w:t>
      </w:r>
      <w:bookmarkEnd w:id="71"/>
      <w:bookmarkEnd w:id="72"/>
      <w:bookmarkEnd w:id="73"/>
      <w:bookmarkEnd w:id="74"/>
      <w:bookmarkEnd w:id="75"/>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2"/>
        </w:numPr>
        <w:spacing w:before="312" w:beforeLines="100" w:after="156" w:afterLines="50"/>
        <w:ind w:firstLine="482" w:firstLineChars="200"/>
        <w:outlineLvl w:val="1"/>
        <w:rPr>
          <w:rFonts w:hint="eastAsia" w:ascii="宋体" w:hAnsi="宋体"/>
          <w:b/>
          <w:color w:val="auto"/>
          <w:sz w:val="24"/>
          <w:szCs w:val="24"/>
        </w:rPr>
      </w:pPr>
      <w:bookmarkStart w:id="76" w:name="_投标文件组成_1"/>
      <w:bookmarkEnd w:id="76"/>
      <w:bookmarkStart w:id="77" w:name="_Toc341716003"/>
      <w:bookmarkStart w:id="78" w:name="_Toc134067011"/>
      <w:bookmarkStart w:id="79" w:name="_Toc192444819"/>
      <w:bookmarkStart w:id="80" w:name="_Toc146544228"/>
      <w:bookmarkStart w:id="81" w:name="_Toc129190754"/>
      <w:r>
        <w:rPr>
          <w:rFonts w:hint="eastAsia" w:ascii="宋体" w:hAnsi="宋体"/>
          <w:b/>
          <w:color w:val="auto"/>
          <w:sz w:val="24"/>
          <w:szCs w:val="24"/>
        </w:rPr>
        <w:t>投标文件</w:t>
      </w:r>
      <w:bookmarkEnd w:id="77"/>
      <w:bookmarkEnd w:id="78"/>
      <w:bookmarkEnd w:id="79"/>
      <w:bookmarkEnd w:id="80"/>
      <w:bookmarkEnd w:id="81"/>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6"/>
        <w:rPr>
          <w:rFonts w:hint="eastAsia"/>
          <w:color w:val="auto"/>
        </w:rPr>
      </w:pPr>
    </w:p>
    <w:p>
      <w:pPr>
        <w:pStyle w:val="4"/>
        <w:rPr>
          <w:color w:val="auto"/>
        </w:rPr>
      </w:pPr>
    </w:p>
    <w:p>
      <w:pPr>
        <w:jc w:val="center"/>
        <w:rPr>
          <w:b/>
          <w:color w:val="auto"/>
          <w:sz w:val="72"/>
          <w:szCs w:val="72"/>
        </w:rPr>
      </w:pPr>
      <w:bookmarkStart w:id="82" w:name="_Toc26431"/>
      <w:r>
        <w:rPr>
          <w:rFonts w:hint="eastAsia"/>
          <w:b/>
          <w:color w:val="auto"/>
          <w:sz w:val="72"/>
          <w:szCs w:val="72"/>
        </w:rPr>
        <w:t>投标文件</w:t>
      </w:r>
      <w:bookmarkEnd w:id="82"/>
    </w:p>
    <w:p>
      <w:pPr>
        <w:rPr>
          <w:b/>
          <w:color w:val="auto"/>
          <w:sz w:val="44"/>
          <w:szCs w:val="44"/>
        </w:rPr>
      </w:pPr>
    </w:p>
    <w:p>
      <w:pPr>
        <w:pStyle w:val="16"/>
      </w:pPr>
    </w:p>
    <w:p>
      <w:pPr>
        <w:rPr>
          <w:rFonts w:hint="eastAsia" w:eastAsia="宋体"/>
          <w:b/>
          <w:color w:val="auto"/>
          <w:sz w:val="32"/>
          <w:szCs w:val="32"/>
          <w:lang w:eastAsia="zh-CN"/>
        </w:rPr>
      </w:pPr>
      <w:r>
        <w:rPr>
          <w:rFonts w:hint="eastAsia"/>
          <w:b/>
          <w:color w:val="auto"/>
          <w:sz w:val="32"/>
          <w:szCs w:val="32"/>
          <w:lang w:eastAsia="zh-CN"/>
        </w:rPr>
        <w:t>项目</w:t>
      </w:r>
      <w:r>
        <w:rPr>
          <w:rFonts w:hint="eastAsia"/>
          <w:b/>
          <w:color w:val="auto"/>
          <w:sz w:val="32"/>
        </w:rPr>
        <w:t>编号</w:t>
      </w:r>
      <w:r>
        <w:rPr>
          <w:rFonts w:hint="eastAsia"/>
          <w:b/>
          <w:color w:val="auto"/>
          <w:sz w:val="32"/>
          <w:szCs w:val="32"/>
          <w:lang w:eastAsia="zh-CN"/>
        </w:rPr>
        <w:t>：</w:t>
      </w:r>
    </w:p>
    <w:p>
      <w:pPr>
        <w:jc w:val="both"/>
        <w:rPr>
          <w:b/>
          <w:color w:val="auto"/>
          <w:sz w:val="32"/>
        </w:rPr>
      </w:pPr>
      <w:bookmarkStart w:id="83" w:name="_Toc23044"/>
      <w:r>
        <w:rPr>
          <w:rFonts w:hint="eastAsia"/>
          <w:b/>
          <w:color w:val="auto"/>
          <w:sz w:val="32"/>
          <w:lang w:eastAsia="zh-CN"/>
        </w:rPr>
        <w:t>项目</w:t>
      </w:r>
      <w:r>
        <w:rPr>
          <w:rFonts w:hint="eastAsia"/>
          <w:b/>
          <w:color w:val="auto"/>
          <w:sz w:val="32"/>
          <w:szCs w:val="32"/>
          <w:lang w:eastAsia="zh-CN"/>
        </w:rPr>
        <w:t>名称</w:t>
      </w:r>
      <w:r>
        <w:rPr>
          <w:b/>
          <w:color w:val="auto"/>
          <w:sz w:val="32"/>
        </w:rPr>
        <w:t>:</w:t>
      </w:r>
      <w:bookmarkEnd w:id="83"/>
    </w:p>
    <w:p>
      <w:pPr>
        <w:pStyle w:val="16"/>
        <w:ind w:left="0" w:leftChars="0" w:firstLine="0" w:firstLineChars="0"/>
        <w:jc w:val="left"/>
        <w:rPr>
          <w:rFonts w:hint="eastAsia" w:eastAsia="宋体"/>
          <w:lang w:eastAsia="zh-CN"/>
        </w:rPr>
      </w:pPr>
      <w:r>
        <w:rPr>
          <w:rFonts w:hint="eastAsia"/>
          <w:b/>
          <w:color w:val="auto"/>
          <w:sz w:val="32"/>
          <w:lang w:eastAsia="zh-CN"/>
        </w:rPr>
        <w:t>包号及包名称：</w:t>
      </w:r>
    </w:p>
    <w:p>
      <w:pPr>
        <w:jc w:val="center"/>
        <w:rPr>
          <w:color w:val="auto"/>
        </w:rPr>
      </w:pPr>
    </w:p>
    <w:p>
      <w:pPr>
        <w:pStyle w:val="8"/>
        <w:rPr>
          <w:color w:val="auto"/>
        </w:rPr>
      </w:pPr>
    </w:p>
    <w:p>
      <w:pPr>
        <w:pStyle w:val="8"/>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4" w:name="_Toc12572"/>
      <w:r>
        <w:rPr>
          <w:rFonts w:hint="eastAsia"/>
          <w:b/>
          <w:color w:val="auto"/>
          <w:sz w:val="32"/>
          <w:szCs w:val="32"/>
        </w:rPr>
        <w:t>投标单位（电子签章）：</w:t>
      </w:r>
      <w:bookmarkEnd w:id="84"/>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5" w:name="_Toc492299632"/>
      <w:bookmarkStart w:id="86" w:name="_Toc492299318"/>
      <w:bookmarkStart w:id="87" w:name="_Toc519087074"/>
      <w:bookmarkStart w:id="88" w:name="_Toc32490"/>
      <w:bookmarkStart w:id="89" w:name="_Toc46601452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5"/>
      <w:bookmarkEnd w:id="86"/>
      <w:bookmarkEnd w:id="87"/>
      <w:bookmarkEnd w:id="88"/>
      <w:bookmarkEnd w:id="89"/>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6"/>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6"/>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6"/>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6"/>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3"/>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3"/>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3"/>
        </w:numPr>
        <w:spacing w:line="360" w:lineRule="auto"/>
        <w:ind w:left="1134"/>
        <w:rPr>
          <w:sz w:val="24"/>
          <w:szCs w:val="22"/>
        </w:rPr>
      </w:pPr>
      <w:r>
        <w:rPr>
          <w:sz w:val="24"/>
          <w:szCs w:val="22"/>
        </w:rPr>
        <w:t>具有良好的商业信誉和健全的财务会计制度；</w:t>
      </w:r>
    </w:p>
    <w:p>
      <w:pPr>
        <w:numPr>
          <w:ilvl w:val="0"/>
          <w:numId w:val="23"/>
        </w:numPr>
        <w:spacing w:line="360" w:lineRule="auto"/>
        <w:ind w:left="1134"/>
        <w:rPr>
          <w:sz w:val="24"/>
          <w:szCs w:val="22"/>
        </w:rPr>
      </w:pPr>
      <w:r>
        <w:rPr>
          <w:sz w:val="24"/>
          <w:szCs w:val="22"/>
        </w:rPr>
        <w:t>具有履行合同所必需的设备和专业技术能力；</w:t>
      </w:r>
    </w:p>
    <w:p>
      <w:pPr>
        <w:numPr>
          <w:ilvl w:val="0"/>
          <w:numId w:val="23"/>
        </w:numPr>
        <w:spacing w:line="360" w:lineRule="auto"/>
        <w:ind w:left="1134"/>
        <w:rPr>
          <w:sz w:val="24"/>
          <w:szCs w:val="22"/>
        </w:rPr>
      </w:pPr>
      <w:r>
        <w:rPr>
          <w:sz w:val="24"/>
          <w:szCs w:val="22"/>
        </w:rPr>
        <w:t>有依法缴纳税收和社会保障资金的良好记录；</w:t>
      </w:r>
    </w:p>
    <w:p>
      <w:pPr>
        <w:numPr>
          <w:ilvl w:val="0"/>
          <w:numId w:val="2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3"/>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1"/>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00" w:lineRule="auto"/>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4"/>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2"/>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49"/>
        <w:numPr>
          <w:ilvl w:val="0"/>
          <w:numId w:val="0"/>
        </w:numPr>
        <w:tabs>
          <w:tab w:val="left" w:pos="660"/>
        </w:tabs>
        <w:snapToGrid w:val="0"/>
        <w:spacing w:before="0" w:line="400" w:lineRule="exact"/>
        <w:rPr>
          <w:color w:val="auto"/>
          <w:sz w:val="24"/>
          <w:szCs w:val="24"/>
        </w:rPr>
      </w:pPr>
    </w:p>
    <w:p>
      <w:pPr>
        <w:pStyle w:val="12"/>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2"/>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2"/>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2"/>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2"/>
              <w:tabs>
                <w:tab w:val="left" w:pos="5580"/>
              </w:tabs>
              <w:spacing w:line="300" w:lineRule="auto"/>
              <w:rPr>
                <w:rFonts w:hAnsi="宋体"/>
                <w:color w:val="auto"/>
                <w:sz w:val="24"/>
                <w:szCs w:val="24"/>
              </w:rPr>
            </w:pPr>
          </w:p>
        </w:tc>
      </w:tr>
    </w:tbl>
    <w:p>
      <w:pPr>
        <w:pStyle w:val="12"/>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1"/>
        <w:tblW w:w="9534" w:type="dxa"/>
        <w:jc w:val="center"/>
        <w:tblInd w:w="0" w:type="dxa"/>
        <w:tblLayout w:type="fixed"/>
        <w:tblCellMar>
          <w:top w:w="0" w:type="dxa"/>
          <w:left w:w="108" w:type="dxa"/>
          <w:bottom w:w="0" w:type="dxa"/>
          <w:right w:w="108" w:type="dxa"/>
        </w:tblCellMar>
      </w:tblPr>
      <w:tblGrid>
        <w:gridCol w:w="863"/>
        <w:gridCol w:w="3489"/>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86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348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供货</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863"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489"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6"/>
              <w:rPr>
                <w:rFonts w:hint="eastAsia"/>
                <w:color w:val="auto"/>
              </w:rPr>
            </w:pPr>
          </w:p>
          <w:p>
            <w:pPr>
              <w:pStyle w:val="16"/>
              <w:rPr>
                <w:rFonts w:hint="eastAsia"/>
                <w:color w:val="auto"/>
              </w:rPr>
            </w:pPr>
          </w:p>
          <w:p>
            <w:pPr>
              <w:pStyle w:val="16"/>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2"/>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4"/>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1"/>
        <w:tblW w:w="9391"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350"/>
        <w:gridCol w:w="2564"/>
        <w:gridCol w:w="1091"/>
        <w:gridCol w:w="818"/>
        <w:gridCol w:w="1153"/>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845" w:type="dxa"/>
            <w:vAlign w:val="center"/>
          </w:tcPr>
          <w:p>
            <w:pPr>
              <w:tabs>
                <w:tab w:val="left" w:pos="970"/>
              </w:tabs>
              <w:spacing w:after="84"/>
              <w:ind w:firstLine="118" w:firstLineChars="49"/>
              <w:jc w:val="center"/>
              <w:rPr>
                <w:b/>
                <w:color w:val="auto"/>
                <w:sz w:val="24"/>
                <w:szCs w:val="24"/>
              </w:rPr>
            </w:pPr>
            <w:r>
              <w:rPr>
                <w:rFonts w:hAnsi="宋体"/>
                <w:b/>
                <w:color w:val="auto"/>
                <w:sz w:val="24"/>
                <w:szCs w:val="24"/>
              </w:rPr>
              <w:t>序号</w:t>
            </w:r>
          </w:p>
        </w:tc>
        <w:tc>
          <w:tcPr>
            <w:tcW w:w="1350" w:type="dxa"/>
            <w:vAlign w:val="center"/>
          </w:tcPr>
          <w:p>
            <w:pPr>
              <w:tabs>
                <w:tab w:val="left" w:pos="970"/>
              </w:tabs>
              <w:spacing w:after="84"/>
              <w:jc w:val="center"/>
              <w:rPr>
                <w:rFonts w:hint="eastAsia"/>
                <w:b/>
                <w:color w:val="auto"/>
                <w:sz w:val="24"/>
                <w:szCs w:val="24"/>
              </w:rPr>
            </w:pPr>
            <w:r>
              <w:rPr>
                <w:rFonts w:hint="eastAsia" w:hAnsi="宋体"/>
                <w:b/>
                <w:color w:val="auto"/>
                <w:sz w:val="24"/>
                <w:szCs w:val="24"/>
              </w:rPr>
              <w:t>货物</w:t>
            </w:r>
            <w:r>
              <w:rPr>
                <w:rFonts w:hint="eastAsia" w:hAnsi="宋体"/>
                <w:b/>
                <w:color w:val="auto"/>
                <w:sz w:val="24"/>
                <w:szCs w:val="24"/>
                <w:lang w:eastAsia="zh-CN"/>
              </w:rPr>
              <w:t>或服务</w:t>
            </w:r>
            <w:r>
              <w:rPr>
                <w:rFonts w:hint="eastAsia" w:hAnsi="宋体"/>
                <w:b/>
                <w:color w:val="auto"/>
                <w:sz w:val="24"/>
                <w:szCs w:val="24"/>
              </w:rPr>
              <w:t>名称</w:t>
            </w:r>
          </w:p>
        </w:tc>
        <w:tc>
          <w:tcPr>
            <w:tcW w:w="2564"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品牌</w:t>
            </w:r>
            <w:r>
              <w:rPr>
                <w:rFonts w:hint="eastAsia" w:hAnsi="宋体"/>
                <w:b/>
                <w:color w:val="auto"/>
                <w:sz w:val="24"/>
                <w:szCs w:val="24"/>
              </w:rPr>
              <w:t>规格型号</w:t>
            </w:r>
          </w:p>
        </w:tc>
        <w:tc>
          <w:tcPr>
            <w:tcW w:w="1091"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制造商名称及</w:t>
            </w:r>
            <w:r>
              <w:rPr>
                <w:rFonts w:hint="eastAsia" w:hAnsi="宋体"/>
                <w:b/>
                <w:color w:val="auto"/>
                <w:sz w:val="24"/>
                <w:szCs w:val="24"/>
              </w:rPr>
              <w:t>产地</w:t>
            </w:r>
          </w:p>
        </w:tc>
        <w:tc>
          <w:tcPr>
            <w:tcW w:w="818" w:type="dxa"/>
            <w:vAlign w:val="center"/>
          </w:tcPr>
          <w:p>
            <w:pPr>
              <w:tabs>
                <w:tab w:val="left" w:pos="970"/>
              </w:tabs>
              <w:spacing w:after="84"/>
              <w:jc w:val="center"/>
              <w:rPr>
                <w:rFonts w:hint="eastAsia"/>
                <w:b/>
                <w:color w:val="auto"/>
                <w:sz w:val="24"/>
                <w:szCs w:val="24"/>
              </w:rPr>
            </w:pPr>
            <w:r>
              <w:rPr>
                <w:rFonts w:hint="eastAsia"/>
                <w:b/>
                <w:color w:val="auto"/>
                <w:sz w:val="24"/>
                <w:szCs w:val="24"/>
              </w:rPr>
              <w:t>数量</w:t>
            </w:r>
            <w:r>
              <w:rPr>
                <w:rFonts w:hint="eastAsia"/>
                <w:b/>
                <w:color w:val="auto"/>
                <w:sz w:val="24"/>
                <w:szCs w:val="24"/>
                <w:lang w:eastAsia="zh-CN"/>
              </w:rPr>
              <w:t>及单位</w:t>
            </w:r>
          </w:p>
        </w:tc>
        <w:tc>
          <w:tcPr>
            <w:tcW w:w="1153" w:type="dxa"/>
            <w:vAlign w:val="center"/>
          </w:tcPr>
          <w:p>
            <w:pPr>
              <w:tabs>
                <w:tab w:val="left" w:pos="970"/>
              </w:tabs>
              <w:spacing w:after="84"/>
              <w:jc w:val="center"/>
              <w:rPr>
                <w:b/>
                <w:color w:val="auto"/>
                <w:sz w:val="24"/>
                <w:szCs w:val="24"/>
              </w:rPr>
            </w:pPr>
            <w:r>
              <w:rPr>
                <w:rFonts w:hint="eastAsia" w:hAnsi="宋体"/>
                <w:b/>
                <w:color w:val="auto"/>
                <w:sz w:val="24"/>
                <w:szCs w:val="24"/>
              </w:rPr>
              <w:t>单价</w:t>
            </w:r>
          </w:p>
        </w:tc>
        <w:tc>
          <w:tcPr>
            <w:tcW w:w="1570" w:type="dxa"/>
            <w:vAlign w:val="center"/>
          </w:tcPr>
          <w:p>
            <w:pPr>
              <w:tabs>
                <w:tab w:val="left" w:pos="970"/>
              </w:tabs>
              <w:spacing w:after="84"/>
              <w:jc w:val="center"/>
              <w:rPr>
                <w:rFonts w:hint="eastAsia" w:hAnsi="宋体"/>
                <w:b/>
                <w:bCs/>
                <w:color w:val="auto"/>
                <w:kern w:val="0"/>
                <w:sz w:val="24"/>
                <w:szCs w:val="24"/>
              </w:rPr>
            </w:pPr>
            <w:r>
              <w:rPr>
                <w:rFonts w:hint="eastAsia" w:hAnsi="宋体"/>
                <w:b/>
                <w:bCs/>
                <w:color w:val="auto"/>
                <w:kern w:val="0"/>
                <w:sz w:val="24"/>
                <w:szCs w:val="24"/>
              </w:rPr>
              <w:t>总价</w:t>
            </w:r>
          </w:p>
          <w:p>
            <w:pPr>
              <w:tabs>
                <w:tab w:val="left" w:pos="970"/>
              </w:tabs>
              <w:spacing w:after="84"/>
              <w:rPr>
                <w:b/>
                <w:color w:val="auto"/>
                <w:sz w:val="24"/>
                <w:szCs w:val="24"/>
              </w:rPr>
            </w:pPr>
            <w:r>
              <w:rPr>
                <w:rFonts w:hAnsi="宋体"/>
                <w:b/>
                <w:bCs/>
                <w:color w:val="auto"/>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bCs/>
                <w:color w:val="auto"/>
                <w:sz w:val="24"/>
                <w:szCs w:val="24"/>
              </w:rPr>
            </w:pPr>
          </w:p>
        </w:tc>
        <w:tc>
          <w:tcPr>
            <w:tcW w:w="2564" w:type="dxa"/>
            <w:vAlign w:val="center"/>
          </w:tcPr>
          <w:p>
            <w:pPr>
              <w:tabs>
                <w:tab w:val="left" w:pos="970"/>
              </w:tabs>
              <w:ind w:firstLine="480"/>
              <w:rPr>
                <w:bCs/>
                <w:color w:val="auto"/>
                <w:sz w:val="24"/>
                <w:szCs w:val="24"/>
              </w:rPr>
            </w:pPr>
          </w:p>
        </w:tc>
        <w:tc>
          <w:tcPr>
            <w:tcW w:w="1091" w:type="dxa"/>
            <w:vAlign w:val="center"/>
          </w:tcPr>
          <w:p>
            <w:pPr>
              <w:tabs>
                <w:tab w:val="left" w:pos="970"/>
              </w:tabs>
              <w:ind w:firstLine="480"/>
              <w:rPr>
                <w:bCs/>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7821" w:type="dxa"/>
            <w:gridSpan w:val="6"/>
            <w:vAlign w:val="center"/>
          </w:tcPr>
          <w:p>
            <w:pPr>
              <w:tabs>
                <w:tab w:val="left" w:pos="970"/>
              </w:tabs>
              <w:spacing w:after="84"/>
              <w:ind w:firstLine="482"/>
              <w:jc w:val="center"/>
              <w:rPr>
                <w:rFonts w:hint="eastAsia"/>
                <w:b/>
                <w:color w:val="auto"/>
                <w:sz w:val="24"/>
                <w:szCs w:val="24"/>
              </w:rPr>
            </w:pPr>
            <w:r>
              <w:rPr>
                <w:rFonts w:hint="eastAsia"/>
                <w:b/>
                <w:color w:val="auto"/>
                <w:sz w:val="24"/>
                <w:szCs w:val="24"/>
              </w:rPr>
              <w:t>投标报价合计</w:t>
            </w:r>
          </w:p>
        </w:tc>
        <w:tc>
          <w:tcPr>
            <w:tcW w:w="1570" w:type="dxa"/>
            <w:vAlign w:val="center"/>
          </w:tcPr>
          <w:p>
            <w:pPr>
              <w:tabs>
                <w:tab w:val="left" w:pos="970"/>
              </w:tabs>
              <w:spacing w:after="84"/>
              <w:ind w:firstLine="482"/>
              <w:jc w:val="center"/>
              <w:rPr>
                <w:b/>
                <w:color w:val="auto"/>
                <w:sz w:val="24"/>
                <w:szCs w:val="24"/>
              </w:rPr>
            </w:pPr>
          </w:p>
        </w:tc>
      </w:tr>
    </w:tbl>
    <w:p>
      <w:pPr>
        <w:pStyle w:val="49"/>
        <w:numPr>
          <w:ilvl w:val="0"/>
          <w:numId w:val="0"/>
        </w:numPr>
        <w:tabs>
          <w:tab w:val="left" w:pos="660"/>
        </w:tabs>
        <w:snapToGrid w:val="0"/>
        <w:spacing w:before="0" w:line="400" w:lineRule="exact"/>
        <w:ind w:left="254"/>
        <w:rPr>
          <w:rFonts w:cs="微软雅黑"/>
          <w:color w:val="auto"/>
          <w:sz w:val="24"/>
          <w:szCs w:val="24"/>
        </w:rPr>
      </w:pPr>
      <w:r>
        <w:rPr>
          <w:rFonts w:hint="eastAsia" w:cs="微软雅黑"/>
          <w:color w:val="auto"/>
          <w:sz w:val="24"/>
          <w:szCs w:val="24"/>
        </w:rPr>
        <w:t>说明：</w:t>
      </w:r>
    </w:p>
    <w:p>
      <w:pPr>
        <w:pStyle w:val="49"/>
        <w:numPr>
          <w:ilvl w:val="0"/>
          <w:numId w:val="0"/>
        </w:numPr>
        <w:tabs>
          <w:tab w:val="left" w:pos="660"/>
        </w:tabs>
        <w:snapToGrid w:val="0"/>
        <w:spacing w:before="0" w:line="400" w:lineRule="exact"/>
        <w:ind w:left="254"/>
        <w:rPr>
          <w:color w:val="auto"/>
          <w:sz w:val="24"/>
          <w:szCs w:val="24"/>
        </w:rPr>
      </w:pPr>
      <w:r>
        <w:rPr>
          <w:rFonts w:hint="eastAsia"/>
          <w:color w:val="auto"/>
          <w:sz w:val="24"/>
          <w:szCs w:val="24"/>
        </w:rPr>
        <w:t>1、投标分项报价表汇总总价须与投标一览表的总价一致。</w:t>
      </w:r>
    </w:p>
    <w:p>
      <w:pPr>
        <w:pStyle w:val="12"/>
        <w:spacing w:line="360" w:lineRule="auto"/>
        <w:ind w:left="274" w:leftChars="114" w:firstLine="0" w:firstLineChars="0"/>
        <w:rPr>
          <w:rFonts w:hint="eastAsia" w:cs="微软雅黑"/>
          <w:color w:val="auto"/>
          <w:sz w:val="24"/>
          <w:szCs w:val="24"/>
        </w:rPr>
      </w:pPr>
      <w:r>
        <w:rPr>
          <w:rFonts w:hint="eastAsia"/>
          <w:color w:val="auto"/>
          <w:sz w:val="24"/>
          <w:szCs w:val="24"/>
        </w:rPr>
        <w:t>2、投标分项报价表中所填写的货物和服务名称、数量须与</w:t>
      </w:r>
      <w:r>
        <w:rPr>
          <w:rFonts w:hint="eastAsia" w:cs="微软雅黑"/>
          <w:color w:val="auto"/>
          <w:sz w:val="24"/>
          <w:szCs w:val="24"/>
        </w:rPr>
        <w:t>第</w:t>
      </w:r>
      <w:r>
        <w:rPr>
          <w:rFonts w:hint="eastAsia" w:cs="微软雅黑"/>
          <w:color w:val="auto"/>
          <w:sz w:val="24"/>
          <w:szCs w:val="24"/>
          <w:lang w:eastAsia="zh-CN"/>
        </w:rPr>
        <w:t>四</w:t>
      </w:r>
      <w:r>
        <w:rPr>
          <w:rFonts w:hint="eastAsia" w:cs="微软雅黑"/>
          <w:color w:val="auto"/>
          <w:sz w:val="24"/>
          <w:szCs w:val="24"/>
        </w:rPr>
        <w:t>部分采购清单列明的项目、数量一致。</w:t>
      </w:r>
    </w:p>
    <w:p>
      <w:pPr>
        <w:pStyle w:val="12"/>
        <w:spacing w:line="360" w:lineRule="auto"/>
        <w:ind w:left="274" w:leftChars="114" w:firstLine="0" w:firstLineChars="0"/>
        <w:rPr>
          <w:rFonts w:hint="eastAsia" w:cs="微软雅黑"/>
          <w:color w:val="auto"/>
          <w:sz w:val="24"/>
          <w:szCs w:val="24"/>
        </w:rPr>
      </w:pPr>
    </w:p>
    <w:p>
      <w:pPr>
        <w:pStyle w:val="12"/>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2"/>
        <w:numPr>
          <w:ilvl w:val="-1"/>
          <w:numId w:val="0"/>
        </w:numPr>
        <w:rPr>
          <w:rFonts w:hint="eastAsia" w:ascii="宋体" w:hAnsi="宋体" w:eastAsia="宋体"/>
          <w:color w:val="auto"/>
          <w:sz w:val="24"/>
        </w:rPr>
      </w:pPr>
      <w:r>
        <w:rPr>
          <w:rFonts w:hint="eastAsia" w:ascii="宋体" w:hAnsi="宋体" w:eastAsia="宋体"/>
          <w:color w:val="auto"/>
          <w:sz w:val="24"/>
        </w:rPr>
        <w:t>表5-1：技术规格偏离表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2"/>
        <w:rPr>
          <w:rFonts w:hint="eastAsia" w:hAnsi="宋体"/>
          <w:color w:val="auto"/>
          <w:sz w:val="24"/>
        </w:rPr>
      </w:pPr>
      <w:r>
        <w:rPr>
          <w:rFonts w:hint="eastAsia" w:hAnsi="宋体"/>
          <w:color w:val="auto"/>
          <w:sz w:val="24"/>
          <w:szCs w:val="24"/>
        </w:rPr>
        <w:t>项目名称：</w:t>
      </w:r>
    </w:p>
    <w:tbl>
      <w:tblPr>
        <w:tblStyle w:val="31"/>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60"/>
        <w:gridCol w:w="1278"/>
        <w:gridCol w:w="736"/>
        <w:gridCol w:w="1296"/>
        <w:gridCol w:w="1377"/>
        <w:gridCol w:w="107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center"/>
          </w:tcPr>
          <w:p>
            <w:pPr>
              <w:pStyle w:val="12"/>
              <w:jc w:val="center"/>
              <w:rPr>
                <w:rFonts w:hint="eastAsia" w:hAnsi="宋体"/>
                <w:color w:val="auto"/>
                <w:sz w:val="24"/>
              </w:rPr>
            </w:pPr>
            <w:r>
              <w:rPr>
                <w:rFonts w:hint="eastAsia" w:hAnsi="宋体"/>
                <w:b/>
                <w:color w:val="auto"/>
              </w:rPr>
              <w:t>序 号</w:t>
            </w:r>
          </w:p>
        </w:tc>
        <w:tc>
          <w:tcPr>
            <w:tcW w:w="1260" w:type="dxa"/>
            <w:vAlign w:val="center"/>
          </w:tcPr>
          <w:p>
            <w:pPr>
              <w:pStyle w:val="12"/>
              <w:jc w:val="center"/>
              <w:rPr>
                <w:rFonts w:hint="eastAsia" w:hAnsi="宋体"/>
                <w:color w:val="auto"/>
                <w:sz w:val="24"/>
              </w:rPr>
            </w:pPr>
            <w:r>
              <w:rPr>
                <w:rFonts w:hint="eastAsia" w:hAnsi="宋体"/>
                <w:b/>
                <w:color w:val="auto"/>
              </w:rPr>
              <w:t>货物或服务名称</w:t>
            </w:r>
          </w:p>
        </w:tc>
        <w:tc>
          <w:tcPr>
            <w:tcW w:w="1278" w:type="dxa"/>
            <w:vAlign w:val="center"/>
          </w:tcPr>
          <w:p>
            <w:pPr>
              <w:pStyle w:val="12"/>
              <w:jc w:val="center"/>
              <w:rPr>
                <w:rFonts w:hint="eastAsia" w:hAnsi="宋体"/>
                <w:color w:val="auto"/>
                <w:sz w:val="24"/>
              </w:rPr>
            </w:pPr>
            <w:r>
              <w:rPr>
                <w:rFonts w:hint="eastAsia" w:hAnsi="宋体"/>
                <w:b/>
                <w:color w:val="auto"/>
              </w:rPr>
              <w:t>型号和规格</w:t>
            </w:r>
          </w:p>
        </w:tc>
        <w:tc>
          <w:tcPr>
            <w:tcW w:w="736" w:type="dxa"/>
            <w:vAlign w:val="center"/>
          </w:tcPr>
          <w:p>
            <w:pPr>
              <w:pStyle w:val="12"/>
              <w:jc w:val="center"/>
              <w:rPr>
                <w:rFonts w:hint="eastAsia" w:hAnsi="宋体"/>
                <w:color w:val="auto"/>
                <w:sz w:val="24"/>
              </w:rPr>
            </w:pPr>
            <w:r>
              <w:rPr>
                <w:rFonts w:hint="eastAsia" w:hAnsi="宋体"/>
                <w:b/>
                <w:color w:val="auto"/>
              </w:rPr>
              <w:t>数 量</w:t>
            </w:r>
          </w:p>
        </w:tc>
        <w:tc>
          <w:tcPr>
            <w:tcW w:w="1296" w:type="dxa"/>
            <w:vAlign w:val="center"/>
          </w:tcPr>
          <w:p>
            <w:pPr>
              <w:pStyle w:val="12"/>
              <w:jc w:val="center"/>
              <w:rPr>
                <w:rFonts w:hint="eastAsia" w:hAnsi="宋体"/>
                <w:color w:val="auto"/>
                <w:sz w:val="24"/>
              </w:rPr>
            </w:pPr>
            <w:r>
              <w:rPr>
                <w:rFonts w:hint="eastAsia" w:hAnsi="宋体"/>
                <w:b/>
                <w:color w:val="auto"/>
              </w:rPr>
              <w:t>招标文件技术参数</w:t>
            </w:r>
          </w:p>
        </w:tc>
        <w:tc>
          <w:tcPr>
            <w:tcW w:w="1377" w:type="dxa"/>
            <w:vAlign w:val="center"/>
          </w:tcPr>
          <w:p>
            <w:pPr>
              <w:pStyle w:val="12"/>
              <w:jc w:val="center"/>
              <w:rPr>
                <w:rFonts w:hint="eastAsia" w:hAnsi="宋体"/>
                <w:color w:val="auto"/>
                <w:sz w:val="24"/>
              </w:rPr>
            </w:pPr>
            <w:r>
              <w:rPr>
                <w:rFonts w:hint="eastAsia" w:hAnsi="宋体"/>
                <w:b/>
                <w:color w:val="auto"/>
              </w:rPr>
              <w:t>投标技术参数</w:t>
            </w:r>
          </w:p>
        </w:tc>
        <w:tc>
          <w:tcPr>
            <w:tcW w:w="1073" w:type="dxa"/>
            <w:vAlign w:val="center"/>
          </w:tcPr>
          <w:p>
            <w:pPr>
              <w:pStyle w:val="12"/>
              <w:jc w:val="center"/>
              <w:rPr>
                <w:rFonts w:hAnsi="宋体"/>
                <w:b/>
                <w:color w:val="auto"/>
              </w:rPr>
            </w:pPr>
            <w:r>
              <w:rPr>
                <w:rFonts w:hint="eastAsia" w:hAnsi="宋体"/>
                <w:b/>
                <w:color w:val="auto"/>
              </w:rPr>
              <w:t>偏离情况</w:t>
            </w:r>
          </w:p>
          <w:p>
            <w:pPr>
              <w:pStyle w:val="12"/>
              <w:jc w:val="center"/>
              <w:rPr>
                <w:rFonts w:hint="eastAsia" w:hAnsi="宋体"/>
                <w:color w:val="auto"/>
                <w:sz w:val="24"/>
              </w:rPr>
            </w:pPr>
            <w:r>
              <w:rPr>
                <w:rFonts w:hint="eastAsia" w:hAnsi="宋体"/>
                <w:b/>
                <w:color w:val="auto"/>
              </w:rPr>
              <w:t>（无偏离/正偏离/负偏离）</w:t>
            </w:r>
          </w:p>
        </w:tc>
        <w:tc>
          <w:tcPr>
            <w:tcW w:w="900" w:type="dxa"/>
            <w:vAlign w:val="center"/>
          </w:tcPr>
          <w:p>
            <w:pPr>
              <w:pStyle w:val="12"/>
              <w:jc w:val="center"/>
              <w:rPr>
                <w:rFonts w:hint="eastAsia" w:hAnsi="宋体"/>
                <w:color w:val="auto"/>
                <w:sz w:val="24"/>
              </w:rPr>
            </w:pPr>
            <w:r>
              <w:rPr>
                <w:rFonts w:hint="eastAsia" w:hAnsi="宋体"/>
                <w:b/>
                <w:color w:val="auto"/>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bl>
    <w:p>
      <w:pPr>
        <w:rPr>
          <w:rFonts w:ascii="宋体" w:hAnsi="宋体"/>
          <w:b/>
          <w:color w:val="auto"/>
          <w:sz w:val="24"/>
          <w:szCs w:val="24"/>
        </w:rPr>
      </w:pPr>
      <w:r>
        <w:rPr>
          <w:rFonts w:hint="eastAsia" w:ascii="宋体" w:hAnsi="宋体"/>
          <w:b/>
          <w:color w:val="auto"/>
          <w:sz w:val="24"/>
          <w:szCs w:val="24"/>
        </w:rPr>
        <w:t>说明：</w:t>
      </w:r>
    </w:p>
    <w:p>
      <w:pPr>
        <w:rPr>
          <w:rFonts w:ascii="宋体" w:hAnsi="宋体"/>
          <w:b/>
          <w:color w:val="auto"/>
          <w:sz w:val="24"/>
          <w:szCs w:val="24"/>
        </w:rPr>
      </w:pPr>
      <w:r>
        <w:rPr>
          <w:rFonts w:hint="eastAsia" w:ascii="宋体" w:hAnsi="宋体"/>
          <w:b/>
          <w:color w:val="auto"/>
          <w:sz w:val="24"/>
          <w:szCs w:val="24"/>
        </w:rPr>
        <w:t>1、货物说明及技术偏离表中所填写的货物和服务名称、数量须与第</w:t>
      </w:r>
      <w:r>
        <w:rPr>
          <w:rFonts w:hint="eastAsia" w:ascii="宋体" w:hAnsi="宋体"/>
          <w:b/>
          <w:color w:val="auto"/>
          <w:sz w:val="24"/>
          <w:szCs w:val="24"/>
          <w:lang w:eastAsia="zh-CN"/>
        </w:rPr>
        <w:t>四</w:t>
      </w:r>
      <w:r>
        <w:rPr>
          <w:rFonts w:hint="eastAsia" w:ascii="宋体" w:hAnsi="宋体"/>
          <w:b/>
          <w:color w:val="auto"/>
          <w:sz w:val="24"/>
          <w:szCs w:val="24"/>
        </w:rPr>
        <w:t>部分采购清单列明的项目、数量一致。</w:t>
      </w:r>
    </w:p>
    <w:p>
      <w:pPr>
        <w:pStyle w:val="12"/>
        <w:rPr>
          <w:rFonts w:hint="eastAsia" w:ascii="宋体" w:hAnsi="宋体"/>
          <w:b/>
          <w:color w:val="auto"/>
          <w:sz w:val="24"/>
          <w:szCs w:val="24"/>
        </w:rPr>
      </w:pPr>
      <w:r>
        <w:rPr>
          <w:rFonts w:hint="eastAsia" w:ascii="宋体" w:hAnsi="宋体"/>
          <w:b/>
          <w:color w:val="auto"/>
          <w:sz w:val="24"/>
          <w:szCs w:val="24"/>
        </w:rPr>
        <w:t>2、投标人须如实填写其投标产品的参数和偏离程度，如发现提供不实情况的，造成的一切后果由投标人承担。</w:t>
      </w:r>
    </w:p>
    <w:p>
      <w:pPr>
        <w:pStyle w:val="12"/>
        <w:rPr>
          <w:rFonts w:hint="eastAsia" w:ascii="宋体" w:hAnsi="宋体"/>
          <w:b/>
          <w:color w:val="auto"/>
          <w:sz w:val="24"/>
          <w:szCs w:val="24"/>
        </w:rPr>
      </w:pPr>
    </w:p>
    <w:p>
      <w:pPr>
        <w:pStyle w:val="12"/>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12"/>
        <w:tabs>
          <w:tab w:val="left" w:pos="5580"/>
        </w:tabs>
        <w:spacing w:before="120" w:line="22" w:lineRule="atLeast"/>
        <w:rPr>
          <w:rFonts w:hint="eastAsia" w:hAnsi="宋体"/>
          <w:color w:val="auto"/>
          <w:sz w:val="24"/>
          <w:u w:val="single"/>
        </w:rPr>
      </w:pPr>
      <w:r>
        <w:rPr>
          <w:rFonts w:hint="eastAsia" w:hAnsi="宋体"/>
          <w:color w:val="auto"/>
          <w:sz w:val="24"/>
          <w:szCs w:val="24"/>
        </w:rPr>
        <w:t>日    期：</w:t>
      </w:r>
      <w:r>
        <w:rPr>
          <w:rFonts w:hint="eastAsia" w:hAnsi="宋体"/>
          <w:color w:val="auto"/>
          <w:sz w:val="24"/>
          <w:szCs w:val="24"/>
          <w:u w:val="single"/>
        </w:rPr>
        <w:t xml:space="preserve">                         </w:t>
      </w:r>
    </w:p>
    <w:p>
      <w:pPr>
        <w:pStyle w:val="2"/>
        <w:numPr>
          <w:ilvl w:val="-1"/>
          <w:numId w:val="0"/>
        </w:numPr>
        <w:rPr>
          <w:rFonts w:hint="eastAsia" w:ascii="宋体" w:hAnsi="宋体" w:eastAsia="宋体"/>
          <w:color w:val="auto"/>
          <w:sz w:val="24"/>
        </w:rPr>
      </w:pPr>
      <w:r>
        <w:rPr>
          <w:rFonts w:hint="eastAsia" w:ascii="宋体" w:hAnsi="宋体" w:eastAsia="宋体"/>
          <w:color w:val="auto"/>
          <w:sz w:val="24"/>
        </w:rPr>
        <w:t>表5-2：商务条款偏离表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2"/>
        <w:rPr>
          <w:rFonts w:hint="eastAsia" w:hAnsi="宋体"/>
          <w:color w:val="auto"/>
          <w:sz w:val="24"/>
        </w:rPr>
      </w:pPr>
      <w:r>
        <w:rPr>
          <w:rFonts w:hint="eastAsia" w:hAnsi="宋体"/>
          <w:color w:val="auto"/>
          <w:sz w:val="24"/>
          <w:szCs w:val="24"/>
        </w:rPr>
        <w:t>项目名称：</w:t>
      </w:r>
    </w:p>
    <w:tbl>
      <w:tblPr>
        <w:tblStyle w:val="3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spacing w:before="156"/>
              <w:rPr>
                <w:rFonts w:hint="eastAsia" w:hAnsi="宋体"/>
                <w:color w:val="auto"/>
                <w:sz w:val="24"/>
              </w:rPr>
            </w:pPr>
            <w:r>
              <w:rPr>
                <w:rFonts w:hint="eastAsia" w:hAnsi="宋体"/>
                <w:color w:val="auto"/>
                <w:sz w:val="24"/>
              </w:rPr>
              <w:t>序号</w:t>
            </w:r>
          </w:p>
        </w:tc>
        <w:tc>
          <w:tcPr>
            <w:tcW w:w="2040" w:type="dxa"/>
            <w:vAlign w:val="top"/>
          </w:tcPr>
          <w:p>
            <w:pPr>
              <w:pStyle w:val="12"/>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2"/>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2"/>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2"/>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jc w:val="center"/>
              <w:rPr>
                <w:rFonts w:hint="eastAsia" w:hAnsi="宋体"/>
                <w:color w:val="auto"/>
                <w:sz w:val="24"/>
              </w:rPr>
            </w:pPr>
          </w:p>
        </w:tc>
        <w:tc>
          <w:tcPr>
            <w:tcW w:w="2520" w:type="dxa"/>
            <w:vAlign w:val="top"/>
          </w:tcPr>
          <w:p>
            <w:pPr>
              <w:pStyle w:val="12"/>
              <w:jc w:val="center"/>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bl>
    <w:p>
      <w:pPr>
        <w:pStyle w:val="12"/>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Fonts w:hint="eastAsia"/>
          <w:color w:val="auto"/>
        </w:rPr>
      </w:pPr>
      <w:r>
        <w:rPr>
          <w:rFonts w:hint="eastAsia"/>
          <w:b/>
          <w:color w:val="auto"/>
          <w:sz w:val="24"/>
          <w:szCs w:val="24"/>
        </w:rPr>
        <w:t xml:space="preserve">附件6  </w:t>
      </w:r>
      <w:r>
        <w:rPr>
          <w:rFonts w:hint="eastAsia" w:ascii="宋体" w:hAnsi="宋体"/>
          <w:b/>
          <w:bCs/>
          <w:color w:val="auto"/>
          <w:sz w:val="24"/>
        </w:rPr>
        <w:t>证明投标货物的合格性和符合招标文件规定的文件</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4"/>
          <w:rFonts w:hint="eastAsia" w:ascii="宋体" w:hAnsi="宋体"/>
          <w:b/>
          <w:color w:val="auto"/>
        </w:rPr>
        <w:t xml:space="preserve">，格式自拟） </w:t>
      </w:r>
    </w:p>
    <w:p>
      <w:pPr>
        <w:spacing w:line="360" w:lineRule="auto"/>
        <w:rPr>
          <w:rStyle w:val="74"/>
          <w:rFonts w:hint="eastAsia" w:ascii="宋体" w:hAnsi="宋体"/>
          <w:bCs/>
          <w:color w:val="auto"/>
        </w:rPr>
      </w:pPr>
      <w:r>
        <w:rPr>
          <w:rStyle w:val="74"/>
          <w:rFonts w:hint="eastAsia" w:ascii="宋体" w:hAnsi="宋体"/>
          <w:bCs/>
          <w:color w:val="auto"/>
        </w:rPr>
        <w:t>6.1投标人应提交证明文件，证明其拟供的合同项下的货物和服务的合格性符合招标文件规定。该证明文件是投标文件的一部分。</w:t>
      </w:r>
    </w:p>
    <w:p>
      <w:pPr>
        <w:spacing w:line="360" w:lineRule="auto"/>
        <w:rPr>
          <w:rStyle w:val="74"/>
          <w:rFonts w:hint="eastAsia" w:ascii="宋体" w:hAnsi="宋体"/>
          <w:bCs/>
          <w:color w:val="auto"/>
        </w:rPr>
      </w:pPr>
      <w:r>
        <w:rPr>
          <w:rStyle w:val="74"/>
          <w:rFonts w:hint="eastAsia" w:ascii="宋体" w:hAnsi="宋体"/>
          <w:bCs/>
          <w:color w:val="auto"/>
        </w:rPr>
        <w:t>6.2上款所述的证明文件，可以是文字资料、图纸和数据，它包括：</w:t>
      </w:r>
    </w:p>
    <w:p>
      <w:pPr>
        <w:spacing w:line="360" w:lineRule="auto"/>
        <w:rPr>
          <w:rStyle w:val="74"/>
          <w:rFonts w:hint="eastAsia" w:ascii="宋体" w:hAnsi="宋体"/>
          <w:bCs/>
          <w:color w:val="auto"/>
        </w:rPr>
      </w:pPr>
      <w:r>
        <w:rPr>
          <w:rStyle w:val="74"/>
          <w:rFonts w:hint="eastAsia" w:ascii="宋体" w:hAnsi="宋体"/>
          <w:bCs/>
          <w:color w:val="auto"/>
        </w:rPr>
        <w:t>6.2.1货物主要技术指标和性能的详细说明。</w:t>
      </w:r>
    </w:p>
    <w:p>
      <w:pPr>
        <w:spacing w:line="360" w:lineRule="auto"/>
        <w:rPr>
          <w:rStyle w:val="74"/>
          <w:rFonts w:hint="eastAsia" w:ascii="宋体" w:hAnsi="宋体"/>
          <w:bCs/>
          <w:color w:val="auto"/>
        </w:rPr>
      </w:pPr>
      <w:r>
        <w:rPr>
          <w:rStyle w:val="74"/>
          <w:rFonts w:hint="eastAsia" w:ascii="宋体" w:hAnsi="宋体"/>
          <w:bCs/>
          <w:color w:val="auto"/>
        </w:rPr>
        <w:t>6.2.2货物从买方开始使用至招标文件规定的保质期内正常、连续地使用所必须的备件和专用工具清单。</w:t>
      </w:r>
    </w:p>
    <w:p>
      <w:pPr>
        <w:spacing w:line="360" w:lineRule="auto"/>
        <w:rPr>
          <w:rStyle w:val="74"/>
          <w:rFonts w:hint="eastAsia" w:ascii="宋体" w:hAnsi="宋体"/>
          <w:bCs/>
          <w:color w:val="auto"/>
        </w:rPr>
      </w:pPr>
      <w:r>
        <w:rPr>
          <w:rStyle w:val="74"/>
          <w:rFonts w:hint="eastAsia" w:ascii="宋体" w:hAnsi="宋体"/>
          <w:bCs/>
          <w:color w:val="auto"/>
        </w:rPr>
        <w:t>6.2.3对照招标文件技术规格，逐条说明所提供货物和服务已对招标文件的技术规格做出了实质性的响应，或申明与技术规格条文的偏差和例外。</w:t>
      </w:r>
    </w:p>
    <w:p>
      <w:pPr>
        <w:spacing w:line="360" w:lineRule="auto"/>
        <w:rPr>
          <w:rStyle w:val="74"/>
          <w:rFonts w:hint="eastAsia" w:ascii="宋体" w:hAnsi="宋体"/>
          <w:bCs/>
          <w:color w:val="auto"/>
        </w:rPr>
      </w:pPr>
      <w:r>
        <w:rPr>
          <w:rStyle w:val="74"/>
          <w:rFonts w:hint="eastAsia" w:ascii="宋体" w:hAnsi="宋体"/>
          <w:bCs/>
          <w:color w:val="auto"/>
        </w:rPr>
        <w:t>6.2.4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rPr>
          <w:rStyle w:val="74"/>
          <w:rFonts w:hint="eastAsia" w:ascii="宋体" w:hAnsi="宋体"/>
          <w:bCs/>
          <w:color w:val="auto"/>
        </w:rPr>
      </w:pPr>
      <w:r>
        <w:rPr>
          <w:rStyle w:val="74"/>
          <w:rFonts w:hint="eastAsia" w:ascii="宋体" w:hAnsi="宋体"/>
          <w:bCs/>
          <w:color w:val="auto"/>
        </w:rPr>
        <w:t>6.2.5招标文件要求的其他证明材料，如</w:t>
      </w:r>
      <w:r>
        <w:rPr>
          <w:rStyle w:val="74"/>
          <w:rFonts w:hint="eastAsia" w:ascii="宋体" w:hAnsi="宋体"/>
          <w:bCs/>
          <w:color w:val="auto"/>
          <w:lang w:eastAsia="zh-CN"/>
        </w:rPr>
        <w:t>原材料及产品</w:t>
      </w:r>
      <w:r>
        <w:rPr>
          <w:rStyle w:val="74"/>
          <w:rFonts w:hint="eastAsia" w:ascii="宋体" w:hAnsi="宋体"/>
          <w:bCs/>
          <w:color w:val="auto"/>
        </w:rPr>
        <w:t>检测报告、</w:t>
      </w:r>
      <w:r>
        <w:rPr>
          <w:rStyle w:val="74"/>
          <w:rFonts w:hint="eastAsia" w:ascii="宋体" w:hAnsi="宋体"/>
          <w:bCs/>
          <w:color w:val="auto"/>
          <w:lang w:eastAsia="zh-CN"/>
        </w:rPr>
        <w:t>产品功能截图、彩页、</w:t>
      </w:r>
      <w:r>
        <w:rPr>
          <w:rStyle w:val="74"/>
          <w:rFonts w:hint="eastAsia" w:ascii="宋体" w:hAnsi="宋体"/>
          <w:bCs/>
          <w:color w:val="auto"/>
        </w:rPr>
        <w:t>环保产品认证</w:t>
      </w:r>
      <w:r>
        <w:rPr>
          <w:rStyle w:val="74"/>
          <w:rFonts w:hint="eastAsia" w:ascii="宋体" w:hAnsi="宋体"/>
          <w:bCs/>
          <w:color w:val="auto"/>
          <w:lang w:eastAsia="zh-CN"/>
        </w:rPr>
        <w:t>、原厂售后服务承诺</w:t>
      </w:r>
      <w:r>
        <w:rPr>
          <w:rStyle w:val="74"/>
          <w:rFonts w:hint="eastAsia" w:ascii="宋体" w:hAnsi="宋体"/>
          <w:bCs/>
          <w:color w:val="auto"/>
        </w:rPr>
        <w:t>等。</w:t>
      </w:r>
    </w:p>
    <w:p>
      <w:pPr>
        <w:pStyle w:val="16"/>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jc w:val="left"/>
        <w:rPr>
          <w:rFonts w:hint="eastAsia" w:ascii="宋体" w:hAnsi="宋体"/>
          <w:b/>
          <w:color w:val="auto"/>
          <w:sz w:val="24"/>
          <w:szCs w:val="24"/>
        </w:rPr>
      </w:pPr>
    </w:p>
    <w:p>
      <w:pPr>
        <w:pStyle w:val="9"/>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7</w:t>
      </w:r>
      <w:r>
        <w:rPr>
          <w:rFonts w:hint="eastAsia"/>
          <w:b/>
          <w:color w:val="auto"/>
          <w:sz w:val="24"/>
          <w:szCs w:val="24"/>
        </w:rPr>
        <w:t xml:space="preserve"> </w:t>
      </w:r>
      <w:r>
        <w:rPr>
          <w:rFonts w:hint="eastAsia"/>
          <w:b/>
          <w:color w:val="auto"/>
          <w:sz w:val="24"/>
          <w:szCs w:val="24"/>
          <w:lang w:eastAsia="zh-CN"/>
        </w:rPr>
        <w:t>履约能力</w:t>
      </w:r>
      <w:r>
        <w:rPr>
          <w:rFonts w:hint="eastAsia" w:ascii="宋体" w:hAnsi="宋体"/>
          <w:b/>
          <w:color w:val="auto"/>
          <w:sz w:val="24"/>
          <w:szCs w:val="24"/>
          <w:lang w:eastAsia="zh-CN"/>
        </w:rPr>
        <w:t>（应答本招标文件第四部分“采购需求”中的具体要求，格式自拟）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7.1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证明材料需提供合同首页、标的（内容）页</w:t>
      </w:r>
      <w:r>
        <w:rPr>
          <w:rFonts w:hint="eastAsia" w:hAnsi="宋体"/>
          <w:b w:val="0"/>
          <w:bCs/>
          <w:color w:val="000000"/>
          <w:sz w:val="24"/>
          <w:szCs w:val="24"/>
          <w:lang w:eastAsia="zh-CN"/>
        </w:rPr>
        <w:t>及</w:t>
      </w:r>
      <w:r>
        <w:rPr>
          <w:rFonts w:hint="eastAsia" w:hAnsi="宋体"/>
          <w:b w:val="0"/>
          <w:bCs/>
          <w:color w:val="000000"/>
          <w:sz w:val="24"/>
          <w:szCs w:val="24"/>
        </w:rPr>
        <w:t>合同双方盖章页复印件并加盖投标人公章）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1"/>
        <w:tblW w:w="80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505"/>
        <w:gridCol w:w="1340"/>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505"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4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187"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bl>
    <w:p>
      <w:pPr>
        <w:pStyle w:val="12"/>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6"/>
        <w:rPr>
          <w:rFonts w:hint="eastAsia"/>
        </w:rPr>
      </w:pPr>
    </w:p>
    <w:p>
      <w:pPr>
        <w:pStyle w:val="9"/>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7.2投标人认证证书（按招标文件要求提供相关认证证书复印件并加盖投标人公章）；</w:t>
      </w:r>
    </w:p>
    <w:p>
      <w:pPr>
        <w:pStyle w:val="16"/>
        <w:ind w:left="0" w:leftChars="0" w:firstLine="0" w:firstLineChars="0"/>
        <w:rPr>
          <w:rFonts w:hint="eastAsia" w:ascii="宋体" w:hAnsi="宋体" w:eastAsia="宋体" w:cs="宋体"/>
          <w:sz w:val="24"/>
          <w:szCs w:val="24"/>
          <w:lang w:val="en-US" w:eastAsia="zh-CN"/>
        </w:rPr>
      </w:pPr>
    </w:p>
    <w:p>
      <w:pPr>
        <w:pStyle w:val="16"/>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附件8 投标产品及技术方案（应答本招标文件第四部分“采购需求”中的具体要求，格式自拟）</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8.1环保认证证书（按招标文件要求提供相关证书复印件并加盖投标人公章）；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8.2供货安装及调试方案（按招标文件要求编制并加盖投标人公章）；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8.3售后服务方案（按招标文件要求编制并加盖投标人公章）；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8.4生产设备能力（按招标文件要求提供相关材料并加盖投标人公章）</w:t>
      </w:r>
      <w:r>
        <w:rPr>
          <w:rFonts w:hint="eastAsia" w:ascii="宋体" w:hAnsi="宋体" w:cs="宋体"/>
          <w:b w:val="0"/>
          <w:bCs w:val="0"/>
          <w:sz w:val="24"/>
          <w:szCs w:val="24"/>
          <w:lang w:val="en-US" w:eastAsia="zh-CN"/>
        </w:rPr>
        <w:t>。</w:t>
      </w:r>
    </w:p>
    <w:p>
      <w:pPr>
        <w:pStyle w:val="12"/>
        <w:tabs>
          <w:tab w:val="left" w:pos="5220"/>
        </w:tabs>
        <w:spacing w:line="360" w:lineRule="auto"/>
        <w:rPr>
          <w:rFonts w:hint="eastAsia" w:hAnsi="宋体"/>
          <w:b/>
          <w:color w:val="auto"/>
          <w:sz w:val="24"/>
          <w:szCs w:val="24"/>
        </w:rPr>
      </w:pPr>
    </w:p>
    <w:p>
      <w:pPr>
        <w:pStyle w:val="12"/>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b/>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r>
        <w:rPr>
          <w:rFonts w:hint="eastAsia" w:ascii="宋体" w:hAnsi="宋体"/>
          <w:b/>
          <w:color w:val="auto"/>
          <w:sz w:val="24"/>
          <w:szCs w:val="24"/>
        </w:rPr>
        <w:t>中小企业声明函（货物）</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9"/>
        <w:rPr>
          <w:rFonts w:hint="eastAsia" w:ascii="宋体" w:hAnsi="宋体" w:eastAsia="宋体" w:cs="宋体"/>
          <w:lang w:val="en-US" w:eastAsia="zh-CN"/>
        </w:rPr>
      </w:pPr>
      <w:r>
        <w:rPr>
          <w:rFonts w:hint="eastAsia" w:ascii="宋体" w:hAnsi="宋体" w:eastAsia="宋体" w:cs="宋体"/>
          <w:lang w:val="en-US" w:eastAsia="zh-CN"/>
        </w:rPr>
        <w:t>4.本声明函中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6</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8"/>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49"/>
        <w:numPr>
          <w:ilvl w:val="0"/>
          <w:numId w:val="0"/>
        </w:numPr>
        <w:tabs>
          <w:tab w:val="left" w:pos="660"/>
        </w:tabs>
        <w:snapToGrid w:val="0"/>
        <w:spacing w:before="0" w:line="440" w:lineRule="exact"/>
        <w:ind w:firstLine="420" w:firstLineChars="200"/>
        <w:rPr>
          <w:b w:val="0"/>
          <w:color w:val="auto"/>
          <w:szCs w:val="21"/>
        </w:rPr>
      </w:pPr>
    </w:p>
    <w:sectPr>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Align="top"/>
    </w:pPr>
  </w:p>
  <w:p>
    <w:pPr>
      <w:pStyle w:val="15"/>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w:t>
    </w:r>
    <w:r>
      <w:rPr>
        <w:rFonts w:hint="eastAsia"/>
        <w:lang w:eastAsia="zh-CN"/>
      </w:rPr>
      <w:t>石景山区</w:t>
    </w:r>
    <w:r>
      <w:rPr>
        <w:rFonts w:hint="eastAsia"/>
      </w:rPr>
      <w:t>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2AFC87"/>
    <w:multiLevelType w:val="singleLevel"/>
    <w:tmpl w:val="D92AFC87"/>
    <w:lvl w:ilvl="0" w:tentative="0">
      <w:start w:val="1"/>
      <w:numFmt w:val="decimal"/>
      <w:suff w:val="nothing"/>
      <w:lvlText w:val="%1、"/>
      <w:lvlJc w:val="left"/>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8"/>
      <w:suff w:val="nothing"/>
      <w:lvlText w:val="第%1部分"/>
      <w:lvlJc w:val="center"/>
      <w:pPr>
        <w:ind w:left="5666" w:firstLine="288"/>
      </w:pPr>
      <w:rPr>
        <w:rFonts w:hint="eastAsia"/>
        <w:sz w:val="28"/>
        <w:szCs w:val="28"/>
      </w:rPr>
    </w:lvl>
    <w:lvl w:ilvl="1" w:tentative="0">
      <w:start w:val="1"/>
      <w:numFmt w:val="chineseCountingThousand"/>
      <w:pStyle w:val="2"/>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69"/>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3"/>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0">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381CAFE"/>
    <w:multiLevelType w:val="singleLevel"/>
    <w:tmpl w:val="3381CAFE"/>
    <w:lvl w:ilvl="0" w:tentative="0">
      <w:start w:val="1"/>
      <w:numFmt w:val="decimal"/>
      <w:suff w:val="nothing"/>
      <w:lvlText w:val="%1、"/>
      <w:lvlJc w:val="left"/>
    </w:lvl>
  </w:abstractNum>
  <w:abstractNum w:abstractNumId="13">
    <w:nsid w:val="37C82EE6"/>
    <w:multiLevelType w:val="multilevel"/>
    <w:tmpl w:val="37C82EE6"/>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4">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5FD1DD5E"/>
    <w:multiLevelType w:val="singleLevel"/>
    <w:tmpl w:val="5FD1DD5E"/>
    <w:lvl w:ilvl="0" w:tentative="0">
      <w:start w:val="2"/>
      <w:numFmt w:val="chineseCounting"/>
      <w:suff w:val="nothing"/>
      <w:lvlText w:val="%1、"/>
      <w:lvlJc w:val="left"/>
    </w:lvl>
  </w:abstractNum>
  <w:abstractNum w:abstractNumId="19">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60D2DDBF"/>
    <w:multiLevelType w:val="singleLevel"/>
    <w:tmpl w:val="60D2DDBF"/>
    <w:lvl w:ilvl="0" w:tentative="0">
      <w:start w:val="1"/>
      <w:numFmt w:val="chineseCounting"/>
      <w:suff w:val="nothing"/>
      <w:lvlText w:val="%1、"/>
      <w:lvlJc w:val="left"/>
    </w:lvl>
  </w:abstractNum>
  <w:abstractNum w:abstractNumId="21">
    <w:nsid w:val="64DB4281"/>
    <w:multiLevelType w:val="singleLevel"/>
    <w:tmpl w:val="64DB4281"/>
    <w:lvl w:ilvl="0" w:tentative="0">
      <w:start w:val="2"/>
      <w:numFmt w:val="chineseCounting"/>
      <w:suff w:val="nothing"/>
      <w:lvlText w:val="%1、"/>
      <w:lvlJc w:val="left"/>
    </w:lvl>
  </w:abstractNum>
  <w:abstractNum w:abstractNumId="22">
    <w:nsid w:val="662A0E7F"/>
    <w:multiLevelType w:val="singleLevel"/>
    <w:tmpl w:val="662A0E7F"/>
    <w:lvl w:ilvl="0" w:tentative="0">
      <w:start w:val="1"/>
      <w:numFmt w:val="chineseCounting"/>
      <w:suff w:val="nothing"/>
      <w:lvlText w:val="%1、"/>
      <w:lvlJc w:val="left"/>
    </w:lvl>
  </w:abstractNum>
  <w:abstractNum w:abstractNumId="23">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7"/>
  </w:num>
  <w:num w:numId="3">
    <w:abstractNumId w:val="5"/>
  </w:num>
  <w:num w:numId="4">
    <w:abstractNumId w:val="3"/>
  </w:num>
  <w:num w:numId="5">
    <w:abstractNumId w:val="10"/>
  </w:num>
  <w:num w:numId="6">
    <w:abstractNumId w:val="8"/>
  </w:num>
  <w:num w:numId="7">
    <w:abstractNumId w:val="6"/>
  </w:num>
  <w:num w:numId="8">
    <w:abstractNumId w:val="1"/>
  </w:num>
  <w:num w:numId="9">
    <w:abstractNumId w:val="16"/>
  </w:num>
  <w:num w:numId="10">
    <w:abstractNumId w:val="9"/>
  </w:num>
  <w:num w:numId="11">
    <w:abstractNumId w:val="17"/>
  </w:num>
  <w:num w:numId="12">
    <w:abstractNumId w:val="13"/>
  </w:num>
  <w:num w:numId="13">
    <w:abstractNumId w:val="23"/>
  </w:num>
  <w:num w:numId="14">
    <w:abstractNumId w:val="14"/>
  </w:num>
  <w:num w:numId="15">
    <w:abstractNumId w:val="19"/>
  </w:num>
  <w:num w:numId="16">
    <w:abstractNumId w:val="22"/>
  </w:num>
  <w:num w:numId="17">
    <w:abstractNumId w:val="0"/>
  </w:num>
  <w:num w:numId="18">
    <w:abstractNumId w:val="12"/>
  </w:num>
  <w:num w:numId="19">
    <w:abstractNumId w:val="21"/>
  </w:num>
  <w:num w:numId="20">
    <w:abstractNumId w:val="20"/>
  </w:num>
  <w:num w:numId="21">
    <w:abstractNumId w:val="4"/>
  </w:num>
  <w:num w:numId="22">
    <w:abstractNumId w:val="18"/>
  </w:num>
  <w:num w:numId="23">
    <w:abstractNumId w:val="1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0D47"/>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827E9"/>
    <w:rsid w:val="01C34939"/>
    <w:rsid w:val="01CA5EE6"/>
    <w:rsid w:val="01E631E6"/>
    <w:rsid w:val="0241242E"/>
    <w:rsid w:val="02634F58"/>
    <w:rsid w:val="02713CE9"/>
    <w:rsid w:val="027A0FAC"/>
    <w:rsid w:val="027B0645"/>
    <w:rsid w:val="02937392"/>
    <w:rsid w:val="02986BAE"/>
    <w:rsid w:val="02B468D4"/>
    <w:rsid w:val="02B822EE"/>
    <w:rsid w:val="02BA1A1C"/>
    <w:rsid w:val="02BC151D"/>
    <w:rsid w:val="02F33177"/>
    <w:rsid w:val="03313C23"/>
    <w:rsid w:val="03517B13"/>
    <w:rsid w:val="037E4131"/>
    <w:rsid w:val="039676A1"/>
    <w:rsid w:val="03FA653E"/>
    <w:rsid w:val="040855F0"/>
    <w:rsid w:val="043B1FBA"/>
    <w:rsid w:val="044364E6"/>
    <w:rsid w:val="04862191"/>
    <w:rsid w:val="04A079A1"/>
    <w:rsid w:val="04B8684A"/>
    <w:rsid w:val="04BD3082"/>
    <w:rsid w:val="04C95821"/>
    <w:rsid w:val="04D9313E"/>
    <w:rsid w:val="04E20BB2"/>
    <w:rsid w:val="052517AC"/>
    <w:rsid w:val="052A2F37"/>
    <w:rsid w:val="05577082"/>
    <w:rsid w:val="05675B6F"/>
    <w:rsid w:val="05784ADB"/>
    <w:rsid w:val="059B7190"/>
    <w:rsid w:val="05DB66F5"/>
    <w:rsid w:val="05E30809"/>
    <w:rsid w:val="06015038"/>
    <w:rsid w:val="0617564E"/>
    <w:rsid w:val="06586BA0"/>
    <w:rsid w:val="06647C71"/>
    <w:rsid w:val="06775908"/>
    <w:rsid w:val="06984252"/>
    <w:rsid w:val="06AC5BCC"/>
    <w:rsid w:val="06B21116"/>
    <w:rsid w:val="06B33245"/>
    <w:rsid w:val="06EE4233"/>
    <w:rsid w:val="06F37945"/>
    <w:rsid w:val="06F45CB8"/>
    <w:rsid w:val="06FC4D63"/>
    <w:rsid w:val="072247F2"/>
    <w:rsid w:val="07763533"/>
    <w:rsid w:val="07770811"/>
    <w:rsid w:val="077A51BB"/>
    <w:rsid w:val="07BE17AC"/>
    <w:rsid w:val="07C908D5"/>
    <w:rsid w:val="07DF365D"/>
    <w:rsid w:val="08077D08"/>
    <w:rsid w:val="08237E68"/>
    <w:rsid w:val="087B3586"/>
    <w:rsid w:val="08AF5928"/>
    <w:rsid w:val="093551A2"/>
    <w:rsid w:val="094B72FF"/>
    <w:rsid w:val="094B7FFD"/>
    <w:rsid w:val="09792C3C"/>
    <w:rsid w:val="09802789"/>
    <w:rsid w:val="09C20B11"/>
    <w:rsid w:val="09E162A4"/>
    <w:rsid w:val="09EB6B3F"/>
    <w:rsid w:val="0A0A0F37"/>
    <w:rsid w:val="0A5B6057"/>
    <w:rsid w:val="0AA94995"/>
    <w:rsid w:val="0AB013DD"/>
    <w:rsid w:val="0AD76E09"/>
    <w:rsid w:val="0ADB5D98"/>
    <w:rsid w:val="0AEB20CF"/>
    <w:rsid w:val="0B307A1F"/>
    <w:rsid w:val="0B3A40CE"/>
    <w:rsid w:val="0B3D750A"/>
    <w:rsid w:val="0B600003"/>
    <w:rsid w:val="0BAD7377"/>
    <w:rsid w:val="0BEF2A51"/>
    <w:rsid w:val="0BFE5057"/>
    <w:rsid w:val="0C0F7B53"/>
    <w:rsid w:val="0C177F3B"/>
    <w:rsid w:val="0C3E629A"/>
    <w:rsid w:val="0CA603E9"/>
    <w:rsid w:val="0CA82A26"/>
    <w:rsid w:val="0CB51378"/>
    <w:rsid w:val="0CDC4917"/>
    <w:rsid w:val="0CEA36C2"/>
    <w:rsid w:val="0D156991"/>
    <w:rsid w:val="0D310488"/>
    <w:rsid w:val="0D422805"/>
    <w:rsid w:val="0D677F7A"/>
    <w:rsid w:val="0D7D1AB0"/>
    <w:rsid w:val="0DE41272"/>
    <w:rsid w:val="0E2249CA"/>
    <w:rsid w:val="0E2A5ED5"/>
    <w:rsid w:val="0E2B4ADB"/>
    <w:rsid w:val="0E652AC5"/>
    <w:rsid w:val="0E680D42"/>
    <w:rsid w:val="0E6C0832"/>
    <w:rsid w:val="0E817AE0"/>
    <w:rsid w:val="0E870CBE"/>
    <w:rsid w:val="0F3E1D0C"/>
    <w:rsid w:val="0F3F3AC3"/>
    <w:rsid w:val="0F563291"/>
    <w:rsid w:val="0F886821"/>
    <w:rsid w:val="0F95677E"/>
    <w:rsid w:val="0FDA6761"/>
    <w:rsid w:val="0FE04855"/>
    <w:rsid w:val="0FF94533"/>
    <w:rsid w:val="101747CE"/>
    <w:rsid w:val="10185130"/>
    <w:rsid w:val="10580897"/>
    <w:rsid w:val="10613C9B"/>
    <w:rsid w:val="10990D12"/>
    <w:rsid w:val="10A108BE"/>
    <w:rsid w:val="10BA4CBF"/>
    <w:rsid w:val="10CB554B"/>
    <w:rsid w:val="10CC70B6"/>
    <w:rsid w:val="10EF74F9"/>
    <w:rsid w:val="11461138"/>
    <w:rsid w:val="116A7FC2"/>
    <w:rsid w:val="11765355"/>
    <w:rsid w:val="118F5C26"/>
    <w:rsid w:val="119E12CC"/>
    <w:rsid w:val="11C049F1"/>
    <w:rsid w:val="11F0089D"/>
    <w:rsid w:val="120378A4"/>
    <w:rsid w:val="12094873"/>
    <w:rsid w:val="125536E3"/>
    <w:rsid w:val="12617F82"/>
    <w:rsid w:val="127101E3"/>
    <w:rsid w:val="12CD0BFB"/>
    <w:rsid w:val="12EF2557"/>
    <w:rsid w:val="12F41CDD"/>
    <w:rsid w:val="12FF1165"/>
    <w:rsid w:val="13006381"/>
    <w:rsid w:val="13097A34"/>
    <w:rsid w:val="130B30DF"/>
    <w:rsid w:val="13332CF5"/>
    <w:rsid w:val="13663A21"/>
    <w:rsid w:val="137D0D2E"/>
    <w:rsid w:val="13A1778B"/>
    <w:rsid w:val="13AA0B20"/>
    <w:rsid w:val="13B27EDA"/>
    <w:rsid w:val="13B71816"/>
    <w:rsid w:val="13BC5C96"/>
    <w:rsid w:val="13C61423"/>
    <w:rsid w:val="13FC4A12"/>
    <w:rsid w:val="147C3637"/>
    <w:rsid w:val="149900EE"/>
    <w:rsid w:val="14C34F24"/>
    <w:rsid w:val="15316BDD"/>
    <w:rsid w:val="155F756F"/>
    <w:rsid w:val="156E5BE9"/>
    <w:rsid w:val="15A008CA"/>
    <w:rsid w:val="15A36D6C"/>
    <w:rsid w:val="15E41E5C"/>
    <w:rsid w:val="1626204C"/>
    <w:rsid w:val="162A3979"/>
    <w:rsid w:val="166C4E7A"/>
    <w:rsid w:val="167509E2"/>
    <w:rsid w:val="16D2320F"/>
    <w:rsid w:val="16D60F60"/>
    <w:rsid w:val="16DD1EB6"/>
    <w:rsid w:val="17356B9A"/>
    <w:rsid w:val="17881AEE"/>
    <w:rsid w:val="17AC7877"/>
    <w:rsid w:val="18491501"/>
    <w:rsid w:val="1874317C"/>
    <w:rsid w:val="188F709B"/>
    <w:rsid w:val="18C95438"/>
    <w:rsid w:val="18FF07D3"/>
    <w:rsid w:val="19061443"/>
    <w:rsid w:val="191F4712"/>
    <w:rsid w:val="192A0D10"/>
    <w:rsid w:val="193E101D"/>
    <w:rsid w:val="19525595"/>
    <w:rsid w:val="195F32C8"/>
    <w:rsid w:val="196828FD"/>
    <w:rsid w:val="196C76F2"/>
    <w:rsid w:val="19EB12C9"/>
    <w:rsid w:val="19FE255B"/>
    <w:rsid w:val="1A176D69"/>
    <w:rsid w:val="1A383CBF"/>
    <w:rsid w:val="1A4A2927"/>
    <w:rsid w:val="1AD357F0"/>
    <w:rsid w:val="1AF4250B"/>
    <w:rsid w:val="1B0336FC"/>
    <w:rsid w:val="1B2532EE"/>
    <w:rsid w:val="1B4B6EDB"/>
    <w:rsid w:val="1B5B0B3A"/>
    <w:rsid w:val="1B83304F"/>
    <w:rsid w:val="1B8F7888"/>
    <w:rsid w:val="1BDC2E40"/>
    <w:rsid w:val="1BF7712A"/>
    <w:rsid w:val="1BFF54A2"/>
    <w:rsid w:val="1C3E53C4"/>
    <w:rsid w:val="1C860CEA"/>
    <w:rsid w:val="1CC260CF"/>
    <w:rsid w:val="1CF33AE1"/>
    <w:rsid w:val="1CF606CD"/>
    <w:rsid w:val="1CFE5C7E"/>
    <w:rsid w:val="1D456CB0"/>
    <w:rsid w:val="1D4B3AF6"/>
    <w:rsid w:val="1D570900"/>
    <w:rsid w:val="1D85546D"/>
    <w:rsid w:val="1E206BFF"/>
    <w:rsid w:val="1E3E04E2"/>
    <w:rsid w:val="1E3E386E"/>
    <w:rsid w:val="1E5921FA"/>
    <w:rsid w:val="1E7E3C6A"/>
    <w:rsid w:val="1E853A13"/>
    <w:rsid w:val="1EB168BC"/>
    <w:rsid w:val="1EC743DC"/>
    <w:rsid w:val="1EF328AA"/>
    <w:rsid w:val="1F595EBC"/>
    <w:rsid w:val="1F650D3F"/>
    <w:rsid w:val="1F851B60"/>
    <w:rsid w:val="1F8C40AD"/>
    <w:rsid w:val="1F943744"/>
    <w:rsid w:val="1FA330D0"/>
    <w:rsid w:val="1FAE1CD2"/>
    <w:rsid w:val="1FDE0E64"/>
    <w:rsid w:val="201F5F97"/>
    <w:rsid w:val="20552676"/>
    <w:rsid w:val="205E5B3F"/>
    <w:rsid w:val="206F0703"/>
    <w:rsid w:val="20A73C6F"/>
    <w:rsid w:val="20FD44F0"/>
    <w:rsid w:val="21030101"/>
    <w:rsid w:val="21204D3F"/>
    <w:rsid w:val="213E4D7F"/>
    <w:rsid w:val="2145260E"/>
    <w:rsid w:val="21602967"/>
    <w:rsid w:val="21BD05D5"/>
    <w:rsid w:val="21C73079"/>
    <w:rsid w:val="21E4518E"/>
    <w:rsid w:val="21FD64A6"/>
    <w:rsid w:val="2203624D"/>
    <w:rsid w:val="220C3334"/>
    <w:rsid w:val="220D1CD7"/>
    <w:rsid w:val="22301A93"/>
    <w:rsid w:val="22585F84"/>
    <w:rsid w:val="230A22AF"/>
    <w:rsid w:val="231006CB"/>
    <w:rsid w:val="23273500"/>
    <w:rsid w:val="23274DB9"/>
    <w:rsid w:val="232E30DA"/>
    <w:rsid w:val="234B21CA"/>
    <w:rsid w:val="236B13B6"/>
    <w:rsid w:val="23894B60"/>
    <w:rsid w:val="23942388"/>
    <w:rsid w:val="23AC43EA"/>
    <w:rsid w:val="23DF6A26"/>
    <w:rsid w:val="23FE086B"/>
    <w:rsid w:val="24140120"/>
    <w:rsid w:val="241C6F40"/>
    <w:rsid w:val="243B11DC"/>
    <w:rsid w:val="24862234"/>
    <w:rsid w:val="2489188E"/>
    <w:rsid w:val="249B304D"/>
    <w:rsid w:val="24A47ECF"/>
    <w:rsid w:val="24E126D5"/>
    <w:rsid w:val="25026A3C"/>
    <w:rsid w:val="254379B8"/>
    <w:rsid w:val="254A22E7"/>
    <w:rsid w:val="256047D1"/>
    <w:rsid w:val="25605648"/>
    <w:rsid w:val="25847246"/>
    <w:rsid w:val="25871511"/>
    <w:rsid w:val="25CF3592"/>
    <w:rsid w:val="26130B48"/>
    <w:rsid w:val="26786155"/>
    <w:rsid w:val="26B17EFA"/>
    <w:rsid w:val="26BE6A18"/>
    <w:rsid w:val="26F57C1E"/>
    <w:rsid w:val="27012B4B"/>
    <w:rsid w:val="270511FD"/>
    <w:rsid w:val="27087DF0"/>
    <w:rsid w:val="27091BE1"/>
    <w:rsid w:val="273719DF"/>
    <w:rsid w:val="27AE73F2"/>
    <w:rsid w:val="27CD4D3B"/>
    <w:rsid w:val="27EB7A98"/>
    <w:rsid w:val="280A089B"/>
    <w:rsid w:val="281140CC"/>
    <w:rsid w:val="282D2BAB"/>
    <w:rsid w:val="2889743D"/>
    <w:rsid w:val="28B952DF"/>
    <w:rsid w:val="28C541F0"/>
    <w:rsid w:val="28FD00AC"/>
    <w:rsid w:val="290659A8"/>
    <w:rsid w:val="29111B82"/>
    <w:rsid w:val="292B6ADD"/>
    <w:rsid w:val="29361D56"/>
    <w:rsid w:val="2998368C"/>
    <w:rsid w:val="29C9144C"/>
    <w:rsid w:val="29F17D42"/>
    <w:rsid w:val="29F5561A"/>
    <w:rsid w:val="29F6324E"/>
    <w:rsid w:val="29F83EBD"/>
    <w:rsid w:val="2A17701F"/>
    <w:rsid w:val="2A2B0181"/>
    <w:rsid w:val="2A2E12EA"/>
    <w:rsid w:val="2A636507"/>
    <w:rsid w:val="2A913237"/>
    <w:rsid w:val="2B0A2821"/>
    <w:rsid w:val="2B1105EB"/>
    <w:rsid w:val="2B355B0C"/>
    <w:rsid w:val="2B423772"/>
    <w:rsid w:val="2B441109"/>
    <w:rsid w:val="2B6304FF"/>
    <w:rsid w:val="2B6921EB"/>
    <w:rsid w:val="2BC85B84"/>
    <w:rsid w:val="2BFE4D84"/>
    <w:rsid w:val="2C0C457B"/>
    <w:rsid w:val="2C397413"/>
    <w:rsid w:val="2C3E22B4"/>
    <w:rsid w:val="2C57234B"/>
    <w:rsid w:val="2CD01A89"/>
    <w:rsid w:val="2CD4301B"/>
    <w:rsid w:val="2CDE03EA"/>
    <w:rsid w:val="2D3A5A79"/>
    <w:rsid w:val="2D5200BC"/>
    <w:rsid w:val="2D807BE3"/>
    <w:rsid w:val="2D935498"/>
    <w:rsid w:val="2D960FD0"/>
    <w:rsid w:val="2DC7118A"/>
    <w:rsid w:val="2DC91A5F"/>
    <w:rsid w:val="2E0A163E"/>
    <w:rsid w:val="2E1A1DAE"/>
    <w:rsid w:val="2E4423BC"/>
    <w:rsid w:val="2E934D7B"/>
    <w:rsid w:val="2EA9088F"/>
    <w:rsid w:val="2EB21E3A"/>
    <w:rsid w:val="2EB47722"/>
    <w:rsid w:val="2EB575F2"/>
    <w:rsid w:val="2FB40DAA"/>
    <w:rsid w:val="2FB71626"/>
    <w:rsid w:val="2FC00586"/>
    <w:rsid w:val="2FC35981"/>
    <w:rsid w:val="2FFD6655"/>
    <w:rsid w:val="300B7014"/>
    <w:rsid w:val="3037489E"/>
    <w:rsid w:val="30554E29"/>
    <w:rsid w:val="3062616A"/>
    <w:rsid w:val="3063327C"/>
    <w:rsid w:val="30671DB9"/>
    <w:rsid w:val="30A65EE6"/>
    <w:rsid w:val="30B1416E"/>
    <w:rsid w:val="30BD6874"/>
    <w:rsid w:val="30EB3AD8"/>
    <w:rsid w:val="310E7433"/>
    <w:rsid w:val="31235BFC"/>
    <w:rsid w:val="31311196"/>
    <w:rsid w:val="313D0E42"/>
    <w:rsid w:val="31484C88"/>
    <w:rsid w:val="315316A2"/>
    <w:rsid w:val="31777FE1"/>
    <w:rsid w:val="31927DDB"/>
    <w:rsid w:val="32246947"/>
    <w:rsid w:val="322F37A1"/>
    <w:rsid w:val="324C3ABF"/>
    <w:rsid w:val="326E7C8D"/>
    <w:rsid w:val="328F1F00"/>
    <w:rsid w:val="32A418C0"/>
    <w:rsid w:val="32A67A85"/>
    <w:rsid w:val="32C0386A"/>
    <w:rsid w:val="32D33FF8"/>
    <w:rsid w:val="32DF7714"/>
    <w:rsid w:val="32FA6C75"/>
    <w:rsid w:val="330E35C3"/>
    <w:rsid w:val="330E59C5"/>
    <w:rsid w:val="332B21BB"/>
    <w:rsid w:val="3343134C"/>
    <w:rsid w:val="334B181A"/>
    <w:rsid w:val="334F550D"/>
    <w:rsid w:val="33616C08"/>
    <w:rsid w:val="33CB6AC5"/>
    <w:rsid w:val="33E81489"/>
    <w:rsid w:val="34414D13"/>
    <w:rsid w:val="34430EF3"/>
    <w:rsid w:val="34545604"/>
    <w:rsid w:val="345C0152"/>
    <w:rsid w:val="34A46877"/>
    <w:rsid w:val="34AF4725"/>
    <w:rsid w:val="34BD007C"/>
    <w:rsid w:val="34DD4776"/>
    <w:rsid w:val="34FF4CFD"/>
    <w:rsid w:val="35423F62"/>
    <w:rsid w:val="35451B97"/>
    <w:rsid w:val="354C558D"/>
    <w:rsid w:val="355C053A"/>
    <w:rsid w:val="356F360E"/>
    <w:rsid w:val="35841DE5"/>
    <w:rsid w:val="358A2FFA"/>
    <w:rsid w:val="35A2365E"/>
    <w:rsid w:val="35BD4BE3"/>
    <w:rsid w:val="35C36A78"/>
    <w:rsid w:val="35C92BC0"/>
    <w:rsid w:val="35CE3E0E"/>
    <w:rsid w:val="35E97A18"/>
    <w:rsid w:val="35F07042"/>
    <w:rsid w:val="35F676A4"/>
    <w:rsid w:val="361909F0"/>
    <w:rsid w:val="36414B7D"/>
    <w:rsid w:val="36662A95"/>
    <w:rsid w:val="36774E08"/>
    <w:rsid w:val="367C1F85"/>
    <w:rsid w:val="3684230E"/>
    <w:rsid w:val="368F6A3C"/>
    <w:rsid w:val="36CF30C0"/>
    <w:rsid w:val="36F131B8"/>
    <w:rsid w:val="370449D4"/>
    <w:rsid w:val="370474AE"/>
    <w:rsid w:val="37140389"/>
    <w:rsid w:val="37326316"/>
    <w:rsid w:val="37456982"/>
    <w:rsid w:val="37494B97"/>
    <w:rsid w:val="374D596A"/>
    <w:rsid w:val="379428AD"/>
    <w:rsid w:val="382E0799"/>
    <w:rsid w:val="383618A8"/>
    <w:rsid w:val="38384EC4"/>
    <w:rsid w:val="38741F0E"/>
    <w:rsid w:val="387939C8"/>
    <w:rsid w:val="38A04AB1"/>
    <w:rsid w:val="38AC120B"/>
    <w:rsid w:val="38CB5C07"/>
    <w:rsid w:val="38E45351"/>
    <w:rsid w:val="39022F42"/>
    <w:rsid w:val="390E59CE"/>
    <w:rsid w:val="392A4BA7"/>
    <w:rsid w:val="392E07A0"/>
    <w:rsid w:val="396401D4"/>
    <w:rsid w:val="398110EB"/>
    <w:rsid w:val="398C3730"/>
    <w:rsid w:val="398D3D61"/>
    <w:rsid w:val="399C2C96"/>
    <w:rsid w:val="39CD48C1"/>
    <w:rsid w:val="39E074AA"/>
    <w:rsid w:val="39F07CBA"/>
    <w:rsid w:val="39FC3D96"/>
    <w:rsid w:val="3A0E401B"/>
    <w:rsid w:val="3A5179F7"/>
    <w:rsid w:val="3A8024DE"/>
    <w:rsid w:val="3AAA00CF"/>
    <w:rsid w:val="3ABD59FD"/>
    <w:rsid w:val="3B021C51"/>
    <w:rsid w:val="3B172655"/>
    <w:rsid w:val="3B232C47"/>
    <w:rsid w:val="3B293484"/>
    <w:rsid w:val="3B2C2418"/>
    <w:rsid w:val="3B2F2A76"/>
    <w:rsid w:val="3B753C42"/>
    <w:rsid w:val="3B893C5E"/>
    <w:rsid w:val="3B9F326E"/>
    <w:rsid w:val="3C020661"/>
    <w:rsid w:val="3C0352EF"/>
    <w:rsid w:val="3C096364"/>
    <w:rsid w:val="3C1D503F"/>
    <w:rsid w:val="3C244E8A"/>
    <w:rsid w:val="3C447E49"/>
    <w:rsid w:val="3C850B8E"/>
    <w:rsid w:val="3CB6189E"/>
    <w:rsid w:val="3CC25D1C"/>
    <w:rsid w:val="3CDD2778"/>
    <w:rsid w:val="3CF275EF"/>
    <w:rsid w:val="3CF67BCC"/>
    <w:rsid w:val="3D0E0543"/>
    <w:rsid w:val="3D51799F"/>
    <w:rsid w:val="3D5B68FD"/>
    <w:rsid w:val="3D7C58E6"/>
    <w:rsid w:val="3D9C48AB"/>
    <w:rsid w:val="3DA13081"/>
    <w:rsid w:val="3E0C2BE9"/>
    <w:rsid w:val="3E121BEB"/>
    <w:rsid w:val="3E1A5B21"/>
    <w:rsid w:val="3E354517"/>
    <w:rsid w:val="3E3A570E"/>
    <w:rsid w:val="3E646581"/>
    <w:rsid w:val="3E785D63"/>
    <w:rsid w:val="3EB733D7"/>
    <w:rsid w:val="3ECA6635"/>
    <w:rsid w:val="3EEE5831"/>
    <w:rsid w:val="3EF36EC9"/>
    <w:rsid w:val="3F214E40"/>
    <w:rsid w:val="3F215B0E"/>
    <w:rsid w:val="3F2A29BD"/>
    <w:rsid w:val="3F3B001F"/>
    <w:rsid w:val="3F6C11FF"/>
    <w:rsid w:val="3F7F4867"/>
    <w:rsid w:val="3F8F1D2B"/>
    <w:rsid w:val="3FAE3DA4"/>
    <w:rsid w:val="3FCD2881"/>
    <w:rsid w:val="3FDB6D34"/>
    <w:rsid w:val="3FE2480C"/>
    <w:rsid w:val="3FE377A4"/>
    <w:rsid w:val="40767E1F"/>
    <w:rsid w:val="407F67D3"/>
    <w:rsid w:val="409E49BC"/>
    <w:rsid w:val="40AF0000"/>
    <w:rsid w:val="40AF6C25"/>
    <w:rsid w:val="40B76E20"/>
    <w:rsid w:val="40B817E6"/>
    <w:rsid w:val="40C32E1C"/>
    <w:rsid w:val="40C551CE"/>
    <w:rsid w:val="40CD6E37"/>
    <w:rsid w:val="40DC68A2"/>
    <w:rsid w:val="41065AEE"/>
    <w:rsid w:val="413B5299"/>
    <w:rsid w:val="415F6BB3"/>
    <w:rsid w:val="41712038"/>
    <w:rsid w:val="417F72A0"/>
    <w:rsid w:val="41C81F56"/>
    <w:rsid w:val="42270E8D"/>
    <w:rsid w:val="422E2D3D"/>
    <w:rsid w:val="423C09AD"/>
    <w:rsid w:val="42437A3E"/>
    <w:rsid w:val="424B1F31"/>
    <w:rsid w:val="42623B80"/>
    <w:rsid w:val="42D11320"/>
    <w:rsid w:val="42D24813"/>
    <w:rsid w:val="43426B5C"/>
    <w:rsid w:val="43617DEC"/>
    <w:rsid w:val="4376760C"/>
    <w:rsid w:val="43802418"/>
    <w:rsid w:val="43B6698F"/>
    <w:rsid w:val="43BC37E0"/>
    <w:rsid w:val="43C70ADF"/>
    <w:rsid w:val="43D268ED"/>
    <w:rsid w:val="44811BEB"/>
    <w:rsid w:val="449A2CFC"/>
    <w:rsid w:val="44DD0E93"/>
    <w:rsid w:val="44F30BFC"/>
    <w:rsid w:val="452329BB"/>
    <w:rsid w:val="45251A95"/>
    <w:rsid w:val="4565667F"/>
    <w:rsid w:val="45EA1272"/>
    <w:rsid w:val="46564538"/>
    <w:rsid w:val="466277F0"/>
    <w:rsid w:val="469D73C6"/>
    <w:rsid w:val="46A665EF"/>
    <w:rsid w:val="46A7188F"/>
    <w:rsid w:val="46C13DE4"/>
    <w:rsid w:val="473E556C"/>
    <w:rsid w:val="47406D18"/>
    <w:rsid w:val="474E7DCE"/>
    <w:rsid w:val="47537FBD"/>
    <w:rsid w:val="479E0D55"/>
    <w:rsid w:val="47DB06A9"/>
    <w:rsid w:val="47E0351C"/>
    <w:rsid w:val="4835273E"/>
    <w:rsid w:val="48592A3D"/>
    <w:rsid w:val="48726BB5"/>
    <w:rsid w:val="48D146CB"/>
    <w:rsid w:val="48D76A6B"/>
    <w:rsid w:val="49035AF9"/>
    <w:rsid w:val="490D6A4D"/>
    <w:rsid w:val="493064D3"/>
    <w:rsid w:val="493E65E0"/>
    <w:rsid w:val="495565E9"/>
    <w:rsid w:val="4979120A"/>
    <w:rsid w:val="498D7A6A"/>
    <w:rsid w:val="499E0CB1"/>
    <w:rsid w:val="49AB7605"/>
    <w:rsid w:val="49AF5398"/>
    <w:rsid w:val="49B72190"/>
    <w:rsid w:val="49B95055"/>
    <w:rsid w:val="49C246BC"/>
    <w:rsid w:val="49DF0FCF"/>
    <w:rsid w:val="49E55D1C"/>
    <w:rsid w:val="4A0C12C7"/>
    <w:rsid w:val="4A2E5A74"/>
    <w:rsid w:val="4A653F55"/>
    <w:rsid w:val="4A82670C"/>
    <w:rsid w:val="4A886A5A"/>
    <w:rsid w:val="4AA91EEB"/>
    <w:rsid w:val="4AAA7B9C"/>
    <w:rsid w:val="4AAF6DD6"/>
    <w:rsid w:val="4AC650AB"/>
    <w:rsid w:val="4ADF590D"/>
    <w:rsid w:val="4AEE3533"/>
    <w:rsid w:val="4B08214C"/>
    <w:rsid w:val="4B105006"/>
    <w:rsid w:val="4B1E7093"/>
    <w:rsid w:val="4B420D56"/>
    <w:rsid w:val="4B605F73"/>
    <w:rsid w:val="4B640B1B"/>
    <w:rsid w:val="4B667DDC"/>
    <w:rsid w:val="4B7441C5"/>
    <w:rsid w:val="4B781928"/>
    <w:rsid w:val="4B7A3386"/>
    <w:rsid w:val="4B99115F"/>
    <w:rsid w:val="4BB00ED0"/>
    <w:rsid w:val="4C203A05"/>
    <w:rsid w:val="4C261ED1"/>
    <w:rsid w:val="4C334DF4"/>
    <w:rsid w:val="4C3C4A99"/>
    <w:rsid w:val="4C420B26"/>
    <w:rsid w:val="4C514FE0"/>
    <w:rsid w:val="4C5C23B6"/>
    <w:rsid w:val="4C891FD4"/>
    <w:rsid w:val="4C9270D5"/>
    <w:rsid w:val="4C9463A6"/>
    <w:rsid w:val="4CA13AE3"/>
    <w:rsid w:val="4CBB5D6E"/>
    <w:rsid w:val="4CC81199"/>
    <w:rsid w:val="4CE74185"/>
    <w:rsid w:val="4D114264"/>
    <w:rsid w:val="4D337EC4"/>
    <w:rsid w:val="4D4B180F"/>
    <w:rsid w:val="4D6950DC"/>
    <w:rsid w:val="4D6B0078"/>
    <w:rsid w:val="4D7F4F8B"/>
    <w:rsid w:val="4D9856DE"/>
    <w:rsid w:val="4D986461"/>
    <w:rsid w:val="4DC00DAC"/>
    <w:rsid w:val="4DD86858"/>
    <w:rsid w:val="4DE8370E"/>
    <w:rsid w:val="4E0F1DFF"/>
    <w:rsid w:val="4E1711FD"/>
    <w:rsid w:val="4E207C43"/>
    <w:rsid w:val="4E7A5105"/>
    <w:rsid w:val="4E863E1D"/>
    <w:rsid w:val="4EE374B2"/>
    <w:rsid w:val="4EE40A96"/>
    <w:rsid w:val="4EE80B08"/>
    <w:rsid w:val="4EE96DA4"/>
    <w:rsid w:val="4F3C04B1"/>
    <w:rsid w:val="4F624D5E"/>
    <w:rsid w:val="4FAC0FFA"/>
    <w:rsid w:val="4FC20E0E"/>
    <w:rsid w:val="50157FE1"/>
    <w:rsid w:val="5058507B"/>
    <w:rsid w:val="507549F7"/>
    <w:rsid w:val="50D86394"/>
    <w:rsid w:val="50FA2116"/>
    <w:rsid w:val="511D4DBE"/>
    <w:rsid w:val="516E79EA"/>
    <w:rsid w:val="517E5064"/>
    <w:rsid w:val="5184095B"/>
    <w:rsid w:val="51CE05B8"/>
    <w:rsid w:val="51DC37C9"/>
    <w:rsid w:val="5268236B"/>
    <w:rsid w:val="526A04AF"/>
    <w:rsid w:val="52852D73"/>
    <w:rsid w:val="529A0E37"/>
    <w:rsid w:val="52A46327"/>
    <w:rsid w:val="52B21B59"/>
    <w:rsid w:val="52D42B8C"/>
    <w:rsid w:val="52DC7BB7"/>
    <w:rsid w:val="52F85837"/>
    <w:rsid w:val="53073724"/>
    <w:rsid w:val="53292404"/>
    <w:rsid w:val="5371574B"/>
    <w:rsid w:val="538B4884"/>
    <w:rsid w:val="53A05D2E"/>
    <w:rsid w:val="53B24BD6"/>
    <w:rsid w:val="53DC5390"/>
    <w:rsid w:val="53F62C1E"/>
    <w:rsid w:val="53FE7A79"/>
    <w:rsid w:val="540A18BE"/>
    <w:rsid w:val="541666E0"/>
    <w:rsid w:val="54225499"/>
    <w:rsid w:val="543B2438"/>
    <w:rsid w:val="543C792C"/>
    <w:rsid w:val="54420CBA"/>
    <w:rsid w:val="544A6DE2"/>
    <w:rsid w:val="54925294"/>
    <w:rsid w:val="54BF5C62"/>
    <w:rsid w:val="54CF77BE"/>
    <w:rsid w:val="55275632"/>
    <w:rsid w:val="554F40AA"/>
    <w:rsid w:val="555F2FD8"/>
    <w:rsid w:val="555F5CDC"/>
    <w:rsid w:val="557D51EF"/>
    <w:rsid w:val="558A6630"/>
    <w:rsid w:val="55A56760"/>
    <w:rsid w:val="55C06E40"/>
    <w:rsid w:val="55D933B8"/>
    <w:rsid w:val="55DC7AB5"/>
    <w:rsid w:val="55DE4B1F"/>
    <w:rsid w:val="55E3217E"/>
    <w:rsid w:val="56161787"/>
    <w:rsid w:val="562653EC"/>
    <w:rsid w:val="5657557D"/>
    <w:rsid w:val="56777341"/>
    <w:rsid w:val="56B0432C"/>
    <w:rsid w:val="56C24531"/>
    <w:rsid w:val="56C510F7"/>
    <w:rsid w:val="56CF5706"/>
    <w:rsid w:val="56D82212"/>
    <w:rsid w:val="56E00119"/>
    <w:rsid w:val="56F0341F"/>
    <w:rsid w:val="56F050EB"/>
    <w:rsid w:val="56FC1B50"/>
    <w:rsid w:val="56FE6105"/>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687D1F"/>
    <w:rsid w:val="589C6BEB"/>
    <w:rsid w:val="58B207A1"/>
    <w:rsid w:val="58B35F19"/>
    <w:rsid w:val="58BF34C3"/>
    <w:rsid w:val="58C00016"/>
    <w:rsid w:val="58FD32B6"/>
    <w:rsid w:val="590305D1"/>
    <w:rsid w:val="59344176"/>
    <w:rsid w:val="5935624E"/>
    <w:rsid w:val="59401CC2"/>
    <w:rsid w:val="594B6C47"/>
    <w:rsid w:val="59700CFA"/>
    <w:rsid w:val="59A5524E"/>
    <w:rsid w:val="59D439E0"/>
    <w:rsid w:val="59E7033A"/>
    <w:rsid w:val="59E85E60"/>
    <w:rsid w:val="59F815E4"/>
    <w:rsid w:val="5A144EA7"/>
    <w:rsid w:val="5A330053"/>
    <w:rsid w:val="5A481E8F"/>
    <w:rsid w:val="5A572069"/>
    <w:rsid w:val="5A5F25C6"/>
    <w:rsid w:val="5AB93F01"/>
    <w:rsid w:val="5AB9529C"/>
    <w:rsid w:val="5ADC3C17"/>
    <w:rsid w:val="5B461718"/>
    <w:rsid w:val="5B4C7CDF"/>
    <w:rsid w:val="5B534B96"/>
    <w:rsid w:val="5B796E68"/>
    <w:rsid w:val="5B7D3A5E"/>
    <w:rsid w:val="5BFC56D7"/>
    <w:rsid w:val="5C3D34EF"/>
    <w:rsid w:val="5C585916"/>
    <w:rsid w:val="5C6253C3"/>
    <w:rsid w:val="5C625735"/>
    <w:rsid w:val="5C74581F"/>
    <w:rsid w:val="5CA9400C"/>
    <w:rsid w:val="5CD672FC"/>
    <w:rsid w:val="5D454EA7"/>
    <w:rsid w:val="5D5F4DAD"/>
    <w:rsid w:val="5D7D3450"/>
    <w:rsid w:val="5D8B03FA"/>
    <w:rsid w:val="5DB35958"/>
    <w:rsid w:val="5DD201A0"/>
    <w:rsid w:val="5DDB6365"/>
    <w:rsid w:val="5DE60909"/>
    <w:rsid w:val="5DFF0876"/>
    <w:rsid w:val="5E22645A"/>
    <w:rsid w:val="5E557F89"/>
    <w:rsid w:val="5E7A25EA"/>
    <w:rsid w:val="5E7B5886"/>
    <w:rsid w:val="5E7E4934"/>
    <w:rsid w:val="5E860AE0"/>
    <w:rsid w:val="5E9345EC"/>
    <w:rsid w:val="5EC92704"/>
    <w:rsid w:val="5F1F45C5"/>
    <w:rsid w:val="5F2F04DF"/>
    <w:rsid w:val="5F6006F4"/>
    <w:rsid w:val="5F84452E"/>
    <w:rsid w:val="5F88259C"/>
    <w:rsid w:val="5F9E32FE"/>
    <w:rsid w:val="5FB26D36"/>
    <w:rsid w:val="5FC90B35"/>
    <w:rsid w:val="603C4566"/>
    <w:rsid w:val="60440571"/>
    <w:rsid w:val="60651FD2"/>
    <w:rsid w:val="606F6CFA"/>
    <w:rsid w:val="60815F18"/>
    <w:rsid w:val="60A309DF"/>
    <w:rsid w:val="60B106B5"/>
    <w:rsid w:val="60B44CEE"/>
    <w:rsid w:val="60F4434E"/>
    <w:rsid w:val="610220DC"/>
    <w:rsid w:val="613D45E7"/>
    <w:rsid w:val="614167FD"/>
    <w:rsid w:val="61560FED"/>
    <w:rsid w:val="616F0686"/>
    <w:rsid w:val="6183367F"/>
    <w:rsid w:val="61C91877"/>
    <w:rsid w:val="61CD3D31"/>
    <w:rsid w:val="61D5109C"/>
    <w:rsid w:val="61E77C15"/>
    <w:rsid w:val="61F23447"/>
    <w:rsid w:val="621039FB"/>
    <w:rsid w:val="62193202"/>
    <w:rsid w:val="62202D17"/>
    <w:rsid w:val="622D6B2A"/>
    <w:rsid w:val="62481B92"/>
    <w:rsid w:val="624E15D7"/>
    <w:rsid w:val="62501E0F"/>
    <w:rsid w:val="62551BDE"/>
    <w:rsid w:val="62D12FFF"/>
    <w:rsid w:val="62DC0CDB"/>
    <w:rsid w:val="62F301FF"/>
    <w:rsid w:val="62F80320"/>
    <w:rsid w:val="632C670F"/>
    <w:rsid w:val="637852A4"/>
    <w:rsid w:val="63940B27"/>
    <w:rsid w:val="63BB40B1"/>
    <w:rsid w:val="63D83E73"/>
    <w:rsid w:val="63DF3CDE"/>
    <w:rsid w:val="64075E4D"/>
    <w:rsid w:val="641A5C2E"/>
    <w:rsid w:val="641E629C"/>
    <w:rsid w:val="643D64BD"/>
    <w:rsid w:val="64485E45"/>
    <w:rsid w:val="647B5D32"/>
    <w:rsid w:val="647B774D"/>
    <w:rsid w:val="647C6908"/>
    <w:rsid w:val="64A66F17"/>
    <w:rsid w:val="64B8057C"/>
    <w:rsid w:val="64DB73F4"/>
    <w:rsid w:val="653A3988"/>
    <w:rsid w:val="65485685"/>
    <w:rsid w:val="654D3BD4"/>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CE7125"/>
    <w:rsid w:val="673E6A98"/>
    <w:rsid w:val="678D1C87"/>
    <w:rsid w:val="67A333A9"/>
    <w:rsid w:val="67F273D0"/>
    <w:rsid w:val="68006A50"/>
    <w:rsid w:val="68603BF5"/>
    <w:rsid w:val="68814BFC"/>
    <w:rsid w:val="68CE2DD5"/>
    <w:rsid w:val="693D0CC2"/>
    <w:rsid w:val="694E2501"/>
    <w:rsid w:val="695E486A"/>
    <w:rsid w:val="696D27D0"/>
    <w:rsid w:val="696D35D5"/>
    <w:rsid w:val="698C4A5A"/>
    <w:rsid w:val="69981A40"/>
    <w:rsid w:val="699D210A"/>
    <w:rsid w:val="69C0056F"/>
    <w:rsid w:val="69C303FA"/>
    <w:rsid w:val="69E343CF"/>
    <w:rsid w:val="69E976DE"/>
    <w:rsid w:val="6A00733F"/>
    <w:rsid w:val="6A051875"/>
    <w:rsid w:val="6A0E1F92"/>
    <w:rsid w:val="6A3716E6"/>
    <w:rsid w:val="6A63128D"/>
    <w:rsid w:val="6A68020C"/>
    <w:rsid w:val="6A7B3A7F"/>
    <w:rsid w:val="6A903094"/>
    <w:rsid w:val="6AFA7206"/>
    <w:rsid w:val="6B085CCB"/>
    <w:rsid w:val="6B315A3D"/>
    <w:rsid w:val="6B402768"/>
    <w:rsid w:val="6B774DF2"/>
    <w:rsid w:val="6B90040C"/>
    <w:rsid w:val="6B9561D7"/>
    <w:rsid w:val="6B9D2DD2"/>
    <w:rsid w:val="6BA406BD"/>
    <w:rsid w:val="6BFD644C"/>
    <w:rsid w:val="6C055EB0"/>
    <w:rsid w:val="6C097AA4"/>
    <w:rsid w:val="6C337DD6"/>
    <w:rsid w:val="6C45178D"/>
    <w:rsid w:val="6C5323A4"/>
    <w:rsid w:val="6C860F9C"/>
    <w:rsid w:val="6C913029"/>
    <w:rsid w:val="6C9D77EE"/>
    <w:rsid w:val="6CAD79AB"/>
    <w:rsid w:val="6CFD61EB"/>
    <w:rsid w:val="6D2147B0"/>
    <w:rsid w:val="6D383F1C"/>
    <w:rsid w:val="6D4A7767"/>
    <w:rsid w:val="6D56630E"/>
    <w:rsid w:val="6D744629"/>
    <w:rsid w:val="6D81230A"/>
    <w:rsid w:val="6D9F2594"/>
    <w:rsid w:val="6DA53D56"/>
    <w:rsid w:val="6DAA4153"/>
    <w:rsid w:val="6DC572F5"/>
    <w:rsid w:val="6DF37591"/>
    <w:rsid w:val="6DFA3DB4"/>
    <w:rsid w:val="6DFC6E63"/>
    <w:rsid w:val="6DFE0066"/>
    <w:rsid w:val="6E011A61"/>
    <w:rsid w:val="6E1C4318"/>
    <w:rsid w:val="6E20099F"/>
    <w:rsid w:val="6E5337E0"/>
    <w:rsid w:val="6E7674F5"/>
    <w:rsid w:val="6E865586"/>
    <w:rsid w:val="6EB72579"/>
    <w:rsid w:val="6F590C69"/>
    <w:rsid w:val="6F792010"/>
    <w:rsid w:val="6F8B2A39"/>
    <w:rsid w:val="6FD53379"/>
    <w:rsid w:val="6FF03666"/>
    <w:rsid w:val="6FF460AD"/>
    <w:rsid w:val="6FF46EB5"/>
    <w:rsid w:val="70402100"/>
    <w:rsid w:val="7057451A"/>
    <w:rsid w:val="705C303D"/>
    <w:rsid w:val="70616804"/>
    <w:rsid w:val="70694180"/>
    <w:rsid w:val="70A60819"/>
    <w:rsid w:val="710D0F27"/>
    <w:rsid w:val="71514804"/>
    <w:rsid w:val="7179608C"/>
    <w:rsid w:val="718030F6"/>
    <w:rsid w:val="71A544BB"/>
    <w:rsid w:val="71E81C15"/>
    <w:rsid w:val="721671B1"/>
    <w:rsid w:val="72173C7E"/>
    <w:rsid w:val="721A0E69"/>
    <w:rsid w:val="721B6C05"/>
    <w:rsid w:val="721F4CE3"/>
    <w:rsid w:val="728173B8"/>
    <w:rsid w:val="729A2A61"/>
    <w:rsid w:val="729A74B7"/>
    <w:rsid w:val="72F35EED"/>
    <w:rsid w:val="72FE3FF1"/>
    <w:rsid w:val="73363B4B"/>
    <w:rsid w:val="733817C1"/>
    <w:rsid w:val="736D1576"/>
    <w:rsid w:val="73937A59"/>
    <w:rsid w:val="73A72705"/>
    <w:rsid w:val="73BE04D1"/>
    <w:rsid w:val="73C44F3C"/>
    <w:rsid w:val="73D04A41"/>
    <w:rsid w:val="73DA135F"/>
    <w:rsid w:val="7408229C"/>
    <w:rsid w:val="741F1C9D"/>
    <w:rsid w:val="74340450"/>
    <w:rsid w:val="74545723"/>
    <w:rsid w:val="7456606E"/>
    <w:rsid w:val="74C04CBF"/>
    <w:rsid w:val="74C2573E"/>
    <w:rsid w:val="74DC560A"/>
    <w:rsid w:val="7508356B"/>
    <w:rsid w:val="75294D89"/>
    <w:rsid w:val="752D51CA"/>
    <w:rsid w:val="75617A50"/>
    <w:rsid w:val="75752090"/>
    <w:rsid w:val="75941C2C"/>
    <w:rsid w:val="75A07779"/>
    <w:rsid w:val="75A12280"/>
    <w:rsid w:val="75AA589C"/>
    <w:rsid w:val="75C60818"/>
    <w:rsid w:val="75CA6844"/>
    <w:rsid w:val="75CB7978"/>
    <w:rsid w:val="75DD3814"/>
    <w:rsid w:val="76126694"/>
    <w:rsid w:val="762A7217"/>
    <w:rsid w:val="765F4642"/>
    <w:rsid w:val="766E3524"/>
    <w:rsid w:val="7675462C"/>
    <w:rsid w:val="767D559C"/>
    <w:rsid w:val="767F44D7"/>
    <w:rsid w:val="76EC7326"/>
    <w:rsid w:val="77434C6F"/>
    <w:rsid w:val="775E2980"/>
    <w:rsid w:val="778F750F"/>
    <w:rsid w:val="77C41078"/>
    <w:rsid w:val="77CD0717"/>
    <w:rsid w:val="77E459CD"/>
    <w:rsid w:val="77F02658"/>
    <w:rsid w:val="77FD1D82"/>
    <w:rsid w:val="78516E29"/>
    <w:rsid w:val="78602963"/>
    <w:rsid w:val="78C0051C"/>
    <w:rsid w:val="78CC26C0"/>
    <w:rsid w:val="78F76920"/>
    <w:rsid w:val="7901105A"/>
    <w:rsid w:val="79353AF8"/>
    <w:rsid w:val="79447453"/>
    <w:rsid w:val="79652436"/>
    <w:rsid w:val="797601E9"/>
    <w:rsid w:val="79797687"/>
    <w:rsid w:val="7990182B"/>
    <w:rsid w:val="79945C17"/>
    <w:rsid w:val="799D5973"/>
    <w:rsid w:val="79B6321E"/>
    <w:rsid w:val="79BD7416"/>
    <w:rsid w:val="79D217DF"/>
    <w:rsid w:val="7A042E10"/>
    <w:rsid w:val="7A05013D"/>
    <w:rsid w:val="7A0A402A"/>
    <w:rsid w:val="7A1F5C63"/>
    <w:rsid w:val="7A396538"/>
    <w:rsid w:val="7A3B0340"/>
    <w:rsid w:val="7A3E6D5E"/>
    <w:rsid w:val="7A5C0DA7"/>
    <w:rsid w:val="7A6571C6"/>
    <w:rsid w:val="7A6F3AA0"/>
    <w:rsid w:val="7A9F592F"/>
    <w:rsid w:val="7AB83F98"/>
    <w:rsid w:val="7AD2397E"/>
    <w:rsid w:val="7AEA6460"/>
    <w:rsid w:val="7AF67F85"/>
    <w:rsid w:val="7AF7076E"/>
    <w:rsid w:val="7B1B3593"/>
    <w:rsid w:val="7B20033C"/>
    <w:rsid w:val="7B2C1BF9"/>
    <w:rsid w:val="7B4A3665"/>
    <w:rsid w:val="7B502250"/>
    <w:rsid w:val="7B8A09CC"/>
    <w:rsid w:val="7B9D34DD"/>
    <w:rsid w:val="7BBA79C5"/>
    <w:rsid w:val="7BDB1595"/>
    <w:rsid w:val="7BE67B49"/>
    <w:rsid w:val="7BED6056"/>
    <w:rsid w:val="7BF85632"/>
    <w:rsid w:val="7C072E13"/>
    <w:rsid w:val="7C77262C"/>
    <w:rsid w:val="7C8974D7"/>
    <w:rsid w:val="7C9B3CC1"/>
    <w:rsid w:val="7CA929A8"/>
    <w:rsid w:val="7CC14628"/>
    <w:rsid w:val="7CC557C8"/>
    <w:rsid w:val="7CCB6E79"/>
    <w:rsid w:val="7CF17DE7"/>
    <w:rsid w:val="7D270886"/>
    <w:rsid w:val="7D384DC0"/>
    <w:rsid w:val="7D641B1E"/>
    <w:rsid w:val="7DA261A2"/>
    <w:rsid w:val="7DD722F0"/>
    <w:rsid w:val="7DD81DCF"/>
    <w:rsid w:val="7DF452E9"/>
    <w:rsid w:val="7E126DC8"/>
    <w:rsid w:val="7E3332A1"/>
    <w:rsid w:val="7EA9551E"/>
    <w:rsid w:val="7EB82ACD"/>
    <w:rsid w:val="7EBD5B3D"/>
    <w:rsid w:val="7F083AD9"/>
    <w:rsid w:val="7F0E6ADE"/>
    <w:rsid w:val="7F221E49"/>
    <w:rsid w:val="7F2257ED"/>
    <w:rsid w:val="7F2C4ACE"/>
    <w:rsid w:val="7F426B36"/>
    <w:rsid w:val="7F445629"/>
    <w:rsid w:val="7F5F001A"/>
    <w:rsid w:val="7F68109F"/>
    <w:rsid w:val="7F844E8C"/>
    <w:rsid w:val="7F8932DC"/>
    <w:rsid w:val="7FAE52D2"/>
    <w:rsid w:val="7FEC794B"/>
    <w:rsid w:val="7FF106D1"/>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2">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5">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5">
    <w:name w:val="Default Paragraph Font"/>
    <w:unhideWhenUsed/>
    <w:qFormat/>
    <w:uiPriority w:val="1"/>
  </w:style>
  <w:style w:type="table" w:default="1" w:styleId="31">
    <w:name w:val="Normal Table"/>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40"/>
    <w:qFormat/>
    <w:uiPriority w:val="0"/>
    <w:rPr>
      <w:b/>
      <w:bCs/>
    </w:rPr>
  </w:style>
  <w:style w:type="paragraph" w:styleId="7">
    <w:name w:val="annotation text"/>
    <w:basedOn w:val="1"/>
    <w:link w:val="34"/>
    <w:qFormat/>
    <w:uiPriority w:val="99"/>
  </w:style>
  <w:style w:type="paragraph" w:styleId="8">
    <w:name w:val="Normal Indent"/>
    <w:basedOn w:val="1"/>
    <w:qFormat/>
    <w:uiPriority w:val="0"/>
    <w:pPr>
      <w:autoSpaceDE w:val="0"/>
      <w:autoSpaceDN w:val="0"/>
      <w:ind w:firstLine="420"/>
    </w:pPr>
    <w:rPr>
      <w:rFonts w:ascii="宋体"/>
    </w:rPr>
  </w:style>
  <w:style w:type="paragraph" w:styleId="9">
    <w:name w:val="Body Text"/>
    <w:basedOn w:val="1"/>
    <w:link w:val="35"/>
    <w:qFormat/>
    <w:uiPriority w:val="0"/>
    <w:pPr>
      <w:spacing w:after="120"/>
    </w:pPr>
  </w:style>
  <w:style w:type="paragraph" w:styleId="10">
    <w:name w:val="Body Text Indent"/>
    <w:basedOn w:val="1"/>
    <w:link w:val="36"/>
    <w:qFormat/>
    <w:uiPriority w:val="0"/>
    <w:pPr>
      <w:spacing w:after="120"/>
      <w:ind w:left="420" w:leftChars="200"/>
    </w:pPr>
  </w:style>
  <w:style w:type="paragraph" w:styleId="11">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2">
    <w:name w:val="Plain Text"/>
    <w:basedOn w:val="1"/>
    <w:link w:val="37"/>
    <w:qFormat/>
    <w:uiPriority w:val="0"/>
    <w:pPr>
      <w:adjustRightInd/>
      <w:spacing w:line="240" w:lineRule="auto"/>
      <w:jc w:val="both"/>
      <w:textAlignment w:val="auto"/>
    </w:pPr>
    <w:rPr>
      <w:rFonts w:ascii="宋体" w:hAnsi="Courier New"/>
      <w:kern w:val="2"/>
      <w:sz w:val="21"/>
      <w:szCs w:val="21"/>
    </w:rPr>
  </w:style>
  <w:style w:type="paragraph" w:styleId="13">
    <w:name w:val="Body Text Indent 2"/>
    <w:basedOn w:val="1"/>
    <w:link w:val="38"/>
    <w:qFormat/>
    <w:uiPriority w:val="0"/>
    <w:pPr>
      <w:spacing w:after="120" w:line="480" w:lineRule="auto"/>
      <w:ind w:left="420" w:leftChars="200"/>
    </w:pPr>
  </w:style>
  <w:style w:type="paragraph" w:styleId="14">
    <w:name w:val="Balloon Text"/>
    <w:basedOn w:val="1"/>
    <w:semiHidden/>
    <w:qFormat/>
    <w:uiPriority w:val="0"/>
    <w:rPr>
      <w:sz w:val="18"/>
      <w:szCs w:val="18"/>
    </w:rPr>
  </w:style>
  <w:style w:type="paragraph" w:styleId="15">
    <w:name w:val="footer"/>
    <w:basedOn w:val="1"/>
    <w:qFormat/>
    <w:uiPriority w:val="0"/>
    <w:pPr>
      <w:tabs>
        <w:tab w:val="center" w:pos="4153"/>
        <w:tab w:val="right" w:pos="8306"/>
      </w:tabs>
      <w:spacing w:line="240" w:lineRule="atLeast"/>
    </w:pPr>
    <w:rPr>
      <w:sz w:val="18"/>
    </w:rPr>
  </w:style>
  <w:style w:type="paragraph" w:styleId="16">
    <w:name w:val="Body Text First Indent 2"/>
    <w:basedOn w:val="10"/>
    <w:link w:val="41"/>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7">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8">
    <w:name w:val="toc 1"/>
    <w:basedOn w:val="1"/>
    <w:next w:val="1"/>
    <w:qFormat/>
    <w:uiPriority w:val="39"/>
  </w:style>
  <w:style w:type="paragraph" w:styleId="19">
    <w:name w:val="Body Text Indent 3"/>
    <w:basedOn w:val="1"/>
    <w:link w:val="39"/>
    <w:qFormat/>
    <w:uiPriority w:val="0"/>
    <w:pPr>
      <w:spacing w:after="120"/>
      <w:ind w:left="420" w:leftChars="200"/>
    </w:pPr>
    <w:rPr>
      <w:sz w:val="16"/>
      <w:szCs w:val="16"/>
    </w:rPr>
  </w:style>
  <w:style w:type="paragraph" w:styleId="20">
    <w:name w:val="Body Text 2"/>
    <w:basedOn w:val="1"/>
    <w:qFormat/>
    <w:uiPriority w:val="0"/>
    <w:pPr>
      <w:suppressAutoHyphens/>
      <w:jc w:val="left"/>
    </w:pPr>
    <w:rPr>
      <w:rFonts w:ascii="Calibri" w:hAnsi="Calibri" w:eastAsia="宋体" w:cs="Times New Roman"/>
      <w:color w:val="000000"/>
      <w:sz w:val="28"/>
      <w:szCs w:val="28"/>
    </w:rPr>
  </w:style>
  <w:style w:type="paragraph" w:styleId="21">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2">
    <w:name w:val="index 1"/>
    <w:basedOn w:val="1"/>
    <w:next w:val="1"/>
    <w:qFormat/>
    <w:uiPriority w:val="0"/>
    <w:rPr>
      <w:szCs w:val="20"/>
    </w:rPr>
  </w:style>
  <w:style w:type="paragraph" w:styleId="23">
    <w:name w:val="Title"/>
    <w:basedOn w:val="24"/>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4">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6">
    <w:name w:val="Strong"/>
    <w:qFormat/>
    <w:uiPriority w:val="22"/>
    <w:rPr>
      <w:b/>
      <w:bCs/>
    </w:rPr>
  </w:style>
  <w:style w:type="character" w:styleId="27">
    <w:name w:val="page number"/>
    <w:qFormat/>
    <w:uiPriority w:val="0"/>
  </w:style>
  <w:style w:type="character" w:styleId="28">
    <w:name w:val="FollowedHyperlink"/>
    <w:qFormat/>
    <w:uiPriority w:val="0"/>
    <w:rPr>
      <w:color w:val="800080"/>
      <w:u w:val="single"/>
    </w:rPr>
  </w:style>
  <w:style w:type="character" w:styleId="29">
    <w:name w:val="Hyperlink"/>
    <w:unhideWhenUsed/>
    <w:qFormat/>
    <w:uiPriority w:val="99"/>
    <w:rPr>
      <w:color w:val="0000FF"/>
      <w:u w:val="single"/>
    </w:rPr>
  </w:style>
  <w:style w:type="character" w:styleId="30">
    <w:name w:val="annotation reference"/>
    <w:qFormat/>
    <w:uiPriority w:val="99"/>
    <w:rPr>
      <w:sz w:val="21"/>
      <w:szCs w:val="21"/>
    </w:rPr>
  </w:style>
  <w:style w:type="table" w:styleId="32">
    <w:name w:val="Table Grid"/>
    <w:basedOn w:val="3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3">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4">
    <w:name w:val="批注文字 Char"/>
    <w:link w:val="7"/>
    <w:qFormat/>
    <w:uiPriority w:val="99"/>
    <w:rPr>
      <w:sz w:val="24"/>
      <w:szCs w:val="22"/>
    </w:rPr>
  </w:style>
  <w:style w:type="character" w:customStyle="1" w:styleId="35">
    <w:name w:val="正文文本 Char"/>
    <w:link w:val="9"/>
    <w:qFormat/>
    <w:uiPriority w:val="0"/>
    <w:rPr>
      <w:sz w:val="24"/>
      <w:szCs w:val="22"/>
    </w:rPr>
  </w:style>
  <w:style w:type="character" w:customStyle="1" w:styleId="36">
    <w:name w:val="正文文本缩进 Char"/>
    <w:link w:val="10"/>
    <w:qFormat/>
    <w:uiPriority w:val="0"/>
    <w:rPr>
      <w:sz w:val="24"/>
      <w:szCs w:val="22"/>
    </w:rPr>
  </w:style>
  <w:style w:type="character" w:customStyle="1" w:styleId="37">
    <w:name w:val="纯文本 Char"/>
    <w:link w:val="12"/>
    <w:qFormat/>
    <w:uiPriority w:val="0"/>
    <w:rPr>
      <w:rFonts w:ascii="宋体" w:hAnsi="Courier New" w:eastAsia="宋体"/>
      <w:kern w:val="2"/>
      <w:sz w:val="21"/>
      <w:szCs w:val="21"/>
      <w:lang w:val="en-US" w:eastAsia="zh-CN" w:bidi="ar-SA"/>
    </w:rPr>
  </w:style>
  <w:style w:type="character" w:customStyle="1" w:styleId="38">
    <w:name w:val="正文文本缩进 2 Char"/>
    <w:link w:val="13"/>
    <w:qFormat/>
    <w:uiPriority w:val="0"/>
    <w:rPr>
      <w:sz w:val="24"/>
      <w:szCs w:val="22"/>
    </w:rPr>
  </w:style>
  <w:style w:type="character" w:customStyle="1" w:styleId="39">
    <w:name w:val="正文文本缩进 3 Char"/>
    <w:link w:val="19"/>
    <w:qFormat/>
    <w:uiPriority w:val="0"/>
    <w:rPr>
      <w:sz w:val="16"/>
      <w:szCs w:val="16"/>
    </w:rPr>
  </w:style>
  <w:style w:type="character" w:customStyle="1" w:styleId="40">
    <w:name w:val="批注主题 Char"/>
    <w:link w:val="6"/>
    <w:qFormat/>
    <w:uiPriority w:val="0"/>
    <w:rPr>
      <w:b/>
      <w:bCs/>
      <w:sz w:val="24"/>
      <w:szCs w:val="22"/>
    </w:rPr>
  </w:style>
  <w:style w:type="character" w:customStyle="1" w:styleId="41">
    <w:name w:val="正文首行缩进 2 Char"/>
    <w:link w:val="16"/>
    <w:qFormat/>
    <w:uiPriority w:val="99"/>
    <w:rPr>
      <w:rFonts w:ascii="Times New Roman" w:hAnsi="Times New Roman"/>
      <w:kern w:val="2"/>
      <w:sz w:val="21"/>
      <w:szCs w:val="24"/>
    </w:rPr>
  </w:style>
  <w:style w:type="character" w:customStyle="1" w:styleId="42">
    <w:name w:val="px_10"/>
    <w:qFormat/>
    <w:uiPriority w:val="0"/>
  </w:style>
  <w:style w:type="paragraph" w:customStyle="1" w:styleId="43">
    <w:name w:val="样式 标题 2 + 宋体 五号 非加粗 黑色"/>
    <w:basedOn w:val="2"/>
    <w:qFormat/>
    <w:uiPriority w:val="0"/>
    <w:rPr>
      <w:rFonts w:ascii="宋体" w:hAnsi="宋体" w:eastAsia="宋体"/>
      <w:b w:val="0"/>
      <w:bCs w:val="0"/>
      <w:color w:val="000000"/>
      <w:sz w:val="21"/>
    </w:rPr>
  </w:style>
  <w:style w:type="paragraph" w:customStyle="1" w:styleId="44">
    <w:name w:val="样式 标题 3h3H3sect1.2.3 + 五号 段前: 6 磅 段后: 6 磅 行距: 单倍行距"/>
    <w:basedOn w:val="4"/>
    <w:qFormat/>
    <w:uiPriority w:val="0"/>
    <w:pPr>
      <w:spacing w:before="120" w:after="120" w:line="240" w:lineRule="auto"/>
    </w:pPr>
    <w:rPr>
      <w:sz w:val="21"/>
    </w:rPr>
  </w:style>
  <w:style w:type="paragraph" w:customStyle="1" w:styleId="45">
    <w:name w:val="列出段落1"/>
    <w:basedOn w:val="1"/>
    <w:qFormat/>
    <w:uiPriority w:val="0"/>
    <w:pPr>
      <w:ind w:firstLine="420" w:firstLineChars="200"/>
    </w:pPr>
  </w:style>
  <w:style w:type="paragraph" w:customStyle="1" w:styleId="46">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7">
    <w:name w:val="样式 标题 4 + 段前: 5 磅 段后: 5 磅 行距: 单倍行距"/>
    <w:basedOn w:val="5"/>
    <w:qFormat/>
    <w:uiPriority w:val="0"/>
    <w:pPr>
      <w:spacing w:before="100" w:after="100" w:line="240" w:lineRule="auto"/>
    </w:pPr>
    <w:rPr>
      <w:rFonts w:cs="宋体"/>
      <w:szCs w:val="20"/>
    </w:rPr>
  </w:style>
  <w:style w:type="paragraph" w:customStyle="1" w:styleId="48">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49">
    <w:name w:val="样式 样式 样式 样式 标题 2 + 宋体 五号 非加粗 黑色 + 段前: 6 磅 段后: 0 磅 行距: 单倍行距 + 段前:..."/>
    <w:basedOn w:val="50"/>
    <w:qFormat/>
    <w:uiPriority w:val="0"/>
    <w:rPr>
      <w:b/>
      <w:bCs/>
    </w:rPr>
  </w:style>
  <w:style w:type="paragraph" w:customStyle="1" w:styleId="50">
    <w:name w:val="样式 样式 样式 标题 2 + 宋体 五号 非加粗 黑色 + 段前: 6 磅 段后: 0 磅 行距: 单倍行距 + 段前: 12..."/>
    <w:basedOn w:val="51"/>
    <w:qFormat/>
    <w:uiPriority w:val="0"/>
    <w:pPr>
      <w:spacing w:before="240"/>
    </w:pPr>
  </w:style>
  <w:style w:type="paragraph" w:customStyle="1" w:styleId="51">
    <w:name w:val="样式 样式 标题 2 + 宋体 五号 非加粗 黑色 + 段前: 6 磅 段后: 0 磅 行距: 单倍行距"/>
    <w:basedOn w:val="43"/>
    <w:qFormat/>
    <w:uiPriority w:val="0"/>
    <w:pPr>
      <w:spacing w:before="120" w:after="0" w:line="240" w:lineRule="auto"/>
    </w:pPr>
    <w:rPr>
      <w:rFonts w:cs="宋体"/>
      <w:szCs w:val="20"/>
    </w:rPr>
  </w:style>
  <w:style w:type="paragraph" w:customStyle="1" w:styleId="52">
    <w:name w:val="p0"/>
    <w:basedOn w:val="1"/>
    <w:qFormat/>
    <w:uiPriority w:val="0"/>
    <w:pPr>
      <w:widowControl/>
      <w:spacing w:before="100" w:beforeAutospacing="1" w:after="100" w:afterAutospacing="1"/>
    </w:pPr>
    <w:rPr>
      <w:rFonts w:ascii="宋体" w:hAnsi="宋体" w:cs="宋体"/>
      <w:szCs w:val="24"/>
    </w:rPr>
  </w:style>
  <w:style w:type="paragraph" w:customStyle="1" w:styleId="53">
    <w:name w:val="样式1"/>
    <w:basedOn w:val="1"/>
    <w:link w:val="54"/>
    <w:qFormat/>
    <w:uiPriority w:val="0"/>
    <w:pPr>
      <w:numPr>
        <w:ilvl w:val="0"/>
        <w:numId w:val="3"/>
      </w:numPr>
      <w:spacing w:line="240" w:lineRule="auto"/>
      <w:jc w:val="both"/>
    </w:pPr>
    <w:rPr>
      <w:rFonts w:ascii="宋体" w:hAnsi="宋体"/>
      <w:sz w:val="21"/>
      <w:szCs w:val="21"/>
    </w:rPr>
  </w:style>
  <w:style w:type="character" w:customStyle="1" w:styleId="54">
    <w:name w:val="样式1 Char"/>
    <w:link w:val="53"/>
    <w:qFormat/>
    <w:uiPriority w:val="0"/>
    <w:rPr>
      <w:rFonts w:ascii="宋体" w:hAnsi="宋体"/>
      <w:sz w:val="21"/>
      <w:szCs w:val="21"/>
    </w:rPr>
  </w:style>
  <w:style w:type="character" w:customStyle="1" w:styleId="55">
    <w:name w:val="apple-converted-space"/>
    <w:qFormat/>
    <w:uiPriority w:val="0"/>
    <w:rPr>
      <w:rFonts w:cs="Times New Roman"/>
    </w:rPr>
  </w:style>
  <w:style w:type="character" w:customStyle="1" w:styleId="56">
    <w:name w:val="标题 1 Char Char Char Char"/>
    <w:qFormat/>
    <w:uiPriority w:val="0"/>
    <w:rPr>
      <w:rFonts w:eastAsia="宋体"/>
      <w:b/>
      <w:bCs/>
      <w:kern w:val="44"/>
      <w:sz w:val="44"/>
      <w:szCs w:val="44"/>
      <w:lang w:val="en-US" w:eastAsia="zh-CN" w:bidi="ar-SA"/>
    </w:rPr>
  </w:style>
  <w:style w:type="paragraph" w:customStyle="1" w:styleId="57">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8">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59">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0">
    <w:name w:val="标题 3 Char"/>
    <w:qFormat/>
    <w:uiPriority w:val="0"/>
    <w:rPr>
      <w:rFonts w:ascii="宋体" w:hAnsi="宋体"/>
    </w:rPr>
  </w:style>
  <w:style w:type="paragraph" w:customStyle="1" w:styleId="61">
    <w:name w:val="_Style 56"/>
    <w:semiHidden/>
    <w:qFormat/>
    <w:uiPriority w:val="99"/>
    <w:rPr>
      <w:rFonts w:ascii="Calibri" w:hAnsi="Calibri" w:eastAsia="宋体" w:cs="Times New Roman"/>
      <w:sz w:val="24"/>
      <w:szCs w:val="22"/>
      <w:lang w:val="en-US" w:eastAsia="zh-CN" w:bidi="ar-SA"/>
    </w:rPr>
  </w:style>
  <w:style w:type="paragraph" w:customStyle="1" w:styleId="62">
    <w:name w:val="List Paragraph"/>
    <w:basedOn w:val="1"/>
    <w:qFormat/>
    <w:uiPriority w:val="34"/>
    <w:pPr>
      <w:ind w:firstLine="420" w:firstLineChars="200"/>
    </w:pPr>
  </w:style>
  <w:style w:type="paragraph" w:customStyle="1" w:styleId="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5">
    <w:name w:val="List Paragraph1"/>
    <w:basedOn w:val="1"/>
    <w:next w:val="66"/>
    <w:qFormat/>
    <w:uiPriority w:val="34"/>
    <w:pPr>
      <w:adjustRightInd/>
      <w:spacing w:line="240" w:lineRule="auto"/>
      <w:ind w:firstLine="420" w:firstLineChars="200"/>
      <w:jc w:val="both"/>
      <w:textAlignment w:val="auto"/>
    </w:pPr>
    <w:rPr>
      <w:kern w:val="2"/>
      <w:sz w:val="21"/>
      <w:lang w:val="zh-CN"/>
    </w:rPr>
  </w:style>
  <w:style w:type="paragraph" w:customStyle="1" w:styleId="66">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7">
    <w:name w:val="15"/>
    <w:qFormat/>
    <w:uiPriority w:val="0"/>
    <w:rPr>
      <w:rFonts w:hint="eastAsia" w:ascii="宋体" w:hAnsi="宋体" w:eastAsia="宋体"/>
      <w:color w:val="000000"/>
      <w:sz w:val="20"/>
      <w:szCs w:val="20"/>
    </w:rPr>
  </w:style>
  <w:style w:type="character" w:customStyle="1" w:styleId="68">
    <w:name w:val="纯文本 字符1"/>
    <w:qFormat/>
    <w:uiPriority w:val="0"/>
    <w:rPr>
      <w:rFonts w:ascii="Times New Roman" w:hAnsi="Courier New"/>
      <w:kern w:val="2"/>
      <w:sz w:val="21"/>
      <w:szCs w:val="21"/>
    </w:rPr>
  </w:style>
  <w:style w:type="paragraph" w:customStyle="1" w:styleId="69">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0">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1">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2">
    <w:name w:val="未处理的提及"/>
    <w:unhideWhenUsed/>
    <w:qFormat/>
    <w:uiPriority w:val="99"/>
    <w:rPr>
      <w:color w:val="605E5C"/>
      <w:shd w:val="clear" w:color="auto" w:fill="E1DFDD"/>
    </w:rPr>
  </w:style>
  <w:style w:type="paragraph" w:customStyle="1" w:styleId="73">
    <w:name w:val="_Style 2"/>
    <w:basedOn w:val="1"/>
    <w:qFormat/>
    <w:uiPriority w:val="34"/>
    <w:pPr>
      <w:ind w:firstLine="420" w:firstLineChars="200"/>
    </w:pPr>
  </w:style>
  <w:style w:type="character" w:customStyle="1" w:styleId="74">
    <w:name w:val="正文首行缩进 2字符 Char"/>
    <w:link w:val="75"/>
    <w:qFormat/>
    <w:uiPriority w:val="0"/>
    <w:rPr>
      <w:kern w:val="0"/>
      <w:sz w:val="24"/>
      <w:szCs w:val="24"/>
    </w:rPr>
  </w:style>
  <w:style w:type="paragraph" w:customStyle="1" w:styleId="75">
    <w:name w:val="正文首行缩进 2字符"/>
    <w:basedOn w:val="1"/>
    <w:link w:val="74"/>
    <w:qFormat/>
    <w:uiPriority w:val="0"/>
    <w:pPr>
      <w:ind w:firstLine="200" w:firstLineChars="200"/>
    </w:pPr>
    <w:rPr>
      <w:kern w:val="0"/>
      <w:sz w:val="24"/>
      <w:szCs w:val="24"/>
    </w:rPr>
  </w:style>
  <w:style w:type="character" w:customStyle="1" w:styleId="76">
    <w:name w:val="font21"/>
    <w:basedOn w:val="25"/>
    <w:qFormat/>
    <w:uiPriority w:val="0"/>
    <w:rPr>
      <w:rFonts w:hint="eastAsia" w:ascii="宋体" w:hAnsi="宋体" w:eastAsia="宋体" w:cs="宋体"/>
      <w:color w:val="000000"/>
      <w:sz w:val="20"/>
      <w:szCs w:val="20"/>
      <w:u w:val="none"/>
    </w:rPr>
  </w:style>
  <w:style w:type="character" w:customStyle="1" w:styleId="77">
    <w:name w:val="font71"/>
    <w:basedOn w:val="25"/>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7" Type="http://schemas.openxmlformats.org/officeDocument/2006/relationships/fontTable" Target="fontTable.xml"/><Relationship Id="rId86" Type="http://schemas.openxmlformats.org/officeDocument/2006/relationships/numbering" Target="numbering.xml"/><Relationship Id="rId85" Type="http://schemas.openxmlformats.org/officeDocument/2006/relationships/customXml" Target="../customXml/item1.xml"/><Relationship Id="rId84" Type="http://schemas.openxmlformats.org/officeDocument/2006/relationships/image" Target="media/image75.png"/><Relationship Id="rId83" Type="http://schemas.openxmlformats.org/officeDocument/2006/relationships/image" Target="media/image74.png"/><Relationship Id="rId82" Type="http://schemas.openxmlformats.org/officeDocument/2006/relationships/image" Target="media/image73.png"/><Relationship Id="rId81" Type="http://schemas.openxmlformats.org/officeDocument/2006/relationships/image" Target="media/image72.png"/><Relationship Id="rId80" Type="http://schemas.openxmlformats.org/officeDocument/2006/relationships/image" Target="media/image71.png"/><Relationship Id="rId8" Type="http://schemas.openxmlformats.org/officeDocument/2006/relationships/footer" Target="footer3.xml"/><Relationship Id="rId79" Type="http://schemas.openxmlformats.org/officeDocument/2006/relationships/image" Target="media/image70.png"/><Relationship Id="rId78" Type="http://schemas.openxmlformats.org/officeDocument/2006/relationships/image" Target="media/image69.png"/><Relationship Id="rId77" Type="http://schemas.openxmlformats.org/officeDocument/2006/relationships/image" Target="media/image68.png"/><Relationship Id="rId76" Type="http://schemas.openxmlformats.org/officeDocument/2006/relationships/image" Target="media/image67.png"/><Relationship Id="rId75" Type="http://schemas.openxmlformats.org/officeDocument/2006/relationships/image" Target="media/image66.png"/><Relationship Id="rId74" Type="http://schemas.openxmlformats.org/officeDocument/2006/relationships/image" Target="media/image65.png"/><Relationship Id="rId73" Type="http://schemas.openxmlformats.org/officeDocument/2006/relationships/image" Target="media/image64.png"/><Relationship Id="rId72" Type="http://schemas.openxmlformats.org/officeDocument/2006/relationships/image" Target="media/image63.png"/><Relationship Id="rId71" Type="http://schemas.openxmlformats.org/officeDocument/2006/relationships/image" Target="media/image62.png"/><Relationship Id="rId70" Type="http://schemas.openxmlformats.org/officeDocument/2006/relationships/image" Target="media/image61.png"/><Relationship Id="rId7" Type="http://schemas.openxmlformats.org/officeDocument/2006/relationships/header" Target="header3.xml"/><Relationship Id="rId69" Type="http://schemas.openxmlformats.org/officeDocument/2006/relationships/image" Target="media/image60.png"/><Relationship Id="rId68" Type="http://schemas.openxmlformats.org/officeDocument/2006/relationships/image" Target="media/image59.png"/><Relationship Id="rId67" Type="http://schemas.openxmlformats.org/officeDocument/2006/relationships/image" Target="media/image58.png"/><Relationship Id="rId66" Type="http://schemas.openxmlformats.org/officeDocument/2006/relationships/image" Target="media/image57.png"/><Relationship Id="rId65" Type="http://schemas.openxmlformats.org/officeDocument/2006/relationships/image" Target="media/image56.png"/><Relationship Id="rId64" Type="http://schemas.openxmlformats.org/officeDocument/2006/relationships/image" Target="media/image55.png"/><Relationship Id="rId63" Type="http://schemas.openxmlformats.org/officeDocument/2006/relationships/image" Target="media/image54.png"/><Relationship Id="rId62" Type="http://schemas.openxmlformats.org/officeDocument/2006/relationships/image" Target="media/image53.png"/><Relationship Id="rId61" Type="http://schemas.openxmlformats.org/officeDocument/2006/relationships/image" Target="media/image52.png"/><Relationship Id="rId60" Type="http://schemas.openxmlformats.org/officeDocument/2006/relationships/image" Target="media/image51.png"/><Relationship Id="rId6" Type="http://schemas.openxmlformats.org/officeDocument/2006/relationships/footer" Target="footer2.xml"/><Relationship Id="rId59" Type="http://schemas.openxmlformats.org/officeDocument/2006/relationships/image" Target="media/image50.png"/><Relationship Id="rId58" Type="http://schemas.openxmlformats.org/officeDocument/2006/relationships/image" Target="media/image49.png"/><Relationship Id="rId57" Type="http://schemas.openxmlformats.org/officeDocument/2006/relationships/image" Target="media/image48.png"/><Relationship Id="rId56" Type="http://schemas.openxmlformats.org/officeDocument/2006/relationships/image" Target="media/image47.png"/><Relationship Id="rId55" Type="http://schemas.openxmlformats.org/officeDocument/2006/relationships/image" Target="media/image46.png"/><Relationship Id="rId54" Type="http://schemas.openxmlformats.org/officeDocument/2006/relationships/image" Target="media/image45.png"/><Relationship Id="rId53" Type="http://schemas.openxmlformats.org/officeDocument/2006/relationships/image" Target="media/image44.png"/><Relationship Id="rId52" Type="http://schemas.openxmlformats.org/officeDocument/2006/relationships/image" Target="media/image43.png"/><Relationship Id="rId51" Type="http://schemas.openxmlformats.org/officeDocument/2006/relationships/image" Target="media/image42.png"/><Relationship Id="rId50" Type="http://schemas.openxmlformats.org/officeDocument/2006/relationships/image" Target="media/image41.png"/><Relationship Id="rId5" Type="http://schemas.openxmlformats.org/officeDocument/2006/relationships/footer" Target="footer1.xml"/><Relationship Id="rId49" Type="http://schemas.openxmlformats.org/officeDocument/2006/relationships/image" Target="media/image40.png"/><Relationship Id="rId48" Type="http://schemas.openxmlformats.org/officeDocument/2006/relationships/image" Target="media/image39.png"/><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2.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2024-04-26T02:33:12Z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