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pStyle w:val="28"/>
        <w:rPr>
          <w:rFonts w:hint="eastAsia"/>
        </w:rPr>
      </w:pPr>
    </w:p>
    <w:p>
      <w:pPr>
        <w:pStyle w:val="31"/>
        <w:rPr>
          <w:rFonts w:hint="eastAsia"/>
        </w:rPr>
      </w:pPr>
    </w:p>
    <w:p>
      <w:pPr>
        <w:jc w:val="center"/>
        <w:rPr>
          <w:rFonts w:hint="eastAsia" w:ascii="宋体" w:hAnsi="宋体" w:eastAsia="宋体" w:cs="宋体"/>
          <w:b/>
          <w:bCs/>
          <w:sz w:val="60"/>
          <w:szCs w:val="60"/>
        </w:rPr>
      </w:pPr>
    </w:p>
    <w:p>
      <w:pPr>
        <w:jc w:val="center"/>
        <w:rPr>
          <w:rFonts w:hint="eastAsia" w:ascii="宋体" w:hAnsi="宋体" w:eastAsia="宋体" w:cs="宋体"/>
          <w:b/>
          <w:bCs/>
          <w:sz w:val="60"/>
          <w:szCs w:val="60"/>
        </w:rPr>
      </w:pPr>
      <w:r>
        <w:rPr>
          <w:rFonts w:hint="eastAsia" w:ascii="宋体" w:hAnsi="宋体" w:eastAsia="宋体" w:cs="宋体"/>
          <w:b/>
          <w:bCs/>
          <w:sz w:val="60"/>
          <w:szCs w:val="60"/>
        </w:rPr>
        <w:t>北京市政府采购项目</w:t>
      </w:r>
    </w:p>
    <w:p>
      <w:pPr>
        <w:jc w:val="center"/>
        <w:rPr>
          <w:rFonts w:hint="eastAsia" w:ascii="宋体" w:hAnsi="宋体" w:eastAsia="宋体" w:cs="宋体"/>
          <w:b/>
          <w:bCs/>
          <w:sz w:val="60"/>
          <w:szCs w:val="60"/>
        </w:rPr>
      </w:pPr>
      <w:r>
        <w:rPr>
          <w:rFonts w:hint="eastAsia" w:ascii="宋体" w:hAnsi="宋体" w:eastAsia="宋体" w:cs="宋体"/>
          <w:b/>
          <w:bCs/>
          <w:sz w:val="60"/>
          <w:szCs w:val="60"/>
        </w:rPr>
        <w:t>竞争性磋商文件</w:t>
      </w:r>
    </w:p>
    <w:p>
      <w:pPr>
        <w:spacing w:line="360" w:lineRule="auto"/>
        <w:jc w:val="center"/>
        <w:rPr>
          <w:rFonts w:hint="eastAsia" w:ascii="宋体" w:hAnsi="宋体" w:eastAsia="宋体" w:cs="宋体"/>
          <w:b/>
          <w:bCs/>
          <w:sz w:val="60"/>
          <w:szCs w:val="60"/>
        </w:rPr>
      </w:pPr>
      <w:r>
        <w:rPr>
          <w:rFonts w:hint="eastAsia" w:ascii="宋体" w:hAnsi="宋体" w:eastAsia="宋体" w:cs="宋体"/>
          <w:b/>
          <w:bCs/>
          <w:sz w:val="60"/>
          <w:szCs w:val="60"/>
          <w:lang w:eastAsia="zh-CN"/>
        </w:rPr>
        <w:t>（</w:t>
      </w:r>
      <w:r>
        <w:rPr>
          <w:rFonts w:hint="eastAsia" w:ascii="宋体" w:hAnsi="宋体" w:cs="宋体"/>
          <w:b/>
          <w:bCs/>
          <w:sz w:val="60"/>
          <w:szCs w:val="60"/>
          <w:lang w:val="en-US" w:eastAsia="zh-CN"/>
        </w:rPr>
        <w:t>2023</w:t>
      </w:r>
      <w:r>
        <w:rPr>
          <w:rFonts w:hint="eastAsia" w:ascii="宋体" w:hAnsi="宋体" w:eastAsia="宋体" w:cs="宋体"/>
          <w:b/>
          <w:bCs/>
          <w:sz w:val="60"/>
          <w:szCs w:val="60"/>
        </w:rPr>
        <w:t>年版）</w:t>
      </w:r>
    </w:p>
    <w:p>
      <w:pPr>
        <w:rPr>
          <w:rFonts w:hint="eastAsia"/>
        </w:rPr>
      </w:pPr>
    </w:p>
    <w:p>
      <w:pPr>
        <w:pStyle w:val="28"/>
        <w:rPr>
          <w:rFonts w:hint="eastAsia"/>
        </w:rPr>
      </w:pPr>
    </w:p>
    <w:p>
      <w:pPr>
        <w:rPr>
          <w:rFonts w:hint="eastAsia"/>
        </w:rPr>
      </w:pPr>
    </w:p>
    <w:p>
      <w:pPr>
        <w:pStyle w:val="28"/>
        <w:rPr>
          <w:rFonts w:hint="eastAsia"/>
        </w:rPr>
      </w:pPr>
    </w:p>
    <w:p>
      <w:pPr>
        <w:rPr>
          <w:rFonts w:hint="eastAsia"/>
        </w:rPr>
      </w:pPr>
    </w:p>
    <w:p>
      <w:pPr>
        <w:pStyle w:val="28"/>
        <w:rPr>
          <w:rFonts w:hint="eastAsia"/>
        </w:rPr>
      </w:pPr>
    </w:p>
    <w:p>
      <w:pPr>
        <w:rPr>
          <w:rFonts w:hint="eastAsia"/>
        </w:rPr>
      </w:pPr>
    </w:p>
    <w:p>
      <w:pPr>
        <w:pStyle w:val="28"/>
        <w:rPr>
          <w:rFonts w:hint="eastAsia"/>
        </w:rPr>
      </w:pPr>
    </w:p>
    <w:p>
      <w:pPr>
        <w:rPr>
          <w:rFonts w:hint="eastAsia"/>
        </w:rPr>
      </w:pPr>
    </w:p>
    <w:p>
      <w:pPr>
        <w:pStyle w:val="28"/>
        <w:rPr>
          <w:rFonts w:hint="eastAsia"/>
        </w:rPr>
      </w:pPr>
    </w:p>
    <w:p>
      <w:pPr>
        <w:rPr>
          <w:rFonts w:hint="eastAsia"/>
        </w:rPr>
      </w:pPr>
    </w:p>
    <w:p>
      <w:pPr>
        <w:pStyle w:val="28"/>
        <w:rPr>
          <w:rFonts w:hint="eastAsia"/>
        </w:rPr>
      </w:pPr>
    </w:p>
    <w:p>
      <w:pPr>
        <w:rPr>
          <w:rFonts w:hint="eastAsia"/>
        </w:rPr>
      </w:pPr>
    </w:p>
    <w:p>
      <w:pPr>
        <w:pStyle w:val="28"/>
        <w:rPr>
          <w:rFonts w:hint="eastAsia"/>
        </w:rPr>
      </w:pPr>
    </w:p>
    <w:p>
      <w:pPr>
        <w:rPr>
          <w:rFonts w:hint="eastAsia"/>
        </w:rPr>
      </w:pPr>
    </w:p>
    <w:p>
      <w:pPr>
        <w:pStyle w:val="28"/>
        <w:rPr>
          <w:rFonts w:hint="eastAsia"/>
        </w:rPr>
      </w:pPr>
    </w:p>
    <w:p>
      <w:pPr>
        <w:rPr>
          <w:rFonts w:hint="eastAsia"/>
        </w:rPr>
      </w:pPr>
    </w:p>
    <w:p>
      <w:pPr>
        <w:pStyle w:val="28"/>
        <w:rPr>
          <w:rFonts w:hint="eastAsia"/>
        </w:rPr>
      </w:pPr>
    </w:p>
    <w:p>
      <w:pPr>
        <w:rPr>
          <w:rFonts w:hint="eastAsia"/>
        </w:rPr>
      </w:pPr>
    </w:p>
    <w:p>
      <w:pPr>
        <w:pStyle w:val="28"/>
        <w:rPr>
          <w:rFonts w:hint="eastAsia" w:ascii="宋体" w:hAnsi="宋体" w:eastAsia="宋体" w:cs="宋体"/>
        </w:rPr>
      </w:pPr>
    </w:p>
    <w:p>
      <w:pPr>
        <w:keepNext w:val="0"/>
        <w:keepLines w:val="0"/>
        <w:pageBreakBefore w:val="0"/>
        <w:widowControl w:val="0"/>
        <w:tabs>
          <w:tab w:val="left" w:pos="420"/>
          <w:tab w:val="left" w:pos="5609"/>
        </w:tabs>
        <w:kinsoku/>
        <w:wordWrap/>
        <w:overflowPunct/>
        <w:topLinePunct w:val="0"/>
        <w:autoSpaceDE/>
        <w:autoSpaceDN/>
        <w:bidi w:val="0"/>
        <w:adjustRightInd/>
        <w:snapToGrid/>
        <w:spacing w:line="360" w:lineRule="auto"/>
        <w:ind w:left="2220" w:leftChars="200" w:right="0" w:rightChars="0" w:hanging="1800" w:hangingChars="500"/>
        <w:jc w:val="left"/>
        <w:textAlignment w:val="auto"/>
        <w:rPr>
          <w:rFonts w:hint="eastAsia" w:ascii="宋体" w:hAnsi="宋体" w:eastAsia="宋体" w:cs="宋体"/>
          <w:bCs/>
          <w:sz w:val="36"/>
          <w:szCs w:val="36"/>
          <w:lang w:eastAsia="zh-CN"/>
        </w:rPr>
      </w:pPr>
      <w:r>
        <w:rPr>
          <w:rFonts w:hint="eastAsia" w:ascii="宋体" w:hAnsi="宋体" w:eastAsia="宋体" w:cs="宋体"/>
          <w:bCs/>
          <w:sz w:val="36"/>
          <w:szCs w:val="36"/>
        </w:rPr>
        <w:t>项目名称：</w:t>
      </w:r>
      <w:r>
        <w:rPr>
          <w:rFonts w:hint="eastAsia" w:ascii="宋体" w:hAnsi="宋体" w:cs="宋体"/>
          <w:bCs/>
          <w:sz w:val="36"/>
          <w:szCs w:val="36"/>
          <w:lang w:eastAsia="zh-CN"/>
        </w:rPr>
        <w:t>木林镇2024年度建筑拆除工程项目</w:t>
      </w:r>
    </w:p>
    <w:p>
      <w:pPr>
        <w:keepNext w:val="0"/>
        <w:keepLines w:val="0"/>
        <w:pageBreakBefore w:val="0"/>
        <w:widowControl w:val="0"/>
        <w:tabs>
          <w:tab w:val="left" w:pos="420"/>
          <w:tab w:val="left" w:pos="5609"/>
        </w:tabs>
        <w:kinsoku/>
        <w:wordWrap/>
        <w:overflowPunct/>
        <w:topLinePunct w:val="0"/>
        <w:autoSpaceDE/>
        <w:autoSpaceDN/>
        <w:bidi w:val="0"/>
        <w:adjustRightInd/>
        <w:snapToGrid/>
        <w:spacing w:line="360" w:lineRule="auto"/>
        <w:ind w:left="2220" w:leftChars="200" w:right="0" w:rightChars="0" w:hanging="1800" w:hangingChars="500"/>
        <w:jc w:val="left"/>
        <w:textAlignment w:val="auto"/>
        <w:rPr>
          <w:rFonts w:hint="eastAsia" w:ascii="宋体" w:hAnsi="宋体" w:cs="宋体"/>
          <w:bCs/>
          <w:sz w:val="36"/>
          <w:szCs w:val="36"/>
          <w:lang w:eastAsia="zh-CN"/>
        </w:rPr>
      </w:pPr>
      <w:r>
        <w:rPr>
          <w:rFonts w:hint="eastAsia" w:ascii="宋体" w:hAnsi="宋体" w:cs="宋体"/>
          <w:bCs/>
          <w:sz w:val="36"/>
          <w:szCs w:val="36"/>
          <w:lang w:eastAsia="zh-CN"/>
        </w:rPr>
        <w:t>项目编号：</w:t>
      </w:r>
      <w:r>
        <w:rPr>
          <w:rFonts w:hint="eastAsia" w:ascii="宋体" w:hAnsi="宋体" w:cs="宋体"/>
          <w:bCs/>
          <w:sz w:val="36"/>
          <w:szCs w:val="36"/>
          <w:highlight w:val="none"/>
          <w:lang w:eastAsia="zh-CN"/>
        </w:rPr>
        <w:fldChar w:fldCharType="begin"/>
      </w:r>
      <w:r>
        <w:rPr>
          <w:rFonts w:hint="eastAsia" w:ascii="宋体" w:hAnsi="宋体" w:cs="宋体"/>
          <w:bCs/>
          <w:sz w:val="36"/>
          <w:szCs w:val="36"/>
          <w:highlight w:val="none"/>
          <w:lang w:eastAsia="zh-CN"/>
        </w:rPr>
        <w:instrText xml:space="preserve"> HYPERLINK "http://219.232.204.193:8080/frontend/plan/project_detail.html?projectUuid=118bd389-8f99-4e0d-8f1e-ae1c9d0a674c" </w:instrText>
      </w:r>
      <w:r>
        <w:rPr>
          <w:rFonts w:hint="eastAsia" w:ascii="宋体" w:hAnsi="宋体" w:cs="宋体"/>
          <w:bCs/>
          <w:sz w:val="36"/>
          <w:szCs w:val="36"/>
          <w:highlight w:val="none"/>
          <w:lang w:eastAsia="zh-CN"/>
        </w:rPr>
        <w:fldChar w:fldCharType="separate"/>
      </w:r>
      <w:r>
        <w:rPr>
          <w:rFonts w:hint="eastAsia" w:ascii="宋体" w:hAnsi="宋体" w:cs="宋体"/>
          <w:bCs/>
          <w:sz w:val="36"/>
          <w:szCs w:val="36"/>
          <w:highlight w:val="none"/>
          <w:lang w:eastAsia="zh-CN"/>
        </w:rPr>
        <w:t>11011324210200014298-XM001</w:t>
      </w:r>
      <w:r>
        <w:rPr>
          <w:rFonts w:hint="default" w:ascii="宋体" w:hAnsi="宋体" w:cs="宋体"/>
          <w:bCs/>
          <w:sz w:val="36"/>
          <w:szCs w:val="36"/>
          <w:highlight w:val="none"/>
          <w:lang w:eastAsia="zh-CN"/>
        </w:rPr>
        <w:fldChar w:fldCharType="end"/>
      </w:r>
    </w:p>
    <w:p>
      <w:pPr>
        <w:keepNext w:val="0"/>
        <w:keepLines w:val="0"/>
        <w:pageBreakBefore w:val="0"/>
        <w:widowControl w:val="0"/>
        <w:tabs>
          <w:tab w:val="left" w:pos="420"/>
          <w:tab w:val="left" w:pos="3240"/>
          <w:tab w:val="left" w:pos="3420"/>
        </w:tabs>
        <w:kinsoku/>
        <w:wordWrap/>
        <w:overflowPunct/>
        <w:topLinePunct w:val="0"/>
        <w:autoSpaceDE/>
        <w:autoSpaceDN/>
        <w:bidi w:val="0"/>
        <w:adjustRightInd/>
        <w:snapToGrid/>
        <w:spacing w:line="360" w:lineRule="auto"/>
        <w:ind w:left="420" w:leftChars="200" w:right="0" w:rightChars="0" w:firstLine="0" w:firstLineChars="0"/>
        <w:jc w:val="left"/>
        <w:textAlignment w:val="auto"/>
        <w:rPr>
          <w:rFonts w:hint="eastAsia" w:ascii="宋体" w:hAnsi="宋体" w:eastAsia="宋体" w:cs="宋体"/>
          <w:bCs/>
          <w:sz w:val="36"/>
          <w:szCs w:val="36"/>
        </w:rPr>
      </w:pPr>
      <w:r>
        <w:rPr>
          <w:rFonts w:hint="eastAsia" w:ascii="宋体" w:hAnsi="宋体" w:eastAsia="宋体" w:cs="宋体"/>
          <w:bCs/>
          <w:sz w:val="36"/>
          <w:szCs w:val="36"/>
        </w:rPr>
        <w:t>采 购 人：</w:t>
      </w:r>
      <w:r>
        <w:rPr>
          <w:rFonts w:hint="eastAsia" w:ascii="宋体" w:hAnsi="宋体" w:cs="宋体"/>
          <w:bCs/>
          <w:sz w:val="36"/>
          <w:szCs w:val="36"/>
          <w:lang w:eastAsia="zh-CN"/>
        </w:rPr>
        <w:t xml:space="preserve">北京市顺义区木林镇人民政府 </w:t>
      </w:r>
    </w:p>
    <w:p>
      <w:pPr>
        <w:keepNext w:val="0"/>
        <w:keepLines w:val="0"/>
        <w:pageBreakBefore w:val="0"/>
        <w:widowControl w:val="0"/>
        <w:tabs>
          <w:tab w:val="left" w:pos="420"/>
          <w:tab w:val="left" w:pos="3240"/>
          <w:tab w:val="left" w:pos="3420"/>
        </w:tabs>
        <w:kinsoku/>
        <w:wordWrap/>
        <w:overflowPunct/>
        <w:topLinePunct w:val="0"/>
        <w:autoSpaceDE/>
        <w:autoSpaceDN/>
        <w:bidi w:val="0"/>
        <w:adjustRightInd/>
        <w:snapToGrid/>
        <w:spacing w:line="360" w:lineRule="auto"/>
        <w:ind w:left="420" w:leftChars="200" w:right="0" w:rightChars="0" w:firstLine="0" w:firstLineChars="0"/>
        <w:jc w:val="left"/>
        <w:textAlignment w:val="auto"/>
        <w:rPr>
          <w:rFonts w:hint="eastAsia" w:ascii="宋体" w:hAnsi="宋体" w:eastAsia="宋体" w:cs="宋体"/>
          <w:bCs/>
          <w:sz w:val="36"/>
          <w:szCs w:val="36"/>
        </w:rPr>
      </w:pPr>
      <w:r>
        <w:rPr>
          <w:rFonts w:hint="eastAsia" w:ascii="宋体" w:hAnsi="宋体" w:eastAsia="宋体" w:cs="宋体"/>
          <w:bCs/>
          <w:sz w:val="36"/>
          <w:szCs w:val="36"/>
        </w:rPr>
        <w:t>采购代理机构：</w:t>
      </w:r>
      <w:r>
        <w:rPr>
          <w:rFonts w:hint="eastAsia" w:ascii="宋体" w:hAnsi="宋体" w:cs="宋体"/>
          <w:bCs/>
          <w:sz w:val="36"/>
          <w:szCs w:val="36"/>
          <w:lang w:eastAsia="zh-CN"/>
        </w:rPr>
        <w:t xml:space="preserve">北京华信恒工程咨询有限公司 </w:t>
      </w:r>
      <w:r>
        <w:rPr>
          <w:rFonts w:hint="eastAsia" w:ascii="宋体" w:hAnsi="宋体" w:eastAsia="宋体" w:cs="宋体"/>
          <w:bCs/>
          <w:sz w:val="36"/>
          <w:szCs w:val="36"/>
        </w:rPr>
        <w:t xml:space="preserve"> </w:t>
      </w:r>
    </w:p>
    <w:p>
      <w:pPr>
        <w:widowControl/>
        <w:jc w:val="left"/>
        <w:rPr>
          <w:rFonts w:hint="eastAsia" w:ascii="宋体" w:hAnsi="宋体" w:eastAsia="宋体" w:cs="宋体"/>
        </w:rPr>
        <w:sectPr>
          <w:footerReference r:id="rId3" w:type="default"/>
          <w:type w:val="nextColumn"/>
          <w:pgSz w:w="11906" w:h="16838"/>
          <w:pgMar w:top="1911" w:right="1474" w:bottom="1882" w:left="1587" w:header="851" w:footer="992" w:gutter="0"/>
          <w:pgNumType w:fmt="decimal"/>
          <w:cols w:space="425" w:num="1"/>
          <w:docGrid w:linePitch="312" w:charSpace="0"/>
        </w:sectPr>
      </w:pPr>
    </w:p>
    <w:p>
      <w:pPr>
        <w:pStyle w:val="31"/>
        <w:spacing w:line="360" w:lineRule="auto"/>
        <w:jc w:val="center"/>
        <w:rPr>
          <w:rFonts w:hint="eastAsia" w:ascii="宋体" w:hAnsi="宋体" w:eastAsia="宋体" w:cs="宋体"/>
          <w:b w:val="0"/>
          <w:sz w:val="28"/>
          <w:szCs w:val="28"/>
        </w:rPr>
      </w:pPr>
      <w:r>
        <w:rPr>
          <w:rFonts w:hint="eastAsia" w:ascii="宋体" w:hAnsi="宋体" w:eastAsia="宋体" w:cs="宋体"/>
          <w:b/>
          <w:bCs/>
          <w:sz w:val="32"/>
          <w:szCs w:val="32"/>
          <w:lang w:val="en-US" w:eastAsia="zh-CN"/>
        </w:rPr>
        <w:t>目 录</w:t>
      </w:r>
    </w:p>
    <w:p>
      <w:pPr>
        <w:pStyle w:val="31"/>
        <w:tabs>
          <w:tab w:val="right" w:leader="dot" w:pos="9072"/>
          <w:tab w:val="clear" w:pos="1050"/>
          <w:tab w:val="clear" w:pos="8937"/>
        </w:tabs>
        <w:spacing w:line="480" w:lineRule="auto"/>
        <w:rPr>
          <w:sz w:val="28"/>
          <w:szCs w:val="28"/>
        </w:rPr>
      </w:pPr>
      <w:r>
        <w:rPr>
          <w:rFonts w:hint="eastAsia" w:ascii="宋体" w:hAnsi="宋体" w:eastAsia="宋体" w:cs="宋体"/>
          <w:b w:val="0"/>
          <w:sz w:val="28"/>
          <w:szCs w:val="28"/>
        </w:rPr>
        <w:fldChar w:fldCharType="begin"/>
      </w:r>
      <w:r>
        <w:rPr>
          <w:rFonts w:hint="eastAsia" w:ascii="宋体" w:hAnsi="宋体" w:eastAsia="宋体" w:cs="宋体"/>
          <w:b w:val="0"/>
          <w:sz w:val="28"/>
          <w:szCs w:val="28"/>
        </w:rPr>
        <w:instrText xml:space="preserve"> TOC \o "1-1" \h \z \u </w:instrText>
      </w:r>
      <w:r>
        <w:rPr>
          <w:rFonts w:hint="eastAsia" w:ascii="宋体" w:hAnsi="宋体" w:eastAsia="宋体" w:cs="宋体"/>
          <w:b w:val="0"/>
          <w:sz w:val="28"/>
          <w:szCs w:val="28"/>
        </w:rPr>
        <w:fldChar w:fldCharType="separate"/>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_Toc32355 </w:instrText>
      </w:r>
      <w:r>
        <w:rPr>
          <w:rFonts w:hint="eastAsia" w:ascii="宋体" w:hAnsi="宋体" w:eastAsia="宋体" w:cs="宋体"/>
          <w:sz w:val="28"/>
          <w:szCs w:val="28"/>
        </w:rPr>
        <w:fldChar w:fldCharType="separate"/>
      </w:r>
      <w:r>
        <w:rPr>
          <w:rFonts w:hint="eastAsia" w:ascii="宋体" w:hAnsi="宋体" w:eastAsia="宋体" w:cs="宋体"/>
          <w:sz w:val="28"/>
          <w:szCs w:val="28"/>
        </w:rPr>
        <w:t>第一章</w:t>
      </w:r>
      <w:r>
        <w:rPr>
          <w:rFonts w:hint="eastAsia" w:ascii="宋体" w:hAnsi="宋体" w:eastAsia="宋体" w:cs="宋体"/>
          <w:sz w:val="28"/>
          <w:szCs w:val="28"/>
          <w:lang w:eastAsia="zh-CN"/>
        </w:rPr>
        <w:t>、</w:t>
      </w:r>
      <w:r>
        <w:rPr>
          <w:rFonts w:hint="eastAsia" w:ascii="宋体" w:hAnsi="宋体" w:eastAsia="宋体" w:cs="宋体"/>
          <w:sz w:val="28"/>
          <w:szCs w:val="28"/>
        </w:rPr>
        <w:t>采购邀请</w:t>
      </w:r>
      <w:r>
        <w:rPr>
          <w:sz w:val="28"/>
          <w:szCs w:val="28"/>
        </w:rPr>
        <w:tab/>
      </w:r>
      <w:r>
        <w:rPr>
          <w:sz w:val="28"/>
          <w:szCs w:val="28"/>
        </w:rPr>
        <w:fldChar w:fldCharType="begin"/>
      </w:r>
      <w:r>
        <w:rPr>
          <w:sz w:val="28"/>
          <w:szCs w:val="28"/>
        </w:rPr>
        <w:instrText xml:space="preserve"> PAGEREF _Toc32355 \h </w:instrText>
      </w:r>
      <w:r>
        <w:rPr>
          <w:sz w:val="28"/>
          <w:szCs w:val="28"/>
        </w:rPr>
        <w:fldChar w:fldCharType="separate"/>
      </w:r>
      <w:r>
        <w:rPr>
          <w:sz w:val="28"/>
          <w:szCs w:val="28"/>
        </w:rPr>
        <w:t>2</w:t>
      </w:r>
      <w:r>
        <w:rPr>
          <w:sz w:val="28"/>
          <w:szCs w:val="28"/>
        </w:rPr>
        <w:fldChar w:fldCharType="end"/>
      </w:r>
      <w:r>
        <w:rPr>
          <w:rFonts w:hint="eastAsia" w:ascii="宋体" w:hAnsi="宋体" w:eastAsia="宋体" w:cs="宋体"/>
          <w:sz w:val="28"/>
          <w:szCs w:val="28"/>
        </w:rPr>
        <w:fldChar w:fldCharType="end"/>
      </w:r>
    </w:p>
    <w:p>
      <w:pPr>
        <w:pStyle w:val="31"/>
        <w:tabs>
          <w:tab w:val="right" w:leader="dot" w:pos="9072"/>
          <w:tab w:val="clear" w:pos="1050"/>
          <w:tab w:val="clear" w:pos="8937"/>
        </w:tabs>
        <w:spacing w:line="480" w:lineRule="auto"/>
        <w:rPr>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_Toc5273 </w:instrText>
      </w:r>
      <w:r>
        <w:rPr>
          <w:rFonts w:hint="eastAsia" w:ascii="宋体" w:hAnsi="宋体" w:eastAsia="宋体" w:cs="宋体"/>
          <w:sz w:val="28"/>
          <w:szCs w:val="28"/>
        </w:rPr>
        <w:fldChar w:fldCharType="separate"/>
      </w:r>
      <w:r>
        <w:rPr>
          <w:rFonts w:hint="eastAsia" w:ascii="宋体" w:hAnsi="宋体" w:eastAsia="宋体" w:cs="宋体"/>
          <w:sz w:val="28"/>
          <w:szCs w:val="28"/>
        </w:rPr>
        <w:t>第二章</w:t>
      </w:r>
      <w:r>
        <w:rPr>
          <w:rFonts w:hint="eastAsia" w:ascii="宋体" w:hAnsi="宋体" w:eastAsia="宋体" w:cs="宋体"/>
          <w:sz w:val="28"/>
          <w:szCs w:val="28"/>
          <w:lang w:eastAsia="zh-CN"/>
        </w:rPr>
        <w:t>、</w:t>
      </w:r>
      <w:r>
        <w:rPr>
          <w:rFonts w:hint="eastAsia" w:ascii="宋体" w:hAnsi="宋体" w:eastAsia="宋体" w:cs="宋体"/>
          <w:sz w:val="28"/>
          <w:szCs w:val="28"/>
        </w:rPr>
        <w:t>供应商须知</w:t>
      </w:r>
      <w:r>
        <w:rPr>
          <w:sz w:val="28"/>
          <w:szCs w:val="28"/>
        </w:rPr>
        <w:tab/>
      </w:r>
      <w:r>
        <w:rPr>
          <w:sz w:val="28"/>
          <w:szCs w:val="28"/>
        </w:rPr>
        <w:fldChar w:fldCharType="begin"/>
      </w:r>
      <w:r>
        <w:rPr>
          <w:sz w:val="28"/>
          <w:szCs w:val="28"/>
        </w:rPr>
        <w:instrText xml:space="preserve"> PAGEREF _Toc5273 \h </w:instrText>
      </w:r>
      <w:r>
        <w:rPr>
          <w:sz w:val="28"/>
          <w:szCs w:val="28"/>
        </w:rPr>
        <w:fldChar w:fldCharType="separate"/>
      </w:r>
      <w:r>
        <w:rPr>
          <w:sz w:val="28"/>
          <w:szCs w:val="28"/>
        </w:rPr>
        <w:t>7</w:t>
      </w:r>
      <w:r>
        <w:rPr>
          <w:sz w:val="28"/>
          <w:szCs w:val="28"/>
        </w:rPr>
        <w:fldChar w:fldCharType="end"/>
      </w:r>
      <w:r>
        <w:rPr>
          <w:rFonts w:hint="eastAsia" w:ascii="宋体" w:hAnsi="宋体" w:eastAsia="宋体" w:cs="宋体"/>
          <w:sz w:val="28"/>
          <w:szCs w:val="28"/>
        </w:rPr>
        <w:fldChar w:fldCharType="end"/>
      </w:r>
    </w:p>
    <w:p>
      <w:pPr>
        <w:pStyle w:val="31"/>
        <w:tabs>
          <w:tab w:val="right" w:leader="dot" w:pos="9072"/>
          <w:tab w:val="clear" w:pos="1050"/>
          <w:tab w:val="clear" w:pos="8937"/>
        </w:tabs>
        <w:spacing w:line="480" w:lineRule="auto"/>
        <w:rPr>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_Toc7409 </w:instrText>
      </w:r>
      <w:r>
        <w:rPr>
          <w:rFonts w:hint="eastAsia" w:ascii="宋体" w:hAnsi="宋体" w:eastAsia="宋体" w:cs="宋体"/>
          <w:sz w:val="28"/>
          <w:szCs w:val="28"/>
        </w:rPr>
        <w:fldChar w:fldCharType="separate"/>
      </w:r>
      <w:r>
        <w:rPr>
          <w:rFonts w:hint="eastAsia" w:ascii="宋体" w:hAnsi="宋体" w:eastAsia="宋体" w:cs="宋体"/>
          <w:sz w:val="28"/>
          <w:szCs w:val="28"/>
        </w:rPr>
        <w:t>第三章</w:t>
      </w:r>
      <w:r>
        <w:rPr>
          <w:rFonts w:hint="eastAsia" w:ascii="宋体" w:hAnsi="宋体" w:eastAsia="宋体" w:cs="宋体"/>
          <w:sz w:val="28"/>
          <w:szCs w:val="28"/>
          <w:lang w:eastAsia="zh-CN"/>
        </w:rPr>
        <w:t>、</w:t>
      </w:r>
      <w:r>
        <w:rPr>
          <w:rFonts w:hint="eastAsia" w:ascii="宋体" w:hAnsi="宋体" w:eastAsia="宋体" w:cs="宋体"/>
          <w:sz w:val="28"/>
          <w:szCs w:val="28"/>
        </w:rPr>
        <w:t>评审方法和评审标准</w:t>
      </w:r>
      <w:r>
        <w:rPr>
          <w:sz w:val="28"/>
          <w:szCs w:val="28"/>
        </w:rPr>
        <w:tab/>
      </w:r>
      <w:r>
        <w:rPr>
          <w:sz w:val="28"/>
          <w:szCs w:val="28"/>
        </w:rPr>
        <w:fldChar w:fldCharType="begin"/>
      </w:r>
      <w:r>
        <w:rPr>
          <w:sz w:val="28"/>
          <w:szCs w:val="28"/>
        </w:rPr>
        <w:instrText xml:space="preserve"> PAGEREF _Toc7409 \h </w:instrText>
      </w:r>
      <w:r>
        <w:rPr>
          <w:sz w:val="28"/>
          <w:szCs w:val="28"/>
        </w:rPr>
        <w:fldChar w:fldCharType="separate"/>
      </w:r>
      <w:r>
        <w:rPr>
          <w:sz w:val="28"/>
          <w:szCs w:val="28"/>
        </w:rPr>
        <w:t>23</w:t>
      </w:r>
      <w:r>
        <w:rPr>
          <w:sz w:val="28"/>
          <w:szCs w:val="28"/>
        </w:rPr>
        <w:fldChar w:fldCharType="end"/>
      </w:r>
      <w:r>
        <w:rPr>
          <w:rFonts w:hint="eastAsia" w:ascii="宋体" w:hAnsi="宋体" w:eastAsia="宋体" w:cs="宋体"/>
          <w:sz w:val="28"/>
          <w:szCs w:val="28"/>
        </w:rPr>
        <w:fldChar w:fldCharType="end"/>
      </w:r>
    </w:p>
    <w:p>
      <w:pPr>
        <w:pStyle w:val="31"/>
        <w:tabs>
          <w:tab w:val="right" w:leader="dot" w:pos="9072"/>
          <w:tab w:val="clear" w:pos="1050"/>
          <w:tab w:val="clear" w:pos="8937"/>
        </w:tabs>
        <w:spacing w:line="480" w:lineRule="auto"/>
        <w:rPr>
          <w:rFonts w:hint="eastAsia" w:eastAsia="宋体"/>
          <w:sz w:val="28"/>
          <w:szCs w:val="28"/>
          <w:lang w:val="en-US" w:eastAsia="zh-CN"/>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_Toc24876 </w:instrText>
      </w:r>
      <w:r>
        <w:rPr>
          <w:rFonts w:hint="eastAsia" w:ascii="宋体" w:hAnsi="宋体" w:eastAsia="宋体" w:cs="宋体"/>
          <w:sz w:val="28"/>
          <w:szCs w:val="28"/>
        </w:rPr>
        <w:fldChar w:fldCharType="separate"/>
      </w:r>
      <w:r>
        <w:rPr>
          <w:rFonts w:hint="eastAsia" w:ascii="宋体" w:hAnsi="宋体" w:eastAsia="宋体" w:cs="宋体"/>
          <w:sz w:val="28"/>
          <w:szCs w:val="28"/>
        </w:rPr>
        <w:t>第四章、采购需求</w:t>
      </w:r>
      <w:r>
        <w:rPr>
          <w:sz w:val="28"/>
          <w:szCs w:val="28"/>
        </w:rPr>
        <w:tab/>
      </w:r>
      <w:r>
        <w:rPr>
          <w:rFonts w:hint="eastAsia"/>
          <w:sz w:val="28"/>
          <w:szCs w:val="28"/>
          <w:lang w:val="en-US" w:eastAsia="zh-CN"/>
        </w:rPr>
        <w:t>3</w:t>
      </w:r>
      <w:r>
        <w:rPr>
          <w:rFonts w:hint="eastAsia" w:ascii="宋体" w:hAnsi="宋体" w:eastAsia="宋体" w:cs="宋体"/>
          <w:sz w:val="28"/>
          <w:szCs w:val="28"/>
        </w:rPr>
        <w:fldChar w:fldCharType="end"/>
      </w:r>
      <w:r>
        <w:rPr>
          <w:rFonts w:hint="eastAsia" w:cs="宋体"/>
          <w:sz w:val="28"/>
          <w:szCs w:val="28"/>
          <w:lang w:val="en-US" w:eastAsia="zh-CN"/>
        </w:rPr>
        <w:t>5</w:t>
      </w:r>
    </w:p>
    <w:p>
      <w:pPr>
        <w:pStyle w:val="31"/>
        <w:tabs>
          <w:tab w:val="right" w:leader="dot" w:pos="9072"/>
          <w:tab w:val="clear" w:pos="1050"/>
          <w:tab w:val="clear" w:pos="8937"/>
        </w:tabs>
        <w:spacing w:line="480" w:lineRule="auto"/>
        <w:rPr>
          <w:rFonts w:hint="eastAsia" w:eastAsia="宋体"/>
          <w:sz w:val="28"/>
          <w:szCs w:val="28"/>
          <w:lang w:val="en-US" w:eastAsia="zh-CN"/>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_Toc547 </w:instrText>
      </w:r>
      <w:r>
        <w:rPr>
          <w:rFonts w:hint="eastAsia" w:ascii="宋体" w:hAnsi="宋体" w:eastAsia="宋体" w:cs="宋体"/>
          <w:sz w:val="28"/>
          <w:szCs w:val="28"/>
        </w:rPr>
        <w:fldChar w:fldCharType="separate"/>
      </w:r>
      <w:r>
        <w:rPr>
          <w:rFonts w:hint="eastAsia" w:ascii="宋体" w:hAnsi="宋体" w:eastAsia="宋体" w:cs="宋体"/>
          <w:sz w:val="28"/>
          <w:szCs w:val="28"/>
        </w:rPr>
        <w:t>第</w:t>
      </w:r>
      <w:r>
        <w:rPr>
          <w:rFonts w:hint="eastAsia" w:ascii="宋体" w:cs="宋体"/>
          <w:sz w:val="28"/>
          <w:szCs w:val="28"/>
          <w:lang w:val="en-US" w:eastAsia="zh-CN"/>
        </w:rPr>
        <w:t>五</w:t>
      </w:r>
      <w:r>
        <w:rPr>
          <w:rFonts w:hint="eastAsia" w:ascii="宋体" w:hAnsi="宋体" w:eastAsia="宋体" w:cs="宋体"/>
          <w:sz w:val="28"/>
          <w:szCs w:val="28"/>
        </w:rPr>
        <w:t>章</w:t>
      </w:r>
      <w:r>
        <w:rPr>
          <w:rFonts w:hint="eastAsia" w:ascii="宋体" w:hAnsi="宋体" w:eastAsia="宋体" w:cs="宋体"/>
          <w:sz w:val="28"/>
          <w:szCs w:val="28"/>
          <w:lang w:eastAsia="zh-CN"/>
        </w:rPr>
        <w:t>、合同草案条款</w:t>
      </w:r>
      <w:r>
        <w:rPr>
          <w:sz w:val="28"/>
          <w:szCs w:val="28"/>
        </w:rPr>
        <w:tab/>
      </w:r>
      <w:r>
        <w:rPr>
          <w:rFonts w:hint="eastAsia"/>
          <w:sz w:val="28"/>
          <w:szCs w:val="28"/>
          <w:lang w:val="en-US" w:eastAsia="zh-CN"/>
        </w:rPr>
        <w:t>4</w:t>
      </w:r>
      <w:r>
        <w:rPr>
          <w:rFonts w:hint="eastAsia" w:ascii="宋体" w:hAnsi="宋体" w:eastAsia="宋体" w:cs="宋体"/>
          <w:sz w:val="28"/>
          <w:szCs w:val="28"/>
        </w:rPr>
        <w:fldChar w:fldCharType="end"/>
      </w:r>
      <w:r>
        <w:rPr>
          <w:rFonts w:hint="eastAsia" w:cs="宋体"/>
          <w:sz w:val="28"/>
          <w:szCs w:val="28"/>
          <w:lang w:val="en-US" w:eastAsia="zh-CN"/>
        </w:rPr>
        <w:t>7</w:t>
      </w:r>
      <w:bookmarkStart w:id="750" w:name="_GoBack"/>
      <w:bookmarkEnd w:id="750"/>
    </w:p>
    <w:p>
      <w:pPr>
        <w:pStyle w:val="31"/>
        <w:tabs>
          <w:tab w:val="right" w:leader="dot" w:pos="9072"/>
          <w:tab w:val="clear" w:pos="1050"/>
          <w:tab w:val="clear" w:pos="8937"/>
        </w:tabs>
        <w:spacing w:line="480" w:lineRule="auto"/>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_Toc1526 </w:instrText>
      </w:r>
      <w:r>
        <w:rPr>
          <w:rFonts w:hint="eastAsia" w:ascii="宋体" w:hAnsi="宋体" w:eastAsia="宋体" w:cs="宋体"/>
          <w:sz w:val="28"/>
          <w:szCs w:val="28"/>
        </w:rPr>
        <w:fldChar w:fldCharType="separate"/>
      </w:r>
      <w:r>
        <w:rPr>
          <w:rFonts w:hint="eastAsia" w:ascii="宋体" w:hAnsi="宋体" w:eastAsia="宋体" w:cs="宋体"/>
          <w:sz w:val="28"/>
          <w:szCs w:val="28"/>
        </w:rPr>
        <w:t>第六章</w:t>
      </w:r>
      <w:r>
        <w:rPr>
          <w:rFonts w:hint="eastAsia" w:ascii="宋体" w:hAnsi="宋体" w:eastAsia="宋体" w:cs="宋体"/>
          <w:sz w:val="28"/>
          <w:szCs w:val="28"/>
          <w:lang w:eastAsia="zh-CN"/>
        </w:rPr>
        <w:t>、</w:t>
      </w:r>
      <w:r>
        <w:rPr>
          <w:rFonts w:hint="eastAsia" w:ascii="宋体" w:hAnsi="宋体" w:eastAsia="宋体" w:cs="宋体"/>
          <w:sz w:val="28"/>
          <w:szCs w:val="28"/>
        </w:rPr>
        <w:t>响应文件格式</w:t>
      </w:r>
      <w:r>
        <w:rPr>
          <w:sz w:val="28"/>
          <w:szCs w:val="28"/>
        </w:rPr>
        <w:tab/>
      </w:r>
      <w:r>
        <w:rPr>
          <w:sz w:val="28"/>
          <w:szCs w:val="28"/>
        </w:rPr>
        <w:fldChar w:fldCharType="begin"/>
      </w:r>
      <w:r>
        <w:rPr>
          <w:sz w:val="28"/>
          <w:szCs w:val="28"/>
        </w:rPr>
        <w:instrText xml:space="preserve"> PAGEREF _Toc1526 \h </w:instrText>
      </w:r>
      <w:r>
        <w:rPr>
          <w:sz w:val="28"/>
          <w:szCs w:val="28"/>
        </w:rPr>
        <w:fldChar w:fldCharType="separate"/>
      </w:r>
      <w:r>
        <w:rPr>
          <w:sz w:val="28"/>
          <w:szCs w:val="28"/>
        </w:rPr>
        <w:t>62</w:t>
      </w:r>
      <w:r>
        <w:rPr>
          <w:sz w:val="28"/>
          <w:szCs w:val="28"/>
        </w:rPr>
        <w:fldChar w:fldCharType="end"/>
      </w:r>
      <w:r>
        <w:rPr>
          <w:rFonts w:hint="eastAsia" w:ascii="宋体" w:hAnsi="宋体" w:eastAsia="宋体" w:cs="宋体"/>
          <w:sz w:val="28"/>
          <w:szCs w:val="28"/>
        </w:rPr>
        <w:fldChar w:fldCharType="end"/>
      </w:r>
    </w:p>
    <w:p>
      <w:pPr>
        <w:pStyle w:val="31"/>
        <w:spacing w:line="480" w:lineRule="auto"/>
        <w:rPr>
          <w:rFonts w:hint="eastAsia" w:ascii="宋体" w:hAnsi="宋体" w:eastAsia="宋体" w:cs="宋体"/>
          <w:b w:val="0"/>
        </w:rPr>
      </w:pPr>
      <w:r>
        <w:rPr>
          <w:rFonts w:hint="eastAsia" w:ascii="宋体" w:hAnsi="宋体" w:eastAsia="宋体" w:cs="宋体"/>
          <w:szCs w:val="28"/>
        </w:rPr>
        <w:fldChar w:fldCharType="end"/>
      </w:r>
    </w:p>
    <w:p>
      <w:pPr>
        <w:pStyle w:val="31"/>
        <w:spacing w:line="360" w:lineRule="auto"/>
        <w:rPr>
          <w:rFonts w:hint="eastAsia" w:ascii="宋体" w:hAnsi="宋体" w:eastAsia="宋体" w:cs="宋体"/>
          <w:b w:val="0"/>
          <w:sz w:val="36"/>
          <w:szCs w:val="36"/>
        </w:rPr>
      </w:pPr>
    </w:p>
    <w:p>
      <w:pPr>
        <w:spacing w:line="360" w:lineRule="auto"/>
        <w:jc w:val="center"/>
        <w:outlineLvl w:val="0"/>
        <w:rPr>
          <w:rFonts w:hint="eastAsia" w:ascii="宋体" w:hAnsi="宋体" w:eastAsia="宋体" w:cs="宋体"/>
          <w:b/>
          <w:sz w:val="36"/>
          <w:szCs w:val="36"/>
        </w:rPr>
        <w:sectPr>
          <w:headerReference r:id="rId5" w:type="first"/>
          <w:footerReference r:id="rId8" w:type="first"/>
          <w:headerReference r:id="rId4" w:type="default"/>
          <w:footerReference r:id="rId6" w:type="default"/>
          <w:footerReference r:id="rId7" w:type="even"/>
          <w:type w:val="nextColumn"/>
          <w:pgSz w:w="11907" w:h="16840"/>
          <w:pgMar w:top="1418" w:right="1134" w:bottom="1418" w:left="1701" w:header="851" w:footer="851" w:gutter="0"/>
          <w:pgNumType w:fmt="decimal" w:start="1"/>
          <w:cols w:space="720" w:num="1"/>
          <w:titlePg/>
          <w:docGrid w:linePitch="462" w:charSpace="0"/>
        </w:sectPr>
      </w:pPr>
    </w:p>
    <w:p>
      <w:pPr>
        <w:spacing w:line="360" w:lineRule="auto"/>
        <w:jc w:val="center"/>
        <w:outlineLvl w:val="0"/>
        <w:rPr>
          <w:rFonts w:hint="eastAsia" w:ascii="宋体" w:hAnsi="宋体" w:eastAsia="宋体" w:cs="宋体"/>
          <w:b/>
          <w:sz w:val="32"/>
          <w:szCs w:val="32"/>
        </w:rPr>
      </w:pPr>
      <w:bookmarkStart w:id="0" w:name="_Toc32355"/>
      <w:r>
        <w:rPr>
          <w:rFonts w:hint="eastAsia" w:ascii="宋体" w:hAnsi="宋体" w:eastAsia="宋体" w:cs="宋体"/>
          <w:b/>
          <w:sz w:val="32"/>
          <w:szCs w:val="32"/>
        </w:rPr>
        <w:t>第一章</w:t>
      </w:r>
      <w:r>
        <w:rPr>
          <w:rFonts w:hint="eastAsia" w:ascii="宋体" w:hAnsi="宋体" w:eastAsia="宋体" w:cs="宋体"/>
          <w:b/>
          <w:sz w:val="32"/>
          <w:szCs w:val="32"/>
          <w:lang w:eastAsia="zh-CN"/>
        </w:rPr>
        <w:t>、</w:t>
      </w:r>
      <w:r>
        <w:rPr>
          <w:rFonts w:hint="eastAsia" w:ascii="宋体" w:hAnsi="宋体" w:eastAsia="宋体" w:cs="宋体"/>
          <w:b/>
          <w:sz w:val="32"/>
          <w:szCs w:val="32"/>
        </w:rPr>
        <w:t>采购邀请</w:t>
      </w:r>
      <w:bookmarkEnd w:id="0"/>
      <w:bookmarkStart w:id="1" w:name="_Toc35393621"/>
      <w:bookmarkStart w:id="2" w:name="_Toc35393790"/>
      <w:bookmarkStart w:id="3" w:name="_Toc28359002"/>
      <w:bookmarkStart w:id="4" w:name="_Toc28359079"/>
      <w:bookmarkStart w:id="5" w:name="_Hlk24379207"/>
    </w:p>
    <w:p>
      <w:pPr>
        <w:pStyle w:val="2"/>
        <w:pageBreakBefore w:val="0"/>
        <w:widowControl w:val="0"/>
        <w:kinsoku/>
        <w:wordWrap/>
        <w:overflowPunct/>
        <w:topLinePunct w:val="0"/>
        <w:bidi w:val="0"/>
        <w:snapToGrid/>
        <w:spacing w:before="0" w:line="360" w:lineRule="auto"/>
        <w:jc w:val="left"/>
        <w:textAlignment w:val="auto"/>
        <w:rPr>
          <w:rFonts w:hint="eastAsia" w:ascii="宋体" w:hAnsi="宋体" w:eastAsia="宋体" w:cs="宋体"/>
          <w:sz w:val="24"/>
          <w:szCs w:val="24"/>
        </w:rPr>
      </w:pPr>
      <w:r>
        <w:rPr>
          <w:rFonts w:hint="eastAsia" w:ascii="宋体" w:hAnsi="宋体" w:eastAsia="宋体" w:cs="宋体"/>
          <w:sz w:val="24"/>
          <w:szCs w:val="24"/>
        </w:rPr>
        <w:t>一、项目基本情况</w:t>
      </w:r>
      <w:bookmarkEnd w:id="1"/>
      <w:bookmarkEnd w:id="2"/>
      <w:bookmarkEnd w:id="3"/>
      <w:bookmarkEnd w:id="4"/>
    </w:p>
    <w:p>
      <w:pPr>
        <w:pageBreakBefore w:val="0"/>
        <w:widowControl w:val="0"/>
        <w:kinsoku/>
        <w:wordWrap/>
        <w:overflowPunct/>
        <w:topLinePunct w:val="0"/>
        <w:bidi w:val="0"/>
        <w:snapToGrid/>
        <w:spacing w:line="360" w:lineRule="auto"/>
        <w:ind w:firstLine="480" w:firstLineChars="200"/>
        <w:textAlignment w:val="auto"/>
        <w:rPr>
          <w:rFonts w:hint="default" w:ascii="宋体" w:hAnsi="宋体" w:cs="宋体"/>
          <w:sz w:val="24"/>
          <w:u w:val="single"/>
          <w:lang w:eastAsia="zh-CN"/>
        </w:rPr>
      </w:pPr>
      <w:r>
        <w:rPr>
          <w:rFonts w:hint="eastAsia" w:ascii="宋体" w:hAnsi="宋体" w:cs="宋体"/>
          <w:sz w:val="24"/>
          <w:u w:val="single"/>
          <w:lang w:eastAsia="zh-CN"/>
        </w:rPr>
        <w:t>1.项目编号</w:t>
      </w:r>
      <w:r>
        <w:rPr>
          <w:rFonts w:hint="eastAsia" w:ascii="宋体" w:hAnsi="宋体" w:cs="宋体"/>
          <w:sz w:val="24"/>
          <w:u w:val="none"/>
          <w:lang w:eastAsia="zh-CN"/>
        </w:rPr>
        <w:t>：</w:t>
      </w:r>
      <w:r>
        <w:rPr>
          <w:rFonts w:hint="eastAsia" w:ascii="宋体" w:hAnsi="宋体" w:cs="宋体"/>
          <w:sz w:val="24"/>
          <w:u w:val="none"/>
          <w:lang w:eastAsia="zh-CN"/>
        </w:rPr>
        <w:fldChar w:fldCharType="begin"/>
      </w:r>
      <w:r>
        <w:rPr>
          <w:rFonts w:hint="eastAsia" w:ascii="宋体" w:hAnsi="宋体" w:cs="宋体"/>
          <w:sz w:val="24"/>
          <w:u w:val="none"/>
          <w:lang w:eastAsia="zh-CN"/>
        </w:rPr>
        <w:instrText xml:space="preserve"> HYPERLINK "http://219.232.204.193:8080/frontend/plan/project_detail.html?projectUuid=118bd389-8f99-4e0d-8f1e-ae1c9d0a674c" </w:instrText>
      </w:r>
      <w:r>
        <w:rPr>
          <w:rFonts w:hint="eastAsia" w:ascii="宋体" w:hAnsi="宋体" w:cs="宋体"/>
          <w:sz w:val="24"/>
          <w:u w:val="none"/>
          <w:lang w:eastAsia="zh-CN"/>
        </w:rPr>
        <w:fldChar w:fldCharType="separate"/>
      </w:r>
      <w:r>
        <w:rPr>
          <w:rFonts w:hint="eastAsia" w:ascii="宋体" w:hAnsi="宋体" w:cs="宋体"/>
          <w:sz w:val="24"/>
          <w:u w:val="none"/>
          <w:lang w:eastAsia="zh-CN"/>
        </w:rPr>
        <w:t>11011324210200014298-XM001</w:t>
      </w:r>
      <w:r>
        <w:rPr>
          <w:rFonts w:hint="default" w:ascii="宋体" w:hAnsi="宋体" w:cs="宋体"/>
          <w:sz w:val="24"/>
          <w:u w:val="none"/>
          <w:lang w:eastAsia="zh-CN"/>
        </w:rPr>
        <w:fldChar w:fldCharType="end"/>
      </w:r>
    </w:p>
    <w:p>
      <w:pPr>
        <w:pageBreakBefore w:val="0"/>
        <w:widowControl w:val="0"/>
        <w:kinsoku/>
        <w:wordWrap/>
        <w:overflowPunct/>
        <w:topLinePunct w:val="0"/>
        <w:bidi w:val="0"/>
        <w:snapToGrid/>
        <w:spacing w:line="360" w:lineRule="auto"/>
        <w:ind w:firstLine="480" w:firstLineChars="200"/>
        <w:textAlignment w:val="auto"/>
        <w:rPr>
          <w:rFonts w:hint="eastAsia" w:ascii="宋体" w:hAnsi="宋体" w:eastAsia="宋体" w:cs="宋体"/>
          <w:sz w:val="24"/>
          <w:lang w:eastAsia="zh-CN"/>
        </w:rPr>
      </w:pPr>
      <w:r>
        <w:rPr>
          <w:rFonts w:hint="eastAsia" w:ascii="宋体" w:hAnsi="宋体" w:eastAsia="宋体" w:cs="宋体"/>
          <w:sz w:val="24"/>
        </w:rPr>
        <w:t>2.项目名称：</w:t>
      </w:r>
      <w:r>
        <w:rPr>
          <w:rFonts w:hint="eastAsia" w:ascii="宋体" w:hAnsi="宋体" w:cs="宋体"/>
          <w:sz w:val="24"/>
          <w:u w:val="single"/>
          <w:lang w:eastAsia="zh-CN"/>
        </w:rPr>
        <w:t>木林镇2024年度建筑拆除工程项目</w:t>
      </w:r>
    </w:p>
    <w:p>
      <w:pPr>
        <w:pageBreakBefore w:val="0"/>
        <w:widowControl w:val="0"/>
        <w:kinsoku/>
        <w:wordWrap/>
        <w:overflowPunct/>
        <w:topLinePunct w:val="0"/>
        <w:bidi w:val="0"/>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3.采购方式：</w:t>
      </w:r>
      <w:r>
        <w:rPr>
          <w:rFonts w:hint="eastAsia" w:ascii="宋体" w:hAnsi="宋体" w:eastAsia="宋体" w:cs="宋体"/>
          <w:sz w:val="24"/>
          <w:u w:val="single"/>
        </w:rPr>
        <w:t>竞争性磋商</w:t>
      </w:r>
    </w:p>
    <w:bookmarkEnd w:id="5"/>
    <w:p>
      <w:pPr>
        <w:pageBreakBefore w:val="0"/>
        <w:widowControl w:val="0"/>
        <w:kinsoku/>
        <w:wordWrap/>
        <w:overflowPunct/>
        <w:topLinePunct w:val="0"/>
        <w:bidi w:val="0"/>
        <w:snapToGrid/>
        <w:spacing w:line="360" w:lineRule="auto"/>
        <w:ind w:firstLine="480" w:firstLineChars="200"/>
        <w:textAlignment w:val="auto"/>
        <w:rPr>
          <w:rFonts w:hint="default" w:ascii="宋体" w:hAnsi="宋体" w:cs="宋体"/>
          <w:color w:val="auto"/>
          <w:sz w:val="24"/>
          <w:highlight w:val="none"/>
          <w:lang w:val="en-US" w:eastAsia="zh-CN"/>
        </w:rPr>
      </w:pPr>
      <w:r>
        <w:rPr>
          <w:rFonts w:hint="eastAsia" w:ascii="宋体" w:hAnsi="宋体" w:eastAsia="宋体" w:cs="宋体"/>
          <w:sz w:val="24"/>
          <w:highlight w:val="none"/>
        </w:rPr>
        <w:t>4.项目预算金额：</w:t>
      </w:r>
      <w:r>
        <w:rPr>
          <w:rFonts w:hint="eastAsia" w:ascii="宋体" w:hAnsi="宋体" w:cs="宋体"/>
          <w:b/>
          <w:bCs/>
          <w:color w:val="auto"/>
          <w:sz w:val="24"/>
          <w:highlight w:val="none"/>
          <w:lang w:val="en-US" w:eastAsia="zh-CN"/>
        </w:rPr>
        <w:t>5000</w:t>
      </w:r>
      <w:r>
        <w:rPr>
          <w:rFonts w:hint="eastAsia" w:ascii="宋体" w:hAnsi="宋体" w:eastAsia="宋体" w:cs="宋体"/>
          <w:color w:val="auto"/>
          <w:sz w:val="24"/>
          <w:highlight w:val="none"/>
        </w:rPr>
        <w:t>万元、项目最高限价：</w:t>
      </w:r>
      <w:r>
        <w:rPr>
          <w:rFonts w:hint="eastAsia"/>
          <w:sz w:val="24"/>
        </w:rPr>
        <w:t>第</w:t>
      </w:r>
      <w:r>
        <w:rPr>
          <w:rFonts w:hint="eastAsia"/>
          <w:sz w:val="24"/>
          <w:lang w:val="en-US" w:eastAsia="zh-CN"/>
        </w:rPr>
        <w:t>四</w:t>
      </w:r>
      <w:r>
        <w:rPr>
          <w:rFonts w:hint="eastAsia"/>
          <w:sz w:val="24"/>
        </w:rPr>
        <w:t>包：</w:t>
      </w:r>
      <w:r>
        <w:rPr>
          <w:rFonts w:hint="eastAsia"/>
          <w:sz w:val="24"/>
          <w:lang w:val="en-US" w:eastAsia="zh-CN"/>
        </w:rPr>
        <w:t>1328</w:t>
      </w:r>
      <w:r>
        <w:rPr>
          <w:rFonts w:hint="eastAsia"/>
          <w:sz w:val="24"/>
        </w:rPr>
        <w:t>元</w:t>
      </w:r>
      <w:r>
        <w:rPr>
          <w:rFonts w:hint="eastAsia"/>
          <w:sz w:val="24"/>
          <w:lang w:eastAsia="zh-CN"/>
        </w:rPr>
        <w:t>，</w:t>
      </w:r>
      <w:r>
        <w:rPr>
          <w:rFonts w:hint="eastAsia"/>
          <w:sz w:val="24"/>
        </w:rPr>
        <w:t>暂定工程量为1。本项目实行分项控制，投标人各分项投标单价均不得超过招标人给定的各分项综合单价。投标总价仅作为价格分评审，最终合同签订以中标单位报价的各分项价格作为签约合同价。</w:t>
      </w:r>
    </w:p>
    <w:p>
      <w:pPr>
        <w:pageBreakBefore w:val="0"/>
        <w:widowControl w:val="0"/>
        <w:kinsoku/>
        <w:wordWrap/>
        <w:overflowPunct/>
        <w:topLinePunct w:val="0"/>
        <w:bidi w:val="0"/>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5.采购需求：</w:t>
      </w:r>
    </w:p>
    <w:tbl>
      <w:tblPr>
        <w:tblStyle w:val="47"/>
        <w:tblW w:w="5186" w:type="pct"/>
        <w:tblInd w:w="-3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9"/>
        <w:gridCol w:w="1368"/>
        <w:gridCol w:w="887"/>
        <w:gridCol w:w="936"/>
        <w:gridCol w:w="482"/>
        <w:gridCol w:w="2548"/>
        <w:gridCol w:w="932"/>
        <w:gridCol w:w="18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9" w:hRule="atLeast"/>
        </w:trPr>
        <w:tc>
          <w:tcPr>
            <w:tcW w:w="306" w:type="pct"/>
            <w:vAlign w:val="center"/>
          </w:tcPr>
          <w:p>
            <w:pPr>
              <w:pStyle w:val="28"/>
              <w:numPr>
                <w:ilvl w:val="0"/>
                <w:numId w:val="0"/>
              </w:numPr>
              <w:jc w:val="center"/>
              <w:rPr>
                <w:sz w:val="24"/>
                <w:szCs w:val="24"/>
              </w:rPr>
            </w:pPr>
            <w:r>
              <w:rPr>
                <w:rFonts w:hint="eastAsia"/>
                <w:sz w:val="24"/>
                <w:szCs w:val="24"/>
              </w:rPr>
              <w:t>标包编号</w:t>
            </w:r>
          </w:p>
        </w:tc>
        <w:tc>
          <w:tcPr>
            <w:tcW w:w="709" w:type="pct"/>
            <w:vAlign w:val="center"/>
          </w:tcPr>
          <w:p>
            <w:pPr>
              <w:pStyle w:val="28"/>
              <w:numPr>
                <w:ilvl w:val="0"/>
                <w:numId w:val="0"/>
              </w:numPr>
              <w:jc w:val="center"/>
              <w:rPr>
                <w:sz w:val="24"/>
                <w:szCs w:val="24"/>
              </w:rPr>
            </w:pPr>
            <w:r>
              <w:rPr>
                <w:sz w:val="24"/>
                <w:szCs w:val="24"/>
              </w:rPr>
              <w:t>标</w:t>
            </w:r>
            <w:r>
              <w:rPr>
                <w:rFonts w:hint="eastAsia"/>
                <w:sz w:val="24"/>
                <w:szCs w:val="24"/>
              </w:rPr>
              <w:t>包</w:t>
            </w:r>
            <w:r>
              <w:rPr>
                <w:sz w:val="24"/>
                <w:szCs w:val="24"/>
              </w:rPr>
              <w:t>名称</w:t>
            </w:r>
          </w:p>
        </w:tc>
        <w:tc>
          <w:tcPr>
            <w:tcW w:w="460" w:type="pct"/>
            <w:vAlign w:val="center"/>
          </w:tcPr>
          <w:p>
            <w:pPr>
              <w:pStyle w:val="28"/>
              <w:numPr>
                <w:ilvl w:val="0"/>
                <w:numId w:val="0"/>
              </w:numPr>
              <w:jc w:val="center"/>
              <w:rPr>
                <w:sz w:val="24"/>
                <w:szCs w:val="24"/>
              </w:rPr>
            </w:pPr>
            <w:r>
              <w:rPr>
                <w:sz w:val="24"/>
                <w:szCs w:val="24"/>
              </w:rPr>
              <w:t>采购包预算金额（万元）</w:t>
            </w:r>
          </w:p>
        </w:tc>
        <w:tc>
          <w:tcPr>
            <w:tcW w:w="485" w:type="pct"/>
            <w:vAlign w:val="center"/>
          </w:tcPr>
          <w:p>
            <w:pPr>
              <w:pStyle w:val="28"/>
              <w:numPr>
                <w:ilvl w:val="0"/>
                <w:numId w:val="0"/>
              </w:numPr>
              <w:jc w:val="center"/>
              <w:rPr>
                <w:sz w:val="24"/>
                <w:szCs w:val="24"/>
              </w:rPr>
            </w:pPr>
            <w:r>
              <w:rPr>
                <w:rFonts w:hint="eastAsia"/>
                <w:sz w:val="24"/>
                <w:szCs w:val="24"/>
              </w:rPr>
              <w:t>最高限价（元）</w:t>
            </w:r>
          </w:p>
        </w:tc>
        <w:tc>
          <w:tcPr>
            <w:tcW w:w="250" w:type="pct"/>
            <w:vAlign w:val="center"/>
          </w:tcPr>
          <w:p>
            <w:pPr>
              <w:pStyle w:val="28"/>
              <w:numPr>
                <w:ilvl w:val="0"/>
                <w:numId w:val="0"/>
              </w:numPr>
              <w:jc w:val="center"/>
              <w:rPr>
                <w:sz w:val="24"/>
                <w:szCs w:val="24"/>
              </w:rPr>
            </w:pPr>
            <w:r>
              <w:rPr>
                <w:sz w:val="24"/>
                <w:szCs w:val="24"/>
              </w:rPr>
              <w:t>数量</w:t>
            </w:r>
          </w:p>
        </w:tc>
        <w:tc>
          <w:tcPr>
            <w:tcW w:w="1321" w:type="pct"/>
            <w:vAlign w:val="center"/>
          </w:tcPr>
          <w:p>
            <w:pPr>
              <w:pStyle w:val="28"/>
              <w:numPr>
                <w:ilvl w:val="0"/>
                <w:numId w:val="0"/>
              </w:numPr>
              <w:jc w:val="center"/>
              <w:rPr>
                <w:sz w:val="24"/>
                <w:szCs w:val="24"/>
              </w:rPr>
            </w:pPr>
            <w:r>
              <w:rPr>
                <w:sz w:val="24"/>
                <w:szCs w:val="24"/>
              </w:rPr>
              <w:t>服务要求</w:t>
            </w:r>
          </w:p>
        </w:tc>
        <w:tc>
          <w:tcPr>
            <w:tcW w:w="483" w:type="pct"/>
            <w:vAlign w:val="center"/>
          </w:tcPr>
          <w:p>
            <w:pPr>
              <w:pStyle w:val="28"/>
              <w:numPr>
                <w:ilvl w:val="0"/>
                <w:numId w:val="0"/>
              </w:numPr>
              <w:jc w:val="center"/>
              <w:rPr>
                <w:sz w:val="24"/>
                <w:szCs w:val="24"/>
              </w:rPr>
            </w:pPr>
            <w:r>
              <w:rPr>
                <w:rFonts w:hint="eastAsia"/>
                <w:sz w:val="24"/>
                <w:szCs w:val="24"/>
              </w:rPr>
              <w:t>服务地点</w:t>
            </w:r>
          </w:p>
        </w:tc>
        <w:tc>
          <w:tcPr>
            <w:tcW w:w="981" w:type="pct"/>
            <w:vAlign w:val="center"/>
          </w:tcPr>
          <w:p>
            <w:pPr>
              <w:pStyle w:val="28"/>
              <w:numPr>
                <w:ilvl w:val="0"/>
                <w:numId w:val="0"/>
              </w:numPr>
              <w:jc w:val="center"/>
              <w:rPr>
                <w:sz w:val="24"/>
                <w:szCs w:val="24"/>
              </w:rPr>
            </w:pPr>
            <w:r>
              <w:rPr>
                <w:rFonts w:hint="eastAsia"/>
                <w:sz w:val="24"/>
                <w:szCs w:val="24"/>
              </w:rPr>
              <w:t>服务范围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1" w:hRule="atLeast"/>
        </w:trPr>
        <w:tc>
          <w:tcPr>
            <w:tcW w:w="306" w:type="pct"/>
            <w:vAlign w:val="center"/>
          </w:tcPr>
          <w:p>
            <w:pPr>
              <w:pStyle w:val="28"/>
              <w:numPr>
                <w:ilvl w:val="0"/>
                <w:numId w:val="0"/>
              </w:numPr>
              <w:jc w:val="center"/>
              <w:rPr>
                <w:rFonts w:hint="default"/>
                <w:sz w:val="24"/>
                <w:szCs w:val="24"/>
                <w:lang w:val="en-US" w:eastAsia="zh-CN"/>
              </w:rPr>
            </w:pPr>
            <w:r>
              <w:rPr>
                <w:rFonts w:hint="eastAsia"/>
                <w:sz w:val="24"/>
                <w:szCs w:val="24"/>
                <w:lang w:val="en-US" w:eastAsia="zh-CN"/>
              </w:rPr>
              <w:t>第四包</w:t>
            </w:r>
          </w:p>
        </w:tc>
        <w:tc>
          <w:tcPr>
            <w:tcW w:w="709" w:type="pct"/>
            <w:vAlign w:val="center"/>
          </w:tcPr>
          <w:p>
            <w:pPr>
              <w:pStyle w:val="28"/>
              <w:numPr>
                <w:ilvl w:val="0"/>
                <w:numId w:val="0"/>
              </w:numPr>
              <w:jc w:val="center"/>
              <w:rPr>
                <w:rFonts w:hint="eastAsia"/>
                <w:sz w:val="24"/>
                <w:szCs w:val="24"/>
                <w:lang w:eastAsia="zh-CN"/>
              </w:rPr>
            </w:pPr>
            <w:r>
              <w:rPr>
                <w:rFonts w:hint="eastAsia"/>
                <w:sz w:val="24"/>
                <w:szCs w:val="24"/>
                <w:lang w:eastAsia="zh-CN"/>
              </w:rPr>
              <w:t>木林镇2024年度建筑拆除工程项目</w:t>
            </w:r>
            <w:r>
              <w:rPr>
                <w:rFonts w:hint="eastAsia"/>
                <w:sz w:val="24"/>
                <w:szCs w:val="24"/>
              </w:rPr>
              <w:t>（第</w:t>
            </w:r>
            <w:r>
              <w:rPr>
                <w:rFonts w:hint="eastAsia"/>
                <w:sz w:val="24"/>
                <w:szCs w:val="24"/>
                <w:lang w:val="en-US" w:eastAsia="zh-CN"/>
              </w:rPr>
              <w:t>四</w:t>
            </w:r>
            <w:r>
              <w:rPr>
                <w:rFonts w:hint="eastAsia"/>
                <w:sz w:val="24"/>
                <w:szCs w:val="24"/>
              </w:rPr>
              <w:t>包</w:t>
            </w:r>
            <w:r>
              <w:rPr>
                <w:rFonts w:hint="eastAsia"/>
                <w:sz w:val="24"/>
                <w:szCs w:val="24"/>
                <w:lang w:eastAsia="zh-CN"/>
              </w:rPr>
              <w:t>）</w:t>
            </w:r>
          </w:p>
        </w:tc>
        <w:tc>
          <w:tcPr>
            <w:tcW w:w="460" w:type="pct"/>
            <w:vAlign w:val="center"/>
          </w:tcPr>
          <w:p>
            <w:pPr>
              <w:pStyle w:val="28"/>
              <w:numPr>
                <w:ilvl w:val="0"/>
                <w:numId w:val="0"/>
              </w:numPr>
              <w:jc w:val="center"/>
              <w:rPr>
                <w:rFonts w:hint="default"/>
                <w:sz w:val="24"/>
                <w:szCs w:val="24"/>
                <w:lang w:val="en-US" w:eastAsia="zh-CN"/>
              </w:rPr>
            </w:pPr>
            <w:r>
              <w:rPr>
                <w:rFonts w:hint="eastAsia"/>
                <w:sz w:val="24"/>
                <w:szCs w:val="24"/>
                <w:lang w:val="en-US" w:eastAsia="zh-CN"/>
              </w:rPr>
              <w:t>600</w:t>
            </w:r>
          </w:p>
        </w:tc>
        <w:tc>
          <w:tcPr>
            <w:tcW w:w="485" w:type="pct"/>
            <w:vAlign w:val="center"/>
          </w:tcPr>
          <w:p>
            <w:pPr>
              <w:pStyle w:val="28"/>
              <w:numPr>
                <w:ilvl w:val="0"/>
                <w:numId w:val="0"/>
              </w:numPr>
              <w:jc w:val="center"/>
              <w:rPr>
                <w:rFonts w:hint="eastAsia"/>
                <w:sz w:val="24"/>
                <w:szCs w:val="24"/>
                <w:lang w:val="en-US" w:eastAsia="zh-CN"/>
              </w:rPr>
            </w:pPr>
            <w:r>
              <w:rPr>
                <w:rFonts w:hint="eastAsia"/>
                <w:sz w:val="24"/>
                <w:szCs w:val="24"/>
                <w:lang w:val="en-US" w:eastAsia="zh-CN"/>
              </w:rPr>
              <w:t>1328</w:t>
            </w:r>
          </w:p>
        </w:tc>
        <w:tc>
          <w:tcPr>
            <w:tcW w:w="250" w:type="pct"/>
            <w:vAlign w:val="center"/>
          </w:tcPr>
          <w:p>
            <w:pPr>
              <w:pStyle w:val="28"/>
              <w:numPr>
                <w:ilvl w:val="0"/>
                <w:numId w:val="0"/>
              </w:numPr>
              <w:jc w:val="center"/>
              <w:rPr>
                <w:rFonts w:hint="eastAsia"/>
                <w:sz w:val="24"/>
                <w:szCs w:val="24"/>
              </w:rPr>
            </w:pPr>
            <w:r>
              <w:rPr>
                <w:rFonts w:hint="eastAsia"/>
                <w:sz w:val="24"/>
                <w:szCs w:val="24"/>
              </w:rPr>
              <w:t>1项</w:t>
            </w:r>
          </w:p>
        </w:tc>
        <w:tc>
          <w:tcPr>
            <w:tcW w:w="1321" w:type="pct"/>
            <w:vAlign w:val="center"/>
          </w:tcPr>
          <w:p>
            <w:pPr>
              <w:pStyle w:val="28"/>
              <w:numPr>
                <w:ilvl w:val="0"/>
                <w:numId w:val="0"/>
              </w:numPr>
              <w:jc w:val="center"/>
              <w:rPr>
                <w:rFonts w:hint="eastAsia"/>
                <w:sz w:val="24"/>
                <w:szCs w:val="24"/>
              </w:rPr>
            </w:pPr>
            <w:r>
              <w:rPr>
                <w:rFonts w:hint="eastAsia"/>
                <w:sz w:val="24"/>
                <w:szCs w:val="24"/>
              </w:rPr>
              <w:t>供应商按照采购人提交的违章建筑类别、规模、数量和地点和时限要求等信息，组织人力物力，完成顺义区木林镇镇域范围内各类违章建筑的拆除、清运、渣土消纳、场地平整等服务。</w:t>
            </w:r>
          </w:p>
        </w:tc>
        <w:tc>
          <w:tcPr>
            <w:tcW w:w="483" w:type="pct"/>
            <w:vAlign w:val="center"/>
          </w:tcPr>
          <w:p>
            <w:pPr>
              <w:pStyle w:val="28"/>
              <w:numPr>
                <w:ilvl w:val="0"/>
                <w:numId w:val="0"/>
              </w:numPr>
              <w:jc w:val="center"/>
              <w:rPr>
                <w:rFonts w:hint="eastAsia"/>
                <w:sz w:val="24"/>
                <w:szCs w:val="24"/>
              </w:rPr>
            </w:pPr>
            <w:r>
              <w:rPr>
                <w:rFonts w:hint="eastAsia"/>
                <w:sz w:val="24"/>
                <w:szCs w:val="24"/>
              </w:rPr>
              <w:t>北京市顺义区木林镇镇域内</w:t>
            </w:r>
          </w:p>
        </w:tc>
        <w:tc>
          <w:tcPr>
            <w:tcW w:w="981" w:type="pct"/>
          </w:tcPr>
          <w:p>
            <w:pPr>
              <w:pStyle w:val="28"/>
              <w:numPr>
                <w:ilvl w:val="0"/>
                <w:numId w:val="0"/>
              </w:numPr>
              <w:jc w:val="center"/>
              <w:rPr>
                <w:rFonts w:hint="eastAsia"/>
                <w:sz w:val="24"/>
                <w:szCs w:val="24"/>
                <w:lang w:val="en-US" w:eastAsia="zh-CN"/>
              </w:rPr>
            </w:pPr>
            <w:r>
              <w:rPr>
                <w:rFonts w:hint="eastAsia"/>
                <w:sz w:val="24"/>
                <w:szCs w:val="24"/>
                <w:lang w:val="en-US" w:eastAsia="zh-CN"/>
              </w:rPr>
              <w:t>木林镇陈各庄，东沿头，前王，潘家坟，长林庄，陈家坨村。规自领域整改工作，包括但不仅限于违法建设的拆除腾退工作。</w:t>
            </w:r>
          </w:p>
        </w:tc>
      </w:tr>
    </w:tbl>
    <w:p>
      <w:pPr>
        <w:spacing w:line="360" w:lineRule="auto"/>
        <w:ind w:firstLine="480" w:firstLineChars="200"/>
        <w:rPr>
          <w:rFonts w:hint="eastAsia" w:ascii="宋体" w:hAnsi="宋体" w:eastAsia="宋体" w:cs="宋体"/>
          <w:sz w:val="24"/>
          <w:u w:val="single"/>
        </w:rPr>
      </w:pPr>
      <w:r>
        <w:rPr>
          <w:rFonts w:hint="eastAsia" w:ascii="宋体" w:hAnsi="宋体" w:eastAsia="宋体" w:cs="宋体"/>
          <w:sz w:val="24"/>
        </w:rPr>
        <w:t>6.合同履行期限：</w:t>
      </w:r>
      <w:r>
        <w:rPr>
          <w:rFonts w:hint="eastAsia" w:ascii="宋体" w:hAnsi="宋体" w:cs="宋体"/>
          <w:color w:val="auto"/>
          <w:sz w:val="24"/>
          <w:szCs w:val="24"/>
          <w:highlight w:val="none"/>
          <w:lang w:val="en-US" w:eastAsia="zh-CN"/>
        </w:rPr>
        <w:t>一年（具体以签约合同为准）</w:t>
      </w:r>
    </w:p>
    <w:p>
      <w:pPr>
        <w:spacing w:line="360" w:lineRule="auto"/>
        <w:ind w:firstLine="480" w:firstLineChars="200"/>
        <w:rPr>
          <w:rFonts w:hint="eastAsia" w:ascii="宋体" w:hAnsi="宋体" w:eastAsia="宋体" w:cs="宋体"/>
          <w:sz w:val="24"/>
        </w:rPr>
      </w:pPr>
      <w:r>
        <w:rPr>
          <w:rFonts w:hint="eastAsia" w:ascii="宋体" w:hAnsi="宋体" w:eastAsia="宋体" w:cs="宋体"/>
          <w:sz w:val="24"/>
        </w:rPr>
        <w:t>7.本项目是否接受联合体：</w:t>
      </w:r>
      <w:r>
        <w:rPr>
          <w:rFonts w:hint="eastAsia" w:ascii="宋体" w:hAnsi="宋体" w:eastAsia="宋体" w:cs="宋体"/>
        </w:rPr>
        <w:t>□</w:t>
      </w:r>
      <w:r>
        <w:rPr>
          <w:rFonts w:hint="eastAsia" w:ascii="宋体" w:hAnsi="宋体" w:eastAsia="宋体" w:cs="宋体"/>
          <w:sz w:val="24"/>
        </w:rPr>
        <w:t xml:space="preserve">是  </w:t>
      </w:r>
      <w:r>
        <w:rPr>
          <w:rFonts w:hint="eastAsia" w:ascii="宋体" w:hAnsi="宋体" w:eastAsia="宋体" w:cs="宋体"/>
          <w:color w:val="000000" w:themeColor="text1"/>
          <w:sz w:val="24"/>
          <w14:textFill>
            <w14:solidFill>
              <w14:schemeClr w14:val="tx1"/>
            </w14:solidFill>
          </w14:textFill>
        </w:rPr>
        <w:t>■否</w:t>
      </w:r>
      <w:r>
        <w:rPr>
          <w:rFonts w:hint="eastAsia" w:ascii="宋体" w:hAnsi="宋体" w:eastAsia="宋体" w:cs="宋体"/>
          <w:sz w:val="24"/>
        </w:rPr>
        <w:t>。</w:t>
      </w:r>
    </w:p>
    <w:p>
      <w:pPr>
        <w:pStyle w:val="2"/>
        <w:spacing w:before="0" w:line="360" w:lineRule="auto"/>
        <w:jc w:val="left"/>
        <w:rPr>
          <w:rFonts w:hint="eastAsia" w:ascii="宋体" w:hAnsi="宋体" w:eastAsia="宋体" w:cs="宋体"/>
          <w:sz w:val="24"/>
          <w:szCs w:val="24"/>
        </w:rPr>
      </w:pPr>
      <w:bookmarkStart w:id="6" w:name="_Toc35393622"/>
      <w:bookmarkStart w:id="7" w:name="_Toc35393791"/>
      <w:bookmarkStart w:id="8" w:name="_Toc28359003"/>
      <w:bookmarkStart w:id="9" w:name="_Toc28359080"/>
      <w:r>
        <w:rPr>
          <w:rFonts w:hint="eastAsia" w:ascii="宋体" w:hAnsi="宋体" w:eastAsia="宋体" w:cs="宋体"/>
          <w:sz w:val="24"/>
          <w:szCs w:val="24"/>
        </w:rPr>
        <w:t>二、申请人的资格要求（须同时满足）</w:t>
      </w:r>
      <w:bookmarkEnd w:id="6"/>
      <w:bookmarkEnd w:id="7"/>
      <w:bookmarkEnd w:id="8"/>
      <w:bookmarkEnd w:id="9"/>
    </w:p>
    <w:p>
      <w:pPr>
        <w:spacing w:line="360" w:lineRule="auto"/>
        <w:ind w:firstLine="480" w:firstLineChars="200"/>
        <w:rPr>
          <w:rFonts w:hint="eastAsia" w:ascii="宋体" w:hAnsi="宋体" w:eastAsia="宋体" w:cs="宋体"/>
          <w:sz w:val="24"/>
        </w:rPr>
      </w:pPr>
      <w:r>
        <w:rPr>
          <w:rFonts w:hint="eastAsia" w:ascii="宋体" w:hAnsi="宋体" w:eastAsia="宋体" w:cs="宋体"/>
          <w:sz w:val="24"/>
        </w:rPr>
        <w:t>1.满足《中华人民共和国政府采购法》第二十二条规定；</w:t>
      </w:r>
    </w:p>
    <w:p>
      <w:pPr>
        <w:spacing w:line="360" w:lineRule="auto"/>
        <w:ind w:firstLine="480" w:firstLineChars="200"/>
        <w:rPr>
          <w:rFonts w:hint="eastAsia" w:ascii="宋体" w:hAnsi="宋体" w:eastAsia="宋体" w:cs="宋体"/>
          <w:sz w:val="24"/>
        </w:rPr>
      </w:pPr>
      <w:bookmarkStart w:id="10" w:name="_Toc28359081"/>
      <w:bookmarkStart w:id="11" w:name="_Toc28359004"/>
      <w:r>
        <w:rPr>
          <w:rFonts w:hint="eastAsia" w:ascii="宋体" w:hAnsi="宋体" w:eastAsia="宋体" w:cs="宋体"/>
          <w:sz w:val="24"/>
        </w:rPr>
        <w:t>2.落实政府采购政策需满足的资格要求：</w:t>
      </w:r>
    </w:p>
    <w:p>
      <w:pPr>
        <w:spacing w:line="360" w:lineRule="auto"/>
        <w:ind w:firstLine="480" w:firstLineChars="200"/>
        <w:rPr>
          <w:rFonts w:hint="eastAsia" w:ascii="宋体" w:hAnsi="宋体" w:eastAsia="宋体" w:cs="宋体"/>
          <w:sz w:val="24"/>
        </w:rPr>
      </w:pPr>
      <w:r>
        <w:rPr>
          <w:rFonts w:hint="eastAsia" w:ascii="宋体" w:hAnsi="宋体" w:eastAsia="宋体" w:cs="宋体"/>
          <w:sz w:val="24"/>
        </w:rPr>
        <w:t>2.1 中小企业政策</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□本项目不专门面向中小企业预留采购份额。</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highlight w:val="none"/>
        </w:rPr>
        <w:t xml:space="preserve">本项目专门面向 </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rPr>
        <w:t>□</w:t>
      </w:r>
      <w:r>
        <w:rPr>
          <w:rFonts w:hint="eastAsia" w:ascii="宋体" w:hAnsi="宋体" w:eastAsia="宋体" w:cs="宋体"/>
          <w:sz w:val="24"/>
          <w:szCs w:val="24"/>
          <w:highlight w:val="none"/>
        </w:rPr>
        <w:t xml:space="preserve">中小 </w:t>
      </w:r>
      <w:r>
        <w:rPr>
          <w:rFonts w:hint="eastAsia" w:ascii="宋体" w:hAnsi="宋体" w:eastAsia="宋体" w:cs="宋体"/>
          <w:sz w:val="24"/>
          <w:szCs w:val="24"/>
        </w:rPr>
        <w:t>□</w:t>
      </w:r>
      <w:r>
        <w:rPr>
          <w:rFonts w:hint="eastAsia" w:ascii="宋体" w:hAnsi="宋体" w:eastAsia="宋体" w:cs="宋体"/>
          <w:sz w:val="24"/>
          <w:szCs w:val="24"/>
          <w:highlight w:val="none"/>
        </w:rPr>
        <w:t xml:space="preserve">小微企业 </w:t>
      </w:r>
      <w:r>
        <w:rPr>
          <w:rFonts w:hint="eastAsia" w:ascii="宋体" w:hAnsi="宋体" w:eastAsia="宋体" w:cs="宋体"/>
          <w:sz w:val="24"/>
          <w:szCs w:val="24"/>
        </w:rPr>
        <w:t xml:space="preserve"> 采购。即：提供的货物全部由符合政策要求的中小/小微企业制造、服务全部由符合政策要求的中小/小微企业承接。</w:t>
      </w:r>
    </w:p>
    <w:p>
      <w:pPr>
        <w:spacing w:line="360" w:lineRule="auto"/>
        <w:ind w:firstLine="480" w:firstLineChars="200"/>
        <w:rPr>
          <w:rFonts w:hint="eastAsia" w:ascii="宋体" w:hAnsi="宋体" w:eastAsia="宋体" w:cs="宋体"/>
          <w:color w:val="auto"/>
          <w:sz w:val="24"/>
          <w:szCs w:val="24"/>
          <w:highlight w:val="yellow"/>
        </w:rPr>
      </w:pPr>
      <w:r>
        <w:rPr>
          <w:rFonts w:hint="eastAsia" w:ascii="宋体" w:hAnsi="宋体" w:eastAsia="宋体" w:cs="宋体"/>
          <w:color w:val="auto"/>
          <w:sz w:val="24"/>
          <w:szCs w:val="24"/>
          <w:highlight w:val="none"/>
        </w:rPr>
        <w:t>■本项目预留部分采购项目预算专门面向中小企业采购。对于预留份额，提供的货物由符合政策要求的中小企业制造、服务由符合政策要求的中小企业承接。预留份额通过以下措施进行：</w:t>
      </w:r>
      <w:r>
        <w:rPr>
          <w:rFonts w:hint="eastAsia"/>
          <w:b/>
          <w:bCs/>
          <w:color w:val="auto"/>
          <w:sz w:val="24"/>
          <w:highlight w:val="none"/>
          <w:u w:val="single"/>
          <w:lang w:val="en-US" w:eastAsia="zh-CN"/>
        </w:rPr>
        <w:t>本项目</w:t>
      </w:r>
      <w:r>
        <w:rPr>
          <w:rFonts w:hint="eastAsia"/>
          <w:b/>
          <w:bCs/>
          <w:color w:val="auto"/>
          <w:sz w:val="24"/>
          <w:highlight w:val="none"/>
          <w:u w:val="single"/>
        </w:rPr>
        <w:t>预留中小企业份额形式；预留中小企业份额：</w:t>
      </w:r>
      <w:r>
        <w:rPr>
          <w:rFonts w:hint="eastAsia"/>
          <w:b/>
          <w:bCs/>
          <w:color w:val="auto"/>
          <w:sz w:val="24"/>
          <w:highlight w:val="none"/>
          <w:u w:val="single"/>
          <w:lang w:val="en-US" w:eastAsia="zh-CN"/>
        </w:rPr>
        <w:t>2000</w:t>
      </w:r>
      <w:r>
        <w:rPr>
          <w:rFonts w:hint="eastAsia"/>
          <w:b/>
          <w:bCs/>
          <w:color w:val="auto"/>
          <w:sz w:val="24"/>
          <w:highlight w:val="none"/>
          <w:u w:val="single"/>
        </w:rPr>
        <w:t>万元，占总金额</w:t>
      </w:r>
      <w:r>
        <w:rPr>
          <w:rFonts w:hint="eastAsia"/>
          <w:b/>
          <w:bCs/>
          <w:color w:val="auto"/>
          <w:sz w:val="24"/>
          <w:highlight w:val="none"/>
          <w:u w:val="single"/>
          <w:lang w:val="en-US" w:eastAsia="zh-CN"/>
        </w:rPr>
        <w:t>40</w:t>
      </w:r>
      <w:r>
        <w:rPr>
          <w:rFonts w:hint="eastAsia"/>
          <w:b/>
          <w:bCs/>
          <w:color w:val="auto"/>
          <w:sz w:val="24"/>
          <w:highlight w:val="none"/>
          <w:u w:val="single"/>
        </w:rPr>
        <w:t>%；其中</w:t>
      </w:r>
      <w:r>
        <w:rPr>
          <w:rFonts w:hint="eastAsia"/>
          <w:b/>
          <w:bCs/>
          <w:color w:val="auto"/>
          <w:sz w:val="24"/>
          <w:highlight w:val="none"/>
          <w:u w:val="single"/>
          <w:lang w:eastAsia="zh-CN"/>
        </w:rPr>
        <w:t>（</w:t>
      </w:r>
      <w:r>
        <w:rPr>
          <w:rFonts w:hint="eastAsia"/>
          <w:b/>
          <w:bCs/>
          <w:color w:val="auto"/>
          <w:sz w:val="24"/>
          <w:highlight w:val="none"/>
          <w:u w:val="single"/>
          <w:lang w:val="en-US" w:eastAsia="zh-CN"/>
        </w:rPr>
        <w:t>第三包</w:t>
      </w:r>
      <w:r>
        <w:rPr>
          <w:rFonts w:hint="eastAsia"/>
          <w:b/>
          <w:bCs/>
          <w:color w:val="auto"/>
          <w:sz w:val="24"/>
          <w:highlight w:val="none"/>
          <w:u w:val="single"/>
          <w:lang w:eastAsia="zh-CN"/>
        </w:rPr>
        <w:t>）</w:t>
      </w:r>
      <w:r>
        <w:rPr>
          <w:rFonts w:hint="eastAsia"/>
          <w:b/>
          <w:bCs/>
          <w:color w:val="auto"/>
          <w:sz w:val="24"/>
          <w:highlight w:val="none"/>
          <w:u w:val="single"/>
        </w:rPr>
        <w:t>预留小微企业份额：</w:t>
      </w:r>
      <w:r>
        <w:rPr>
          <w:rFonts w:hint="eastAsia"/>
          <w:b/>
          <w:bCs/>
          <w:color w:val="auto"/>
          <w:sz w:val="24"/>
          <w:highlight w:val="none"/>
          <w:u w:val="single"/>
          <w:lang w:val="en-US" w:eastAsia="zh-CN"/>
        </w:rPr>
        <w:t>1400</w:t>
      </w:r>
      <w:r>
        <w:rPr>
          <w:rFonts w:hint="eastAsia"/>
          <w:b/>
          <w:bCs/>
          <w:color w:val="auto"/>
          <w:sz w:val="24"/>
          <w:highlight w:val="none"/>
          <w:u w:val="single"/>
        </w:rPr>
        <w:t xml:space="preserve">万元，占预留中小企业份额 </w:t>
      </w:r>
      <w:r>
        <w:rPr>
          <w:rFonts w:hint="eastAsia"/>
          <w:b/>
          <w:bCs/>
          <w:color w:val="auto"/>
          <w:sz w:val="24"/>
          <w:highlight w:val="none"/>
          <w:u w:val="single"/>
          <w:lang w:val="en-US" w:eastAsia="zh-CN"/>
        </w:rPr>
        <w:t>70</w:t>
      </w:r>
      <w:r>
        <w:rPr>
          <w:rFonts w:hint="eastAsia"/>
          <w:b/>
          <w:bCs/>
          <w:color w:val="auto"/>
          <w:sz w:val="24"/>
          <w:highlight w:val="none"/>
          <w:u w:val="single"/>
        </w:rPr>
        <w:t>%；</w:t>
      </w:r>
      <w:r>
        <w:rPr>
          <w:rFonts w:hint="eastAsia"/>
          <w:b/>
          <w:bCs/>
          <w:color w:val="auto"/>
          <w:sz w:val="24"/>
          <w:highlight w:val="none"/>
          <w:u w:val="single"/>
          <w:lang w:val="en-US" w:eastAsia="zh-CN"/>
        </w:rPr>
        <w:t>其中（第四包）预留中小企业份额：600万元，占预留中小企业份额30%</w:t>
      </w:r>
      <w:r>
        <w:rPr>
          <w:rFonts w:hint="eastAsia"/>
          <w:b/>
          <w:bCs/>
          <w:color w:val="auto"/>
          <w:sz w:val="24"/>
          <w:highlight w:val="none"/>
          <w:u w:val="single"/>
        </w:rPr>
        <w:t>。</w:t>
      </w:r>
    </w:p>
    <w:p>
      <w:pPr>
        <w:spacing w:line="360" w:lineRule="auto"/>
        <w:ind w:firstLine="480" w:firstLineChars="200"/>
        <w:rPr>
          <w:rFonts w:hint="eastAsia" w:ascii="宋体" w:hAnsi="宋体" w:eastAsia="宋体" w:cs="宋体"/>
          <w:sz w:val="24"/>
        </w:rPr>
      </w:pPr>
      <w:r>
        <w:rPr>
          <w:rFonts w:hint="eastAsia" w:ascii="宋体" w:hAnsi="宋体" w:eastAsia="宋体" w:cs="宋体"/>
          <w:sz w:val="24"/>
        </w:rPr>
        <w:t xml:space="preserve">2.2 </w:t>
      </w:r>
      <w:r>
        <w:rPr>
          <w:rFonts w:hint="eastAsia" w:ascii="宋体" w:hAnsi="宋体" w:eastAsia="宋体" w:cs="宋体"/>
          <w:color w:val="000000" w:themeColor="text1"/>
          <w:sz w:val="24"/>
          <w14:textFill>
            <w14:solidFill>
              <w14:schemeClr w14:val="tx1"/>
            </w14:solidFill>
          </w14:textFill>
        </w:rPr>
        <w:t>其它落实政府采购政策的资格要求：</w:t>
      </w:r>
      <w:r>
        <w:rPr>
          <w:rFonts w:hint="eastAsia" w:ascii="宋体" w:hAnsi="宋体" w:eastAsia="宋体" w:cs="宋体"/>
          <w:color w:val="000000" w:themeColor="text1"/>
          <w:sz w:val="24"/>
          <w:u w:val="single"/>
          <w:lang w:val="en-US" w:eastAsia="zh-CN"/>
          <w14:textFill>
            <w14:solidFill>
              <w14:schemeClr w14:val="tx1"/>
            </w14:solidFill>
          </w14:textFill>
        </w:rPr>
        <w:t xml:space="preserve"> / </w:t>
      </w:r>
      <w:r>
        <w:rPr>
          <w:rFonts w:hint="eastAsia" w:ascii="宋体" w:hAnsi="宋体" w:eastAsia="宋体" w:cs="宋体"/>
          <w:sz w:val="24"/>
        </w:rPr>
        <w:t>。</w:t>
      </w:r>
    </w:p>
    <w:p>
      <w:pPr>
        <w:spacing w:line="360" w:lineRule="auto"/>
        <w:ind w:firstLine="480" w:firstLineChars="200"/>
        <w:rPr>
          <w:rFonts w:hint="eastAsia" w:ascii="宋体" w:hAnsi="宋体" w:eastAsia="宋体" w:cs="宋体"/>
          <w:i/>
          <w:iCs/>
          <w:sz w:val="24"/>
          <w:u w:val="single"/>
        </w:rPr>
      </w:pPr>
      <w:r>
        <w:rPr>
          <w:rFonts w:hint="eastAsia" w:ascii="宋体" w:hAnsi="宋体" w:eastAsia="宋体" w:cs="宋体"/>
          <w:sz w:val="24"/>
        </w:rPr>
        <w:t>3.本项目的特定资格要求：</w:t>
      </w:r>
    </w:p>
    <w:p>
      <w:pPr>
        <w:tabs>
          <w:tab w:val="left" w:pos="900"/>
          <w:tab w:val="left" w:pos="1134"/>
          <w:tab w:val="left" w:pos="1589"/>
          <w:tab w:val="left" w:pos="5521"/>
        </w:tabs>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3.1本项目是否接受分支机构参与响应：</w:t>
      </w:r>
      <w:r>
        <w:rPr>
          <w:rFonts w:hint="eastAsia" w:ascii="宋体" w:hAnsi="宋体" w:eastAsia="宋体" w:cs="宋体"/>
          <w:sz w:val="24"/>
          <w:lang w:eastAsia="zh-CN"/>
        </w:rPr>
        <w:t>□</w:t>
      </w:r>
      <w:r>
        <w:rPr>
          <w:rFonts w:hint="eastAsia" w:ascii="宋体" w:hAnsi="宋体" w:eastAsia="宋体" w:cs="宋体"/>
          <w:color w:val="000000" w:themeColor="text1"/>
          <w:sz w:val="24"/>
          <w14:textFill>
            <w14:solidFill>
              <w14:schemeClr w14:val="tx1"/>
            </w14:solidFill>
          </w14:textFill>
        </w:rPr>
        <w:t xml:space="preserve">是  </w:t>
      </w:r>
      <w:r>
        <w:rPr>
          <w:rFonts w:hint="eastAsia" w:ascii="宋体" w:hAnsi="宋体" w:eastAsia="宋体" w:cs="宋体"/>
          <w:sz w:val="24"/>
        </w:rPr>
        <w:t xml:space="preserve"> ■</w:t>
      </w:r>
      <w:r>
        <w:rPr>
          <w:rFonts w:hint="eastAsia" w:ascii="宋体" w:hAnsi="宋体" w:eastAsia="宋体" w:cs="宋体"/>
          <w:color w:val="000000" w:themeColor="text1"/>
          <w:sz w:val="24"/>
          <w14:textFill>
            <w14:solidFill>
              <w14:schemeClr w14:val="tx1"/>
            </w14:solidFill>
          </w14:textFill>
        </w:rPr>
        <w:t>否</w:t>
      </w:r>
      <w:r>
        <w:rPr>
          <w:rFonts w:hint="eastAsia" w:ascii="宋体" w:hAnsi="宋体" w:eastAsia="宋体" w:cs="宋体"/>
          <w:sz w:val="24"/>
        </w:rPr>
        <w:t>；</w:t>
      </w:r>
    </w:p>
    <w:p>
      <w:pPr>
        <w:tabs>
          <w:tab w:val="left" w:pos="900"/>
          <w:tab w:val="left" w:pos="1134"/>
          <w:tab w:val="left" w:pos="1589"/>
          <w:tab w:val="left" w:pos="5521"/>
        </w:tabs>
        <w:snapToGrid w:val="0"/>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3.2 本项目是否属于政府购买服务：</w:t>
      </w:r>
    </w:p>
    <w:p>
      <w:pPr>
        <w:tabs>
          <w:tab w:val="left" w:pos="900"/>
          <w:tab w:val="left" w:pos="1134"/>
          <w:tab w:val="left" w:pos="1589"/>
          <w:tab w:val="left" w:pos="5521"/>
        </w:tabs>
        <w:snapToGrid w:val="0"/>
        <w:spacing w:line="360" w:lineRule="auto"/>
        <w:ind w:firstLine="960" w:firstLineChars="400"/>
        <w:rPr>
          <w:rFonts w:hint="eastAsia" w:ascii="宋体" w:hAnsi="宋体" w:eastAsia="宋体" w:cs="宋体"/>
          <w:sz w:val="24"/>
        </w:rPr>
      </w:pPr>
      <w:r>
        <w:rPr>
          <w:rFonts w:hint="eastAsia" w:ascii="宋体" w:hAnsi="宋体" w:eastAsia="宋体" w:cs="宋体"/>
          <w:sz w:val="24"/>
          <w:highlight w:val="none"/>
        </w:rPr>
        <w:t>■</w:t>
      </w:r>
      <w:r>
        <w:rPr>
          <w:rFonts w:hint="eastAsia" w:ascii="宋体" w:hAnsi="宋体" w:eastAsia="宋体" w:cs="宋体"/>
          <w:sz w:val="24"/>
        </w:rPr>
        <w:t>否</w:t>
      </w:r>
    </w:p>
    <w:p>
      <w:pPr>
        <w:tabs>
          <w:tab w:val="left" w:pos="900"/>
          <w:tab w:val="left" w:pos="1134"/>
          <w:tab w:val="left" w:pos="1589"/>
          <w:tab w:val="left" w:pos="5521"/>
        </w:tabs>
        <w:snapToGrid w:val="0"/>
        <w:spacing w:line="360" w:lineRule="auto"/>
        <w:ind w:firstLine="960" w:firstLineChars="400"/>
        <w:rPr>
          <w:rFonts w:hint="eastAsia" w:ascii="宋体" w:hAnsi="宋体" w:eastAsia="宋体" w:cs="宋体"/>
          <w:sz w:val="24"/>
        </w:rPr>
      </w:pPr>
      <w:r>
        <w:rPr>
          <w:rFonts w:hint="eastAsia" w:ascii="宋体" w:hAnsi="宋体" w:eastAsia="宋体" w:cs="宋体"/>
          <w:sz w:val="24"/>
          <w:szCs w:val="24"/>
        </w:rPr>
        <w:t>□</w:t>
      </w:r>
      <w:r>
        <w:rPr>
          <w:rFonts w:hint="eastAsia" w:ascii="宋体" w:hAnsi="宋体" w:eastAsia="宋体" w:cs="宋体"/>
          <w:sz w:val="24"/>
          <w:highlight w:val="none"/>
        </w:rPr>
        <w:t>是，公益一类事</w:t>
      </w:r>
      <w:r>
        <w:rPr>
          <w:rFonts w:hint="eastAsia" w:ascii="宋体" w:hAnsi="宋体" w:eastAsia="宋体" w:cs="宋体"/>
          <w:sz w:val="24"/>
        </w:rPr>
        <w:t>业单位、使用事业编制且由财政拨款保障的群团组织，不得作为承接主体；</w:t>
      </w:r>
    </w:p>
    <w:p>
      <w:pPr>
        <w:tabs>
          <w:tab w:val="left" w:pos="900"/>
          <w:tab w:val="left" w:pos="1134"/>
          <w:tab w:val="left" w:pos="1589"/>
          <w:tab w:val="left" w:pos="5521"/>
        </w:tabs>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3.3其他特定资格要求：</w:t>
      </w:r>
    </w:p>
    <w:p>
      <w:pPr>
        <w:tabs>
          <w:tab w:val="left" w:pos="900"/>
          <w:tab w:val="left" w:pos="1134"/>
          <w:tab w:val="left" w:pos="1589"/>
          <w:tab w:val="left" w:pos="5521"/>
        </w:tabs>
        <w:snapToGrid w:val="0"/>
        <w:spacing w:line="360" w:lineRule="auto"/>
        <w:ind w:firstLine="480" w:firstLineChars="200"/>
        <w:outlineLvl w:val="9"/>
        <w:rPr>
          <w:rFonts w:hint="eastAsia" w:ascii="宋体" w:hAnsi="宋体" w:eastAsia="宋体" w:cs="宋体"/>
          <w:b w:val="0"/>
          <w:bCs w:val="0"/>
          <w:color w:val="auto"/>
          <w:sz w:val="24"/>
          <w:highlight w:val="none"/>
        </w:rPr>
      </w:pPr>
      <w:r>
        <w:rPr>
          <w:rFonts w:hint="eastAsia" w:ascii="宋体" w:hAnsi="宋体" w:cs="宋体"/>
          <w:b w:val="0"/>
          <w:bCs w:val="0"/>
          <w:color w:val="auto"/>
          <w:sz w:val="24"/>
          <w:highlight w:val="none"/>
          <w:lang w:eastAsia="zh-CN"/>
        </w:rPr>
        <w:t>（</w:t>
      </w:r>
      <w:r>
        <w:rPr>
          <w:rFonts w:hint="eastAsia" w:ascii="宋体" w:hAnsi="宋体" w:cs="宋体"/>
          <w:b w:val="0"/>
          <w:bCs w:val="0"/>
          <w:color w:val="auto"/>
          <w:sz w:val="24"/>
          <w:highlight w:val="none"/>
          <w:lang w:val="en-US" w:eastAsia="zh-CN"/>
        </w:rPr>
        <w:t>1</w:t>
      </w:r>
      <w:r>
        <w:rPr>
          <w:rFonts w:hint="eastAsia" w:ascii="宋体" w:hAnsi="宋体" w:cs="宋体"/>
          <w:b w:val="0"/>
          <w:bCs w:val="0"/>
          <w:color w:val="auto"/>
          <w:sz w:val="24"/>
          <w:highlight w:val="none"/>
          <w:lang w:eastAsia="zh-CN"/>
        </w:rPr>
        <w:t>）供应商应具备建设行政主管部门颁发的建筑工程施工总承包叁级（含）以上资质，且具有有效的《安全生产许可证》</w:t>
      </w:r>
      <w:r>
        <w:rPr>
          <w:rFonts w:hint="eastAsia" w:ascii="宋体" w:hAnsi="宋体" w:eastAsia="宋体" w:cs="宋体"/>
          <w:b w:val="0"/>
          <w:bCs w:val="0"/>
          <w:color w:val="auto"/>
          <w:sz w:val="24"/>
          <w:highlight w:val="none"/>
        </w:rPr>
        <w:t>；</w:t>
      </w:r>
    </w:p>
    <w:p>
      <w:pPr>
        <w:tabs>
          <w:tab w:val="left" w:pos="900"/>
          <w:tab w:val="left" w:pos="1134"/>
          <w:tab w:val="left" w:pos="1589"/>
          <w:tab w:val="left" w:pos="5521"/>
        </w:tabs>
        <w:snapToGrid w:val="0"/>
        <w:spacing w:line="360" w:lineRule="auto"/>
        <w:ind w:firstLine="480" w:firstLineChars="200"/>
        <w:outlineLvl w:val="9"/>
        <w:rPr>
          <w:rFonts w:hint="eastAsia"/>
        </w:rPr>
      </w:pPr>
      <w:r>
        <w:rPr>
          <w:rFonts w:hint="eastAsia" w:ascii="宋体" w:hAnsi="宋体" w:cs="宋体"/>
          <w:b w:val="0"/>
          <w:bCs w:val="0"/>
          <w:color w:val="auto"/>
          <w:sz w:val="24"/>
          <w:highlight w:val="none"/>
          <w:lang w:eastAsia="zh-CN"/>
        </w:rPr>
        <w:t>（</w:t>
      </w:r>
      <w:r>
        <w:rPr>
          <w:rFonts w:hint="eastAsia" w:ascii="宋体" w:hAnsi="宋体" w:cs="宋体"/>
          <w:b w:val="0"/>
          <w:bCs w:val="0"/>
          <w:color w:val="auto"/>
          <w:sz w:val="24"/>
          <w:highlight w:val="none"/>
          <w:lang w:val="en-US" w:eastAsia="zh-CN"/>
        </w:rPr>
        <w:t>2</w:t>
      </w:r>
      <w:r>
        <w:rPr>
          <w:rFonts w:hint="eastAsia" w:ascii="宋体" w:hAnsi="宋体" w:cs="宋体"/>
          <w:b w:val="0"/>
          <w:bCs w:val="0"/>
          <w:color w:val="auto"/>
          <w:sz w:val="24"/>
          <w:highlight w:val="none"/>
          <w:lang w:eastAsia="zh-CN"/>
        </w:rPr>
        <w:t>）拟派项目经理须具备建筑工程专业贰级（含）以上注册建造师证书和安全考核合格证（B本），</w:t>
      </w:r>
      <w:r>
        <w:rPr>
          <w:rFonts w:hint="eastAsia" w:ascii="宋体" w:hAnsi="宋体" w:cs="宋体"/>
          <w:b w:val="0"/>
          <w:bCs w:val="0"/>
          <w:color w:val="auto"/>
          <w:sz w:val="24"/>
          <w:highlight w:val="none"/>
          <w:lang w:val="en-US" w:eastAsia="zh-CN"/>
        </w:rPr>
        <w:t>且在确定中标人时不得担任其他在施建设工程项目的项目经理。</w:t>
      </w:r>
    </w:p>
    <w:bookmarkEnd w:id="10"/>
    <w:bookmarkEnd w:id="11"/>
    <w:p>
      <w:pPr>
        <w:pStyle w:val="2"/>
        <w:widowControl/>
        <w:spacing w:before="0" w:line="360" w:lineRule="auto"/>
        <w:jc w:val="left"/>
        <w:rPr>
          <w:rFonts w:hint="eastAsia" w:ascii="宋体" w:hAnsi="宋体" w:eastAsia="宋体" w:cs="宋体"/>
          <w:sz w:val="24"/>
          <w:szCs w:val="24"/>
        </w:rPr>
      </w:pPr>
      <w:bookmarkStart w:id="12" w:name="_Toc35393623"/>
      <w:bookmarkStart w:id="13" w:name="_Toc35393792"/>
      <w:r>
        <w:rPr>
          <w:rFonts w:hint="eastAsia" w:ascii="宋体" w:hAnsi="宋体" w:eastAsia="宋体" w:cs="宋体"/>
          <w:sz w:val="24"/>
          <w:szCs w:val="24"/>
        </w:rPr>
        <w:t>三、获取采购文件</w:t>
      </w:r>
      <w:bookmarkEnd w:id="12"/>
      <w:bookmarkEnd w:id="13"/>
    </w:p>
    <w:p>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lang w:bidi="ar"/>
        </w:rPr>
      </w:pPr>
      <w:r>
        <w:rPr>
          <w:rFonts w:hint="eastAsia" w:ascii="宋体" w:hAnsi="宋体" w:eastAsia="宋体" w:cs="宋体"/>
          <w:sz w:val="24"/>
          <w:lang w:bidi="ar"/>
        </w:rPr>
        <w:t>1.时</w:t>
      </w:r>
      <w:r>
        <w:rPr>
          <w:rFonts w:hint="eastAsia" w:ascii="宋体" w:hAnsi="宋体" w:eastAsia="宋体" w:cs="宋体"/>
          <w:sz w:val="24"/>
          <w:highlight w:val="none"/>
          <w:lang w:bidi="ar"/>
        </w:rPr>
        <w:t>间：</w:t>
      </w:r>
      <w:r>
        <w:rPr>
          <w:rFonts w:hint="eastAsia" w:ascii="宋体" w:hAnsi="宋体" w:eastAsia="宋体" w:cs="宋体"/>
          <w:sz w:val="24"/>
          <w:highlight w:val="none"/>
          <w:u w:val="single"/>
          <w:lang w:val="en-US" w:eastAsia="zh-CN"/>
        </w:rPr>
        <w:t>202</w:t>
      </w:r>
      <w:r>
        <w:rPr>
          <w:rFonts w:hint="eastAsia" w:ascii="宋体" w:hAnsi="宋体" w:cs="宋体"/>
          <w:sz w:val="24"/>
          <w:highlight w:val="none"/>
          <w:u w:val="single"/>
          <w:lang w:val="en-US" w:eastAsia="zh-CN"/>
        </w:rPr>
        <w:t>4</w:t>
      </w:r>
      <w:r>
        <w:rPr>
          <w:rFonts w:hint="eastAsia" w:ascii="宋体" w:hAnsi="宋体" w:eastAsia="宋体" w:cs="宋体"/>
          <w:sz w:val="24"/>
          <w:highlight w:val="none"/>
          <w:u w:val="none"/>
          <w:lang w:bidi="ar"/>
        </w:rPr>
        <w:t>年</w:t>
      </w:r>
      <w:r>
        <w:rPr>
          <w:rFonts w:hint="eastAsia" w:ascii="宋体" w:hAnsi="宋体" w:cs="宋体"/>
          <w:sz w:val="24"/>
          <w:highlight w:val="none"/>
          <w:u w:val="single"/>
          <w:lang w:val="en-US" w:eastAsia="zh-CN" w:bidi="ar"/>
        </w:rPr>
        <w:t xml:space="preserve">  08  </w:t>
      </w:r>
      <w:r>
        <w:rPr>
          <w:rFonts w:hint="eastAsia" w:ascii="宋体" w:hAnsi="宋体" w:eastAsia="宋体" w:cs="宋体"/>
          <w:sz w:val="24"/>
          <w:highlight w:val="none"/>
          <w:lang w:bidi="ar"/>
        </w:rPr>
        <w:t>月</w:t>
      </w:r>
      <w:r>
        <w:rPr>
          <w:rFonts w:hint="eastAsia" w:ascii="宋体" w:hAnsi="宋体" w:cs="宋体"/>
          <w:sz w:val="24"/>
          <w:highlight w:val="none"/>
          <w:u w:val="single"/>
          <w:lang w:val="en-US" w:eastAsia="zh-CN" w:bidi="ar"/>
        </w:rPr>
        <w:t xml:space="preserve">  15  </w:t>
      </w:r>
      <w:r>
        <w:rPr>
          <w:rFonts w:hint="eastAsia" w:ascii="宋体" w:hAnsi="宋体" w:eastAsia="宋体" w:cs="宋体"/>
          <w:sz w:val="24"/>
          <w:highlight w:val="none"/>
          <w:lang w:bidi="ar"/>
        </w:rPr>
        <w:t>日至</w:t>
      </w:r>
      <w:r>
        <w:rPr>
          <w:rFonts w:hint="eastAsia" w:ascii="宋体" w:hAnsi="宋体" w:eastAsia="宋体" w:cs="宋体"/>
          <w:sz w:val="24"/>
          <w:highlight w:val="none"/>
          <w:u w:val="single"/>
          <w:lang w:val="en-US" w:eastAsia="zh-CN"/>
        </w:rPr>
        <w:t>202</w:t>
      </w:r>
      <w:r>
        <w:rPr>
          <w:rFonts w:hint="eastAsia" w:ascii="宋体" w:hAnsi="宋体" w:cs="宋体"/>
          <w:sz w:val="24"/>
          <w:highlight w:val="none"/>
          <w:u w:val="single"/>
          <w:lang w:val="en-US" w:eastAsia="zh-CN"/>
        </w:rPr>
        <w:t>4</w:t>
      </w:r>
      <w:r>
        <w:rPr>
          <w:rFonts w:hint="eastAsia" w:ascii="宋体" w:hAnsi="宋体" w:eastAsia="宋体" w:cs="宋体"/>
          <w:sz w:val="24"/>
          <w:highlight w:val="none"/>
          <w:lang w:bidi="ar"/>
        </w:rPr>
        <w:t>年</w:t>
      </w:r>
      <w:r>
        <w:rPr>
          <w:rFonts w:hint="eastAsia" w:ascii="宋体" w:hAnsi="宋体" w:cs="宋体"/>
          <w:sz w:val="24"/>
          <w:highlight w:val="none"/>
          <w:u w:val="single"/>
          <w:lang w:val="en-US" w:eastAsia="zh-CN" w:bidi="ar"/>
        </w:rPr>
        <w:t xml:space="preserve">  08  </w:t>
      </w:r>
      <w:r>
        <w:rPr>
          <w:rFonts w:hint="eastAsia" w:ascii="宋体" w:hAnsi="宋体" w:eastAsia="宋体" w:cs="宋体"/>
          <w:sz w:val="24"/>
          <w:highlight w:val="none"/>
          <w:lang w:bidi="ar"/>
        </w:rPr>
        <w:t>月</w:t>
      </w:r>
      <w:r>
        <w:rPr>
          <w:rFonts w:hint="eastAsia" w:ascii="宋体" w:hAnsi="宋体" w:cs="宋体"/>
          <w:sz w:val="24"/>
          <w:highlight w:val="none"/>
          <w:u w:val="single"/>
          <w:lang w:val="en-US" w:eastAsia="zh-CN" w:bidi="ar"/>
        </w:rPr>
        <w:t xml:space="preserve">  19  </w:t>
      </w:r>
      <w:r>
        <w:rPr>
          <w:rFonts w:hint="eastAsia" w:ascii="宋体" w:hAnsi="宋体" w:eastAsia="宋体" w:cs="宋体"/>
          <w:sz w:val="24"/>
          <w:highlight w:val="none"/>
          <w:lang w:bidi="ar"/>
        </w:rPr>
        <w:t>日，</w:t>
      </w:r>
      <w:r>
        <w:rPr>
          <w:rFonts w:hint="eastAsia" w:ascii="宋体" w:hAnsi="宋体" w:eastAsia="宋体" w:cs="宋体"/>
          <w:sz w:val="24"/>
        </w:rPr>
        <w:t>每天上午</w:t>
      </w:r>
      <w:r>
        <w:rPr>
          <w:rFonts w:hint="eastAsia" w:ascii="宋体" w:hAnsi="宋体" w:eastAsia="宋体" w:cs="宋体"/>
          <w:sz w:val="24"/>
          <w:u w:val="single"/>
        </w:rPr>
        <w:t>9</w:t>
      </w:r>
      <w:r>
        <w:rPr>
          <w:rFonts w:hint="eastAsia" w:ascii="宋体" w:hAnsi="宋体" w:eastAsia="宋体" w:cs="宋体"/>
          <w:sz w:val="24"/>
          <w:u w:val="single"/>
          <w:lang w:val="en-US" w:eastAsia="zh-CN"/>
        </w:rPr>
        <w:t>:</w:t>
      </w:r>
      <w:r>
        <w:rPr>
          <w:rFonts w:hint="eastAsia" w:ascii="宋体" w:hAnsi="宋体" w:eastAsia="宋体" w:cs="宋体"/>
          <w:sz w:val="24"/>
          <w:u w:val="single"/>
        </w:rPr>
        <w:t>00</w:t>
      </w:r>
      <w:r>
        <w:rPr>
          <w:rFonts w:hint="eastAsia" w:ascii="宋体" w:hAnsi="宋体" w:eastAsia="宋体" w:cs="宋体"/>
          <w:sz w:val="24"/>
        </w:rPr>
        <w:t>至</w:t>
      </w:r>
      <w:r>
        <w:rPr>
          <w:rFonts w:hint="eastAsia" w:ascii="宋体" w:hAnsi="宋体" w:eastAsia="宋体" w:cs="宋体"/>
          <w:sz w:val="24"/>
          <w:u w:val="single"/>
        </w:rPr>
        <w:t>1</w:t>
      </w:r>
      <w:r>
        <w:rPr>
          <w:rFonts w:hint="eastAsia" w:ascii="宋体" w:hAnsi="宋体" w:eastAsia="宋体" w:cs="宋体"/>
          <w:sz w:val="24"/>
          <w:u w:val="single"/>
          <w:lang w:val="en-US" w:eastAsia="zh-CN"/>
        </w:rPr>
        <w:t>2</w:t>
      </w:r>
      <w:r>
        <w:rPr>
          <w:rFonts w:hint="eastAsia" w:ascii="宋体" w:hAnsi="宋体" w:eastAsia="宋体" w:cs="宋体"/>
          <w:sz w:val="24"/>
          <w:u w:val="single"/>
        </w:rPr>
        <w:t>:</w:t>
      </w:r>
      <w:r>
        <w:rPr>
          <w:rFonts w:hint="eastAsia" w:ascii="宋体" w:hAnsi="宋体" w:eastAsia="宋体" w:cs="宋体"/>
          <w:sz w:val="24"/>
          <w:u w:val="single"/>
          <w:lang w:val="en-US" w:eastAsia="zh-CN"/>
        </w:rPr>
        <w:t>0</w:t>
      </w:r>
      <w:r>
        <w:rPr>
          <w:rFonts w:hint="eastAsia" w:ascii="宋体" w:hAnsi="宋体" w:eastAsia="宋体" w:cs="宋体"/>
          <w:sz w:val="24"/>
          <w:u w:val="single"/>
        </w:rPr>
        <w:t>0</w:t>
      </w:r>
      <w:r>
        <w:rPr>
          <w:rFonts w:hint="eastAsia" w:ascii="宋体" w:hAnsi="宋体" w:eastAsia="宋体" w:cs="宋体"/>
          <w:sz w:val="24"/>
        </w:rPr>
        <w:t>下午</w:t>
      </w:r>
      <w:r>
        <w:rPr>
          <w:rFonts w:hint="eastAsia" w:ascii="宋体" w:hAnsi="宋体" w:eastAsia="宋体" w:cs="宋体"/>
          <w:sz w:val="24"/>
          <w:u w:val="single"/>
        </w:rPr>
        <w:t>1</w:t>
      </w:r>
      <w:r>
        <w:rPr>
          <w:rFonts w:hint="eastAsia" w:ascii="宋体" w:hAnsi="宋体" w:eastAsia="宋体" w:cs="宋体"/>
          <w:sz w:val="24"/>
          <w:u w:val="single"/>
          <w:lang w:val="en-US" w:eastAsia="zh-CN"/>
        </w:rPr>
        <w:t>2:0</w:t>
      </w:r>
      <w:r>
        <w:rPr>
          <w:rFonts w:hint="eastAsia" w:ascii="宋体" w:hAnsi="宋体" w:eastAsia="宋体" w:cs="宋体"/>
          <w:sz w:val="24"/>
          <w:u w:val="single"/>
        </w:rPr>
        <w:t>0</w:t>
      </w:r>
      <w:r>
        <w:rPr>
          <w:rFonts w:hint="eastAsia" w:ascii="宋体" w:hAnsi="宋体" w:eastAsia="宋体" w:cs="宋体"/>
          <w:sz w:val="24"/>
        </w:rPr>
        <w:t>至</w:t>
      </w:r>
      <w:r>
        <w:rPr>
          <w:rFonts w:hint="eastAsia" w:ascii="宋体" w:hAnsi="宋体" w:eastAsia="宋体" w:cs="宋体"/>
          <w:sz w:val="24"/>
          <w:u w:val="single"/>
        </w:rPr>
        <w:t>17:00</w:t>
      </w:r>
      <w:r>
        <w:rPr>
          <w:rFonts w:hint="eastAsia" w:ascii="宋体" w:hAnsi="宋体" w:eastAsia="宋体" w:cs="宋体"/>
          <w:sz w:val="24"/>
        </w:rPr>
        <w:t>（北京时间，法定节假日除外）</w:t>
      </w:r>
      <w:r>
        <w:rPr>
          <w:rFonts w:hint="eastAsia" w:ascii="宋体" w:hAnsi="宋体" w:eastAsia="宋体" w:cs="宋体"/>
          <w:sz w:val="24"/>
          <w:lang w:bidi="ar"/>
        </w:rPr>
        <w:t>。</w:t>
      </w:r>
    </w:p>
    <w:p>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lang w:bidi="ar"/>
        </w:rPr>
        <w:t>2.地点：北京市政府采购电子交易平台</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sz w:val="24"/>
          <w:lang w:bidi="ar"/>
        </w:rPr>
      </w:pPr>
      <w:r>
        <w:rPr>
          <w:rFonts w:hint="eastAsia" w:ascii="宋体" w:hAnsi="宋体" w:eastAsia="宋体" w:cs="宋体"/>
          <w:sz w:val="24"/>
          <w:lang w:bidi="ar"/>
        </w:rPr>
        <w:t>3.方式：供应商使用CA 数字证书或电子营业执照登录北京市政府采购电子交易平台（</w:t>
      </w:r>
      <w:r>
        <w:rPr>
          <w:rFonts w:hint="eastAsia" w:ascii="宋体" w:hAnsi="宋体" w:eastAsia="宋体" w:cs="宋体"/>
          <w:sz w:val="24"/>
          <w:lang w:bidi="ar"/>
        </w:rPr>
        <w:fldChar w:fldCharType="begin"/>
      </w:r>
      <w:r>
        <w:rPr>
          <w:rFonts w:hint="eastAsia" w:ascii="宋体" w:hAnsi="宋体" w:eastAsia="宋体" w:cs="宋体"/>
          <w:sz w:val="24"/>
          <w:lang w:bidi="ar"/>
        </w:rPr>
        <w:instrText xml:space="preserve"> HYPERLINK "http://zbcg-bjzc.zhongcy.com/bjczj-portal-site/index.html%23/home" \h </w:instrText>
      </w:r>
      <w:r>
        <w:rPr>
          <w:rFonts w:hint="eastAsia" w:ascii="宋体" w:hAnsi="宋体" w:eastAsia="宋体" w:cs="宋体"/>
          <w:sz w:val="24"/>
          <w:lang w:bidi="ar"/>
        </w:rPr>
        <w:fldChar w:fldCharType="separate"/>
      </w:r>
      <w:r>
        <w:rPr>
          <w:rFonts w:hint="eastAsia" w:ascii="宋体" w:hAnsi="宋体" w:eastAsia="宋体" w:cs="宋体"/>
          <w:sz w:val="24"/>
          <w:lang w:bidi="ar"/>
        </w:rPr>
        <w:t>http://zbcg-bjzc.zhongcy.com/bjczj-portal-site/index.html#/home</w:t>
      </w:r>
      <w:r>
        <w:rPr>
          <w:rFonts w:hint="eastAsia" w:ascii="宋体" w:hAnsi="宋体" w:eastAsia="宋体" w:cs="宋体"/>
          <w:sz w:val="24"/>
          <w:lang w:bidi="ar"/>
        </w:rPr>
        <w:fldChar w:fldCharType="end"/>
      </w:r>
      <w:r>
        <w:rPr>
          <w:rFonts w:hint="eastAsia" w:ascii="宋体" w:hAnsi="宋体" w:eastAsia="宋体" w:cs="宋体"/>
          <w:sz w:val="24"/>
          <w:lang w:bidi="ar"/>
        </w:rPr>
        <w:t>）获取电子版竞争性磋商文件。</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sz w:val="24"/>
        </w:rPr>
      </w:pPr>
      <w:r>
        <w:rPr>
          <w:rFonts w:hint="eastAsia" w:ascii="宋体" w:hAnsi="宋体" w:eastAsia="宋体" w:cs="宋体"/>
          <w:sz w:val="24"/>
          <w:lang w:bidi="ar"/>
        </w:rPr>
        <w:t>4.售价：0元。</w:t>
      </w:r>
    </w:p>
    <w:p>
      <w:pPr>
        <w:pStyle w:val="2"/>
        <w:widowControl/>
        <w:spacing w:before="0" w:line="360" w:lineRule="auto"/>
        <w:jc w:val="left"/>
        <w:rPr>
          <w:rFonts w:hint="eastAsia" w:ascii="宋体" w:hAnsi="宋体" w:eastAsia="宋体" w:cs="宋体"/>
          <w:sz w:val="24"/>
          <w:szCs w:val="24"/>
        </w:rPr>
      </w:pPr>
      <w:bookmarkStart w:id="14" w:name="_Toc35393624"/>
      <w:bookmarkStart w:id="15" w:name="_Toc35393793"/>
      <w:bookmarkStart w:id="16" w:name="_Toc28359005"/>
      <w:bookmarkStart w:id="17" w:name="_Toc28359082"/>
      <w:r>
        <w:rPr>
          <w:rFonts w:hint="eastAsia" w:ascii="宋体" w:hAnsi="宋体" w:eastAsia="宋体" w:cs="宋体"/>
          <w:sz w:val="24"/>
          <w:szCs w:val="24"/>
        </w:rPr>
        <w:t>四、</w:t>
      </w:r>
      <w:bookmarkEnd w:id="14"/>
      <w:bookmarkEnd w:id="15"/>
      <w:bookmarkEnd w:id="16"/>
      <w:bookmarkEnd w:id="17"/>
      <w:r>
        <w:rPr>
          <w:rFonts w:hint="eastAsia" w:ascii="宋体" w:hAnsi="宋体" w:eastAsia="宋体" w:cs="宋体"/>
          <w:sz w:val="24"/>
          <w:szCs w:val="24"/>
        </w:rPr>
        <w:t>响应文件提交</w:t>
      </w:r>
    </w:p>
    <w:p>
      <w:pPr>
        <w:spacing w:line="360" w:lineRule="auto"/>
        <w:ind w:firstLine="480" w:firstLineChars="200"/>
        <w:rPr>
          <w:rFonts w:hint="eastAsia" w:ascii="宋体" w:hAnsi="宋体" w:eastAsia="宋体" w:cs="宋体"/>
          <w:bCs/>
          <w:sz w:val="24"/>
          <w:highlight w:val="none"/>
          <w:u w:val="single"/>
        </w:rPr>
      </w:pPr>
      <w:r>
        <w:rPr>
          <w:rFonts w:hint="eastAsia" w:ascii="宋体" w:hAnsi="宋体" w:eastAsia="宋体" w:cs="宋体"/>
          <w:sz w:val="24"/>
          <w:highlight w:val="none"/>
          <w:lang w:bidi="ar"/>
        </w:rPr>
        <w:t>截止时间：</w:t>
      </w:r>
      <w:r>
        <w:rPr>
          <w:rFonts w:hint="eastAsia" w:ascii="宋体" w:hAnsi="宋体" w:eastAsia="宋体" w:cs="宋体"/>
          <w:sz w:val="24"/>
          <w:highlight w:val="none"/>
          <w:u w:val="single"/>
          <w:lang w:val="en-US" w:eastAsia="zh-CN"/>
        </w:rPr>
        <w:t>202</w:t>
      </w:r>
      <w:r>
        <w:rPr>
          <w:rFonts w:hint="eastAsia" w:ascii="宋体" w:hAnsi="宋体" w:cs="宋体"/>
          <w:sz w:val="24"/>
          <w:highlight w:val="none"/>
          <w:u w:val="single"/>
          <w:lang w:val="en-US" w:eastAsia="zh-CN"/>
        </w:rPr>
        <w:t>4</w:t>
      </w:r>
      <w:r>
        <w:rPr>
          <w:rFonts w:hint="eastAsia" w:ascii="宋体" w:hAnsi="宋体" w:eastAsia="宋体" w:cs="宋体"/>
          <w:sz w:val="24"/>
          <w:highlight w:val="none"/>
          <w:u w:val="none"/>
          <w:lang w:bidi="ar"/>
        </w:rPr>
        <w:t>年</w:t>
      </w:r>
      <w:r>
        <w:rPr>
          <w:rFonts w:hint="eastAsia" w:ascii="宋体" w:hAnsi="宋体" w:cs="宋体"/>
          <w:sz w:val="24"/>
          <w:highlight w:val="none"/>
          <w:u w:val="single"/>
          <w:lang w:val="en-US" w:eastAsia="zh-CN" w:bidi="ar"/>
        </w:rPr>
        <w:t xml:space="preserve">  08  </w:t>
      </w:r>
      <w:r>
        <w:rPr>
          <w:rFonts w:hint="eastAsia" w:ascii="宋体" w:hAnsi="宋体" w:eastAsia="宋体" w:cs="宋体"/>
          <w:sz w:val="24"/>
          <w:highlight w:val="none"/>
          <w:lang w:bidi="ar"/>
        </w:rPr>
        <w:t>月</w:t>
      </w:r>
      <w:r>
        <w:rPr>
          <w:rFonts w:hint="eastAsia" w:ascii="宋体" w:hAnsi="宋体" w:cs="宋体"/>
          <w:sz w:val="24"/>
          <w:highlight w:val="none"/>
          <w:u w:val="single"/>
          <w:lang w:val="en-US" w:eastAsia="zh-CN" w:bidi="ar"/>
        </w:rPr>
        <w:t xml:space="preserve">  26  </w:t>
      </w:r>
      <w:r>
        <w:rPr>
          <w:rFonts w:hint="eastAsia" w:ascii="宋体" w:hAnsi="宋体" w:eastAsia="宋体" w:cs="宋体"/>
          <w:sz w:val="24"/>
          <w:highlight w:val="none"/>
          <w:lang w:bidi="ar"/>
        </w:rPr>
        <w:t>日</w:t>
      </w:r>
      <w:r>
        <w:rPr>
          <w:rFonts w:hint="eastAsia" w:ascii="宋体" w:hAnsi="宋体" w:cs="宋体"/>
          <w:sz w:val="24"/>
          <w:highlight w:val="none"/>
          <w:u w:val="single"/>
          <w:lang w:val="en-US" w:eastAsia="zh-CN"/>
        </w:rPr>
        <w:t>10</w:t>
      </w:r>
      <w:r>
        <w:rPr>
          <w:rFonts w:hint="eastAsia" w:ascii="宋体" w:hAnsi="宋体" w:eastAsia="宋体" w:cs="宋体"/>
          <w:sz w:val="24"/>
          <w:highlight w:val="none"/>
          <w:lang w:eastAsia="zh-CN" w:bidi="ar"/>
        </w:rPr>
        <w:t>时</w:t>
      </w:r>
      <w:r>
        <w:rPr>
          <w:rFonts w:hint="eastAsia" w:ascii="宋体" w:hAnsi="宋体" w:cs="宋体"/>
          <w:sz w:val="24"/>
          <w:highlight w:val="none"/>
          <w:u w:val="single"/>
          <w:lang w:val="en-US" w:eastAsia="zh-CN"/>
        </w:rPr>
        <w:t>00</w:t>
      </w:r>
      <w:r>
        <w:rPr>
          <w:rFonts w:hint="eastAsia" w:ascii="宋体" w:hAnsi="宋体" w:eastAsia="宋体" w:cs="宋体"/>
          <w:sz w:val="24"/>
          <w:highlight w:val="none"/>
          <w:lang w:bidi="ar"/>
        </w:rPr>
        <w:t>分</w:t>
      </w:r>
      <w:r>
        <w:rPr>
          <w:rFonts w:hint="eastAsia" w:ascii="宋体" w:hAnsi="宋体" w:eastAsia="宋体" w:cs="宋体"/>
          <w:bCs/>
          <w:sz w:val="24"/>
          <w:highlight w:val="none"/>
          <w:lang w:bidi="ar"/>
        </w:rPr>
        <w:t>（北京时间）</w:t>
      </w:r>
      <w:r>
        <w:rPr>
          <w:rFonts w:hint="eastAsia" w:ascii="宋体" w:hAnsi="宋体" w:eastAsia="宋体" w:cs="宋体"/>
          <w:iCs/>
          <w:sz w:val="24"/>
          <w:highlight w:val="none"/>
          <w:lang w:bidi="ar"/>
        </w:rPr>
        <w:t>。</w:t>
      </w:r>
    </w:p>
    <w:p>
      <w:pPr>
        <w:spacing w:line="360" w:lineRule="auto"/>
        <w:ind w:firstLine="480" w:firstLineChars="200"/>
        <w:rPr>
          <w:rFonts w:hint="eastAsia" w:ascii="宋体" w:hAnsi="宋体" w:eastAsia="宋体" w:cs="宋体"/>
          <w:sz w:val="24"/>
          <w:highlight w:val="none"/>
          <w:lang w:val="zh-TW" w:eastAsia="zh-CN" w:bidi="ar"/>
        </w:rPr>
      </w:pPr>
      <w:r>
        <w:rPr>
          <w:rFonts w:hint="eastAsia" w:ascii="宋体" w:hAnsi="宋体" w:eastAsia="宋体" w:cs="宋体"/>
          <w:sz w:val="24"/>
          <w:highlight w:val="none"/>
          <w:lang w:bidi="ar"/>
        </w:rPr>
        <w:t>地点：</w:t>
      </w:r>
      <w:r>
        <w:rPr>
          <w:rFonts w:hint="eastAsia" w:ascii="宋体" w:hAnsi="宋体" w:eastAsia="宋体" w:cs="宋体"/>
          <w:sz w:val="24"/>
          <w:highlight w:val="none"/>
          <w:u w:val="single"/>
          <w:lang w:bidi="ar"/>
        </w:rPr>
        <w:t>北京市顺义区复兴东街3号院顺义区政务服务中心6号电梯厅二层</w:t>
      </w:r>
      <w:r>
        <w:rPr>
          <w:rFonts w:hint="eastAsia" w:ascii="宋体" w:hAnsi="宋体" w:cs="宋体"/>
          <w:sz w:val="24"/>
          <w:highlight w:val="none"/>
          <w:u w:val="single"/>
          <w:lang w:eastAsia="zh-CN" w:bidi="ar"/>
        </w:rPr>
        <w:t>竞标区</w:t>
      </w:r>
      <w:r>
        <w:rPr>
          <w:rFonts w:hint="eastAsia" w:ascii="宋体" w:hAnsi="宋体" w:cs="宋体"/>
          <w:color w:val="000000" w:themeColor="text1"/>
          <w:sz w:val="24"/>
          <w:u w:val="single"/>
          <w14:textFill>
            <w14:solidFill>
              <w14:schemeClr w14:val="tx1"/>
            </w14:solidFill>
          </w14:textFill>
        </w:rPr>
        <w:t>（具体标室以当天大屏幕为准）</w:t>
      </w:r>
      <w:r>
        <w:rPr>
          <w:rFonts w:hint="eastAsia" w:ascii="宋体" w:hAnsi="宋体" w:cs="宋体"/>
          <w:color w:val="000000" w:themeColor="text1"/>
          <w:sz w:val="24"/>
          <w:u w:val="single"/>
          <w:lang w:eastAsia="zh-CN"/>
          <w14:textFill>
            <w14:solidFill>
              <w14:schemeClr w14:val="tx1"/>
            </w14:solidFill>
          </w14:textFill>
        </w:rPr>
        <w:t>。</w:t>
      </w:r>
    </w:p>
    <w:p>
      <w:pPr>
        <w:pStyle w:val="2"/>
        <w:spacing w:before="0"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五、开启</w:t>
      </w:r>
    </w:p>
    <w:p>
      <w:pPr>
        <w:spacing w:line="360" w:lineRule="auto"/>
        <w:ind w:firstLine="480" w:firstLineChars="200"/>
        <w:rPr>
          <w:rFonts w:hint="eastAsia" w:ascii="宋体" w:hAnsi="宋体" w:eastAsia="宋体" w:cs="宋体"/>
          <w:bCs/>
          <w:sz w:val="24"/>
          <w:highlight w:val="none"/>
          <w:u w:val="single"/>
        </w:rPr>
      </w:pPr>
      <w:r>
        <w:rPr>
          <w:rFonts w:hint="eastAsia" w:ascii="宋体" w:hAnsi="宋体" w:eastAsia="宋体" w:cs="宋体"/>
          <w:sz w:val="24"/>
          <w:highlight w:val="none"/>
          <w:lang w:bidi="ar"/>
        </w:rPr>
        <w:t>时间：</w:t>
      </w:r>
      <w:r>
        <w:rPr>
          <w:rFonts w:hint="eastAsia" w:ascii="宋体" w:hAnsi="宋体" w:eastAsia="宋体" w:cs="宋体"/>
          <w:sz w:val="24"/>
          <w:highlight w:val="none"/>
          <w:u w:val="single"/>
          <w:lang w:val="en-US" w:eastAsia="zh-CN"/>
        </w:rPr>
        <w:t>202</w:t>
      </w:r>
      <w:r>
        <w:rPr>
          <w:rFonts w:hint="eastAsia" w:ascii="宋体" w:hAnsi="宋体" w:cs="宋体"/>
          <w:sz w:val="24"/>
          <w:highlight w:val="none"/>
          <w:u w:val="single"/>
          <w:lang w:val="en-US" w:eastAsia="zh-CN"/>
        </w:rPr>
        <w:t>4</w:t>
      </w:r>
      <w:r>
        <w:rPr>
          <w:rFonts w:hint="eastAsia" w:ascii="宋体" w:hAnsi="宋体" w:eastAsia="宋体" w:cs="宋体"/>
          <w:sz w:val="24"/>
          <w:highlight w:val="none"/>
          <w:u w:val="none"/>
          <w:lang w:bidi="ar"/>
        </w:rPr>
        <w:t>年</w:t>
      </w:r>
      <w:r>
        <w:rPr>
          <w:rFonts w:hint="eastAsia" w:ascii="宋体" w:hAnsi="宋体" w:cs="宋体"/>
          <w:sz w:val="24"/>
          <w:highlight w:val="none"/>
          <w:u w:val="single"/>
          <w:lang w:val="en-US" w:eastAsia="zh-CN" w:bidi="ar"/>
        </w:rPr>
        <w:t xml:space="preserve">  08  </w:t>
      </w:r>
      <w:r>
        <w:rPr>
          <w:rFonts w:hint="eastAsia" w:ascii="宋体" w:hAnsi="宋体" w:eastAsia="宋体" w:cs="宋体"/>
          <w:sz w:val="24"/>
          <w:highlight w:val="none"/>
          <w:lang w:bidi="ar"/>
        </w:rPr>
        <w:t>月</w:t>
      </w:r>
      <w:r>
        <w:rPr>
          <w:rFonts w:hint="eastAsia" w:ascii="宋体" w:hAnsi="宋体" w:cs="宋体"/>
          <w:sz w:val="24"/>
          <w:highlight w:val="none"/>
          <w:u w:val="single"/>
          <w:lang w:val="en-US" w:eastAsia="zh-CN" w:bidi="ar"/>
        </w:rPr>
        <w:t xml:space="preserve">  26  </w:t>
      </w:r>
      <w:r>
        <w:rPr>
          <w:rFonts w:hint="eastAsia" w:ascii="宋体" w:hAnsi="宋体" w:eastAsia="宋体" w:cs="宋体"/>
          <w:sz w:val="24"/>
          <w:highlight w:val="none"/>
          <w:lang w:bidi="ar"/>
        </w:rPr>
        <w:t>日</w:t>
      </w:r>
      <w:r>
        <w:rPr>
          <w:rFonts w:hint="eastAsia" w:ascii="宋体" w:hAnsi="宋体" w:cs="宋体"/>
          <w:sz w:val="24"/>
          <w:highlight w:val="none"/>
          <w:u w:val="single"/>
          <w:lang w:val="en-US" w:eastAsia="zh-CN"/>
        </w:rPr>
        <w:t>10</w:t>
      </w:r>
      <w:r>
        <w:rPr>
          <w:rFonts w:hint="eastAsia" w:ascii="宋体" w:hAnsi="宋体" w:eastAsia="宋体" w:cs="宋体"/>
          <w:sz w:val="24"/>
          <w:highlight w:val="none"/>
          <w:lang w:eastAsia="zh-CN" w:bidi="ar"/>
        </w:rPr>
        <w:t>时</w:t>
      </w:r>
      <w:r>
        <w:rPr>
          <w:rFonts w:hint="eastAsia" w:ascii="宋体" w:hAnsi="宋体" w:cs="宋体"/>
          <w:sz w:val="24"/>
          <w:highlight w:val="none"/>
          <w:u w:val="single"/>
          <w:lang w:val="en-US" w:eastAsia="zh-CN"/>
        </w:rPr>
        <w:t>00</w:t>
      </w:r>
      <w:r>
        <w:rPr>
          <w:rFonts w:hint="eastAsia" w:ascii="宋体" w:hAnsi="宋体" w:eastAsia="宋体" w:cs="宋体"/>
          <w:sz w:val="24"/>
          <w:highlight w:val="none"/>
          <w:lang w:bidi="ar"/>
        </w:rPr>
        <w:t>分</w:t>
      </w:r>
      <w:r>
        <w:rPr>
          <w:rFonts w:hint="eastAsia" w:ascii="宋体" w:hAnsi="宋体" w:eastAsia="宋体" w:cs="宋体"/>
          <w:bCs/>
          <w:sz w:val="24"/>
          <w:highlight w:val="none"/>
          <w:lang w:bidi="ar"/>
        </w:rPr>
        <w:t>（北京时间）</w:t>
      </w:r>
      <w:r>
        <w:rPr>
          <w:rFonts w:hint="eastAsia" w:ascii="宋体" w:hAnsi="宋体" w:eastAsia="宋体" w:cs="宋体"/>
          <w:iCs/>
          <w:sz w:val="24"/>
          <w:highlight w:val="none"/>
          <w:lang w:bidi="ar"/>
        </w:rPr>
        <w:t>。</w:t>
      </w:r>
    </w:p>
    <w:p>
      <w:pPr>
        <w:spacing w:line="360" w:lineRule="auto"/>
        <w:ind w:firstLine="480" w:firstLineChars="200"/>
        <w:rPr>
          <w:rFonts w:hint="eastAsia" w:ascii="宋体" w:hAnsi="宋体" w:eastAsia="宋体" w:cs="宋体"/>
          <w:sz w:val="24"/>
          <w:lang w:val="zh-TW" w:eastAsia="zh-CN" w:bidi="ar"/>
        </w:rPr>
      </w:pPr>
      <w:r>
        <w:rPr>
          <w:rFonts w:hint="eastAsia" w:ascii="宋体" w:hAnsi="宋体" w:eastAsia="宋体" w:cs="宋体"/>
          <w:sz w:val="24"/>
          <w:lang w:bidi="ar"/>
        </w:rPr>
        <w:t>地点：</w:t>
      </w:r>
      <w:r>
        <w:rPr>
          <w:rFonts w:hint="eastAsia" w:ascii="宋体" w:hAnsi="宋体" w:eastAsia="宋体" w:cs="宋体"/>
          <w:sz w:val="24"/>
          <w:u w:val="single"/>
          <w:lang w:bidi="ar"/>
        </w:rPr>
        <w:t>北京市顺义区复兴东街3号院顺义区政务服务中心6号电梯厅二层</w:t>
      </w:r>
      <w:r>
        <w:rPr>
          <w:rFonts w:hint="eastAsia" w:ascii="宋体" w:hAnsi="宋体" w:cs="宋体"/>
          <w:sz w:val="24"/>
          <w:u w:val="single"/>
          <w:lang w:eastAsia="zh-CN" w:bidi="ar"/>
        </w:rPr>
        <w:t>竞标区</w:t>
      </w:r>
      <w:r>
        <w:rPr>
          <w:rFonts w:hint="eastAsia" w:ascii="宋体" w:hAnsi="宋体" w:cs="宋体"/>
          <w:color w:val="000000" w:themeColor="text1"/>
          <w:sz w:val="24"/>
          <w:u w:val="single"/>
          <w14:textFill>
            <w14:solidFill>
              <w14:schemeClr w14:val="tx1"/>
            </w14:solidFill>
          </w14:textFill>
        </w:rPr>
        <w:t>（具体标室以当天大屏幕为准）</w:t>
      </w:r>
      <w:r>
        <w:rPr>
          <w:rFonts w:hint="eastAsia" w:ascii="宋体" w:hAnsi="宋体" w:cs="宋体"/>
          <w:color w:val="000000" w:themeColor="text1"/>
          <w:sz w:val="24"/>
          <w:u w:val="single"/>
          <w:lang w:eastAsia="zh-CN"/>
          <w14:textFill>
            <w14:solidFill>
              <w14:schemeClr w14:val="tx1"/>
            </w14:solidFill>
          </w14:textFill>
        </w:rPr>
        <w:t>。</w:t>
      </w:r>
    </w:p>
    <w:p>
      <w:pPr>
        <w:pStyle w:val="2"/>
        <w:spacing w:before="0" w:line="360" w:lineRule="auto"/>
        <w:jc w:val="left"/>
        <w:rPr>
          <w:rFonts w:hint="eastAsia" w:ascii="宋体" w:hAnsi="宋体" w:eastAsia="宋体" w:cs="宋体"/>
          <w:sz w:val="24"/>
          <w:szCs w:val="24"/>
        </w:rPr>
      </w:pPr>
      <w:bookmarkStart w:id="18" w:name="_Toc28359007"/>
      <w:bookmarkStart w:id="19" w:name="_Toc28359084"/>
      <w:bookmarkStart w:id="20" w:name="_Toc35393794"/>
      <w:bookmarkStart w:id="21" w:name="_Toc35393625"/>
      <w:r>
        <w:rPr>
          <w:rFonts w:hint="eastAsia" w:ascii="宋体" w:hAnsi="宋体" w:eastAsia="宋体" w:cs="宋体"/>
          <w:sz w:val="24"/>
          <w:szCs w:val="24"/>
        </w:rPr>
        <w:t>六、公告期限</w:t>
      </w:r>
      <w:bookmarkEnd w:id="18"/>
      <w:bookmarkEnd w:id="19"/>
      <w:bookmarkEnd w:id="20"/>
      <w:bookmarkEnd w:id="21"/>
    </w:p>
    <w:p>
      <w:pPr>
        <w:spacing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自本公告发布之日起</w:t>
      </w:r>
      <w:r>
        <w:rPr>
          <w:rFonts w:hint="eastAsia" w:ascii="宋体" w:hAnsi="宋体" w:cs="宋体"/>
          <w:kern w:val="0"/>
          <w:sz w:val="24"/>
          <w:lang w:val="en-US" w:eastAsia="zh-CN"/>
        </w:rPr>
        <w:t>5</w:t>
      </w:r>
      <w:r>
        <w:rPr>
          <w:rFonts w:hint="eastAsia" w:ascii="宋体" w:hAnsi="宋体" w:eastAsia="宋体" w:cs="宋体"/>
          <w:kern w:val="0"/>
          <w:sz w:val="24"/>
        </w:rPr>
        <w:t>个工作日</w:t>
      </w:r>
    </w:p>
    <w:p>
      <w:pPr>
        <w:pStyle w:val="2"/>
        <w:spacing w:before="0" w:line="360" w:lineRule="auto"/>
        <w:jc w:val="left"/>
        <w:rPr>
          <w:rFonts w:hint="eastAsia" w:ascii="宋体" w:hAnsi="宋体" w:eastAsia="宋体" w:cs="宋体"/>
          <w:sz w:val="24"/>
          <w:szCs w:val="24"/>
        </w:rPr>
      </w:pPr>
      <w:bookmarkStart w:id="22" w:name="_Toc35393795"/>
      <w:bookmarkStart w:id="23" w:name="_Toc35393626"/>
      <w:r>
        <w:rPr>
          <w:rFonts w:hint="eastAsia" w:ascii="宋体" w:hAnsi="宋体" w:eastAsia="宋体" w:cs="宋体"/>
          <w:sz w:val="24"/>
          <w:szCs w:val="24"/>
        </w:rPr>
        <w:t>七、其他补充事宜</w:t>
      </w:r>
      <w:bookmarkEnd w:id="22"/>
      <w:bookmarkEnd w:id="23"/>
    </w:p>
    <w:p>
      <w:pPr>
        <w:keepNext w:val="0"/>
        <w:keepLines w:val="0"/>
        <w:pageBreakBefore w:val="0"/>
        <w:widowControl w:val="0"/>
        <w:shd w:val="clear"/>
        <w:tabs>
          <w:tab w:val="left" w:pos="750"/>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rPr>
      </w:pPr>
      <w:r>
        <w:rPr>
          <w:rFonts w:hint="eastAsia" w:ascii="宋体" w:hAnsi="宋体" w:eastAsia="宋体" w:cs="宋体"/>
          <w:color w:val="auto"/>
          <w:sz w:val="24"/>
        </w:rPr>
        <w:t>1.本项目需要落实的政府采购政策：</w:t>
      </w:r>
    </w:p>
    <w:p>
      <w:pPr>
        <w:keepNext w:val="0"/>
        <w:keepLines w:val="0"/>
        <w:pageBreakBefore w:val="0"/>
        <w:widowControl w:val="0"/>
        <w:shd w:val="clear"/>
        <w:tabs>
          <w:tab w:val="left" w:pos="750"/>
        </w:tabs>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color w:val="auto"/>
          <w:sz w:val="24"/>
        </w:rPr>
      </w:pPr>
      <w:r>
        <w:rPr>
          <w:rFonts w:hint="eastAsia" w:ascii="宋体" w:hAnsi="宋体" w:eastAsia="宋体" w:cs="宋体"/>
          <w:color w:val="auto"/>
          <w:sz w:val="24"/>
        </w:rPr>
        <w:t>1）执行《财政部发展改革委关于印发《节能产品政府采购品目清单》的通知》（财库[2019]19号）；</w:t>
      </w:r>
    </w:p>
    <w:p>
      <w:pPr>
        <w:keepNext w:val="0"/>
        <w:keepLines w:val="0"/>
        <w:pageBreakBefore w:val="0"/>
        <w:widowControl w:val="0"/>
        <w:shd w:val="clear"/>
        <w:tabs>
          <w:tab w:val="left" w:pos="750"/>
        </w:tabs>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color w:val="auto"/>
          <w:sz w:val="24"/>
        </w:rPr>
      </w:pPr>
      <w:r>
        <w:rPr>
          <w:rFonts w:hint="eastAsia" w:ascii="宋体" w:hAnsi="宋体" w:eastAsia="宋体" w:cs="宋体"/>
          <w:color w:val="auto"/>
          <w:sz w:val="24"/>
        </w:rPr>
        <w:t>2）执行《财政部生态环境部关于印发《环境标志产品政府采购品目清单》的通知（财库[2019]18号）；</w:t>
      </w:r>
    </w:p>
    <w:p>
      <w:pPr>
        <w:keepNext w:val="0"/>
        <w:keepLines w:val="0"/>
        <w:pageBreakBefore w:val="0"/>
        <w:widowControl w:val="0"/>
        <w:shd w:val="clear"/>
        <w:tabs>
          <w:tab w:val="left" w:pos="750"/>
        </w:tabs>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color w:val="auto"/>
          <w:sz w:val="24"/>
        </w:rPr>
      </w:pPr>
      <w:r>
        <w:rPr>
          <w:rFonts w:hint="eastAsia" w:ascii="宋体" w:hAnsi="宋体" w:eastAsia="宋体" w:cs="宋体"/>
          <w:color w:val="auto"/>
          <w:sz w:val="24"/>
        </w:rPr>
        <w:t>3）执行《政府采购促进中小企业发展管理办法》的通知财库〔2020〕46号；</w:t>
      </w:r>
    </w:p>
    <w:p>
      <w:pPr>
        <w:keepNext w:val="0"/>
        <w:keepLines w:val="0"/>
        <w:pageBreakBefore w:val="0"/>
        <w:widowControl w:val="0"/>
        <w:shd w:val="clear"/>
        <w:tabs>
          <w:tab w:val="left" w:pos="750"/>
        </w:tabs>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color w:val="auto"/>
          <w:sz w:val="24"/>
        </w:rPr>
      </w:pPr>
      <w:r>
        <w:rPr>
          <w:rFonts w:hint="eastAsia" w:ascii="宋体" w:hAnsi="宋体" w:eastAsia="宋体" w:cs="宋体"/>
          <w:color w:val="auto"/>
          <w:sz w:val="24"/>
        </w:rPr>
        <w:t>4）执行《财政部关于开展政府采购信用担保试点工作方案》（财库[2011]124号）；</w:t>
      </w:r>
    </w:p>
    <w:p>
      <w:pPr>
        <w:keepNext w:val="0"/>
        <w:keepLines w:val="0"/>
        <w:pageBreakBefore w:val="0"/>
        <w:widowControl w:val="0"/>
        <w:shd w:val="clear"/>
        <w:tabs>
          <w:tab w:val="left" w:pos="750"/>
        </w:tabs>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color w:val="auto"/>
          <w:sz w:val="24"/>
        </w:rPr>
      </w:pPr>
      <w:r>
        <w:rPr>
          <w:rFonts w:hint="eastAsia" w:ascii="宋体" w:hAnsi="宋体" w:eastAsia="宋体" w:cs="宋体"/>
          <w:color w:val="auto"/>
          <w:sz w:val="24"/>
        </w:rPr>
        <w:t>5）执行《财政部、司法部关于政府采购支持监狱企业发展有关问题的通知》（财库[2014]68号）；</w:t>
      </w:r>
    </w:p>
    <w:p>
      <w:pPr>
        <w:keepNext w:val="0"/>
        <w:keepLines w:val="0"/>
        <w:pageBreakBefore w:val="0"/>
        <w:widowControl w:val="0"/>
        <w:shd w:val="clear"/>
        <w:tabs>
          <w:tab w:val="left" w:pos="750"/>
        </w:tabs>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color w:val="auto"/>
          <w:sz w:val="24"/>
        </w:rPr>
      </w:pPr>
      <w:r>
        <w:rPr>
          <w:rFonts w:hint="eastAsia" w:ascii="宋体" w:hAnsi="宋体" w:eastAsia="宋体" w:cs="宋体"/>
          <w:color w:val="auto"/>
          <w:sz w:val="24"/>
        </w:rPr>
        <w:t>6）执行《关于促进残疾人就业政府采购政策的通知》（财库〔2017〕141号）；</w:t>
      </w:r>
    </w:p>
    <w:p>
      <w:pPr>
        <w:keepNext w:val="0"/>
        <w:keepLines w:val="0"/>
        <w:pageBreakBefore w:val="0"/>
        <w:widowControl w:val="0"/>
        <w:shd w:val="clear"/>
        <w:tabs>
          <w:tab w:val="left" w:pos="750"/>
        </w:tabs>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color w:val="auto"/>
          <w:sz w:val="24"/>
        </w:rPr>
      </w:pPr>
      <w:r>
        <w:rPr>
          <w:rFonts w:hint="eastAsia" w:ascii="宋体" w:hAnsi="宋体" w:eastAsia="宋体" w:cs="宋体"/>
          <w:color w:val="auto"/>
          <w:sz w:val="24"/>
        </w:rPr>
        <w:t>7）执行《财政部关于在政府采购活动中查询及使用信用记录有关问题的通知》（财库[2016]125号）等相关政策。</w:t>
      </w:r>
    </w:p>
    <w:p>
      <w:pPr>
        <w:keepNext w:val="0"/>
        <w:keepLines w:val="0"/>
        <w:pageBreakBefore w:val="0"/>
        <w:widowControl w:val="0"/>
        <w:shd w:val="clear"/>
        <w:tabs>
          <w:tab w:val="left" w:pos="750"/>
        </w:tabs>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color w:val="auto"/>
          <w:sz w:val="24"/>
        </w:rPr>
      </w:pPr>
      <w:r>
        <w:rPr>
          <w:rFonts w:hint="eastAsia" w:ascii="宋体" w:hAnsi="宋体" w:eastAsia="宋体" w:cs="宋体"/>
          <w:color w:val="auto"/>
          <w:sz w:val="24"/>
        </w:rPr>
        <w:t>8）执行《北京市财政局关于落实好政府采购支持中小企业发展的通知》（京财〔2022〕1143号）。</w:t>
      </w:r>
    </w:p>
    <w:p>
      <w:pPr>
        <w:spacing w:line="360" w:lineRule="auto"/>
        <w:ind w:firstLine="480" w:firstLineChars="200"/>
        <w:rPr>
          <w:rFonts w:hint="eastAsia" w:ascii="宋体" w:hAnsi="宋体" w:eastAsia="宋体" w:cs="宋体"/>
          <w:sz w:val="24"/>
        </w:rPr>
      </w:pPr>
      <w:r>
        <w:rPr>
          <w:rFonts w:hint="eastAsia" w:ascii="宋体" w:hAnsi="宋体" w:eastAsia="宋体" w:cs="宋体"/>
          <w:color w:val="auto"/>
          <w:sz w:val="24"/>
        </w:rPr>
        <w:t>9）执行《关于进一步加大政府采购支持中小企业力度的通知》（财库〔2022〕19号）</w:t>
      </w:r>
      <w:r>
        <w:rPr>
          <w:rFonts w:hint="eastAsia" w:ascii="宋体" w:hAnsi="宋体" w:eastAsia="宋体" w:cs="宋体"/>
          <w:sz w:val="24"/>
          <w:lang w:bidi="ar"/>
        </w:rPr>
        <w:t>。</w:t>
      </w:r>
    </w:p>
    <w:p>
      <w:pPr>
        <w:keepNext w:val="0"/>
        <w:keepLines w:val="0"/>
        <w:pageBreakBefore w:val="0"/>
        <w:widowControl w:val="0"/>
        <w:shd w:val="clear"/>
        <w:tabs>
          <w:tab w:val="left" w:pos="750"/>
        </w:tabs>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color w:val="auto"/>
          <w:sz w:val="24"/>
        </w:rPr>
      </w:pPr>
      <w:r>
        <w:rPr>
          <w:rFonts w:hint="eastAsia" w:ascii="宋体" w:hAnsi="宋体" w:eastAsia="宋体" w:cs="宋体"/>
          <w:color w:val="auto"/>
          <w:sz w:val="24"/>
          <w:lang w:val="en-US" w:eastAsia="zh-CN"/>
        </w:rPr>
        <w:t>2</w:t>
      </w:r>
      <w:r>
        <w:rPr>
          <w:rFonts w:hint="eastAsia" w:ascii="宋体" w:hAnsi="宋体" w:eastAsia="宋体" w:cs="宋体"/>
          <w:color w:val="auto"/>
          <w:sz w:val="24"/>
        </w:rPr>
        <w:t>.本项目采用全流程电子化采购方式，请供应商认真学习北京市政府采购电子交易 平台发布的相关操作手册（供应商可在交易平台下载相关手册），办理CA数字证书或电子营业执照、进行北京市政府采购电子交易平台注册绑定</w:t>
      </w:r>
      <w:r>
        <w:rPr>
          <w:rFonts w:hint="eastAsia" w:ascii="宋体" w:hAnsi="宋体" w:cs="宋体"/>
          <w:color w:val="auto"/>
          <w:sz w:val="24"/>
          <w:lang w:eastAsia="zh-CN"/>
        </w:rPr>
        <w:t>，</w:t>
      </w:r>
      <w:r>
        <w:rPr>
          <w:rFonts w:hint="eastAsia" w:ascii="宋体" w:hAnsi="宋体" w:eastAsia="宋体" w:cs="宋体"/>
          <w:color w:val="auto"/>
          <w:sz w:val="24"/>
        </w:rPr>
        <w:t>并认真核实CA数字证书或电子营业执照情况确认是否符合本项目电子化采购流程要求。</w:t>
      </w:r>
    </w:p>
    <w:p>
      <w:pPr>
        <w:keepNext w:val="0"/>
        <w:keepLines w:val="0"/>
        <w:pageBreakBefore w:val="0"/>
        <w:widowControl w:val="0"/>
        <w:shd w:val="clear"/>
        <w:tabs>
          <w:tab w:val="left" w:pos="750"/>
        </w:tabs>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color w:val="auto"/>
          <w:sz w:val="24"/>
        </w:rPr>
      </w:pPr>
      <w:r>
        <w:rPr>
          <w:rFonts w:hint="eastAsia" w:ascii="宋体" w:hAnsi="宋体" w:eastAsia="宋体" w:cs="宋体"/>
          <w:color w:val="auto"/>
          <w:sz w:val="24"/>
        </w:rPr>
        <w:t>CA 数字证书服务热线 010-58511086</w:t>
      </w:r>
    </w:p>
    <w:p>
      <w:pPr>
        <w:keepNext w:val="0"/>
        <w:keepLines w:val="0"/>
        <w:pageBreakBefore w:val="0"/>
        <w:widowControl w:val="0"/>
        <w:shd w:val="clear"/>
        <w:tabs>
          <w:tab w:val="left" w:pos="750"/>
        </w:tabs>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color w:val="auto"/>
          <w:sz w:val="24"/>
        </w:rPr>
      </w:pPr>
      <w:r>
        <w:rPr>
          <w:rFonts w:hint="eastAsia" w:ascii="宋体" w:hAnsi="宋体" w:eastAsia="宋体" w:cs="宋体"/>
          <w:color w:val="auto"/>
          <w:sz w:val="24"/>
        </w:rPr>
        <w:t>电子营业执照服务热线 400-699-7000</w:t>
      </w:r>
    </w:p>
    <w:p>
      <w:pPr>
        <w:keepNext w:val="0"/>
        <w:keepLines w:val="0"/>
        <w:pageBreakBefore w:val="0"/>
        <w:widowControl w:val="0"/>
        <w:shd w:val="clear"/>
        <w:tabs>
          <w:tab w:val="left" w:pos="750"/>
        </w:tabs>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color w:val="auto"/>
          <w:sz w:val="24"/>
        </w:rPr>
      </w:pPr>
      <w:r>
        <w:rPr>
          <w:rFonts w:hint="eastAsia" w:ascii="宋体" w:hAnsi="宋体" w:eastAsia="宋体" w:cs="宋体"/>
          <w:color w:val="auto"/>
          <w:sz w:val="24"/>
        </w:rPr>
        <w:t>技术支持服务热线    010-86483801</w:t>
      </w:r>
    </w:p>
    <w:p>
      <w:pPr>
        <w:keepNext w:val="0"/>
        <w:keepLines w:val="0"/>
        <w:pageBreakBefore w:val="0"/>
        <w:widowControl w:val="0"/>
        <w:shd w:val="clear"/>
        <w:tabs>
          <w:tab w:val="left" w:pos="750"/>
        </w:tabs>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color w:val="auto"/>
          <w:sz w:val="24"/>
        </w:rPr>
      </w:pPr>
      <w:r>
        <w:rPr>
          <w:rFonts w:hint="eastAsia" w:ascii="宋体" w:hAnsi="宋体" w:eastAsia="宋体" w:cs="宋体"/>
          <w:color w:val="auto"/>
          <w:sz w:val="24"/>
          <w:lang w:val="en-US" w:eastAsia="zh-CN"/>
        </w:rPr>
        <w:t>2</w:t>
      </w:r>
      <w:r>
        <w:rPr>
          <w:rFonts w:hint="eastAsia" w:ascii="宋体" w:hAnsi="宋体" w:eastAsia="宋体" w:cs="宋体"/>
          <w:color w:val="auto"/>
          <w:sz w:val="24"/>
        </w:rPr>
        <w:t>.1 办理CA数字证书或电子营业执照</w:t>
      </w:r>
    </w:p>
    <w:p>
      <w:pPr>
        <w:keepNext w:val="0"/>
        <w:keepLines w:val="0"/>
        <w:pageBreakBefore w:val="0"/>
        <w:widowControl w:val="0"/>
        <w:shd w:val="clear"/>
        <w:tabs>
          <w:tab w:val="left" w:pos="750"/>
        </w:tabs>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color w:val="auto"/>
          <w:sz w:val="24"/>
        </w:rPr>
      </w:pPr>
      <w:r>
        <w:rPr>
          <w:rFonts w:hint="eastAsia" w:ascii="宋体" w:hAnsi="宋体" w:eastAsia="宋体" w:cs="宋体"/>
          <w:color w:val="auto"/>
          <w:sz w:val="24"/>
        </w:rPr>
        <w:t>供应商登录北京市政府采购电子交易平台查阅</w:t>
      </w:r>
      <w:r>
        <w:rPr>
          <w:rFonts w:hint="eastAsia" w:ascii="宋体" w:hAnsi="宋体" w:eastAsia="宋体" w:cs="宋体"/>
          <w:color w:val="auto"/>
          <w:sz w:val="24"/>
          <w:lang w:eastAsia="zh-CN"/>
        </w:rPr>
        <w:t>“</w:t>
      </w:r>
      <w:r>
        <w:rPr>
          <w:rFonts w:hint="eastAsia" w:ascii="宋体" w:hAnsi="宋体" w:eastAsia="宋体" w:cs="宋体"/>
          <w:color w:val="auto"/>
          <w:sz w:val="24"/>
        </w:rPr>
        <w:t>用户指南</w:t>
      </w:r>
      <w:r>
        <w:rPr>
          <w:rFonts w:hint="eastAsia" w:ascii="宋体" w:hAnsi="宋体" w:eastAsia="宋体" w:cs="宋体"/>
          <w:color w:val="auto"/>
          <w:sz w:val="24"/>
          <w:lang w:eastAsia="zh-CN"/>
        </w:rPr>
        <w:t>”—“</w:t>
      </w:r>
      <w:r>
        <w:rPr>
          <w:rFonts w:hint="eastAsia" w:ascii="宋体" w:hAnsi="宋体" w:eastAsia="宋体" w:cs="宋体"/>
          <w:color w:val="auto"/>
          <w:sz w:val="24"/>
        </w:rPr>
        <w:t>操作指南</w:t>
      </w:r>
      <w:r>
        <w:rPr>
          <w:rFonts w:hint="eastAsia" w:ascii="宋体" w:hAnsi="宋体" w:eastAsia="宋体" w:cs="宋体"/>
          <w:color w:val="auto"/>
          <w:sz w:val="24"/>
          <w:lang w:eastAsia="zh-CN"/>
        </w:rPr>
        <w:t>”</w:t>
      </w:r>
      <w:r>
        <w:rPr>
          <w:rFonts w:hint="eastAsia" w:ascii="宋体" w:hAnsi="宋体" w:eastAsia="宋体" w:cs="宋体"/>
          <w:color w:val="auto"/>
          <w:sz w:val="24"/>
        </w:rPr>
        <w:t>—</w:t>
      </w:r>
      <w:r>
        <w:rPr>
          <w:rFonts w:hint="eastAsia" w:ascii="宋体" w:hAnsi="宋体" w:eastAsia="宋体" w:cs="宋体"/>
          <w:color w:val="auto"/>
          <w:sz w:val="24"/>
          <w:lang w:eastAsia="zh-CN"/>
        </w:rPr>
        <w:t>“</w:t>
      </w:r>
      <w:r>
        <w:rPr>
          <w:rFonts w:hint="eastAsia" w:ascii="宋体" w:hAnsi="宋体" w:eastAsia="宋体" w:cs="宋体"/>
          <w:color w:val="auto"/>
          <w:sz w:val="24"/>
        </w:rPr>
        <w:t>市场主体CA办理操作流程指引</w:t>
      </w:r>
      <w:r>
        <w:rPr>
          <w:rFonts w:hint="eastAsia" w:ascii="宋体" w:hAnsi="宋体" w:eastAsia="宋体" w:cs="宋体"/>
          <w:color w:val="auto"/>
          <w:sz w:val="24"/>
          <w:lang w:eastAsia="zh-CN"/>
        </w:rPr>
        <w:t>”</w:t>
      </w:r>
      <w:r>
        <w:rPr>
          <w:rFonts w:hint="eastAsia" w:ascii="宋体" w:hAnsi="宋体" w:eastAsia="宋体" w:cs="宋体"/>
          <w:color w:val="auto"/>
          <w:sz w:val="24"/>
        </w:rPr>
        <w:t>/</w:t>
      </w:r>
      <w:r>
        <w:rPr>
          <w:rFonts w:hint="eastAsia" w:ascii="宋体" w:hAnsi="宋体" w:eastAsia="宋体" w:cs="宋体"/>
          <w:color w:val="auto"/>
          <w:sz w:val="24"/>
          <w:lang w:eastAsia="zh-CN"/>
        </w:rPr>
        <w:t>“</w:t>
      </w:r>
      <w:r>
        <w:rPr>
          <w:rFonts w:hint="eastAsia" w:ascii="宋体" w:hAnsi="宋体" w:eastAsia="宋体" w:cs="宋体"/>
          <w:color w:val="auto"/>
          <w:sz w:val="24"/>
        </w:rPr>
        <w:t>电子营业执照使用指南</w:t>
      </w:r>
      <w:r>
        <w:rPr>
          <w:rFonts w:hint="eastAsia" w:ascii="宋体" w:hAnsi="宋体" w:eastAsia="宋体" w:cs="宋体"/>
          <w:color w:val="auto"/>
          <w:sz w:val="24"/>
          <w:lang w:eastAsia="zh-CN"/>
        </w:rPr>
        <w:t>”</w:t>
      </w:r>
      <w:r>
        <w:rPr>
          <w:rFonts w:hint="eastAsia" w:ascii="宋体" w:hAnsi="宋体" w:eastAsia="宋体" w:cs="宋体"/>
          <w:color w:val="auto"/>
          <w:sz w:val="24"/>
        </w:rPr>
        <w:t>，按照程序要求办理。</w:t>
      </w:r>
    </w:p>
    <w:p>
      <w:pPr>
        <w:keepNext w:val="0"/>
        <w:keepLines w:val="0"/>
        <w:pageBreakBefore w:val="0"/>
        <w:widowControl w:val="0"/>
        <w:shd w:val="clear"/>
        <w:tabs>
          <w:tab w:val="left" w:pos="750"/>
        </w:tabs>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color w:val="auto"/>
          <w:sz w:val="24"/>
        </w:rPr>
      </w:pPr>
      <w:r>
        <w:rPr>
          <w:rFonts w:hint="eastAsia" w:ascii="宋体" w:hAnsi="宋体" w:eastAsia="宋体" w:cs="宋体"/>
          <w:color w:val="auto"/>
          <w:sz w:val="24"/>
          <w:lang w:val="en-US" w:eastAsia="zh-CN"/>
        </w:rPr>
        <w:t>2</w:t>
      </w:r>
      <w:r>
        <w:rPr>
          <w:rFonts w:hint="eastAsia" w:ascii="宋体" w:hAnsi="宋体" w:eastAsia="宋体" w:cs="宋体"/>
          <w:color w:val="auto"/>
          <w:sz w:val="24"/>
        </w:rPr>
        <w:t>.2 注册</w:t>
      </w:r>
    </w:p>
    <w:p>
      <w:pPr>
        <w:keepNext w:val="0"/>
        <w:keepLines w:val="0"/>
        <w:pageBreakBefore w:val="0"/>
        <w:widowControl w:val="0"/>
        <w:shd w:val="clear"/>
        <w:tabs>
          <w:tab w:val="left" w:pos="750"/>
        </w:tabs>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color w:val="auto"/>
          <w:sz w:val="24"/>
        </w:rPr>
      </w:pPr>
      <w:r>
        <w:rPr>
          <w:rFonts w:hint="eastAsia" w:ascii="宋体" w:hAnsi="宋体" w:eastAsia="宋体" w:cs="宋体"/>
          <w:color w:val="auto"/>
          <w:sz w:val="24"/>
        </w:rPr>
        <w:t>供应商登录北京市政府采购电子交易平台</w:t>
      </w:r>
      <w:r>
        <w:rPr>
          <w:rFonts w:hint="eastAsia" w:ascii="宋体" w:hAnsi="宋体" w:eastAsia="宋体" w:cs="宋体"/>
          <w:color w:val="auto"/>
          <w:sz w:val="24"/>
          <w:lang w:eastAsia="zh-CN"/>
        </w:rPr>
        <w:t>“</w:t>
      </w:r>
      <w:r>
        <w:rPr>
          <w:rFonts w:hint="eastAsia" w:ascii="宋体" w:hAnsi="宋体" w:eastAsia="宋体" w:cs="宋体"/>
          <w:color w:val="auto"/>
          <w:sz w:val="24"/>
        </w:rPr>
        <w:t>用户指南</w:t>
      </w:r>
      <w:r>
        <w:rPr>
          <w:rFonts w:hint="eastAsia" w:ascii="宋体" w:hAnsi="宋体" w:eastAsia="宋体" w:cs="宋体"/>
          <w:color w:val="auto"/>
          <w:sz w:val="24"/>
          <w:lang w:eastAsia="zh-CN"/>
        </w:rPr>
        <w:t>”—“</w:t>
      </w:r>
      <w:r>
        <w:rPr>
          <w:rFonts w:hint="eastAsia" w:ascii="宋体" w:hAnsi="宋体" w:eastAsia="宋体" w:cs="宋体"/>
          <w:color w:val="auto"/>
          <w:sz w:val="24"/>
        </w:rPr>
        <w:t>操作指南</w:t>
      </w:r>
      <w:r>
        <w:rPr>
          <w:rFonts w:hint="eastAsia" w:ascii="宋体" w:hAnsi="宋体" w:eastAsia="宋体" w:cs="宋体"/>
          <w:color w:val="auto"/>
          <w:sz w:val="24"/>
          <w:lang w:eastAsia="zh-CN"/>
        </w:rPr>
        <w:t>”</w:t>
      </w:r>
      <w:r>
        <w:rPr>
          <w:rFonts w:hint="eastAsia" w:ascii="宋体" w:hAnsi="宋体" w:eastAsia="宋体" w:cs="宋体"/>
          <w:color w:val="auto"/>
          <w:sz w:val="24"/>
        </w:rPr>
        <w:t>—</w:t>
      </w:r>
      <w:r>
        <w:rPr>
          <w:rFonts w:hint="eastAsia" w:ascii="宋体" w:hAnsi="宋体" w:eastAsia="宋体" w:cs="宋体"/>
          <w:color w:val="auto"/>
          <w:sz w:val="24"/>
          <w:lang w:eastAsia="zh-CN"/>
        </w:rPr>
        <w:t>“</w:t>
      </w:r>
      <w:r>
        <w:rPr>
          <w:rFonts w:hint="eastAsia" w:ascii="宋体" w:hAnsi="宋体" w:eastAsia="宋体" w:cs="宋体"/>
          <w:color w:val="auto"/>
          <w:sz w:val="24"/>
        </w:rPr>
        <w:t>市场主体CA办理操作流程指引</w:t>
      </w:r>
      <w:r>
        <w:rPr>
          <w:rFonts w:hint="eastAsia" w:ascii="宋体" w:hAnsi="宋体" w:eastAsia="宋体" w:cs="宋体"/>
          <w:color w:val="auto"/>
          <w:sz w:val="24"/>
          <w:lang w:eastAsia="zh-CN"/>
        </w:rPr>
        <w:t>”</w:t>
      </w:r>
      <w:r>
        <w:rPr>
          <w:rFonts w:hint="eastAsia" w:ascii="宋体" w:hAnsi="宋体" w:eastAsia="宋体" w:cs="宋体"/>
          <w:color w:val="auto"/>
          <w:sz w:val="24"/>
        </w:rPr>
        <w:t>进行自助注册绑定。</w:t>
      </w:r>
    </w:p>
    <w:p>
      <w:pPr>
        <w:keepNext w:val="0"/>
        <w:keepLines w:val="0"/>
        <w:pageBreakBefore w:val="0"/>
        <w:widowControl w:val="0"/>
        <w:shd w:val="clear"/>
        <w:tabs>
          <w:tab w:val="left" w:pos="750"/>
        </w:tabs>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color w:val="auto"/>
          <w:sz w:val="24"/>
        </w:rPr>
      </w:pPr>
      <w:r>
        <w:rPr>
          <w:rFonts w:hint="eastAsia" w:ascii="宋体" w:hAnsi="宋体" w:eastAsia="宋体" w:cs="宋体"/>
          <w:color w:val="auto"/>
          <w:sz w:val="24"/>
          <w:lang w:val="en-US" w:eastAsia="zh-CN"/>
        </w:rPr>
        <w:t>2</w:t>
      </w:r>
      <w:r>
        <w:rPr>
          <w:rFonts w:hint="eastAsia" w:ascii="宋体" w:hAnsi="宋体" w:eastAsia="宋体" w:cs="宋体"/>
          <w:color w:val="auto"/>
          <w:sz w:val="24"/>
        </w:rPr>
        <w:t>.3 驱动、客户端下载</w:t>
      </w:r>
    </w:p>
    <w:p>
      <w:pPr>
        <w:keepNext w:val="0"/>
        <w:keepLines w:val="0"/>
        <w:pageBreakBefore w:val="0"/>
        <w:widowControl w:val="0"/>
        <w:shd w:val="clear"/>
        <w:tabs>
          <w:tab w:val="left" w:pos="750"/>
        </w:tabs>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color w:val="auto"/>
          <w:sz w:val="24"/>
        </w:rPr>
      </w:pPr>
      <w:r>
        <w:rPr>
          <w:rFonts w:hint="eastAsia" w:ascii="宋体" w:hAnsi="宋体" w:eastAsia="宋体" w:cs="宋体"/>
          <w:color w:val="auto"/>
          <w:sz w:val="24"/>
        </w:rPr>
        <w:t>供应商登录北京市政府采购电子交易平台</w:t>
      </w:r>
      <w:r>
        <w:rPr>
          <w:rFonts w:hint="eastAsia" w:ascii="宋体" w:hAnsi="宋体" w:eastAsia="宋体" w:cs="宋体"/>
          <w:color w:val="auto"/>
          <w:sz w:val="24"/>
          <w:lang w:eastAsia="zh-CN"/>
        </w:rPr>
        <w:t>“</w:t>
      </w:r>
      <w:r>
        <w:rPr>
          <w:rFonts w:hint="eastAsia" w:ascii="宋体" w:hAnsi="宋体" w:eastAsia="宋体" w:cs="宋体"/>
          <w:color w:val="auto"/>
          <w:sz w:val="24"/>
        </w:rPr>
        <w:t>用户指南</w:t>
      </w:r>
      <w:r>
        <w:rPr>
          <w:rFonts w:hint="eastAsia" w:ascii="宋体" w:hAnsi="宋体" w:eastAsia="宋体" w:cs="宋体"/>
          <w:color w:val="auto"/>
          <w:sz w:val="24"/>
          <w:lang w:eastAsia="zh-CN"/>
        </w:rPr>
        <w:t>”</w:t>
      </w:r>
      <w:r>
        <w:rPr>
          <w:rFonts w:hint="eastAsia" w:ascii="宋体" w:hAnsi="宋体" w:eastAsia="宋体" w:cs="宋体"/>
          <w:color w:val="auto"/>
          <w:sz w:val="24"/>
        </w:rPr>
        <w:t>—</w:t>
      </w:r>
      <w:r>
        <w:rPr>
          <w:rFonts w:hint="eastAsia" w:ascii="宋体" w:hAnsi="宋体" w:eastAsia="宋体" w:cs="宋体"/>
          <w:color w:val="auto"/>
          <w:sz w:val="24"/>
          <w:lang w:eastAsia="zh-CN"/>
        </w:rPr>
        <w:t>“</w:t>
      </w:r>
      <w:r>
        <w:rPr>
          <w:rFonts w:hint="eastAsia" w:ascii="宋体" w:hAnsi="宋体" w:eastAsia="宋体" w:cs="宋体"/>
          <w:color w:val="auto"/>
          <w:sz w:val="24"/>
        </w:rPr>
        <w:t>工具下载</w:t>
      </w:r>
      <w:r>
        <w:rPr>
          <w:rFonts w:hint="eastAsia" w:ascii="宋体" w:hAnsi="宋体" w:eastAsia="宋体" w:cs="宋体"/>
          <w:color w:val="auto"/>
          <w:sz w:val="24"/>
          <w:lang w:eastAsia="zh-CN"/>
        </w:rPr>
        <w:t>”</w:t>
      </w:r>
      <w:r>
        <w:rPr>
          <w:rFonts w:hint="eastAsia" w:ascii="宋体" w:hAnsi="宋体" w:eastAsia="宋体" w:cs="宋体"/>
          <w:color w:val="auto"/>
          <w:sz w:val="24"/>
        </w:rPr>
        <w:t>—</w:t>
      </w:r>
      <w:r>
        <w:rPr>
          <w:rFonts w:hint="eastAsia" w:ascii="宋体" w:hAnsi="宋体" w:eastAsia="宋体" w:cs="宋体"/>
          <w:color w:val="auto"/>
          <w:sz w:val="24"/>
          <w:lang w:eastAsia="zh-CN"/>
        </w:rPr>
        <w:t>“</w:t>
      </w:r>
      <w:r>
        <w:rPr>
          <w:rFonts w:hint="eastAsia" w:ascii="宋体" w:hAnsi="宋体" w:eastAsia="宋体" w:cs="宋体"/>
          <w:color w:val="auto"/>
          <w:sz w:val="24"/>
        </w:rPr>
        <w:t>招标采购系统文件驱动安装包</w:t>
      </w:r>
      <w:r>
        <w:rPr>
          <w:rFonts w:hint="eastAsia" w:ascii="宋体" w:hAnsi="宋体" w:eastAsia="宋体" w:cs="宋体"/>
          <w:color w:val="auto"/>
          <w:sz w:val="24"/>
          <w:lang w:eastAsia="zh-CN"/>
        </w:rPr>
        <w:t>”</w:t>
      </w:r>
      <w:r>
        <w:rPr>
          <w:rFonts w:hint="eastAsia" w:ascii="宋体" w:hAnsi="宋体" w:eastAsia="宋体" w:cs="宋体"/>
          <w:color w:val="auto"/>
          <w:sz w:val="24"/>
        </w:rPr>
        <w:t>下载相关驱动。</w:t>
      </w:r>
    </w:p>
    <w:p>
      <w:pPr>
        <w:keepNext w:val="0"/>
        <w:keepLines w:val="0"/>
        <w:pageBreakBefore w:val="0"/>
        <w:widowControl w:val="0"/>
        <w:shd w:val="clear"/>
        <w:tabs>
          <w:tab w:val="left" w:pos="750"/>
        </w:tabs>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color w:val="auto"/>
          <w:sz w:val="24"/>
        </w:rPr>
      </w:pPr>
      <w:r>
        <w:rPr>
          <w:rFonts w:hint="eastAsia" w:ascii="宋体" w:hAnsi="宋体" w:eastAsia="宋体" w:cs="宋体"/>
          <w:color w:val="auto"/>
          <w:sz w:val="24"/>
        </w:rPr>
        <w:t>供应商登录北京市政府采购电子交易平台</w:t>
      </w:r>
      <w:r>
        <w:rPr>
          <w:rFonts w:hint="eastAsia" w:ascii="宋体" w:hAnsi="宋体" w:eastAsia="宋体" w:cs="宋体"/>
          <w:color w:val="auto"/>
          <w:sz w:val="24"/>
          <w:lang w:eastAsia="zh-CN"/>
        </w:rPr>
        <w:t>“</w:t>
      </w:r>
      <w:r>
        <w:rPr>
          <w:rFonts w:hint="eastAsia" w:ascii="宋体" w:hAnsi="宋体" w:eastAsia="宋体" w:cs="宋体"/>
          <w:color w:val="auto"/>
          <w:sz w:val="24"/>
        </w:rPr>
        <w:t>用户指南</w:t>
      </w:r>
      <w:r>
        <w:rPr>
          <w:rFonts w:hint="eastAsia" w:ascii="宋体" w:hAnsi="宋体" w:eastAsia="宋体" w:cs="宋体"/>
          <w:color w:val="auto"/>
          <w:sz w:val="24"/>
          <w:lang w:eastAsia="zh-CN"/>
        </w:rPr>
        <w:t>”</w:t>
      </w:r>
      <w:r>
        <w:rPr>
          <w:rFonts w:hint="eastAsia" w:ascii="宋体" w:hAnsi="宋体" w:eastAsia="宋体" w:cs="宋体"/>
          <w:color w:val="auto"/>
          <w:sz w:val="24"/>
        </w:rPr>
        <w:t>—</w:t>
      </w:r>
      <w:r>
        <w:rPr>
          <w:rFonts w:hint="eastAsia" w:ascii="宋体" w:hAnsi="宋体" w:eastAsia="宋体" w:cs="宋体"/>
          <w:color w:val="auto"/>
          <w:sz w:val="24"/>
          <w:lang w:eastAsia="zh-CN"/>
        </w:rPr>
        <w:t>“</w:t>
      </w:r>
      <w:r>
        <w:rPr>
          <w:rFonts w:hint="eastAsia" w:ascii="宋体" w:hAnsi="宋体" w:eastAsia="宋体" w:cs="宋体"/>
          <w:color w:val="auto"/>
          <w:sz w:val="24"/>
        </w:rPr>
        <w:t>工具下载</w:t>
      </w:r>
      <w:r>
        <w:rPr>
          <w:rFonts w:hint="eastAsia" w:ascii="宋体" w:hAnsi="宋体" w:eastAsia="宋体" w:cs="宋体"/>
          <w:color w:val="auto"/>
          <w:sz w:val="24"/>
          <w:lang w:eastAsia="zh-CN"/>
        </w:rPr>
        <w:t>”</w:t>
      </w:r>
      <w:r>
        <w:rPr>
          <w:rFonts w:hint="eastAsia" w:ascii="宋体" w:hAnsi="宋体" w:eastAsia="宋体" w:cs="宋体"/>
          <w:color w:val="auto"/>
          <w:sz w:val="24"/>
        </w:rPr>
        <w:t>—</w:t>
      </w:r>
      <w:r>
        <w:rPr>
          <w:rFonts w:hint="eastAsia" w:ascii="宋体" w:hAnsi="宋体" w:eastAsia="宋体" w:cs="宋体"/>
          <w:color w:val="auto"/>
          <w:sz w:val="24"/>
          <w:lang w:eastAsia="zh-CN"/>
        </w:rPr>
        <w:t>“</w:t>
      </w:r>
      <w:r>
        <w:rPr>
          <w:rFonts w:hint="eastAsia" w:ascii="宋体" w:hAnsi="宋体" w:eastAsia="宋体" w:cs="宋体"/>
          <w:color w:val="auto"/>
          <w:sz w:val="24"/>
        </w:rPr>
        <w:t>投标文件编制工具</w:t>
      </w:r>
      <w:r>
        <w:rPr>
          <w:rFonts w:hint="eastAsia" w:ascii="宋体" w:hAnsi="宋体" w:eastAsia="宋体" w:cs="宋体"/>
          <w:color w:val="auto"/>
          <w:sz w:val="24"/>
          <w:lang w:eastAsia="zh-CN"/>
        </w:rPr>
        <w:t>”</w:t>
      </w:r>
      <w:r>
        <w:rPr>
          <w:rFonts w:hint="eastAsia" w:ascii="宋体" w:hAnsi="宋体" w:eastAsia="宋体" w:cs="宋体"/>
          <w:color w:val="auto"/>
          <w:sz w:val="24"/>
        </w:rPr>
        <w:t>下载相关客户端。</w:t>
      </w:r>
    </w:p>
    <w:p>
      <w:pPr>
        <w:keepNext w:val="0"/>
        <w:keepLines w:val="0"/>
        <w:pageBreakBefore w:val="0"/>
        <w:widowControl w:val="0"/>
        <w:shd w:val="clear"/>
        <w:tabs>
          <w:tab w:val="left" w:pos="750"/>
        </w:tabs>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color w:val="auto"/>
          <w:sz w:val="24"/>
        </w:rPr>
      </w:pPr>
      <w:r>
        <w:rPr>
          <w:rFonts w:hint="eastAsia" w:ascii="宋体" w:hAnsi="宋体" w:eastAsia="宋体" w:cs="宋体"/>
          <w:color w:val="auto"/>
          <w:sz w:val="24"/>
          <w:lang w:val="en-US" w:eastAsia="zh-CN"/>
        </w:rPr>
        <w:t>2</w:t>
      </w:r>
      <w:r>
        <w:rPr>
          <w:rFonts w:hint="eastAsia" w:ascii="宋体" w:hAnsi="宋体" w:eastAsia="宋体" w:cs="宋体"/>
          <w:color w:val="auto"/>
          <w:sz w:val="24"/>
        </w:rPr>
        <w:t>.4 获取电子竞争性磋商文件</w:t>
      </w:r>
    </w:p>
    <w:p>
      <w:pPr>
        <w:keepNext w:val="0"/>
        <w:keepLines w:val="0"/>
        <w:pageBreakBefore w:val="0"/>
        <w:widowControl w:val="0"/>
        <w:shd w:val="clear"/>
        <w:tabs>
          <w:tab w:val="left" w:pos="750"/>
        </w:tabs>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color w:val="auto"/>
          <w:sz w:val="24"/>
        </w:rPr>
      </w:pPr>
      <w:r>
        <w:rPr>
          <w:rFonts w:hint="eastAsia" w:ascii="宋体" w:hAnsi="宋体" w:eastAsia="宋体" w:cs="宋体"/>
          <w:color w:val="auto"/>
          <w:sz w:val="24"/>
        </w:rPr>
        <w:t>供应商使用CA数字证书或电子营业执照登录北京市政府采购电子交易平台获取电</w:t>
      </w:r>
    </w:p>
    <w:p>
      <w:pPr>
        <w:keepNext w:val="0"/>
        <w:keepLines w:val="0"/>
        <w:pageBreakBefore w:val="0"/>
        <w:widowControl w:val="0"/>
        <w:shd w:val="clear"/>
        <w:tabs>
          <w:tab w:val="left" w:pos="750"/>
        </w:tabs>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rPr>
      </w:pPr>
      <w:r>
        <w:rPr>
          <w:rFonts w:hint="eastAsia" w:ascii="宋体" w:hAnsi="宋体" w:eastAsia="宋体" w:cs="宋体"/>
          <w:color w:val="auto"/>
          <w:sz w:val="24"/>
        </w:rPr>
        <w:t>子竞争性磋商文件。</w:t>
      </w:r>
    </w:p>
    <w:p>
      <w:pPr>
        <w:keepNext w:val="0"/>
        <w:keepLines w:val="0"/>
        <w:pageBreakBefore w:val="0"/>
        <w:widowControl w:val="0"/>
        <w:shd w:val="clear"/>
        <w:tabs>
          <w:tab w:val="left" w:pos="750"/>
        </w:tabs>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color w:val="auto"/>
          <w:sz w:val="24"/>
        </w:rPr>
      </w:pPr>
      <w:r>
        <w:rPr>
          <w:rFonts w:hint="eastAsia" w:ascii="宋体" w:hAnsi="宋体" w:eastAsia="宋体" w:cs="宋体"/>
          <w:color w:val="auto"/>
          <w:sz w:val="24"/>
        </w:rPr>
        <w:t>供应商如计划参与多个采购包的响应，应在登录北京市政府采购电子交易平台后， 在【我的项目】栏目依次选择对应采购包，进入项目工作台招标/采购文件环节分别按采购包下载采购文件电子版。未在规定期限内按上述操作获取文件的采购包，供应商无法</w:t>
      </w:r>
      <w:r>
        <w:rPr>
          <w:rFonts w:hint="eastAsia" w:ascii="宋体" w:hAnsi="宋体" w:cs="宋体"/>
          <w:color w:val="auto"/>
          <w:sz w:val="24"/>
          <w:lang w:val="en-US" w:eastAsia="zh-CN"/>
        </w:rPr>
        <w:t>提</w:t>
      </w:r>
      <w:r>
        <w:rPr>
          <w:rFonts w:hint="eastAsia" w:ascii="宋体" w:hAnsi="宋体" w:eastAsia="宋体" w:cs="宋体"/>
          <w:color w:val="auto"/>
          <w:sz w:val="24"/>
        </w:rPr>
        <w:t>交相应包的电子响应文件。</w:t>
      </w:r>
    </w:p>
    <w:p>
      <w:pPr>
        <w:keepNext w:val="0"/>
        <w:keepLines w:val="0"/>
        <w:pageBreakBefore w:val="0"/>
        <w:widowControl w:val="0"/>
        <w:shd w:val="clear"/>
        <w:tabs>
          <w:tab w:val="left" w:pos="750"/>
        </w:tabs>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color w:val="auto"/>
          <w:sz w:val="24"/>
        </w:rPr>
      </w:pPr>
      <w:r>
        <w:rPr>
          <w:rFonts w:hint="eastAsia" w:ascii="宋体" w:hAnsi="宋体" w:eastAsia="宋体" w:cs="宋体"/>
          <w:color w:val="auto"/>
          <w:sz w:val="24"/>
          <w:lang w:val="en-US" w:eastAsia="zh-CN"/>
        </w:rPr>
        <w:t>2</w:t>
      </w:r>
      <w:r>
        <w:rPr>
          <w:rFonts w:hint="eastAsia" w:ascii="宋体" w:hAnsi="宋体" w:eastAsia="宋体" w:cs="宋体"/>
          <w:color w:val="auto"/>
          <w:sz w:val="24"/>
        </w:rPr>
        <w:t>.5 编制电子响应文件</w:t>
      </w:r>
    </w:p>
    <w:p>
      <w:pPr>
        <w:keepNext w:val="0"/>
        <w:keepLines w:val="0"/>
        <w:pageBreakBefore w:val="0"/>
        <w:widowControl w:val="0"/>
        <w:shd w:val="clear"/>
        <w:tabs>
          <w:tab w:val="left" w:pos="750"/>
        </w:tabs>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color w:val="auto"/>
          <w:sz w:val="24"/>
        </w:rPr>
      </w:pPr>
      <w:r>
        <w:rPr>
          <w:rFonts w:hint="eastAsia" w:ascii="宋体" w:hAnsi="宋体" w:eastAsia="宋体" w:cs="宋体"/>
          <w:color w:val="auto"/>
          <w:sz w:val="24"/>
        </w:rPr>
        <w:t>供应商应使用电子投标客户端编制电子响应文件并进行线上响应，供应商电子响应  文件需要加密并加盖电子签章，如无法按照要求在电子响应文件中加盖电子签章和加密，请及时通过技术支持服务热线联系技术人员。</w:t>
      </w:r>
    </w:p>
    <w:p>
      <w:pPr>
        <w:keepNext w:val="0"/>
        <w:keepLines w:val="0"/>
        <w:pageBreakBefore w:val="0"/>
        <w:widowControl w:val="0"/>
        <w:shd w:val="clear"/>
        <w:tabs>
          <w:tab w:val="left" w:pos="750"/>
        </w:tabs>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color w:val="auto"/>
          <w:sz w:val="24"/>
        </w:rPr>
      </w:pPr>
      <w:r>
        <w:rPr>
          <w:rFonts w:hint="eastAsia" w:ascii="宋体" w:hAnsi="宋体" w:eastAsia="宋体" w:cs="宋体"/>
          <w:color w:val="auto"/>
          <w:sz w:val="24"/>
          <w:lang w:val="en-US" w:eastAsia="zh-CN"/>
        </w:rPr>
        <w:t>2</w:t>
      </w:r>
      <w:r>
        <w:rPr>
          <w:rFonts w:hint="eastAsia" w:ascii="宋体" w:hAnsi="宋体" w:eastAsia="宋体" w:cs="宋体"/>
          <w:color w:val="auto"/>
          <w:sz w:val="24"/>
        </w:rPr>
        <w:t>.6 交电子响应文件</w:t>
      </w:r>
    </w:p>
    <w:p>
      <w:pPr>
        <w:keepNext w:val="0"/>
        <w:keepLines w:val="0"/>
        <w:pageBreakBefore w:val="0"/>
        <w:widowControl w:val="0"/>
        <w:shd w:val="clear"/>
        <w:tabs>
          <w:tab w:val="left" w:pos="750"/>
        </w:tabs>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color w:val="auto"/>
          <w:sz w:val="24"/>
        </w:rPr>
      </w:pPr>
      <w:r>
        <w:rPr>
          <w:rFonts w:hint="eastAsia" w:ascii="宋体" w:hAnsi="宋体" w:eastAsia="宋体" w:cs="宋体"/>
          <w:color w:val="auto"/>
          <w:sz w:val="24"/>
        </w:rPr>
        <w:t>供应商应于响应文件交截止时间前在平台</w:t>
      </w:r>
      <w:r>
        <w:rPr>
          <w:rFonts w:hint="eastAsia" w:ascii="宋体" w:hAnsi="宋体" w:cs="宋体"/>
          <w:color w:val="auto"/>
          <w:sz w:val="24"/>
          <w:lang w:val="en-US" w:eastAsia="zh-CN"/>
        </w:rPr>
        <w:t>提</w:t>
      </w:r>
      <w:r>
        <w:rPr>
          <w:rFonts w:hint="eastAsia" w:ascii="宋体" w:hAnsi="宋体" w:eastAsia="宋体" w:cs="宋体"/>
          <w:color w:val="auto"/>
          <w:sz w:val="24"/>
        </w:rPr>
        <w:t>交电子响应文件，上传电子响应文件过程中请保持与互联网的连接畅通。</w:t>
      </w:r>
    </w:p>
    <w:p>
      <w:pPr>
        <w:keepNext w:val="0"/>
        <w:keepLines w:val="0"/>
        <w:pageBreakBefore w:val="0"/>
        <w:widowControl w:val="0"/>
        <w:shd w:val="clear"/>
        <w:tabs>
          <w:tab w:val="left" w:pos="750"/>
        </w:tabs>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color w:val="auto"/>
          <w:sz w:val="24"/>
        </w:rPr>
      </w:pPr>
      <w:r>
        <w:rPr>
          <w:rFonts w:hint="eastAsia" w:ascii="宋体" w:hAnsi="宋体" w:eastAsia="宋体" w:cs="宋体"/>
          <w:color w:val="auto"/>
          <w:sz w:val="24"/>
          <w:lang w:val="en-US" w:eastAsia="zh-CN"/>
        </w:rPr>
        <w:t>2</w:t>
      </w:r>
      <w:r>
        <w:rPr>
          <w:rFonts w:hint="eastAsia" w:ascii="宋体" w:hAnsi="宋体" w:eastAsia="宋体" w:cs="宋体"/>
          <w:color w:val="auto"/>
          <w:sz w:val="24"/>
        </w:rPr>
        <w:t>.7 开启响应文件</w:t>
      </w:r>
    </w:p>
    <w:p>
      <w:pPr>
        <w:keepNext w:val="0"/>
        <w:keepLines w:val="0"/>
        <w:pageBreakBefore w:val="0"/>
        <w:widowControl w:val="0"/>
        <w:shd w:val="clear"/>
        <w:tabs>
          <w:tab w:val="left" w:pos="750"/>
        </w:tabs>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color w:val="auto"/>
          <w:sz w:val="24"/>
        </w:rPr>
      </w:pPr>
      <w:r>
        <w:rPr>
          <w:rFonts w:hint="eastAsia" w:ascii="宋体" w:hAnsi="宋体" w:eastAsia="宋体" w:cs="宋体"/>
          <w:color w:val="auto"/>
          <w:sz w:val="24"/>
        </w:rPr>
        <w:t>供应商于磋商文件规定的开启时间、在开启地点使用CA数字证书或电子营业执照 登录北京市政府采购电子交易平台解密并开启响应文件。如因供应商问题，解密不成功，则</w:t>
      </w:r>
      <w:r>
        <w:rPr>
          <w:rFonts w:hint="eastAsia" w:ascii="宋体" w:hAnsi="宋体" w:eastAsia="宋体" w:cs="宋体"/>
          <w:b/>
          <w:bCs/>
          <w:color w:val="auto"/>
          <w:sz w:val="24"/>
        </w:rPr>
        <w:t>响应无效</w:t>
      </w:r>
      <w:r>
        <w:rPr>
          <w:rFonts w:hint="eastAsia" w:ascii="宋体" w:hAnsi="宋体" w:eastAsia="宋体" w:cs="宋体"/>
          <w:color w:val="auto"/>
          <w:sz w:val="24"/>
        </w:rPr>
        <w:t>。</w:t>
      </w:r>
    </w:p>
    <w:p>
      <w:pPr>
        <w:spacing w:after="0" w:line="360" w:lineRule="auto"/>
        <w:ind w:firstLine="480" w:firstLineChars="200"/>
        <w:rPr>
          <w:rFonts w:hint="eastAsia" w:eastAsia="宋体"/>
          <w:lang w:val="en-US" w:eastAsia="zh-CN"/>
        </w:rPr>
      </w:pPr>
      <w:r>
        <w:rPr>
          <w:rFonts w:hint="eastAsia" w:cs="宋体"/>
          <w:color w:val="auto"/>
          <w:sz w:val="24"/>
          <w:lang w:val="en-US" w:eastAsia="zh-CN"/>
        </w:rPr>
        <w:t>3.</w:t>
      </w:r>
      <w:r>
        <w:rPr>
          <w:rFonts w:hint="eastAsia" w:ascii="宋体" w:hAnsi="宋体" w:cs="宋体"/>
          <w:color w:val="000000" w:themeColor="text1"/>
          <w:sz w:val="24"/>
          <w:lang w:val="zh-TW" w:eastAsia="zh-TW" w:bidi="ar"/>
          <w14:textFill>
            <w14:solidFill>
              <w14:schemeClr w14:val="tx1"/>
            </w14:solidFill>
          </w14:textFill>
        </w:rPr>
        <w:t>供应商代表参加磋商会议的授权委托人必须携带“授权委托书（加盖公章）”和身份证原件和复印件（加盖公章），该委托书应当由供应商委派参加磋商会议的供应商代表随身携带，单独提交一份。如法定代表人本人参加磋商会议的，必须携带法定代表人身份证明（加盖公章）及身份证原件和复印件（加盖公章）</w:t>
      </w:r>
    </w:p>
    <w:p>
      <w:pPr>
        <w:widowControl/>
        <w:spacing w:line="360" w:lineRule="auto"/>
        <w:ind w:firstLine="480" w:firstLineChars="200"/>
        <w:jc w:val="left"/>
        <w:rPr>
          <w:rFonts w:hint="eastAsia" w:ascii="宋体" w:hAnsi="宋体" w:eastAsia="宋体" w:cs="宋体"/>
          <w:sz w:val="24"/>
          <w:lang w:val="en-US" w:eastAsia="zh-CN" w:bidi="ar"/>
        </w:rPr>
      </w:pPr>
      <w:r>
        <w:rPr>
          <w:rFonts w:hint="eastAsia" w:ascii="宋体" w:hAnsi="宋体" w:cs="宋体"/>
          <w:sz w:val="24"/>
          <w:lang w:val="en-US" w:eastAsia="zh-CN" w:bidi="ar"/>
        </w:rPr>
        <w:t>4</w:t>
      </w:r>
      <w:r>
        <w:rPr>
          <w:rFonts w:hint="eastAsia" w:ascii="宋体" w:hAnsi="宋体" w:eastAsia="宋体" w:cs="宋体"/>
          <w:sz w:val="24"/>
          <w:lang w:val="en-US" w:eastAsia="zh-CN" w:bidi="ar"/>
        </w:rPr>
        <w:t>.公告媒体：本公告同时在中国政府采购网、北京市政府采购网发布。</w:t>
      </w:r>
    </w:p>
    <w:p>
      <w:pPr>
        <w:pStyle w:val="2"/>
        <w:spacing w:before="0" w:line="360" w:lineRule="auto"/>
        <w:jc w:val="left"/>
        <w:rPr>
          <w:rFonts w:hint="eastAsia" w:ascii="宋体" w:hAnsi="宋体" w:eastAsia="宋体" w:cs="宋体"/>
          <w:sz w:val="24"/>
          <w:szCs w:val="24"/>
        </w:rPr>
      </w:pPr>
      <w:bookmarkStart w:id="24" w:name="_Toc28359008"/>
      <w:bookmarkStart w:id="25" w:name="_Toc28359085"/>
      <w:bookmarkStart w:id="26" w:name="_Toc35393796"/>
      <w:bookmarkStart w:id="27" w:name="_Toc35393627"/>
      <w:r>
        <w:rPr>
          <w:rFonts w:hint="eastAsia" w:ascii="宋体" w:hAnsi="宋体" w:eastAsia="宋体" w:cs="宋体"/>
          <w:sz w:val="24"/>
          <w:szCs w:val="24"/>
        </w:rPr>
        <w:t>八、对本项目提出询问，请按以下方式联系。</w:t>
      </w:r>
      <w:bookmarkEnd w:id="24"/>
      <w:bookmarkEnd w:id="25"/>
      <w:bookmarkEnd w:id="26"/>
      <w:bookmarkEnd w:id="27"/>
    </w:p>
    <w:p>
      <w:pPr>
        <w:widowControl/>
        <w:spacing w:line="360" w:lineRule="auto"/>
        <w:jc w:val="left"/>
        <w:rPr>
          <w:rFonts w:hint="eastAsia" w:ascii="宋体" w:hAnsi="宋体" w:eastAsia="宋体" w:cs="宋体"/>
          <w:b/>
          <w:sz w:val="24"/>
        </w:rPr>
      </w:pPr>
      <w:r>
        <w:rPr>
          <w:rFonts w:hint="eastAsia" w:ascii="宋体" w:hAnsi="宋体" w:eastAsia="宋体" w:cs="宋体"/>
          <w:sz w:val="24"/>
        </w:rPr>
        <w:t>　　</w:t>
      </w:r>
      <w:r>
        <w:rPr>
          <w:rFonts w:hint="eastAsia" w:ascii="宋体" w:hAnsi="宋体" w:eastAsia="宋体" w:cs="宋体"/>
          <w:b/>
          <w:sz w:val="24"/>
        </w:rPr>
        <w:t>1.采购人信息</w:t>
      </w:r>
    </w:p>
    <w:p>
      <w:pPr>
        <w:shd w:val="clear"/>
        <w:tabs>
          <w:tab w:val="left" w:pos="750"/>
        </w:tabs>
        <w:spacing w:line="360" w:lineRule="auto"/>
        <w:ind w:firstLine="480" w:firstLineChars="200"/>
        <w:jc w:val="left"/>
        <w:rPr>
          <w:rFonts w:hint="eastAsia" w:ascii="宋体" w:hAnsi="宋体" w:eastAsia="宋体" w:cs="宋体"/>
          <w:color w:val="auto"/>
          <w:sz w:val="24"/>
          <w:lang w:eastAsia="zh-CN"/>
        </w:rPr>
      </w:pPr>
      <w:bookmarkStart w:id="28" w:name="_Toc28359086"/>
      <w:bookmarkStart w:id="29" w:name="_Toc28359009"/>
      <w:r>
        <w:rPr>
          <w:rFonts w:hint="eastAsia" w:ascii="宋体" w:hAnsi="宋体" w:eastAsia="宋体" w:cs="宋体"/>
          <w:color w:val="auto"/>
          <w:sz w:val="24"/>
        </w:rPr>
        <w:t>名称：</w:t>
      </w:r>
      <w:r>
        <w:rPr>
          <w:rFonts w:hint="eastAsia" w:ascii="宋体" w:hAnsi="宋体" w:cs="宋体"/>
          <w:color w:val="auto"/>
          <w:sz w:val="24"/>
          <w:u w:val="single"/>
          <w:lang w:eastAsia="zh-CN"/>
        </w:rPr>
        <w:t xml:space="preserve">北京市顺义区木林镇人民政府 </w:t>
      </w:r>
    </w:p>
    <w:p>
      <w:pPr>
        <w:shd w:val="clear"/>
        <w:tabs>
          <w:tab w:val="left" w:pos="750"/>
        </w:tabs>
        <w:spacing w:line="360" w:lineRule="auto"/>
        <w:ind w:firstLine="480" w:firstLineChars="200"/>
        <w:jc w:val="left"/>
        <w:rPr>
          <w:rFonts w:hint="eastAsia" w:ascii="宋体" w:hAnsi="宋体" w:eastAsia="宋体" w:cs="宋体"/>
          <w:color w:val="auto"/>
          <w:sz w:val="24"/>
          <w:u w:val="single"/>
          <w:lang w:val="en-US" w:eastAsia="zh-CN"/>
        </w:rPr>
      </w:pPr>
      <w:r>
        <w:rPr>
          <w:rFonts w:hint="eastAsia" w:ascii="宋体" w:hAnsi="宋体" w:eastAsia="宋体" w:cs="宋体"/>
          <w:color w:val="auto"/>
          <w:sz w:val="24"/>
        </w:rPr>
        <w:t>地址：</w:t>
      </w:r>
      <w:r>
        <w:rPr>
          <w:rFonts w:hint="eastAsia" w:ascii="宋体" w:hAnsi="宋体" w:cs="宋体"/>
          <w:color w:val="auto"/>
          <w:sz w:val="24"/>
          <w:highlight w:val="none"/>
          <w:u w:val="single"/>
          <w:lang w:eastAsia="zh-CN"/>
        </w:rPr>
        <w:t>北京市顺义区木林镇顺焦路71号</w:t>
      </w:r>
    </w:p>
    <w:p>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outlineLvl w:val="9"/>
        <w:rPr>
          <w:rFonts w:hint="default"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rPr>
        <w:t>联系方式</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u w:val="single"/>
          <w:lang w:eastAsia="zh-CN"/>
        </w:rPr>
        <w:t>宁宇</w:t>
      </w:r>
      <w:r>
        <w:rPr>
          <w:rFonts w:hint="eastAsia" w:ascii="宋体" w:hAnsi="宋体" w:cs="宋体"/>
          <w:color w:val="auto"/>
          <w:sz w:val="24"/>
          <w:highlight w:val="none"/>
          <w:u w:val="single"/>
          <w:lang w:val="en-US" w:eastAsia="zh-CN"/>
        </w:rPr>
        <w:t>、010-60456219</w:t>
      </w:r>
      <w:r>
        <w:rPr>
          <w:rFonts w:hint="eastAsia" w:ascii="宋体" w:hAnsi="宋体" w:eastAsia="宋体" w:cs="宋体"/>
          <w:color w:val="auto"/>
          <w:sz w:val="24"/>
          <w:highlight w:val="none"/>
          <w:lang w:val="en-US" w:eastAsia="zh-CN"/>
        </w:rPr>
        <w:t xml:space="preserve"> </w:t>
      </w:r>
    </w:p>
    <w:p>
      <w:pPr>
        <w:spacing w:line="360" w:lineRule="auto"/>
        <w:ind w:firstLine="482" w:firstLineChars="200"/>
        <w:jc w:val="left"/>
        <w:rPr>
          <w:rFonts w:hint="eastAsia" w:ascii="宋体" w:hAnsi="宋体" w:eastAsia="宋体" w:cs="宋体"/>
          <w:b/>
          <w:sz w:val="24"/>
        </w:rPr>
      </w:pPr>
      <w:r>
        <w:rPr>
          <w:rFonts w:hint="eastAsia" w:ascii="宋体" w:hAnsi="宋体" w:eastAsia="宋体" w:cs="宋体"/>
          <w:b/>
          <w:sz w:val="24"/>
        </w:rPr>
        <w:t>2.采购代理机构信息</w:t>
      </w:r>
      <w:bookmarkEnd w:id="28"/>
      <w:bookmarkEnd w:id="29"/>
    </w:p>
    <w:p>
      <w:pPr>
        <w:spacing w:line="360" w:lineRule="auto"/>
        <w:ind w:firstLine="480" w:firstLineChars="200"/>
        <w:jc w:val="left"/>
        <w:rPr>
          <w:rFonts w:hint="eastAsia" w:ascii="宋体" w:hAnsi="宋体" w:eastAsia="宋体" w:cs="宋体"/>
          <w:sz w:val="24"/>
          <w:lang w:val="en-US"/>
        </w:rPr>
      </w:pPr>
      <w:bookmarkStart w:id="30" w:name="_Toc28359010"/>
      <w:bookmarkStart w:id="31" w:name="_Toc28359087"/>
      <w:r>
        <w:rPr>
          <w:rFonts w:hint="eastAsia" w:ascii="宋体" w:hAnsi="宋体" w:eastAsia="宋体" w:cs="宋体"/>
          <w:sz w:val="24"/>
        </w:rPr>
        <w:t>名    称：</w:t>
      </w:r>
      <w:r>
        <w:rPr>
          <w:rFonts w:hint="eastAsia" w:ascii="宋体" w:hAnsi="宋体" w:cs="宋体"/>
          <w:sz w:val="24"/>
          <w:u w:val="single"/>
          <w:lang w:eastAsia="zh-CN"/>
        </w:rPr>
        <w:t xml:space="preserve">北京华信恒工程咨询有限公司 </w:t>
      </w:r>
    </w:p>
    <w:p>
      <w:pPr>
        <w:spacing w:line="360" w:lineRule="auto"/>
        <w:ind w:firstLine="480" w:firstLineChars="200"/>
        <w:jc w:val="left"/>
        <w:rPr>
          <w:rFonts w:hint="default" w:ascii="宋体" w:hAnsi="宋体" w:eastAsia="宋体" w:cs="宋体"/>
          <w:sz w:val="24"/>
          <w:lang w:val="en-US"/>
        </w:rPr>
      </w:pPr>
      <w:r>
        <w:rPr>
          <w:rFonts w:hint="eastAsia" w:ascii="宋体" w:hAnsi="宋体" w:eastAsia="宋体" w:cs="宋体"/>
          <w:sz w:val="24"/>
        </w:rPr>
        <w:t>地    址：</w:t>
      </w:r>
      <w:r>
        <w:rPr>
          <w:rFonts w:hint="eastAsia" w:ascii="宋体" w:hAnsi="宋体" w:cs="宋体"/>
          <w:color w:val="auto"/>
          <w:sz w:val="24"/>
          <w:highlight w:val="none"/>
          <w:u w:val="single"/>
          <w:lang w:eastAsia="zh-CN"/>
        </w:rPr>
        <w:t>北京市顺义区马坡镇衙门村庙卷路6号</w:t>
      </w:r>
    </w:p>
    <w:p>
      <w:pPr>
        <w:spacing w:line="360" w:lineRule="auto"/>
        <w:ind w:firstLine="480" w:firstLineChars="200"/>
        <w:jc w:val="left"/>
        <w:rPr>
          <w:rFonts w:hint="default" w:ascii="宋体" w:hAnsi="宋体" w:eastAsia="宋体" w:cs="宋体"/>
          <w:sz w:val="24"/>
          <w:u w:val="single"/>
          <w:lang w:val="en-US"/>
        </w:rPr>
      </w:pPr>
      <w:r>
        <w:rPr>
          <w:rFonts w:hint="eastAsia" w:ascii="宋体" w:hAnsi="宋体" w:eastAsia="宋体" w:cs="宋体"/>
          <w:sz w:val="24"/>
        </w:rPr>
        <w:t>联系方式：</w:t>
      </w:r>
      <w:r>
        <w:rPr>
          <w:rFonts w:hint="eastAsia" w:ascii="宋体" w:hAnsi="宋体" w:cs="宋体"/>
          <w:sz w:val="24"/>
          <w:u w:val="single"/>
          <w:lang w:val="en-US" w:eastAsia="zh-CN"/>
        </w:rPr>
        <w:t>赵江山、010-60406196</w:t>
      </w:r>
    </w:p>
    <w:p>
      <w:pPr>
        <w:spacing w:line="360" w:lineRule="auto"/>
        <w:ind w:firstLine="482" w:firstLineChars="200"/>
        <w:rPr>
          <w:rFonts w:hint="eastAsia" w:ascii="宋体" w:hAnsi="宋体" w:eastAsia="宋体" w:cs="宋体"/>
          <w:b/>
          <w:sz w:val="24"/>
          <w:u w:val="single"/>
        </w:rPr>
      </w:pPr>
      <w:r>
        <w:rPr>
          <w:rFonts w:hint="eastAsia" w:ascii="宋体" w:hAnsi="宋体" w:eastAsia="宋体" w:cs="宋体"/>
          <w:b/>
          <w:sz w:val="24"/>
        </w:rPr>
        <w:t>3.项目联系方式</w:t>
      </w:r>
      <w:bookmarkEnd w:id="30"/>
      <w:bookmarkEnd w:id="31"/>
    </w:p>
    <w:p>
      <w:pPr>
        <w:pStyle w:val="23"/>
        <w:spacing w:line="360" w:lineRule="auto"/>
        <w:ind w:firstLine="480" w:firstLineChars="200"/>
        <w:rPr>
          <w:rFonts w:hint="eastAsia" w:ascii="宋体" w:hAnsi="宋体" w:eastAsia="宋体" w:cs="宋体"/>
          <w:sz w:val="24"/>
          <w:u w:val="single"/>
          <w:lang w:val="en-US" w:bidi="ar"/>
        </w:rPr>
      </w:pPr>
      <w:r>
        <w:rPr>
          <w:rFonts w:hint="eastAsia" w:ascii="宋体" w:hAnsi="宋体" w:eastAsia="宋体" w:cs="宋体"/>
          <w:sz w:val="24"/>
          <w:szCs w:val="24"/>
        </w:rPr>
        <w:t>项目联系人：</w:t>
      </w:r>
      <w:r>
        <w:rPr>
          <w:rFonts w:hint="eastAsia" w:hAnsi="宋体" w:cs="宋体"/>
          <w:sz w:val="24"/>
          <w:u w:val="single"/>
          <w:lang w:val="en-US" w:eastAsia="zh-CN"/>
        </w:rPr>
        <w:t>赵江山</w:t>
      </w:r>
    </w:p>
    <w:p>
      <w:pPr>
        <w:pStyle w:val="23"/>
        <w:spacing w:line="360" w:lineRule="auto"/>
        <w:ind w:firstLine="480" w:firstLineChars="200"/>
        <w:rPr>
          <w:rFonts w:hint="default" w:hAnsi="宋体" w:cs="宋体"/>
          <w:sz w:val="24"/>
          <w:u w:val="single"/>
          <w:lang w:val="en-US" w:eastAsia="zh-CN"/>
        </w:rPr>
        <w:sectPr>
          <w:footerReference r:id="rId11" w:type="first"/>
          <w:headerReference r:id="rId9" w:type="default"/>
          <w:footerReference r:id="rId10" w:type="default"/>
          <w:pgSz w:w="11907" w:h="16840"/>
          <w:pgMar w:top="1418" w:right="1134" w:bottom="1418" w:left="1701" w:header="851" w:footer="851" w:gutter="0"/>
          <w:pgNumType w:fmt="decimal"/>
          <w:cols w:space="720" w:num="1"/>
          <w:titlePg/>
          <w:docGrid w:linePitch="462" w:charSpace="0"/>
        </w:sectPr>
      </w:pPr>
      <w:r>
        <w:rPr>
          <w:rFonts w:hint="eastAsia" w:ascii="宋体" w:hAnsi="宋体" w:eastAsia="宋体" w:cs="宋体"/>
          <w:sz w:val="24"/>
        </w:rPr>
        <w:t>电      话：</w:t>
      </w:r>
      <w:r>
        <w:rPr>
          <w:rFonts w:hint="eastAsia" w:hAnsi="宋体" w:cs="宋体"/>
          <w:sz w:val="24"/>
          <w:u w:val="single"/>
          <w:lang w:val="en-US" w:eastAsia="zh-CN"/>
        </w:rPr>
        <w:t>13269953777</w:t>
      </w:r>
    </w:p>
    <w:p>
      <w:pPr>
        <w:spacing w:line="360" w:lineRule="auto"/>
        <w:jc w:val="center"/>
        <w:outlineLvl w:val="0"/>
        <w:rPr>
          <w:rFonts w:hint="eastAsia" w:ascii="宋体" w:hAnsi="宋体" w:eastAsia="宋体" w:cs="宋体"/>
          <w:b/>
          <w:sz w:val="32"/>
          <w:szCs w:val="32"/>
        </w:rPr>
      </w:pPr>
      <w:bookmarkStart w:id="32" w:name="_Toc264969275"/>
      <w:bookmarkStart w:id="33" w:name="_Toc127151777"/>
      <w:bookmarkStart w:id="34" w:name="_Toc353873938"/>
      <w:bookmarkStart w:id="35" w:name="_Toc150774783"/>
      <w:bookmarkStart w:id="36" w:name="_Toc5273"/>
      <w:bookmarkStart w:id="37" w:name="_Toc512937850"/>
      <w:bookmarkStart w:id="38" w:name="_Toc195842950"/>
      <w:bookmarkStart w:id="39" w:name="_Toc127161488"/>
      <w:bookmarkStart w:id="40" w:name="_Toc353825548"/>
      <w:bookmarkStart w:id="41" w:name="_Toc226965856"/>
      <w:bookmarkStart w:id="42" w:name="_Toc305158928"/>
      <w:bookmarkStart w:id="43" w:name="_Toc265228423"/>
      <w:bookmarkStart w:id="44" w:name="_Toc305158854"/>
      <w:r>
        <w:rPr>
          <w:rFonts w:hint="eastAsia" w:ascii="宋体" w:hAnsi="宋体" w:eastAsia="宋体" w:cs="宋体"/>
          <w:b/>
          <w:sz w:val="32"/>
          <w:szCs w:val="32"/>
        </w:rPr>
        <w:t>第二章</w:t>
      </w:r>
      <w:r>
        <w:rPr>
          <w:rFonts w:hint="eastAsia" w:ascii="宋体" w:hAnsi="宋体" w:eastAsia="宋体" w:cs="宋体"/>
          <w:b/>
          <w:sz w:val="32"/>
          <w:szCs w:val="32"/>
          <w:lang w:eastAsia="zh-CN"/>
        </w:rPr>
        <w:t>、</w:t>
      </w:r>
      <w:r>
        <w:rPr>
          <w:rFonts w:hint="eastAsia" w:ascii="宋体" w:hAnsi="宋体" w:eastAsia="宋体" w:cs="宋体"/>
          <w:b/>
          <w:sz w:val="32"/>
          <w:szCs w:val="32"/>
        </w:rPr>
        <w:t>供应商须知</w:t>
      </w:r>
      <w:bookmarkEnd w:id="32"/>
      <w:bookmarkEnd w:id="33"/>
      <w:bookmarkEnd w:id="34"/>
      <w:bookmarkEnd w:id="35"/>
      <w:bookmarkEnd w:id="36"/>
      <w:bookmarkEnd w:id="37"/>
      <w:bookmarkEnd w:id="38"/>
      <w:bookmarkEnd w:id="39"/>
      <w:bookmarkEnd w:id="40"/>
      <w:bookmarkEnd w:id="41"/>
      <w:bookmarkEnd w:id="42"/>
      <w:bookmarkEnd w:id="43"/>
      <w:bookmarkEnd w:id="44"/>
    </w:p>
    <w:p>
      <w:pPr>
        <w:pStyle w:val="2"/>
        <w:tabs>
          <w:tab w:val="center" w:pos="4592"/>
          <w:tab w:val="left" w:pos="7860"/>
        </w:tabs>
        <w:spacing w:before="0" w:line="360" w:lineRule="auto"/>
        <w:rPr>
          <w:rFonts w:hint="eastAsia" w:ascii="宋体" w:hAnsi="宋体" w:eastAsia="宋体" w:cs="宋体"/>
          <w:b w:val="0"/>
          <w:sz w:val="28"/>
        </w:rPr>
      </w:pPr>
      <w:bookmarkStart w:id="45" w:name="_Toc164608633"/>
      <w:bookmarkStart w:id="46" w:name="_Toc226965709"/>
      <w:bookmarkStart w:id="47" w:name="_Toc149720812"/>
      <w:bookmarkStart w:id="48" w:name="_Toc151193907"/>
      <w:bookmarkStart w:id="49" w:name="_Toc142311021"/>
      <w:bookmarkStart w:id="50" w:name="_Toc164229360"/>
      <w:bookmarkStart w:id="51" w:name="_Toc151193689"/>
      <w:bookmarkStart w:id="52" w:name="_Toc164608788"/>
      <w:bookmarkStart w:id="53" w:name="_Toc150774724"/>
      <w:bookmarkStart w:id="54" w:name="_Toc150509270"/>
      <w:bookmarkStart w:id="55" w:name="_Toc226965792"/>
      <w:bookmarkStart w:id="56" w:name="_Toc151193833"/>
      <w:bookmarkStart w:id="57" w:name="_Toc150774619"/>
      <w:bookmarkStart w:id="58" w:name="_Toc127161433"/>
      <w:bookmarkStart w:id="59" w:name="_Toc127151720"/>
      <w:bookmarkStart w:id="60" w:name="_Toc226337215"/>
      <w:bookmarkStart w:id="61" w:name="_Toc195842884"/>
      <w:bookmarkStart w:id="62" w:name="_Toc151193761"/>
      <w:bookmarkStart w:id="63" w:name="_Toc151193617"/>
      <w:bookmarkStart w:id="64" w:name="_Toc164351613"/>
      <w:bookmarkStart w:id="65" w:name="_Toc520356144"/>
      <w:bookmarkStart w:id="66" w:name="_Toc150480757"/>
      <w:bookmarkStart w:id="67" w:name="_Toc127151519"/>
      <w:bookmarkStart w:id="68" w:name="_Toc226309763"/>
      <w:bookmarkStart w:id="69" w:name="_Toc164229214"/>
      <w:bookmarkStart w:id="70" w:name="_Toc151190146"/>
      <w:r>
        <w:rPr>
          <w:rFonts w:hint="eastAsia" w:ascii="宋体" w:hAnsi="宋体" w:eastAsia="宋体" w:cs="宋体"/>
          <w:sz w:val="28"/>
        </w:rPr>
        <w:t>供应商须知资料表</w:t>
      </w:r>
    </w:p>
    <w:p>
      <w:pPr>
        <w:spacing w:line="360" w:lineRule="auto"/>
        <w:ind w:left="-420" w:leftChars="-200" w:firstLine="480" w:firstLineChars="0"/>
        <w:rPr>
          <w:rFonts w:hint="eastAsia" w:ascii="宋体" w:hAnsi="宋体" w:eastAsia="宋体" w:cs="宋体"/>
          <w:sz w:val="24"/>
          <w:szCs w:val="24"/>
        </w:rPr>
      </w:pPr>
      <w:r>
        <w:rPr>
          <w:rFonts w:hint="eastAsia" w:ascii="宋体" w:hAnsi="宋体" w:eastAsia="宋体" w:cs="宋体"/>
          <w:sz w:val="24"/>
          <w:szCs w:val="24"/>
        </w:rPr>
        <w:t>本表是对供应商须知的具体补充和修改，如有矛盾，均以本资料表为准。标记</w:t>
      </w:r>
      <w:r>
        <w:rPr>
          <w:rFonts w:hint="eastAsia" w:ascii="宋体" w:hAnsi="宋体" w:eastAsia="宋体" w:cs="宋体"/>
          <w:color w:val="000000"/>
          <w:sz w:val="24"/>
          <w:szCs w:val="24"/>
        </w:rPr>
        <w:t>“</w:t>
      </w:r>
      <w:r>
        <w:rPr>
          <w:rFonts w:hint="eastAsia" w:ascii="宋体" w:hAnsi="宋体" w:eastAsia="宋体" w:cs="宋体"/>
          <w:b/>
          <w:color w:val="000000"/>
          <w:sz w:val="24"/>
          <w:szCs w:val="24"/>
        </w:rPr>
        <w:t>■</w:t>
      </w:r>
      <w:r>
        <w:rPr>
          <w:rFonts w:hint="eastAsia" w:ascii="宋体" w:hAnsi="宋体" w:eastAsia="宋体" w:cs="宋体"/>
          <w:color w:val="000000"/>
          <w:sz w:val="24"/>
          <w:szCs w:val="24"/>
        </w:rPr>
        <w:t>”</w:t>
      </w:r>
      <w:r>
        <w:rPr>
          <w:rFonts w:hint="eastAsia" w:ascii="宋体" w:hAnsi="宋体" w:eastAsia="宋体" w:cs="宋体"/>
          <w:sz w:val="24"/>
          <w:szCs w:val="24"/>
        </w:rPr>
        <w:t>的选项意为适用于本项目，标记“□”的选项意为不适用于本项目。</w:t>
      </w:r>
    </w:p>
    <w:tbl>
      <w:tblPr>
        <w:tblStyle w:val="47"/>
        <w:tblW w:w="98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42"/>
        <w:gridCol w:w="2193"/>
        <w:gridCol w:w="64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1142" w:type="dxa"/>
            <w:vAlign w:val="center"/>
          </w:tcPr>
          <w:p>
            <w:pPr>
              <w:jc w:val="center"/>
              <w:rPr>
                <w:rFonts w:hint="eastAsia" w:ascii="宋体" w:hAnsi="宋体" w:eastAsia="宋体" w:cs="宋体"/>
                <w:b/>
                <w:bCs/>
                <w:sz w:val="24"/>
              </w:rPr>
            </w:pPr>
            <w:r>
              <w:rPr>
                <w:rFonts w:hint="eastAsia" w:ascii="宋体" w:hAnsi="宋体" w:eastAsia="宋体" w:cs="宋体"/>
                <w:b/>
                <w:sz w:val="24"/>
              </w:rPr>
              <w:t>条款号</w:t>
            </w:r>
          </w:p>
        </w:tc>
        <w:tc>
          <w:tcPr>
            <w:tcW w:w="2193" w:type="dxa"/>
            <w:vAlign w:val="center"/>
          </w:tcPr>
          <w:p>
            <w:pPr>
              <w:jc w:val="center"/>
              <w:rPr>
                <w:rFonts w:hint="eastAsia" w:ascii="宋体" w:hAnsi="宋体" w:eastAsia="宋体" w:cs="宋体"/>
                <w:b/>
                <w:bCs/>
                <w:sz w:val="24"/>
              </w:rPr>
            </w:pPr>
            <w:r>
              <w:rPr>
                <w:rFonts w:hint="eastAsia" w:ascii="宋体" w:hAnsi="宋体" w:eastAsia="宋体" w:cs="宋体"/>
                <w:b/>
                <w:bCs/>
                <w:sz w:val="24"/>
              </w:rPr>
              <w:t>条目</w:t>
            </w:r>
          </w:p>
        </w:tc>
        <w:tc>
          <w:tcPr>
            <w:tcW w:w="6492" w:type="dxa"/>
            <w:vAlign w:val="center"/>
          </w:tcPr>
          <w:p>
            <w:pPr>
              <w:jc w:val="center"/>
              <w:rPr>
                <w:rFonts w:hint="eastAsia" w:ascii="宋体" w:hAnsi="宋体" w:eastAsia="宋体" w:cs="宋体"/>
                <w:b/>
                <w:bCs/>
                <w:sz w:val="24"/>
              </w:rPr>
            </w:pPr>
            <w:r>
              <w:rPr>
                <w:rFonts w:hint="eastAsia" w:ascii="宋体" w:hAnsi="宋体" w:eastAsia="宋体" w:cs="宋体"/>
                <w:b/>
                <w:bCs/>
                <w:sz w:val="24"/>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42" w:type="dxa"/>
            <w:vAlign w:val="center"/>
          </w:tcPr>
          <w:p>
            <w:pPr>
              <w:pStyle w:val="23"/>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2.2</w:t>
            </w:r>
          </w:p>
        </w:tc>
        <w:tc>
          <w:tcPr>
            <w:tcW w:w="2193" w:type="dxa"/>
            <w:vAlign w:val="center"/>
          </w:tcPr>
          <w:p>
            <w:pPr>
              <w:jc w:val="center"/>
              <w:rPr>
                <w:rFonts w:hint="eastAsia" w:ascii="宋体" w:hAnsi="宋体" w:eastAsia="宋体" w:cs="宋体"/>
                <w:sz w:val="24"/>
              </w:rPr>
            </w:pPr>
            <w:r>
              <w:rPr>
                <w:rFonts w:hint="eastAsia" w:ascii="宋体" w:hAnsi="宋体" w:eastAsia="宋体" w:cs="宋体"/>
                <w:sz w:val="24"/>
              </w:rPr>
              <w:t>项目属性</w:t>
            </w:r>
          </w:p>
        </w:tc>
        <w:tc>
          <w:tcPr>
            <w:tcW w:w="6492" w:type="dxa"/>
            <w:vAlign w:val="center"/>
          </w:tcPr>
          <w:p>
            <w:pPr>
              <w:spacing w:line="360" w:lineRule="auto"/>
              <w:jc w:val="both"/>
              <w:rPr>
                <w:rFonts w:hint="eastAsia" w:ascii="宋体" w:hAnsi="宋体" w:eastAsia="宋体" w:cs="宋体"/>
                <w:sz w:val="24"/>
              </w:rPr>
            </w:pPr>
            <w:r>
              <w:rPr>
                <w:rFonts w:hint="eastAsia" w:ascii="宋体" w:hAnsi="宋体" w:eastAsia="宋体" w:cs="宋体"/>
                <w:sz w:val="24"/>
              </w:rPr>
              <w:t>项目属性：</w:t>
            </w:r>
          </w:p>
          <w:p>
            <w:pPr>
              <w:spacing w:line="360" w:lineRule="auto"/>
              <w:jc w:val="both"/>
              <w:rPr>
                <w:rFonts w:hint="eastAsia" w:ascii="宋体" w:hAnsi="宋体" w:eastAsia="宋体" w:cs="宋体"/>
                <w:sz w:val="24"/>
                <w:szCs w:val="24"/>
              </w:rPr>
            </w:pPr>
            <w:r>
              <w:rPr>
                <w:rFonts w:hint="eastAsia" w:ascii="宋体" w:hAnsi="宋体" w:eastAsia="宋体" w:cs="宋体"/>
                <w:sz w:val="24"/>
                <w:szCs w:val="24"/>
              </w:rPr>
              <w:t>□服务</w:t>
            </w:r>
          </w:p>
          <w:p>
            <w:pPr>
              <w:spacing w:line="360" w:lineRule="auto"/>
              <w:jc w:val="both"/>
              <w:rPr>
                <w:rFonts w:hint="eastAsia" w:ascii="宋体" w:hAnsi="宋体" w:eastAsia="宋体" w:cs="宋体"/>
                <w:sz w:val="24"/>
                <w:szCs w:val="24"/>
              </w:rPr>
            </w:pPr>
            <w:r>
              <w:rPr>
                <w:rFonts w:hint="eastAsia" w:ascii="宋体" w:hAnsi="宋体" w:eastAsia="宋体" w:cs="宋体"/>
                <w:sz w:val="24"/>
                <w:szCs w:val="24"/>
              </w:rPr>
              <w:t>□货物</w:t>
            </w:r>
          </w:p>
          <w:p>
            <w:pPr>
              <w:spacing w:line="360" w:lineRule="auto"/>
              <w:jc w:val="both"/>
              <w:rPr>
                <w:rFonts w:hint="eastAsia" w:ascii="宋体" w:hAnsi="宋体" w:eastAsia="宋体" w:cs="宋体"/>
                <w:sz w:val="24"/>
                <w:u w:val="single"/>
              </w:rPr>
            </w:pPr>
            <w:r>
              <w:rPr>
                <w:rFonts w:hint="eastAsia" w:ascii="宋体" w:hAnsi="宋体" w:eastAsia="宋体" w:cs="宋体"/>
                <w:sz w:val="24"/>
                <w:szCs w:val="24"/>
              </w:rPr>
              <w:t>■工程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42" w:type="dxa"/>
            <w:vAlign w:val="center"/>
          </w:tcPr>
          <w:p>
            <w:pPr>
              <w:pStyle w:val="23"/>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2.3</w:t>
            </w:r>
          </w:p>
        </w:tc>
        <w:tc>
          <w:tcPr>
            <w:tcW w:w="2193" w:type="dxa"/>
            <w:vAlign w:val="center"/>
          </w:tcPr>
          <w:p>
            <w:pPr>
              <w:jc w:val="center"/>
              <w:rPr>
                <w:rFonts w:hint="eastAsia" w:ascii="宋体" w:hAnsi="宋体" w:eastAsia="宋体" w:cs="宋体"/>
                <w:sz w:val="24"/>
              </w:rPr>
            </w:pPr>
            <w:r>
              <w:rPr>
                <w:rFonts w:hint="eastAsia" w:ascii="宋体" w:hAnsi="宋体" w:eastAsia="宋体" w:cs="宋体"/>
                <w:sz w:val="24"/>
              </w:rPr>
              <w:t>科研仪器设备</w:t>
            </w:r>
          </w:p>
        </w:tc>
        <w:tc>
          <w:tcPr>
            <w:tcW w:w="6492" w:type="dxa"/>
            <w:vAlign w:val="center"/>
          </w:tcPr>
          <w:p>
            <w:pPr>
              <w:spacing w:line="360" w:lineRule="auto"/>
              <w:jc w:val="both"/>
              <w:rPr>
                <w:rFonts w:hint="eastAsia" w:ascii="宋体" w:hAnsi="宋体" w:eastAsia="宋体" w:cs="宋体"/>
                <w:sz w:val="24"/>
              </w:rPr>
            </w:pPr>
            <w:r>
              <w:rPr>
                <w:rFonts w:hint="eastAsia" w:ascii="宋体" w:hAnsi="宋体" w:eastAsia="宋体" w:cs="宋体"/>
                <w:sz w:val="24"/>
              </w:rPr>
              <w:t>是否属于科研仪器设备采购项目：</w:t>
            </w:r>
          </w:p>
          <w:p>
            <w:pPr>
              <w:spacing w:line="360" w:lineRule="auto"/>
              <w:jc w:val="both"/>
              <w:rPr>
                <w:rFonts w:hint="eastAsia" w:ascii="宋体" w:hAnsi="宋体" w:eastAsia="宋体" w:cs="宋体"/>
                <w:sz w:val="24"/>
              </w:rPr>
            </w:pPr>
            <w:r>
              <w:rPr>
                <w:rFonts w:hint="eastAsia" w:ascii="宋体" w:hAnsi="宋体" w:eastAsia="宋体" w:cs="宋体"/>
                <w:sz w:val="24"/>
                <w:lang w:eastAsia="zh-CN"/>
              </w:rPr>
              <w:t>□</w:t>
            </w:r>
            <w:r>
              <w:rPr>
                <w:rFonts w:hint="eastAsia" w:ascii="宋体" w:hAnsi="宋体" w:eastAsia="宋体" w:cs="宋体"/>
                <w:sz w:val="24"/>
              </w:rPr>
              <w:t>是</w:t>
            </w:r>
          </w:p>
          <w:p>
            <w:pPr>
              <w:spacing w:line="360" w:lineRule="auto"/>
              <w:jc w:val="both"/>
              <w:rPr>
                <w:rFonts w:hint="eastAsia" w:ascii="宋体" w:hAnsi="宋体" w:eastAsia="宋体" w:cs="宋体"/>
                <w:sz w:val="24"/>
              </w:rPr>
            </w:pPr>
            <w:r>
              <w:rPr>
                <w:rFonts w:hint="eastAsia" w:ascii="宋体" w:hAnsi="宋体" w:eastAsia="宋体" w:cs="宋体"/>
                <w:sz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42" w:type="dxa"/>
            <w:vMerge w:val="restart"/>
            <w:vAlign w:val="center"/>
          </w:tcPr>
          <w:p>
            <w:pPr>
              <w:pStyle w:val="23"/>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3.1</w:t>
            </w:r>
          </w:p>
        </w:tc>
        <w:tc>
          <w:tcPr>
            <w:tcW w:w="2193" w:type="dxa"/>
            <w:vAlign w:val="center"/>
          </w:tcPr>
          <w:p>
            <w:pPr>
              <w:jc w:val="center"/>
              <w:rPr>
                <w:rFonts w:hint="eastAsia" w:ascii="宋体" w:hAnsi="宋体" w:eastAsia="宋体" w:cs="宋体"/>
                <w:sz w:val="24"/>
              </w:rPr>
            </w:pPr>
            <w:r>
              <w:rPr>
                <w:rFonts w:hint="eastAsia" w:ascii="宋体" w:hAnsi="宋体" w:eastAsia="宋体" w:cs="宋体"/>
                <w:sz w:val="24"/>
              </w:rPr>
              <w:t>现场考察</w:t>
            </w:r>
          </w:p>
        </w:tc>
        <w:tc>
          <w:tcPr>
            <w:tcW w:w="6492" w:type="dxa"/>
            <w:vAlign w:val="center"/>
          </w:tcPr>
          <w:p>
            <w:pPr>
              <w:spacing w:line="360" w:lineRule="auto"/>
              <w:jc w:val="both"/>
              <w:rPr>
                <w:rFonts w:hint="eastAsia" w:ascii="宋体" w:hAnsi="宋体" w:eastAsia="宋体" w:cs="宋体"/>
                <w:sz w:val="24"/>
                <w:szCs w:val="24"/>
              </w:rPr>
            </w:pPr>
            <w:r>
              <w:rPr>
                <w:rFonts w:hint="eastAsia" w:ascii="宋体" w:hAnsi="宋体" w:eastAsia="宋体" w:cs="宋体"/>
                <w:sz w:val="24"/>
                <w:szCs w:val="24"/>
              </w:rPr>
              <w:t>■不组织</w:t>
            </w:r>
          </w:p>
          <w:p>
            <w:pPr>
              <w:spacing w:line="360" w:lineRule="auto"/>
              <w:jc w:val="both"/>
              <w:rPr>
                <w:rFonts w:hint="eastAsia" w:ascii="宋体" w:hAnsi="宋体" w:eastAsia="宋体" w:cs="宋体"/>
                <w:bCs/>
                <w:sz w:val="24"/>
                <w:szCs w:val="24"/>
              </w:rPr>
            </w:pPr>
            <w:r>
              <w:rPr>
                <w:rFonts w:hint="eastAsia" w:ascii="宋体" w:hAnsi="宋体" w:eastAsia="宋体" w:cs="宋体"/>
                <w:sz w:val="24"/>
                <w:szCs w:val="24"/>
              </w:rPr>
              <w:t>□组织，考察时间：</w:t>
            </w:r>
            <w:r>
              <w:rPr>
                <w:rFonts w:hint="eastAsia" w:ascii="宋体" w:hAnsi="宋体" w:eastAsia="宋体" w:cs="宋体"/>
                <w:sz w:val="24"/>
                <w:szCs w:val="24"/>
                <w:lang w:val="en-US" w:eastAsia="zh-CN"/>
              </w:rPr>
              <w:t>/</w:t>
            </w:r>
            <w:r>
              <w:rPr>
                <w:rFonts w:hint="eastAsia" w:ascii="宋体" w:hAnsi="宋体" w:eastAsia="宋体" w:cs="宋体"/>
                <w:sz w:val="24"/>
                <w:szCs w:val="24"/>
                <w:lang w:bidi="ar"/>
              </w:rPr>
              <w:t>年</w:t>
            </w:r>
            <w:r>
              <w:rPr>
                <w:rFonts w:hint="eastAsia" w:ascii="宋体" w:hAnsi="宋体" w:eastAsia="宋体" w:cs="宋体"/>
                <w:sz w:val="24"/>
                <w:szCs w:val="24"/>
                <w:lang w:val="en-US" w:eastAsia="zh-CN"/>
              </w:rPr>
              <w:t>/</w:t>
            </w:r>
            <w:r>
              <w:rPr>
                <w:rFonts w:hint="eastAsia" w:ascii="宋体" w:hAnsi="宋体" w:eastAsia="宋体" w:cs="宋体"/>
                <w:sz w:val="24"/>
                <w:szCs w:val="24"/>
                <w:lang w:bidi="ar"/>
              </w:rPr>
              <w:t>月</w:t>
            </w:r>
            <w:r>
              <w:rPr>
                <w:rFonts w:hint="eastAsia" w:ascii="宋体" w:hAnsi="宋体" w:eastAsia="宋体" w:cs="宋体"/>
                <w:sz w:val="24"/>
                <w:szCs w:val="24"/>
                <w:lang w:val="en-US" w:eastAsia="zh-CN"/>
              </w:rPr>
              <w:t>/</w:t>
            </w:r>
            <w:r>
              <w:rPr>
                <w:rFonts w:hint="eastAsia" w:ascii="宋体" w:hAnsi="宋体" w:eastAsia="宋体" w:cs="宋体"/>
                <w:sz w:val="24"/>
                <w:szCs w:val="24"/>
                <w:lang w:bidi="ar"/>
              </w:rPr>
              <w:t>日</w:t>
            </w:r>
            <w:r>
              <w:rPr>
                <w:rFonts w:hint="eastAsia" w:ascii="宋体" w:hAnsi="宋体" w:eastAsia="宋体" w:cs="宋体"/>
                <w:sz w:val="24"/>
                <w:szCs w:val="24"/>
                <w:lang w:val="en-US" w:eastAsia="zh-CN"/>
              </w:rPr>
              <w:t>/</w:t>
            </w:r>
            <w:r>
              <w:rPr>
                <w:rFonts w:hint="eastAsia" w:ascii="宋体" w:hAnsi="宋体" w:eastAsia="宋体" w:cs="宋体"/>
                <w:sz w:val="24"/>
                <w:szCs w:val="24"/>
                <w:lang w:bidi="ar"/>
              </w:rPr>
              <w:t>点</w:t>
            </w:r>
            <w:r>
              <w:rPr>
                <w:rFonts w:hint="eastAsia" w:ascii="宋体" w:hAnsi="宋体" w:eastAsia="宋体" w:cs="宋体"/>
                <w:sz w:val="24"/>
                <w:szCs w:val="24"/>
                <w:lang w:val="en-US" w:eastAsia="zh-CN"/>
              </w:rPr>
              <w:t>/</w:t>
            </w:r>
            <w:r>
              <w:rPr>
                <w:rFonts w:hint="eastAsia" w:ascii="宋体" w:hAnsi="宋体" w:eastAsia="宋体" w:cs="宋体"/>
                <w:sz w:val="24"/>
                <w:szCs w:val="24"/>
                <w:lang w:bidi="ar"/>
              </w:rPr>
              <w:t>分</w:t>
            </w:r>
          </w:p>
          <w:p>
            <w:pPr>
              <w:pStyle w:val="23"/>
              <w:adjustRightInd w:val="0"/>
              <w:snapToGrid w:val="0"/>
              <w:spacing w:line="360" w:lineRule="auto"/>
              <w:jc w:val="both"/>
              <w:rPr>
                <w:rFonts w:hint="eastAsia" w:ascii="宋体" w:hAnsi="宋体" w:eastAsia="宋体" w:cs="宋体"/>
                <w:sz w:val="24"/>
                <w:szCs w:val="24"/>
              </w:rPr>
            </w:pPr>
            <w:r>
              <w:rPr>
                <w:rFonts w:hint="eastAsia" w:ascii="宋体" w:hAnsi="宋体" w:eastAsia="宋体" w:cs="宋体"/>
                <w:sz w:val="24"/>
                <w:szCs w:val="24"/>
              </w:rPr>
              <w:t>考察地点：</w:t>
            </w:r>
            <w:r>
              <w:rPr>
                <w:rFonts w:hint="eastAsia" w:ascii="宋体" w:hAnsi="宋体" w:eastAsia="宋体" w:cs="宋体"/>
                <w:sz w:val="24"/>
                <w:szCs w:val="24"/>
                <w:u w:val="single"/>
                <w:lang w:val="en-US" w:eastAsia="zh-CN"/>
              </w:rPr>
              <w:t>/</w:t>
            </w:r>
            <w:r>
              <w:rPr>
                <w:rFonts w:hint="eastAsia" w:ascii="宋体" w:hAnsi="宋体" w:eastAsia="宋体" w:cs="宋体"/>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42" w:type="dxa"/>
            <w:vMerge w:val="continue"/>
            <w:vAlign w:val="center"/>
          </w:tcPr>
          <w:p>
            <w:pPr>
              <w:pStyle w:val="23"/>
              <w:adjustRightInd w:val="0"/>
              <w:snapToGrid w:val="0"/>
              <w:jc w:val="center"/>
              <w:rPr>
                <w:rFonts w:hint="eastAsia" w:ascii="宋体" w:hAnsi="宋体" w:eastAsia="宋体" w:cs="宋体"/>
                <w:sz w:val="24"/>
                <w:szCs w:val="24"/>
              </w:rPr>
            </w:pPr>
          </w:p>
        </w:tc>
        <w:tc>
          <w:tcPr>
            <w:tcW w:w="2193" w:type="dxa"/>
            <w:vAlign w:val="center"/>
          </w:tcPr>
          <w:p>
            <w:pPr>
              <w:jc w:val="center"/>
              <w:rPr>
                <w:rFonts w:hint="eastAsia" w:ascii="宋体" w:hAnsi="宋体" w:eastAsia="宋体" w:cs="宋体"/>
                <w:sz w:val="24"/>
              </w:rPr>
            </w:pPr>
            <w:r>
              <w:rPr>
                <w:rFonts w:hint="eastAsia" w:ascii="宋体" w:hAnsi="宋体" w:eastAsia="宋体" w:cs="宋体"/>
                <w:sz w:val="24"/>
              </w:rPr>
              <w:t>磋商前答疑会</w:t>
            </w:r>
          </w:p>
        </w:tc>
        <w:tc>
          <w:tcPr>
            <w:tcW w:w="6492" w:type="dxa"/>
            <w:vAlign w:val="center"/>
          </w:tcPr>
          <w:p>
            <w:pPr>
              <w:spacing w:line="360" w:lineRule="auto"/>
              <w:jc w:val="both"/>
              <w:rPr>
                <w:rFonts w:hint="eastAsia" w:ascii="宋体" w:hAnsi="宋体" w:eastAsia="宋体" w:cs="宋体"/>
                <w:sz w:val="24"/>
                <w:szCs w:val="24"/>
              </w:rPr>
            </w:pPr>
            <w:r>
              <w:rPr>
                <w:rFonts w:hint="eastAsia" w:ascii="宋体" w:hAnsi="宋体" w:eastAsia="宋体" w:cs="宋体"/>
                <w:sz w:val="24"/>
                <w:szCs w:val="24"/>
              </w:rPr>
              <w:t>■不召开</w:t>
            </w:r>
          </w:p>
          <w:p>
            <w:pPr>
              <w:shd w:val="clear"/>
              <w:spacing w:line="360" w:lineRule="auto"/>
              <w:jc w:val="both"/>
              <w:rPr>
                <w:rFonts w:hint="eastAsia" w:ascii="宋体" w:hAnsi="宋体" w:eastAsia="宋体" w:cs="宋体"/>
                <w:sz w:val="24"/>
              </w:rPr>
            </w:pPr>
            <w:r>
              <w:rPr>
                <w:rFonts w:hint="eastAsia" w:ascii="宋体" w:hAnsi="宋体" w:eastAsia="宋体" w:cs="宋体"/>
                <w:sz w:val="24"/>
                <w:lang w:eastAsia="zh-CN"/>
              </w:rPr>
              <w:t>□</w:t>
            </w:r>
            <w:r>
              <w:rPr>
                <w:rFonts w:hint="eastAsia" w:ascii="宋体" w:hAnsi="宋体" w:eastAsia="宋体" w:cs="宋体"/>
                <w:sz w:val="24"/>
              </w:rPr>
              <w:t>召开，召开时间：</w:t>
            </w:r>
            <w:r>
              <w:rPr>
                <w:rFonts w:hint="eastAsia" w:ascii="宋体" w:hAnsi="宋体" w:eastAsia="宋体" w:cs="宋体"/>
                <w:sz w:val="24"/>
                <w:lang w:val="en-US" w:eastAsia="zh-CN"/>
              </w:rPr>
              <w:t>/</w:t>
            </w:r>
            <w:r>
              <w:rPr>
                <w:rFonts w:hint="eastAsia" w:ascii="宋体" w:hAnsi="宋体" w:eastAsia="宋体" w:cs="宋体"/>
                <w:sz w:val="24"/>
              </w:rPr>
              <w:t>年</w:t>
            </w:r>
            <w:r>
              <w:rPr>
                <w:rFonts w:hint="eastAsia" w:ascii="宋体" w:hAnsi="宋体" w:eastAsia="宋体" w:cs="宋体"/>
                <w:sz w:val="24"/>
                <w:lang w:val="en-US" w:eastAsia="zh-CN"/>
              </w:rPr>
              <w:t>/</w:t>
            </w:r>
            <w:r>
              <w:rPr>
                <w:rFonts w:hint="eastAsia" w:ascii="宋体" w:hAnsi="宋体" w:eastAsia="宋体" w:cs="宋体"/>
                <w:sz w:val="24"/>
              </w:rPr>
              <w:t>月</w:t>
            </w:r>
            <w:r>
              <w:rPr>
                <w:rFonts w:hint="eastAsia" w:ascii="宋体" w:hAnsi="宋体" w:eastAsia="宋体" w:cs="宋体"/>
                <w:sz w:val="24"/>
                <w:lang w:val="en-US" w:eastAsia="zh-CN"/>
              </w:rPr>
              <w:t>/</w:t>
            </w:r>
            <w:r>
              <w:rPr>
                <w:rFonts w:hint="eastAsia" w:ascii="宋体" w:hAnsi="宋体" w:eastAsia="宋体" w:cs="宋体"/>
                <w:sz w:val="24"/>
              </w:rPr>
              <w:t>日</w:t>
            </w:r>
            <w:r>
              <w:rPr>
                <w:rFonts w:hint="eastAsia" w:ascii="宋体" w:hAnsi="宋体" w:eastAsia="宋体" w:cs="宋体"/>
                <w:sz w:val="24"/>
                <w:lang w:val="en-US" w:eastAsia="zh-CN"/>
              </w:rPr>
              <w:t>/</w:t>
            </w:r>
            <w:r>
              <w:rPr>
                <w:rFonts w:hint="eastAsia" w:ascii="宋体" w:hAnsi="宋体" w:eastAsia="宋体" w:cs="宋体"/>
                <w:bCs/>
                <w:sz w:val="24"/>
              </w:rPr>
              <w:t>点</w:t>
            </w:r>
            <w:r>
              <w:rPr>
                <w:rFonts w:hint="eastAsia" w:ascii="宋体" w:hAnsi="宋体" w:eastAsia="宋体" w:cs="宋体"/>
                <w:sz w:val="24"/>
                <w:lang w:val="en-US" w:eastAsia="zh-CN"/>
              </w:rPr>
              <w:t>/</w:t>
            </w:r>
            <w:r>
              <w:rPr>
                <w:rFonts w:hint="eastAsia" w:ascii="宋体" w:hAnsi="宋体" w:eastAsia="宋体" w:cs="宋体"/>
                <w:bCs/>
                <w:sz w:val="24"/>
              </w:rPr>
              <w:t>分</w:t>
            </w:r>
          </w:p>
          <w:p>
            <w:pPr>
              <w:spacing w:line="360" w:lineRule="auto"/>
              <w:jc w:val="both"/>
              <w:rPr>
                <w:rFonts w:hint="eastAsia" w:ascii="宋体" w:hAnsi="宋体" w:eastAsia="宋体" w:cs="宋体"/>
                <w:sz w:val="24"/>
              </w:rPr>
            </w:pPr>
            <w:r>
              <w:rPr>
                <w:rFonts w:hint="eastAsia" w:ascii="宋体" w:hAnsi="宋体" w:eastAsia="宋体" w:cs="宋体"/>
                <w:sz w:val="24"/>
              </w:rPr>
              <w:t>召开地点：</w:t>
            </w:r>
            <w:r>
              <w:rPr>
                <w:rFonts w:hint="eastAsia" w:ascii="宋体" w:hAnsi="宋体" w:eastAsia="宋体" w:cs="宋体"/>
                <w:sz w:val="24"/>
                <w:u w:val="single"/>
                <w:lang w:val="en-US" w:eastAsia="zh-CN"/>
              </w:rPr>
              <w:t>/</w:t>
            </w:r>
            <w:r>
              <w:rPr>
                <w:rFonts w:hint="eastAsia" w:ascii="宋体" w:hAnsi="宋体" w:eastAsia="宋体" w:cs="宋体"/>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5" w:hRule="atLeast"/>
          <w:jc w:val="center"/>
        </w:trPr>
        <w:tc>
          <w:tcPr>
            <w:tcW w:w="1142" w:type="dxa"/>
            <w:vAlign w:val="center"/>
          </w:tcPr>
          <w:p>
            <w:pPr>
              <w:pStyle w:val="23"/>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4.2.5</w:t>
            </w:r>
          </w:p>
        </w:tc>
        <w:tc>
          <w:tcPr>
            <w:tcW w:w="2193" w:type="dxa"/>
            <w:vAlign w:val="center"/>
          </w:tcPr>
          <w:p>
            <w:pPr>
              <w:jc w:val="center"/>
              <w:rPr>
                <w:rFonts w:hint="eastAsia" w:ascii="宋体" w:hAnsi="宋体" w:eastAsia="宋体" w:cs="宋体"/>
                <w:sz w:val="24"/>
              </w:rPr>
            </w:pPr>
            <w:r>
              <w:rPr>
                <w:rFonts w:hint="eastAsia" w:ascii="宋体" w:hAnsi="宋体" w:eastAsia="宋体" w:cs="宋体"/>
                <w:sz w:val="24"/>
              </w:rPr>
              <w:t>标的所属行业</w:t>
            </w:r>
          </w:p>
        </w:tc>
        <w:tc>
          <w:tcPr>
            <w:tcW w:w="6492" w:type="dxa"/>
            <w:vAlign w:val="center"/>
          </w:tcPr>
          <w:p>
            <w:pPr>
              <w:spacing w:line="360" w:lineRule="auto"/>
              <w:jc w:val="left"/>
              <w:rPr>
                <w:rFonts w:hint="eastAsia" w:ascii="宋体" w:hAnsi="宋体" w:eastAsia="宋体" w:cs="宋体"/>
                <w:sz w:val="24"/>
              </w:rPr>
            </w:pPr>
            <w:r>
              <w:rPr>
                <w:rFonts w:hint="eastAsia" w:ascii="宋体" w:hAnsi="宋体" w:eastAsia="宋体" w:cs="宋体"/>
                <w:sz w:val="24"/>
              </w:rPr>
              <w:t>本项目采购标的对应的中小企业划分标准所属行业：</w:t>
            </w:r>
          </w:p>
          <w:tbl>
            <w:tblPr>
              <w:tblStyle w:val="4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425"/>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trPr>
              <w:tc>
                <w:tcPr>
                  <w:tcW w:w="2733" w:type="pct"/>
                  <w:tcBorders>
                    <w:top w:val="single" w:color="auto" w:sz="4" w:space="0"/>
                    <w:left w:val="single" w:color="auto" w:sz="4" w:space="0"/>
                    <w:bottom w:val="single" w:color="auto" w:sz="4" w:space="0"/>
                    <w:right w:val="single" w:color="auto" w:sz="4" w:space="0"/>
                  </w:tcBorders>
                  <w:vAlign w:val="center"/>
                </w:tcPr>
                <w:p>
                  <w:pPr>
                    <w:spacing w:line="240" w:lineRule="auto"/>
                    <w:jc w:val="center"/>
                    <w:rPr>
                      <w:rFonts w:hint="eastAsia" w:ascii="宋体" w:hAnsi="宋体" w:eastAsia="宋体" w:cs="宋体"/>
                      <w:bCs/>
                      <w:sz w:val="24"/>
                    </w:rPr>
                  </w:pPr>
                  <w:r>
                    <w:rPr>
                      <w:rFonts w:hint="eastAsia" w:ascii="宋体" w:hAnsi="宋体" w:eastAsia="宋体" w:cs="宋体"/>
                      <w:bCs/>
                      <w:sz w:val="24"/>
                    </w:rPr>
                    <w:t>标的名称</w:t>
                  </w:r>
                </w:p>
              </w:tc>
              <w:tc>
                <w:tcPr>
                  <w:tcW w:w="2266" w:type="pct"/>
                  <w:tcBorders>
                    <w:top w:val="single" w:color="auto" w:sz="4" w:space="0"/>
                    <w:left w:val="single" w:color="auto" w:sz="4" w:space="0"/>
                    <w:bottom w:val="single" w:color="auto" w:sz="4" w:space="0"/>
                    <w:right w:val="single" w:color="auto" w:sz="4" w:space="0"/>
                  </w:tcBorders>
                  <w:vAlign w:val="center"/>
                </w:tcPr>
                <w:p>
                  <w:pPr>
                    <w:spacing w:line="240" w:lineRule="auto"/>
                    <w:jc w:val="center"/>
                    <w:rPr>
                      <w:rFonts w:hint="eastAsia" w:ascii="宋体" w:hAnsi="宋体" w:eastAsia="宋体" w:cs="宋体"/>
                      <w:sz w:val="24"/>
                    </w:rPr>
                  </w:pPr>
                  <w:r>
                    <w:rPr>
                      <w:rFonts w:hint="eastAsia" w:ascii="宋体" w:hAnsi="宋体" w:eastAsia="宋体" w:cs="宋体"/>
                      <w:sz w:val="24"/>
                    </w:rPr>
                    <w:t>中小企业划分标准所属行业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7" w:hRule="atLeast"/>
              </w:trPr>
              <w:tc>
                <w:tcPr>
                  <w:tcW w:w="2733" w:type="pct"/>
                  <w:tcBorders>
                    <w:top w:val="single" w:color="auto" w:sz="4" w:space="0"/>
                    <w:left w:val="single" w:color="auto" w:sz="4" w:space="0"/>
                    <w:bottom w:val="single" w:color="auto" w:sz="4" w:space="0"/>
                    <w:right w:val="single" w:color="auto" w:sz="4" w:space="0"/>
                  </w:tcBorders>
                  <w:vAlign w:val="center"/>
                </w:tcPr>
                <w:p>
                  <w:pPr>
                    <w:spacing w:line="240" w:lineRule="auto"/>
                    <w:jc w:val="center"/>
                    <w:rPr>
                      <w:rFonts w:hint="eastAsia" w:ascii="宋体" w:hAnsi="宋体" w:cs="宋体"/>
                      <w:bCs/>
                      <w:sz w:val="24"/>
                      <w:lang w:eastAsia="zh-CN"/>
                    </w:rPr>
                  </w:pPr>
                  <w:r>
                    <w:rPr>
                      <w:rFonts w:hint="eastAsia" w:ascii="宋体" w:hAnsi="宋体" w:cs="宋体"/>
                      <w:bCs/>
                      <w:sz w:val="24"/>
                      <w:lang w:eastAsia="zh-CN"/>
                    </w:rPr>
                    <w:t>木林镇2024年度建筑拆除工程项目（</w:t>
                  </w:r>
                  <w:r>
                    <w:rPr>
                      <w:rFonts w:hint="eastAsia" w:ascii="宋体" w:hAnsi="宋体" w:cs="宋体"/>
                      <w:bCs/>
                      <w:sz w:val="24"/>
                      <w:lang w:val="en-US" w:eastAsia="zh-CN"/>
                    </w:rPr>
                    <w:t>第四包</w:t>
                  </w:r>
                  <w:r>
                    <w:rPr>
                      <w:rFonts w:hint="eastAsia" w:ascii="宋体" w:hAnsi="宋体" w:cs="宋体"/>
                      <w:bCs/>
                      <w:sz w:val="24"/>
                      <w:lang w:eastAsia="zh-CN"/>
                    </w:rPr>
                    <w:t>）</w:t>
                  </w:r>
                </w:p>
              </w:tc>
              <w:tc>
                <w:tcPr>
                  <w:tcW w:w="2266" w:type="pct"/>
                  <w:tcBorders>
                    <w:top w:val="single" w:color="auto" w:sz="4" w:space="0"/>
                    <w:left w:val="single" w:color="auto" w:sz="4" w:space="0"/>
                    <w:bottom w:val="single" w:color="auto" w:sz="4" w:space="0"/>
                    <w:right w:val="single" w:color="auto" w:sz="4" w:space="0"/>
                  </w:tcBorders>
                  <w:vAlign w:val="center"/>
                </w:tcPr>
                <w:p>
                  <w:pPr>
                    <w:spacing w:line="240" w:lineRule="auto"/>
                    <w:jc w:val="center"/>
                    <w:rPr>
                      <w:rFonts w:hint="eastAsia" w:ascii="宋体" w:hAnsi="宋体" w:eastAsia="宋体" w:cs="宋体"/>
                      <w:color w:val="auto"/>
                      <w:kern w:val="0"/>
                      <w:sz w:val="24"/>
                      <w:lang w:val="en-US" w:eastAsia="zh-CN"/>
                    </w:rPr>
                  </w:pPr>
                  <w:r>
                    <w:rPr>
                      <w:rFonts w:hint="eastAsia" w:ascii="宋体" w:hAnsi="宋体" w:eastAsia="宋体" w:cs="宋体"/>
                      <w:color w:val="auto"/>
                      <w:kern w:val="0"/>
                      <w:sz w:val="24"/>
                      <w:lang w:val="en-US" w:eastAsia="zh-CN"/>
                    </w:rPr>
                    <w:t>建筑业</w:t>
                  </w:r>
                </w:p>
              </w:tc>
            </w:tr>
          </w:tbl>
          <w:p>
            <w:pPr>
              <w:jc w:val="left"/>
              <w:rPr>
                <w:rFonts w:hint="eastAsia" w:ascii="宋体" w:hAnsi="宋体" w:eastAsia="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3" w:hRule="atLeast"/>
          <w:jc w:val="center"/>
        </w:trPr>
        <w:tc>
          <w:tcPr>
            <w:tcW w:w="1142" w:type="dxa"/>
            <w:vAlign w:val="center"/>
          </w:tcPr>
          <w:p>
            <w:pPr>
              <w:pStyle w:val="23"/>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10.2</w:t>
            </w:r>
          </w:p>
        </w:tc>
        <w:tc>
          <w:tcPr>
            <w:tcW w:w="2193" w:type="dxa"/>
            <w:vAlign w:val="center"/>
          </w:tcPr>
          <w:p>
            <w:pPr>
              <w:jc w:val="center"/>
              <w:rPr>
                <w:rFonts w:hint="eastAsia" w:ascii="宋体" w:hAnsi="宋体" w:eastAsia="宋体" w:cs="宋体"/>
                <w:sz w:val="24"/>
              </w:rPr>
            </w:pPr>
            <w:r>
              <w:rPr>
                <w:rFonts w:hint="eastAsia" w:ascii="宋体" w:hAnsi="宋体" w:eastAsia="宋体" w:cs="宋体"/>
                <w:sz w:val="24"/>
              </w:rPr>
              <w:t>报价</w:t>
            </w:r>
          </w:p>
        </w:tc>
        <w:tc>
          <w:tcPr>
            <w:tcW w:w="6492" w:type="dxa"/>
            <w:vAlign w:val="center"/>
          </w:tcPr>
          <w:p>
            <w:pPr>
              <w:spacing w:line="360" w:lineRule="auto"/>
              <w:jc w:val="left"/>
              <w:rPr>
                <w:rFonts w:hint="eastAsia" w:ascii="宋体" w:hAnsi="宋体" w:eastAsia="宋体" w:cs="宋体"/>
                <w:sz w:val="24"/>
                <w:szCs w:val="24"/>
              </w:rPr>
            </w:pPr>
            <w:r>
              <w:rPr>
                <w:rFonts w:hint="eastAsia" w:ascii="宋体" w:hAnsi="宋体" w:eastAsia="宋体" w:cs="宋体"/>
                <w:sz w:val="24"/>
                <w:szCs w:val="24"/>
              </w:rPr>
              <w:t>报价的特殊规定：</w:t>
            </w:r>
          </w:p>
          <w:p>
            <w:pPr>
              <w:spacing w:line="360" w:lineRule="auto"/>
              <w:jc w:val="left"/>
              <w:rPr>
                <w:rFonts w:hint="eastAsia" w:ascii="宋体" w:hAnsi="宋体" w:eastAsia="宋体" w:cs="宋体"/>
                <w:sz w:val="24"/>
                <w:szCs w:val="24"/>
              </w:rPr>
            </w:pPr>
            <w:r>
              <w:rPr>
                <w:rFonts w:hint="eastAsia" w:ascii="宋体" w:hAnsi="宋体" w:eastAsia="宋体" w:cs="宋体"/>
                <w:sz w:val="24"/>
                <w:szCs w:val="24"/>
              </w:rPr>
              <w:sym w:font="Wingdings 2" w:char="00A3"/>
            </w:r>
            <w:r>
              <w:rPr>
                <w:rFonts w:hint="eastAsia" w:ascii="宋体" w:hAnsi="宋体" w:eastAsia="宋体" w:cs="宋体"/>
                <w:sz w:val="24"/>
                <w:szCs w:val="24"/>
              </w:rPr>
              <w:t>无</w:t>
            </w:r>
          </w:p>
          <w:p>
            <w:pPr>
              <w:spacing w:line="360" w:lineRule="auto"/>
              <w:jc w:val="left"/>
              <w:rPr>
                <w:rFonts w:hint="eastAsia" w:ascii="宋体" w:hAnsi="宋体" w:eastAsia="宋体" w:cs="宋体"/>
                <w:sz w:val="24"/>
              </w:rPr>
            </w:pPr>
            <w:r>
              <w:rPr>
                <w:rFonts w:hint="eastAsia" w:ascii="宋体" w:hAnsi="宋体" w:eastAsia="宋体" w:cs="宋体"/>
                <w:color w:val="auto"/>
                <w:sz w:val="24"/>
              </w:rPr>
              <w:t>■有，具体情形：</w:t>
            </w:r>
            <w:r>
              <w:rPr>
                <w:rFonts w:hint="eastAsia"/>
                <w:sz w:val="24"/>
              </w:rPr>
              <w:t>本项目最高限价为：第</w:t>
            </w:r>
            <w:r>
              <w:rPr>
                <w:rFonts w:hint="eastAsia"/>
                <w:sz w:val="24"/>
                <w:lang w:val="en-US" w:eastAsia="zh-CN"/>
              </w:rPr>
              <w:t>四</w:t>
            </w:r>
            <w:r>
              <w:rPr>
                <w:rFonts w:hint="eastAsia"/>
                <w:sz w:val="24"/>
              </w:rPr>
              <w:t>包：</w:t>
            </w:r>
            <w:r>
              <w:rPr>
                <w:rFonts w:hint="eastAsia"/>
                <w:sz w:val="24"/>
                <w:lang w:val="en-US" w:eastAsia="zh-CN"/>
              </w:rPr>
              <w:t>1328</w:t>
            </w:r>
            <w:r>
              <w:rPr>
                <w:rFonts w:hint="eastAsia"/>
                <w:sz w:val="24"/>
              </w:rPr>
              <w:t>元</w:t>
            </w:r>
            <w:r>
              <w:rPr>
                <w:rFonts w:hint="eastAsia"/>
                <w:sz w:val="24"/>
                <w:lang w:eastAsia="zh-CN"/>
              </w:rPr>
              <w:t>，</w:t>
            </w:r>
            <w:r>
              <w:rPr>
                <w:rFonts w:hint="eastAsia"/>
                <w:sz w:val="24"/>
              </w:rPr>
              <w:t>暂定工程量为1。本项目实行分项控制，投标人各分项投标单价均不得超过招标人给定的各分项综合单价。投标总价仅作为价格分评审，最终合同签订以中标单位报价的各分项价格作为签约合同价。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42" w:type="dxa"/>
            <w:vAlign w:val="center"/>
          </w:tcPr>
          <w:p>
            <w:pPr>
              <w:pStyle w:val="23"/>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11.1</w:t>
            </w:r>
          </w:p>
        </w:tc>
        <w:tc>
          <w:tcPr>
            <w:tcW w:w="2193" w:type="dxa"/>
            <w:vMerge w:val="restart"/>
            <w:vAlign w:val="center"/>
          </w:tcPr>
          <w:p>
            <w:pPr>
              <w:jc w:val="center"/>
              <w:rPr>
                <w:rFonts w:hint="eastAsia" w:ascii="宋体" w:hAnsi="宋体" w:eastAsia="宋体" w:cs="宋体"/>
                <w:sz w:val="24"/>
              </w:rPr>
            </w:pPr>
            <w:r>
              <w:rPr>
                <w:rFonts w:hint="eastAsia" w:ascii="宋体" w:hAnsi="宋体" w:eastAsia="宋体" w:cs="宋体"/>
                <w:sz w:val="24"/>
              </w:rPr>
              <w:t>磋商保证金</w:t>
            </w:r>
          </w:p>
        </w:tc>
        <w:tc>
          <w:tcPr>
            <w:tcW w:w="6492" w:type="dxa"/>
            <w:vAlign w:val="center"/>
          </w:tcPr>
          <w:p>
            <w:pPr>
              <w:spacing w:line="360" w:lineRule="auto"/>
              <w:jc w:val="both"/>
              <w:rPr>
                <w:rFonts w:hint="eastAsia" w:ascii="宋体" w:hAnsi="宋体" w:eastAsia="宋体" w:cs="宋体"/>
                <w:sz w:val="24"/>
              </w:rPr>
            </w:pPr>
            <w:r>
              <w:rPr>
                <w:rFonts w:hint="default"/>
                <w:b/>
                <w:color w:val="auto"/>
                <w:sz w:val="24"/>
                <w:highlight w:val="none"/>
              </w:rPr>
              <w:t>（本项目不收取）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0" w:hRule="atLeast"/>
          <w:jc w:val="center"/>
        </w:trPr>
        <w:tc>
          <w:tcPr>
            <w:tcW w:w="1142" w:type="dxa"/>
            <w:vAlign w:val="center"/>
          </w:tcPr>
          <w:p>
            <w:pPr>
              <w:pStyle w:val="23"/>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11.7.5</w:t>
            </w:r>
          </w:p>
        </w:tc>
        <w:tc>
          <w:tcPr>
            <w:tcW w:w="2193" w:type="dxa"/>
            <w:vMerge w:val="continue"/>
            <w:vAlign w:val="center"/>
          </w:tcPr>
          <w:p>
            <w:pPr>
              <w:jc w:val="center"/>
              <w:rPr>
                <w:rFonts w:hint="eastAsia" w:ascii="宋体" w:hAnsi="宋体" w:eastAsia="宋体" w:cs="宋体"/>
                <w:sz w:val="24"/>
              </w:rPr>
            </w:pPr>
          </w:p>
        </w:tc>
        <w:tc>
          <w:tcPr>
            <w:tcW w:w="6492" w:type="dxa"/>
            <w:vAlign w:val="center"/>
          </w:tcPr>
          <w:p>
            <w:pPr>
              <w:spacing w:line="360" w:lineRule="auto"/>
              <w:jc w:val="left"/>
              <w:rPr>
                <w:rFonts w:hint="eastAsia" w:ascii="宋体" w:hAnsi="宋体" w:eastAsia="宋体" w:cs="宋体"/>
                <w:sz w:val="24"/>
                <w:szCs w:val="24"/>
              </w:rPr>
            </w:pPr>
            <w:r>
              <w:rPr>
                <w:rFonts w:hint="eastAsia" w:ascii="宋体" w:hAnsi="宋体" w:eastAsia="宋体" w:cs="宋体"/>
                <w:sz w:val="24"/>
                <w:szCs w:val="24"/>
              </w:rPr>
              <w:t>磋商保证金不予退还的其他情形：</w:t>
            </w:r>
          </w:p>
          <w:p>
            <w:pPr>
              <w:spacing w:line="360" w:lineRule="auto"/>
              <w:jc w:val="left"/>
              <w:rPr>
                <w:rFonts w:hint="eastAsia" w:ascii="宋体" w:hAnsi="宋体" w:eastAsia="宋体" w:cs="宋体"/>
                <w:sz w:val="24"/>
                <w:szCs w:val="24"/>
              </w:rPr>
            </w:pPr>
            <w:r>
              <w:rPr>
                <w:rFonts w:hint="eastAsia" w:ascii="宋体" w:hAnsi="宋体" w:eastAsia="宋体" w:cs="宋体"/>
                <w:sz w:val="24"/>
                <w:szCs w:val="24"/>
              </w:rPr>
              <w:t>■无</w:t>
            </w:r>
          </w:p>
          <w:p>
            <w:pPr>
              <w:pStyle w:val="23"/>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□有，具体情形：</w:t>
            </w:r>
            <w:r>
              <w:rPr>
                <w:rFonts w:hint="eastAsia" w:ascii="宋体" w:hAnsi="宋体" w:eastAsia="宋体" w:cs="宋体"/>
                <w:sz w:val="24"/>
                <w:szCs w:val="24"/>
                <w:u w:val="single"/>
                <w:lang w:val="en-US" w:eastAsia="zh-CN"/>
              </w:rPr>
              <w:t xml:space="preserve"> / </w:t>
            </w:r>
            <w:r>
              <w:rPr>
                <w:rFonts w:hint="eastAsia" w:ascii="宋体" w:hAnsi="宋体" w:eastAsia="宋体" w:cs="宋体"/>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jc w:val="center"/>
        </w:trPr>
        <w:tc>
          <w:tcPr>
            <w:tcW w:w="1142" w:type="dxa"/>
            <w:vAlign w:val="center"/>
          </w:tcPr>
          <w:p>
            <w:pPr>
              <w:pStyle w:val="23"/>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12.1</w:t>
            </w:r>
          </w:p>
        </w:tc>
        <w:tc>
          <w:tcPr>
            <w:tcW w:w="2193" w:type="dxa"/>
            <w:vAlign w:val="center"/>
          </w:tcPr>
          <w:p>
            <w:pPr>
              <w:jc w:val="center"/>
              <w:rPr>
                <w:rFonts w:hint="eastAsia" w:ascii="宋体" w:hAnsi="宋体" w:eastAsia="宋体" w:cs="宋体"/>
                <w:sz w:val="24"/>
              </w:rPr>
            </w:pPr>
            <w:r>
              <w:rPr>
                <w:rFonts w:hint="eastAsia" w:ascii="宋体" w:hAnsi="宋体" w:eastAsia="宋体" w:cs="宋体"/>
                <w:sz w:val="24"/>
              </w:rPr>
              <w:t>响应有效期</w:t>
            </w:r>
          </w:p>
        </w:tc>
        <w:tc>
          <w:tcPr>
            <w:tcW w:w="6492" w:type="dxa"/>
            <w:vAlign w:val="center"/>
          </w:tcPr>
          <w:p>
            <w:pPr>
              <w:jc w:val="left"/>
              <w:rPr>
                <w:rFonts w:hint="eastAsia" w:ascii="宋体" w:hAnsi="宋体" w:eastAsia="宋体" w:cs="宋体"/>
                <w:sz w:val="24"/>
              </w:rPr>
            </w:pPr>
            <w:r>
              <w:rPr>
                <w:rFonts w:hint="eastAsia" w:ascii="宋体" w:hAnsi="宋体" w:eastAsia="宋体" w:cs="宋体"/>
                <w:sz w:val="24"/>
              </w:rPr>
              <w:t>自提交响应文件的截止之日起算</w:t>
            </w:r>
            <w:r>
              <w:rPr>
                <w:rFonts w:hint="eastAsia" w:ascii="宋体" w:hAnsi="宋体" w:eastAsia="宋体" w:cs="宋体"/>
                <w:sz w:val="24"/>
                <w:u w:val="single"/>
                <w:lang w:val="en-US" w:eastAsia="zh-CN"/>
              </w:rPr>
              <w:t xml:space="preserve"> 90 </w:t>
            </w:r>
            <w:r>
              <w:rPr>
                <w:rFonts w:hint="eastAsia" w:ascii="宋体" w:hAnsi="宋体" w:eastAsia="宋体" w:cs="宋体"/>
                <w:sz w:val="24"/>
              </w:rPr>
              <w:t>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42" w:type="dxa"/>
            <w:vAlign w:val="center"/>
          </w:tcPr>
          <w:p>
            <w:pPr>
              <w:pStyle w:val="23"/>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20.1</w:t>
            </w:r>
          </w:p>
        </w:tc>
        <w:tc>
          <w:tcPr>
            <w:tcW w:w="2193" w:type="dxa"/>
            <w:vAlign w:val="center"/>
          </w:tcPr>
          <w:p>
            <w:pPr>
              <w:jc w:val="center"/>
              <w:rPr>
                <w:rFonts w:hint="eastAsia" w:ascii="宋体" w:hAnsi="宋体" w:eastAsia="宋体" w:cs="宋体"/>
                <w:sz w:val="24"/>
              </w:rPr>
            </w:pPr>
            <w:r>
              <w:rPr>
                <w:rFonts w:hint="eastAsia" w:ascii="宋体" w:hAnsi="宋体" w:eastAsia="宋体" w:cs="宋体"/>
                <w:sz w:val="24"/>
              </w:rPr>
              <w:t>成交供应商的确认</w:t>
            </w:r>
          </w:p>
        </w:tc>
        <w:tc>
          <w:tcPr>
            <w:tcW w:w="6492" w:type="dxa"/>
            <w:vAlign w:val="center"/>
          </w:tcPr>
          <w:p>
            <w:pPr>
              <w:pStyle w:val="23"/>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采购人是否</w:t>
            </w:r>
            <w:r>
              <w:rPr>
                <w:rFonts w:hint="eastAsia" w:ascii="宋体" w:hAnsi="宋体" w:eastAsia="宋体" w:cs="宋体"/>
                <w:color w:val="000000"/>
                <w:sz w:val="24"/>
                <w:szCs w:val="24"/>
              </w:rPr>
              <w:t>授权磋商小组直接确定成交供应商</w:t>
            </w:r>
            <w:r>
              <w:rPr>
                <w:rFonts w:hint="eastAsia" w:ascii="宋体" w:hAnsi="宋体" w:eastAsia="宋体" w:cs="宋体"/>
                <w:sz w:val="24"/>
                <w:szCs w:val="24"/>
              </w:rPr>
              <w:t>：</w:t>
            </w:r>
          </w:p>
          <w:p>
            <w:pPr>
              <w:pStyle w:val="23"/>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■否</w:t>
            </w:r>
          </w:p>
          <w:p>
            <w:pPr>
              <w:spacing w:line="360" w:lineRule="auto"/>
              <w:jc w:val="left"/>
              <w:rPr>
                <w:rFonts w:hint="eastAsia" w:ascii="宋体" w:hAnsi="宋体" w:eastAsia="宋体" w:cs="宋体"/>
                <w:sz w:val="24"/>
                <w:szCs w:val="24"/>
              </w:rPr>
            </w:pPr>
            <w:r>
              <w:rPr>
                <w:rFonts w:hint="eastAsia" w:ascii="宋体" w:hAnsi="宋体" w:eastAsia="宋体" w:cs="宋体"/>
                <w:sz w:val="24"/>
                <w:szCs w:val="24"/>
              </w:rPr>
              <w:t>□是</w:t>
            </w:r>
          </w:p>
          <w:p>
            <w:pPr>
              <w:spacing w:line="360" w:lineRule="auto"/>
              <w:jc w:val="left"/>
              <w:rPr>
                <w:rFonts w:hint="eastAsia" w:ascii="宋体" w:hAnsi="宋体" w:eastAsia="宋体" w:cs="宋体"/>
                <w:sz w:val="24"/>
                <w:u w:val="single"/>
              </w:rPr>
            </w:pPr>
            <w:r>
              <w:rPr>
                <w:rFonts w:hint="eastAsia" w:ascii="宋体" w:hAnsi="宋体" w:eastAsia="宋体" w:cs="宋体"/>
                <w:sz w:val="24"/>
              </w:rPr>
              <w:t>成交候选人并列的，按照以下方式确定成交供应商：</w:t>
            </w:r>
            <w:r>
              <w:rPr>
                <w:rFonts w:hint="eastAsia" w:ascii="宋体" w:hAnsi="宋体" w:eastAsia="宋体" w:cs="宋体"/>
                <w:sz w:val="24"/>
                <w:u w:val="single"/>
                <w:lang w:eastAsia="zh-CN"/>
              </w:rPr>
              <w:t>按</w:t>
            </w:r>
            <w:r>
              <w:rPr>
                <w:rFonts w:hint="eastAsia" w:ascii="宋体" w:hAnsi="宋体" w:eastAsia="宋体" w:cs="宋体"/>
                <w:sz w:val="24"/>
                <w:u w:val="single"/>
              </w:rPr>
              <w:t>技术</w:t>
            </w:r>
            <w:r>
              <w:rPr>
                <w:rFonts w:hint="eastAsia" w:ascii="宋体" w:hAnsi="宋体" w:eastAsia="宋体" w:cs="宋体"/>
                <w:sz w:val="24"/>
                <w:u w:val="single"/>
                <w:lang w:eastAsia="zh-CN"/>
              </w:rPr>
              <w:t>部分</w:t>
            </w:r>
            <w:r>
              <w:rPr>
                <w:rFonts w:hint="eastAsia" w:ascii="宋体" w:hAnsi="宋体" w:eastAsia="宋体" w:cs="宋体"/>
                <w:sz w:val="24"/>
                <w:u w:val="single"/>
              </w:rPr>
              <w:t>得分</w:t>
            </w:r>
            <w:r>
              <w:rPr>
                <w:rFonts w:hint="eastAsia" w:ascii="宋体" w:hAnsi="宋体" w:eastAsia="宋体" w:cs="宋体"/>
                <w:sz w:val="24"/>
                <w:u w:val="single"/>
                <w:lang w:eastAsia="zh-CN"/>
              </w:rPr>
              <w:t>由高到低排序</w:t>
            </w:r>
            <w:r>
              <w:rPr>
                <w:rFonts w:hint="eastAsia" w:ascii="宋体" w:hAnsi="宋体" w:eastAsia="宋体" w:cs="宋体"/>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42" w:type="dxa"/>
            <w:vAlign w:val="center"/>
          </w:tcPr>
          <w:p>
            <w:pPr>
              <w:pStyle w:val="23"/>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23.5</w:t>
            </w:r>
          </w:p>
        </w:tc>
        <w:tc>
          <w:tcPr>
            <w:tcW w:w="2193" w:type="dxa"/>
            <w:vAlign w:val="center"/>
          </w:tcPr>
          <w:p>
            <w:pPr>
              <w:spacing w:line="360" w:lineRule="auto"/>
              <w:jc w:val="center"/>
              <w:rPr>
                <w:rFonts w:hint="eastAsia" w:ascii="宋体" w:hAnsi="宋体" w:eastAsia="宋体" w:cs="宋体"/>
                <w:sz w:val="24"/>
              </w:rPr>
            </w:pPr>
            <w:r>
              <w:rPr>
                <w:rFonts w:hint="eastAsia" w:ascii="宋体" w:hAnsi="宋体" w:eastAsia="宋体" w:cs="宋体"/>
                <w:sz w:val="24"/>
              </w:rPr>
              <w:t>分包</w:t>
            </w:r>
          </w:p>
        </w:tc>
        <w:tc>
          <w:tcPr>
            <w:tcW w:w="6492" w:type="dxa"/>
            <w:vAlign w:val="center"/>
          </w:tcPr>
          <w:p>
            <w:pPr>
              <w:spacing w:line="360" w:lineRule="auto"/>
              <w:jc w:val="left"/>
              <w:rPr>
                <w:rFonts w:hint="eastAsia" w:ascii="宋体" w:hAnsi="宋体" w:eastAsia="宋体" w:cs="宋体"/>
                <w:sz w:val="24"/>
                <w:u w:val="none"/>
              </w:rPr>
            </w:pPr>
            <w:r>
              <w:rPr>
                <w:rFonts w:hint="eastAsia" w:ascii="宋体" w:hAnsi="宋体" w:eastAsia="宋体" w:cs="宋体"/>
                <w:sz w:val="24"/>
                <w:u w:val="none"/>
              </w:rPr>
              <w:t xml:space="preserve">本项目是否允许分包： </w:t>
            </w:r>
          </w:p>
          <w:p>
            <w:pPr>
              <w:spacing w:line="360" w:lineRule="auto"/>
              <w:jc w:val="left"/>
              <w:rPr>
                <w:rFonts w:hint="eastAsia" w:ascii="宋体" w:hAnsi="宋体" w:eastAsia="宋体" w:cs="宋体"/>
                <w:sz w:val="24"/>
                <w:u w:val="none"/>
              </w:rPr>
            </w:pPr>
            <w:r>
              <w:rPr>
                <w:rFonts w:hint="eastAsia" w:ascii="宋体" w:hAnsi="宋体" w:eastAsia="宋体" w:cs="宋体"/>
                <w:sz w:val="24"/>
                <w:u w:val="none"/>
                <w:lang w:eastAsia="zh-CN"/>
              </w:rPr>
              <w:t>■</w:t>
            </w:r>
            <w:r>
              <w:rPr>
                <w:rFonts w:hint="eastAsia" w:ascii="宋体" w:hAnsi="宋体" w:eastAsia="宋体" w:cs="宋体"/>
                <w:sz w:val="24"/>
                <w:u w:val="none"/>
              </w:rPr>
              <w:t>不允许</w:t>
            </w:r>
          </w:p>
          <w:p>
            <w:pPr>
              <w:spacing w:line="360" w:lineRule="auto"/>
              <w:jc w:val="left"/>
              <w:rPr>
                <w:rFonts w:hint="eastAsia" w:ascii="宋体" w:hAnsi="宋体" w:eastAsia="宋体" w:cs="宋体"/>
                <w:sz w:val="24"/>
                <w:u w:val="none"/>
              </w:rPr>
            </w:pPr>
            <w:r>
              <w:rPr>
                <w:rFonts w:hint="eastAsia" w:ascii="宋体" w:hAnsi="宋体" w:eastAsia="宋体" w:cs="宋体"/>
                <w:sz w:val="24"/>
                <w:u w:val="none"/>
              </w:rPr>
              <w:sym w:font="Wingdings 2" w:char="00A3"/>
            </w:r>
            <w:r>
              <w:rPr>
                <w:rFonts w:hint="eastAsia" w:ascii="宋体" w:hAnsi="宋体" w:eastAsia="宋体" w:cs="宋体"/>
                <w:sz w:val="24"/>
                <w:u w:val="none"/>
              </w:rPr>
              <w:t>允许，具体要求：</w:t>
            </w:r>
          </w:p>
          <w:p>
            <w:pPr>
              <w:spacing w:line="360" w:lineRule="auto"/>
              <w:jc w:val="left"/>
              <w:rPr>
                <w:rFonts w:hint="eastAsia" w:ascii="宋体" w:hAnsi="宋体" w:eastAsia="宋体" w:cs="宋体"/>
                <w:sz w:val="24"/>
                <w:u w:val="single"/>
              </w:rPr>
            </w:pPr>
            <w:r>
              <w:rPr>
                <w:rFonts w:hint="eastAsia" w:ascii="宋体" w:hAnsi="宋体" w:eastAsia="宋体" w:cs="宋体"/>
                <w:sz w:val="24"/>
                <w:u w:val="single"/>
              </w:rPr>
              <w:t xml:space="preserve">（1）可以分包履行的具体内容： </w:t>
            </w:r>
            <w:r>
              <w:rPr>
                <w:rFonts w:hint="eastAsia" w:ascii="宋体" w:hAnsi="宋体" w:eastAsia="宋体" w:cs="宋体"/>
                <w:sz w:val="24"/>
                <w:u w:val="single"/>
                <w:lang w:val="en-US" w:eastAsia="zh-CN"/>
              </w:rPr>
              <w:t xml:space="preserve">  /   </w:t>
            </w:r>
            <w:r>
              <w:rPr>
                <w:rFonts w:hint="eastAsia" w:ascii="宋体" w:hAnsi="宋体" w:eastAsia="宋体" w:cs="宋体"/>
                <w:sz w:val="24"/>
                <w:u w:val="single"/>
              </w:rPr>
              <w:t xml:space="preserve"> ；</w:t>
            </w:r>
          </w:p>
          <w:p>
            <w:pPr>
              <w:spacing w:line="360" w:lineRule="auto"/>
              <w:jc w:val="left"/>
              <w:rPr>
                <w:rFonts w:hint="eastAsia" w:ascii="宋体" w:hAnsi="宋体" w:eastAsia="宋体" w:cs="宋体"/>
                <w:sz w:val="24"/>
                <w:u w:val="single"/>
              </w:rPr>
            </w:pPr>
            <w:r>
              <w:rPr>
                <w:rFonts w:hint="eastAsia" w:ascii="宋体" w:hAnsi="宋体" w:eastAsia="宋体" w:cs="宋体"/>
                <w:sz w:val="24"/>
                <w:u w:val="single"/>
              </w:rPr>
              <w:t xml:space="preserve">（2）允许分包的金额或者比例： </w:t>
            </w:r>
            <w:r>
              <w:rPr>
                <w:rFonts w:hint="eastAsia" w:ascii="宋体" w:hAnsi="宋体" w:eastAsia="宋体" w:cs="宋体"/>
                <w:sz w:val="24"/>
                <w:u w:val="single"/>
                <w:lang w:val="en-US" w:eastAsia="zh-CN"/>
              </w:rPr>
              <w:t xml:space="preserve">  /   </w:t>
            </w:r>
            <w:r>
              <w:rPr>
                <w:rFonts w:hint="eastAsia" w:ascii="宋体" w:hAnsi="宋体" w:eastAsia="宋体" w:cs="宋体"/>
                <w:sz w:val="24"/>
                <w:u w:val="single"/>
              </w:rPr>
              <w:t xml:space="preserve"> ；</w:t>
            </w:r>
          </w:p>
          <w:p>
            <w:pPr>
              <w:spacing w:line="360" w:lineRule="auto"/>
              <w:jc w:val="left"/>
              <w:rPr>
                <w:rFonts w:hint="eastAsia" w:ascii="宋体" w:hAnsi="宋体" w:eastAsia="宋体" w:cs="宋体"/>
                <w:sz w:val="24"/>
                <w:u w:val="single"/>
              </w:rPr>
            </w:pPr>
            <w:r>
              <w:rPr>
                <w:rFonts w:hint="eastAsia" w:ascii="宋体" w:hAnsi="宋体" w:eastAsia="宋体" w:cs="宋体"/>
                <w:sz w:val="24"/>
                <w:u w:val="single"/>
              </w:rPr>
              <w:t xml:space="preserve">（3）其他要求： </w:t>
            </w:r>
            <w:r>
              <w:rPr>
                <w:rFonts w:hint="eastAsia" w:ascii="宋体" w:hAnsi="宋体" w:eastAsia="宋体" w:cs="宋体"/>
                <w:sz w:val="24"/>
                <w:u w:val="single"/>
                <w:lang w:val="en-US" w:eastAsia="zh-CN"/>
              </w:rPr>
              <w:t xml:space="preserve">  /   </w:t>
            </w:r>
            <w:r>
              <w:rPr>
                <w:rFonts w:hint="eastAsia" w:ascii="宋体" w:hAnsi="宋体" w:eastAsia="宋体" w:cs="宋体"/>
                <w:sz w:val="24"/>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6" w:hRule="atLeast"/>
          <w:jc w:val="center"/>
        </w:trPr>
        <w:tc>
          <w:tcPr>
            <w:tcW w:w="1142" w:type="dxa"/>
            <w:vAlign w:val="center"/>
          </w:tcPr>
          <w:p>
            <w:pPr>
              <w:pStyle w:val="23"/>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24.1.1</w:t>
            </w:r>
          </w:p>
        </w:tc>
        <w:tc>
          <w:tcPr>
            <w:tcW w:w="2193" w:type="dxa"/>
            <w:vAlign w:val="center"/>
          </w:tcPr>
          <w:p>
            <w:pPr>
              <w:spacing w:line="240" w:lineRule="auto"/>
              <w:jc w:val="center"/>
              <w:rPr>
                <w:rFonts w:hint="eastAsia" w:ascii="宋体" w:hAnsi="宋体" w:eastAsia="宋体" w:cs="宋体"/>
                <w:sz w:val="24"/>
              </w:rPr>
            </w:pPr>
            <w:r>
              <w:rPr>
                <w:rFonts w:hint="eastAsia" w:ascii="宋体" w:hAnsi="宋体" w:eastAsia="宋体" w:cs="宋体"/>
                <w:sz w:val="24"/>
              </w:rPr>
              <w:t>询问</w:t>
            </w:r>
          </w:p>
        </w:tc>
        <w:tc>
          <w:tcPr>
            <w:tcW w:w="6492" w:type="dxa"/>
            <w:vAlign w:val="center"/>
          </w:tcPr>
          <w:p>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宋体" w:hAnsi="宋体" w:eastAsia="宋体" w:cs="宋体"/>
                <w:sz w:val="24"/>
              </w:rPr>
            </w:pPr>
            <w:r>
              <w:rPr>
                <w:rFonts w:hint="eastAsia" w:ascii="宋体" w:hAnsi="宋体" w:eastAsia="宋体" w:cs="宋体"/>
                <w:sz w:val="24"/>
              </w:rPr>
              <w:t>询问送达形式：</w:t>
            </w:r>
            <w:r>
              <w:rPr>
                <w:rFonts w:hint="eastAsia" w:ascii="宋体" w:hAnsi="宋体" w:eastAsia="宋体" w:cs="宋体"/>
                <w:color w:val="auto"/>
                <w:sz w:val="24"/>
                <w:lang w:eastAsia="zh-CN"/>
              </w:rPr>
              <w:t>将询问函扫描件</w:t>
            </w:r>
            <w:r>
              <w:rPr>
                <w:rFonts w:hint="eastAsia" w:ascii="宋体" w:hAnsi="宋体" w:eastAsia="宋体" w:cs="宋体"/>
                <w:color w:val="auto"/>
                <w:sz w:val="24"/>
                <w:lang w:val="en-US" w:eastAsia="zh-CN"/>
              </w:rPr>
              <w:t>发送至</w:t>
            </w:r>
            <w:r>
              <w:rPr>
                <w:rFonts w:hint="eastAsia" w:ascii="宋体" w:hAnsi="宋体" w:cs="宋体"/>
                <w:color w:val="auto"/>
                <w:sz w:val="24"/>
                <w:lang w:val="en-US" w:eastAsia="zh-CN"/>
              </w:rPr>
              <w:t>huaxinheng888</w:t>
            </w:r>
            <w:r>
              <w:rPr>
                <w:rFonts w:hint="eastAsia" w:ascii="宋体" w:hAnsi="宋体" w:eastAsia="宋体" w:cs="宋体"/>
                <w:color w:val="auto"/>
                <w:sz w:val="24"/>
                <w:lang w:val="en-US" w:eastAsia="zh-CN"/>
              </w:rPr>
              <w:t>@1</w:t>
            </w:r>
            <w:r>
              <w:rPr>
                <w:rFonts w:hint="eastAsia" w:ascii="宋体" w:hAnsi="宋体" w:cs="宋体"/>
                <w:color w:val="auto"/>
                <w:sz w:val="24"/>
                <w:lang w:val="en-US" w:eastAsia="zh-CN"/>
              </w:rPr>
              <w:t>26</w:t>
            </w:r>
            <w:r>
              <w:rPr>
                <w:rFonts w:hint="eastAsia" w:ascii="宋体" w:hAnsi="宋体" w:eastAsia="宋体" w:cs="宋体"/>
                <w:color w:val="auto"/>
                <w:sz w:val="24"/>
                <w:lang w:val="en-US" w:eastAsia="zh-CN"/>
              </w:rPr>
              <w:t>.com（需加盖供应商公章），并致电采购代理机构告知。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2" w:hRule="atLeast"/>
          <w:jc w:val="center"/>
        </w:trPr>
        <w:tc>
          <w:tcPr>
            <w:tcW w:w="1142" w:type="dxa"/>
            <w:vAlign w:val="center"/>
          </w:tcPr>
          <w:p>
            <w:pPr>
              <w:pStyle w:val="23"/>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24.3</w:t>
            </w:r>
          </w:p>
        </w:tc>
        <w:tc>
          <w:tcPr>
            <w:tcW w:w="2193" w:type="dxa"/>
            <w:vAlign w:val="center"/>
          </w:tcPr>
          <w:p>
            <w:pPr>
              <w:spacing w:line="360" w:lineRule="auto"/>
              <w:jc w:val="center"/>
              <w:rPr>
                <w:rFonts w:hint="eastAsia" w:ascii="宋体" w:hAnsi="宋体" w:eastAsia="宋体" w:cs="宋体"/>
                <w:sz w:val="24"/>
              </w:rPr>
            </w:pPr>
            <w:r>
              <w:rPr>
                <w:rFonts w:hint="eastAsia" w:ascii="宋体" w:hAnsi="宋体" w:eastAsia="宋体" w:cs="宋体"/>
                <w:sz w:val="24"/>
              </w:rPr>
              <w:t>联系方式</w:t>
            </w:r>
          </w:p>
        </w:tc>
        <w:tc>
          <w:tcPr>
            <w:tcW w:w="6492" w:type="dxa"/>
            <w:vAlign w:val="center"/>
          </w:tcPr>
          <w:p>
            <w:pPr>
              <w:shd w:val="clear"/>
              <w:spacing w:line="360" w:lineRule="auto"/>
              <w:jc w:val="left"/>
              <w:rPr>
                <w:rFonts w:hint="eastAsia" w:ascii="宋体" w:hAnsi="宋体" w:eastAsia="宋体" w:cs="宋体"/>
                <w:sz w:val="24"/>
              </w:rPr>
            </w:pPr>
            <w:r>
              <w:rPr>
                <w:rFonts w:hint="eastAsia" w:ascii="宋体" w:hAnsi="宋体" w:eastAsia="宋体" w:cs="宋体"/>
                <w:sz w:val="24"/>
              </w:rPr>
              <w:t>接收询问和质疑的联系方式</w:t>
            </w:r>
          </w:p>
          <w:p>
            <w:pPr>
              <w:shd w:val="clear"/>
              <w:spacing w:line="360" w:lineRule="auto"/>
              <w:jc w:val="left"/>
              <w:rPr>
                <w:rFonts w:hint="eastAsia" w:ascii="宋体" w:hAnsi="宋体" w:eastAsia="宋体" w:cs="宋体"/>
                <w:sz w:val="24"/>
              </w:rPr>
            </w:pPr>
            <w:r>
              <w:rPr>
                <w:rFonts w:hint="eastAsia" w:ascii="宋体" w:hAnsi="宋体" w:eastAsia="宋体" w:cs="宋体"/>
                <w:sz w:val="24"/>
              </w:rPr>
              <w:t>联系部门：</w:t>
            </w:r>
            <w:r>
              <w:rPr>
                <w:rFonts w:hint="eastAsia" w:ascii="宋体" w:hAnsi="宋体" w:cs="宋体"/>
                <w:sz w:val="24"/>
                <w:u w:val="single"/>
                <w:lang w:eastAsia="zh-CN"/>
              </w:rPr>
              <w:t xml:space="preserve">北京华信恒工程咨询有限公司 </w:t>
            </w:r>
            <w:r>
              <w:rPr>
                <w:rFonts w:hint="eastAsia" w:ascii="宋体" w:hAnsi="宋体" w:eastAsia="宋体" w:cs="宋体"/>
                <w:sz w:val="24"/>
              </w:rPr>
              <w:t>；</w:t>
            </w:r>
          </w:p>
          <w:p>
            <w:pPr>
              <w:shd w:val="clear"/>
              <w:spacing w:line="360" w:lineRule="auto"/>
              <w:jc w:val="left"/>
              <w:rPr>
                <w:rFonts w:hint="eastAsia" w:ascii="宋体" w:hAnsi="宋体" w:eastAsia="宋体" w:cs="宋体"/>
                <w:sz w:val="24"/>
              </w:rPr>
            </w:pPr>
            <w:r>
              <w:rPr>
                <w:rFonts w:hint="eastAsia" w:ascii="宋体" w:hAnsi="宋体" w:eastAsia="宋体" w:cs="宋体"/>
                <w:sz w:val="24"/>
              </w:rPr>
              <w:t>联系电话：</w:t>
            </w:r>
            <w:r>
              <w:rPr>
                <w:rFonts w:hint="eastAsia" w:ascii="宋体" w:hAnsi="宋体" w:cs="宋体"/>
                <w:sz w:val="24"/>
                <w:u w:val="single"/>
                <w:lang w:val="en-US" w:eastAsia="zh-CN"/>
              </w:rPr>
              <w:t>13269953777</w:t>
            </w:r>
            <w:r>
              <w:rPr>
                <w:rFonts w:hint="eastAsia" w:ascii="宋体" w:hAnsi="宋体" w:eastAsia="宋体" w:cs="宋体"/>
                <w:sz w:val="24"/>
              </w:rPr>
              <w:t>；</w:t>
            </w:r>
          </w:p>
          <w:p>
            <w:pPr>
              <w:spacing w:line="360" w:lineRule="auto"/>
              <w:jc w:val="left"/>
              <w:rPr>
                <w:rFonts w:hint="eastAsia" w:ascii="宋体" w:hAnsi="宋体" w:eastAsia="宋体" w:cs="宋体"/>
                <w:sz w:val="24"/>
              </w:rPr>
            </w:pPr>
            <w:r>
              <w:rPr>
                <w:rFonts w:hint="eastAsia" w:ascii="宋体" w:hAnsi="宋体" w:eastAsia="宋体" w:cs="宋体"/>
                <w:sz w:val="24"/>
              </w:rPr>
              <w:t>通讯地址：</w:t>
            </w:r>
            <w:r>
              <w:rPr>
                <w:rFonts w:hint="eastAsia" w:ascii="宋体" w:hAnsi="宋体" w:cs="宋体"/>
                <w:sz w:val="24"/>
                <w:u w:val="single"/>
                <w:lang w:eastAsia="zh-CN"/>
              </w:rPr>
              <w:t>北京市顺义区马坡镇衙门村庙卷路6号</w:t>
            </w:r>
            <w:r>
              <w:rPr>
                <w:rFonts w:hint="eastAsia" w:ascii="宋体" w:hAnsi="宋体" w:eastAsia="宋体" w:cs="宋体"/>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42" w:type="dxa"/>
            <w:vAlign w:val="center"/>
          </w:tcPr>
          <w:p>
            <w:pPr>
              <w:pStyle w:val="23"/>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25</w:t>
            </w:r>
          </w:p>
        </w:tc>
        <w:tc>
          <w:tcPr>
            <w:tcW w:w="2193" w:type="dxa"/>
            <w:vAlign w:val="center"/>
          </w:tcPr>
          <w:p>
            <w:pPr>
              <w:spacing w:line="360" w:lineRule="auto"/>
              <w:jc w:val="center"/>
              <w:rPr>
                <w:rFonts w:hint="eastAsia" w:ascii="宋体" w:hAnsi="宋体" w:eastAsia="宋体" w:cs="宋体"/>
                <w:sz w:val="24"/>
              </w:rPr>
            </w:pPr>
            <w:r>
              <w:rPr>
                <w:rFonts w:hint="eastAsia" w:ascii="宋体" w:hAnsi="宋体" w:eastAsia="宋体" w:cs="宋体"/>
                <w:sz w:val="24"/>
              </w:rPr>
              <w:t>代理费</w:t>
            </w:r>
          </w:p>
        </w:tc>
        <w:tc>
          <w:tcPr>
            <w:tcW w:w="6492" w:type="dxa"/>
            <w:vAlign w:val="center"/>
          </w:tcPr>
          <w:p>
            <w:pPr>
              <w:spacing w:line="360" w:lineRule="auto"/>
              <w:jc w:val="left"/>
              <w:rPr>
                <w:rFonts w:hint="eastAsia" w:ascii="宋体" w:hAnsi="宋体" w:eastAsia="宋体" w:cs="宋体"/>
                <w:sz w:val="24"/>
              </w:rPr>
            </w:pPr>
            <w:r>
              <w:rPr>
                <w:rFonts w:hint="eastAsia" w:ascii="宋体" w:hAnsi="宋体" w:eastAsia="宋体" w:cs="宋体"/>
                <w:sz w:val="24"/>
              </w:rPr>
              <w:t>收费对象：</w:t>
            </w:r>
          </w:p>
          <w:p>
            <w:pPr>
              <w:spacing w:line="360" w:lineRule="auto"/>
              <w:jc w:val="left"/>
              <w:rPr>
                <w:rFonts w:hint="eastAsia" w:ascii="宋体" w:hAnsi="宋体" w:eastAsia="宋体" w:cs="宋体"/>
                <w:sz w:val="24"/>
              </w:rPr>
            </w:pPr>
            <w:r>
              <w:rPr>
                <w:rFonts w:hint="eastAsia" w:ascii="宋体" w:hAnsi="宋体" w:eastAsia="宋体" w:cs="宋体"/>
              </w:rPr>
              <w:t>□</w:t>
            </w:r>
            <w:r>
              <w:rPr>
                <w:rFonts w:hint="eastAsia" w:ascii="宋体" w:hAnsi="宋体" w:eastAsia="宋体" w:cs="宋体"/>
                <w:sz w:val="24"/>
              </w:rPr>
              <w:t>采购人</w:t>
            </w:r>
          </w:p>
          <w:p>
            <w:pPr>
              <w:spacing w:line="360" w:lineRule="auto"/>
              <w:jc w:val="left"/>
              <w:rPr>
                <w:rFonts w:hint="eastAsia" w:ascii="宋体" w:hAnsi="宋体" w:eastAsia="宋体" w:cs="宋体"/>
                <w:sz w:val="24"/>
              </w:rPr>
            </w:pPr>
            <w:r>
              <w:rPr>
                <w:rFonts w:hint="eastAsia" w:ascii="宋体" w:hAnsi="宋体" w:eastAsia="宋体" w:cs="宋体"/>
                <w:sz w:val="24"/>
              </w:rPr>
              <w:t>■成交供应商</w:t>
            </w:r>
          </w:p>
          <w:p>
            <w:pPr>
              <w:spacing w:line="360" w:lineRule="auto"/>
              <w:jc w:val="left"/>
              <w:rPr>
                <w:rFonts w:hint="eastAsia"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t>收费标准：最终招标代理费参考国家计委《招标代理服务收费管理暂行办法》（计价格〔2002〕1980号）及国家发展改革委办公厅《关于招标代理服务收费有关问题的通知》（发改办价格〔2003〕857号）规定标准，以各包预算金额为基数下浮</w:t>
            </w:r>
            <w:r>
              <w:rPr>
                <w:rFonts w:hint="eastAsia" w:ascii="宋体" w:hAnsi="宋体" w:eastAsia="宋体" w:cs="Times New Roman"/>
                <w:color w:val="auto"/>
                <w:sz w:val="24"/>
                <w:szCs w:val="22"/>
                <w:highlight w:val="none"/>
                <w:lang w:val="en-US" w:eastAsia="zh-CN"/>
              </w:rPr>
              <w:t>42</w:t>
            </w:r>
            <w:r>
              <w:rPr>
                <w:rFonts w:hint="eastAsia" w:ascii="宋体" w:hAnsi="宋体" w:eastAsia="宋体" w:cs="Times New Roman"/>
                <w:color w:val="auto"/>
                <w:sz w:val="24"/>
                <w:szCs w:val="22"/>
                <w:highlight w:val="none"/>
              </w:rPr>
              <w:t>%（</w:t>
            </w:r>
            <w:r>
              <w:rPr>
                <w:rFonts w:hint="eastAsia" w:ascii="宋体" w:hAnsi="宋体" w:eastAsia="宋体" w:cs="Times New Roman"/>
                <w:color w:val="auto"/>
                <w:sz w:val="24"/>
                <w:szCs w:val="22"/>
                <w:highlight w:val="none"/>
                <w:lang w:val="en-US" w:eastAsia="zh-CN"/>
              </w:rPr>
              <w:t>5.8</w:t>
            </w:r>
            <w:r>
              <w:rPr>
                <w:rFonts w:hint="eastAsia" w:ascii="宋体" w:hAnsi="宋体" w:eastAsia="宋体" w:cs="Times New Roman"/>
                <w:color w:val="auto"/>
                <w:sz w:val="24"/>
                <w:szCs w:val="22"/>
                <w:highlight w:val="none"/>
              </w:rPr>
              <w:t>折）计算服务费</w:t>
            </w:r>
            <w:r>
              <w:rPr>
                <w:rFonts w:hint="eastAsia" w:ascii="宋体" w:hAnsi="宋体" w:eastAsia="宋体" w:cs="Times New Roman"/>
                <w:color w:val="auto"/>
                <w:sz w:val="24"/>
                <w:szCs w:val="22"/>
                <w:highlight w:val="none"/>
                <w:lang w:eastAsia="zh-CN"/>
              </w:rPr>
              <w:t>，</w:t>
            </w:r>
            <w:r>
              <w:rPr>
                <w:rFonts w:hint="eastAsia" w:ascii="宋体" w:hAnsi="宋体" w:eastAsia="宋体" w:cs="Times New Roman"/>
                <w:color w:val="auto"/>
                <w:sz w:val="24"/>
                <w:szCs w:val="22"/>
                <w:highlight w:val="none"/>
                <w:lang w:val="en-US" w:eastAsia="zh-CN"/>
              </w:rPr>
              <w:t>第四包：25230元</w:t>
            </w:r>
            <w:r>
              <w:rPr>
                <w:rFonts w:hint="eastAsia" w:ascii="宋体" w:hAnsi="宋体" w:eastAsia="宋体" w:cs="Times New Roman"/>
                <w:color w:val="auto"/>
                <w:sz w:val="24"/>
                <w:szCs w:val="22"/>
                <w:highlight w:val="none"/>
              </w:rPr>
              <w:t>；</w:t>
            </w:r>
          </w:p>
          <w:p>
            <w:pPr>
              <w:spacing w:line="360" w:lineRule="auto"/>
              <w:jc w:val="left"/>
              <w:rPr>
                <w:rFonts w:hint="eastAsia" w:ascii="宋体" w:hAnsi="宋体" w:eastAsia="宋体" w:cs="宋体"/>
                <w:sz w:val="24"/>
              </w:rPr>
            </w:pPr>
            <w:r>
              <w:rPr>
                <w:rFonts w:hint="eastAsia" w:ascii="宋体" w:hAnsi="宋体" w:eastAsia="宋体" w:cs="Times New Roman"/>
                <w:color w:val="auto"/>
                <w:sz w:val="24"/>
                <w:szCs w:val="22"/>
                <w:highlight w:val="none"/>
              </w:rPr>
              <w:t>缴纳时间：中标人领取中标通知书时向招标代理机构一次性全额交付招标代理费。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42" w:type="dxa"/>
            <w:vAlign w:val="center"/>
          </w:tcPr>
          <w:p>
            <w:pPr>
              <w:pStyle w:val="23"/>
              <w:adjustRightInd w:val="0"/>
              <w:snapToGrid w:val="0"/>
              <w:jc w:val="center"/>
              <w:rPr>
                <w:rFonts w:hint="eastAsia" w:ascii="宋体" w:hAnsi="宋体" w:eastAsia="宋体" w:cs="宋体"/>
                <w:sz w:val="24"/>
                <w:szCs w:val="24"/>
              </w:rPr>
            </w:pPr>
            <w:r>
              <w:rPr>
                <w:rFonts w:ascii="Times New Roman" w:hAnsi="Times New Roman"/>
                <w:color w:val="auto"/>
                <w:sz w:val="24"/>
                <w:szCs w:val="24"/>
                <w:highlight w:val="none"/>
              </w:rPr>
              <w:t>补充</w:t>
            </w:r>
          </w:p>
        </w:tc>
        <w:tc>
          <w:tcPr>
            <w:tcW w:w="2193" w:type="dxa"/>
            <w:vAlign w:val="center"/>
          </w:tcPr>
          <w:p>
            <w:pPr>
              <w:spacing w:line="360" w:lineRule="auto"/>
              <w:jc w:val="center"/>
              <w:rPr>
                <w:rFonts w:hint="eastAsia" w:ascii="宋体" w:hAnsi="宋体" w:eastAsia="宋体" w:cs="宋体"/>
                <w:sz w:val="24"/>
              </w:rPr>
            </w:pPr>
            <w:r>
              <w:rPr>
                <w:rFonts w:hint="eastAsia" w:ascii="宋体" w:hAnsi="宋体"/>
                <w:color w:val="auto"/>
                <w:sz w:val="24"/>
                <w:szCs w:val="22"/>
                <w:highlight w:val="none"/>
              </w:rPr>
              <w:t>磋商小组构成</w:t>
            </w:r>
          </w:p>
        </w:tc>
        <w:tc>
          <w:tcPr>
            <w:tcW w:w="6492" w:type="dxa"/>
            <w:vAlign w:val="center"/>
          </w:tcPr>
          <w:p>
            <w:pPr>
              <w:spacing w:line="360" w:lineRule="auto"/>
              <w:jc w:val="left"/>
              <w:rPr>
                <w:rFonts w:hint="eastAsia" w:ascii="宋体" w:hAnsi="宋体" w:eastAsia="宋体" w:cs="宋体"/>
                <w:sz w:val="24"/>
              </w:rPr>
            </w:pPr>
            <w:r>
              <w:rPr>
                <w:rFonts w:hint="eastAsia" w:ascii="宋体" w:hAnsi="宋体"/>
                <w:color w:val="auto"/>
                <w:sz w:val="24"/>
                <w:szCs w:val="22"/>
                <w:highlight w:val="none"/>
              </w:rPr>
              <w:t>项目磋商小组参照中华人民共和国政府采购法相关规定组成。磋商小组由采购人代表和评审专家共</w:t>
            </w:r>
            <w:r>
              <w:rPr>
                <w:rFonts w:hint="eastAsia" w:ascii="宋体" w:hAnsi="宋体"/>
                <w:color w:val="auto"/>
                <w:sz w:val="24"/>
                <w:szCs w:val="22"/>
                <w:highlight w:val="none"/>
                <w:lang w:val="en-US" w:eastAsia="zh-CN"/>
              </w:rPr>
              <w:t>5</w:t>
            </w:r>
            <w:r>
              <w:rPr>
                <w:rFonts w:hint="eastAsia" w:ascii="宋体" w:hAnsi="宋体"/>
                <w:color w:val="auto"/>
                <w:sz w:val="24"/>
                <w:szCs w:val="22"/>
                <w:highlight w:val="none"/>
              </w:rPr>
              <w:t>人组成，其中采购人代表</w:t>
            </w:r>
            <w:r>
              <w:rPr>
                <w:rFonts w:hint="eastAsia" w:ascii="宋体" w:hAnsi="宋体"/>
                <w:color w:val="auto"/>
                <w:sz w:val="24"/>
                <w:szCs w:val="22"/>
                <w:highlight w:val="none"/>
                <w:lang w:val="en-US" w:eastAsia="zh-CN"/>
              </w:rPr>
              <w:t>1</w:t>
            </w:r>
            <w:r>
              <w:rPr>
                <w:rFonts w:hint="eastAsia" w:ascii="宋体" w:hAnsi="宋体"/>
                <w:color w:val="auto"/>
                <w:sz w:val="24"/>
                <w:szCs w:val="22"/>
                <w:highlight w:val="none"/>
              </w:rPr>
              <w:t>人，评审专家</w:t>
            </w:r>
            <w:r>
              <w:rPr>
                <w:rFonts w:hint="eastAsia" w:ascii="宋体" w:hAnsi="宋体"/>
                <w:color w:val="auto"/>
                <w:sz w:val="24"/>
                <w:szCs w:val="22"/>
                <w:highlight w:val="none"/>
                <w:lang w:val="en-US" w:eastAsia="zh-CN"/>
              </w:rPr>
              <w:t>4</w:t>
            </w:r>
            <w:r>
              <w:rPr>
                <w:rFonts w:hint="eastAsia" w:ascii="宋体" w:hAnsi="宋体"/>
                <w:color w:val="auto"/>
                <w:sz w:val="24"/>
                <w:szCs w:val="22"/>
                <w:highlight w:val="none"/>
              </w:rPr>
              <w:t>人。评审专家由北京市专家库系统随机抽取。</w:t>
            </w:r>
          </w:p>
        </w:tc>
      </w:tr>
    </w:tbl>
    <w:p>
      <w:pPr>
        <w:tabs>
          <w:tab w:val="left" w:pos="5580"/>
        </w:tabs>
        <w:adjustRightInd w:val="0"/>
        <w:spacing w:line="360" w:lineRule="auto"/>
        <w:jc w:val="distribute"/>
        <w:rPr>
          <w:rFonts w:hint="eastAsia" w:ascii="宋体" w:hAnsi="宋体" w:eastAsia="宋体" w:cs="宋体"/>
          <w:sz w:val="24"/>
        </w:rPr>
        <w:sectPr>
          <w:pgSz w:w="11907" w:h="16840"/>
          <w:pgMar w:top="1418" w:right="1134" w:bottom="1418" w:left="1701" w:header="851" w:footer="851" w:gutter="0"/>
          <w:pgNumType w:fmt="decimal"/>
          <w:cols w:space="720" w:num="1"/>
          <w:titlePg/>
          <w:docGrid w:linePitch="462" w:charSpace="0"/>
        </w:sectPr>
      </w:pPr>
    </w:p>
    <w:p>
      <w:pPr>
        <w:pageBreakBefore w:val="0"/>
        <w:widowControl w:val="0"/>
        <w:kinsoku/>
        <w:wordWrap/>
        <w:overflowPunct/>
        <w:topLinePunct w:val="0"/>
        <w:bidi w:val="0"/>
        <w:snapToGrid/>
        <w:spacing w:line="360" w:lineRule="auto"/>
        <w:jc w:val="center"/>
        <w:textAlignment w:val="auto"/>
        <w:rPr>
          <w:rFonts w:hint="eastAsia" w:ascii="宋体" w:hAnsi="宋体" w:eastAsia="宋体" w:cs="宋体"/>
          <w:b/>
          <w:sz w:val="28"/>
          <w:szCs w:val="28"/>
        </w:rPr>
      </w:pPr>
      <w:r>
        <w:rPr>
          <w:rFonts w:hint="eastAsia" w:ascii="宋体" w:hAnsi="宋体" w:eastAsia="宋体" w:cs="宋体"/>
          <w:b/>
          <w:sz w:val="28"/>
          <w:szCs w:val="28"/>
        </w:rPr>
        <w:t>供应商须知</w:t>
      </w:r>
    </w:p>
    <w:p>
      <w:pPr>
        <w:pStyle w:val="2"/>
        <w:pageBreakBefore w:val="0"/>
        <w:widowControl w:val="0"/>
        <w:tabs>
          <w:tab w:val="center" w:pos="4592"/>
          <w:tab w:val="left" w:pos="7860"/>
        </w:tabs>
        <w:kinsoku/>
        <w:wordWrap/>
        <w:overflowPunct/>
        <w:topLinePunct w:val="0"/>
        <w:bidi w:val="0"/>
        <w:snapToGrid/>
        <w:spacing w:before="0" w:line="360" w:lineRule="auto"/>
        <w:jc w:val="center"/>
        <w:textAlignment w:val="auto"/>
        <w:rPr>
          <w:rFonts w:hint="eastAsia" w:ascii="宋体" w:hAnsi="宋体" w:eastAsia="宋体" w:cs="宋体"/>
          <w:sz w:val="28"/>
        </w:rPr>
      </w:pPr>
      <w:bookmarkStart w:id="71" w:name="_Toc127151518"/>
      <w:bookmarkStart w:id="72" w:name="_Toc150480756"/>
      <w:bookmarkStart w:id="73" w:name="_Toc305158786"/>
      <w:bookmarkStart w:id="74" w:name="_Toc264969208"/>
      <w:bookmarkStart w:id="75" w:name="_Toc265228356"/>
      <w:bookmarkStart w:id="76" w:name="_Toc151193616"/>
      <w:bookmarkStart w:id="77" w:name="_Toc151193832"/>
      <w:bookmarkStart w:id="78" w:name="_Toc150774618"/>
      <w:bookmarkStart w:id="79" w:name="_Toc142311020"/>
      <w:bookmarkStart w:id="80" w:name="_Toc226965708"/>
      <w:bookmarkStart w:id="81" w:name="_Toc150509269"/>
      <w:bookmarkStart w:id="82" w:name="_Toc195842883"/>
      <w:bookmarkStart w:id="83" w:name="_Toc226965791"/>
      <w:bookmarkStart w:id="84" w:name="_Toc226309762"/>
      <w:bookmarkStart w:id="85" w:name="_Toc151193688"/>
      <w:bookmarkStart w:id="86" w:name="_Toc305158860"/>
      <w:bookmarkStart w:id="87" w:name="_Toc151190145"/>
      <w:bookmarkStart w:id="88" w:name="_Toc226337214"/>
      <w:bookmarkStart w:id="89" w:name="_Toc520356143"/>
      <w:bookmarkStart w:id="90" w:name="_Toc151193906"/>
      <w:bookmarkStart w:id="91" w:name="_Toc151193760"/>
      <w:bookmarkStart w:id="92" w:name="_Toc150774723"/>
      <w:r>
        <w:rPr>
          <w:rFonts w:hint="eastAsia" w:ascii="宋体" w:hAnsi="宋体" w:eastAsia="宋体" w:cs="宋体"/>
          <w:sz w:val="28"/>
        </w:rPr>
        <w:t>一   说  明</w:t>
      </w:r>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p>
    <w:p>
      <w:pPr>
        <w:numPr>
          <w:ilvl w:val="0"/>
          <w:numId w:val="8"/>
        </w:numPr>
        <w:tabs>
          <w:tab w:val="left" w:pos="360"/>
          <w:tab w:val="clear" w:pos="900"/>
        </w:tabs>
        <w:snapToGrid w:val="0"/>
        <w:spacing w:line="360" w:lineRule="auto"/>
        <w:ind w:left="357" w:hanging="357"/>
        <w:outlineLvl w:val="1"/>
        <w:rPr>
          <w:rFonts w:hint="eastAsia" w:ascii="宋体" w:hAnsi="宋体" w:eastAsia="宋体" w:cs="宋体"/>
          <w:sz w:val="24"/>
        </w:rPr>
      </w:pPr>
      <w:bookmarkStart w:id="93" w:name="_Toc265228357"/>
      <w:bookmarkStart w:id="94" w:name="_Toc305158861"/>
      <w:bookmarkStart w:id="95" w:name="_Toc305158787"/>
      <w:bookmarkStart w:id="96" w:name="_Toc264969209"/>
      <w:r>
        <w:rPr>
          <w:rFonts w:hint="eastAsia" w:ascii="宋体" w:hAnsi="宋体" w:eastAsia="宋体" w:cs="宋体"/>
          <w:sz w:val="24"/>
        </w:rPr>
        <w:t>采购人、采购代理机构、供应商</w:t>
      </w:r>
      <w:bookmarkEnd w:id="93"/>
      <w:bookmarkEnd w:id="94"/>
      <w:bookmarkEnd w:id="95"/>
      <w:bookmarkEnd w:id="96"/>
      <w:r>
        <w:rPr>
          <w:rFonts w:hint="eastAsia" w:ascii="宋体" w:hAnsi="宋体" w:eastAsia="宋体" w:cs="宋体"/>
          <w:sz w:val="24"/>
        </w:rPr>
        <w:t>、联合体</w:t>
      </w:r>
    </w:p>
    <w:p>
      <w:pPr>
        <w:numPr>
          <w:ilvl w:val="1"/>
          <w:numId w:val="8"/>
        </w:numPr>
        <w:tabs>
          <w:tab w:val="left" w:pos="1080"/>
          <w:tab w:val="left" w:pos="2014"/>
          <w:tab w:val="left" w:pos="5521"/>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采购人、采购代理机构：指依法进行政府采购的国家机关、事业单位、团体组织，及其委托的采购代理机构。本项目采购人、采购代理机构见第一章《采购邀请》。</w:t>
      </w:r>
    </w:p>
    <w:p>
      <w:pPr>
        <w:numPr>
          <w:ilvl w:val="1"/>
          <w:numId w:val="8"/>
        </w:numPr>
        <w:tabs>
          <w:tab w:val="left" w:pos="1080"/>
          <w:tab w:val="left" w:pos="2014"/>
          <w:tab w:val="left" w:pos="5521"/>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供应商（也称“申请人”）：指向采购人提供货物、工程或者服务的法人、其他组织或者自然人。</w:t>
      </w:r>
    </w:p>
    <w:p>
      <w:pPr>
        <w:numPr>
          <w:ilvl w:val="1"/>
          <w:numId w:val="8"/>
        </w:numPr>
        <w:tabs>
          <w:tab w:val="left" w:pos="1080"/>
          <w:tab w:val="left" w:pos="2014"/>
          <w:tab w:val="left" w:pos="5521"/>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联合体：指两个以上的自然人、法人或者其他组织组成一个联合体，以一个供应商的身份共同参加政府采购。</w:t>
      </w:r>
    </w:p>
    <w:p>
      <w:pPr>
        <w:numPr>
          <w:ilvl w:val="0"/>
          <w:numId w:val="8"/>
        </w:numPr>
        <w:tabs>
          <w:tab w:val="left" w:pos="360"/>
          <w:tab w:val="clear" w:pos="900"/>
        </w:tabs>
        <w:snapToGrid w:val="0"/>
        <w:spacing w:line="360" w:lineRule="auto"/>
        <w:ind w:left="357" w:hanging="357"/>
        <w:outlineLvl w:val="1"/>
        <w:rPr>
          <w:rFonts w:hint="eastAsia" w:ascii="宋体" w:hAnsi="宋体" w:eastAsia="宋体" w:cs="宋体"/>
          <w:sz w:val="24"/>
        </w:rPr>
      </w:pPr>
      <w:bookmarkStart w:id="97" w:name="_Toc127151520"/>
      <w:bookmarkStart w:id="98" w:name="_Toc151193690"/>
      <w:bookmarkStart w:id="99" w:name="_Toc164351614"/>
      <w:bookmarkStart w:id="100" w:name="_Toc149720813"/>
      <w:bookmarkStart w:id="101" w:name="_Toc150509271"/>
      <w:bookmarkStart w:id="102" w:name="_Toc150774725"/>
      <w:bookmarkStart w:id="103" w:name="_Toc164608634"/>
      <w:bookmarkStart w:id="104" w:name="_Toc164608789"/>
      <w:bookmarkStart w:id="105" w:name="_Toc164229215"/>
      <w:bookmarkStart w:id="106" w:name="_Toc142311022"/>
      <w:bookmarkStart w:id="107" w:name="_Toc151193834"/>
      <w:bookmarkStart w:id="108" w:name="_Toc151193618"/>
      <w:bookmarkStart w:id="109" w:name="_Toc226965793"/>
      <w:bookmarkStart w:id="110" w:name="_Toc195842885"/>
      <w:bookmarkStart w:id="111" w:name="_Toc226337216"/>
      <w:bookmarkStart w:id="112" w:name="_Toc264969210"/>
      <w:bookmarkStart w:id="113" w:name="_Toc127151721"/>
      <w:bookmarkStart w:id="114" w:name="_Toc226309764"/>
      <w:bookmarkStart w:id="115" w:name="_Toc265228358"/>
      <w:bookmarkStart w:id="116" w:name="_Toc151190147"/>
      <w:bookmarkStart w:id="117" w:name="_Toc151193762"/>
      <w:bookmarkStart w:id="118" w:name="_Toc150480758"/>
      <w:bookmarkStart w:id="119" w:name="_Toc127161434"/>
      <w:bookmarkStart w:id="120" w:name="_Toc151193908"/>
      <w:bookmarkStart w:id="121" w:name="_Toc305158862"/>
      <w:bookmarkStart w:id="122" w:name="_Toc150774620"/>
      <w:bookmarkStart w:id="123" w:name="_Toc226965710"/>
      <w:bookmarkStart w:id="124" w:name="_Toc305158788"/>
      <w:bookmarkStart w:id="125" w:name="_Toc164229361"/>
      <w:r>
        <w:rPr>
          <w:rFonts w:hint="eastAsia" w:ascii="宋体" w:hAnsi="宋体" w:eastAsia="宋体" w:cs="宋体"/>
          <w:sz w:val="24"/>
        </w:rPr>
        <w:t>资金来源</w:t>
      </w:r>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r>
        <w:rPr>
          <w:rFonts w:hint="eastAsia" w:ascii="宋体" w:hAnsi="宋体" w:eastAsia="宋体" w:cs="宋体"/>
          <w:sz w:val="24"/>
        </w:rPr>
        <w:t>、项目属性、科研仪器设备采购</w:t>
      </w:r>
    </w:p>
    <w:p>
      <w:pPr>
        <w:numPr>
          <w:ilvl w:val="1"/>
          <w:numId w:val="8"/>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资金来源为财政性资金和/或本项目采购中无法与财政性资金分割的非财政性资金。</w:t>
      </w:r>
    </w:p>
    <w:p>
      <w:pPr>
        <w:numPr>
          <w:ilvl w:val="1"/>
          <w:numId w:val="8"/>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项目属性见《供应商须知资料表》。</w:t>
      </w:r>
    </w:p>
    <w:p>
      <w:pPr>
        <w:numPr>
          <w:ilvl w:val="1"/>
          <w:numId w:val="8"/>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是否属于科研仪器设备采购见《供应商须知资料表》。</w:t>
      </w:r>
    </w:p>
    <w:p>
      <w:pPr>
        <w:numPr>
          <w:ilvl w:val="0"/>
          <w:numId w:val="8"/>
        </w:numPr>
        <w:tabs>
          <w:tab w:val="left" w:pos="360"/>
        </w:tabs>
        <w:snapToGrid w:val="0"/>
        <w:spacing w:line="360" w:lineRule="auto"/>
        <w:ind w:left="357" w:hanging="357"/>
        <w:outlineLvl w:val="1"/>
        <w:rPr>
          <w:rFonts w:hint="eastAsia" w:ascii="宋体" w:hAnsi="宋体" w:eastAsia="宋体" w:cs="宋体"/>
          <w:sz w:val="24"/>
        </w:rPr>
      </w:pPr>
      <w:r>
        <w:rPr>
          <w:rFonts w:hint="eastAsia" w:ascii="宋体" w:hAnsi="宋体" w:eastAsia="宋体" w:cs="宋体"/>
          <w:sz w:val="24"/>
        </w:rPr>
        <w:t>现场考察、磋商前答疑会</w:t>
      </w:r>
    </w:p>
    <w:p>
      <w:pPr>
        <w:numPr>
          <w:ilvl w:val="1"/>
          <w:numId w:val="8"/>
        </w:numPr>
        <w:tabs>
          <w:tab w:val="left" w:pos="1080"/>
          <w:tab w:val="left" w:pos="2014"/>
        </w:tabs>
        <w:snapToGrid w:val="0"/>
        <w:spacing w:line="360" w:lineRule="auto"/>
        <w:ind w:left="1080" w:hanging="720"/>
        <w:rPr>
          <w:rFonts w:hint="eastAsia" w:ascii="宋体" w:hAnsi="宋体" w:eastAsia="宋体" w:cs="宋体"/>
          <w:sz w:val="28"/>
        </w:rPr>
      </w:pPr>
      <w:r>
        <w:rPr>
          <w:rFonts w:hint="eastAsia" w:ascii="宋体" w:hAnsi="宋体" w:eastAsia="宋体" w:cs="宋体"/>
          <w:sz w:val="24"/>
        </w:rPr>
        <w:t>若《供应商须知资料表》中规定了组织现场考察、召开磋商前答疑会，则供应商应按要求在规定的时间和地点参加。</w:t>
      </w:r>
      <w:bookmarkStart w:id="126" w:name="_Toc151193692"/>
      <w:bookmarkStart w:id="127" w:name="_Toc150774622"/>
      <w:bookmarkStart w:id="128" w:name="_Toc127151522"/>
      <w:bookmarkStart w:id="129" w:name="_Toc264969212"/>
      <w:bookmarkStart w:id="130" w:name="_Toc150509273"/>
      <w:bookmarkStart w:id="131" w:name="_Toc150480760"/>
      <w:bookmarkStart w:id="132" w:name="_Toc265228360"/>
      <w:bookmarkStart w:id="133" w:name="_Toc195842887"/>
      <w:bookmarkStart w:id="134" w:name="_Toc150774727"/>
      <w:bookmarkStart w:id="135" w:name="_Toc151193836"/>
      <w:bookmarkStart w:id="136" w:name="_Toc142311024"/>
      <w:bookmarkStart w:id="137" w:name="_Toc520356146"/>
      <w:bookmarkStart w:id="138" w:name="_Toc151190149"/>
      <w:bookmarkStart w:id="139" w:name="_Toc226965712"/>
      <w:bookmarkStart w:id="140" w:name="_Toc305158864"/>
      <w:bookmarkStart w:id="141" w:name="_Toc226965795"/>
      <w:bookmarkStart w:id="142" w:name="_Toc305158790"/>
      <w:bookmarkStart w:id="143" w:name="_Toc151193910"/>
      <w:bookmarkStart w:id="144" w:name="_Toc226309766"/>
      <w:bookmarkStart w:id="145" w:name="_Toc151193764"/>
      <w:bookmarkStart w:id="146" w:name="_Toc226337218"/>
      <w:bookmarkStart w:id="147" w:name="_Toc151193620"/>
    </w:p>
    <w:p>
      <w:pPr>
        <w:numPr>
          <w:ilvl w:val="1"/>
          <w:numId w:val="8"/>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由于未参加现场考察或磋商前答疑会而导致对项目实际情况不了解，影响响应文件编制、报价准确性、综合因素响应不全面等问题的，由供应商自行承担不利评审后果。</w:t>
      </w:r>
    </w:p>
    <w:p>
      <w:pPr>
        <w:numPr>
          <w:ilvl w:val="0"/>
          <w:numId w:val="8"/>
        </w:numPr>
        <w:tabs>
          <w:tab w:val="left" w:pos="360"/>
          <w:tab w:val="clear" w:pos="900"/>
        </w:tabs>
        <w:snapToGrid w:val="0"/>
        <w:spacing w:line="360" w:lineRule="auto"/>
        <w:ind w:left="357" w:hanging="357"/>
        <w:outlineLvl w:val="1"/>
        <w:rPr>
          <w:rFonts w:hint="eastAsia" w:ascii="宋体" w:hAnsi="宋体" w:eastAsia="宋体" w:cs="宋体"/>
          <w:sz w:val="24"/>
        </w:rPr>
      </w:pPr>
      <w:r>
        <w:rPr>
          <w:rFonts w:hint="eastAsia" w:ascii="宋体" w:hAnsi="宋体" w:eastAsia="宋体" w:cs="宋体"/>
          <w:sz w:val="24"/>
        </w:rPr>
        <w:t>政府采购政策（包括但不限于下列具体政策要求）</w:t>
      </w:r>
    </w:p>
    <w:p>
      <w:pPr>
        <w:numPr>
          <w:ilvl w:val="1"/>
          <w:numId w:val="8"/>
        </w:numPr>
        <w:tabs>
          <w:tab w:val="left" w:pos="1080"/>
          <w:tab w:val="left" w:pos="2014"/>
        </w:tabs>
        <w:snapToGrid w:val="0"/>
        <w:spacing w:line="360" w:lineRule="auto"/>
        <w:ind w:left="1080" w:hanging="720"/>
        <w:rPr>
          <w:rFonts w:hint="eastAsia" w:ascii="宋体" w:hAnsi="宋体" w:eastAsia="宋体" w:cs="宋体"/>
          <w:sz w:val="24"/>
        </w:rPr>
      </w:pPr>
      <w:r>
        <w:rPr>
          <w:sz w:val="24"/>
        </w:rPr>
        <w:t>采购本国货物、工程和服务</w:t>
      </w:r>
    </w:p>
    <w:p>
      <w:pPr>
        <w:numPr>
          <w:ilvl w:val="2"/>
          <w:numId w:val="8"/>
        </w:numPr>
        <w:tabs>
          <w:tab w:val="left" w:pos="2014"/>
        </w:tabs>
        <w:snapToGrid w:val="0"/>
        <w:spacing w:line="360" w:lineRule="auto"/>
        <w:rPr>
          <w:rFonts w:hint="eastAsia" w:ascii="宋体" w:hAnsi="宋体" w:eastAsia="宋体" w:cs="宋体"/>
          <w:sz w:val="24"/>
        </w:rPr>
      </w:pPr>
      <w:r>
        <w:rPr>
          <w:spacing w:val="-8"/>
          <w:sz w:val="24"/>
        </w:rPr>
        <w:t>政府采购应当采购本国货物、工程和服务。但有《中华人民共和国政</w:t>
      </w:r>
      <w:r>
        <w:rPr>
          <w:sz w:val="24"/>
        </w:rPr>
        <w:t>府采购法》第十条规定情形的除外</w:t>
      </w:r>
      <w:r>
        <w:rPr>
          <w:rFonts w:hint="eastAsia" w:ascii="宋体" w:hAnsi="宋体" w:eastAsia="宋体" w:cs="宋体"/>
          <w:sz w:val="24"/>
        </w:rPr>
        <w:t>。</w:t>
      </w:r>
    </w:p>
    <w:p>
      <w:pPr>
        <w:numPr>
          <w:ilvl w:val="2"/>
          <w:numId w:val="8"/>
        </w:numPr>
        <w:tabs>
          <w:tab w:val="left" w:pos="2014"/>
        </w:tabs>
        <w:snapToGrid w:val="0"/>
        <w:spacing w:line="360" w:lineRule="auto"/>
        <w:rPr>
          <w:rFonts w:hint="eastAsia" w:ascii="宋体" w:hAnsi="宋体" w:eastAsia="宋体" w:cs="宋体"/>
          <w:sz w:val="24"/>
        </w:rPr>
      </w:pPr>
      <w:r>
        <w:rPr>
          <w:rFonts w:hint="eastAsia" w:ascii="宋体" w:hAnsi="宋体" w:eastAsia="宋体" w:cs="宋体"/>
          <w:sz w:val="24"/>
        </w:rPr>
        <w:t>本项目如接受非本国货物、工程、服务参与投标，则具体要求见第四章《采购需求》。</w:t>
      </w:r>
    </w:p>
    <w:p>
      <w:pPr>
        <w:numPr>
          <w:ilvl w:val="2"/>
          <w:numId w:val="8"/>
        </w:numPr>
        <w:tabs>
          <w:tab w:val="left" w:pos="2014"/>
        </w:tabs>
        <w:snapToGrid w:val="0"/>
        <w:spacing w:line="360" w:lineRule="auto"/>
        <w:rPr>
          <w:rFonts w:hint="eastAsia" w:ascii="宋体" w:hAnsi="宋体" w:eastAsia="宋体" w:cs="宋体"/>
          <w:sz w:val="24"/>
        </w:rPr>
      </w:pPr>
      <w:r>
        <w:rPr>
          <w:rFonts w:hint="eastAsia" w:ascii="宋体" w:hAnsi="宋体" w:eastAsia="宋体" w:cs="宋体"/>
          <w:sz w:val="24"/>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pPr>
        <w:numPr>
          <w:ilvl w:val="1"/>
          <w:numId w:val="8"/>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中小企业、监狱企业及残疾人福利性单位</w:t>
      </w:r>
    </w:p>
    <w:p>
      <w:pPr>
        <w:numPr>
          <w:ilvl w:val="2"/>
          <w:numId w:val="8"/>
        </w:numPr>
        <w:snapToGrid w:val="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sz w:val="24"/>
        </w:rPr>
        <w:t>中小企业定义：</w:t>
      </w:r>
    </w:p>
    <w:p>
      <w:pPr>
        <w:numPr>
          <w:ilvl w:val="3"/>
          <w:numId w:val="8"/>
        </w:numPr>
        <w:tabs>
          <w:tab w:val="left" w:pos="1980"/>
          <w:tab w:val="left" w:pos="2035"/>
          <w:tab w:val="left" w:pos="2885"/>
          <w:tab w:val="left" w:pos="2977"/>
          <w:tab w:val="clear" w:pos="900"/>
        </w:tabs>
        <w:snapToGrid w:val="0"/>
        <w:spacing w:line="360" w:lineRule="auto"/>
        <w:ind w:left="2885"/>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中小企业是指在中华人民共和国境内依法设立，依据国务院 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号）、《政府采购促进中小企业发展管理办法》（财库〔2020〕46 号）、《关于印发中小企业划型标准规定的通知》（工信部联企业〔2011〕300号）</w:t>
      </w:r>
      <w:r>
        <w:rPr>
          <w:rFonts w:hint="eastAsia" w:ascii="宋体" w:hAnsi="宋体" w:cs="宋体"/>
          <w:color w:val="000000" w:themeColor="text1"/>
          <w:sz w:val="24"/>
          <w:lang w:eastAsia="zh-CN"/>
          <w14:textFill>
            <w14:solidFill>
              <w14:schemeClr w14:val="tx1"/>
            </w14:solidFill>
          </w14:textFill>
        </w:rPr>
        <w:t>。</w:t>
      </w:r>
    </w:p>
    <w:p>
      <w:pPr>
        <w:numPr>
          <w:ilvl w:val="3"/>
          <w:numId w:val="8"/>
        </w:numPr>
        <w:tabs>
          <w:tab w:val="left" w:pos="1980"/>
          <w:tab w:val="left" w:pos="2035"/>
          <w:tab w:val="left" w:pos="2885"/>
          <w:tab w:val="left" w:pos="2977"/>
          <w:tab w:val="clear" w:pos="900"/>
        </w:tabs>
        <w:snapToGrid w:val="0"/>
        <w:spacing w:line="360" w:lineRule="auto"/>
        <w:ind w:left="2885"/>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sz w:val="24"/>
        </w:rPr>
        <w:t>供应商提供的货物、工程或者服务符合下列情形的，享受中小企业扶持政策：</w:t>
      </w:r>
    </w:p>
    <w:p>
      <w:pPr>
        <w:tabs>
          <w:tab w:val="left" w:pos="1980"/>
        </w:tabs>
        <w:snapToGrid w:val="0"/>
        <w:spacing w:line="360" w:lineRule="auto"/>
        <w:ind w:left="2835" w:leftChars="135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（1）在货物采购项目中，货物由中小企业制造，即货物由中小企业生产且使用该中小企业商号或者注册商标；</w:t>
      </w:r>
    </w:p>
    <w:p>
      <w:pPr>
        <w:tabs>
          <w:tab w:val="left" w:pos="1980"/>
        </w:tabs>
        <w:snapToGrid w:val="0"/>
        <w:spacing w:line="360" w:lineRule="auto"/>
        <w:ind w:left="2835" w:leftChars="135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（2）在工程采购项目中，工程由中小企业承建，即工程施工单位为中小企业；</w:t>
      </w:r>
    </w:p>
    <w:p>
      <w:pPr>
        <w:tabs>
          <w:tab w:val="left" w:pos="1980"/>
        </w:tabs>
        <w:snapToGrid w:val="0"/>
        <w:spacing w:line="360" w:lineRule="auto"/>
        <w:ind w:left="2835" w:leftChars="135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（3）在服务采购项目中，服务由中小企业承接，即提供服务的人员为中小企业依照《中华人民共和国劳动合同法》订立劳动合同的从业人员。</w:t>
      </w:r>
    </w:p>
    <w:p>
      <w:pPr>
        <w:numPr>
          <w:ilvl w:val="3"/>
          <w:numId w:val="8"/>
        </w:numPr>
        <w:tabs>
          <w:tab w:val="left" w:pos="1980"/>
          <w:tab w:val="left" w:pos="2035"/>
          <w:tab w:val="left" w:pos="2885"/>
          <w:tab w:val="left" w:pos="2977"/>
          <w:tab w:val="clear" w:pos="900"/>
        </w:tabs>
        <w:snapToGrid w:val="0"/>
        <w:spacing w:line="360" w:lineRule="auto"/>
        <w:ind w:left="2885"/>
        <w:rPr>
          <w:rFonts w:hint="eastAsia" w:ascii="宋体" w:hAnsi="宋体" w:eastAsia="宋体" w:cs="宋体"/>
          <w:sz w:val="24"/>
        </w:rPr>
      </w:pPr>
      <w:r>
        <w:rPr>
          <w:rFonts w:hint="eastAsia" w:ascii="宋体" w:hAnsi="宋体" w:eastAsia="宋体" w:cs="宋体"/>
          <w:sz w:val="24"/>
        </w:rPr>
        <w:t>在货物采购项目中，供应商提供的货物既有中小企业制造货物，也有大型企业制造货物的，不享受中小企业扶持政策。</w:t>
      </w:r>
    </w:p>
    <w:p>
      <w:pPr>
        <w:numPr>
          <w:ilvl w:val="3"/>
          <w:numId w:val="8"/>
        </w:numPr>
        <w:tabs>
          <w:tab w:val="left" w:pos="1980"/>
          <w:tab w:val="left" w:pos="2035"/>
          <w:tab w:val="left" w:pos="2885"/>
          <w:tab w:val="left" w:pos="2977"/>
          <w:tab w:val="clear" w:pos="900"/>
        </w:tabs>
        <w:snapToGrid w:val="0"/>
        <w:spacing w:line="360" w:lineRule="auto"/>
        <w:ind w:left="2885"/>
        <w:rPr>
          <w:rFonts w:hint="eastAsia" w:ascii="宋体" w:hAnsi="宋体" w:eastAsia="宋体" w:cs="宋体"/>
          <w:sz w:val="24"/>
        </w:rPr>
      </w:pPr>
      <w:r>
        <w:rPr>
          <w:rFonts w:hint="eastAsia" w:ascii="宋体" w:hAnsi="宋体" w:eastAsia="宋体" w:cs="宋体"/>
          <w:color w:val="000000" w:themeColor="text1"/>
          <w:sz w:val="24"/>
          <w14:textFill>
            <w14:solidFill>
              <w14:schemeClr w14:val="tx1"/>
            </w14:solidFill>
          </w14:textFill>
        </w:rPr>
        <w:t>以联合体形式参加政府采购活动，联合体各方均为中小企业的，联合体视同中小企业。其中，联合体各方均为小微企业的，联合体视同小微企业。</w:t>
      </w:r>
    </w:p>
    <w:p>
      <w:pPr>
        <w:numPr>
          <w:ilvl w:val="2"/>
          <w:numId w:val="8"/>
        </w:numPr>
        <w:snapToGrid w:val="0"/>
        <w:spacing w:line="360" w:lineRule="auto"/>
        <w:rPr>
          <w:rFonts w:hint="eastAsia" w:ascii="宋体" w:hAnsi="宋体" w:eastAsia="宋体" w:cs="宋体"/>
          <w:sz w:val="24"/>
        </w:rPr>
      </w:pPr>
      <w:r>
        <w:rPr>
          <w:rFonts w:hint="eastAsia" w:ascii="宋体" w:hAnsi="宋体" w:eastAsia="宋体" w:cs="宋体"/>
          <w:sz w:val="24"/>
          <w:lang w:val="en-US" w:eastAsia="zh-CN"/>
        </w:rPr>
        <w:t>在政府采购活动中，监狱企业视同小型、微型企业，享受预留份额</w:t>
      </w:r>
      <w:r>
        <w:rPr>
          <w:rFonts w:hint="eastAsia" w:ascii="宋体" w:hAnsi="宋体" w:cs="宋体"/>
          <w:sz w:val="24"/>
          <w:lang w:val="en-US" w:eastAsia="zh-CN"/>
        </w:rPr>
        <w:t>、</w:t>
      </w:r>
    </w:p>
    <w:p>
      <w:pPr>
        <w:numPr>
          <w:ilvl w:val="0"/>
          <w:numId w:val="0"/>
        </w:numPr>
        <w:snapToGrid w:val="0"/>
        <w:spacing w:line="360" w:lineRule="auto"/>
        <w:ind w:left="1915" w:leftChars="912" w:firstLine="0" w:firstLineChars="0"/>
        <w:rPr>
          <w:rFonts w:hint="eastAsia" w:ascii="宋体" w:hAnsi="宋体" w:eastAsia="宋体" w:cs="宋体"/>
          <w:sz w:val="24"/>
        </w:rPr>
      </w:pPr>
      <w:r>
        <w:rPr>
          <w:rFonts w:hint="eastAsia" w:ascii="宋体" w:hAnsi="宋体" w:eastAsia="宋体" w:cs="宋体"/>
          <w:sz w:val="24"/>
        </w:rPr>
        <w:t>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numPr>
          <w:ilvl w:val="2"/>
          <w:numId w:val="8"/>
        </w:numPr>
        <w:snapToGrid w:val="0"/>
        <w:spacing w:line="360" w:lineRule="auto"/>
        <w:rPr>
          <w:rFonts w:hint="eastAsia" w:ascii="宋体" w:hAnsi="宋体" w:eastAsia="宋体" w:cs="宋体"/>
          <w:sz w:val="24"/>
        </w:rPr>
      </w:pPr>
      <w:r>
        <w:rPr>
          <w:rFonts w:hint="eastAsia" w:ascii="宋体" w:hAnsi="宋体" w:eastAsia="宋体" w:cs="宋体"/>
          <w:sz w:val="24"/>
          <w:lang w:val="en-US" w:eastAsia="zh-CN"/>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r>
        <w:rPr>
          <w:rFonts w:hint="eastAsia" w:ascii="宋体" w:hAnsi="宋体" w:cs="宋体"/>
          <w:sz w:val="24"/>
          <w:lang w:val="en-US" w:eastAsia="zh-CN"/>
        </w:rPr>
        <w:t>：</w:t>
      </w:r>
    </w:p>
    <w:p>
      <w:pPr>
        <w:numPr>
          <w:ilvl w:val="3"/>
          <w:numId w:val="8"/>
        </w:numPr>
        <w:tabs>
          <w:tab w:val="left" w:pos="1980"/>
          <w:tab w:val="left" w:pos="2035"/>
          <w:tab w:val="left" w:pos="2885"/>
          <w:tab w:val="left" w:pos="2977"/>
          <w:tab w:val="clear" w:pos="900"/>
        </w:tabs>
        <w:snapToGrid w:val="0"/>
        <w:spacing w:line="360" w:lineRule="auto"/>
        <w:ind w:left="2885"/>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安置的残疾人占本单位在职职工人数的比例不低于25%</w:t>
      </w:r>
    </w:p>
    <w:p>
      <w:pPr>
        <w:numPr>
          <w:ilvl w:val="0"/>
          <w:numId w:val="0"/>
        </w:numPr>
        <w:tabs>
          <w:tab w:val="left" w:pos="1980"/>
          <w:tab w:val="left" w:pos="2035"/>
          <w:tab w:val="left" w:pos="2885"/>
          <w:tab w:val="left" w:pos="2977"/>
        </w:tabs>
        <w:snapToGrid w:val="0"/>
        <w:spacing w:line="360" w:lineRule="auto"/>
        <w:ind w:left="1985" w:leftChars="0" w:firstLine="720" w:firstLineChars="300"/>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（含25%），并且安置的残疾人人数不少于10人（含10人）</w:t>
      </w:r>
      <w:r>
        <w:rPr>
          <w:rFonts w:hint="eastAsia" w:ascii="宋体" w:hAnsi="宋体" w:cs="宋体"/>
          <w:color w:val="000000" w:themeColor="text1"/>
          <w:sz w:val="24"/>
          <w:lang w:eastAsia="zh-CN"/>
          <w14:textFill>
            <w14:solidFill>
              <w14:schemeClr w14:val="tx1"/>
            </w14:solidFill>
          </w14:textFill>
        </w:rPr>
        <w:t>。</w:t>
      </w:r>
    </w:p>
    <w:p>
      <w:pPr>
        <w:numPr>
          <w:ilvl w:val="3"/>
          <w:numId w:val="8"/>
        </w:numPr>
        <w:tabs>
          <w:tab w:val="left" w:pos="1980"/>
          <w:tab w:val="left" w:pos="2035"/>
          <w:tab w:val="left" w:pos="2885"/>
          <w:tab w:val="left" w:pos="2977"/>
          <w:tab w:val="clear" w:pos="900"/>
        </w:tabs>
        <w:snapToGrid w:val="0"/>
        <w:spacing w:line="360" w:lineRule="auto"/>
        <w:ind w:left="2885"/>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sz w:val="24"/>
        </w:rPr>
        <w:t>依法与安置的每位残疾人签订了一年以上（含一年）的劳动合同或服务协议；</w:t>
      </w:r>
    </w:p>
    <w:p>
      <w:pPr>
        <w:numPr>
          <w:ilvl w:val="3"/>
          <w:numId w:val="8"/>
        </w:numPr>
        <w:tabs>
          <w:tab w:val="left" w:pos="1980"/>
          <w:tab w:val="left" w:pos="2035"/>
          <w:tab w:val="left" w:pos="2885"/>
          <w:tab w:val="left" w:pos="2977"/>
          <w:tab w:val="clear" w:pos="900"/>
        </w:tabs>
        <w:snapToGrid w:val="0"/>
        <w:spacing w:line="360" w:lineRule="auto"/>
        <w:ind w:left="2885"/>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sz w:val="24"/>
        </w:rPr>
        <w:t>为安置的每位残疾人按月足额缴纳了基本养老保险、基本医疗保险、失业保险、工伤保险和生育保险等社会保险费；</w:t>
      </w:r>
    </w:p>
    <w:p>
      <w:pPr>
        <w:numPr>
          <w:ilvl w:val="3"/>
          <w:numId w:val="8"/>
        </w:numPr>
        <w:tabs>
          <w:tab w:val="left" w:pos="1980"/>
          <w:tab w:val="left" w:pos="2035"/>
          <w:tab w:val="left" w:pos="2885"/>
          <w:tab w:val="left" w:pos="2977"/>
          <w:tab w:val="clear" w:pos="900"/>
        </w:tabs>
        <w:snapToGrid w:val="0"/>
        <w:spacing w:line="360" w:lineRule="auto"/>
        <w:ind w:left="2885"/>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sz w:val="24"/>
        </w:rPr>
        <w:t>通过银行等金融机构向安置的每位残疾人，按月支付了不低于单位所在区县适用的经省级人民政府批准的月最低工资标准的工资；</w:t>
      </w:r>
    </w:p>
    <w:p>
      <w:pPr>
        <w:numPr>
          <w:ilvl w:val="3"/>
          <w:numId w:val="8"/>
        </w:numPr>
        <w:tabs>
          <w:tab w:val="left" w:pos="1980"/>
          <w:tab w:val="left" w:pos="2035"/>
          <w:tab w:val="left" w:pos="2885"/>
          <w:tab w:val="left" w:pos="2977"/>
          <w:tab w:val="clear" w:pos="900"/>
        </w:tabs>
        <w:snapToGrid w:val="0"/>
        <w:spacing w:line="360" w:lineRule="auto"/>
        <w:ind w:left="2885"/>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sz w:val="24"/>
        </w:rPr>
        <w:t>提供本单位制造的货物、承担的工程或者服务（以下简称产品），或者提供其他残疾人福利性单位制造的货物（不包括使用非残疾人福利性单位注册商标的货物）；</w:t>
      </w:r>
    </w:p>
    <w:p>
      <w:pPr>
        <w:numPr>
          <w:ilvl w:val="3"/>
          <w:numId w:val="8"/>
        </w:numPr>
        <w:tabs>
          <w:tab w:val="left" w:pos="1980"/>
          <w:tab w:val="left" w:pos="2035"/>
          <w:tab w:val="left" w:pos="2885"/>
          <w:tab w:val="left" w:pos="2977"/>
          <w:tab w:val="clear" w:pos="900"/>
        </w:tabs>
        <w:snapToGrid w:val="0"/>
        <w:spacing w:line="360" w:lineRule="auto"/>
        <w:ind w:left="2885"/>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pPr>
        <w:numPr>
          <w:ilvl w:val="2"/>
          <w:numId w:val="8"/>
        </w:numPr>
        <w:snapToGrid w:val="0"/>
        <w:spacing w:line="360" w:lineRule="auto"/>
        <w:rPr>
          <w:rFonts w:hint="eastAsia" w:ascii="宋体" w:hAnsi="宋体" w:eastAsia="宋体" w:cs="宋体"/>
          <w:sz w:val="24"/>
        </w:rPr>
      </w:pPr>
      <w:r>
        <w:rPr>
          <w:rFonts w:hint="eastAsia" w:ascii="宋体" w:hAnsi="宋体" w:eastAsia="宋体" w:cs="宋体"/>
          <w:sz w:val="24"/>
        </w:rPr>
        <w:t>本项目是否专门面向中小企业预留采购份额见第一章《采购邀请》。</w:t>
      </w:r>
    </w:p>
    <w:p>
      <w:pPr>
        <w:numPr>
          <w:ilvl w:val="2"/>
          <w:numId w:val="8"/>
        </w:numPr>
        <w:snapToGrid w:val="0"/>
        <w:spacing w:line="360" w:lineRule="auto"/>
        <w:rPr>
          <w:rFonts w:hint="eastAsia" w:ascii="宋体" w:hAnsi="宋体" w:eastAsia="宋体" w:cs="宋体"/>
          <w:sz w:val="24"/>
        </w:rPr>
      </w:pPr>
      <w:r>
        <w:rPr>
          <w:rFonts w:hint="eastAsia" w:ascii="宋体" w:hAnsi="宋体" w:eastAsia="宋体" w:cs="宋体"/>
          <w:sz w:val="24"/>
        </w:rPr>
        <w:t>采购标的对应的中小企业划分标准所属行业见《供应商须知资料表》。</w:t>
      </w:r>
    </w:p>
    <w:p>
      <w:pPr>
        <w:numPr>
          <w:ilvl w:val="2"/>
          <w:numId w:val="8"/>
        </w:numPr>
        <w:snapToGrid w:val="0"/>
        <w:spacing w:line="360" w:lineRule="auto"/>
        <w:rPr>
          <w:rFonts w:hint="eastAsia" w:ascii="宋体" w:hAnsi="宋体" w:eastAsia="宋体" w:cs="宋体"/>
          <w:sz w:val="24"/>
        </w:rPr>
      </w:pPr>
      <w:r>
        <w:rPr>
          <w:rFonts w:hint="eastAsia" w:ascii="宋体" w:hAnsi="宋体" w:eastAsia="宋体" w:cs="宋体"/>
          <w:sz w:val="24"/>
        </w:rPr>
        <w:t>小微企业价格评审优惠的政策调整：见第三章《评审方法和评审标准》。</w:t>
      </w:r>
    </w:p>
    <w:p>
      <w:pPr>
        <w:numPr>
          <w:ilvl w:val="1"/>
          <w:numId w:val="8"/>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政府采购节能产品、环境标志产品</w:t>
      </w:r>
    </w:p>
    <w:p>
      <w:pPr>
        <w:numPr>
          <w:ilvl w:val="2"/>
          <w:numId w:val="8"/>
        </w:numPr>
        <w:snapToGrid w:val="0"/>
        <w:spacing w:line="360" w:lineRule="auto"/>
        <w:rPr>
          <w:rFonts w:hint="eastAsia" w:ascii="宋体" w:hAnsi="宋体" w:eastAsia="宋体" w:cs="宋体"/>
          <w:sz w:val="24"/>
        </w:rPr>
      </w:pPr>
      <w:r>
        <w:rPr>
          <w:rFonts w:hint="eastAsia" w:ascii="宋体" w:hAnsi="宋体" w:eastAsia="宋体" w:cs="宋体"/>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pPr>
        <w:numPr>
          <w:ilvl w:val="2"/>
          <w:numId w:val="8"/>
        </w:numPr>
        <w:snapToGrid w:val="0"/>
        <w:spacing w:line="360" w:lineRule="auto"/>
        <w:rPr>
          <w:rFonts w:hint="eastAsia" w:ascii="宋体" w:hAnsi="宋体" w:eastAsia="宋体" w:cs="宋体"/>
          <w:sz w:val="24"/>
        </w:rPr>
      </w:pPr>
      <w:r>
        <w:rPr>
          <w:rFonts w:hint="eastAsia" w:ascii="宋体" w:hAnsi="宋体" w:eastAsia="宋体" w:cs="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pPr>
        <w:numPr>
          <w:ilvl w:val="2"/>
          <w:numId w:val="8"/>
        </w:numPr>
        <w:snapToGrid w:val="0"/>
        <w:spacing w:line="360" w:lineRule="auto"/>
        <w:rPr>
          <w:rFonts w:hint="eastAsia" w:ascii="宋体" w:hAnsi="宋体" w:eastAsia="宋体" w:cs="宋体"/>
          <w:sz w:val="24"/>
        </w:rPr>
      </w:pPr>
      <w:r>
        <w:rPr>
          <w:rFonts w:hint="eastAsia" w:ascii="宋体" w:hAnsi="宋体" w:eastAsia="宋体" w:cs="宋体"/>
          <w:sz w:val="24"/>
        </w:rPr>
        <w:t>如本项目采购产品属于实施政府强制采购品目清单范围的节能产品，则供应商所报产品必须获得国家确定的认证机构出具的、处于有效期之内的节能产品认证证书，</w:t>
      </w:r>
      <w:r>
        <w:rPr>
          <w:rFonts w:hint="eastAsia" w:ascii="宋体" w:hAnsi="宋体" w:eastAsia="宋体" w:cs="宋体"/>
          <w:kern w:val="0"/>
          <w:sz w:val="24"/>
        </w:rPr>
        <w:t>否则</w:t>
      </w:r>
      <w:r>
        <w:rPr>
          <w:rFonts w:hint="eastAsia" w:ascii="宋体" w:hAnsi="宋体" w:eastAsia="宋体" w:cs="宋体"/>
          <w:b/>
          <w:kern w:val="0"/>
          <w:sz w:val="24"/>
        </w:rPr>
        <w:t>响应无效</w:t>
      </w:r>
      <w:r>
        <w:rPr>
          <w:rFonts w:hint="eastAsia" w:ascii="宋体" w:hAnsi="宋体" w:eastAsia="宋体" w:cs="宋体"/>
          <w:sz w:val="24"/>
        </w:rPr>
        <w:t>；</w:t>
      </w:r>
    </w:p>
    <w:p>
      <w:pPr>
        <w:numPr>
          <w:ilvl w:val="2"/>
          <w:numId w:val="8"/>
        </w:numPr>
        <w:snapToGrid w:val="0"/>
        <w:spacing w:line="360" w:lineRule="auto"/>
        <w:rPr>
          <w:rFonts w:hint="eastAsia" w:ascii="宋体" w:hAnsi="宋体" w:eastAsia="宋体" w:cs="宋体"/>
          <w:sz w:val="24"/>
        </w:rPr>
      </w:pPr>
      <w:r>
        <w:rPr>
          <w:rFonts w:hint="eastAsia" w:ascii="宋体" w:hAnsi="宋体" w:eastAsia="宋体" w:cs="宋体"/>
          <w:sz w:val="24"/>
        </w:rPr>
        <w:t>非政府强制采购的节能产品或环境标志产品，依据品目清单和认证证书实施政府优先采购。优先采购的具体规定见第三章《评审方法和评审标准》（如涉及）。</w:t>
      </w:r>
    </w:p>
    <w:p>
      <w:pPr>
        <w:numPr>
          <w:ilvl w:val="1"/>
          <w:numId w:val="8"/>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正版软件</w:t>
      </w:r>
    </w:p>
    <w:p>
      <w:pPr>
        <w:numPr>
          <w:ilvl w:val="2"/>
          <w:numId w:val="8"/>
        </w:numPr>
        <w:snapToGrid w:val="0"/>
        <w:spacing w:line="360" w:lineRule="auto"/>
        <w:rPr>
          <w:rFonts w:hint="eastAsia" w:ascii="宋体" w:hAnsi="宋体" w:eastAsia="宋体" w:cs="宋体"/>
          <w:sz w:val="24"/>
        </w:rPr>
      </w:pPr>
      <w:r>
        <w:rPr>
          <w:rFonts w:hint="eastAsia" w:ascii="宋体" w:hAnsi="宋体" w:eastAsia="宋体" w:cs="宋体"/>
          <w:sz w:val="24"/>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hint="eastAsia" w:ascii="宋体" w:hAnsi="宋体" w:eastAsia="宋体" w:cs="宋体"/>
          <w:kern w:val="0"/>
          <w:sz w:val="24"/>
        </w:rPr>
        <w:t>否则</w:t>
      </w:r>
      <w:r>
        <w:rPr>
          <w:rFonts w:hint="eastAsia" w:ascii="宋体" w:hAnsi="宋体" w:eastAsia="宋体" w:cs="宋体"/>
          <w:b/>
          <w:kern w:val="0"/>
          <w:sz w:val="24"/>
        </w:rPr>
        <w:t>响应无效</w:t>
      </w:r>
      <w:r>
        <w:rPr>
          <w:rFonts w:hint="eastAsia" w:ascii="宋体" w:hAnsi="宋体" w:eastAsia="宋体" w:cs="宋体"/>
          <w:sz w:val="24"/>
        </w:rPr>
        <w:t>。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pPr>
        <w:numPr>
          <w:ilvl w:val="2"/>
          <w:numId w:val="8"/>
        </w:numPr>
        <w:snapToGrid w:val="0"/>
        <w:spacing w:line="360" w:lineRule="auto"/>
        <w:rPr>
          <w:rFonts w:hint="eastAsia" w:ascii="宋体" w:hAnsi="宋体" w:eastAsia="宋体" w:cs="宋体"/>
          <w:sz w:val="24"/>
        </w:rPr>
      </w:pPr>
      <w:r>
        <w:rPr>
          <w:rFonts w:hint="eastAsia" w:ascii="宋体" w:hAnsi="宋体" w:eastAsia="宋体" w:cs="宋体"/>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 号）、《财政部关于进一步做好政府机关使用正版软件工作的通知》（财预〔2010〕536号）。</w:t>
      </w:r>
    </w:p>
    <w:p>
      <w:pPr>
        <w:numPr>
          <w:ilvl w:val="1"/>
          <w:numId w:val="8"/>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cs="宋体"/>
          <w:sz w:val="24"/>
          <w:lang w:val="en-US" w:eastAsia="zh-CN"/>
        </w:rPr>
        <w:t>网络</w:t>
      </w:r>
      <w:r>
        <w:rPr>
          <w:rFonts w:hint="eastAsia" w:ascii="宋体" w:hAnsi="宋体" w:eastAsia="宋体" w:cs="宋体"/>
          <w:sz w:val="24"/>
        </w:rPr>
        <w:t>安全</w:t>
      </w:r>
      <w:r>
        <w:rPr>
          <w:rFonts w:hint="eastAsia" w:ascii="宋体" w:hAnsi="宋体" w:cs="宋体"/>
          <w:sz w:val="24"/>
          <w:lang w:val="en-US" w:eastAsia="zh-CN"/>
        </w:rPr>
        <w:t>专用</w:t>
      </w:r>
      <w:r>
        <w:rPr>
          <w:rFonts w:hint="eastAsia" w:ascii="宋体" w:hAnsi="宋体" w:eastAsia="宋体" w:cs="宋体"/>
          <w:sz w:val="24"/>
        </w:rPr>
        <w:t>产品</w:t>
      </w:r>
    </w:p>
    <w:p>
      <w:pPr>
        <w:numPr>
          <w:ilvl w:val="2"/>
          <w:numId w:val="8"/>
        </w:numPr>
        <w:tabs>
          <w:tab w:val="left" w:pos="2014"/>
        </w:tabs>
        <w:snapToGrid w:val="0"/>
        <w:spacing w:line="360" w:lineRule="auto"/>
        <w:rPr>
          <w:rFonts w:hint="eastAsia" w:ascii="宋体" w:hAnsi="宋体" w:eastAsia="宋体" w:cs="宋体"/>
          <w:sz w:val="24"/>
        </w:rPr>
      </w:pPr>
      <w:r>
        <w:rPr>
          <w:rFonts w:hint="eastAsia" w:ascii="宋体" w:hAnsi="宋体" w:eastAsia="宋体" w:cs="宋体"/>
          <w:sz w:val="24"/>
        </w:rPr>
        <w:t>所投产品属于</w:t>
      </w:r>
      <w:r>
        <w:rPr>
          <w:rFonts w:hint="eastAsia" w:ascii="宋体" w:hAnsi="宋体" w:cs="宋体"/>
          <w:sz w:val="24"/>
          <w:lang w:val="en-US" w:eastAsia="zh-CN"/>
        </w:rPr>
        <w:t>列入</w:t>
      </w:r>
      <w:r>
        <w:rPr>
          <w:rFonts w:hint="eastAsia" w:ascii="宋体" w:hAnsi="宋体" w:eastAsia="宋体" w:cs="宋体"/>
          <w:sz w:val="24"/>
        </w:rPr>
        <w:t>《网络关键设备和网络安全专用产品目录》的</w:t>
      </w:r>
      <w:r>
        <w:rPr>
          <w:rFonts w:hint="eastAsia" w:ascii="宋体" w:hAnsi="宋体" w:cs="宋体"/>
          <w:sz w:val="24"/>
          <w:lang w:val="en-US" w:eastAsia="zh-CN"/>
        </w:rPr>
        <w:t>网络安全专用产品</w:t>
      </w:r>
      <w:r>
        <w:rPr>
          <w:rFonts w:hint="eastAsia" w:ascii="宋体" w:hAnsi="宋体" w:eastAsia="宋体" w:cs="宋体"/>
          <w:sz w:val="24"/>
        </w:rPr>
        <w:t>，应当在国家互联网信息办公室会同工业和信息化部、公安部、国家认证认可监督管理委员会统一公布和更新的符合要求的网络关键设备和网络安全专用产品清单中。</w:t>
      </w:r>
    </w:p>
    <w:p>
      <w:pPr>
        <w:numPr>
          <w:ilvl w:val="1"/>
          <w:numId w:val="8"/>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推广使用低挥发性有机化合物（VOCs）</w:t>
      </w:r>
    </w:p>
    <w:p>
      <w:pPr>
        <w:numPr>
          <w:ilvl w:val="2"/>
          <w:numId w:val="8"/>
        </w:numPr>
        <w:snapToGrid w:val="0"/>
        <w:spacing w:line="360" w:lineRule="auto"/>
        <w:rPr>
          <w:rFonts w:hint="eastAsia" w:ascii="宋体" w:hAnsi="宋体" w:eastAsia="宋体" w:cs="宋体"/>
          <w:sz w:val="24"/>
        </w:rPr>
      </w:pPr>
      <w:r>
        <w:rPr>
          <w:rFonts w:hint="eastAsia" w:ascii="宋体" w:hAnsi="宋体" w:eastAsia="宋体" w:cs="宋体"/>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含量限制标准（具体标准见第四章《采购需求》），</w:t>
      </w:r>
      <w:r>
        <w:rPr>
          <w:rFonts w:hint="eastAsia" w:ascii="宋体" w:hAnsi="宋体" w:eastAsia="宋体" w:cs="宋体"/>
          <w:kern w:val="0"/>
          <w:sz w:val="24"/>
        </w:rPr>
        <w:t>否则</w:t>
      </w:r>
      <w:r>
        <w:rPr>
          <w:rFonts w:hint="eastAsia" w:ascii="宋体" w:hAnsi="宋体" w:eastAsia="宋体" w:cs="宋体"/>
          <w:b/>
          <w:kern w:val="0"/>
          <w:sz w:val="24"/>
        </w:rPr>
        <w:t>响应无效</w:t>
      </w:r>
      <w:r>
        <w:rPr>
          <w:rFonts w:hint="eastAsia" w:ascii="宋体" w:hAnsi="宋体" w:eastAsia="宋体" w:cs="宋体"/>
          <w:sz w:val="24"/>
        </w:rPr>
        <w:t>；属于推荐性标准的，优先采购，具体见第三章《评审方法和评审标准》。</w:t>
      </w:r>
    </w:p>
    <w:p>
      <w:pPr>
        <w:pStyle w:val="62"/>
        <w:numPr>
          <w:ilvl w:val="1"/>
          <w:numId w:val="8"/>
        </w:numPr>
        <w:tabs>
          <w:tab w:val="clear" w:pos="1589"/>
          <w:tab w:val="clear" w:pos="480"/>
        </w:tabs>
        <w:spacing w:line="360" w:lineRule="auto"/>
        <w:ind w:left="1080" w:leftChars="0" w:hanging="720" w:firstLineChars="0"/>
        <w:rPr>
          <w:rFonts w:hint="eastAsia"/>
          <w:lang w:val="en-US" w:eastAsia="zh-CN"/>
        </w:rPr>
      </w:pPr>
      <w:r>
        <w:rPr>
          <w:rFonts w:hint="eastAsia" w:ascii="宋体" w:cs="宋体"/>
          <w:kern w:val="2"/>
          <w:sz w:val="24"/>
          <w:szCs w:val="24"/>
          <w:lang w:val="en-US" w:eastAsia="zh-CN" w:bidi="ar-SA"/>
        </w:rPr>
        <w:t xml:space="preserve">  </w:t>
      </w:r>
      <w:r>
        <w:rPr>
          <w:rFonts w:hint="eastAsia" w:ascii="宋体" w:hAnsi="宋体" w:eastAsia="宋体" w:cs="宋体"/>
          <w:kern w:val="2"/>
          <w:sz w:val="24"/>
          <w:szCs w:val="24"/>
          <w:lang w:val="en-US" w:eastAsia="zh-CN" w:bidi="ar-SA"/>
        </w:rPr>
        <w:t>采购需求标准</w:t>
      </w:r>
    </w:p>
    <w:p>
      <w:pPr>
        <w:numPr>
          <w:ilvl w:val="2"/>
          <w:numId w:val="8"/>
        </w:numPr>
        <w:snapToGrid w:val="0"/>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商品包装、快递包装政府采购需求标准（试行）为助力打好污染防治攻坚战，推广使用绿色包装，根据财政部关于印发《商品包装政府采购需求标准（试行）》、《快递包装政府采购需求标准（试行）》的通知（财办库〔2020〕123号），本项目如涉及商品包装和快递包装的，则其具体要求见第四章《采购需求》</w:t>
      </w:r>
      <w:r>
        <w:rPr>
          <w:rFonts w:hint="eastAsia" w:ascii="宋体" w:hAnsi="宋体" w:cs="宋体"/>
          <w:sz w:val="24"/>
          <w:lang w:val="en-US" w:eastAsia="zh-CN"/>
        </w:rPr>
        <w:t>。</w:t>
      </w:r>
    </w:p>
    <w:p>
      <w:pPr>
        <w:numPr>
          <w:ilvl w:val="2"/>
          <w:numId w:val="8"/>
        </w:numPr>
        <w:snapToGrid w:val="0"/>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绿色数据中心政府采购需求标准（试行</w:t>
      </w:r>
      <w:r>
        <w:rPr>
          <w:rFonts w:hint="eastAsia" w:ascii="宋体" w:hAnsi="宋体" w:cs="宋体"/>
          <w:sz w:val="24"/>
          <w:lang w:val="en-US" w:eastAsia="zh-CN"/>
        </w:rPr>
        <w:t>）为加快数据中心绿色转型，根据财政部生态环境部 工业和信息化部关于印发《绿色数据中心政府采购需求标准（试行）》的通知（财库〔2023〕7 号），本项目如涉及绿色数据中心，则具体要求见第四章《采购需求》。</w:t>
      </w:r>
    </w:p>
    <w:p>
      <w:pPr>
        <w:numPr>
          <w:ilvl w:val="0"/>
          <w:numId w:val="8"/>
        </w:numPr>
        <w:tabs>
          <w:tab w:val="left" w:pos="360"/>
        </w:tabs>
        <w:snapToGrid w:val="0"/>
        <w:spacing w:line="360" w:lineRule="auto"/>
        <w:ind w:left="357" w:hanging="357"/>
        <w:outlineLvl w:val="1"/>
        <w:rPr>
          <w:rFonts w:hint="eastAsia" w:ascii="宋体" w:hAnsi="宋体" w:eastAsia="宋体" w:cs="宋体"/>
          <w:sz w:val="24"/>
        </w:rPr>
      </w:pPr>
      <w:r>
        <w:rPr>
          <w:rFonts w:hint="eastAsia" w:ascii="宋体" w:hAnsi="宋体" w:eastAsia="宋体" w:cs="宋体"/>
          <w:sz w:val="24"/>
        </w:rPr>
        <w:t>响应费用</w:t>
      </w:r>
    </w:p>
    <w:p>
      <w:pPr>
        <w:numPr>
          <w:ilvl w:val="1"/>
          <w:numId w:val="8"/>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供应商应自行承担所有与准备和参加磋商有关的费用，无论磋商的结果如何，采购人或采购代理机构在任何情况下均无承担这些费用的义务和责任。</w:t>
      </w:r>
    </w:p>
    <w:p>
      <w:pPr>
        <w:pStyle w:val="2"/>
        <w:spacing w:before="0" w:line="360" w:lineRule="auto"/>
        <w:rPr>
          <w:rFonts w:hint="eastAsia" w:ascii="宋体" w:hAnsi="宋体" w:eastAsia="宋体" w:cs="宋体"/>
          <w:sz w:val="28"/>
        </w:rPr>
      </w:pPr>
      <w:bookmarkStart w:id="148" w:name="_1.8_计量单位"/>
      <w:bookmarkEnd w:id="148"/>
      <w:r>
        <w:rPr>
          <w:rFonts w:hint="eastAsia" w:ascii="宋体" w:hAnsi="宋体" w:eastAsia="宋体" w:cs="宋体"/>
          <w:sz w:val="28"/>
        </w:rPr>
        <w:t>二   竞争性磋商文件</w:t>
      </w:r>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p>
    <w:p>
      <w:pPr>
        <w:numPr>
          <w:ilvl w:val="0"/>
          <w:numId w:val="8"/>
        </w:numPr>
        <w:tabs>
          <w:tab w:val="left" w:pos="360"/>
        </w:tabs>
        <w:snapToGrid w:val="0"/>
        <w:spacing w:line="360" w:lineRule="auto"/>
        <w:ind w:left="357" w:hanging="357"/>
        <w:outlineLvl w:val="1"/>
        <w:rPr>
          <w:rFonts w:hint="eastAsia" w:ascii="宋体" w:hAnsi="宋体" w:eastAsia="宋体" w:cs="宋体"/>
          <w:sz w:val="24"/>
        </w:rPr>
      </w:pPr>
      <w:bookmarkStart w:id="149" w:name="_Toc127161437"/>
      <w:bookmarkStart w:id="150" w:name="_Toc150509274"/>
      <w:bookmarkStart w:id="151" w:name="_Toc305158865"/>
      <w:bookmarkStart w:id="152" w:name="_Toc226965713"/>
      <w:bookmarkStart w:id="153" w:name="_Toc164351617"/>
      <w:bookmarkStart w:id="154" w:name="_Toc305158791"/>
      <w:bookmarkStart w:id="155" w:name="_Toc127151523"/>
      <w:bookmarkStart w:id="156" w:name="_Toc195842888"/>
      <w:bookmarkStart w:id="157" w:name="_Toc164608792"/>
      <w:bookmarkStart w:id="158" w:name="_Toc265228361"/>
      <w:bookmarkStart w:id="159" w:name="_Toc150480761"/>
      <w:bookmarkStart w:id="160" w:name="_Toc226337219"/>
      <w:bookmarkStart w:id="161" w:name="_Toc142311025"/>
      <w:bookmarkStart w:id="162" w:name="_Toc226309767"/>
      <w:bookmarkStart w:id="163" w:name="_Toc164608637"/>
      <w:bookmarkStart w:id="164" w:name="_Toc127151724"/>
      <w:bookmarkStart w:id="165" w:name="_Toc520356147"/>
      <w:bookmarkStart w:id="166" w:name="_Toc151190150"/>
      <w:bookmarkStart w:id="167" w:name="_Toc151193911"/>
      <w:bookmarkStart w:id="168" w:name="_Toc151193765"/>
      <w:bookmarkStart w:id="169" w:name="_Toc150774623"/>
      <w:bookmarkStart w:id="170" w:name="_Toc149720816"/>
      <w:bookmarkStart w:id="171" w:name="_Toc164229218"/>
      <w:bookmarkStart w:id="172" w:name="_Toc164229364"/>
      <w:bookmarkStart w:id="173" w:name="_Toc151193837"/>
      <w:bookmarkStart w:id="174" w:name="_Toc226965796"/>
      <w:bookmarkStart w:id="175" w:name="_Toc151193693"/>
      <w:bookmarkStart w:id="176" w:name="_Toc150774728"/>
      <w:bookmarkStart w:id="177" w:name="_Toc151193621"/>
      <w:bookmarkStart w:id="178" w:name="_Toc264969213"/>
      <w:r>
        <w:rPr>
          <w:rFonts w:hint="eastAsia" w:ascii="宋体" w:hAnsi="宋体" w:eastAsia="宋体" w:cs="宋体"/>
          <w:sz w:val="24"/>
        </w:rPr>
        <w:t>竞争性磋商文件构</w:t>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r>
        <w:rPr>
          <w:rFonts w:hint="eastAsia" w:ascii="宋体" w:hAnsi="宋体" w:eastAsia="宋体" w:cs="宋体"/>
          <w:sz w:val="24"/>
        </w:rPr>
        <w:t>成</w:t>
      </w:r>
    </w:p>
    <w:p>
      <w:pPr>
        <w:numPr>
          <w:ilvl w:val="1"/>
          <w:numId w:val="8"/>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竞争性磋商文件包括以下部分：</w:t>
      </w:r>
    </w:p>
    <w:p>
      <w:pPr>
        <w:numPr>
          <w:ilvl w:val="0"/>
          <w:numId w:val="9"/>
        </w:numPr>
        <w:tabs>
          <w:tab w:val="left" w:pos="1980"/>
          <w:tab w:val="left" w:pos="2520"/>
        </w:tabs>
        <w:snapToGrid w:val="0"/>
        <w:spacing w:line="360" w:lineRule="auto"/>
        <w:ind w:left="1440" w:firstLine="5"/>
        <w:rPr>
          <w:rFonts w:hint="eastAsia" w:ascii="宋体" w:hAnsi="宋体" w:eastAsia="宋体" w:cs="宋体"/>
          <w:sz w:val="24"/>
        </w:rPr>
      </w:pPr>
      <w:r>
        <w:rPr>
          <w:rFonts w:hint="eastAsia" w:ascii="宋体" w:hAnsi="宋体" w:eastAsia="宋体" w:cs="宋体"/>
          <w:sz w:val="24"/>
        </w:rPr>
        <w:t>采购邀请</w:t>
      </w:r>
    </w:p>
    <w:p>
      <w:pPr>
        <w:numPr>
          <w:ilvl w:val="0"/>
          <w:numId w:val="9"/>
        </w:numPr>
        <w:tabs>
          <w:tab w:val="left" w:pos="1980"/>
          <w:tab w:val="left" w:pos="2520"/>
        </w:tabs>
        <w:snapToGrid w:val="0"/>
        <w:spacing w:line="360" w:lineRule="auto"/>
        <w:ind w:left="1440" w:firstLine="5"/>
        <w:rPr>
          <w:rFonts w:hint="eastAsia" w:ascii="宋体" w:hAnsi="宋体" w:eastAsia="宋体" w:cs="宋体"/>
          <w:sz w:val="24"/>
        </w:rPr>
      </w:pPr>
      <w:r>
        <w:rPr>
          <w:rFonts w:hint="eastAsia" w:ascii="宋体" w:hAnsi="宋体" w:eastAsia="宋体" w:cs="宋体"/>
          <w:sz w:val="24"/>
        </w:rPr>
        <w:t>供应商须知</w:t>
      </w:r>
    </w:p>
    <w:p>
      <w:pPr>
        <w:numPr>
          <w:ilvl w:val="0"/>
          <w:numId w:val="9"/>
        </w:numPr>
        <w:tabs>
          <w:tab w:val="left" w:pos="1980"/>
          <w:tab w:val="left" w:pos="2520"/>
        </w:tabs>
        <w:snapToGrid w:val="0"/>
        <w:spacing w:line="360" w:lineRule="auto"/>
        <w:ind w:left="1440" w:firstLine="5"/>
        <w:rPr>
          <w:rFonts w:hint="eastAsia" w:ascii="宋体" w:hAnsi="宋体" w:eastAsia="宋体" w:cs="宋体"/>
          <w:sz w:val="24"/>
        </w:rPr>
      </w:pPr>
      <w:r>
        <w:rPr>
          <w:rFonts w:hint="eastAsia" w:ascii="宋体" w:hAnsi="宋体" w:eastAsia="宋体" w:cs="宋体"/>
          <w:sz w:val="24"/>
        </w:rPr>
        <w:t>评审方法和评审标准</w:t>
      </w:r>
    </w:p>
    <w:p>
      <w:pPr>
        <w:numPr>
          <w:ilvl w:val="0"/>
          <w:numId w:val="9"/>
        </w:numPr>
        <w:tabs>
          <w:tab w:val="left" w:pos="1980"/>
          <w:tab w:val="left" w:pos="2520"/>
        </w:tabs>
        <w:snapToGrid w:val="0"/>
        <w:spacing w:line="360" w:lineRule="auto"/>
        <w:ind w:left="1440" w:firstLine="5"/>
        <w:rPr>
          <w:rFonts w:hint="eastAsia" w:ascii="宋体" w:hAnsi="宋体" w:eastAsia="宋体" w:cs="宋体"/>
          <w:sz w:val="24"/>
        </w:rPr>
      </w:pPr>
      <w:r>
        <w:rPr>
          <w:rFonts w:hint="eastAsia" w:ascii="宋体" w:hAnsi="宋体" w:eastAsia="宋体" w:cs="宋体"/>
          <w:sz w:val="24"/>
        </w:rPr>
        <w:t>采购需求</w:t>
      </w:r>
    </w:p>
    <w:p>
      <w:pPr>
        <w:numPr>
          <w:ilvl w:val="0"/>
          <w:numId w:val="9"/>
        </w:numPr>
        <w:tabs>
          <w:tab w:val="left" w:pos="1980"/>
          <w:tab w:val="left" w:pos="2520"/>
        </w:tabs>
        <w:snapToGrid w:val="0"/>
        <w:spacing w:line="360" w:lineRule="auto"/>
        <w:ind w:left="1440" w:firstLine="5"/>
        <w:rPr>
          <w:rFonts w:hint="eastAsia" w:ascii="宋体" w:hAnsi="宋体" w:eastAsia="宋体" w:cs="宋体"/>
          <w:sz w:val="24"/>
        </w:rPr>
      </w:pPr>
      <w:r>
        <w:rPr>
          <w:rFonts w:hint="eastAsia" w:ascii="宋体" w:hAnsi="宋体" w:eastAsia="宋体" w:cs="宋体"/>
          <w:sz w:val="24"/>
        </w:rPr>
        <w:t>合同草案条款</w:t>
      </w:r>
    </w:p>
    <w:p>
      <w:pPr>
        <w:numPr>
          <w:ilvl w:val="0"/>
          <w:numId w:val="9"/>
        </w:numPr>
        <w:tabs>
          <w:tab w:val="left" w:pos="1980"/>
          <w:tab w:val="left" w:pos="2520"/>
        </w:tabs>
        <w:snapToGrid w:val="0"/>
        <w:spacing w:line="360" w:lineRule="auto"/>
        <w:ind w:left="1440" w:firstLine="5"/>
        <w:rPr>
          <w:rFonts w:hint="eastAsia" w:ascii="宋体" w:hAnsi="宋体" w:eastAsia="宋体" w:cs="宋体"/>
          <w:sz w:val="24"/>
        </w:rPr>
      </w:pPr>
      <w:r>
        <w:rPr>
          <w:rFonts w:hint="eastAsia" w:ascii="宋体" w:hAnsi="宋体" w:eastAsia="宋体" w:cs="宋体"/>
          <w:sz w:val="24"/>
        </w:rPr>
        <w:t>响应文件格式</w:t>
      </w:r>
    </w:p>
    <w:p>
      <w:pPr>
        <w:numPr>
          <w:ilvl w:val="1"/>
          <w:numId w:val="8"/>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eastAsia="宋体" w:cs="宋体"/>
          <w:b/>
          <w:sz w:val="24"/>
        </w:rPr>
        <w:t>响应无效</w:t>
      </w:r>
      <w:r>
        <w:rPr>
          <w:rFonts w:hint="eastAsia" w:ascii="宋体" w:hAnsi="宋体" w:eastAsia="宋体" w:cs="宋体"/>
          <w:sz w:val="24"/>
        </w:rPr>
        <w:t>。</w:t>
      </w:r>
    </w:p>
    <w:p>
      <w:pPr>
        <w:numPr>
          <w:ilvl w:val="0"/>
          <w:numId w:val="8"/>
        </w:numPr>
        <w:tabs>
          <w:tab w:val="left" w:pos="1080"/>
          <w:tab w:val="left" w:pos="2014"/>
        </w:tabs>
        <w:snapToGrid w:val="0"/>
        <w:spacing w:line="360" w:lineRule="auto"/>
        <w:ind w:left="357" w:hanging="357"/>
        <w:outlineLvl w:val="1"/>
        <w:rPr>
          <w:rFonts w:hint="eastAsia" w:ascii="宋体" w:hAnsi="宋体" w:eastAsia="宋体" w:cs="宋体"/>
          <w:sz w:val="24"/>
        </w:rPr>
      </w:pPr>
      <w:r>
        <w:rPr>
          <w:rFonts w:hint="eastAsia" w:ascii="宋体" w:hAnsi="宋体" w:eastAsia="宋体" w:cs="宋体"/>
          <w:sz w:val="24"/>
        </w:rPr>
        <w:t>对竞争性磋商文件的澄清或修改</w:t>
      </w:r>
    </w:p>
    <w:p>
      <w:pPr>
        <w:numPr>
          <w:ilvl w:val="1"/>
          <w:numId w:val="8"/>
        </w:numPr>
        <w:tabs>
          <w:tab w:val="left" w:pos="1080"/>
          <w:tab w:val="left" w:pos="1561"/>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采购人或采购代理机构对已发出的竞争性磋商文件进行必要澄清或者修改的，将以书面形式通知所有获取竞争性磋商文件的潜在供应商。采用公告方式邀请供应商参与的，还将在原公告发布媒体上发布更正公告。</w:t>
      </w:r>
    </w:p>
    <w:p>
      <w:pPr>
        <w:numPr>
          <w:ilvl w:val="1"/>
          <w:numId w:val="8"/>
        </w:numPr>
        <w:tabs>
          <w:tab w:val="left" w:pos="1080"/>
          <w:tab w:val="left" w:pos="1561"/>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上述书面通知，按照获取竞争性磋商文件的潜在供应商提供的联系方式发出，因提供的信息有误导致通知延迟或无法通知的，采购人或采购代理机构不承担责任。</w:t>
      </w:r>
    </w:p>
    <w:p>
      <w:pPr>
        <w:numPr>
          <w:ilvl w:val="1"/>
          <w:numId w:val="8"/>
        </w:numPr>
        <w:tabs>
          <w:tab w:val="left" w:pos="1080"/>
          <w:tab w:val="left" w:pos="1561"/>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澄清或者修改的内容为竞争性磋商文件的组成部分，并对所有获取竞争性磋商文件的潜在供应商具有约束力。澄清或者修改的内容可能影响响应文件编制的，将在提交首次响应文件截止之日3个工作日前；不足上述时间的，将顺延提交响应文件的截止时间。</w:t>
      </w:r>
    </w:p>
    <w:p>
      <w:pPr>
        <w:pStyle w:val="2"/>
        <w:spacing w:before="0" w:line="360" w:lineRule="auto"/>
        <w:rPr>
          <w:rFonts w:hint="eastAsia" w:ascii="宋体" w:hAnsi="宋体" w:eastAsia="宋体" w:cs="宋体"/>
          <w:sz w:val="28"/>
        </w:rPr>
      </w:pPr>
      <w:bookmarkStart w:id="179" w:name="_Toc516367020"/>
      <w:bookmarkStart w:id="180" w:name="_Toc226965799"/>
      <w:bookmarkStart w:id="181" w:name="_Toc305158794"/>
      <w:bookmarkStart w:id="182" w:name="_Toc151193624"/>
      <w:bookmarkStart w:id="183" w:name="_Toc150774731"/>
      <w:bookmarkStart w:id="184" w:name="_Toc150480764"/>
      <w:bookmarkStart w:id="185" w:name="_Toc151190153"/>
      <w:bookmarkStart w:id="186" w:name="_Toc265228364"/>
      <w:bookmarkStart w:id="187" w:name="_Toc127151526"/>
      <w:bookmarkStart w:id="188" w:name="_Toc520356150"/>
      <w:bookmarkStart w:id="189" w:name="_Toc226309770"/>
      <w:bookmarkStart w:id="190" w:name="_Toc151193914"/>
      <w:bookmarkStart w:id="191" w:name="_Toc151193840"/>
      <w:bookmarkStart w:id="192" w:name="_Toc264969216"/>
      <w:bookmarkStart w:id="193" w:name="_Toc151193768"/>
      <w:bookmarkStart w:id="194" w:name="_Toc305158868"/>
      <w:bookmarkStart w:id="195" w:name="_Toc226337222"/>
      <w:bookmarkStart w:id="196" w:name="_Toc226965716"/>
      <w:bookmarkStart w:id="197" w:name="_Toc142311028"/>
      <w:bookmarkStart w:id="198" w:name="_Toc150509277"/>
      <w:bookmarkStart w:id="199" w:name="_Toc150774626"/>
      <w:bookmarkStart w:id="200" w:name="_Toc195842891"/>
      <w:bookmarkStart w:id="201" w:name="_Toc151193696"/>
      <w:r>
        <w:rPr>
          <w:rFonts w:hint="eastAsia" w:ascii="宋体" w:hAnsi="宋体" w:eastAsia="宋体" w:cs="宋体"/>
          <w:sz w:val="28"/>
        </w:rPr>
        <w:t>三   响应文件</w:t>
      </w:r>
      <w:bookmarkEnd w:id="179"/>
      <w:r>
        <w:rPr>
          <w:rFonts w:hint="eastAsia" w:ascii="宋体" w:hAnsi="宋体" w:eastAsia="宋体" w:cs="宋体"/>
          <w:sz w:val="28"/>
        </w:rPr>
        <w:t>的编制</w:t>
      </w:r>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p>
    <w:p>
      <w:pPr>
        <w:numPr>
          <w:ilvl w:val="0"/>
          <w:numId w:val="8"/>
        </w:numPr>
        <w:tabs>
          <w:tab w:val="left" w:pos="360"/>
        </w:tabs>
        <w:snapToGrid w:val="0"/>
        <w:spacing w:line="360" w:lineRule="auto"/>
        <w:ind w:left="357" w:hanging="357"/>
        <w:outlineLvl w:val="1"/>
        <w:rPr>
          <w:rFonts w:hint="eastAsia" w:ascii="宋体" w:hAnsi="宋体" w:eastAsia="宋体" w:cs="宋体"/>
          <w:sz w:val="24"/>
        </w:rPr>
      </w:pPr>
      <w:bookmarkStart w:id="202" w:name="_Toc164608796"/>
      <w:bookmarkStart w:id="203" w:name="_Toc142311029"/>
      <w:bookmarkStart w:id="204" w:name="_Toc151193769"/>
      <w:bookmarkStart w:id="205" w:name="_Toc149720820"/>
      <w:bookmarkStart w:id="206" w:name="_Toc520356151"/>
      <w:bookmarkStart w:id="207" w:name="_Toc151193625"/>
      <w:bookmarkStart w:id="208" w:name="_Toc195842892"/>
      <w:bookmarkStart w:id="209" w:name="_Toc226309771"/>
      <w:bookmarkStart w:id="210" w:name="_Toc516367021"/>
      <w:bookmarkStart w:id="211" w:name="_Toc150774732"/>
      <w:bookmarkStart w:id="212" w:name="_Toc164608641"/>
      <w:bookmarkStart w:id="213" w:name="_Toc151190154"/>
      <w:bookmarkStart w:id="214" w:name="_Toc151193915"/>
      <w:bookmarkStart w:id="215" w:name="_Toc127161441"/>
      <w:bookmarkStart w:id="216" w:name="_Toc164229222"/>
      <w:bookmarkStart w:id="217" w:name="_Toc127151728"/>
      <w:bookmarkStart w:id="218" w:name="_Toc265228365"/>
      <w:bookmarkStart w:id="219" w:name="_Toc164351621"/>
      <w:bookmarkStart w:id="220" w:name="_Toc151193841"/>
      <w:bookmarkStart w:id="221" w:name="_Toc164229368"/>
      <w:bookmarkStart w:id="222" w:name="_Toc226965800"/>
      <w:bookmarkStart w:id="223" w:name="_Toc150774627"/>
      <w:bookmarkStart w:id="224" w:name="_Toc226337223"/>
      <w:bookmarkStart w:id="225" w:name="_Toc226965717"/>
      <w:bookmarkStart w:id="226" w:name="_Toc305158869"/>
      <w:bookmarkStart w:id="227" w:name="_Toc264969217"/>
      <w:bookmarkStart w:id="228" w:name="_Toc150480765"/>
      <w:bookmarkStart w:id="229" w:name="_Toc150509278"/>
      <w:bookmarkStart w:id="230" w:name="_Toc305158795"/>
      <w:bookmarkStart w:id="231" w:name="_Toc127151527"/>
      <w:bookmarkStart w:id="232" w:name="_Toc151193697"/>
      <w:r>
        <w:rPr>
          <w:rFonts w:hint="eastAsia" w:ascii="宋体" w:hAnsi="宋体" w:eastAsia="宋体" w:cs="宋体"/>
          <w:sz w:val="24"/>
        </w:rPr>
        <w:t>响应范围、竞争性磋商文件中计量单位的使用</w:t>
      </w:r>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r>
        <w:rPr>
          <w:rFonts w:hint="eastAsia" w:ascii="宋体" w:hAnsi="宋体" w:eastAsia="宋体" w:cs="宋体"/>
          <w:sz w:val="24"/>
        </w:rPr>
        <w:t>及磋商语言</w:t>
      </w:r>
    </w:p>
    <w:p>
      <w:pPr>
        <w:numPr>
          <w:ilvl w:val="1"/>
          <w:numId w:val="8"/>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eastAsia="宋体" w:cs="宋体"/>
          <w:b/>
          <w:sz w:val="24"/>
        </w:rPr>
        <w:t>响应无效</w:t>
      </w:r>
      <w:r>
        <w:rPr>
          <w:rFonts w:hint="eastAsia" w:ascii="宋体" w:hAnsi="宋体" w:eastAsia="宋体" w:cs="宋体"/>
          <w:sz w:val="24"/>
        </w:rPr>
        <w:t>。</w:t>
      </w:r>
    </w:p>
    <w:p>
      <w:pPr>
        <w:numPr>
          <w:ilvl w:val="1"/>
          <w:numId w:val="8"/>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除竞争性磋商文件有特殊要求外，本项目磋商所使用的计量单位，应采用中华人民共和国法定计量单位。</w:t>
      </w:r>
    </w:p>
    <w:p>
      <w:pPr>
        <w:numPr>
          <w:ilvl w:val="1"/>
          <w:numId w:val="8"/>
        </w:numPr>
        <w:tabs>
          <w:tab w:val="left" w:pos="1080"/>
          <w:tab w:val="left" w:pos="2014"/>
        </w:tabs>
        <w:snapToGrid w:val="0"/>
        <w:spacing w:line="360" w:lineRule="auto"/>
        <w:ind w:left="1080" w:hanging="720"/>
        <w:rPr>
          <w:rFonts w:hint="eastAsia" w:ascii="宋体" w:hAnsi="宋体" w:eastAsia="宋体" w:cs="宋体"/>
        </w:rPr>
      </w:pPr>
      <w:r>
        <w:rPr>
          <w:rFonts w:hint="eastAsia" w:ascii="宋体" w:hAnsi="宋体" w:eastAsia="宋体" w:cs="宋体"/>
          <w:sz w:val="24"/>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rFonts w:hint="eastAsia" w:ascii="宋体" w:hAnsi="宋体" w:eastAsia="宋体" w:cs="宋体"/>
          <w:sz w:val="24"/>
          <w:lang w:eastAsia="zh-CN"/>
        </w:rPr>
        <w:t>。</w:t>
      </w:r>
    </w:p>
    <w:p>
      <w:pPr>
        <w:numPr>
          <w:ilvl w:val="0"/>
          <w:numId w:val="8"/>
        </w:numPr>
        <w:tabs>
          <w:tab w:val="left" w:pos="360"/>
        </w:tabs>
        <w:snapToGrid w:val="0"/>
        <w:spacing w:line="360" w:lineRule="auto"/>
        <w:ind w:left="357" w:hanging="357"/>
        <w:outlineLvl w:val="1"/>
        <w:rPr>
          <w:rFonts w:hint="eastAsia" w:ascii="宋体" w:hAnsi="宋体" w:eastAsia="宋体" w:cs="宋体"/>
          <w:sz w:val="24"/>
        </w:rPr>
      </w:pPr>
      <w:bookmarkStart w:id="233" w:name="_Toc516367022"/>
      <w:bookmarkStart w:id="234" w:name="_Ref467306676"/>
      <w:bookmarkStart w:id="235" w:name="_Ref467306195"/>
      <w:bookmarkStart w:id="236" w:name="_Toc520356152"/>
      <w:bookmarkStart w:id="237" w:name="_Toc164351622"/>
      <w:bookmarkStart w:id="238" w:name="_Toc151193916"/>
      <w:bookmarkStart w:id="239" w:name="_Toc164608642"/>
      <w:bookmarkStart w:id="240" w:name="_Toc305158796"/>
      <w:bookmarkStart w:id="241" w:name="_Toc265228366"/>
      <w:bookmarkStart w:id="242" w:name="_Toc127151729"/>
      <w:bookmarkStart w:id="243" w:name="_Toc226965801"/>
      <w:bookmarkStart w:id="244" w:name="_Toc150480766"/>
      <w:bookmarkStart w:id="245" w:name="_Toc151193626"/>
      <w:bookmarkStart w:id="246" w:name="_Toc149720821"/>
      <w:bookmarkStart w:id="247" w:name="_Toc150509279"/>
      <w:bookmarkStart w:id="248" w:name="_Toc164608797"/>
      <w:bookmarkStart w:id="249" w:name="_Toc264969218"/>
      <w:bookmarkStart w:id="250" w:name="_Toc164229369"/>
      <w:bookmarkStart w:id="251" w:name="_Toc127161442"/>
      <w:bookmarkStart w:id="252" w:name="_Toc226309772"/>
      <w:bookmarkStart w:id="253" w:name="_Toc142311030"/>
      <w:bookmarkStart w:id="254" w:name="_Toc151193770"/>
      <w:bookmarkStart w:id="255" w:name="_Toc151193842"/>
      <w:bookmarkStart w:id="256" w:name="_Toc127151528"/>
      <w:bookmarkStart w:id="257" w:name="_Toc226965718"/>
      <w:bookmarkStart w:id="258" w:name="_Toc151190155"/>
      <w:bookmarkStart w:id="259" w:name="_Toc305158870"/>
      <w:bookmarkStart w:id="260" w:name="_Toc164229223"/>
      <w:bookmarkStart w:id="261" w:name="_Toc195842893"/>
      <w:bookmarkStart w:id="262" w:name="_Toc151193698"/>
      <w:bookmarkStart w:id="263" w:name="_Toc150774628"/>
      <w:bookmarkStart w:id="264" w:name="_Toc150774733"/>
      <w:bookmarkStart w:id="265" w:name="_Toc226337224"/>
      <w:r>
        <w:rPr>
          <w:rFonts w:hint="eastAsia" w:ascii="宋体" w:hAnsi="宋体" w:eastAsia="宋体" w:cs="宋体"/>
          <w:sz w:val="24"/>
        </w:rPr>
        <w:t>响应文件</w:t>
      </w:r>
      <w:bookmarkEnd w:id="233"/>
      <w:bookmarkEnd w:id="234"/>
      <w:bookmarkEnd w:id="235"/>
      <w:r>
        <w:rPr>
          <w:rFonts w:hint="eastAsia" w:ascii="宋体" w:hAnsi="宋体" w:eastAsia="宋体" w:cs="宋体"/>
          <w:sz w:val="24"/>
        </w:rPr>
        <w:t>构成</w:t>
      </w:r>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pPr>
        <w:numPr>
          <w:ilvl w:val="1"/>
          <w:numId w:val="8"/>
        </w:numPr>
        <w:tabs>
          <w:tab w:val="left" w:pos="1080"/>
          <w:tab w:val="left" w:pos="2014"/>
        </w:tabs>
        <w:snapToGrid w:val="0"/>
        <w:spacing w:line="360" w:lineRule="auto"/>
        <w:ind w:left="1077" w:hanging="720"/>
        <w:rPr>
          <w:rFonts w:hint="eastAsia" w:ascii="宋体" w:hAnsi="宋体" w:eastAsia="宋体" w:cs="宋体"/>
          <w:sz w:val="24"/>
        </w:rPr>
      </w:pPr>
      <w:bookmarkStart w:id="266" w:name="_Ref467052588"/>
      <w:r>
        <w:rPr>
          <w:rFonts w:hint="eastAsia" w:ascii="宋体" w:hAnsi="宋体" w:eastAsia="宋体" w:cs="宋体"/>
          <w:sz w:val="24"/>
        </w:rPr>
        <w:t>供应商应当按照竞争性磋商文件的要求编制响应文件，</w:t>
      </w:r>
      <w:r>
        <w:rPr>
          <w:rFonts w:hint="eastAsia" w:ascii="宋体" w:hAnsi="宋体" w:eastAsia="宋体" w:cs="宋体"/>
          <w:kern w:val="0"/>
          <w:sz w:val="24"/>
        </w:rPr>
        <w:t>并对其提交的响应文件的真实性、合法性承担法律责任</w:t>
      </w:r>
      <w:r>
        <w:rPr>
          <w:rFonts w:hint="eastAsia" w:ascii="宋体" w:hAnsi="宋体" w:eastAsia="宋体" w:cs="宋体"/>
          <w:sz w:val="24"/>
        </w:rPr>
        <w:t>。响应文件的部分格式要求，见第六章《响应文件格式》。</w:t>
      </w:r>
    </w:p>
    <w:p>
      <w:pPr>
        <w:numPr>
          <w:ilvl w:val="1"/>
          <w:numId w:val="8"/>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kern w:val="0"/>
          <w:sz w:val="24"/>
        </w:rPr>
        <w:t>对于竞争性磋商文件中标记了“实质性格式”文件的，</w:t>
      </w:r>
      <w:r>
        <w:rPr>
          <w:rFonts w:hint="eastAsia" w:ascii="宋体" w:hAnsi="宋体" w:eastAsia="宋体" w:cs="宋体"/>
          <w:sz w:val="24"/>
        </w:rPr>
        <w:t>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eastAsia="宋体" w:cs="宋体"/>
          <w:b/>
          <w:kern w:val="0"/>
          <w:sz w:val="24"/>
        </w:rPr>
        <w:t>否则响应无效</w:t>
      </w:r>
      <w:r>
        <w:rPr>
          <w:rFonts w:hint="eastAsia" w:ascii="宋体" w:hAnsi="宋体" w:eastAsia="宋体" w:cs="宋体"/>
          <w:kern w:val="0"/>
          <w:sz w:val="24"/>
        </w:rPr>
        <w:t>。未标记“实质性格式”的文件和竞争性磋商文件未提供格式的内容，可由供应商自行编写。</w:t>
      </w:r>
    </w:p>
    <w:p>
      <w:pPr>
        <w:numPr>
          <w:ilvl w:val="1"/>
          <w:numId w:val="8"/>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第三章《评审方法和评审标准》中涉及的证明文件。</w:t>
      </w:r>
    </w:p>
    <w:p>
      <w:pPr>
        <w:numPr>
          <w:ilvl w:val="1"/>
          <w:numId w:val="8"/>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对照第四章《采购需求》，说明所提供货物和服务已对第四章《采购需求》做出了响应，或申明与第四章《采购需求》的偏差和例外。如第四章《采购需求》中要求提供证明文件的，供应商应当按具体要求提供证明文件。</w:t>
      </w:r>
    </w:p>
    <w:p>
      <w:pPr>
        <w:numPr>
          <w:ilvl w:val="1"/>
          <w:numId w:val="8"/>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供应商认为应附的其他材料</w:t>
      </w:r>
      <w:r>
        <w:rPr>
          <w:rFonts w:hint="eastAsia" w:ascii="宋体" w:hAnsi="宋体" w:eastAsia="宋体" w:cs="宋体"/>
          <w:sz w:val="24"/>
          <w:lang w:eastAsia="zh-CN"/>
        </w:rPr>
        <w:t>。</w:t>
      </w:r>
    </w:p>
    <w:p>
      <w:pPr>
        <w:numPr>
          <w:ilvl w:val="1"/>
          <w:numId w:val="8"/>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color w:val="auto"/>
          <w:sz w:val="24"/>
          <w:szCs w:val="24"/>
        </w:rPr>
        <w:t>响应文件</w:t>
      </w:r>
      <w:r>
        <w:rPr>
          <w:rFonts w:hint="eastAsia" w:ascii="宋体" w:hAnsi="宋体" w:eastAsia="宋体" w:cs="宋体"/>
          <w:color w:val="auto"/>
          <w:sz w:val="24"/>
          <w:szCs w:val="24"/>
          <w:lang w:eastAsia="zh-CN"/>
        </w:rPr>
        <w:t>应编制</w:t>
      </w:r>
      <w:r>
        <w:rPr>
          <w:rFonts w:hint="eastAsia" w:ascii="宋体" w:hAnsi="宋体" w:eastAsia="宋体" w:cs="宋体"/>
          <w:color w:val="auto"/>
          <w:sz w:val="24"/>
          <w:szCs w:val="24"/>
        </w:rPr>
        <w:t>目录，目录应准确，所有页码要对应实际文件的内容页，不能有缺页码或页码不准确的情况。</w:t>
      </w:r>
    </w:p>
    <w:bookmarkEnd w:id="266"/>
    <w:p>
      <w:pPr>
        <w:numPr>
          <w:ilvl w:val="0"/>
          <w:numId w:val="8"/>
        </w:numPr>
        <w:tabs>
          <w:tab w:val="left" w:pos="360"/>
        </w:tabs>
        <w:snapToGrid w:val="0"/>
        <w:spacing w:line="360" w:lineRule="auto"/>
        <w:ind w:left="357" w:hanging="357"/>
        <w:outlineLvl w:val="1"/>
        <w:rPr>
          <w:rFonts w:hint="eastAsia" w:ascii="宋体" w:hAnsi="宋体" w:eastAsia="宋体" w:cs="宋体"/>
          <w:sz w:val="24"/>
        </w:rPr>
      </w:pPr>
      <w:bookmarkStart w:id="267" w:name="_Toc151193844"/>
      <w:bookmarkStart w:id="268" w:name="_Toc520356155"/>
      <w:bookmarkStart w:id="269" w:name="_Toc127161444"/>
      <w:bookmarkStart w:id="270" w:name="_Toc150774630"/>
      <w:bookmarkStart w:id="271" w:name="_Toc150509281"/>
      <w:bookmarkStart w:id="272" w:name="_Toc164608644"/>
      <w:bookmarkStart w:id="273" w:name="_Toc164229225"/>
      <w:bookmarkStart w:id="274" w:name="_Toc127151530"/>
      <w:bookmarkStart w:id="275" w:name="_Toc127151731"/>
      <w:bookmarkStart w:id="276" w:name="_Toc151193772"/>
      <w:bookmarkStart w:id="277" w:name="_Toc164229371"/>
      <w:bookmarkStart w:id="278" w:name="_Toc150774735"/>
      <w:bookmarkStart w:id="279" w:name="_Toc195842895"/>
      <w:bookmarkStart w:id="280" w:name="_Toc149720823"/>
      <w:bookmarkStart w:id="281" w:name="_Toc142311032"/>
      <w:bookmarkStart w:id="282" w:name="_Toc151190157"/>
      <w:bookmarkStart w:id="283" w:name="_Toc164608799"/>
      <w:bookmarkStart w:id="284" w:name="_Toc164351624"/>
      <w:bookmarkStart w:id="285" w:name="_Toc151193918"/>
      <w:bookmarkStart w:id="286" w:name="_Toc151193628"/>
      <w:bookmarkStart w:id="287" w:name="_Toc151193700"/>
      <w:bookmarkStart w:id="288" w:name="_Toc150480768"/>
      <w:r>
        <w:rPr>
          <w:rFonts w:hint="eastAsia" w:ascii="宋体" w:hAnsi="宋体" w:eastAsia="宋体" w:cs="宋体"/>
          <w:sz w:val="24"/>
        </w:rPr>
        <w:t>报价</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p>
    <w:p>
      <w:pPr>
        <w:numPr>
          <w:ilvl w:val="1"/>
          <w:numId w:val="8"/>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所有响应均以人民币报价。</w:t>
      </w:r>
    </w:p>
    <w:p>
      <w:pPr>
        <w:numPr>
          <w:ilvl w:val="1"/>
          <w:numId w:val="8"/>
        </w:numPr>
        <w:tabs>
          <w:tab w:val="left" w:pos="1080"/>
        </w:tabs>
        <w:snapToGrid w:val="0"/>
        <w:spacing w:line="360" w:lineRule="auto"/>
        <w:rPr>
          <w:rFonts w:hint="eastAsia" w:ascii="宋体" w:hAnsi="宋体" w:eastAsia="宋体" w:cs="宋体"/>
          <w:sz w:val="24"/>
        </w:rPr>
      </w:pPr>
      <w:r>
        <w:rPr>
          <w:rFonts w:hint="eastAsia" w:ascii="宋体" w:hAnsi="宋体" w:eastAsia="宋体" w:cs="宋体"/>
          <w:sz w:val="24"/>
        </w:rPr>
        <w:t>供应商的报价应包括为完成本项目所发生的一切费用和税费，采购人将不</w:t>
      </w:r>
    </w:p>
    <w:p>
      <w:pPr>
        <w:numPr>
          <w:ilvl w:val="0"/>
          <w:numId w:val="0"/>
        </w:numPr>
        <w:tabs>
          <w:tab w:val="left" w:pos="1080"/>
        </w:tabs>
        <w:snapToGrid w:val="0"/>
        <w:spacing w:line="360" w:lineRule="auto"/>
        <w:ind w:left="1046" w:leftChars="498" w:firstLine="0" w:firstLineChars="0"/>
        <w:rPr>
          <w:rFonts w:hint="eastAsia" w:ascii="宋体" w:hAnsi="宋体" w:eastAsia="宋体" w:cs="宋体"/>
          <w:sz w:val="24"/>
        </w:rPr>
      </w:pPr>
      <w:r>
        <w:rPr>
          <w:rFonts w:hint="eastAsia" w:ascii="宋体" w:hAnsi="宋体" w:eastAsia="宋体" w:cs="宋体"/>
          <w:sz w:val="24"/>
        </w:rPr>
        <w:t>再支付报价以外的任何费用。供应商的报价应包括但不限于下列内容，《供应商须知资料表》中有特殊规定的，从其规定。</w:t>
      </w:r>
    </w:p>
    <w:p>
      <w:pPr>
        <w:numPr>
          <w:ilvl w:val="2"/>
          <w:numId w:val="8"/>
        </w:numPr>
        <w:snapToGrid w:val="0"/>
        <w:spacing w:line="360" w:lineRule="auto"/>
        <w:rPr>
          <w:rFonts w:hint="eastAsia" w:ascii="宋体" w:hAnsi="宋体" w:eastAsia="宋体" w:cs="宋体"/>
          <w:sz w:val="24"/>
        </w:rPr>
      </w:pPr>
      <w:r>
        <w:rPr>
          <w:rFonts w:hint="eastAsia" w:ascii="宋体" w:hAnsi="宋体" w:eastAsia="宋体" w:cs="宋体"/>
          <w:sz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p>
    <w:p>
      <w:pPr>
        <w:numPr>
          <w:ilvl w:val="2"/>
          <w:numId w:val="8"/>
        </w:numPr>
        <w:snapToGrid w:val="0"/>
        <w:spacing w:line="360" w:lineRule="auto"/>
        <w:rPr>
          <w:rFonts w:hint="eastAsia" w:ascii="宋体" w:hAnsi="宋体" w:eastAsia="宋体" w:cs="宋体"/>
          <w:sz w:val="24"/>
        </w:rPr>
      </w:pPr>
      <w:r>
        <w:rPr>
          <w:rFonts w:hint="eastAsia" w:ascii="宋体" w:hAnsi="宋体" w:eastAsia="宋体" w:cs="宋体"/>
          <w:sz w:val="24"/>
        </w:rPr>
        <w:t>按照竞争性磋商文件要求完成本项目的全部相关工程或服务费用。</w:t>
      </w:r>
    </w:p>
    <w:p>
      <w:pPr>
        <w:numPr>
          <w:ilvl w:val="1"/>
          <w:numId w:val="8"/>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采购人不得向供应商索要或者接受其给予的赠品、回扣或者与采购无关的其他商品、服务。</w:t>
      </w:r>
    </w:p>
    <w:p>
      <w:pPr>
        <w:numPr>
          <w:ilvl w:val="1"/>
          <w:numId w:val="8"/>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供应商不能提供任何有选择性或可调整的最后报价（</w:t>
      </w:r>
      <w:r>
        <w:rPr>
          <w:rFonts w:hint="eastAsia" w:ascii="宋体" w:hAnsi="宋体" w:eastAsia="宋体" w:cs="宋体"/>
          <w:color w:val="000000"/>
          <w:kern w:val="0"/>
          <w:sz w:val="24"/>
        </w:rPr>
        <w:t>竞争性磋商文件</w:t>
      </w:r>
      <w:r>
        <w:rPr>
          <w:rFonts w:hint="eastAsia" w:ascii="宋体" w:hAnsi="宋体" w:eastAsia="宋体" w:cs="宋体"/>
          <w:sz w:val="24"/>
        </w:rPr>
        <w:t>另有规定的除外），否则其</w:t>
      </w:r>
      <w:r>
        <w:rPr>
          <w:rFonts w:hint="eastAsia" w:ascii="宋体" w:hAnsi="宋体" w:eastAsia="宋体" w:cs="宋体"/>
          <w:b/>
          <w:sz w:val="24"/>
        </w:rPr>
        <w:t>响应无效</w:t>
      </w:r>
      <w:r>
        <w:rPr>
          <w:rFonts w:hint="eastAsia" w:ascii="宋体" w:hAnsi="宋体" w:eastAsia="宋体" w:cs="宋体"/>
          <w:sz w:val="24"/>
        </w:rPr>
        <w:t>。</w:t>
      </w:r>
    </w:p>
    <w:p>
      <w:pPr>
        <w:numPr>
          <w:ilvl w:val="0"/>
          <w:numId w:val="8"/>
        </w:numPr>
        <w:tabs>
          <w:tab w:val="left" w:pos="360"/>
        </w:tabs>
        <w:snapToGrid w:val="0"/>
        <w:spacing w:line="360" w:lineRule="auto"/>
        <w:ind w:left="357" w:hanging="357"/>
        <w:outlineLvl w:val="1"/>
        <w:rPr>
          <w:rFonts w:hint="eastAsia" w:ascii="宋体" w:hAnsi="宋体" w:eastAsia="宋体" w:cs="宋体"/>
          <w:sz w:val="24"/>
        </w:rPr>
      </w:pPr>
      <w:r>
        <w:rPr>
          <w:rFonts w:hint="eastAsia" w:ascii="宋体" w:hAnsi="宋体" w:eastAsia="宋体" w:cs="宋体"/>
          <w:sz w:val="24"/>
        </w:rPr>
        <w:t>磋商保证金</w:t>
      </w:r>
      <w:r>
        <w:rPr>
          <w:rFonts w:hint="eastAsia" w:ascii="宋体" w:hAnsi="宋体" w:eastAsia="宋体" w:cs="宋体"/>
          <w:b/>
          <w:bCs/>
          <w:sz w:val="24"/>
          <w:lang w:eastAsia="zh-CN"/>
        </w:rPr>
        <w:t>（本项目不适用）</w:t>
      </w:r>
    </w:p>
    <w:p>
      <w:pPr>
        <w:numPr>
          <w:ilvl w:val="1"/>
          <w:numId w:val="8"/>
        </w:numPr>
        <w:tabs>
          <w:tab w:val="left" w:pos="1080"/>
          <w:tab w:val="left" w:pos="2014"/>
        </w:tabs>
        <w:snapToGrid w:val="0"/>
        <w:spacing w:line="360" w:lineRule="auto"/>
        <w:ind w:left="1077" w:hanging="720"/>
        <w:rPr>
          <w:rFonts w:hint="eastAsia" w:ascii="宋体" w:hAnsi="宋体" w:eastAsia="宋体" w:cs="宋体"/>
          <w:sz w:val="24"/>
        </w:rPr>
      </w:pPr>
      <w:bookmarkStart w:id="289" w:name="_Ref467306302"/>
      <w:r>
        <w:rPr>
          <w:rFonts w:hint="eastAsia" w:ascii="宋体" w:hAnsi="宋体" w:eastAsia="宋体" w:cs="宋体"/>
          <w:sz w:val="24"/>
        </w:rPr>
        <w:t>供应商应按《供应商须知资料表》中规定的金额及要求交纳磋商保证金</w:t>
      </w:r>
      <w:bookmarkEnd w:id="289"/>
      <w:r>
        <w:rPr>
          <w:rFonts w:hint="eastAsia" w:ascii="宋体" w:hAnsi="宋体" w:eastAsia="宋体" w:cs="宋体"/>
          <w:sz w:val="24"/>
        </w:rPr>
        <w:t>，并作为其响应文件的一部分。</w:t>
      </w:r>
    </w:p>
    <w:p>
      <w:pPr>
        <w:numPr>
          <w:ilvl w:val="1"/>
          <w:numId w:val="8"/>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交纳磋商保证金可采用的形式：政府采购法律法规接受的支票、汇票、本票、网上银行支付或者金融机构、担保机构出具的保函等非现金形式。</w:t>
      </w:r>
    </w:p>
    <w:p>
      <w:pPr>
        <w:numPr>
          <w:ilvl w:val="1"/>
          <w:numId w:val="8"/>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磋商保证金到账（保函提交）截止时间同首次响应文件提交截止时间。以支票、汇票、本票、网上银行支付等形式提交磋商保证金的，应在首次响应文件提交截止时间前到账；以金融机构、担保机构出具的保函等形式提交磋商保证金的，应在首次响应文件提交截止时间前将原件提交至采购代理机构；由于到账时间晚于首次响应文件提交截止时间的，或者票据错误、印鉴不清等原因导致不能到账的，其</w:t>
      </w:r>
      <w:r>
        <w:rPr>
          <w:rFonts w:hint="eastAsia" w:ascii="宋体" w:hAnsi="宋体" w:eastAsia="宋体" w:cs="宋体"/>
          <w:b/>
          <w:sz w:val="24"/>
        </w:rPr>
        <w:t>响应无效</w:t>
      </w:r>
      <w:r>
        <w:rPr>
          <w:rFonts w:hint="eastAsia" w:ascii="宋体" w:hAnsi="宋体" w:eastAsia="宋体" w:cs="宋体"/>
          <w:sz w:val="24"/>
        </w:rPr>
        <w:t>。</w:t>
      </w:r>
    </w:p>
    <w:p>
      <w:pPr>
        <w:numPr>
          <w:ilvl w:val="1"/>
          <w:numId w:val="8"/>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磋商保证金（保函）有效期同响应有效期。</w:t>
      </w:r>
    </w:p>
    <w:p>
      <w:pPr>
        <w:numPr>
          <w:ilvl w:val="1"/>
          <w:numId w:val="8"/>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供应商为联合体的，可以由联合体中的一方或者多方共同交纳磋商保证金，其交纳的保证金对联合体各方均具有约束力。</w:t>
      </w:r>
    </w:p>
    <w:p>
      <w:pPr>
        <w:numPr>
          <w:ilvl w:val="1"/>
          <w:numId w:val="8"/>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采购人、采购代理机构将及时退还供应商的保证金，采用银行保函、担保机构担保函等形式递交的保证金，经供应商同意后采购人、采购代理机构可以不再退还，但因供应商自身原因导致无法及时退还的除外：</w:t>
      </w:r>
    </w:p>
    <w:p>
      <w:pPr>
        <w:numPr>
          <w:ilvl w:val="2"/>
          <w:numId w:val="8"/>
        </w:numPr>
        <w:snapToGrid w:val="0"/>
        <w:spacing w:line="360" w:lineRule="auto"/>
        <w:rPr>
          <w:rFonts w:hint="eastAsia" w:ascii="宋体" w:hAnsi="宋体" w:eastAsia="宋体" w:cs="宋体"/>
          <w:sz w:val="24"/>
        </w:rPr>
      </w:pPr>
      <w:r>
        <w:rPr>
          <w:rFonts w:hint="eastAsia" w:ascii="宋体" w:hAnsi="宋体" w:eastAsia="宋体" w:cs="宋体"/>
          <w:snapToGrid w:val="0"/>
          <w:kern w:val="0"/>
          <w:sz w:val="24"/>
        </w:rPr>
        <w:t>已提交响应文件的供应商，在提交最后报价之前，可以根据磋商情况退出磋商。采购人、采购代理机构将退还退出磋商的供应商的磋商保证金；</w:t>
      </w:r>
    </w:p>
    <w:p>
      <w:pPr>
        <w:numPr>
          <w:ilvl w:val="2"/>
          <w:numId w:val="8"/>
        </w:numPr>
        <w:snapToGrid w:val="0"/>
        <w:spacing w:line="360" w:lineRule="auto"/>
        <w:rPr>
          <w:rFonts w:hint="eastAsia" w:ascii="宋体" w:hAnsi="宋体" w:eastAsia="宋体" w:cs="宋体"/>
          <w:sz w:val="24"/>
        </w:rPr>
      </w:pPr>
      <w:r>
        <w:rPr>
          <w:rFonts w:hint="eastAsia" w:ascii="宋体" w:hAnsi="宋体" w:eastAsia="宋体" w:cs="宋体"/>
          <w:sz w:val="24"/>
        </w:rPr>
        <w:t>成交供应商的磋商保证金，在采购合同签订后5个工作日内退还成交供应商；</w:t>
      </w:r>
    </w:p>
    <w:p>
      <w:pPr>
        <w:numPr>
          <w:ilvl w:val="2"/>
          <w:numId w:val="8"/>
        </w:numPr>
        <w:snapToGrid w:val="0"/>
        <w:spacing w:line="360" w:lineRule="auto"/>
        <w:rPr>
          <w:rFonts w:hint="eastAsia" w:ascii="宋体" w:hAnsi="宋体" w:eastAsia="宋体" w:cs="宋体"/>
          <w:sz w:val="24"/>
        </w:rPr>
      </w:pPr>
      <w:r>
        <w:rPr>
          <w:rFonts w:hint="eastAsia" w:ascii="宋体" w:hAnsi="宋体" w:eastAsia="宋体" w:cs="宋体"/>
          <w:sz w:val="24"/>
        </w:rPr>
        <w:t>未成交供应商的磋商保证金，在成交通知书发出后5个工作日内退还。</w:t>
      </w:r>
    </w:p>
    <w:p>
      <w:pPr>
        <w:numPr>
          <w:ilvl w:val="1"/>
          <w:numId w:val="8"/>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有下列情形之一的，采购人或采购代理机构不予退还磋商保证金：</w:t>
      </w:r>
    </w:p>
    <w:p>
      <w:pPr>
        <w:numPr>
          <w:ilvl w:val="2"/>
          <w:numId w:val="8"/>
        </w:numPr>
        <w:snapToGrid w:val="0"/>
        <w:spacing w:line="360" w:lineRule="auto"/>
        <w:rPr>
          <w:rFonts w:hint="eastAsia" w:ascii="宋体" w:hAnsi="宋体" w:eastAsia="宋体" w:cs="宋体"/>
          <w:sz w:val="24"/>
        </w:rPr>
      </w:pPr>
      <w:r>
        <w:rPr>
          <w:rFonts w:hint="eastAsia" w:ascii="宋体" w:hAnsi="宋体" w:eastAsia="宋体" w:cs="宋体"/>
          <w:sz w:val="24"/>
        </w:rPr>
        <w:t>供应商在提交响应文件截止时间后撤回响应文件的；</w:t>
      </w:r>
    </w:p>
    <w:p>
      <w:pPr>
        <w:numPr>
          <w:ilvl w:val="2"/>
          <w:numId w:val="8"/>
        </w:numPr>
        <w:snapToGrid w:val="0"/>
        <w:spacing w:line="360" w:lineRule="auto"/>
        <w:rPr>
          <w:rFonts w:hint="eastAsia" w:ascii="宋体" w:hAnsi="宋体" w:eastAsia="宋体" w:cs="宋体"/>
          <w:sz w:val="24"/>
        </w:rPr>
      </w:pPr>
      <w:r>
        <w:rPr>
          <w:rFonts w:hint="eastAsia" w:ascii="宋体" w:hAnsi="宋体" w:eastAsia="宋体" w:cs="宋体"/>
          <w:sz w:val="24"/>
        </w:rPr>
        <w:t>供应商在响应文件中提供虚假材料的；</w:t>
      </w:r>
    </w:p>
    <w:p>
      <w:pPr>
        <w:numPr>
          <w:ilvl w:val="2"/>
          <w:numId w:val="8"/>
        </w:numPr>
        <w:snapToGrid w:val="0"/>
        <w:spacing w:line="360" w:lineRule="auto"/>
        <w:rPr>
          <w:rFonts w:hint="eastAsia" w:ascii="宋体" w:hAnsi="宋体" w:eastAsia="宋体" w:cs="宋体"/>
          <w:sz w:val="24"/>
        </w:rPr>
      </w:pPr>
      <w:r>
        <w:rPr>
          <w:rFonts w:hint="eastAsia" w:ascii="宋体" w:hAnsi="宋体" w:eastAsia="宋体" w:cs="宋体"/>
          <w:sz w:val="24"/>
        </w:rPr>
        <w:t>除因不可抗力或磋商文件认可的情形以外，成交供应商不与采购人签订合同的；</w:t>
      </w:r>
    </w:p>
    <w:p>
      <w:pPr>
        <w:numPr>
          <w:ilvl w:val="2"/>
          <w:numId w:val="8"/>
        </w:numPr>
        <w:snapToGrid w:val="0"/>
        <w:spacing w:line="360" w:lineRule="auto"/>
        <w:rPr>
          <w:rFonts w:hint="eastAsia" w:ascii="宋体" w:hAnsi="宋体" w:eastAsia="宋体" w:cs="宋体"/>
          <w:sz w:val="24"/>
        </w:rPr>
      </w:pPr>
      <w:r>
        <w:rPr>
          <w:rFonts w:hint="eastAsia" w:ascii="宋体" w:hAnsi="宋体" w:eastAsia="宋体" w:cs="宋体"/>
          <w:sz w:val="24"/>
        </w:rPr>
        <w:t>供应商与采购人、其他供应商或者采购代理机构恶意串通的；</w:t>
      </w:r>
    </w:p>
    <w:p>
      <w:pPr>
        <w:numPr>
          <w:ilvl w:val="2"/>
          <w:numId w:val="8"/>
        </w:numPr>
        <w:snapToGrid w:val="0"/>
        <w:spacing w:line="360" w:lineRule="auto"/>
        <w:rPr>
          <w:rFonts w:hint="eastAsia" w:ascii="宋体" w:hAnsi="宋体" w:eastAsia="宋体" w:cs="宋体"/>
          <w:sz w:val="24"/>
        </w:rPr>
      </w:pPr>
      <w:r>
        <w:rPr>
          <w:rFonts w:hint="eastAsia" w:ascii="宋体" w:hAnsi="宋体" w:eastAsia="宋体" w:cs="宋体"/>
          <w:sz w:val="24"/>
        </w:rPr>
        <w:t>《供应商须知资料表》规定的其他情形。</w:t>
      </w:r>
    </w:p>
    <w:p>
      <w:pPr>
        <w:numPr>
          <w:ilvl w:val="0"/>
          <w:numId w:val="8"/>
        </w:numPr>
        <w:tabs>
          <w:tab w:val="left" w:pos="360"/>
        </w:tabs>
        <w:snapToGrid w:val="0"/>
        <w:spacing w:line="360" w:lineRule="auto"/>
        <w:ind w:left="357" w:hanging="357"/>
        <w:outlineLvl w:val="1"/>
        <w:rPr>
          <w:rFonts w:hint="eastAsia" w:ascii="宋体" w:hAnsi="宋体" w:eastAsia="宋体" w:cs="宋体"/>
          <w:sz w:val="24"/>
        </w:rPr>
      </w:pPr>
      <w:r>
        <w:rPr>
          <w:rFonts w:hint="eastAsia" w:ascii="宋体" w:hAnsi="宋体" w:eastAsia="宋体" w:cs="宋体"/>
          <w:sz w:val="24"/>
        </w:rPr>
        <w:t>响应有效期</w:t>
      </w:r>
    </w:p>
    <w:p>
      <w:pPr>
        <w:numPr>
          <w:ilvl w:val="1"/>
          <w:numId w:val="8"/>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响应文件应在本竞争性磋商文件《供应商须知资料表》中规定的响应有效期内保持有效，响应有效期少于竞争性磋商文件规定期限的，其</w:t>
      </w:r>
      <w:r>
        <w:rPr>
          <w:rFonts w:hint="eastAsia" w:ascii="宋体" w:hAnsi="宋体" w:eastAsia="宋体" w:cs="宋体"/>
          <w:b/>
          <w:sz w:val="24"/>
        </w:rPr>
        <w:t>响应无效</w:t>
      </w:r>
      <w:r>
        <w:rPr>
          <w:rFonts w:hint="eastAsia" w:ascii="宋体" w:hAnsi="宋体" w:eastAsia="宋体" w:cs="宋体"/>
          <w:sz w:val="24"/>
        </w:rPr>
        <w:t>。</w:t>
      </w:r>
    </w:p>
    <w:p>
      <w:pPr>
        <w:numPr>
          <w:ilvl w:val="0"/>
          <w:numId w:val="8"/>
        </w:numPr>
        <w:tabs>
          <w:tab w:val="left" w:pos="360"/>
        </w:tabs>
        <w:snapToGrid w:val="0"/>
        <w:spacing w:line="360" w:lineRule="auto"/>
        <w:ind w:left="357" w:hanging="357"/>
        <w:outlineLvl w:val="1"/>
        <w:rPr>
          <w:rFonts w:hint="eastAsia" w:ascii="宋体" w:hAnsi="宋体" w:eastAsia="宋体" w:cs="宋体"/>
          <w:sz w:val="24"/>
        </w:rPr>
      </w:pPr>
      <w:bookmarkStart w:id="290" w:name="_Toc226965723"/>
      <w:bookmarkStart w:id="291" w:name="_Toc127161447"/>
      <w:bookmarkStart w:id="292" w:name="_Toc265228371"/>
      <w:bookmarkStart w:id="293" w:name="_Toc151190160"/>
      <w:bookmarkStart w:id="294" w:name="_Toc127151734"/>
      <w:bookmarkStart w:id="295" w:name="_Toc164351627"/>
      <w:bookmarkStart w:id="296" w:name="_Toc520356158"/>
      <w:bookmarkStart w:id="297" w:name="_Toc151193921"/>
      <w:bookmarkStart w:id="298" w:name="_Toc150480771"/>
      <w:bookmarkStart w:id="299" w:name="_Toc150774738"/>
      <w:bookmarkStart w:id="300" w:name="_Toc149720826"/>
      <w:bookmarkStart w:id="301" w:name="_Toc164229374"/>
      <w:bookmarkStart w:id="302" w:name="_Toc142311035"/>
      <w:bookmarkStart w:id="303" w:name="_Toc305158801"/>
      <w:bookmarkStart w:id="304" w:name="_Toc226309777"/>
      <w:bookmarkStart w:id="305" w:name="_Toc164608802"/>
      <w:bookmarkStart w:id="306" w:name="_Toc226337229"/>
      <w:bookmarkStart w:id="307" w:name="_Toc150509284"/>
      <w:bookmarkStart w:id="308" w:name="_Toc151193775"/>
      <w:bookmarkStart w:id="309" w:name="_Toc127151533"/>
      <w:bookmarkStart w:id="310" w:name="_Toc226965806"/>
      <w:bookmarkStart w:id="311" w:name="_Toc151193703"/>
      <w:bookmarkStart w:id="312" w:name="_Toc151193631"/>
      <w:bookmarkStart w:id="313" w:name="_Toc150774633"/>
      <w:bookmarkStart w:id="314" w:name="_Toc164229228"/>
      <w:bookmarkStart w:id="315" w:name="_Toc151193847"/>
      <w:bookmarkStart w:id="316" w:name="_Toc264969223"/>
      <w:bookmarkStart w:id="317" w:name="_Toc164608647"/>
      <w:bookmarkStart w:id="318" w:name="_Toc305158875"/>
      <w:bookmarkStart w:id="319" w:name="_Toc195842898"/>
      <w:r>
        <w:rPr>
          <w:rFonts w:hint="eastAsia" w:ascii="宋体" w:hAnsi="宋体" w:eastAsia="宋体" w:cs="宋体"/>
          <w:sz w:val="24"/>
        </w:rPr>
        <w:t>响应文件的签署</w:t>
      </w:r>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r>
        <w:rPr>
          <w:rFonts w:hint="eastAsia" w:ascii="宋体" w:hAnsi="宋体" w:eastAsia="宋体" w:cs="宋体"/>
          <w:sz w:val="24"/>
        </w:rPr>
        <w:t>、盖章</w:t>
      </w:r>
    </w:p>
    <w:p>
      <w:pPr>
        <w:numPr>
          <w:ilvl w:val="1"/>
          <w:numId w:val="8"/>
        </w:numPr>
        <w:tabs>
          <w:tab w:val="left" w:pos="1080"/>
          <w:tab w:val="left" w:pos="2014"/>
        </w:tabs>
        <w:snapToGrid w:val="0"/>
        <w:spacing w:line="360" w:lineRule="auto"/>
        <w:ind w:left="1077" w:hanging="720"/>
        <w:rPr>
          <w:rFonts w:hint="eastAsia" w:ascii="宋体" w:hAnsi="宋体" w:eastAsia="宋体" w:cs="宋体"/>
          <w:sz w:val="24"/>
        </w:rPr>
      </w:pPr>
      <w:bookmarkStart w:id="320" w:name="_Toc305158802"/>
      <w:bookmarkStart w:id="321" w:name="_Toc226965807"/>
      <w:bookmarkStart w:id="322" w:name="_Toc150480772"/>
      <w:bookmarkStart w:id="323" w:name="_Toc150774634"/>
      <w:bookmarkStart w:id="324" w:name="_Toc226965724"/>
      <w:bookmarkStart w:id="325" w:name="_Toc150774739"/>
      <w:bookmarkStart w:id="326" w:name="_Toc264969224"/>
      <w:bookmarkStart w:id="327" w:name="_Toc127151534"/>
      <w:bookmarkStart w:id="328" w:name="_Toc151193776"/>
      <w:bookmarkStart w:id="329" w:name="_Toc305158876"/>
      <w:bookmarkStart w:id="330" w:name="_Toc150509285"/>
      <w:bookmarkStart w:id="331" w:name="_Toc226309778"/>
      <w:bookmarkStart w:id="332" w:name="_Toc151193848"/>
      <w:bookmarkStart w:id="333" w:name="_Toc520356159"/>
      <w:bookmarkStart w:id="334" w:name="_Toc151193922"/>
      <w:bookmarkStart w:id="335" w:name="_Toc151190161"/>
      <w:bookmarkStart w:id="336" w:name="_Toc142311036"/>
      <w:bookmarkStart w:id="337" w:name="_Toc265228372"/>
      <w:bookmarkStart w:id="338" w:name="_Toc151193632"/>
      <w:bookmarkStart w:id="339" w:name="_Toc226337230"/>
      <w:bookmarkStart w:id="340" w:name="_Toc151193704"/>
      <w:bookmarkStart w:id="341" w:name="_Toc195842899"/>
      <w:r>
        <w:rPr>
          <w:rFonts w:hint="eastAsia" w:ascii="宋体" w:hAnsi="宋体" w:eastAsia="宋体" w:cs="宋体"/>
          <w:sz w:val="24"/>
        </w:rPr>
        <w:t>竞争性磋商文件要求签字的内容（如授权委托书等），可以使用电子签章</w:t>
      </w:r>
    </w:p>
    <w:p>
      <w:pPr>
        <w:numPr>
          <w:ilvl w:val="0"/>
          <w:numId w:val="0"/>
        </w:numPr>
        <w:tabs>
          <w:tab w:val="left" w:pos="1080"/>
          <w:tab w:val="left" w:pos="2014"/>
        </w:tabs>
        <w:snapToGrid w:val="0"/>
        <w:spacing w:line="360" w:lineRule="auto"/>
        <w:rPr>
          <w:rFonts w:hint="eastAsia" w:ascii="宋体" w:hAnsi="宋体" w:eastAsia="宋体" w:cs="宋体"/>
          <w:sz w:val="24"/>
        </w:rPr>
      </w:pPr>
      <w:r>
        <w:rPr>
          <w:rFonts w:hint="eastAsia" w:ascii="宋体" w:hAnsi="宋体" w:eastAsia="宋体" w:cs="宋体"/>
          <w:sz w:val="24"/>
        </w:rPr>
        <w:t>或使用原件的电子件（电子件指扫</w:t>
      </w:r>
      <w:r>
        <w:rPr>
          <w:rFonts w:hint="eastAsia" w:ascii="宋体" w:hAnsi="宋体" w:eastAsia="宋体" w:cs="宋体"/>
          <w:sz w:val="24"/>
          <w:lang w:val="en-US" w:eastAsia="zh-CN"/>
        </w:rPr>
        <w:t>描</w:t>
      </w:r>
      <w:r>
        <w:rPr>
          <w:rFonts w:hint="eastAsia" w:ascii="宋体" w:hAnsi="宋体" w:eastAsia="宋体" w:cs="宋体"/>
          <w:sz w:val="24"/>
        </w:rPr>
        <w:t>件、照片等形式电子文件）；要求第三方出具的盖章件原件（如联合协议、分包意向协议、制造商授权书原件等），响应文件中应使用原件的电子件。</w:t>
      </w:r>
    </w:p>
    <w:p>
      <w:pPr>
        <w:numPr>
          <w:ilvl w:val="0"/>
          <w:numId w:val="0"/>
        </w:numPr>
        <w:tabs>
          <w:tab w:val="left" w:pos="1080"/>
          <w:tab w:val="left" w:pos="2014"/>
        </w:tabs>
        <w:snapToGrid w:val="0"/>
        <w:spacing w:line="360" w:lineRule="auto"/>
        <w:ind w:left="357" w:leftChars="0"/>
        <w:rPr>
          <w:rFonts w:ascii="Arial"/>
          <w:sz w:val="21"/>
        </w:rPr>
      </w:pPr>
      <w:r>
        <w:rPr>
          <w:rFonts w:hint="eastAsia" w:ascii="宋体" w:hAnsi="宋体" w:eastAsia="宋体" w:cs="宋体"/>
          <w:sz w:val="24"/>
        </w:rPr>
        <w:t>13.2  竞争性磋商文件要求盖章的内容，一般通过投标文件编制工具加盖电子签章。</w:t>
      </w:r>
    </w:p>
    <w:p>
      <w:pPr>
        <w:pStyle w:val="2"/>
        <w:spacing w:before="0" w:line="360" w:lineRule="auto"/>
        <w:rPr>
          <w:rFonts w:hint="eastAsia" w:ascii="宋体" w:hAnsi="宋体" w:eastAsia="宋体" w:cs="宋体"/>
          <w:sz w:val="28"/>
        </w:rPr>
      </w:pPr>
      <w:r>
        <w:rPr>
          <w:rFonts w:hint="eastAsia" w:ascii="宋体" w:hAnsi="宋体" w:eastAsia="宋体" w:cs="宋体"/>
          <w:sz w:val="28"/>
        </w:rPr>
        <w:t>四   响应文件的提交</w:t>
      </w:r>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p>
    <w:p>
      <w:pPr>
        <w:numPr>
          <w:ilvl w:val="0"/>
          <w:numId w:val="8"/>
        </w:numPr>
        <w:tabs>
          <w:tab w:val="left" w:pos="360"/>
        </w:tabs>
        <w:snapToGrid w:val="0"/>
        <w:spacing w:line="360" w:lineRule="auto"/>
        <w:ind w:left="357" w:hanging="357"/>
        <w:outlineLvl w:val="1"/>
        <w:rPr>
          <w:rFonts w:hint="eastAsia" w:ascii="宋体" w:hAnsi="宋体" w:eastAsia="宋体" w:cs="宋体"/>
          <w:sz w:val="24"/>
        </w:rPr>
      </w:pPr>
      <w:bookmarkStart w:id="342" w:name="_Toc305158803"/>
      <w:bookmarkStart w:id="343" w:name="_Toc265228373"/>
      <w:bookmarkStart w:id="344" w:name="_Toc127161449"/>
      <w:bookmarkStart w:id="345" w:name="_Toc226965725"/>
      <w:bookmarkStart w:id="346" w:name="_Toc142311037"/>
      <w:bookmarkStart w:id="347" w:name="_Toc151193633"/>
      <w:bookmarkStart w:id="348" w:name="_Toc151193923"/>
      <w:bookmarkStart w:id="349" w:name="_Toc127151736"/>
      <w:bookmarkStart w:id="350" w:name="_Toc164229376"/>
      <w:bookmarkStart w:id="351" w:name="_Toc164229230"/>
      <w:bookmarkStart w:id="352" w:name="_Toc150774635"/>
      <w:bookmarkStart w:id="353" w:name="_Toc226337231"/>
      <w:bookmarkStart w:id="354" w:name="_Toc150509286"/>
      <w:bookmarkStart w:id="355" w:name="_Toc151193849"/>
      <w:bookmarkStart w:id="356" w:name="_Toc305158877"/>
      <w:bookmarkStart w:id="357" w:name="_Toc149720828"/>
      <w:bookmarkStart w:id="358" w:name="_Toc264969225"/>
      <w:bookmarkStart w:id="359" w:name="_Toc226309779"/>
      <w:bookmarkStart w:id="360" w:name="_Toc164608804"/>
      <w:bookmarkStart w:id="361" w:name="_Toc151193705"/>
      <w:bookmarkStart w:id="362" w:name="_Toc164608649"/>
      <w:bookmarkStart w:id="363" w:name="_Toc164351629"/>
      <w:bookmarkStart w:id="364" w:name="_Toc150480773"/>
      <w:bookmarkStart w:id="365" w:name="_Toc195842900"/>
      <w:bookmarkStart w:id="366" w:name="_Toc151193777"/>
      <w:bookmarkStart w:id="367" w:name="_Toc226965808"/>
      <w:bookmarkStart w:id="368" w:name="_Toc127151535"/>
      <w:bookmarkStart w:id="369" w:name="_Toc151190162"/>
      <w:bookmarkStart w:id="370" w:name="_Toc520356160"/>
      <w:bookmarkStart w:id="371" w:name="_Toc150774740"/>
      <w:r>
        <w:rPr>
          <w:rFonts w:hint="eastAsia" w:ascii="宋体" w:hAnsi="宋体" w:eastAsia="宋体" w:cs="宋体"/>
          <w:sz w:val="24"/>
        </w:rPr>
        <w:t>响应文件的</w:t>
      </w:r>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r>
        <w:rPr>
          <w:rFonts w:hint="eastAsia" w:ascii="宋体" w:hAnsi="宋体" w:eastAsia="宋体" w:cs="宋体"/>
          <w:sz w:val="24"/>
        </w:rPr>
        <w:t>提交</w:t>
      </w:r>
    </w:p>
    <w:p>
      <w:pPr>
        <w:pStyle w:val="17"/>
        <w:keepNext w:val="0"/>
        <w:keepLines w:val="0"/>
        <w:pageBreakBefore w:val="0"/>
        <w:widowControl w:val="0"/>
        <w:kinsoku/>
        <w:wordWrap/>
        <w:overflowPunct/>
        <w:topLinePunct w:val="0"/>
        <w:autoSpaceDE/>
        <w:autoSpaceDN/>
        <w:bidi w:val="0"/>
        <w:adjustRightInd/>
        <w:snapToGrid/>
        <w:spacing w:before="0" w:line="360" w:lineRule="auto"/>
        <w:ind w:left="1098" w:leftChars="180" w:hanging="720" w:hangingChars="300"/>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14.1</w:t>
      </w:r>
      <w:r>
        <w:rPr>
          <w:rFonts w:hint="eastAsia" w:cs="宋体"/>
          <w:kern w:val="2"/>
          <w:sz w:val="24"/>
          <w:szCs w:val="24"/>
          <w:lang w:val="en-US" w:eastAsia="zh-CN" w:bidi="ar-SA"/>
        </w:rPr>
        <w:t xml:space="preserve">  </w:t>
      </w:r>
      <w:r>
        <w:rPr>
          <w:rFonts w:hint="eastAsia" w:ascii="宋体" w:hAnsi="宋体" w:eastAsia="宋体" w:cs="宋体"/>
          <w:kern w:val="2"/>
          <w:sz w:val="24"/>
          <w:szCs w:val="24"/>
          <w:lang w:val="en-US" w:eastAsia="zh-CN" w:bidi="ar-SA"/>
        </w:rPr>
        <w:t>本项目使用北京市政府采购电子交易平台。供应商根据竞争性磋商文件及电子交易平台供应商操作手册要求编制、生成并提交电子响应文件。</w:t>
      </w:r>
    </w:p>
    <w:p>
      <w:pPr>
        <w:pStyle w:val="17"/>
        <w:keepNext w:val="0"/>
        <w:keepLines w:val="0"/>
        <w:pageBreakBefore w:val="0"/>
        <w:widowControl w:val="0"/>
        <w:kinsoku/>
        <w:wordWrap/>
        <w:overflowPunct/>
        <w:topLinePunct w:val="0"/>
        <w:autoSpaceDE/>
        <w:autoSpaceDN/>
        <w:bidi w:val="0"/>
        <w:adjustRightInd/>
        <w:snapToGrid/>
        <w:spacing w:before="0" w:line="360" w:lineRule="auto"/>
        <w:ind w:left="1098" w:leftChars="180" w:hanging="720" w:hangingChars="300"/>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 xml:space="preserve">14.2 </w:t>
      </w:r>
      <w:r>
        <w:rPr>
          <w:rFonts w:hint="eastAsia" w:cs="宋体"/>
          <w:kern w:val="2"/>
          <w:sz w:val="24"/>
          <w:szCs w:val="24"/>
          <w:lang w:val="en-US" w:eastAsia="zh-CN" w:bidi="ar-SA"/>
        </w:rPr>
        <w:t xml:space="preserve"> </w:t>
      </w:r>
      <w:r>
        <w:rPr>
          <w:rFonts w:hint="eastAsia" w:ascii="宋体" w:hAnsi="宋体" w:eastAsia="宋体" w:cs="宋体"/>
          <w:kern w:val="2"/>
          <w:sz w:val="24"/>
          <w:szCs w:val="24"/>
          <w:lang w:val="en-US" w:eastAsia="zh-CN" w:bidi="ar-SA"/>
        </w:rPr>
        <w:t>采购人及采购代理机构拒绝接受通过电子交易平台以外任何形式提交的响应文件，磋商保证金除外。</w:t>
      </w:r>
    </w:p>
    <w:p>
      <w:pPr>
        <w:numPr>
          <w:ilvl w:val="0"/>
          <w:numId w:val="8"/>
        </w:numPr>
        <w:tabs>
          <w:tab w:val="left" w:pos="360"/>
        </w:tabs>
        <w:snapToGrid w:val="0"/>
        <w:spacing w:line="360" w:lineRule="auto"/>
        <w:ind w:left="357" w:hanging="357"/>
        <w:outlineLvl w:val="1"/>
        <w:rPr>
          <w:rFonts w:hint="eastAsia" w:ascii="宋体" w:hAnsi="宋体" w:eastAsia="宋体" w:cs="宋体"/>
          <w:kern w:val="2"/>
          <w:sz w:val="24"/>
          <w:szCs w:val="24"/>
          <w:lang w:val="en-US" w:eastAsia="zh-CN" w:bidi="ar-SA"/>
        </w:rPr>
      </w:pPr>
      <w:bookmarkStart w:id="372" w:name="_Toc226965726"/>
      <w:bookmarkStart w:id="373" w:name="_Toc150509287"/>
      <w:bookmarkStart w:id="374" w:name="_Toc149720829"/>
      <w:bookmarkStart w:id="375" w:name="_Toc164229231"/>
      <w:bookmarkStart w:id="376" w:name="_Toc127151536"/>
      <w:bookmarkStart w:id="377" w:name="_Toc150480774"/>
      <w:bookmarkStart w:id="378" w:name="_Toc305158804"/>
      <w:bookmarkStart w:id="379" w:name="_Toc226965809"/>
      <w:bookmarkStart w:id="380" w:name="_Toc164229377"/>
      <w:bookmarkStart w:id="381" w:name="_Toc195842901"/>
      <w:bookmarkStart w:id="382" w:name="_Toc164351630"/>
      <w:bookmarkStart w:id="383" w:name="_Toc265228374"/>
      <w:bookmarkStart w:id="384" w:name="_Toc150774741"/>
      <w:bookmarkStart w:id="385" w:name="_Toc151193850"/>
      <w:bookmarkStart w:id="386" w:name="_Toc264969226"/>
      <w:bookmarkStart w:id="387" w:name="_Toc164608650"/>
      <w:bookmarkStart w:id="388" w:name="_Toc164608805"/>
      <w:bookmarkStart w:id="389" w:name="_Toc151193634"/>
      <w:bookmarkStart w:id="390" w:name="_Toc150774636"/>
      <w:bookmarkStart w:id="391" w:name="_Toc226309780"/>
      <w:bookmarkStart w:id="392" w:name="_Toc151193924"/>
      <w:bookmarkStart w:id="393" w:name="_Toc520356161"/>
      <w:bookmarkStart w:id="394" w:name="_Toc127151737"/>
      <w:bookmarkStart w:id="395" w:name="_Toc151193778"/>
      <w:bookmarkStart w:id="396" w:name="_Toc226337232"/>
      <w:bookmarkStart w:id="397" w:name="_Toc127161450"/>
      <w:bookmarkStart w:id="398" w:name="_Toc142311038"/>
      <w:bookmarkStart w:id="399" w:name="_Toc151190163"/>
      <w:bookmarkStart w:id="400" w:name="_Toc305158878"/>
      <w:bookmarkStart w:id="401" w:name="_Toc151193706"/>
      <w:r>
        <w:rPr>
          <w:rFonts w:hint="eastAsia" w:ascii="宋体" w:hAnsi="宋体" w:eastAsia="宋体" w:cs="宋体"/>
          <w:kern w:val="2"/>
          <w:sz w:val="24"/>
          <w:szCs w:val="24"/>
          <w:lang w:val="en-US" w:eastAsia="zh-CN" w:bidi="ar-SA"/>
        </w:rPr>
        <w:t>响应文件截止</w:t>
      </w:r>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r>
        <w:rPr>
          <w:rFonts w:hint="eastAsia" w:ascii="宋体" w:hAnsi="宋体" w:eastAsia="宋体" w:cs="宋体"/>
          <w:kern w:val="2"/>
          <w:sz w:val="24"/>
          <w:szCs w:val="24"/>
          <w:lang w:val="en-US" w:eastAsia="zh-CN" w:bidi="ar-SA"/>
        </w:rPr>
        <w:t>时间</w:t>
      </w:r>
    </w:p>
    <w:p>
      <w:pPr>
        <w:keepNext w:val="0"/>
        <w:keepLines w:val="0"/>
        <w:pageBreakBefore w:val="0"/>
        <w:widowControl w:val="0"/>
        <w:numPr>
          <w:ilvl w:val="1"/>
          <w:numId w:val="8"/>
        </w:numPr>
        <w:tabs>
          <w:tab w:val="left" w:pos="1080"/>
          <w:tab w:val="left" w:pos="2014"/>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sz w:val="24"/>
        </w:rPr>
      </w:pPr>
      <w:r>
        <w:rPr>
          <w:rFonts w:hint="eastAsia" w:ascii="宋体" w:hAnsi="宋体" w:eastAsia="宋体" w:cs="宋体"/>
          <w:sz w:val="24"/>
        </w:rPr>
        <w:t>供应商应在竞争性磋商文件要求提交响应文件截止时间前，将电子响应文件提交至电子交易平台。</w:t>
      </w:r>
    </w:p>
    <w:p>
      <w:pPr>
        <w:keepNext w:val="0"/>
        <w:keepLines w:val="0"/>
        <w:pageBreakBefore w:val="0"/>
        <w:widowControl w:val="0"/>
        <w:numPr>
          <w:ilvl w:val="0"/>
          <w:numId w:val="8"/>
        </w:numPr>
        <w:tabs>
          <w:tab w:val="left" w:pos="360"/>
        </w:tabs>
        <w:kinsoku/>
        <w:wordWrap/>
        <w:overflowPunct/>
        <w:topLinePunct w:val="0"/>
        <w:autoSpaceDE/>
        <w:autoSpaceDN/>
        <w:bidi w:val="0"/>
        <w:adjustRightInd/>
        <w:snapToGrid w:val="0"/>
        <w:spacing w:line="360" w:lineRule="auto"/>
        <w:ind w:left="357" w:hanging="357"/>
        <w:textAlignment w:val="auto"/>
        <w:outlineLvl w:val="1"/>
        <w:rPr>
          <w:rFonts w:hint="eastAsia" w:ascii="宋体" w:hAnsi="宋体" w:eastAsia="宋体" w:cs="宋体"/>
          <w:sz w:val="24"/>
        </w:rPr>
      </w:pPr>
      <w:bookmarkStart w:id="402" w:name="_Toc226309781"/>
      <w:bookmarkStart w:id="403" w:name="_Toc142311039"/>
      <w:bookmarkStart w:id="404" w:name="_Toc164229378"/>
      <w:bookmarkStart w:id="405" w:name="_Toc520356162"/>
      <w:bookmarkStart w:id="406" w:name="_Toc150480775"/>
      <w:bookmarkStart w:id="407" w:name="_Toc151193925"/>
      <w:bookmarkStart w:id="408" w:name="_Toc164608651"/>
      <w:bookmarkStart w:id="409" w:name="_Toc150774637"/>
      <w:bookmarkStart w:id="410" w:name="_Toc127161451"/>
      <w:bookmarkStart w:id="411" w:name="_Toc164608806"/>
      <w:bookmarkStart w:id="412" w:name="_Toc150774742"/>
      <w:bookmarkStart w:id="413" w:name="_Toc151193779"/>
      <w:bookmarkStart w:id="414" w:name="_Toc305158805"/>
      <w:bookmarkStart w:id="415" w:name="_Toc305158879"/>
      <w:bookmarkStart w:id="416" w:name="_Toc164229232"/>
      <w:bookmarkStart w:id="417" w:name="_Toc151190164"/>
      <w:bookmarkStart w:id="418" w:name="_Toc127151537"/>
      <w:bookmarkStart w:id="419" w:name="_Toc264969227"/>
      <w:bookmarkStart w:id="420" w:name="_Toc265228375"/>
      <w:bookmarkStart w:id="421" w:name="_Toc151193707"/>
      <w:bookmarkStart w:id="422" w:name="_Toc150509288"/>
      <w:bookmarkStart w:id="423" w:name="_Toc149720830"/>
      <w:bookmarkStart w:id="424" w:name="_Toc226965727"/>
      <w:bookmarkStart w:id="425" w:name="_Toc151193851"/>
      <w:bookmarkStart w:id="426" w:name="_Toc195842902"/>
      <w:bookmarkStart w:id="427" w:name="_Toc226337233"/>
      <w:bookmarkStart w:id="428" w:name="_Toc151193635"/>
      <w:bookmarkStart w:id="429" w:name="_Toc164351631"/>
      <w:bookmarkStart w:id="430" w:name="_Toc226965810"/>
      <w:bookmarkStart w:id="431" w:name="_Toc127151738"/>
      <w:r>
        <w:rPr>
          <w:rFonts w:hint="eastAsia" w:ascii="宋体" w:hAnsi="宋体" w:eastAsia="宋体" w:cs="宋体"/>
          <w:sz w:val="24"/>
        </w:rPr>
        <w:t>响应文件的修改与撤回</w:t>
      </w:r>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p>
    <w:p>
      <w:pPr>
        <w:pStyle w:val="17"/>
        <w:spacing w:before="182" w:line="351" w:lineRule="auto"/>
        <w:ind w:left="1083" w:right="4" w:hanging="701"/>
        <w:rPr>
          <w:rFonts w:hint="eastAsia" w:ascii="宋体" w:hAnsi="宋体" w:eastAsia="宋体" w:cs="宋体"/>
          <w:kern w:val="2"/>
          <w:sz w:val="24"/>
          <w:szCs w:val="24"/>
          <w:lang w:val="en-US" w:eastAsia="zh-CN" w:bidi="ar-SA"/>
        </w:rPr>
      </w:pPr>
      <w:bookmarkStart w:id="432" w:name="_Toc151193636"/>
      <w:bookmarkStart w:id="433" w:name="_Toc127151538"/>
      <w:bookmarkStart w:id="434" w:name="_Toc226965728"/>
      <w:bookmarkStart w:id="435" w:name="_Toc305158806"/>
      <w:bookmarkStart w:id="436" w:name="_Toc226309782"/>
      <w:bookmarkStart w:id="437" w:name="_Toc150480776"/>
      <w:bookmarkStart w:id="438" w:name="_Toc142311040"/>
      <w:bookmarkStart w:id="439" w:name="_Toc151193708"/>
      <w:bookmarkStart w:id="440" w:name="_Toc151193780"/>
      <w:bookmarkStart w:id="441" w:name="_Toc264969228"/>
      <w:bookmarkStart w:id="442" w:name="_Toc150509289"/>
      <w:bookmarkStart w:id="443" w:name="_Toc265228376"/>
      <w:bookmarkStart w:id="444" w:name="_Toc226965811"/>
      <w:bookmarkStart w:id="445" w:name="_Toc151193852"/>
      <w:bookmarkStart w:id="446" w:name="_Toc150774638"/>
      <w:bookmarkStart w:id="447" w:name="_Toc520356163"/>
      <w:bookmarkStart w:id="448" w:name="_Toc151193926"/>
      <w:bookmarkStart w:id="449" w:name="_Toc151190165"/>
      <w:bookmarkStart w:id="450" w:name="_Toc150774743"/>
      <w:bookmarkStart w:id="451" w:name="_Toc305158880"/>
      <w:bookmarkStart w:id="452" w:name="_Toc195842903"/>
      <w:bookmarkStart w:id="453" w:name="_Toc226337234"/>
      <w:r>
        <w:rPr>
          <w:rFonts w:hint="eastAsia" w:ascii="宋体" w:hAnsi="宋体" w:eastAsia="宋体" w:cs="宋体"/>
          <w:kern w:val="2"/>
          <w:sz w:val="24"/>
          <w:szCs w:val="24"/>
          <w:lang w:val="en-US" w:eastAsia="zh-CN" w:bidi="ar-SA"/>
        </w:rPr>
        <w:t>16.1  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p>
    <w:p>
      <w:pPr>
        <w:pStyle w:val="17"/>
        <w:spacing w:before="180" w:line="359" w:lineRule="auto"/>
        <w:ind w:left="1085" w:right="41" w:hanging="703"/>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16.2  供应商对响应文件的补充、修改的内容应当按照竞争性磋商文件要求签署、 盖章，作为响应文件的组成部分。补充、修改的内容与响应文件不一致的，</w:t>
      </w:r>
    </w:p>
    <w:p>
      <w:pPr>
        <w:pStyle w:val="17"/>
        <w:spacing w:line="220" w:lineRule="auto"/>
        <w:ind w:left="1112"/>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以补充、修改的内容为准。</w:t>
      </w:r>
    </w:p>
    <w:p>
      <w:pPr>
        <w:pStyle w:val="2"/>
        <w:spacing w:before="0" w:line="360" w:lineRule="auto"/>
        <w:rPr>
          <w:rFonts w:hint="eastAsia" w:ascii="宋体" w:hAnsi="宋体" w:eastAsia="宋体" w:cs="宋体"/>
          <w:sz w:val="28"/>
        </w:rPr>
      </w:pPr>
      <w:r>
        <w:rPr>
          <w:rFonts w:hint="eastAsia" w:ascii="宋体" w:hAnsi="宋体" w:eastAsia="宋体" w:cs="宋体"/>
          <w:sz w:val="28"/>
        </w:rPr>
        <w:t xml:space="preserve">五   </w:t>
      </w:r>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r>
        <w:rPr>
          <w:rFonts w:hint="eastAsia" w:ascii="宋体" w:hAnsi="宋体" w:eastAsia="宋体" w:cs="宋体"/>
          <w:sz w:val="28"/>
        </w:rPr>
        <w:t>评审</w:t>
      </w:r>
    </w:p>
    <w:p>
      <w:pPr>
        <w:numPr>
          <w:ilvl w:val="0"/>
          <w:numId w:val="8"/>
        </w:numPr>
        <w:tabs>
          <w:tab w:val="left" w:pos="360"/>
        </w:tabs>
        <w:snapToGrid w:val="0"/>
        <w:spacing w:line="360" w:lineRule="auto"/>
        <w:ind w:left="357" w:hanging="357"/>
        <w:outlineLvl w:val="1"/>
        <w:rPr>
          <w:rFonts w:hint="eastAsia" w:ascii="宋体" w:hAnsi="宋体" w:eastAsia="宋体" w:cs="宋体"/>
          <w:sz w:val="24"/>
        </w:rPr>
      </w:pPr>
      <w:r>
        <w:rPr>
          <w:rFonts w:hint="eastAsia" w:ascii="宋体" w:hAnsi="宋体" w:eastAsia="宋体" w:cs="宋体"/>
          <w:sz w:val="24"/>
        </w:rPr>
        <w:t>响应文件的解密与开启</w:t>
      </w:r>
    </w:p>
    <w:p>
      <w:pPr>
        <w:numPr>
          <w:ilvl w:val="1"/>
          <w:numId w:val="8"/>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采购人或采购代理机构将按竞争性磋商文件的规定，在响应文件提交截止时间的同一时间和竞争性磋商文件预先确定的地点开启响应文件。</w:t>
      </w:r>
    </w:p>
    <w:p>
      <w:pPr>
        <w:numPr>
          <w:ilvl w:val="1"/>
          <w:numId w:val="8"/>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本项目解密使用北京市政府采购电子交易平台。供应商应在规定的时间内对响应文件进行解密，因非系统原因导致的解密失败，视为无效响应</w:t>
      </w:r>
      <w:r>
        <w:rPr>
          <w:rFonts w:hint="eastAsia" w:ascii="宋体" w:hAnsi="宋体" w:cs="宋体"/>
          <w:sz w:val="24"/>
          <w:lang w:eastAsia="zh-CN"/>
        </w:rPr>
        <w:t>。</w:t>
      </w:r>
    </w:p>
    <w:p>
      <w:pPr>
        <w:numPr>
          <w:ilvl w:val="1"/>
          <w:numId w:val="8"/>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pPr>
        <w:numPr>
          <w:ilvl w:val="1"/>
          <w:numId w:val="8"/>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供应商不足3家的，不予</w:t>
      </w:r>
      <w:r>
        <w:rPr>
          <w:rFonts w:hint="eastAsia" w:ascii="宋体" w:hAnsi="宋体" w:cs="宋体"/>
          <w:sz w:val="24"/>
          <w:lang w:val="en-US" w:eastAsia="zh-CN"/>
        </w:rPr>
        <w:t>解密</w:t>
      </w:r>
      <w:r>
        <w:rPr>
          <w:rFonts w:hint="eastAsia" w:ascii="宋体" w:hAnsi="宋体" w:eastAsia="宋体" w:cs="宋体"/>
          <w:sz w:val="24"/>
        </w:rPr>
        <w:t>。</w:t>
      </w:r>
    </w:p>
    <w:p>
      <w:pPr>
        <w:numPr>
          <w:ilvl w:val="1"/>
          <w:numId w:val="8"/>
        </w:numPr>
        <w:tabs>
          <w:tab w:val="left" w:pos="1080"/>
          <w:tab w:val="left" w:pos="2014"/>
        </w:tabs>
        <w:snapToGrid w:val="0"/>
        <w:spacing w:line="360" w:lineRule="auto"/>
        <w:ind w:left="1077" w:hanging="720"/>
        <w:rPr>
          <w:rFonts w:hint="eastAsia" w:ascii="宋体" w:hAnsi="宋体" w:eastAsia="宋体" w:cs="宋体"/>
          <w:sz w:val="24"/>
        </w:rPr>
      </w:pPr>
      <w:bookmarkStart w:id="454" w:name="_Toc520356165"/>
      <w:r>
        <w:rPr>
          <w:rFonts w:hint="eastAsia" w:ascii="宋体" w:hAnsi="宋体" w:eastAsia="宋体" w:cs="宋体"/>
          <w:sz w:val="24"/>
        </w:rPr>
        <w:t>本项目不公开报价。</w:t>
      </w:r>
    </w:p>
    <w:bookmarkEnd w:id="454"/>
    <w:p>
      <w:pPr>
        <w:numPr>
          <w:ilvl w:val="0"/>
          <w:numId w:val="8"/>
        </w:numPr>
        <w:tabs>
          <w:tab w:val="left" w:pos="360"/>
        </w:tabs>
        <w:snapToGrid w:val="0"/>
        <w:spacing w:line="360" w:lineRule="auto"/>
        <w:ind w:left="357" w:hanging="357"/>
        <w:outlineLvl w:val="1"/>
        <w:rPr>
          <w:rFonts w:hint="eastAsia" w:ascii="宋体" w:hAnsi="宋体" w:eastAsia="宋体" w:cs="宋体"/>
          <w:sz w:val="24"/>
        </w:rPr>
      </w:pPr>
      <w:r>
        <w:rPr>
          <w:rFonts w:hint="eastAsia" w:ascii="宋体" w:hAnsi="宋体" w:eastAsia="宋体" w:cs="宋体"/>
          <w:sz w:val="24"/>
        </w:rPr>
        <w:t>磋商小组</w:t>
      </w:r>
    </w:p>
    <w:p>
      <w:pPr>
        <w:numPr>
          <w:ilvl w:val="1"/>
          <w:numId w:val="8"/>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磋商小组根据政府采购有关规定和本次采购项目的特点进行组建，并负责具体评审事务，独立履行职责。</w:t>
      </w:r>
      <w:bookmarkStart w:id="455" w:name="_Toc520356166"/>
    </w:p>
    <w:p>
      <w:pPr>
        <w:numPr>
          <w:ilvl w:val="1"/>
          <w:numId w:val="8"/>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455"/>
      <w:bookmarkStart w:id="456" w:name="_Toc520356169"/>
    </w:p>
    <w:p>
      <w:pPr>
        <w:numPr>
          <w:ilvl w:val="0"/>
          <w:numId w:val="8"/>
        </w:numPr>
        <w:tabs>
          <w:tab w:val="left" w:pos="360"/>
        </w:tabs>
        <w:snapToGrid w:val="0"/>
        <w:spacing w:line="360" w:lineRule="auto"/>
        <w:outlineLvl w:val="1"/>
        <w:rPr>
          <w:rFonts w:hint="eastAsia" w:ascii="宋体" w:hAnsi="宋体" w:eastAsia="宋体" w:cs="宋体"/>
          <w:sz w:val="24"/>
        </w:rPr>
      </w:pPr>
      <w:r>
        <w:rPr>
          <w:rFonts w:hint="eastAsia" w:ascii="宋体" w:hAnsi="宋体" w:eastAsia="宋体" w:cs="宋体"/>
          <w:sz w:val="24"/>
        </w:rPr>
        <w:t>评审方法和评审标准</w:t>
      </w:r>
    </w:p>
    <w:p>
      <w:pPr>
        <w:numPr>
          <w:ilvl w:val="1"/>
          <w:numId w:val="8"/>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见第三章《评审方法和评审标准》。</w:t>
      </w:r>
    </w:p>
    <w:p>
      <w:pPr>
        <w:pStyle w:val="2"/>
        <w:spacing w:before="0" w:line="360" w:lineRule="auto"/>
        <w:rPr>
          <w:rFonts w:hint="eastAsia" w:ascii="宋体" w:hAnsi="宋体" w:eastAsia="宋体" w:cs="宋体"/>
          <w:sz w:val="28"/>
        </w:rPr>
      </w:pPr>
      <w:bookmarkStart w:id="457" w:name="_Toc151193643"/>
      <w:bookmarkStart w:id="458" w:name="_Toc226965735"/>
      <w:bookmarkStart w:id="459" w:name="_Toc142311047"/>
      <w:bookmarkStart w:id="460" w:name="_Toc127151545"/>
      <w:bookmarkStart w:id="461" w:name="_Toc150509296"/>
      <w:bookmarkStart w:id="462" w:name="_Toc226965818"/>
      <w:bookmarkStart w:id="463" w:name="_Toc226309789"/>
      <w:bookmarkStart w:id="464" w:name="_Toc151190172"/>
      <w:bookmarkStart w:id="465" w:name="_Toc150480783"/>
      <w:bookmarkStart w:id="466" w:name="_Toc151193933"/>
      <w:bookmarkStart w:id="467" w:name="_Toc150774750"/>
      <w:bookmarkStart w:id="468" w:name="_Toc265228383"/>
      <w:bookmarkStart w:id="469" w:name="_Toc151193859"/>
      <w:bookmarkStart w:id="470" w:name="_Toc226337241"/>
      <w:bookmarkStart w:id="471" w:name="_Toc264969235"/>
      <w:bookmarkStart w:id="472" w:name="_Toc151193787"/>
      <w:bookmarkStart w:id="473" w:name="_Toc305158887"/>
      <w:bookmarkStart w:id="474" w:name="_Toc195842910"/>
      <w:bookmarkStart w:id="475" w:name="_Toc151193715"/>
      <w:bookmarkStart w:id="476" w:name="_Toc150774645"/>
      <w:bookmarkStart w:id="477" w:name="_Toc305158813"/>
      <w:r>
        <w:rPr>
          <w:rFonts w:hint="eastAsia" w:ascii="宋体" w:hAnsi="宋体" w:eastAsia="宋体" w:cs="宋体"/>
          <w:sz w:val="28"/>
        </w:rPr>
        <w:t xml:space="preserve">六   </w:t>
      </w:r>
      <w:bookmarkEnd w:id="456"/>
      <w:r>
        <w:rPr>
          <w:rFonts w:hint="eastAsia" w:ascii="宋体" w:hAnsi="宋体" w:eastAsia="宋体" w:cs="宋体"/>
          <w:sz w:val="28"/>
        </w:rPr>
        <w:t>确定</w:t>
      </w:r>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r>
        <w:rPr>
          <w:rFonts w:hint="eastAsia" w:ascii="宋体" w:hAnsi="宋体" w:eastAsia="宋体" w:cs="宋体"/>
          <w:sz w:val="28"/>
        </w:rPr>
        <w:t>成交</w:t>
      </w:r>
    </w:p>
    <w:p>
      <w:pPr>
        <w:numPr>
          <w:ilvl w:val="0"/>
          <w:numId w:val="8"/>
        </w:numPr>
        <w:tabs>
          <w:tab w:val="left" w:pos="360"/>
        </w:tabs>
        <w:snapToGrid w:val="0"/>
        <w:spacing w:line="360" w:lineRule="auto"/>
        <w:ind w:left="357" w:hanging="357"/>
        <w:outlineLvl w:val="1"/>
        <w:rPr>
          <w:rFonts w:hint="eastAsia" w:ascii="宋体" w:hAnsi="宋体" w:eastAsia="宋体" w:cs="宋体"/>
          <w:sz w:val="24"/>
        </w:rPr>
      </w:pPr>
      <w:bookmarkStart w:id="478" w:name="_Toc151193789"/>
      <w:bookmarkStart w:id="479" w:name="_Toc151193645"/>
      <w:bookmarkStart w:id="480" w:name="_Toc150774752"/>
      <w:bookmarkStart w:id="481" w:name="_Toc150774647"/>
      <w:bookmarkStart w:id="482" w:name="_Toc195842912"/>
      <w:bookmarkStart w:id="483" w:name="_Toc265228385"/>
      <w:bookmarkStart w:id="484" w:name="_Toc151193935"/>
      <w:bookmarkStart w:id="485" w:name="_Toc127151748"/>
      <w:bookmarkStart w:id="486" w:name="_Toc226965737"/>
      <w:bookmarkStart w:id="487" w:name="_Toc151193717"/>
      <w:bookmarkStart w:id="488" w:name="_Toc150509298"/>
      <w:bookmarkStart w:id="489" w:name="_Toc164229388"/>
      <w:bookmarkStart w:id="490" w:name="_Toc164608661"/>
      <w:bookmarkStart w:id="491" w:name="_Toc142311049"/>
      <w:bookmarkStart w:id="492" w:name="_Toc150480785"/>
      <w:bookmarkStart w:id="493" w:name="_Toc127151547"/>
      <w:bookmarkStart w:id="494" w:name="_Toc305158815"/>
      <w:bookmarkStart w:id="495" w:name="_Toc226965820"/>
      <w:bookmarkStart w:id="496" w:name="_Toc164229242"/>
      <w:bookmarkStart w:id="497" w:name="_Toc127161461"/>
      <w:bookmarkStart w:id="498" w:name="_Toc226309791"/>
      <w:bookmarkStart w:id="499" w:name="_Toc164351641"/>
      <w:bookmarkStart w:id="500" w:name="_Toc226337243"/>
      <w:bookmarkStart w:id="501" w:name="_Toc149720840"/>
      <w:bookmarkStart w:id="502" w:name="_Toc151193861"/>
      <w:bookmarkStart w:id="503" w:name="_Toc264969237"/>
      <w:bookmarkStart w:id="504" w:name="_Toc305158889"/>
      <w:bookmarkStart w:id="505" w:name="_Toc164608816"/>
      <w:bookmarkStart w:id="506" w:name="_Toc151190174"/>
      <w:r>
        <w:rPr>
          <w:rFonts w:hint="eastAsia" w:ascii="宋体" w:hAnsi="宋体" w:eastAsia="宋体" w:cs="宋体"/>
          <w:sz w:val="24"/>
        </w:rPr>
        <w:t>确定成交供应商</w:t>
      </w:r>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p>
    <w:p>
      <w:pPr>
        <w:numPr>
          <w:ilvl w:val="1"/>
          <w:numId w:val="8"/>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采购人将在收到评审报告后，从评审报告提出的成交候选供应商中，按照排序由高到低的原则确定成交供应商。采购人是否授权磋商小组直接确定成交供应商，见《供应商须知资料表》。成交候选人并列的，按照《供应商须知资料表》要求确定成交供应商。</w:t>
      </w:r>
    </w:p>
    <w:p>
      <w:pPr>
        <w:numPr>
          <w:ilvl w:val="0"/>
          <w:numId w:val="8"/>
        </w:numPr>
        <w:tabs>
          <w:tab w:val="left" w:pos="360"/>
        </w:tabs>
        <w:snapToGrid w:val="0"/>
        <w:spacing w:line="360" w:lineRule="auto"/>
        <w:ind w:left="357" w:hanging="357"/>
        <w:outlineLvl w:val="1"/>
        <w:rPr>
          <w:rFonts w:hint="eastAsia" w:ascii="宋体" w:hAnsi="宋体" w:eastAsia="宋体" w:cs="宋体"/>
          <w:sz w:val="24"/>
        </w:rPr>
      </w:pPr>
      <w:bookmarkStart w:id="507" w:name="_Toc305158891"/>
      <w:bookmarkStart w:id="508" w:name="_Toc305158817"/>
      <w:bookmarkStart w:id="509" w:name="_Toc151193863"/>
      <w:bookmarkStart w:id="510" w:name="_Toc265228387"/>
      <w:bookmarkStart w:id="511" w:name="_Toc142311051"/>
      <w:bookmarkStart w:id="512" w:name="_Toc127151549"/>
      <w:bookmarkStart w:id="513" w:name="_Toc164351643"/>
      <w:bookmarkStart w:id="514" w:name="_Toc226965739"/>
      <w:bookmarkStart w:id="515" w:name="_Toc151190176"/>
      <w:bookmarkStart w:id="516" w:name="_Toc264969239"/>
      <w:bookmarkStart w:id="517" w:name="_Toc150480787"/>
      <w:bookmarkStart w:id="518" w:name="_Toc150509300"/>
      <w:bookmarkStart w:id="519" w:name="_Toc151193719"/>
      <w:bookmarkStart w:id="520" w:name="_Toc127161463"/>
      <w:bookmarkStart w:id="521" w:name="_Toc149720842"/>
      <w:bookmarkStart w:id="522" w:name="_Toc164229390"/>
      <w:bookmarkStart w:id="523" w:name="_Toc151193937"/>
      <w:bookmarkStart w:id="524" w:name="_Toc150774754"/>
      <w:bookmarkStart w:id="525" w:name="_Toc164608663"/>
      <w:bookmarkStart w:id="526" w:name="_Toc226337245"/>
      <w:bookmarkStart w:id="527" w:name="_Toc151193647"/>
      <w:bookmarkStart w:id="528" w:name="_Toc164229244"/>
      <w:bookmarkStart w:id="529" w:name="_Toc226309793"/>
      <w:bookmarkStart w:id="530" w:name="_Toc195842914"/>
      <w:bookmarkStart w:id="531" w:name="_Toc151193791"/>
      <w:bookmarkStart w:id="532" w:name="_Toc164608818"/>
      <w:bookmarkStart w:id="533" w:name="_Toc226965822"/>
      <w:bookmarkStart w:id="534" w:name="_Toc150774649"/>
      <w:bookmarkStart w:id="535" w:name="_Toc127151750"/>
      <w:bookmarkStart w:id="536" w:name="_Ref467306425"/>
      <w:bookmarkStart w:id="537" w:name="_Toc520356176"/>
      <w:bookmarkStart w:id="538" w:name="_Ref467307090"/>
      <w:r>
        <w:rPr>
          <w:rFonts w:hint="eastAsia" w:ascii="宋体" w:hAnsi="宋体" w:eastAsia="宋体" w:cs="宋体"/>
          <w:sz w:val="24"/>
        </w:rPr>
        <w:t>成交公告与成交通知书</w:t>
      </w:r>
      <w:bookmarkEnd w:id="507"/>
      <w:bookmarkEnd w:id="508"/>
    </w:p>
    <w:p>
      <w:pPr>
        <w:numPr>
          <w:ilvl w:val="1"/>
          <w:numId w:val="8"/>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采购人或采购代理机构将</w:t>
      </w:r>
      <w:r>
        <w:rPr>
          <w:rFonts w:hint="eastAsia" w:ascii="宋体" w:hAnsi="宋体" w:eastAsia="宋体" w:cs="宋体"/>
          <w:kern w:val="0"/>
          <w:sz w:val="24"/>
        </w:rPr>
        <w:t>在成交供应商确定后2个工作日内，在</w:t>
      </w:r>
      <w:r>
        <w:rPr>
          <w:rFonts w:hint="eastAsia" w:ascii="宋体" w:hAnsi="宋体" w:eastAsia="宋体" w:cs="宋体"/>
          <w:sz w:val="24"/>
        </w:rPr>
        <w:t>北京市政府采购网</w:t>
      </w:r>
      <w:r>
        <w:rPr>
          <w:rFonts w:hint="eastAsia" w:ascii="宋体" w:hAnsi="宋体" w:eastAsia="宋体" w:cs="宋体"/>
          <w:kern w:val="0"/>
          <w:sz w:val="24"/>
        </w:rPr>
        <w:t>公告成交结果，同时向成交供应商发出成交通知书，</w:t>
      </w:r>
      <w:r>
        <w:rPr>
          <w:rFonts w:hint="eastAsia" w:ascii="宋体" w:hAnsi="宋体" w:eastAsia="宋体" w:cs="宋体"/>
          <w:sz w:val="24"/>
        </w:rPr>
        <w:t>成交公告期限为1个工作日。</w:t>
      </w:r>
    </w:p>
    <w:p>
      <w:pPr>
        <w:numPr>
          <w:ilvl w:val="1"/>
          <w:numId w:val="8"/>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成交通知书是合同的组成部分，对采购人和成交供应商具有同等法律效力。成交通知书发出后，采购人改变成交结果的，或者成交供应商放弃成交项目的，将依法承担法律责任。</w:t>
      </w:r>
    </w:p>
    <w:p>
      <w:pPr>
        <w:numPr>
          <w:ilvl w:val="0"/>
          <w:numId w:val="8"/>
        </w:numPr>
        <w:tabs>
          <w:tab w:val="left" w:pos="360"/>
        </w:tabs>
        <w:snapToGrid w:val="0"/>
        <w:spacing w:line="360" w:lineRule="auto"/>
        <w:ind w:left="357" w:hanging="357"/>
        <w:outlineLvl w:val="1"/>
        <w:rPr>
          <w:rFonts w:hint="eastAsia" w:ascii="宋体" w:hAnsi="宋体" w:eastAsia="宋体" w:cs="宋体"/>
          <w:sz w:val="24"/>
        </w:rPr>
      </w:pPr>
      <w:r>
        <w:rPr>
          <w:rFonts w:hint="eastAsia" w:ascii="宋体" w:hAnsi="宋体" w:eastAsia="宋体" w:cs="宋体"/>
          <w:sz w:val="24"/>
        </w:rPr>
        <w:t>终止</w:t>
      </w:r>
    </w:p>
    <w:p>
      <w:pPr>
        <w:numPr>
          <w:ilvl w:val="1"/>
          <w:numId w:val="8"/>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在采购中，出现下列情形之一的，采购人或采购代理机构将终止竞争性磋商采购活动，发布项目终止公告并说明原因，重新开展采购活动：</w:t>
      </w:r>
    </w:p>
    <w:p>
      <w:pPr>
        <w:numPr>
          <w:ilvl w:val="2"/>
          <w:numId w:val="8"/>
        </w:numPr>
        <w:snapToGrid w:val="0"/>
        <w:spacing w:line="360" w:lineRule="auto"/>
        <w:rPr>
          <w:rFonts w:hint="eastAsia" w:ascii="宋体" w:hAnsi="宋体" w:eastAsia="宋体" w:cs="宋体"/>
          <w:sz w:val="24"/>
        </w:rPr>
      </w:pPr>
      <w:r>
        <w:rPr>
          <w:rFonts w:hint="eastAsia" w:ascii="宋体" w:hAnsi="宋体" w:eastAsia="宋体" w:cs="宋体"/>
          <w:sz w:val="24"/>
        </w:rPr>
        <w:t>因情况变化，不再符合规定的竞争性磋商采购方式适用情形的；</w:t>
      </w:r>
    </w:p>
    <w:p>
      <w:pPr>
        <w:numPr>
          <w:ilvl w:val="2"/>
          <w:numId w:val="8"/>
        </w:numPr>
        <w:snapToGrid w:val="0"/>
        <w:spacing w:line="360" w:lineRule="auto"/>
        <w:rPr>
          <w:rFonts w:hint="eastAsia" w:ascii="宋体" w:hAnsi="宋体" w:eastAsia="宋体" w:cs="宋体"/>
          <w:sz w:val="24"/>
        </w:rPr>
      </w:pPr>
      <w:r>
        <w:rPr>
          <w:rFonts w:hint="eastAsia" w:ascii="宋体" w:hAnsi="宋体" w:eastAsia="宋体" w:cs="宋体"/>
          <w:sz w:val="24"/>
        </w:rPr>
        <w:t>出现影响采购公正的违法、违规行为的；</w:t>
      </w:r>
    </w:p>
    <w:p>
      <w:pPr>
        <w:numPr>
          <w:ilvl w:val="2"/>
          <w:numId w:val="8"/>
        </w:numPr>
        <w:snapToGrid w:val="0"/>
        <w:spacing w:line="360" w:lineRule="auto"/>
        <w:rPr>
          <w:rFonts w:hint="eastAsia" w:ascii="宋体" w:hAnsi="宋体" w:eastAsia="宋体" w:cs="宋体"/>
          <w:sz w:val="24"/>
        </w:rPr>
      </w:pPr>
      <w:r>
        <w:rPr>
          <w:rFonts w:hint="eastAsia" w:ascii="宋体" w:hAnsi="宋体" w:eastAsia="宋体" w:cs="宋体"/>
          <w:snapToGrid w:val="0"/>
          <w:kern w:val="0"/>
          <w:sz w:val="24"/>
          <w:szCs w:val="20"/>
        </w:rPr>
        <w:t>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p>
      <w:pPr>
        <w:numPr>
          <w:ilvl w:val="0"/>
          <w:numId w:val="8"/>
        </w:numPr>
        <w:tabs>
          <w:tab w:val="left" w:pos="360"/>
        </w:tabs>
        <w:snapToGrid w:val="0"/>
        <w:spacing w:line="360" w:lineRule="auto"/>
        <w:ind w:left="357" w:hanging="357"/>
        <w:outlineLvl w:val="1"/>
        <w:rPr>
          <w:rFonts w:hint="eastAsia" w:ascii="宋体" w:hAnsi="宋体" w:eastAsia="宋体" w:cs="宋体"/>
          <w:sz w:val="24"/>
        </w:rPr>
      </w:pPr>
      <w:bookmarkStart w:id="539" w:name="_Ref467306978"/>
      <w:bookmarkStart w:id="540" w:name="_Toc226337246"/>
      <w:bookmarkStart w:id="541" w:name="_Toc150480788"/>
      <w:bookmarkStart w:id="542" w:name="_Toc151193792"/>
      <w:bookmarkStart w:id="543" w:name="_Toc305158818"/>
      <w:bookmarkStart w:id="544" w:name="_Toc142311052"/>
      <w:bookmarkStart w:id="545" w:name="_Toc195842915"/>
      <w:bookmarkStart w:id="546" w:name="_Toc151193938"/>
      <w:bookmarkStart w:id="547" w:name="_Ref467306377"/>
      <w:bookmarkStart w:id="548" w:name="_Toc151190177"/>
      <w:bookmarkStart w:id="549" w:name="_Toc265228388"/>
      <w:bookmarkStart w:id="550" w:name="_Toc164229391"/>
      <w:bookmarkStart w:id="551" w:name="_Toc127151751"/>
      <w:bookmarkStart w:id="552" w:name="_Toc305158892"/>
      <w:bookmarkStart w:id="553" w:name="_Toc164229245"/>
      <w:bookmarkStart w:id="554" w:name="_Toc164608819"/>
      <w:bookmarkStart w:id="555" w:name="_Toc164351644"/>
      <w:bookmarkStart w:id="556" w:name="_Toc151193648"/>
      <w:bookmarkStart w:id="557" w:name="_Toc150774755"/>
      <w:bookmarkStart w:id="558" w:name="_Toc226309794"/>
      <w:bookmarkStart w:id="559" w:name="_Toc149720843"/>
      <w:bookmarkStart w:id="560" w:name="_Toc150774650"/>
      <w:bookmarkStart w:id="561" w:name="_Toc150509301"/>
      <w:bookmarkStart w:id="562" w:name="_Toc226965823"/>
      <w:bookmarkStart w:id="563" w:name="_Toc127151550"/>
      <w:bookmarkStart w:id="564" w:name="_Ref467307204"/>
      <w:bookmarkStart w:id="565" w:name="_Toc520356175"/>
      <w:bookmarkStart w:id="566" w:name="_Toc264969240"/>
      <w:bookmarkStart w:id="567" w:name="_Toc164608664"/>
      <w:bookmarkStart w:id="568" w:name="_Toc226965740"/>
      <w:bookmarkStart w:id="569" w:name="_Toc151193720"/>
      <w:bookmarkStart w:id="570" w:name="_Toc151193864"/>
      <w:bookmarkStart w:id="571" w:name="_Ref467307062"/>
      <w:bookmarkStart w:id="572" w:name="_Toc127161464"/>
      <w:r>
        <w:rPr>
          <w:rFonts w:hint="eastAsia" w:ascii="宋体" w:hAnsi="宋体" w:eastAsia="宋体" w:cs="宋体"/>
          <w:sz w:val="24"/>
        </w:rPr>
        <w:t>签订合同</w:t>
      </w:r>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p>
    <w:p>
      <w:pPr>
        <w:numPr>
          <w:ilvl w:val="1"/>
          <w:numId w:val="8"/>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采购人与成交供应商将在成交通知书发出之日起30日内，按照磋商文件确定的合同文本以及采购标的、规格型号、采购金额、采购数量、技术和服务要求等事项签订政府采购合同。</w:t>
      </w:r>
    </w:p>
    <w:p>
      <w:pPr>
        <w:numPr>
          <w:ilvl w:val="1"/>
          <w:numId w:val="8"/>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pPr>
        <w:numPr>
          <w:ilvl w:val="1"/>
          <w:numId w:val="8"/>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联合体获得成交资格的，联合体各方应当共同与采购人签订合同，就成交项目向采购人承担连带责任。</w:t>
      </w:r>
    </w:p>
    <w:p>
      <w:pPr>
        <w:numPr>
          <w:ilvl w:val="1"/>
          <w:numId w:val="8"/>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政府采购合同不能转包。</w:t>
      </w:r>
    </w:p>
    <w:p>
      <w:pPr>
        <w:numPr>
          <w:ilvl w:val="1"/>
          <w:numId w:val="8"/>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eastAsia="宋体" w:cs="宋体"/>
          <w:b/>
          <w:sz w:val="24"/>
        </w:rPr>
        <w:t>否则响应无效</w:t>
      </w:r>
      <w:r>
        <w:rPr>
          <w:rFonts w:hint="eastAsia" w:ascii="宋体" w:hAnsi="宋体" w:eastAsia="宋体" w:cs="宋体"/>
          <w:sz w:val="24"/>
        </w:rPr>
        <w:t>。成交供应商就采购项目和分包项目向采购人负责，分包供应商就分包项目承担责任。</w:t>
      </w:r>
    </w:p>
    <w:bookmarkEnd w:id="536"/>
    <w:bookmarkEnd w:id="537"/>
    <w:bookmarkEnd w:id="538"/>
    <w:p>
      <w:pPr>
        <w:numPr>
          <w:ilvl w:val="0"/>
          <w:numId w:val="8"/>
        </w:numPr>
        <w:tabs>
          <w:tab w:val="left" w:pos="360"/>
        </w:tabs>
        <w:snapToGrid w:val="0"/>
        <w:spacing w:line="360" w:lineRule="auto"/>
        <w:ind w:left="357" w:hanging="357"/>
        <w:outlineLvl w:val="1"/>
        <w:rPr>
          <w:rFonts w:hint="eastAsia" w:ascii="宋体" w:hAnsi="宋体" w:eastAsia="宋体" w:cs="宋体"/>
          <w:sz w:val="24"/>
        </w:rPr>
      </w:pPr>
      <w:r>
        <w:rPr>
          <w:rFonts w:hint="eastAsia" w:ascii="宋体" w:hAnsi="宋体" w:eastAsia="宋体" w:cs="宋体"/>
          <w:sz w:val="24"/>
        </w:rPr>
        <w:t>询问与质疑</w:t>
      </w:r>
    </w:p>
    <w:p>
      <w:pPr>
        <w:numPr>
          <w:ilvl w:val="1"/>
          <w:numId w:val="8"/>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询问</w:t>
      </w:r>
    </w:p>
    <w:p>
      <w:pPr>
        <w:numPr>
          <w:ilvl w:val="2"/>
          <w:numId w:val="8"/>
        </w:numPr>
        <w:snapToGrid w:val="0"/>
        <w:spacing w:line="360" w:lineRule="auto"/>
        <w:rPr>
          <w:rFonts w:hint="eastAsia" w:ascii="宋体" w:hAnsi="宋体" w:eastAsia="宋体" w:cs="宋体"/>
          <w:sz w:val="24"/>
        </w:rPr>
      </w:pPr>
      <w:r>
        <w:rPr>
          <w:rFonts w:hint="eastAsia" w:ascii="宋体" w:hAnsi="宋体" w:eastAsia="宋体" w:cs="宋体"/>
          <w:sz w:val="24"/>
        </w:rPr>
        <w:t>供应商对政府采购活动事项有疑问的，可依法提出询问，并按《供应商须知资料表》载明的形式送达采购人或采购代理机构。</w:t>
      </w:r>
    </w:p>
    <w:p>
      <w:pPr>
        <w:numPr>
          <w:ilvl w:val="2"/>
          <w:numId w:val="8"/>
        </w:numPr>
        <w:snapToGrid w:val="0"/>
        <w:spacing w:line="360" w:lineRule="auto"/>
        <w:rPr>
          <w:rFonts w:hint="eastAsia" w:ascii="宋体" w:hAnsi="宋体" w:eastAsia="宋体" w:cs="宋体"/>
          <w:sz w:val="24"/>
        </w:rPr>
      </w:pPr>
      <w:r>
        <w:rPr>
          <w:rFonts w:hint="eastAsia" w:ascii="宋体" w:hAnsi="宋体" w:eastAsia="宋体" w:cs="宋体"/>
          <w:sz w:val="24"/>
        </w:rPr>
        <w:t>采购人或采购代理机构对供应商依法提出的询问，在3个工作日内作出答复，但答复的内容不得涉及商业秘密。</w:t>
      </w:r>
    </w:p>
    <w:p>
      <w:pPr>
        <w:numPr>
          <w:ilvl w:val="1"/>
          <w:numId w:val="8"/>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质疑</w:t>
      </w:r>
    </w:p>
    <w:p>
      <w:pPr>
        <w:numPr>
          <w:ilvl w:val="2"/>
          <w:numId w:val="8"/>
        </w:numPr>
        <w:snapToGrid w:val="0"/>
        <w:spacing w:line="360" w:lineRule="auto"/>
        <w:rPr>
          <w:rFonts w:hint="eastAsia" w:ascii="宋体" w:hAnsi="宋体" w:eastAsia="宋体" w:cs="宋体"/>
          <w:sz w:val="24"/>
        </w:rPr>
      </w:pPr>
      <w:r>
        <w:rPr>
          <w:rFonts w:hint="eastAsia" w:ascii="宋体" w:hAnsi="宋体" w:eastAsia="宋体" w:cs="宋体"/>
          <w:sz w:val="24"/>
        </w:rPr>
        <w:t>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p>
    <w:p>
      <w:pPr>
        <w:numPr>
          <w:ilvl w:val="2"/>
          <w:numId w:val="8"/>
        </w:numPr>
        <w:snapToGrid w:val="0"/>
        <w:spacing w:line="360" w:lineRule="auto"/>
        <w:rPr>
          <w:rFonts w:hint="eastAsia" w:ascii="宋体" w:hAnsi="宋体" w:eastAsia="宋体" w:cs="宋体"/>
          <w:sz w:val="24"/>
        </w:rPr>
      </w:pPr>
      <w:r>
        <w:rPr>
          <w:rFonts w:hint="eastAsia" w:ascii="宋体" w:hAnsi="宋体" w:eastAsia="宋体" w:cs="宋体"/>
          <w:sz w:val="24"/>
        </w:rPr>
        <w:t>质疑函须使用财政部制定的范本文件。</w:t>
      </w:r>
    </w:p>
    <w:p>
      <w:pPr>
        <w:numPr>
          <w:ilvl w:val="2"/>
          <w:numId w:val="8"/>
        </w:numPr>
        <w:snapToGrid w:val="0"/>
        <w:spacing w:line="360" w:lineRule="auto"/>
        <w:rPr>
          <w:rFonts w:hint="eastAsia" w:ascii="宋体" w:hAnsi="宋体" w:eastAsia="宋体" w:cs="宋体"/>
          <w:sz w:val="24"/>
        </w:rPr>
      </w:pPr>
      <w:r>
        <w:rPr>
          <w:rFonts w:hint="eastAsia" w:ascii="宋体" w:hAnsi="宋体" w:eastAsia="宋体" w:cs="宋体"/>
          <w:sz w:val="24"/>
        </w:rPr>
        <w:t>供应商为自然人的，应当由本人签字；供应商为法人或者其他组织的，应当由法定代表人、主要负责人，或者其授权代表签字或者盖章，并加盖公章。</w:t>
      </w:r>
    </w:p>
    <w:p>
      <w:pPr>
        <w:numPr>
          <w:ilvl w:val="2"/>
          <w:numId w:val="8"/>
        </w:numPr>
        <w:snapToGrid w:val="0"/>
        <w:spacing w:line="360" w:lineRule="auto"/>
        <w:rPr>
          <w:rFonts w:hint="eastAsia" w:ascii="宋体" w:hAnsi="宋体" w:eastAsia="宋体" w:cs="宋体"/>
          <w:sz w:val="24"/>
        </w:rPr>
      </w:pPr>
      <w:r>
        <w:rPr>
          <w:rFonts w:hint="eastAsia" w:ascii="宋体" w:hAnsi="宋体" w:eastAsia="宋体" w:cs="宋体"/>
          <w:sz w:val="24"/>
        </w:rPr>
        <w:t>供应商应在法定质疑期内一次性提出针对同一采购程序环节的质疑，法定质疑期内针对同一采购程序环节再次提出的质疑，采购人、采购代理机构有权不予答复。</w:t>
      </w:r>
    </w:p>
    <w:p>
      <w:pPr>
        <w:numPr>
          <w:ilvl w:val="1"/>
          <w:numId w:val="8"/>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接收询问和质疑的联系部门、联系电话和通讯地址见《供应商须知资料表》。</w:t>
      </w:r>
    </w:p>
    <w:p>
      <w:pPr>
        <w:numPr>
          <w:ilvl w:val="0"/>
          <w:numId w:val="8"/>
        </w:numPr>
        <w:tabs>
          <w:tab w:val="left" w:pos="360"/>
        </w:tabs>
        <w:snapToGrid w:val="0"/>
        <w:spacing w:line="360" w:lineRule="auto"/>
        <w:ind w:left="357" w:hanging="357"/>
        <w:outlineLvl w:val="1"/>
        <w:rPr>
          <w:rFonts w:hint="eastAsia" w:ascii="宋体" w:hAnsi="宋体" w:eastAsia="宋体" w:cs="宋体"/>
          <w:sz w:val="24"/>
        </w:rPr>
      </w:pPr>
      <w:r>
        <w:rPr>
          <w:rFonts w:hint="eastAsia" w:ascii="宋体" w:hAnsi="宋体" w:eastAsia="宋体" w:cs="宋体"/>
          <w:sz w:val="24"/>
        </w:rPr>
        <w:t>代理费</w:t>
      </w:r>
    </w:p>
    <w:p>
      <w:pPr>
        <w:numPr>
          <w:ilvl w:val="1"/>
          <w:numId w:val="8"/>
        </w:numPr>
        <w:tabs>
          <w:tab w:val="left" w:pos="1080"/>
          <w:tab w:val="left" w:pos="2014"/>
        </w:tabs>
        <w:snapToGrid w:val="0"/>
        <w:spacing w:line="360" w:lineRule="auto"/>
        <w:ind w:left="1077" w:hanging="720"/>
        <w:rPr>
          <w:rFonts w:hint="eastAsia" w:ascii="宋体" w:hAnsi="宋体" w:eastAsia="宋体" w:cs="宋体"/>
          <w:b/>
          <w:sz w:val="32"/>
          <w:szCs w:val="32"/>
        </w:rPr>
      </w:pPr>
      <w:r>
        <w:rPr>
          <w:rFonts w:hint="eastAsia" w:ascii="宋体" w:hAnsi="宋体" w:eastAsia="宋体" w:cs="宋体"/>
          <w:sz w:val="24"/>
        </w:rPr>
        <w:t>收费对象、收费标准及缴纳时间见《供应商须知资料表》。由成交供应商支付的，成交供应商须一次性向采购代理机构缴纳代理费，报价应包含代理费用。</w:t>
      </w:r>
      <w:bookmarkStart w:id="573" w:name="_Toc226337250"/>
      <w:bookmarkStart w:id="574" w:name="_Toc150480792"/>
      <w:bookmarkStart w:id="575" w:name="_Toc353873664"/>
      <w:bookmarkStart w:id="576" w:name="_Toc305158896"/>
      <w:bookmarkStart w:id="577" w:name="_Toc353873934"/>
      <w:bookmarkStart w:id="578" w:name="_Toc142311056"/>
      <w:bookmarkStart w:id="579" w:name="_Toc305158822"/>
      <w:bookmarkStart w:id="580" w:name="_Toc226965827"/>
      <w:bookmarkStart w:id="581" w:name="_Toc265228392"/>
      <w:bookmarkStart w:id="582" w:name="_Toc353825544"/>
      <w:bookmarkStart w:id="583" w:name="_Toc127151554"/>
      <w:bookmarkStart w:id="584" w:name="_Toc150774759"/>
      <w:bookmarkStart w:id="585" w:name="_Toc264969244"/>
    </w:p>
    <w:p>
      <w:pPr>
        <w:pStyle w:val="62"/>
        <w:rPr>
          <w:rFonts w:hint="eastAsia" w:ascii="宋体" w:hAnsi="宋体" w:eastAsia="宋体" w:cs="宋体"/>
          <w:sz w:val="24"/>
        </w:rPr>
      </w:pPr>
    </w:p>
    <w:p>
      <w:pPr>
        <w:rPr>
          <w:rFonts w:hint="eastAsia" w:ascii="宋体" w:hAnsi="宋体" w:eastAsia="宋体" w:cs="宋体"/>
          <w:sz w:val="24"/>
        </w:rPr>
      </w:pPr>
    </w:p>
    <w:p>
      <w:pPr>
        <w:pStyle w:val="62"/>
        <w:rPr>
          <w:rFonts w:hint="eastAsia" w:ascii="宋体" w:hAnsi="宋体" w:eastAsia="宋体" w:cs="宋体"/>
          <w:sz w:val="24"/>
        </w:rPr>
      </w:pPr>
    </w:p>
    <w:p>
      <w:pPr>
        <w:rPr>
          <w:rFonts w:hint="eastAsia" w:ascii="宋体" w:hAnsi="宋体" w:eastAsia="宋体" w:cs="宋体"/>
          <w:sz w:val="24"/>
        </w:rPr>
      </w:pPr>
    </w:p>
    <w:p>
      <w:pPr>
        <w:pStyle w:val="62"/>
        <w:rPr>
          <w:rFonts w:hint="eastAsia" w:ascii="宋体" w:hAnsi="宋体" w:eastAsia="宋体" w:cs="宋体"/>
          <w:sz w:val="24"/>
        </w:rPr>
      </w:pPr>
    </w:p>
    <w:p>
      <w:pPr>
        <w:rPr>
          <w:rFonts w:hint="eastAsia" w:ascii="宋体" w:hAnsi="宋体" w:eastAsia="宋体" w:cs="宋体"/>
          <w:sz w:val="24"/>
        </w:rPr>
      </w:pPr>
    </w:p>
    <w:p>
      <w:pPr>
        <w:pStyle w:val="62"/>
        <w:rPr>
          <w:rFonts w:hint="eastAsia" w:ascii="宋体" w:hAnsi="宋体" w:eastAsia="宋体" w:cs="宋体"/>
          <w:sz w:val="24"/>
        </w:rPr>
      </w:pPr>
    </w:p>
    <w:p>
      <w:pPr>
        <w:rPr>
          <w:rFonts w:hint="eastAsia" w:ascii="宋体" w:hAnsi="宋体" w:eastAsia="宋体" w:cs="宋体"/>
          <w:sz w:val="24"/>
        </w:rPr>
      </w:pPr>
    </w:p>
    <w:p>
      <w:pPr>
        <w:pStyle w:val="62"/>
        <w:rPr>
          <w:rFonts w:hint="eastAsia" w:ascii="宋体" w:hAnsi="宋体" w:eastAsia="宋体" w:cs="宋体"/>
          <w:sz w:val="24"/>
        </w:rPr>
      </w:pPr>
    </w:p>
    <w:p>
      <w:pPr>
        <w:rPr>
          <w:rFonts w:hint="eastAsia" w:ascii="宋体" w:hAnsi="宋体" w:eastAsia="宋体" w:cs="宋体"/>
          <w:sz w:val="24"/>
        </w:rPr>
      </w:pPr>
    </w:p>
    <w:p>
      <w:pPr>
        <w:pStyle w:val="62"/>
        <w:rPr>
          <w:rFonts w:hint="eastAsia" w:ascii="宋体" w:hAnsi="宋体" w:eastAsia="宋体" w:cs="宋体"/>
          <w:sz w:val="24"/>
        </w:rPr>
      </w:pPr>
    </w:p>
    <w:p>
      <w:pPr>
        <w:rPr>
          <w:rFonts w:hint="eastAsia" w:ascii="宋体" w:hAnsi="宋体" w:eastAsia="宋体" w:cs="宋体"/>
          <w:sz w:val="24"/>
        </w:rPr>
      </w:pPr>
    </w:p>
    <w:p>
      <w:pPr>
        <w:pStyle w:val="62"/>
        <w:rPr>
          <w:rFonts w:hint="eastAsia" w:ascii="宋体" w:hAnsi="宋体" w:eastAsia="宋体" w:cs="宋体"/>
          <w:sz w:val="24"/>
        </w:rPr>
      </w:pPr>
    </w:p>
    <w:p>
      <w:pPr>
        <w:rPr>
          <w:rFonts w:hint="eastAsia" w:ascii="宋体" w:hAnsi="宋体" w:eastAsia="宋体" w:cs="宋体"/>
          <w:sz w:val="24"/>
        </w:rPr>
      </w:pPr>
    </w:p>
    <w:p>
      <w:pPr>
        <w:pStyle w:val="62"/>
        <w:rPr>
          <w:rFonts w:hint="eastAsia" w:ascii="宋体" w:hAnsi="宋体" w:eastAsia="宋体" w:cs="宋体"/>
          <w:sz w:val="24"/>
        </w:rPr>
      </w:pPr>
    </w:p>
    <w:p>
      <w:pPr>
        <w:pStyle w:val="62"/>
        <w:rPr>
          <w:rFonts w:hint="eastAsia" w:ascii="宋体" w:hAnsi="宋体" w:eastAsia="宋体" w:cs="宋体"/>
          <w:sz w:val="24"/>
        </w:rPr>
        <w:sectPr>
          <w:headerReference r:id="rId12" w:type="default"/>
          <w:footerReference r:id="rId13" w:type="default"/>
          <w:pgSz w:w="11907" w:h="16840"/>
          <w:pgMar w:top="1418" w:right="1386" w:bottom="1418" w:left="1701" w:header="851" w:footer="851" w:gutter="0"/>
          <w:pgNumType w:fmt="decimal"/>
          <w:cols w:space="720" w:num="1"/>
          <w:docGrid w:linePitch="462" w:charSpace="0"/>
        </w:sectPr>
      </w:pPr>
    </w:p>
    <w:p>
      <w:pPr>
        <w:spacing w:line="360" w:lineRule="auto"/>
        <w:jc w:val="center"/>
        <w:outlineLvl w:val="0"/>
        <w:rPr>
          <w:rFonts w:hint="eastAsia" w:ascii="宋体" w:hAnsi="宋体" w:eastAsia="宋体" w:cs="宋体"/>
          <w:b/>
          <w:sz w:val="36"/>
          <w:szCs w:val="36"/>
        </w:rPr>
      </w:pPr>
      <w:bookmarkStart w:id="586" w:name="_Toc7409"/>
      <w:r>
        <w:rPr>
          <w:rFonts w:hint="eastAsia" w:ascii="宋体" w:hAnsi="宋体" w:eastAsia="宋体" w:cs="宋体"/>
          <w:b/>
          <w:sz w:val="32"/>
          <w:szCs w:val="32"/>
        </w:rPr>
        <w:t>第三章</w:t>
      </w:r>
      <w:bookmarkEnd w:id="573"/>
      <w:bookmarkEnd w:id="574"/>
      <w:bookmarkEnd w:id="575"/>
      <w:bookmarkEnd w:id="576"/>
      <w:bookmarkEnd w:id="577"/>
      <w:bookmarkEnd w:id="578"/>
      <w:bookmarkEnd w:id="579"/>
      <w:bookmarkEnd w:id="580"/>
      <w:bookmarkEnd w:id="581"/>
      <w:bookmarkEnd w:id="582"/>
      <w:bookmarkEnd w:id="583"/>
      <w:bookmarkEnd w:id="584"/>
      <w:bookmarkEnd w:id="585"/>
      <w:r>
        <w:rPr>
          <w:rFonts w:hint="eastAsia" w:ascii="宋体" w:hAnsi="宋体" w:eastAsia="宋体" w:cs="宋体"/>
          <w:b/>
          <w:sz w:val="32"/>
          <w:szCs w:val="32"/>
          <w:lang w:eastAsia="zh-CN"/>
        </w:rPr>
        <w:t>、</w:t>
      </w:r>
      <w:r>
        <w:rPr>
          <w:rFonts w:hint="eastAsia" w:ascii="宋体" w:hAnsi="宋体" w:eastAsia="宋体" w:cs="宋体"/>
          <w:b/>
          <w:sz w:val="32"/>
          <w:szCs w:val="32"/>
        </w:rPr>
        <w:t>评审方法和评审标准</w:t>
      </w:r>
      <w:bookmarkEnd w:id="586"/>
      <w:bookmarkStart w:id="587" w:name="_Toc487900382"/>
    </w:p>
    <w:p>
      <w:pPr>
        <w:pStyle w:val="2"/>
        <w:spacing w:before="0" w:line="360" w:lineRule="auto"/>
        <w:rPr>
          <w:rFonts w:hint="eastAsia" w:ascii="宋体" w:hAnsi="宋体" w:eastAsia="宋体" w:cs="宋体"/>
          <w:b/>
          <w:sz w:val="24"/>
        </w:rPr>
      </w:pPr>
      <w:r>
        <w:rPr>
          <w:rFonts w:hint="eastAsia" w:ascii="宋体" w:hAnsi="宋体" w:eastAsia="宋体" w:cs="宋体"/>
          <w:sz w:val="24"/>
          <w:szCs w:val="24"/>
        </w:rPr>
        <w:t>一、资格审查程序</w:t>
      </w:r>
    </w:p>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587"/>
    <w:p>
      <w:pPr>
        <w:numPr>
          <w:ilvl w:val="0"/>
          <w:numId w:val="10"/>
        </w:numPr>
        <w:tabs>
          <w:tab w:val="left" w:pos="360"/>
        </w:tabs>
        <w:snapToGrid w:val="0"/>
        <w:spacing w:line="360" w:lineRule="auto"/>
        <w:outlineLvl w:val="1"/>
        <w:rPr>
          <w:rFonts w:hint="eastAsia" w:ascii="宋体" w:hAnsi="宋体" w:eastAsia="宋体" w:cs="宋体"/>
          <w:sz w:val="24"/>
        </w:rPr>
      </w:pPr>
      <w:bookmarkStart w:id="588" w:name="_Toc151193855"/>
      <w:bookmarkStart w:id="589" w:name="_Toc164608810"/>
      <w:bookmarkStart w:id="590" w:name="_Toc127151541"/>
      <w:bookmarkStart w:id="591" w:name="_Toc150509292"/>
      <w:bookmarkStart w:id="592" w:name="_Toc226965814"/>
      <w:bookmarkStart w:id="593" w:name="_Toc151190168"/>
      <w:bookmarkStart w:id="594" w:name="_Toc164229236"/>
      <w:bookmarkStart w:id="595" w:name="_Toc127151742"/>
      <w:bookmarkStart w:id="596" w:name="_Toc142311043"/>
      <w:bookmarkStart w:id="597" w:name="_Toc151193639"/>
      <w:bookmarkStart w:id="598" w:name="_Toc226965731"/>
      <w:bookmarkStart w:id="599" w:name="_Toc305158883"/>
      <w:bookmarkStart w:id="600" w:name="_Toc164229382"/>
      <w:bookmarkStart w:id="601" w:name="_Toc151193711"/>
      <w:bookmarkStart w:id="602" w:name="_Toc149720834"/>
      <w:bookmarkStart w:id="603" w:name="_Toc150480779"/>
      <w:bookmarkStart w:id="604" w:name="_Toc150774641"/>
      <w:bookmarkStart w:id="605" w:name="_Toc127161455"/>
      <w:bookmarkStart w:id="606" w:name="_Toc151193783"/>
      <w:bookmarkStart w:id="607" w:name="_Toc305158809"/>
      <w:bookmarkStart w:id="608" w:name="_Toc265228379"/>
      <w:bookmarkStart w:id="609" w:name="_Toc150774746"/>
      <w:bookmarkStart w:id="610" w:name="_Toc226337237"/>
      <w:bookmarkStart w:id="611" w:name="_Toc164351635"/>
      <w:bookmarkStart w:id="612" w:name="_Toc195842906"/>
      <w:bookmarkStart w:id="613" w:name="_Toc226309785"/>
      <w:bookmarkStart w:id="614" w:name="_Toc151193929"/>
      <w:bookmarkStart w:id="615" w:name="_Toc164608655"/>
      <w:bookmarkStart w:id="616" w:name="_Toc264969231"/>
      <w:bookmarkStart w:id="617" w:name="_Toc353825551"/>
      <w:bookmarkStart w:id="618" w:name="_Toc353873941"/>
      <w:bookmarkStart w:id="619" w:name="_Toc150480793"/>
      <w:bookmarkStart w:id="620" w:name="_Toc353873935"/>
      <w:bookmarkStart w:id="621" w:name="_Toc264969245"/>
      <w:bookmarkStart w:id="622" w:name="_Toc150774760"/>
      <w:bookmarkStart w:id="623" w:name="_Toc142311057"/>
      <w:bookmarkStart w:id="624" w:name="_Toc305158897"/>
      <w:bookmarkStart w:id="625" w:name="_Toc226337251"/>
      <w:bookmarkStart w:id="626" w:name="_Toc226965828"/>
      <w:bookmarkStart w:id="627" w:name="_Toc305158823"/>
      <w:bookmarkStart w:id="628" w:name="_Toc353873665"/>
      <w:bookmarkStart w:id="629" w:name="_Toc127151555"/>
      <w:bookmarkStart w:id="630" w:name="_Toc265228393"/>
      <w:bookmarkStart w:id="631" w:name="_Toc353825545"/>
      <w:bookmarkStart w:id="632" w:name="_Toc195842920"/>
      <w:r>
        <w:rPr>
          <w:rFonts w:hint="eastAsia" w:ascii="宋体" w:hAnsi="宋体" w:eastAsia="宋体" w:cs="宋体"/>
          <w:sz w:val="24"/>
        </w:rPr>
        <w:t>响应文件的</w:t>
      </w:r>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r>
        <w:rPr>
          <w:rFonts w:hint="eastAsia" w:ascii="宋体" w:hAnsi="宋体" w:eastAsia="宋体" w:cs="宋体"/>
          <w:sz w:val="24"/>
        </w:rPr>
        <w:t>资格性检查和符合性审查</w:t>
      </w:r>
    </w:p>
    <w:p>
      <w:pPr>
        <w:numPr>
          <w:ilvl w:val="1"/>
          <w:numId w:val="10"/>
        </w:numPr>
        <w:tabs>
          <w:tab w:val="left" w:pos="1080"/>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eastAsia="宋体" w:cs="宋体"/>
          <w:b/>
          <w:sz w:val="24"/>
        </w:rPr>
        <w:t>无效响应</w:t>
      </w:r>
      <w:r>
        <w:rPr>
          <w:rFonts w:hint="eastAsia" w:ascii="宋体" w:hAnsi="宋体" w:eastAsia="宋体" w:cs="宋体"/>
          <w:sz w:val="24"/>
        </w:rPr>
        <w:t>处理，磋商小组应当告知提交响应文件的供应商。</w:t>
      </w:r>
    </w:p>
    <w:p>
      <w:pPr>
        <w:numPr>
          <w:ilvl w:val="1"/>
          <w:numId w:val="10"/>
        </w:numPr>
        <w:tabs>
          <w:tab w:val="left" w:pos="1080"/>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《资格性检查要求》中对格式有要求的，除竞争性磋商文件另有规定外，均为“实质性格式”文件。</w:t>
      </w:r>
    </w:p>
    <w:p>
      <w:pPr>
        <w:numPr>
          <w:ilvl w:val="1"/>
          <w:numId w:val="10"/>
        </w:numPr>
        <w:tabs>
          <w:tab w:val="left" w:pos="1080"/>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《资格性检查要求》见下表：</w:t>
      </w:r>
    </w:p>
    <w:p>
      <w:pPr>
        <w:tabs>
          <w:tab w:val="left" w:pos="900"/>
          <w:tab w:val="left" w:pos="1080"/>
        </w:tabs>
        <w:snapToGrid w:val="0"/>
        <w:spacing w:line="360" w:lineRule="auto"/>
        <w:ind w:left="1077" w:firstLine="2650" w:firstLineChars="1100"/>
        <w:rPr>
          <w:rFonts w:hint="eastAsia" w:ascii="宋体" w:hAnsi="宋体" w:eastAsia="宋体" w:cs="宋体"/>
          <w:b/>
          <w:sz w:val="24"/>
        </w:rPr>
      </w:pPr>
      <w:r>
        <w:rPr>
          <w:rFonts w:hint="eastAsia" w:ascii="宋体" w:hAnsi="宋体" w:eastAsia="宋体" w:cs="宋体"/>
          <w:b/>
          <w:sz w:val="24"/>
        </w:rPr>
        <w:t>资格性检查要求</w:t>
      </w:r>
    </w:p>
    <w:tbl>
      <w:tblPr>
        <w:tblStyle w:val="47"/>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6"/>
        <w:gridCol w:w="1599"/>
        <w:gridCol w:w="4483"/>
        <w:gridCol w:w="166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5" w:type="pct"/>
            <w:vAlign w:val="center"/>
          </w:tcPr>
          <w:p>
            <w:pPr>
              <w:tabs>
                <w:tab w:val="left" w:pos="1080"/>
              </w:tabs>
              <w:snapToGrid w:val="0"/>
              <w:jc w:val="center"/>
              <w:rPr>
                <w:rFonts w:hint="eastAsia" w:ascii="宋体" w:hAnsi="宋体" w:eastAsia="宋体" w:cs="宋体"/>
                <w:b/>
                <w:sz w:val="24"/>
              </w:rPr>
            </w:pPr>
            <w:bookmarkStart w:id="633" w:name="_Hlt487972895"/>
            <w:bookmarkEnd w:id="633"/>
            <w:r>
              <w:rPr>
                <w:rFonts w:hint="eastAsia" w:ascii="宋体" w:hAnsi="宋体" w:eastAsia="宋体" w:cs="宋体"/>
                <w:b/>
                <w:sz w:val="24"/>
              </w:rPr>
              <w:t>序号</w:t>
            </w:r>
          </w:p>
        </w:tc>
        <w:tc>
          <w:tcPr>
            <w:tcW w:w="938" w:type="pct"/>
            <w:vAlign w:val="center"/>
          </w:tcPr>
          <w:p>
            <w:pPr>
              <w:tabs>
                <w:tab w:val="left" w:pos="1080"/>
              </w:tabs>
              <w:snapToGrid w:val="0"/>
              <w:jc w:val="center"/>
              <w:rPr>
                <w:rFonts w:hint="eastAsia" w:ascii="宋体" w:hAnsi="宋体" w:eastAsia="宋体" w:cs="宋体"/>
                <w:b/>
                <w:sz w:val="24"/>
              </w:rPr>
            </w:pPr>
            <w:r>
              <w:rPr>
                <w:rFonts w:hint="eastAsia" w:ascii="宋体" w:hAnsi="宋体" w:eastAsia="宋体" w:cs="宋体"/>
                <w:b/>
                <w:sz w:val="24"/>
              </w:rPr>
              <w:t>检查因素</w:t>
            </w:r>
          </w:p>
        </w:tc>
        <w:tc>
          <w:tcPr>
            <w:tcW w:w="2630" w:type="pct"/>
            <w:vAlign w:val="center"/>
          </w:tcPr>
          <w:p>
            <w:pPr>
              <w:tabs>
                <w:tab w:val="left" w:pos="1080"/>
              </w:tabs>
              <w:snapToGrid w:val="0"/>
              <w:jc w:val="center"/>
              <w:rPr>
                <w:rFonts w:hint="eastAsia" w:ascii="宋体" w:hAnsi="宋体" w:eastAsia="宋体" w:cs="宋体"/>
                <w:b/>
                <w:sz w:val="24"/>
              </w:rPr>
            </w:pPr>
            <w:r>
              <w:rPr>
                <w:rFonts w:hint="eastAsia" w:ascii="宋体" w:hAnsi="宋体" w:eastAsia="宋体" w:cs="宋体"/>
                <w:b/>
                <w:sz w:val="24"/>
              </w:rPr>
              <w:t>检查内容</w:t>
            </w:r>
          </w:p>
        </w:tc>
        <w:tc>
          <w:tcPr>
            <w:tcW w:w="976" w:type="pct"/>
            <w:vAlign w:val="center"/>
          </w:tcPr>
          <w:p>
            <w:pPr>
              <w:tabs>
                <w:tab w:val="left" w:pos="1080"/>
              </w:tabs>
              <w:snapToGrid w:val="0"/>
              <w:jc w:val="center"/>
              <w:rPr>
                <w:rFonts w:hint="eastAsia" w:ascii="宋体" w:hAnsi="宋体" w:eastAsia="宋体" w:cs="宋体"/>
                <w:b/>
                <w:sz w:val="24"/>
              </w:rPr>
            </w:pPr>
            <w:r>
              <w:rPr>
                <w:rFonts w:hint="eastAsia" w:ascii="宋体" w:hAnsi="宋体" w:eastAsia="宋体" w:cs="宋体"/>
                <w:b/>
                <w:sz w:val="24"/>
              </w:rPr>
              <w:t>格式要求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502" w:hRule="atLeast"/>
        </w:trPr>
        <w:tc>
          <w:tcPr>
            <w:tcW w:w="455" w:type="pct"/>
            <w:vAlign w:val="center"/>
          </w:tcPr>
          <w:p>
            <w:pPr>
              <w:tabs>
                <w:tab w:val="left" w:pos="1080"/>
              </w:tabs>
              <w:snapToGrid w:val="0"/>
              <w:jc w:val="center"/>
              <w:rPr>
                <w:rFonts w:hint="eastAsia" w:ascii="宋体" w:hAnsi="宋体" w:eastAsia="宋体" w:cs="宋体"/>
                <w:sz w:val="24"/>
              </w:rPr>
            </w:pPr>
            <w:r>
              <w:rPr>
                <w:rFonts w:hint="eastAsia" w:ascii="宋体" w:hAnsi="宋体" w:eastAsia="宋体" w:cs="宋体"/>
                <w:sz w:val="24"/>
              </w:rPr>
              <w:t>1</w:t>
            </w:r>
          </w:p>
        </w:tc>
        <w:tc>
          <w:tcPr>
            <w:tcW w:w="938" w:type="pct"/>
            <w:vAlign w:val="center"/>
          </w:tcPr>
          <w:p>
            <w:pPr>
              <w:tabs>
                <w:tab w:val="left" w:pos="1080"/>
              </w:tabs>
              <w:snapToGrid w:val="0"/>
              <w:jc w:val="center"/>
              <w:rPr>
                <w:rFonts w:hint="eastAsia" w:ascii="宋体" w:hAnsi="宋体" w:eastAsia="宋体" w:cs="宋体"/>
                <w:sz w:val="24"/>
              </w:rPr>
            </w:pPr>
            <w:r>
              <w:rPr>
                <w:rFonts w:hint="eastAsia" w:ascii="宋体" w:hAnsi="宋体" w:eastAsia="宋体" w:cs="宋体"/>
                <w:sz w:val="24"/>
              </w:rPr>
              <w:t>满足《中华人民共和国政府</w:t>
            </w:r>
          </w:p>
          <w:p>
            <w:pPr>
              <w:tabs>
                <w:tab w:val="left" w:pos="1080"/>
              </w:tabs>
              <w:snapToGrid w:val="0"/>
              <w:jc w:val="left"/>
              <w:rPr>
                <w:rFonts w:hint="eastAsia" w:ascii="宋体" w:hAnsi="宋体" w:eastAsia="宋体" w:cs="宋体"/>
                <w:sz w:val="24"/>
              </w:rPr>
            </w:pPr>
            <w:r>
              <w:rPr>
                <w:rFonts w:hint="eastAsia" w:ascii="宋体" w:hAnsi="宋体" w:eastAsia="宋体" w:cs="宋体"/>
                <w:sz w:val="24"/>
              </w:rPr>
              <w:t>采购法》第二十二条规定</w:t>
            </w:r>
          </w:p>
        </w:tc>
        <w:tc>
          <w:tcPr>
            <w:tcW w:w="2630" w:type="pct"/>
            <w:vAlign w:val="center"/>
          </w:tcPr>
          <w:p>
            <w:pPr>
              <w:tabs>
                <w:tab w:val="left" w:pos="1080"/>
              </w:tabs>
              <w:snapToGrid w:val="0"/>
              <w:jc w:val="left"/>
              <w:rPr>
                <w:rFonts w:hint="eastAsia" w:ascii="宋体" w:hAnsi="宋体" w:eastAsia="宋体" w:cs="宋体"/>
                <w:sz w:val="24"/>
              </w:rPr>
            </w:pPr>
            <w:r>
              <w:rPr>
                <w:rFonts w:hint="eastAsia" w:ascii="宋体" w:hAnsi="宋体" w:eastAsia="宋体" w:cs="宋体"/>
                <w:sz w:val="24"/>
              </w:rPr>
              <w:t>具体规定见第一章《采购邀请》</w:t>
            </w:r>
          </w:p>
        </w:tc>
        <w:tc>
          <w:tcPr>
            <w:tcW w:w="976" w:type="pct"/>
            <w:vAlign w:val="center"/>
          </w:tcPr>
          <w:p>
            <w:pPr>
              <w:tabs>
                <w:tab w:val="left" w:pos="1080"/>
              </w:tabs>
              <w:snapToGrid w:val="0"/>
              <w:jc w:val="left"/>
              <w:rPr>
                <w:rFonts w:hint="eastAsia" w:ascii="宋体" w:hAnsi="宋体" w:eastAsia="宋体" w:cs="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hint="eastAsia" w:ascii="宋体" w:hAnsi="宋体" w:eastAsia="宋体" w:cs="宋体"/>
                <w:sz w:val="24"/>
              </w:rPr>
            </w:pPr>
            <w:r>
              <w:rPr>
                <w:rFonts w:hint="eastAsia" w:ascii="宋体" w:hAnsi="宋体" w:eastAsia="宋体" w:cs="宋体"/>
                <w:sz w:val="24"/>
              </w:rPr>
              <w:t>1-1</w:t>
            </w:r>
          </w:p>
        </w:tc>
        <w:tc>
          <w:tcPr>
            <w:tcW w:w="938" w:type="pct"/>
            <w:vAlign w:val="center"/>
          </w:tcPr>
          <w:p>
            <w:pPr>
              <w:tabs>
                <w:tab w:val="left" w:pos="1080"/>
              </w:tabs>
              <w:snapToGrid w:val="0"/>
              <w:jc w:val="center"/>
              <w:rPr>
                <w:rFonts w:hint="eastAsia" w:ascii="宋体" w:hAnsi="宋体" w:eastAsia="宋体" w:cs="宋体"/>
                <w:sz w:val="24"/>
              </w:rPr>
            </w:pPr>
            <w:r>
              <w:rPr>
                <w:rFonts w:hint="eastAsia" w:ascii="宋体" w:hAnsi="宋体" w:eastAsia="宋体" w:cs="宋体"/>
                <w:sz w:val="24"/>
              </w:rPr>
              <w:t>营业执照等证明文件</w:t>
            </w:r>
          </w:p>
        </w:tc>
        <w:tc>
          <w:tcPr>
            <w:tcW w:w="2630" w:type="pct"/>
            <w:vAlign w:val="center"/>
          </w:tcPr>
          <w:p>
            <w:pPr>
              <w:tabs>
                <w:tab w:val="left" w:pos="1080"/>
              </w:tabs>
              <w:snapToGrid w:val="0"/>
              <w:jc w:val="left"/>
              <w:rPr>
                <w:rFonts w:hint="eastAsia" w:ascii="宋体" w:hAnsi="宋体" w:eastAsia="宋体" w:cs="宋体"/>
                <w:sz w:val="24"/>
              </w:rPr>
            </w:pPr>
            <w:r>
              <w:rPr>
                <w:rFonts w:hint="eastAsia" w:ascii="宋体" w:hAnsi="宋体" w:eastAsia="宋体" w:cs="宋体"/>
                <w:sz w:val="24"/>
              </w:rPr>
              <w:t>供应商为企业（包括合伙企业）的，应提供有效的“营业执照”；</w:t>
            </w:r>
          </w:p>
          <w:p>
            <w:pPr>
              <w:tabs>
                <w:tab w:val="left" w:pos="1080"/>
              </w:tabs>
              <w:snapToGrid w:val="0"/>
              <w:jc w:val="left"/>
              <w:rPr>
                <w:rFonts w:hint="eastAsia" w:ascii="宋体" w:hAnsi="宋体" w:eastAsia="宋体" w:cs="宋体"/>
                <w:sz w:val="24"/>
              </w:rPr>
            </w:pPr>
            <w:r>
              <w:rPr>
                <w:rFonts w:hint="eastAsia" w:ascii="宋体" w:hAnsi="宋体" w:eastAsia="宋体" w:cs="宋体"/>
                <w:sz w:val="24"/>
              </w:rPr>
              <w:t>供应商为事业单位的，应提供有效的“事业单位法人证书”；</w:t>
            </w:r>
          </w:p>
          <w:p>
            <w:pPr>
              <w:tabs>
                <w:tab w:val="left" w:pos="1080"/>
              </w:tabs>
              <w:snapToGrid w:val="0"/>
              <w:jc w:val="left"/>
              <w:rPr>
                <w:rFonts w:hint="eastAsia" w:ascii="宋体" w:hAnsi="宋体" w:eastAsia="宋体" w:cs="宋体"/>
                <w:sz w:val="24"/>
              </w:rPr>
            </w:pPr>
            <w:r>
              <w:rPr>
                <w:rFonts w:hint="eastAsia" w:ascii="宋体" w:hAnsi="宋体" w:eastAsia="宋体" w:cs="宋体"/>
                <w:sz w:val="24"/>
              </w:rPr>
              <w:t>供应商是非企业机构的，应提供有效的“执业许可证”、“登记证书”等证明文件；</w:t>
            </w:r>
          </w:p>
          <w:p>
            <w:pPr>
              <w:tabs>
                <w:tab w:val="left" w:pos="1080"/>
              </w:tabs>
              <w:snapToGrid w:val="0"/>
              <w:jc w:val="left"/>
              <w:rPr>
                <w:rFonts w:hint="eastAsia" w:ascii="宋体" w:hAnsi="宋体" w:eastAsia="宋体" w:cs="宋体"/>
                <w:sz w:val="24"/>
              </w:rPr>
            </w:pPr>
            <w:r>
              <w:rPr>
                <w:rFonts w:hint="eastAsia" w:ascii="宋体" w:hAnsi="宋体" w:eastAsia="宋体" w:cs="宋体"/>
                <w:sz w:val="24"/>
              </w:rPr>
              <w:t>供应商是个体工商户的，应提供有效的“个体工商户营业执照”；</w:t>
            </w:r>
          </w:p>
          <w:p>
            <w:pPr>
              <w:tabs>
                <w:tab w:val="left" w:pos="1080"/>
              </w:tabs>
              <w:snapToGrid w:val="0"/>
              <w:jc w:val="left"/>
              <w:rPr>
                <w:rFonts w:hint="eastAsia" w:ascii="宋体" w:hAnsi="宋体" w:eastAsia="宋体" w:cs="宋体"/>
                <w:sz w:val="24"/>
              </w:rPr>
            </w:pPr>
            <w:r>
              <w:rPr>
                <w:rFonts w:hint="eastAsia" w:ascii="宋体" w:hAnsi="宋体" w:eastAsia="宋体" w:cs="宋体"/>
                <w:sz w:val="24"/>
              </w:rPr>
              <w:t>供应商是自然人的，应提供有效的自然人身份证明。</w:t>
            </w:r>
          </w:p>
          <w:p>
            <w:pPr>
              <w:tabs>
                <w:tab w:val="left" w:pos="1080"/>
              </w:tabs>
              <w:snapToGrid w:val="0"/>
              <w:jc w:val="left"/>
              <w:rPr>
                <w:rFonts w:hint="eastAsia" w:ascii="宋体" w:hAnsi="宋体" w:eastAsia="宋体" w:cs="宋体"/>
                <w:color w:val="000000"/>
                <w:sz w:val="24"/>
              </w:rPr>
            </w:pPr>
            <w:r>
              <w:rPr>
                <w:rFonts w:hint="eastAsia" w:ascii="宋体" w:hAnsi="宋体" w:eastAsia="宋体" w:cs="宋体"/>
                <w:color w:val="000000"/>
                <w:sz w:val="24"/>
              </w:rPr>
              <w:t>分支机构参加响应的，应提供该分支机构或其所属法人/其他组织的相应证明文件；同时还应提供其所属法人/其他组织出具的授权其参与本项目的授权书（格式自拟，须加盖其所属法人/其他组织的公章）；对于银行、保险、石油石化、电力、电信等行业的分支机构，可以提供上述授权，也可以提供其所属法人/其他组织的有关文件或制度等能够</w:t>
            </w:r>
          </w:p>
          <w:p>
            <w:pPr>
              <w:tabs>
                <w:tab w:val="left" w:pos="1080"/>
              </w:tabs>
              <w:snapToGrid w:val="0"/>
              <w:jc w:val="left"/>
              <w:rPr>
                <w:rFonts w:hint="eastAsia" w:ascii="宋体" w:hAnsi="宋体" w:eastAsia="宋体" w:cs="宋体"/>
                <w:color w:val="000000"/>
                <w:sz w:val="24"/>
              </w:rPr>
            </w:pPr>
            <w:r>
              <w:rPr>
                <w:rFonts w:hint="eastAsia" w:ascii="宋体" w:hAnsi="宋体" w:eastAsia="宋体" w:cs="宋体"/>
                <w:color w:val="000000"/>
                <w:sz w:val="24"/>
              </w:rPr>
              <w:t>证明授权其独立开展业务的证明材料。</w:t>
            </w:r>
          </w:p>
        </w:tc>
        <w:tc>
          <w:tcPr>
            <w:tcW w:w="976" w:type="pct"/>
            <w:vAlign w:val="center"/>
          </w:tcPr>
          <w:p>
            <w:pPr>
              <w:tabs>
                <w:tab w:val="left" w:pos="1080"/>
              </w:tabs>
              <w:snapToGrid w:val="0"/>
              <w:jc w:val="left"/>
              <w:rPr>
                <w:rFonts w:hint="eastAsia" w:ascii="宋体" w:hAnsi="宋体" w:eastAsia="宋体" w:cs="宋体"/>
                <w:sz w:val="24"/>
                <w:lang w:eastAsia="zh-CN"/>
              </w:rPr>
            </w:pPr>
            <w:r>
              <w:rPr>
                <w:rFonts w:hint="eastAsia" w:ascii="宋体" w:hAnsi="宋体" w:eastAsia="宋体" w:cs="宋体"/>
                <w:sz w:val="24"/>
                <w:lang w:eastAsia="zh-CN"/>
              </w:rPr>
              <w:t>提供证明文件的电子件或电子证照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hint="eastAsia" w:ascii="宋体" w:hAnsi="宋体" w:eastAsia="宋体" w:cs="宋体"/>
                <w:sz w:val="24"/>
              </w:rPr>
            </w:pPr>
            <w:r>
              <w:rPr>
                <w:rFonts w:hint="eastAsia" w:ascii="宋体" w:hAnsi="宋体" w:eastAsia="宋体" w:cs="宋体"/>
                <w:sz w:val="24"/>
              </w:rPr>
              <w:t>1-2</w:t>
            </w:r>
          </w:p>
        </w:tc>
        <w:tc>
          <w:tcPr>
            <w:tcW w:w="938" w:type="pct"/>
            <w:vAlign w:val="center"/>
          </w:tcPr>
          <w:p>
            <w:pPr>
              <w:tabs>
                <w:tab w:val="left" w:pos="1080"/>
              </w:tabs>
              <w:snapToGrid w:val="0"/>
              <w:jc w:val="center"/>
              <w:rPr>
                <w:rFonts w:hint="eastAsia" w:ascii="宋体" w:hAnsi="宋体" w:eastAsia="宋体" w:cs="宋体"/>
                <w:sz w:val="24"/>
              </w:rPr>
            </w:pPr>
            <w:r>
              <w:rPr>
                <w:rFonts w:hint="eastAsia" w:ascii="宋体" w:hAnsi="宋体" w:eastAsia="宋体" w:cs="宋体"/>
                <w:sz w:val="24"/>
              </w:rPr>
              <w:t>供应商资格声明书</w:t>
            </w:r>
          </w:p>
        </w:tc>
        <w:tc>
          <w:tcPr>
            <w:tcW w:w="2630" w:type="pct"/>
            <w:vAlign w:val="center"/>
          </w:tcPr>
          <w:p>
            <w:pPr>
              <w:tabs>
                <w:tab w:val="left" w:pos="1080"/>
              </w:tabs>
              <w:snapToGrid w:val="0"/>
              <w:jc w:val="left"/>
              <w:rPr>
                <w:rFonts w:hint="eastAsia" w:ascii="宋体" w:hAnsi="宋体" w:eastAsia="宋体" w:cs="宋体"/>
                <w:sz w:val="24"/>
              </w:rPr>
            </w:pPr>
            <w:r>
              <w:rPr>
                <w:rFonts w:hint="eastAsia" w:ascii="宋体" w:hAnsi="宋体" w:eastAsia="宋体" w:cs="宋体"/>
                <w:sz w:val="24"/>
              </w:rPr>
              <w:t>提供了符合竞争性磋商文件要求的《供应商资格声明书》。</w:t>
            </w:r>
          </w:p>
        </w:tc>
        <w:tc>
          <w:tcPr>
            <w:tcW w:w="976" w:type="pct"/>
            <w:vAlign w:val="center"/>
          </w:tcPr>
          <w:p>
            <w:pPr>
              <w:tabs>
                <w:tab w:val="left" w:pos="1080"/>
              </w:tabs>
              <w:snapToGrid w:val="0"/>
              <w:jc w:val="left"/>
              <w:rPr>
                <w:rFonts w:hint="eastAsia" w:ascii="宋体" w:hAnsi="宋体" w:eastAsia="宋体" w:cs="宋体"/>
                <w:sz w:val="24"/>
              </w:rPr>
            </w:pPr>
            <w:r>
              <w:rPr>
                <w:rFonts w:hint="eastAsia" w:ascii="宋体" w:hAnsi="宋体" w:eastAsia="宋体" w:cs="宋体"/>
                <w:sz w:val="24"/>
              </w:rPr>
              <w:t>格式见《响应文件格式》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hint="eastAsia" w:ascii="宋体" w:hAnsi="宋体" w:eastAsia="宋体" w:cs="宋体"/>
                <w:sz w:val="24"/>
              </w:rPr>
            </w:pPr>
            <w:r>
              <w:rPr>
                <w:rFonts w:hint="eastAsia" w:ascii="宋体" w:hAnsi="宋体" w:eastAsia="宋体" w:cs="宋体"/>
                <w:sz w:val="24"/>
              </w:rPr>
              <w:t>1-3</w:t>
            </w:r>
          </w:p>
        </w:tc>
        <w:tc>
          <w:tcPr>
            <w:tcW w:w="938" w:type="pct"/>
            <w:vAlign w:val="center"/>
          </w:tcPr>
          <w:p>
            <w:pPr>
              <w:tabs>
                <w:tab w:val="left" w:pos="1080"/>
              </w:tabs>
              <w:snapToGrid w:val="0"/>
              <w:jc w:val="center"/>
              <w:rPr>
                <w:rFonts w:hint="eastAsia" w:ascii="宋体" w:hAnsi="宋体" w:eastAsia="宋体" w:cs="宋体"/>
                <w:sz w:val="24"/>
              </w:rPr>
            </w:pPr>
            <w:r>
              <w:rPr>
                <w:rFonts w:hint="eastAsia" w:ascii="宋体" w:hAnsi="宋体" w:eastAsia="宋体" w:cs="宋体"/>
                <w:sz w:val="24"/>
              </w:rPr>
              <w:t>供应商信用记录</w:t>
            </w:r>
          </w:p>
        </w:tc>
        <w:tc>
          <w:tcPr>
            <w:tcW w:w="2630" w:type="pct"/>
            <w:vAlign w:val="center"/>
          </w:tcPr>
          <w:p>
            <w:pPr>
              <w:keepNext w:val="0"/>
              <w:keepLines w:val="0"/>
              <w:pageBreakBefore w:val="0"/>
              <w:widowControl w:val="0"/>
              <w:tabs>
                <w:tab w:val="left" w:pos="1080"/>
              </w:tabs>
              <w:kinsoku/>
              <w:wordWrap w:val="0"/>
              <w:overflowPunct/>
              <w:topLinePunct w:val="0"/>
              <w:autoSpaceDE/>
              <w:autoSpaceDN/>
              <w:bidi w:val="0"/>
              <w:adjustRightInd/>
              <w:snapToGrid w:val="0"/>
              <w:textAlignment w:val="auto"/>
              <w:rPr>
                <w:rFonts w:hint="eastAsia" w:ascii="宋体" w:hAnsi="宋体" w:eastAsia="宋体" w:cs="宋体"/>
                <w:sz w:val="24"/>
              </w:rPr>
            </w:pPr>
            <w:r>
              <w:rPr>
                <w:rFonts w:hint="eastAsia" w:ascii="宋体" w:hAnsi="宋体" w:eastAsia="宋体" w:cs="宋体"/>
                <w:sz w:val="24"/>
              </w:rPr>
              <w:t>查询渠道：信用中国网站和中国政府采购网</w:t>
            </w:r>
            <w:r>
              <w:rPr>
                <w:rFonts w:hint="eastAsia" w:ascii="宋体" w:hAnsi="宋体" w:eastAsia="宋体" w:cs="宋体"/>
                <w:sz w:val="24"/>
                <w:lang w:eastAsia="zh-CN"/>
              </w:rPr>
              <w:t>（</w:t>
            </w:r>
            <w:r>
              <w:rPr>
                <w:rFonts w:hint="eastAsia" w:ascii="宋体" w:hAnsi="宋体" w:eastAsia="宋体" w:cs="宋体"/>
                <w:sz w:val="24"/>
              </w:rPr>
              <w:t>www.creditchina.gov.cn、www.ccgp.gov.cn）；</w:t>
            </w:r>
          </w:p>
          <w:p>
            <w:pPr>
              <w:tabs>
                <w:tab w:val="left" w:pos="900"/>
                <w:tab w:val="left" w:pos="1980"/>
              </w:tabs>
              <w:snapToGrid w:val="0"/>
              <w:rPr>
                <w:rFonts w:hint="eastAsia" w:ascii="宋体" w:hAnsi="宋体" w:eastAsia="宋体" w:cs="宋体"/>
                <w:sz w:val="24"/>
              </w:rPr>
            </w:pPr>
            <w:r>
              <w:rPr>
                <w:rFonts w:hint="eastAsia" w:ascii="宋体" w:hAnsi="宋体" w:eastAsia="宋体" w:cs="宋体"/>
                <w:sz w:val="24"/>
              </w:rPr>
              <w:t>截止时点：</w:t>
            </w:r>
            <w:r>
              <w:rPr>
                <w:rFonts w:hint="eastAsia" w:ascii="宋体" w:hAnsi="宋体" w:eastAsia="宋体" w:cs="宋体"/>
                <w:color w:val="000000"/>
                <w:kern w:val="0"/>
                <w:sz w:val="24"/>
                <w:szCs w:val="20"/>
              </w:rPr>
              <w:t>首次响应文件提交截止时间以后</w:t>
            </w:r>
            <w:r>
              <w:rPr>
                <w:rFonts w:hint="eastAsia" w:ascii="宋体" w:hAnsi="宋体" w:eastAsia="宋体" w:cs="宋体"/>
                <w:sz w:val="24"/>
              </w:rPr>
              <w:t>、资格性检查阶段采购人或采购代理机构的实际查询时间为准；</w:t>
            </w:r>
          </w:p>
          <w:p>
            <w:pPr>
              <w:tabs>
                <w:tab w:val="left" w:pos="900"/>
                <w:tab w:val="left" w:pos="1980"/>
              </w:tabs>
              <w:snapToGrid w:val="0"/>
              <w:rPr>
                <w:rFonts w:hint="eastAsia" w:ascii="宋体" w:hAnsi="宋体" w:eastAsia="宋体" w:cs="宋体"/>
                <w:sz w:val="24"/>
              </w:rPr>
            </w:pPr>
            <w:r>
              <w:rPr>
                <w:rFonts w:hint="eastAsia" w:ascii="宋体" w:hAnsi="宋体" w:eastAsia="宋体" w:cs="宋体"/>
                <w:sz w:val="24"/>
              </w:rPr>
              <w:t>信用信息查询记录和证据留存具体方式：查询结果网页打印页作为查询记录和证据，与其他竞争性磋商文件一并保存；</w:t>
            </w:r>
          </w:p>
          <w:p>
            <w:pPr>
              <w:tabs>
                <w:tab w:val="left" w:pos="1080"/>
              </w:tabs>
              <w:snapToGrid w:val="0"/>
              <w:rPr>
                <w:rFonts w:hint="eastAsia" w:ascii="宋体" w:hAnsi="宋体" w:eastAsia="宋体" w:cs="宋体"/>
                <w:sz w:val="24"/>
              </w:rPr>
            </w:pPr>
            <w:r>
              <w:rPr>
                <w:rFonts w:hint="eastAsia" w:ascii="宋体" w:hAnsi="宋体" w:eastAsia="宋体" w:cs="宋体"/>
                <w:sz w:val="24"/>
              </w:rPr>
              <w:t>信用信息的使用原则：经认定的被列入失信被执行人、重大税收违法案件当事人名单、政府采购严重违法失信行为记录名单的供应商，其</w:t>
            </w:r>
            <w:r>
              <w:rPr>
                <w:rFonts w:hint="eastAsia" w:ascii="宋体" w:hAnsi="宋体" w:eastAsia="宋体" w:cs="宋体"/>
                <w:b/>
                <w:sz w:val="24"/>
              </w:rPr>
              <w:t>响应无效</w:t>
            </w:r>
            <w:r>
              <w:rPr>
                <w:rFonts w:hint="eastAsia" w:ascii="宋体" w:hAnsi="宋体" w:eastAsia="宋体" w:cs="宋体"/>
                <w:sz w:val="24"/>
              </w:rPr>
              <w:t>。联合体形式磋商的，联合体成员存在不良信用记录，视同联合体存在不良信用记录。</w:t>
            </w:r>
          </w:p>
        </w:tc>
        <w:tc>
          <w:tcPr>
            <w:tcW w:w="976" w:type="pct"/>
            <w:vAlign w:val="center"/>
          </w:tcPr>
          <w:p>
            <w:pPr>
              <w:tabs>
                <w:tab w:val="left" w:pos="1080"/>
              </w:tabs>
              <w:snapToGrid w:val="0"/>
              <w:rPr>
                <w:rFonts w:hint="eastAsia" w:ascii="宋体" w:hAnsi="宋体" w:eastAsia="宋体" w:cs="宋体"/>
                <w:sz w:val="24"/>
              </w:rPr>
            </w:pPr>
            <w:r>
              <w:rPr>
                <w:rFonts w:hint="eastAsia" w:ascii="宋体" w:hAnsi="宋体" w:eastAsia="宋体" w:cs="宋体"/>
                <w:sz w:val="24"/>
              </w:rPr>
              <w:t>无须供应商提供，由采购人或采购代理机构查询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25" w:hRule="atLeast"/>
        </w:trPr>
        <w:tc>
          <w:tcPr>
            <w:tcW w:w="455" w:type="pct"/>
            <w:vAlign w:val="center"/>
          </w:tcPr>
          <w:p>
            <w:pPr>
              <w:pStyle w:val="256"/>
              <w:ind w:right="-26" w:rightChars="0"/>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1-4</w:t>
            </w:r>
          </w:p>
        </w:tc>
        <w:tc>
          <w:tcPr>
            <w:tcW w:w="938" w:type="pct"/>
            <w:vAlign w:val="top"/>
          </w:tcPr>
          <w:p>
            <w:pPr>
              <w:pStyle w:val="256"/>
              <w:spacing w:before="2" w:line="242" w:lineRule="auto"/>
              <w:ind w:left="0" w:leftChars="0" w:right="14" w:rightChars="0" w:firstLine="0" w:firstLineChars="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法律、行政法规规定的其他条件</w:t>
            </w:r>
          </w:p>
        </w:tc>
        <w:tc>
          <w:tcPr>
            <w:tcW w:w="2630" w:type="pct"/>
            <w:vAlign w:val="top"/>
          </w:tcPr>
          <w:p>
            <w:pPr>
              <w:pStyle w:val="256"/>
              <w:spacing w:before="3"/>
              <w:rPr>
                <w:rFonts w:hint="eastAsia" w:ascii="宋体" w:hAnsi="宋体" w:eastAsia="宋体" w:cs="宋体"/>
                <w:kern w:val="2"/>
                <w:sz w:val="24"/>
                <w:szCs w:val="24"/>
                <w:lang w:val="en-US" w:eastAsia="zh-CN" w:bidi="ar-SA"/>
              </w:rPr>
            </w:pPr>
          </w:p>
          <w:p>
            <w:pPr>
              <w:pStyle w:val="256"/>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法律、行政法规规定的其他条件</w:t>
            </w:r>
          </w:p>
        </w:tc>
        <w:tc>
          <w:tcPr>
            <w:tcW w:w="976" w:type="pct"/>
            <w:vAlign w:val="center"/>
          </w:tcPr>
          <w:p>
            <w:pPr>
              <w:tabs>
                <w:tab w:val="left" w:pos="1080"/>
              </w:tabs>
              <w:snapToGrid w:val="0"/>
              <w:jc w:val="center"/>
              <w:rPr>
                <w:rFonts w:hint="eastAsia" w:ascii="宋体" w:hAnsi="宋体" w:eastAsia="宋体" w:cs="宋体"/>
                <w:sz w:val="24"/>
                <w:lang w:val="en-US" w:eastAsia="zh-CN"/>
              </w:rPr>
            </w:pPr>
            <w:r>
              <w:rPr>
                <w:rFonts w:hint="eastAsia" w:ascii="宋体" w:hAnsi="宋体" w:cs="宋体"/>
                <w:sz w:val="24"/>
                <w:lang w:val="en-US"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118" w:hRule="atLeast"/>
        </w:trPr>
        <w:tc>
          <w:tcPr>
            <w:tcW w:w="455" w:type="pct"/>
            <w:vAlign w:val="center"/>
          </w:tcPr>
          <w:p>
            <w:pPr>
              <w:tabs>
                <w:tab w:val="left" w:pos="1080"/>
              </w:tabs>
              <w:snapToGrid w:val="0"/>
              <w:jc w:val="center"/>
              <w:rPr>
                <w:rFonts w:hint="eastAsia" w:ascii="宋体" w:hAnsi="宋体" w:eastAsia="宋体" w:cs="宋体"/>
                <w:sz w:val="24"/>
              </w:rPr>
            </w:pPr>
            <w:r>
              <w:rPr>
                <w:rFonts w:hint="eastAsia" w:ascii="宋体" w:hAnsi="宋体" w:eastAsia="宋体" w:cs="宋体"/>
                <w:sz w:val="24"/>
              </w:rPr>
              <w:t>2</w:t>
            </w:r>
          </w:p>
        </w:tc>
        <w:tc>
          <w:tcPr>
            <w:tcW w:w="938" w:type="pct"/>
            <w:vAlign w:val="center"/>
          </w:tcPr>
          <w:p>
            <w:pPr>
              <w:tabs>
                <w:tab w:val="left" w:pos="1080"/>
              </w:tabs>
              <w:snapToGrid w:val="0"/>
              <w:jc w:val="center"/>
              <w:rPr>
                <w:rFonts w:hint="eastAsia" w:ascii="宋体" w:hAnsi="宋体" w:eastAsia="宋体" w:cs="宋体"/>
                <w:sz w:val="24"/>
              </w:rPr>
            </w:pPr>
            <w:r>
              <w:rPr>
                <w:rFonts w:hint="eastAsia" w:ascii="宋体" w:hAnsi="宋体" w:eastAsia="宋体" w:cs="宋体"/>
                <w:sz w:val="24"/>
              </w:rPr>
              <w:t>落实政府采购政策需满足的资格要求</w:t>
            </w:r>
          </w:p>
        </w:tc>
        <w:tc>
          <w:tcPr>
            <w:tcW w:w="2630" w:type="pct"/>
            <w:vAlign w:val="center"/>
          </w:tcPr>
          <w:p>
            <w:pPr>
              <w:tabs>
                <w:tab w:val="left" w:pos="1080"/>
              </w:tabs>
              <w:snapToGrid w:val="0"/>
              <w:jc w:val="left"/>
              <w:rPr>
                <w:rFonts w:hint="eastAsia" w:ascii="宋体" w:hAnsi="宋体" w:eastAsia="宋体" w:cs="宋体"/>
                <w:sz w:val="24"/>
              </w:rPr>
            </w:pPr>
            <w:r>
              <w:rPr>
                <w:rFonts w:hint="eastAsia" w:ascii="宋体" w:hAnsi="宋体" w:eastAsia="宋体" w:cs="宋体"/>
                <w:sz w:val="24"/>
              </w:rPr>
              <w:t>具体要求见第一章《采购邀请》</w:t>
            </w:r>
          </w:p>
        </w:tc>
        <w:tc>
          <w:tcPr>
            <w:tcW w:w="976" w:type="pct"/>
            <w:vAlign w:val="center"/>
          </w:tcPr>
          <w:p>
            <w:pPr>
              <w:tabs>
                <w:tab w:val="left" w:pos="1080"/>
              </w:tabs>
              <w:snapToGrid w:val="0"/>
              <w:jc w:val="left"/>
              <w:rPr>
                <w:rFonts w:hint="eastAsia" w:ascii="宋体" w:hAnsi="宋体" w:eastAsia="宋体" w:cs="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8" w:hRule="atLeast"/>
        </w:trPr>
        <w:tc>
          <w:tcPr>
            <w:tcW w:w="455" w:type="pct"/>
            <w:vAlign w:val="center"/>
          </w:tcPr>
          <w:p>
            <w:pPr>
              <w:tabs>
                <w:tab w:val="left" w:pos="1080"/>
              </w:tabs>
              <w:snapToGrid w:val="0"/>
              <w:jc w:val="center"/>
              <w:rPr>
                <w:rFonts w:hint="default" w:ascii="宋体" w:hAnsi="宋体" w:eastAsia="宋体" w:cs="宋体"/>
                <w:sz w:val="24"/>
                <w:lang w:val="en-US" w:eastAsia="zh-CN"/>
              </w:rPr>
            </w:pPr>
            <w:r>
              <w:rPr>
                <w:rFonts w:hint="eastAsia" w:ascii="宋体" w:hAnsi="宋体" w:cs="宋体"/>
                <w:sz w:val="24"/>
                <w:lang w:val="en-US" w:eastAsia="zh-CN"/>
              </w:rPr>
              <w:t>2-1</w:t>
            </w:r>
          </w:p>
        </w:tc>
        <w:tc>
          <w:tcPr>
            <w:tcW w:w="938" w:type="pct"/>
            <w:vAlign w:val="center"/>
          </w:tcPr>
          <w:p>
            <w:pPr>
              <w:pStyle w:val="256"/>
              <w:spacing w:before="79"/>
              <w:ind w:left="0" w:leftChars="0" w:right="14" w:rightChars="0" w:firstLine="0" w:firstLineChars="0"/>
              <w:jc w:val="both"/>
              <w:rPr>
                <w:rFonts w:hint="eastAsia" w:ascii="宋体" w:hAnsi="宋体" w:eastAsia="宋体" w:cs="宋体"/>
                <w:sz w:val="24"/>
              </w:rPr>
            </w:pPr>
            <w:r>
              <w:rPr>
                <w:sz w:val="24"/>
              </w:rPr>
              <w:t>中小企业政策</w:t>
            </w:r>
          </w:p>
        </w:tc>
        <w:tc>
          <w:tcPr>
            <w:tcW w:w="2630" w:type="pct"/>
            <w:vAlign w:val="center"/>
          </w:tcPr>
          <w:p>
            <w:pPr>
              <w:pStyle w:val="256"/>
              <w:spacing w:before="79"/>
              <w:ind w:left="107" w:leftChars="0"/>
              <w:jc w:val="both"/>
              <w:rPr>
                <w:rFonts w:hint="eastAsia" w:ascii="宋体" w:hAnsi="宋体" w:eastAsia="宋体" w:cs="宋体"/>
                <w:sz w:val="24"/>
              </w:rPr>
            </w:pPr>
            <w:r>
              <w:rPr>
                <w:sz w:val="24"/>
              </w:rPr>
              <w:t>具体要求见第一章《采购邀请》</w:t>
            </w:r>
          </w:p>
        </w:tc>
        <w:tc>
          <w:tcPr>
            <w:tcW w:w="976" w:type="pct"/>
            <w:vAlign w:val="center"/>
          </w:tcPr>
          <w:p>
            <w:pPr>
              <w:tabs>
                <w:tab w:val="left" w:pos="1080"/>
              </w:tabs>
              <w:snapToGrid w:val="0"/>
              <w:jc w:val="left"/>
              <w:rPr>
                <w:rFonts w:hint="eastAsia" w:ascii="宋体" w:hAnsi="宋体" w:eastAsia="宋体" w:cs="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97" w:hRule="atLeast"/>
        </w:trPr>
        <w:tc>
          <w:tcPr>
            <w:tcW w:w="455" w:type="pct"/>
            <w:vAlign w:val="center"/>
          </w:tcPr>
          <w:p>
            <w:pPr>
              <w:tabs>
                <w:tab w:val="left" w:pos="1080"/>
              </w:tabs>
              <w:snapToGrid w:val="0"/>
              <w:jc w:val="center"/>
              <w:rPr>
                <w:rFonts w:hint="default" w:ascii="宋体" w:hAnsi="宋体" w:eastAsia="宋体" w:cs="宋体"/>
                <w:sz w:val="24"/>
                <w:lang w:val="en-US" w:eastAsia="zh-CN"/>
              </w:rPr>
            </w:pPr>
            <w:r>
              <w:rPr>
                <w:rFonts w:hint="eastAsia" w:ascii="宋体" w:hAnsi="宋体" w:eastAsia="宋体" w:cs="宋体"/>
                <w:sz w:val="24"/>
              </w:rPr>
              <w:t>2-1</w:t>
            </w:r>
            <w:r>
              <w:rPr>
                <w:rFonts w:hint="eastAsia" w:ascii="宋体" w:hAnsi="宋体" w:cs="宋体"/>
                <w:sz w:val="24"/>
                <w:lang w:val="en-US" w:eastAsia="zh-CN"/>
              </w:rPr>
              <w:t>-1</w:t>
            </w:r>
          </w:p>
        </w:tc>
        <w:tc>
          <w:tcPr>
            <w:tcW w:w="938" w:type="pct"/>
            <w:vAlign w:val="center"/>
          </w:tcPr>
          <w:p>
            <w:pPr>
              <w:tabs>
                <w:tab w:val="left" w:pos="1080"/>
              </w:tabs>
              <w:snapToGrid w:val="0"/>
              <w:jc w:val="center"/>
              <w:rPr>
                <w:rFonts w:hint="eastAsia" w:ascii="宋体" w:hAnsi="宋体" w:eastAsia="宋体" w:cs="宋体"/>
                <w:sz w:val="24"/>
              </w:rPr>
            </w:pPr>
            <w:r>
              <w:rPr>
                <w:sz w:val="24"/>
              </w:rPr>
              <w:t>中小企业证明文件</w:t>
            </w:r>
          </w:p>
        </w:tc>
        <w:tc>
          <w:tcPr>
            <w:tcW w:w="2630" w:type="pct"/>
            <w:vAlign w:val="center"/>
          </w:tcPr>
          <w:p>
            <w:pPr>
              <w:tabs>
                <w:tab w:val="left" w:pos="1080"/>
              </w:tabs>
              <w:snapToGrid w:val="0"/>
              <w:ind w:left="0" w:leftChars="0" w:firstLine="0" w:firstLineChars="0"/>
              <w:jc w:val="left"/>
              <w:rPr>
                <w:rFonts w:hint="eastAsia" w:ascii="宋体" w:hAnsi="宋体" w:eastAsia="宋体" w:cs="宋体"/>
                <w:sz w:val="24"/>
              </w:rPr>
            </w:pPr>
            <w:r>
              <w:rPr>
                <w:rFonts w:hint="eastAsia" w:ascii="宋体" w:hAnsi="宋体" w:eastAsia="宋体" w:cs="宋体"/>
                <w:sz w:val="24"/>
              </w:rPr>
              <w:t xml:space="preserve">当本项目（包）涉及预留份额专门面向中小企业采购，提供如下资料： </w:t>
            </w:r>
          </w:p>
          <w:p>
            <w:pPr>
              <w:tabs>
                <w:tab w:val="left" w:pos="1080"/>
              </w:tabs>
              <w:snapToGrid w:val="0"/>
              <w:ind w:left="0" w:leftChars="0" w:firstLine="0" w:firstLineChars="0"/>
              <w:jc w:val="left"/>
              <w:rPr>
                <w:rFonts w:hint="eastAsia" w:ascii="宋体" w:hAnsi="宋体" w:eastAsia="宋体" w:cs="宋体"/>
                <w:sz w:val="24"/>
              </w:rPr>
            </w:pPr>
            <w:r>
              <w:rPr>
                <w:rFonts w:hint="eastAsia" w:ascii="宋体" w:hAnsi="宋体" w:eastAsia="宋体" w:cs="宋体"/>
                <w:sz w:val="24"/>
              </w:rPr>
              <w:t>1、供应商单独响应的，应提供《中小企业声明函》或《残疾人福利性单位声明函》或由省级以上监狱管理局、戒毒管理局（含新疆生产建设兵团）出具的属于监狱企业的证明文件。</w:t>
            </w:r>
          </w:p>
          <w:p>
            <w:pPr>
              <w:pStyle w:val="256"/>
              <w:spacing w:before="2" w:line="242" w:lineRule="auto"/>
              <w:ind w:left="0" w:leftChars="0" w:right="111" w:firstLine="0" w:firstLineChars="0"/>
              <w:rPr>
                <w:rFonts w:hint="eastAsia" w:ascii="宋体" w:hAnsi="宋体" w:eastAsia="宋体" w:cs="宋体"/>
                <w:sz w:val="24"/>
              </w:rPr>
            </w:pPr>
            <w:r>
              <w:rPr>
                <w:rFonts w:hint="eastAsia" w:ascii="宋体" w:hAnsi="宋体" w:eastAsia="宋体" w:cs="宋体"/>
                <w:sz w:val="24"/>
              </w:rPr>
              <w:t>2、</w:t>
            </w:r>
            <w:r>
              <w:rPr>
                <w:sz w:val="24"/>
              </w:rPr>
              <w:t>如磋商文件要求以联合体形式参加或者要求合同分包的，且供应商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采购文件关于预留份额的要求</w:t>
            </w:r>
            <w:r>
              <w:rPr>
                <w:rFonts w:hint="eastAsia" w:ascii="宋体" w:hAnsi="宋体" w:eastAsia="宋体" w:cs="宋体"/>
                <w:sz w:val="24"/>
              </w:rPr>
              <w:t>。</w:t>
            </w:r>
          </w:p>
        </w:tc>
        <w:tc>
          <w:tcPr>
            <w:tcW w:w="976" w:type="pct"/>
            <w:vAlign w:val="center"/>
          </w:tcPr>
          <w:p>
            <w:pPr>
              <w:tabs>
                <w:tab w:val="left" w:pos="1080"/>
              </w:tabs>
              <w:snapToGrid w:val="0"/>
              <w:jc w:val="left"/>
              <w:rPr>
                <w:rFonts w:hint="eastAsia" w:ascii="宋体" w:hAnsi="宋体" w:eastAsia="宋体" w:cs="宋体"/>
                <w:sz w:val="24"/>
              </w:rPr>
            </w:pPr>
            <w:r>
              <w:rPr>
                <w:rFonts w:hint="eastAsia" w:ascii="宋体" w:hAnsi="宋体" w:eastAsia="宋体" w:cs="宋体"/>
                <w:sz w:val="24"/>
              </w:rPr>
              <w:t>格式见《响应文件格式》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hint="eastAsia" w:ascii="宋体" w:hAnsi="宋体" w:eastAsia="宋体" w:cs="宋体"/>
                <w:sz w:val="24"/>
                <w:lang w:eastAsia="zh-CN"/>
              </w:rPr>
            </w:pPr>
            <w:r>
              <w:rPr>
                <w:rFonts w:hint="eastAsia" w:ascii="宋体" w:hAnsi="宋体" w:eastAsia="宋体" w:cs="宋体"/>
                <w:sz w:val="24"/>
              </w:rPr>
              <w:t>2-1-</w:t>
            </w:r>
            <w:r>
              <w:rPr>
                <w:rFonts w:hint="eastAsia" w:ascii="宋体" w:hAnsi="宋体" w:cs="宋体"/>
                <w:sz w:val="24"/>
                <w:lang w:val="en-US" w:eastAsia="zh-CN"/>
              </w:rPr>
              <w:t>2</w:t>
            </w:r>
          </w:p>
        </w:tc>
        <w:tc>
          <w:tcPr>
            <w:tcW w:w="938" w:type="pct"/>
            <w:vAlign w:val="center"/>
          </w:tcPr>
          <w:p>
            <w:pPr>
              <w:tabs>
                <w:tab w:val="left" w:pos="1080"/>
              </w:tabs>
              <w:snapToGrid w:val="0"/>
              <w:jc w:val="center"/>
              <w:rPr>
                <w:rFonts w:hint="eastAsia" w:ascii="宋体" w:hAnsi="宋体" w:eastAsia="宋体" w:cs="宋体"/>
                <w:sz w:val="24"/>
                <w:lang w:eastAsia="zh-CN"/>
              </w:rPr>
            </w:pPr>
            <w:r>
              <w:rPr>
                <w:rFonts w:hint="eastAsia" w:ascii="宋体" w:hAnsi="宋体" w:eastAsia="宋体" w:cs="宋体"/>
                <w:sz w:val="24"/>
              </w:rPr>
              <w:t>拟分包情况说明及分包意向协议</w:t>
            </w:r>
            <w:r>
              <w:rPr>
                <w:rFonts w:hint="eastAsia" w:ascii="宋体" w:hAnsi="宋体" w:cs="宋体"/>
                <w:sz w:val="24"/>
                <w:lang w:eastAsia="zh-CN"/>
              </w:rPr>
              <w:t>（</w:t>
            </w:r>
            <w:r>
              <w:rPr>
                <w:rFonts w:hint="eastAsia" w:ascii="宋体" w:hAnsi="宋体" w:cs="宋体"/>
                <w:sz w:val="24"/>
                <w:lang w:val="en-US" w:eastAsia="zh-CN"/>
              </w:rPr>
              <w:t>本项目不适用</w:t>
            </w:r>
            <w:r>
              <w:rPr>
                <w:rFonts w:hint="eastAsia" w:ascii="宋体" w:hAnsi="宋体" w:cs="宋体"/>
                <w:sz w:val="24"/>
                <w:lang w:eastAsia="zh-CN"/>
              </w:rPr>
              <w:t>）</w:t>
            </w:r>
          </w:p>
        </w:tc>
        <w:tc>
          <w:tcPr>
            <w:tcW w:w="2630" w:type="pct"/>
            <w:vAlign w:val="center"/>
          </w:tcPr>
          <w:p>
            <w:pPr>
              <w:tabs>
                <w:tab w:val="left" w:pos="1080"/>
              </w:tabs>
              <w:snapToGrid w:val="0"/>
              <w:jc w:val="left"/>
              <w:rPr>
                <w:rFonts w:hint="eastAsia" w:ascii="宋体" w:hAnsi="宋体" w:eastAsia="宋体" w:cs="宋体"/>
                <w:sz w:val="24"/>
              </w:rPr>
            </w:pPr>
            <w:r>
              <w:rPr>
                <w:rFonts w:hint="eastAsia" w:ascii="宋体" w:hAnsi="宋体" w:eastAsia="宋体" w:cs="宋体"/>
                <w:sz w:val="24"/>
              </w:rPr>
              <w:t>如本项目（包）要求通过分包措施预留部分采购份额面向中小企业采购、且供应商因落实政府采购政策拟进行分包的，必须提供；否则无须提供。</w:t>
            </w:r>
          </w:p>
          <w:p>
            <w:pPr>
              <w:tabs>
                <w:tab w:val="left" w:pos="1080"/>
              </w:tabs>
              <w:snapToGrid w:val="0"/>
              <w:jc w:val="left"/>
              <w:rPr>
                <w:rFonts w:hint="eastAsia" w:ascii="宋体" w:hAnsi="宋体" w:eastAsia="宋体" w:cs="宋体"/>
                <w:b/>
                <w:sz w:val="24"/>
              </w:rPr>
            </w:pPr>
            <w:r>
              <w:rPr>
                <w:rFonts w:hint="eastAsia" w:ascii="宋体" w:hAnsi="宋体" w:eastAsia="宋体" w:cs="宋体"/>
                <w:sz w:val="24"/>
              </w:rPr>
              <w:t>对于预留份额专门面向中小企业采购的项目（包），组成联合体或者接受分包合同的中小企业与联合体内其他企业、分包企业之间不得存在直接控股、管理关系。</w:t>
            </w:r>
          </w:p>
        </w:tc>
        <w:tc>
          <w:tcPr>
            <w:tcW w:w="976" w:type="pct"/>
            <w:vAlign w:val="center"/>
          </w:tcPr>
          <w:p>
            <w:pPr>
              <w:tabs>
                <w:tab w:val="left" w:pos="1080"/>
              </w:tabs>
              <w:snapToGrid w:val="0"/>
              <w:jc w:val="left"/>
              <w:rPr>
                <w:rFonts w:hint="eastAsia" w:ascii="宋体" w:hAnsi="宋体" w:eastAsia="宋体" w:cs="宋体"/>
                <w:sz w:val="24"/>
              </w:rPr>
            </w:pPr>
            <w:r>
              <w:rPr>
                <w:rFonts w:hint="eastAsia" w:ascii="宋体" w:hAnsi="宋体" w:eastAsia="宋体" w:cs="宋体"/>
                <w:sz w:val="24"/>
              </w:rPr>
              <w:t>格式见《响应文件格式》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148" w:hRule="atLeast"/>
        </w:trPr>
        <w:tc>
          <w:tcPr>
            <w:tcW w:w="455" w:type="pct"/>
            <w:vAlign w:val="center"/>
          </w:tcPr>
          <w:p>
            <w:pPr>
              <w:tabs>
                <w:tab w:val="left" w:pos="1080"/>
              </w:tabs>
              <w:snapToGrid w:val="0"/>
              <w:jc w:val="center"/>
              <w:rPr>
                <w:rFonts w:hint="eastAsia" w:ascii="宋体" w:hAnsi="宋体" w:eastAsia="宋体" w:cs="宋体"/>
                <w:sz w:val="24"/>
              </w:rPr>
            </w:pPr>
            <w:r>
              <w:rPr>
                <w:rFonts w:hint="eastAsia" w:ascii="宋体" w:hAnsi="宋体" w:eastAsia="宋体" w:cs="宋体"/>
                <w:sz w:val="24"/>
              </w:rPr>
              <w:t>2-2</w:t>
            </w:r>
          </w:p>
        </w:tc>
        <w:tc>
          <w:tcPr>
            <w:tcW w:w="938" w:type="pct"/>
            <w:vAlign w:val="center"/>
          </w:tcPr>
          <w:p>
            <w:pPr>
              <w:tabs>
                <w:tab w:val="left" w:pos="1080"/>
              </w:tabs>
              <w:snapToGrid w:val="0"/>
              <w:jc w:val="center"/>
              <w:rPr>
                <w:rFonts w:hint="eastAsia" w:ascii="宋体" w:hAnsi="宋体" w:eastAsia="宋体" w:cs="宋体"/>
                <w:sz w:val="24"/>
              </w:rPr>
            </w:pPr>
            <w:r>
              <w:rPr>
                <w:rFonts w:hint="eastAsia" w:ascii="宋体" w:hAnsi="宋体" w:eastAsia="宋体" w:cs="宋体"/>
                <w:sz w:val="24"/>
              </w:rPr>
              <w:t>其它落实政府采购政策的资格要求</w:t>
            </w:r>
          </w:p>
        </w:tc>
        <w:tc>
          <w:tcPr>
            <w:tcW w:w="2630" w:type="pct"/>
            <w:vAlign w:val="center"/>
          </w:tcPr>
          <w:p>
            <w:pPr>
              <w:tabs>
                <w:tab w:val="left" w:pos="1080"/>
              </w:tabs>
              <w:snapToGrid w:val="0"/>
              <w:jc w:val="left"/>
              <w:rPr>
                <w:rFonts w:hint="eastAsia" w:ascii="宋体" w:hAnsi="宋体" w:eastAsia="宋体" w:cs="宋体"/>
                <w:sz w:val="24"/>
              </w:rPr>
            </w:pPr>
            <w:r>
              <w:rPr>
                <w:rFonts w:hint="eastAsia" w:ascii="宋体" w:hAnsi="宋体" w:eastAsia="宋体" w:cs="宋体"/>
                <w:sz w:val="24"/>
              </w:rPr>
              <w:t>如有，见第一章《采购邀请》</w:t>
            </w:r>
          </w:p>
        </w:tc>
        <w:tc>
          <w:tcPr>
            <w:tcW w:w="976" w:type="pct"/>
            <w:vAlign w:val="center"/>
          </w:tcPr>
          <w:p>
            <w:pPr>
              <w:tabs>
                <w:tab w:val="left" w:pos="1080"/>
              </w:tabs>
              <w:snapToGrid w:val="0"/>
              <w:jc w:val="left"/>
              <w:rPr>
                <w:rFonts w:hint="eastAsia" w:ascii="宋体" w:hAnsi="宋体" w:eastAsia="宋体" w:cs="宋体"/>
                <w:sz w:val="24"/>
                <w:lang w:eastAsia="zh-CN"/>
              </w:rPr>
            </w:pPr>
            <w:r>
              <w:rPr>
                <w:rFonts w:hint="eastAsia" w:ascii="宋体" w:hAnsi="宋体" w:eastAsia="宋体" w:cs="宋体"/>
                <w:sz w:val="24"/>
                <w:lang w:eastAsia="zh-CN"/>
              </w:rPr>
              <w:t>提供证明文件的电子件或电子证照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62" w:hRule="atLeast"/>
        </w:trPr>
        <w:tc>
          <w:tcPr>
            <w:tcW w:w="455" w:type="pct"/>
            <w:vAlign w:val="center"/>
          </w:tcPr>
          <w:p>
            <w:pPr>
              <w:tabs>
                <w:tab w:val="left" w:pos="1080"/>
              </w:tabs>
              <w:snapToGrid w:val="0"/>
              <w:jc w:val="center"/>
              <w:rPr>
                <w:rFonts w:hint="eastAsia" w:ascii="宋体" w:hAnsi="宋体" w:eastAsia="宋体" w:cs="宋体"/>
                <w:sz w:val="24"/>
              </w:rPr>
            </w:pPr>
            <w:r>
              <w:rPr>
                <w:rFonts w:hint="eastAsia" w:ascii="宋体" w:hAnsi="宋体" w:eastAsia="宋体" w:cs="宋体"/>
                <w:sz w:val="24"/>
              </w:rPr>
              <w:t>3</w:t>
            </w:r>
          </w:p>
        </w:tc>
        <w:tc>
          <w:tcPr>
            <w:tcW w:w="938" w:type="pct"/>
            <w:vAlign w:val="center"/>
          </w:tcPr>
          <w:p>
            <w:pPr>
              <w:tabs>
                <w:tab w:val="left" w:pos="1080"/>
              </w:tabs>
              <w:snapToGrid w:val="0"/>
              <w:jc w:val="center"/>
              <w:rPr>
                <w:rFonts w:hint="eastAsia" w:ascii="宋体" w:hAnsi="宋体" w:eastAsia="宋体" w:cs="宋体"/>
                <w:sz w:val="24"/>
              </w:rPr>
            </w:pPr>
            <w:r>
              <w:rPr>
                <w:rFonts w:hint="eastAsia" w:ascii="宋体" w:hAnsi="宋体" w:eastAsia="宋体" w:cs="宋体"/>
                <w:sz w:val="24"/>
              </w:rPr>
              <w:t>本项目的特定资格要求</w:t>
            </w:r>
          </w:p>
        </w:tc>
        <w:tc>
          <w:tcPr>
            <w:tcW w:w="2630" w:type="pct"/>
            <w:vAlign w:val="center"/>
          </w:tcPr>
          <w:p>
            <w:pPr>
              <w:tabs>
                <w:tab w:val="left" w:pos="1080"/>
              </w:tabs>
              <w:snapToGrid w:val="0"/>
              <w:jc w:val="left"/>
              <w:rPr>
                <w:rFonts w:hint="eastAsia" w:ascii="宋体" w:hAnsi="宋体" w:eastAsia="宋体" w:cs="宋体"/>
                <w:sz w:val="24"/>
              </w:rPr>
            </w:pPr>
            <w:r>
              <w:rPr>
                <w:rFonts w:hint="eastAsia" w:ascii="宋体" w:hAnsi="宋体" w:eastAsia="宋体" w:cs="宋体"/>
                <w:sz w:val="24"/>
              </w:rPr>
              <w:t>如有，见第一章《采购邀请》</w:t>
            </w:r>
          </w:p>
        </w:tc>
        <w:tc>
          <w:tcPr>
            <w:tcW w:w="976" w:type="pct"/>
            <w:vAlign w:val="center"/>
          </w:tcPr>
          <w:p>
            <w:pPr>
              <w:tabs>
                <w:tab w:val="left" w:pos="1080"/>
              </w:tabs>
              <w:snapToGrid w:val="0"/>
              <w:jc w:val="left"/>
              <w:rPr>
                <w:rFonts w:hint="eastAsia" w:ascii="宋体" w:hAnsi="宋体" w:eastAsia="宋体" w:cs="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447" w:hRule="atLeast"/>
        </w:trPr>
        <w:tc>
          <w:tcPr>
            <w:tcW w:w="455" w:type="pct"/>
            <w:vAlign w:val="center"/>
          </w:tcPr>
          <w:p>
            <w:pPr>
              <w:tabs>
                <w:tab w:val="left" w:pos="1080"/>
              </w:tabs>
              <w:snapToGrid w:val="0"/>
              <w:jc w:val="center"/>
              <w:rPr>
                <w:rFonts w:hint="eastAsia" w:ascii="宋体" w:hAnsi="宋体" w:eastAsia="宋体" w:cs="宋体"/>
                <w:sz w:val="24"/>
              </w:rPr>
            </w:pPr>
            <w:r>
              <w:rPr>
                <w:rFonts w:hint="eastAsia" w:ascii="宋体" w:hAnsi="宋体" w:eastAsia="宋体" w:cs="宋体"/>
                <w:sz w:val="24"/>
              </w:rPr>
              <w:t>3-1</w:t>
            </w:r>
          </w:p>
        </w:tc>
        <w:tc>
          <w:tcPr>
            <w:tcW w:w="938" w:type="pct"/>
            <w:vAlign w:val="center"/>
          </w:tcPr>
          <w:p>
            <w:pPr>
              <w:tabs>
                <w:tab w:val="left" w:pos="1080"/>
              </w:tabs>
              <w:snapToGrid w:val="0"/>
              <w:jc w:val="center"/>
              <w:rPr>
                <w:rFonts w:hint="eastAsia" w:ascii="宋体" w:hAnsi="宋体" w:eastAsia="宋体" w:cs="宋体"/>
                <w:sz w:val="24"/>
                <w:lang w:eastAsia="zh-CN"/>
              </w:rPr>
            </w:pPr>
            <w:r>
              <w:rPr>
                <w:rFonts w:hint="eastAsia" w:ascii="宋体" w:hAnsi="宋体" w:eastAsia="宋体" w:cs="宋体"/>
                <w:sz w:val="24"/>
              </w:rPr>
              <w:t>本项目对于联合体的要求</w:t>
            </w:r>
            <w:r>
              <w:rPr>
                <w:rFonts w:hint="eastAsia" w:ascii="宋体" w:hAnsi="宋体" w:cs="宋体"/>
                <w:sz w:val="24"/>
                <w:lang w:eastAsia="zh-CN"/>
              </w:rPr>
              <w:t>（</w:t>
            </w:r>
            <w:r>
              <w:rPr>
                <w:rFonts w:hint="eastAsia" w:ascii="宋体" w:hAnsi="宋体" w:cs="宋体"/>
                <w:sz w:val="24"/>
                <w:lang w:val="en-US" w:eastAsia="zh-CN"/>
              </w:rPr>
              <w:t>不适用</w:t>
            </w:r>
            <w:r>
              <w:rPr>
                <w:rFonts w:hint="eastAsia" w:ascii="宋体" w:hAnsi="宋体" w:cs="宋体"/>
                <w:sz w:val="24"/>
                <w:lang w:eastAsia="zh-CN"/>
              </w:rPr>
              <w:t>）</w:t>
            </w:r>
          </w:p>
        </w:tc>
        <w:tc>
          <w:tcPr>
            <w:tcW w:w="2630" w:type="pct"/>
            <w:vAlign w:val="center"/>
          </w:tcPr>
          <w:p>
            <w:pPr>
              <w:tabs>
                <w:tab w:val="left" w:pos="1080"/>
              </w:tabs>
              <w:snapToGrid w:val="0"/>
              <w:rPr>
                <w:rFonts w:hint="eastAsia" w:ascii="宋体" w:hAnsi="宋体" w:eastAsia="宋体" w:cs="宋体"/>
                <w:sz w:val="24"/>
              </w:rPr>
            </w:pPr>
            <w:r>
              <w:rPr>
                <w:rFonts w:hint="eastAsia" w:ascii="宋体" w:hAnsi="宋体" w:eastAsia="宋体" w:cs="宋体"/>
                <w:sz w:val="24"/>
              </w:rPr>
              <w:t>1、如本项目接受联合体磋商，且供应商为联合体时必须提供《联合协议》，明确各方拟承担的工作和责任，并指定联合体牵头人， 授权其代表所有联合体成员负责本项目磋商和合同实施阶段的牵头、协调工作。该联合协议应当作为响应文件的组成部分，与响应文件其他内容同时提交。</w:t>
            </w:r>
          </w:p>
          <w:p>
            <w:pPr>
              <w:tabs>
                <w:tab w:val="left" w:pos="1080"/>
              </w:tabs>
              <w:snapToGrid w:val="0"/>
              <w:rPr>
                <w:rFonts w:hint="eastAsia" w:ascii="宋体" w:hAnsi="宋体" w:eastAsia="宋体" w:cs="宋体"/>
                <w:sz w:val="24"/>
                <w:lang w:eastAsia="zh-CN"/>
              </w:rPr>
            </w:pPr>
            <w:r>
              <w:rPr>
                <w:rFonts w:hint="eastAsia" w:ascii="宋体" w:hAnsi="宋体" w:eastAsia="宋体" w:cs="宋体"/>
                <w:sz w:val="24"/>
              </w:rPr>
              <w:t>2、联合体各成员单位均须提供本表中序号1-1、1-2的证明文件。联合体各成员单位均应满足本表3-2及3-3项规定</w:t>
            </w:r>
            <w:r>
              <w:rPr>
                <w:rFonts w:hint="eastAsia" w:ascii="宋体" w:hAnsi="宋体" w:cs="宋体"/>
                <w:sz w:val="24"/>
                <w:lang w:eastAsia="zh-CN"/>
              </w:rPr>
              <w:t>。</w:t>
            </w:r>
          </w:p>
          <w:p>
            <w:pPr>
              <w:tabs>
                <w:tab w:val="left" w:pos="1080"/>
              </w:tabs>
              <w:snapToGrid w:val="0"/>
              <w:rPr>
                <w:rFonts w:hint="eastAsia" w:ascii="宋体" w:hAnsi="宋体" w:eastAsia="宋体" w:cs="宋体"/>
                <w:sz w:val="24"/>
              </w:rPr>
            </w:pPr>
            <w:r>
              <w:rPr>
                <w:rFonts w:hint="eastAsia" w:ascii="宋体" w:hAnsi="宋体" w:eastAsia="宋体" w:cs="宋体"/>
                <w:sz w:val="24"/>
              </w:rPr>
              <w:t>3、本表序号3-4项规定的其他特定资格要求中的每一小项要求，联合体各方中至少应当有一方符合本表中其他资格要求并提供证明文件。</w:t>
            </w:r>
          </w:p>
          <w:p>
            <w:pPr>
              <w:tabs>
                <w:tab w:val="left" w:pos="1080"/>
              </w:tabs>
              <w:snapToGrid w:val="0"/>
              <w:rPr>
                <w:rFonts w:hint="eastAsia" w:ascii="宋体" w:hAnsi="宋体" w:eastAsia="宋体" w:cs="宋体"/>
                <w:sz w:val="24"/>
              </w:rPr>
            </w:pPr>
            <w:r>
              <w:rPr>
                <w:rFonts w:hint="eastAsia" w:ascii="宋体" w:hAnsi="宋体" w:eastAsia="宋体" w:cs="宋体"/>
                <w:sz w:val="24"/>
              </w:rPr>
              <w:t>4、联合体中有同类资质的供应商按照联合体分工承担相同工作的，应当按照资质等级较低的供应商确定资质等级。</w:t>
            </w:r>
          </w:p>
          <w:p>
            <w:pPr>
              <w:tabs>
                <w:tab w:val="left" w:pos="1080"/>
              </w:tabs>
              <w:snapToGrid w:val="0"/>
              <w:rPr>
                <w:rFonts w:hint="eastAsia" w:ascii="宋体" w:hAnsi="宋体" w:eastAsia="宋体" w:cs="宋体"/>
                <w:sz w:val="24"/>
              </w:rPr>
            </w:pPr>
            <w:r>
              <w:rPr>
                <w:rFonts w:hint="eastAsia" w:ascii="宋体" w:hAnsi="宋体" w:eastAsia="宋体" w:cs="宋体"/>
                <w:sz w:val="24"/>
              </w:rPr>
              <w:t>5、以联合体形式参加政府采购活动的，联合体各方不得再单独参加或者与其他供应商另外组成联合体参加同一合同项下的政府采购活动。</w:t>
            </w:r>
          </w:p>
          <w:p>
            <w:pPr>
              <w:tabs>
                <w:tab w:val="left" w:pos="1080"/>
              </w:tabs>
              <w:snapToGrid w:val="0"/>
              <w:rPr>
                <w:rFonts w:hint="eastAsia" w:ascii="宋体" w:hAnsi="宋体" w:eastAsia="宋体" w:cs="宋体"/>
                <w:sz w:val="24"/>
              </w:rPr>
            </w:pPr>
            <w:r>
              <w:rPr>
                <w:rFonts w:hint="eastAsia" w:ascii="宋体" w:hAnsi="宋体" w:eastAsia="宋体" w:cs="宋体"/>
                <w:sz w:val="24"/>
              </w:rPr>
              <w:t>6、若联合体中任一成员单位中途退出，则该联合体的</w:t>
            </w:r>
            <w:r>
              <w:rPr>
                <w:rFonts w:hint="eastAsia" w:ascii="宋体" w:hAnsi="宋体" w:eastAsia="宋体" w:cs="宋体"/>
                <w:b/>
                <w:sz w:val="24"/>
              </w:rPr>
              <w:t>响应无效</w:t>
            </w:r>
            <w:r>
              <w:rPr>
                <w:rFonts w:hint="eastAsia" w:ascii="宋体" w:hAnsi="宋体" w:eastAsia="宋体" w:cs="宋体"/>
                <w:sz w:val="24"/>
              </w:rPr>
              <w:t>。</w:t>
            </w:r>
          </w:p>
          <w:p>
            <w:pPr>
              <w:tabs>
                <w:tab w:val="left" w:pos="1080"/>
              </w:tabs>
              <w:snapToGrid w:val="0"/>
              <w:rPr>
                <w:rFonts w:hint="eastAsia" w:ascii="宋体" w:hAnsi="宋体" w:eastAsia="宋体" w:cs="宋体"/>
                <w:sz w:val="24"/>
              </w:rPr>
            </w:pPr>
            <w:r>
              <w:rPr>
                <w:rFonts w:hint="eastAsia" w:ascii="宋体" w:hAnsi="宋体" w:eastAsia="宋体" w:cs="宋体"/>
                <w:sz w:val="24"/>
              </w:rPr>
              <w:t xml:space="preserve">7、本项目不接受联合体响应时，供应商不得为联合体。 </w:t>
            </w:r>
          </w:p>
        </w:tc>
        <w:tc>
          <w:tcPr>
            <w:tcW w:w="976" w:type="pct"/>
            <w:vAlign w:val="center"/>
          </w:tcPr>
          <w:p>
            <w:pPr>
              <w:tabs>
                <w:tab w:val="left" w:pos="1080"/>
              </w:tabs>
              <w:snapToGrid w:val="0"/>
              <w:rPr>
                <w:rFonts w:hint="eastAsia" w:ascii="宋体" w:hAnsi="宋体" w:eastAsia="宋体" w:cs="宋体"/>
                <w:sz w:val="24"/>
              </w:rPr>
            </w:pPr>
            <w:r>
              <w:rPr>
                <w:rFonts w:hint="eastAsia" w:ascii="宋体" w:hAnsi="宋体" w:eastAsia="宋体" w:cs="宋体"/>
                <w:sz w:val="24"/>
              </w:rPr>
              <w:t>提供《联合协议》原件的电子件格式见《响应文件格式》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201" w:hRule="atLeast"/>
        </w:trPr>
        <w:tc>
          <w:tcPr>
            <w:tcW w:w="455" w:type="pct"/>
            <w:vAlign w:val="center"/>
          </w:tcPr>
          <w:p>
            <w:pPr>
              <w:tabs>
                <w:tab w:val="left" w:pos="1080"/>
              </w:tabs>
              <w:snapToGrid w:val="0"/>
              <w:jc w:val="center"/>
              <w:rPr>
                <w:rFonts w:hint="default" w:ascii="宋体" w:hAnsi="宋体" w:eastAsia="宋体" w:cs="宋体"/>
                <w:sz w:val="24"/>
                <w:lang w:val="en-US" w:eastAsia="zh-CN"/>
              </w:rPr>
            </w:pPr>
            <w:r>
              <w:rPr>
                <w:rFonts w:hint="eastAsia" w:ascii="宋体" w:hAnsi="宋体" w:cs="宋体"/>
                <w:sz w:val="24"/>
                <w:lang w:val="en-US" w:eastAsia="zh-CN"/>
              </w:rPr>
              <w:t>3-2</w:t>
            </w:r>
          </w:p>
        </w:tc>
        <w:tc>
          <w:tcPr>
            <w:tcW w:w="938" w:type="pct"/>
            <w:vAlign w:val="center"/>
          </w:tcPr>
          <w:p>
            <w:pPr>
              <w:pStyle w:val="256"/>
              <w:spacing w:before="3"/>
              <w:ind w:left="0" w:leftChars="0" w:firstLine="0" w:firstLineChars="0"/>
              <w:jc w:val="center"/>
              <w:rPr>
                <w:rFonts w:hint="eastAsia" w:ascii="宋体" w:hAnsi="宋体" w:eastAsia="宋体" w:cs="宋体"/>
                <w:sz w:val="24"/>
                <w:lang w:eastAsia="zh-CN"/>
              </w:rPr>
            </w:pPr>
            <w:r>
              <w:rPr>
                <w:sz w:val="24"/>
              </w:rPr>
              <w:t>政府购买服务承接主体的要求</w:t>
            </w:r>
            <w:r>
              <w:rPr>
                <w:rFonts w:hint="eastAsia"/>
                <w:sz w:val="24"/>
                <w:lang w:eastAsia="zh-CN"/>
              </w:rPr>
              <w:t>（</w:t>
            </w:r>
            <w:r>
              <w:rPr>
                <w:rFonts w:hint="eastAsia"/>
                <w:sz w:val="24"/>
                <w:lang w:val="en-US" w:eastAsia="zh-CN"/>
              </w:rPr>
              <w:t>不适用</w:t>
            </w:r>
            <w:r>
              <w:rPr>
                <w:rFonts w:hint="eastAsia"/>
                <w:sz w:val="24"/>
                <w:lang w:eastAsia="zh-CN"/>
              </w:rPr>
              <w:t>）</w:t>
            </w:r>
          </w:p>
        </w:tc>
        <w:tc>
          <w:tcPr>
            <w:tcW w:w="2630" w:type="pct"/>
            <w:vAlign w:val="center"/>
          </w:tcPr>
          <w:p>
            <w:pPr>
              <w:pStyle w:val="256"/>
              <w:spacing w:before="3"/>
              <w:ind w:left="0" w:leftChars="0" w:firstLine="0" w:firstLineChars="0"/>
              <w:jc w:val="both"/>
              <w:rPr>
                <w:rFonts w:hint="eastAsia" w:ascii="宋体" w:hAnsi="宋体" w:eastAsia="宋体" w:cs="宋体"/>
                <w:sz w:val="24"/>
              </w:rPr>
            </w:pPr>
            <w:r>
              <w:rPr>
                <w:sz w:val="24"/>
              </w:rPr>
              <w:t>如本项目属于政府购买服务，供应商不属于公益一类事业单位、使用事业编制且由财政拨款保障的群团组织。</w:t>
            </w:r>
          </w:p>
        </w:tc>
        <w:tc>
          <w:tcPr>
            <w:tcW w:w="976" w:type="pct"/>
            <w:vAlign w:val="center"/>
          </w:tcPr>
          <w:p>
            <w:pPr>
              <w:pStyle w:val="256"/>
              <w:spacing w:before="159" w:line="242" w:lineRule="auto"/>
              <w:ind w:left="0" w:leftChars="0" w:right="97" w:rightChars="0" w:firstLine="0" w:firstLineChars="0"/>
              <w:jc w:val="left"/>
              <w:rPr>
                <w:rFonts w:hint="eastAsia" w:ascii="宋体" w:hAnsi="宋体" w:eastAsia="宋体" w:cs="宋体"/>
                <w:sz w:val="24"/>
              </w:rPr>
            </w:pPr>
            <w:r>
              <w:rPr>
                <w:rFonts w:hint="eastAsia" w:ascii="宋体" w:hAnsi="宋体" w:eastAsia="宋体" w:cs="宋体"/>
                <w:kern w:val="2"/>
                <w:sz w:val="24"/>
                <w:szCs w:val="24"/>
                <w:lang w:val="en-US" w:eastAsia="zh-CN" w:bidi="ar-SA"/>
              </w:rPr>
              <w:t>格式见《响应文件格式》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05" w:hRule="atLeast"/>
        </w:trPr>
        <w:tc>
          <w:tcPr>
            <w:tcW w:w="455" w:type="pct"/>
            <w:vAlign w:val="center"/>
          </w:tcPr>
          <w:p>
            <w:pPr>
              <w:tabs>
                <w:tab w:val="left" w:pos="1080"/>
              </w:tabs>
              <w:snapToGrid w:val="0"/>
              <w:jc w:val="center"/>
              <w:rPr>
                <w:rFonts w:hint="eastAsia" w:ascii="宋体" w:hAnsi="宋体" w:eastAsia="宋体" w:cs="宋体"/>
                <w:sz w:val="24"/>
                <w:lang w:eastAsia="zh-CN"/>
              </w:rPr>
            </w:pPr>
            <w:r>
              <w:rPr>
                <w:rFonts w:hint="eastAsia" w:ascii="宋体" w:hAnsi="宋体" w:eastAsia="宋体" w:cs="宋体"/>
                <w:sz w:val="24"/>
              </w:rPr>
              <w:t>3-</w:t>
            </w:r>
            <w:r>
              <w:rPr>
                <w:rFonts w:hint="eastAsia" w:ascii="宋体" w:hAnsi="宋体" w:cs="宋体"/>
                <w:sz w:val="24"/>
                <w:lang w:val="en-US" w:eastAsia="zh-CN"/>
              </w:rPr>
              <w:t>3</w:t>
            </w:r>
          </w:p>
        </w:tc>
        <w:tc>
          <w:tcPr>
            <w:tcW w:w="938" w:type="pct"/>
            <w:vAlign w:val="center"/>
          </w:tcPr>
          <w:p>
            <w:pPr>
              <w:tabs>
                <w:tab w:val="left" w:pos="1080"/>
              </w:tabs>
              <w:snapToGrid w:val="0"/>
              <w:jc w:val="center"/>
              <w:rPr>
                <w:rFonts w:hint="eastAsia" w:ascii="宋体" w:hAnsi="宋体" w:eastAsia="宋体" w:cs="宋体"/>
                <w:sz w:val="24"/>
              </w:rPr>
            </w:pPr>
            <w:r>
              <w:rPr>
                <w:rFonts w:hint="eastAsia" w:ascii="宋体" w:hAnsi="宋体" w:eastAsia="宋体" w:cs="宋体"/>
                <w:sz w:val="24"/>
              </w:rPr>
              <w:t>其他特定资格要求</w:t>
            </w:r>
          </w:p>
        </w:tc>
        <w:tc>
          <w:tcPr>
            <w:tcW w:w="2630" w:type="pct"/>
            <w:vAlign w:val="top"/>
          </w:tcPr>
          <w:p>
            <w:pPr>
              <w:tabs>
                <w:tab w:val="left" w:pos="1080"/>
              </w:tabs>
              <w:snapToGrid w:val="0"/>
              <w:rPr>
                <w:rFonts w:hint="eastAsia" w:ascii="宋体" w:hAnsi="宋体" w:eastAsia="宋体" w:cs="宋体"/>
                <w:sz w:val="24"/>
              </w:rPr>
            </w:pPr>
            <w:r>
              <w:rPr>
                <w:rFonts w:hint="eastAsia" w:ascii="宋体" w:hAnsi="宋体" w:eastAsia="宋体" w:cs="宋体"/>
                <w:sz w:val="24"/>
                <w:lang w:val="en-US" w:eastAsia="zh-CN"/>
              </w:rPr>
              <w:t>（1）具备</w:t>
            </w:r>
            <w:r>
              <w:rPr>
                <w:rFonts w:hint="eastAsia" w:ascii="宋体" w:hAnsi="宋体" w:eastAsia="宋体" w:cs="宋体"/>
                <w:sz w:val="24"/>
                <w:lang w:eastAsia="zh-CN"/>
              </w:rPr>
              <w:t>建设行政主管部门颁发的建筑工程施工总承包</w:t>
            </w:r>
            <w:r>
              <w:rPr>
                <w:rFonts w:hint="eastAsia" w:ascii="宋体" w:hAnsi="宋体" w:eastAsia="宋体" w:cs="宋体"/>
                <w:sz w:val="24"/>
                <w:lang w:val="en-US" w:eastAsia="zh-CN"/>
              </w:rPr>
              <w:t>叁级</w:t>
            </w:r>
            <w:r>
              <w:rPr>
                <w:rFonts w:hint="eastAsia" w:ascii="宋体" w:hAnsi="宋体" w:eastAsia="宋体" w:cs="宋体"/>
                <w:sz w:val="24"/>
                <w:lang w:eastAsia="zh-CN"/>
              </w:rPr>
              <w:t>（含）以上资质，且具有有效的《</w:t>
            </w:r>
            <w:r>
              <w:rPr>
                <w:rFonts w:hint="eastAsia" w:ascii="宋体" w:hAnsi="宋体" w:eastAsia="宋体" w:cs="宋体"/>
                <w:sz w:val="24"/>
              </w:rPr>
              <w:t>安全生产许可证</w:t>
            </w:r>
            <w:r>
              <w:rPr>
                <w:rFonts w:hint="eastAsia" w:ascii="宋体" w:hAnsi="宋体" w:eastAsia="宋体" w:cs="宋体"/>
                <w:sz w:val="24"/>
                <w:lang w:eastAsia="zh-CN"/>
              </w:rPr>
              <w:t>》</w:t>
            </w:r>
            <w:r>
              <w:rPr>
                <w:rFonts w:hint="eastAsia" w:ascii="宋体" w:hAnsi="宋体" w:eastAsia="宋体" w:cs="宋体"/>
                <w:sz w:val="24"/>
                <w:lang w:val="en-US" w:eastAsia="zh-CN"/>
              </w:rPr>
              <w:t>；</w:t>
            </w:r>
          </w:p>
          <w:p>
            <w:pPr>
              <w:tabs>
                <w:tab w:val="left" w:pos="1080"/>
              </w:tabs>
              <w:snapToGrid w:val="0"/>
              <w:rPr>
                <w:rFonts w:hint="eastAsia" w:ascii="宋体" w:hAnsi="宋体" w:eastAsia="宋体" w:cs="宋体"/>
                <w:sz w:val="24"/>
              </w:rPr>
            </w:pPr>
            <w:r>
              <w:rPr>
                <w:rFonts w:hint="eastAsia" w:ascii="宋体" w:hAnsi="宋体" w:eastAsia="宋体" w:cs="宋体"/>
                <w:sz w:val="24"/>
                <w:lang w:val="en-US" w:eastAsia="zh-CN"/>
              </w:rPr>
              <w:t>（2）拟派项目经理须具备建筑工程专业贰级（含）以上注册建造师证书和安全考核合格证（B本），且在确定中标人时不得担任其他在施建设工程项目的项目经理。</w:t>
            </w:r>
          </w:p>
        </w:tc>
        <w:tc>
          <w:tcPr>
            <w:tcW w:w="976" w:type="pct"/>
            <w:vAlign w:val="center"/>
          </w:tcPr>
          <w:p>
            <w:pPr>
              <w:pStyle w:val="256"/>
              <w:spacing w:before="2" w:line="242" w:lineRule="auto"/>
              <w:ind w:right="97"/>
              <w:jc w:val="center"/>
              <w:rPr>
                <w:rFonts w:hint="eastAsia" w:ascii="宋体" w:hAnsi="宋体" w:eastAsia="宋体" w:cs="宋体"/>
                <w:sz w:val="24"/>
                <w:lang w:eastAsia="zh-CN"/>
              </w:rPr>
            </w:pPr>
            <w:r>
              <w:rPr>
                <w:sz w:val="24"/>
              </w:rPr>
              <w:t>提供证明文件的</w:t>
            </w:r>
            <w:r>
              <w:rPr>
                <w:rFonts w:hint="eastAsia"/>
                <w:sz w:val="24"/>
                <w:lang w:val="en-US" w:eastAsia="zh-CN"/>
              </w:rPr>
              <w:t>最新版下载</w:t>
            </w:r>
            <w:r>
              <w:rPr>
                <w:sz w:val="24"/>
              </w:rPr>
              <w:t>电子件或电子证照</w:t>
            </w:r>
          </w:p>
        </w:tc>
      </w:tr>
    </w:tbl>
    <w:p>
      <w:pPr>
        <w:widowControl/>
        <w:jc w:val="left"/>
        <w:rPr>
          <w:rFonts w:hint="eastAsia" w:ascii="宋体" w:hAnsi="宋体" w:eastAsia="宋体" w:cs="宋体"/>
          <w:sz w:val="24"/>
        </w:rPr>
      </w:pPr>
      <w:r>
        <w:rPr>
          <w:rFonts w:hint="eastAsia" w:ascii="宋体" w:hAnsi="宋体" w:eastAsia="宋体" w:cs="宋体"/>
          <w:sz w:val="24"/>
        </w:rPr>
        <w:br w:type="page"/>
      </w:r>
    </w:p>
    <w:p>
      <w:pPr>
        <w:numPr>
          <w:ilvl w:val="1"/>
          <w:numId w:val="10"/>
        </w:numPr>
        <w:tabs>
          <w:tab w:val="left" w:pos="1080"/>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《符合性审查要求》见下表：</w:t>
      </w:r>
    </w:p>
    <w:p>
      <w:pPr>
        <w:widowControl/>
        <w:spacing w:line="360" w:lineRule="auto"/>
        <w:jc w:val="center"/>
        <w:rPr>
          <w:rFonts w:hint="eastAsia" w:ascii="宋体" w:hAnsi="宋体" w:eastAsia="宋体" w:cs="宋体"/>
          <w:b/>
          <w:color w:val="000000"/>
          <w:kern w:val="0"/>
          <w:sz w:val="24"/>
        </w:rPr>
      </w:pPr>
      <w:r>
        <w:rPr>
          <w:rFonts w:hint="eastAsia" w:ascii="宋体" w:hAnsi="宋体" w:eastAsia="宋体" w:cs="宋体"/>
          <w:b/>
          <w:color w:val="000000"/>
          <w:kern w:val="0"/>
          <w:sz w:val="24"/>
        </w:rPr>
        <w:t>符合性审查要求</w:t>
      </w:r>
    </w:p>
    <w:tbl>
      <w:tblPr>
        <w:tblStyle w:val="47"/>
        <w:tblW w:w="506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6"/>
        <w:gridCol w:w="1817"/>
        <w:gridCol w:w="4365"/>
        <w:gridCol w:w="15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30" w:type="pct"/>
            <w:shd w:val="clear" w:color="000000" w:fill="auto"/>
            <w:noWrap w:val="0"/>
            <w:vAlign w:val="center"/>
          </w:tcPr>
          <w:p>
            <w:pPr>
              <w:jc w:val="center"/>
              <w:rPr>
                <w:rFonts w:hint="eastAsia"/>
                <w:b/>
                <w:bCs/>
                <w:sz w:val="24"/>
                <w:szCs w:val="24"/>
              </w:rPr>
            </w:pPr>
            <w:r>
              <w:rPr>
                <w:rFonts w:hint="eastAsia"/>
                <w:b/>
                <w:bCs/>
                <w:sz w:val="24"/>
                <w:szCs w:val="24"/>
              </w:rPr>
              <w:t>序号</w:t>
            </w:r>
          </w:p>
        </w:tc>
        <w:tc>
          <w:tcPr>
            <w:tcW w:w="1051" w:type="pct"/>
            <w:shd w:val="clear" w:color="000000" w:fill="auto"/>
            <w:noWrap w:val="0"/>
            <w:vAlign w:val="center"/>
          </w:tcPr>
          <w:p>
            <w:pPr>
              <w:jc w:val="center"/>
              <w:rPr>
                <w:rFonts w:hint="eastAsia"/>
                <w:b/>
                <w:bCs/>
                <w:sz w:val="24"/>
                <w:szCs w:val="24"/>
              </w:rPr>
            </w:pPr>
            <w:r>
              <w:rPr>
                <w:rFonts w:hint="eastAsia"/>
                <w:b/>
                <w:bCs/>
                <w:sz w:val="24"/>
                <w:szCs w:val="24"/>
              </w:rPr>
              <w:t>检查因素</w:t>
            </w:r>
          </w:p>
        </w:tc>
        <w:tc>
          <w:tcPr>
            <w:tcW w:w="2525" w:type="pct"/>
            <w:shd w:val="clear" w:color="000000" w:fill="auto"/>
            <w:noWrap w:val="0"/>
            <w:vAlign w:val="center"/>
          </w:tcPr>
          <w:p>
            <w:pPr>
              <w:jc w:val="center"/>
              <w:rPr>
                <w:rFonts w:hint="eastAsia"/>
                <w:b/>
                <w:bCs/>
                <w:sz w:val="24"/>
                <w:szCs w:val="24"/>
              </w:rPr>
            </w:pPr>
            <w:r>
              <w:rPr>
                <w:rFonts w:hint="eastAsia"/>
                <w:b/>
                <w:bCs/>
                <w:sz w:val="24"/>
                <w:szCs w:val="24"/>
              </w:rPr>
              <w:t>检查内容</w:t>
            </w:r>
          </w:p>
        </w:tc>
        <w:tc>
          <w:tcPr>
            <w:tcW w:w="892" w:type="pct"/>
            <w:shd w:val="clear" w:color="000000" w:fill="auto"/>
            <w:noWrap w:val="0"/>
            <w:vAlign w:val="center"/>
          </w:tcPr>
          <w:p>
            <w:pPr>
              <w:jc w:val="center"/>
              <w:rPr>
                <w:rFonts w:hint="eastAsia"/>
                <w:b/>
                <w:bCs/>
                <w:sz w:val="24"/>
                <w:szCs w:val="24"/>
              </w:rPr>
            </w:pPr>
            <w:r>
              <w:rPr>
                <w:rFonts w:hint="eastAsia"/>
                <w:b/>
                <w:bCs/>
                <w:sz w:val="24"/>
                <w:szCs w:val="24"/>
              </w:rPr>
              <w:t>是否允许澄清、说明或者更正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jc w:val="center"/>
        </w:trPr>
        <w:tc>
          <w:tcPr>
            <w:tcW w:w="530" w:type="pct"/>
            <w:shd w:val="clear" w:color="auto" w:fill="auto"/>
            <w:noWrap w:val="0"/>
            <w:vAlign w:val="center"/>
          </w:tcPr>
          <w:p>
            <w:pPr>
              <w:widowControl/>
              <w:jc w:val="center"/>
              <w:rPr>
                <w:rFonts w:hint="default" w:ascii="宋体" w:hAnsi="宋体" w:cs="宋体"/>
                <w:color w:val="auto"/>
                <w:kern w:val="0"/>
                <w:sz w:val="24"/>
                <w:highlight w:val="none"/>
                <w:lang w:val="en-US" w:eastAsia="zh-CN"/>
              </w:rPr>
            </w:pPr>
            <w:r>
              <w:rPr>
                <w:rFonts w:hint="eastAsia" w:ascii="宋体" w:hAnsi="宋体" w:cs="宋体"/>
                <w:color w:val="auto"/>
                <w:kern w:val="0"/>
                <w:sz w:val="24"/>
                <w:highlight w:val="none"/>
                <w:lang w:val="en-US" w:eastAsia="zh-CN"/>
              </w:rPr>
              <w:t>1</w:t>
            </w:r>
          </w:p>
        </w:tc>
        <w:tc>
          <w:tcPr>
            <w:tcW w:w="1051" w:type="pct"/>
            <w:shd w:val="clear" w:color="auto" w:fill="auto"/>
            <w:noWrap w:val="0"/>
            <w:vAlign w:val="center"/>
          </w:tcPr>
          <w:p>
            <w:pPr>
              <w:widowControl/>
              <w:jc w:val="left"/>
              <w:rPr>
                <w:rFonts w:hint="eastAsia" w:ascii="宋体" w:hAnsi="宋体" w:cs="宋体"/>
                <w:color w:val="auto"/>
                <w:kern w:val="0"/>
                <w:sz w:val="24"/>
                <w:highlight w:val="none"/>
                <w:lang w:val="en-US" w:eastAsia="zh-CN"/>
              </w:rPr>
            </w:pPr>
            <w:r>
              <w:rPr>
                <w:rFonts w:hint="eastAsia" w:ascii="宋体" w:hAnsi="宋体" w:cs="宋体"/>
                <w:color w:val="auto"/>
                <w:kern w:val="0"/>
                <w:sz w:val="24"/>
                <w:highlight w:val="none"/>
                <w:lang w:val="en-US" w:eastAsia="zh-CN"/>
              </w:rPr>
              <w:t>供应商名称</w:t>
            </w:r>
          </w:p>
        </w:tc>
        <w:tc>
          <w:tcPr>
            <w:tcW w:w="2525" w:type="pct"/>
            <w:shd w:val="clear" w:color="auto" w:fill="auto"/>
            <w:noWrap w:val="0"/>
            <w:vAlign w:val="center"/>
          </w:tcPr>
          <w:p>
            <w:pPr>
              <w:widowControl/>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highlight w:val="none"/>
                <w:lang w:val="en-US" w:eastAsia="zh-CN"/>
              </w:rPr>
              <w:t>供应商提供的所有证明材料中的企业名称与供应商的名称一致</w:t>
            </w:r>
            <w:r>
              <w:rPr>
                <w:rFonts w:hint="eastAsia" w:ascii="宋体" w:hAnsi="宋体" w:cs="宋体"/>
                <w:color w:val="auto"/>
                <w:kern w:val="0"/>
                <w:sz w:val="24"/>
                <w:highlight w:val="none"/>
                <w:lang w:val="en-US" w:eastAsia="zh-CN"/>
              </w:rPr>
              <w:t>；</w:t>
            </w:r>
          </w:p>
        </w:tc>
        <w:tc>
          <w:tcPr>
            <w:tcW w:w="892" w:type="pct"/>
            <w:shd w:val="clear" w:color="auto" w:fill="auto"/>
            <w:noWrap w:val="0"/>
            <w:vAlign w:val="center"/>
          </w:tcPr>
          <w:p>
            <w:pPr>
              <w:widowControl/>
              <w:jc w:val="center"/>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jc w:val="center"/>
        </w:trPr>
        <w:tc>
          <w:tcPr>
            <w:tcW w:w="530" w:type="pct"/>
            <w:shd w:val="clear" w:color="auto" w:fill="auto"/>
            <w:noWrap w:val="0"/>
            <w:vAlign w:val="center"/>
          </w:tcPr>
          <w:p>
            <w:pPr>
              <w:widowControl/>
              <w:jc w:val="center"/>
              <w:rPr>
                <w:rFonts w:hint="eastAsia" w:ascii="宋体" w:hAnsi="宋体" w:cs="宋体"/>
                <w:color w:val="auto"/>
                <w:kern w:val="0"/>
                <w:sz w:val="24"/>
                <w:highlight w:val="none"/>
                <w:lang w:val="en-US" w:eastAsia="zh-CN"/>
              </w:rPr>
            </w:pPr>
            <w:r>
              <w:rPr>
                <w:rFonts w:hint="eastAsia" w:ascii="宋体" w:hAnsi="宋体" w:cs="宋体"/>
                <w:color w:val="auto"/>
                <w:kern w:val="0"/>
                <w:sz w:val="24"/>
                <w:highlight w:val="none"/>
                <w:lang w:val="en-US" w:eastAsia="zh-CN"/>
              </w:rPr>
              <w:t>2</w:t>
            </w:r>
          </w:p>
        </w:tc>
        <w:tc>
          <w:tcPr>
            <w:tcW w:w="1051" w:type="pct"/>
            <w:shd w:val="clear" w:color="auto" w:fill="auto"/>
            <w:noWrap w:val="0"/>
            <w:vAlign w:val="center"/>
          </w:tcPr>
          <w:p>
            <w:pPr>
              <w:widowControl/>
              <w:jc w:val="left"/>
              <w:rPr>
                <w:rFonts w:hint="eastAsia" w:ascii="宋体" w:hAnsi="宋体" w:cs="宋体"/>
                <w:color w:val="auto"/>
                <w:kern w:val="0"/>
                <w:sz w:val="24"/>
                <w:highlight w:val="none"/>
                <w:lang w:val="en-US" w:eastAsia="zh-CN"/>
              </w:rPr>
            </w:pPr>
            <w:r>
              <w:rPr>
                <w:rFonts w:hint="eastAsia" w:ascii="宋体" w:hAnsi="宋体" w:cs="宋体"/>
                <w:color w:val="auto"/>
                <w:kern w:val="0"/>
                <w:sz w:val="24"/>
                <w:highlight w:val="none"/>
                <w:lang w:val="en-US" w:eastAsia="zh-CN"/>
              </w:rPr>
              <w:t>授权委托书</w:t>
            </w:r>
          </w:p>
        </w:tc>
        <w:tc>
          <w:tcPr>
            <w:tcW w:w="2525" w:type="pct"/>
            <w:shd w:val="clear" w:color="auto" w:fill="auto"/>
            <w:noWrap w:val="0"/>
            <w:vAlign w:val="center"/>
          </w:tcPr>
          <w:p>
            <w:pPr>
              <w:widowControl/>
              <w:shd w:val="clear"/>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rPr>
              <w:t>按</w:t>
            </w:r>
            <w:r>
              <w:rPr>
                <w:rFonts w:hint="eastAsia" w:ascii="宋体" w:hAnsi="宋体" w:cs="宋体"/>
                <w:color w:val="auto"/>
                <w:kern w:val="0"/>
                <w:sz w:val="24"/>
                <w:lang w:eastAsia="zh-CN"/>
              </w:rPr>
              <w:t>竞争性磋商文件</w:t>
            </w:r>
            <w:r>
              <w:rPr>
                <w:rFonts w:hint="eastAsia" w:ascii="宋体" w:hAnsi="宋体" w:eastAsia="宋体" w:cs="宋体"/>
                <w:color w:val="auto"/>
                <w:kern w:val="0"/>
                <w:sz w:val="24"/>
              </w:rPr>
              <w:t>要求提供授权委托书；</w:t>
            </w:r>
          </w:p>
        </w:tc>
        <w:tc>
          <w:tcPr>
            <w:tcW w:w="892" w:type="pct"/>
            <w:shd w:val="clear" w:color="auto" w:fill="auto"/>
            <w:noWrap w:val="0"/>
            <w:vAlign w:val="center"/>
          </w:tcPr>
          <w:p>
            <w:pPr>
              <w:widowControl/>
              <w:jc w:val="center"/>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530" w:type="pct"/>
            <w:shd w:val="clear" w:color="auto" w:fill="auto"/>
            <w:noWrap w:val="0"/>
            <w:vAlign w:val="center"/>
          </w:tcPr>
          <w:p>
            <w:pPr>
              <w:widowControl/>
              <w:jc w:val="center"/>
              <w:rPr>
                <w:rFonts w:hint="eastAsia" w:ascii="宋体" w:hAnsi="宋体" w:eastAsia="宋体" w:cs="宋体"/>
                <w:color w:val="auto"/>
                <w:kern w:val="0"/>
                <w:sz w:val="24"/>
                <w:szCs w:val="24"/>
                <w:highlight w:val="none"/>
                <w:lang w:val="en-US" w:eastAsia="zh-CN" w:bidi="ar-SA"/>
              </w:rPr>
            </w:pPr>
            <w:r>
              <w:rPr>
                <w:rFonts w:hint="eastAsia" w:ascii="宋体" w:hAnsi="宋体" w:cs="宋体"/>
                <w:color w:val="auto"/>
                <w:kern w:val="0"/>
                <w:sz w:val="24"/>
                <w:highlight w:val="none"/>
                <w:lang w:val="en-US" w:eastAsia="zh-CN"/>
              </w:rPr>
              <w:t>3</w:t>
            </w:r>
          </w:p>
        </w:tc>
        <w:tc>
          <w:tcPr>
            <w:tcW w:w="1051" w:type="pct"/>
            <w:shd w:val="clear" w:color="auto" w:fill="auto"/>
            <w:noWrap w:val="0"/>
            <w:vAlign w:val="center"/>
          </w:tcPr>
          <w:p>
            <w:pPr>
              <w:widowControl/>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highlight w:val="none"/>
                <w:lang w:val="en-US" w:eastAsia="zh-CN"/>
              </w:rPr>
              <w:t>响应文件的签署</w:t>
            </w:r>
          </w:p>
        </w:tc>
        <w:tc>
          <w:tcPr>
            <w:tcW w:w="2525" w:type="pct"/>
            <w:shd w:val="clear" w:color="auto" w:fill="auto"/>
            <w:noWrap w:val="0"/>
            <w:vAlign w:val="center"/>
          </w:tcPr>
          <w:p>
            <w:pPr>
              <w:widowControl/>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highlight w:val="none"/>
                <w:lang w:val="en-US" w:eastAsia="zh-CN"/>
              </w:rPr>
              <w:t>响应文件的签字、盖章符合竞争性磋商文件要求</w:t>
            </w:r>
            <w:r>
              <w:rPr>
                <w:rFonts w:hint="eastAsia" w:ascii="宋体" w:hAnsi="宋体" w:cs="宋体"/>
                <w:color w:val="auto"/>
                <w:kern w:val="0"/>
                <w:sz w:val="24"/>
                <w:highlight w:val="none"/>
                <w:lang w:val="en-US" w:eastAsia="zh-CN"/>
              </w:rPr>
              <w:t>；</w:t>
            </w:r>
          </w:p>
        </w:tc>
        <w:tc>
          <w:tcPr>
            <w:tcW w:w="892" w:type="pct"/>
            <w:shd w:val="clear" w:color="auto" w:fill="auto"/>
            <w:noWrap w:val="0"/>
            <w:vAlign w:val="center"/>
          </w:tcPr>
          <w:p>
            <w:pPr>
              <w:widowControl/>
              <w:jc w:val="center"/>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jc w:val="center"/>
        </w:trPr>
        <w:tc>
          <w:tcPr>
            <w:tcW w:w="530" w:type="pct"/>
            <w:shd w:val="clear" w:color="auto" w:fill="auto"/>
            <w:noWrap w:val="0"/>
            <w:vAlign w:val="center"/>
          </w:tcPr>
          <w:p>
            <w:pPr>
              <w:widowControl/>
              <w:jc w:val="center"/>
              <w:rPr>
                <w:rFonts w:hint="eastAsia" w:ascii="宋体" w:hAnsi="宋体" w:eastAsia="宋体" w:cs="宋体"/>
                <w:color w:val="auto"/>
                <w:kern w:val="0"/>
                <w:sz w:val="24"/>
                <w:highlight w:val="none"/>
                <w:lang w:val="en-US" w:eastAsia="zh-CN"/>
              </w:rPr>
            </w:pPr>
            <w:r>
              <w:rPr>
                <w:rFonts w:hint="eastAsia" w:ascii="宋体" w:hAnsi="宋体" w:cs="宋体"/>
                <w:color w:val="auto"/>
                <w:kern w:val="0"/>
                <w:sz w:val="24"/>
                <w:highlight w:val="none"/>
                <w:lang w:val="en-US" w:eastAsia="zh-CN"/>
              </w:rPr>
              <w:t>4</w:t>
            </w:r>
          </w:p>
        </w:tc>
        <w:tc>
          <w:tcPr>
            <w:tcW w:w="1051" w:type="pct"/>
            <w:shd w:val="clear" w:color="auto" w:fill="auto"/>
            <w:noWrap w:val="0"/>
            <w:vAlign w:val="center"/>
          </w:tcPr>
          <w:p>
            <w:pPr>
              <w:widowControl/>
              <w:jc w:val="left"/>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响应文件编制</w:t>
            </w:r>
          </w:p>
        </w:tc>
        <w:tc>
          <w:tcPr>
            <w:tcW w:w="2525" w:type="pct"/>
            <w:shd w:val="clear" w:color="auto" w:fill="auto"/>
            <w:noWrap w:val="0"/>
            <w:vAlign w:val="center"/>
          </w:tcPr>
          <w:p>
            <w:pPr>
              <w:widowControl/>
              <w:jc w:val="left"/>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响应文件按规定的格式填写</w:t>
            </w:r>
            <w:r>
              <w:rPr>
                <w:rFonts w:hint="eastAsia" w:ascii="宋体" w:hAnsi="宋体" w:cs="宋体"/>
                <w:color w:val="auto"/>
                <w:kern w:val="0"/>
                <w:sz w:val="24"/>
                <w:highlight w:val="none"/>
                <w:lang w:val="en-US" w:eastAsia="zh-CN"/>
              </w:rPr>
              <w:t>，</w:t>
            </w:r>
            <w:r>
              <w:rPr>
                <w:rFonts w:hint="eastAsia" w:ascii="宋体" w:hAnsi="宋体" w:eastAsia="宋体" w:cs="宋体"/>
                <w:color w:val="auto"/>
                <w:kern w:val="0"/>
                <w:sz w:val="24"/>
                <w:highlight w:val="none"/>
                <w:lang w:val="en-US" w:eastAsia="zh-CN"/>
              </w:rPr>
              <w:t>未有内容不全或关键字迹模糊、无法辨认情况</w:t>
            </w:r>
            <w:r>
              <w:rPr>
                <w:rFonts w:hint="eastAsia" w:ascii="宋体" w:hAnsi="宋体" w:cs="宋体"/>
                <w:color w:val="auto"/>
                <w:kern w:val="0"/>
                <w:sz w:val="24"/>
                <w:highlight w:val="none"/>
                <w:lang w:val="en-US" w:eastAsia="zh-CN"/>
              </w:rPr>
              <w:t>；</w:t>
            </w:r>
          </w:p>
        </w:tc>
        <w:tc>
          <w:tcPr>
            <w:tcW w:w="892" w:type="pct"/>
            <w:shd w:val="clear" w:color="auto" w:fill="auto"/>
            <w:noWrap w:val="0"/>
            <w:vAlign w:val="center"/>
          </w:tcPr>
          <w:p>
            <w:pPr>
              <w:widowControl/>
              <w:jc w:val="center"/>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30" w:type="pct"/>
            <w:shd w:val="clear" w:color="auto" w:fill="auto"/>
            <w:noWrap w:val="0"/>
            <w:vAlign w:val="center"/>
          </w:tcPr>
          <w:p>
            <w:pPr>
              <w:widowControl/>
              <w:jc w:val="center"/>
              <w:rPr>
                <w:rFonts w:hint="eastAsia" w:ascii="宋体" w:hAnsi="宋体" w:eastAsia="宋体" w:cs="宋体"/>
                <w:color w:val="auto"/>
                <w:kern w:val="0"/>
                <w:sz w:val="24"/>
                <w:highlight w:val="none"/>
                <w:lang w:val="en-US" w:eastAsia="zh-CN"/>
              </w:rPr>
            </w:pPr>
            <w:r>
              <w:rPr>
                <w:rFonts w:hint="eastAsia" w:ascii="宋体" w:hAnsi="宋体" w:cs="宋体"/>
                <w:color w:val="auto"/>
                <w:kern w:val="0"/>
                <w:sz w:val="24"/>
                <w:highlight w:val="none"/>
                <w:lang w:val="en-US" w:eastAsia="zh-CN"/>
              </w:rPr>
              <w:t>5</w:t>
            </w:r>
          </w:p>
        </w:tc>
        <w:tc>
          <w:tcPr>
            <w:tcW w:w="1051" w:type="pct"/>
            <w:shd w:val="clear" w:color="auto" w:fill="auto"/>
            <w:noWrap w:val="0"/>
            <w:vAlign w:val="center"/>
          </w:tcPr>
          <w:p>
            <w:pPr>
              <w:widowControl/>
              <w:jc w:val="left"/>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响应文件内容及报价唯一</w:t>
            </w:r>
          </w:p>
        </w:tc>
        <w:tc>
          <w:tcPr>
            <w:tcW w:w="2525" w:type="pct"/>
            <w:shd w:val="clear" w:color="auto" w:fill="auto"/>
            <w:noWrap w:val="0"/>
            <w:vAlign w:val="center"/>
          </w:tcPr>
          <w:p>
            <w:pPr>
              <w:widowControl/>
              <w:jc w:val="left"/>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供应商未递交两份或多份内容不同的响应文件或在一份响应文件中对同一采购项目报有两个或多个报价</w:t>
            </w:r>
            <w:r>
              <w:rPr>
                <w:rFonts w:hint="eastAsia" w:ascii="宋体" w:hAnsi="宋体" w:cs="宋体"/>
                <w:color w:val="auto"/>
                <w:kern w:val="0"/>
                <w:sz w:val="24"/>
                <w:highlight w:val="none"/>
                <w:lang w:val="en-US" w:eastAsia="zh-CN"/>
              </w:rPr>
              <w:t>；</w:t>
            </w:r>
          </w:p>
        </w:tc>
        <w:tc>
          <w:tcPr>
            <w:tcW w:w="892" w:type="pct"/>
            <w:shd w:val="clear" w:color="auto" w:fill="auto"/>
            <w:noWrap w:val="0"/>
            <w:vAlign w:val="center"/>
          </w:tcPr>
          <w:p>
            <w:pPr>
              <w:widowControl/>
              <w:jc w:val="center"/>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530" w:type="pct"/>
            <w:shd w:val="clear" w:color="auto" w:fill="auto"/>
            <w:noWrap w:val="0"/>
            <w:vAlign w:val="center"/>
          </w:tcPr>
          <w:p>
            <w:pPr>
              <w:widowControl/>
              <w:jc w:val="center"/>
              <w:rPr>
                <w:rFonts w:hint="eastAsia" w:ascii="宋体" w:hAnsi="宋体" w:eastAsia="宋体" w:cs="宋体"/>
                <w:color w:val="auto"/>
                <w:kern w:val="0"/>
                <w:sz w:val="24"/>
                <w:highlight w:val="none"/>
                <w:lang w:val="en-US" w:eastAsia="zh-CN"/>
              </w:rPr>
            </w:pPr>
            <w:r>
              <w:rPr>
                <w:rFonts w:hint="eastAsia" w:ascii="宋体" w:hAnsi="宋体" w:cs="宋体"/>
                <w:color w:val="auto"/>
                <w:kern w:val="0"/>
                <w:sz w:val="24"/>
                <w:highlight w:val="none"/>
                <w:lang w:val="en-US" w:eastAsia="zh-CN"/>
              </w:rPr>
              <w:t>6</w:t>
            </w:r>
          </w:p>
        </w:tc>
        <w:tc>
          <w:tcPr>
            <w:tcW w:w="1051" w:type="pct"/>
            <w:shd w:val="clear" w:color="auto" w:fill="auto"/>
            <w:noWrap w:val="0"/>
            <w:vAlign w:val="center"/>
          </w:tcPr>
          <w:p>
            <w:pPr>
              <w:widowControl/>
              <w:jc w:val="left"/>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报价</w:t>
            </w:r>
          </w:p>
        </w:tc>
        <w:tc>
          <w:tcPr>
            <w:tcW w:w="2525" w:type="pct"/>
            <w:shd w:val="clear" w:color="auto" w:fill="auto"/>
            <w:noWrap w:val="0"/>
            <w:vAlign w:val="center"/>
          </w:tcPr>
          <w:p>
            <w:pPr>
              <w:widowControl/>
              <w:jc w:val="left"/>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未超过最高限价</w:t>
            </w:r>
            <w:r>
              <w:rPr>
                <w:rFonts w:hint="eastAsia" w:ascii="宋体" w:hAnsi="宋体" w:cs="宋体"/>
                <w:color w:val="auto"/>
                <w:kern w:val="0"/>
                <w:sz w:val="24"/>
                <w:highlight w:val="none"/>
                <w:lang w:val="en-US" w:eastAsia="zh-CN"/>
              </w:rPr>
              <w:t>；</w:t>
            </w:r>
          </w:p>
        </w:tc>
        <w:tc>
          <w:tcPr>
            <w:tcW w:w="892" w:type="pct"/>
            <w:shd w:val="clear" w:color="auto" w:fill="auto"/>
            <w:noWrap w:val="0"/>
            <w:vAlign w:val="center"/>
          </w:tcPr>
          <w:p>
            <w:pPr>
              <w:widowControl/>
              <w:jc w:val="center"/>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9" w:hRule="atLeast"/>
          <w:jc w:val="center"/>
        </w:trPr>
        <w:tc>
          <w:tcPr>
            <w:tcW w:w="530" w:type="pct"/>
            <w:shd w:val="clear" w:color="auto" w:fill="auto"/>
            <w:noWrap w:val="0"/>
            <w:vAlign w:val="center"/>
          </w:tcPr>
          <w:p>
            <w:pPr>
              <w:widowControl/>
              <w:jc w:val="center"/>
              <w:rPr>
                <w:rFonts w:hint="eastAsia" w:ascii="宋体" w:hAnsi="宋体" w:eastAsia="宋体" w:cs="宋体"/>
                <w:color w:val="auto"/>
                <w:kern w:val="0"/>
                <w:sz w:val="24"/>
                <w:highlight w:val="none"/>
                <w:lang w:val="en-US" w:eastAsia="zh-CN"/>
              </w:rPr>
            </w:pPr>
            <w:r>
              <w:rPr>
                <w:rFonts w:hint="eastAsia" w:ascii="宋体" w:hAnsi="宋体" w:cs="宋体"/>
                <w:color w:val="auto"/>
                <w:kern w:val="0"/>
                <w:sz w:val="24"/>
                <w:highlight w:val="none"/>
                <w:lang w:val="en-US" w:eastAsia="zh-CN"/>
              </w:rPr>
              <w:t>7</w:t>
            </w:r>
          </w:p>
        </w:tc>
        <w:tc>
          <w:tcPr>
            <w:tcW w:w="1051" w:type="pct"/>
            <w:shd w:val="clear" w:color="auto" w:fill="auto"/>
            <w:noWrap w:val="0"/>
            <w:vAlign w:val="center"/>
          </w:tcPr>
          <w:p>
            <w:pPr>
              <w:widowControl/>
              <w:shd w:val="clear"/>
              <w:jc w:val="left"/>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rPr>
              <w:t>报价合理性</w:t>
            </w:r>
          </w:p>
        </w:tc>
        <w:tc>
          <w:tcPr>
            <w:tcW w:w="2525" w:type="pct"/>
            <w:shd w:val="clear" w:color="auto" w:fill="auto"/>
            <w:noWrap w:val="0"/>
            <w:vAlign w:val="center"/>
          </w:tcPr>
          <w:p>
            <w:pPr>
              <w:widowControl/>
              <w:shd w:val="clear"/>
              <w:jc w:val="left"/>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rPr>
              <w:t>报价合理，或</w:t>
            </w:r>
            <w:r>
              <w:rPr>
                <w:rFonts w:hint="eastAsia" w:ascii="宋体" w:hAnsi="宋体" w:cs="宋体"/>
                <w:color w:val="auto"/>
                <w:sz w:val="24"/>
                <w:lang w:eastAsia="zh-CN"/>
              </w:rPr>
              <w:t>供应商</w:t>
            </w:r>
            <w:r>
              <w:rPr>
                <w:rFonts w:hint="eastAsia" w:ascii="宋体" w:hAnsi="宋体" w:eastAsia="宋体" w:cs="宋体"/>
                <w:color w:val="auto"/>
                <w:sz w:val="24"/>
              </w:rPr>
              <w:t>的报价明显低于其他通过符合性审查</w:t>
            </w:r>
            <w:r>
              <w:rPr>
                <w:rFonts w:hint="eastAsia" w:ascii="宋体" w:hAnsi="宋体" w:cs="宋体"/>
                <w:color w:val="auto"/>
                <w:sz w:val="24"/>
                <w:lang w:eastAsia="zh-CN"/>
              </w:rPr>
              <w:t>供应商</w:t>
            </w:r>
            <w:r>
              <w:rPr>
                <w:rFonts w:hint="eastAsia" w:ascii="宋体" w:hAnsi="宋体" w:eastAsia="宋体" w:cs="宋体"/>
                <w:color w:val="auto"/>
                <w:sz w:val="24"/>
              </w:rPr>
              <w:t>的报价，有可能影响产品质量或者不能诚信履约的，能够应</w:t>
            </w:r>
            <w:r>
              <w:rPr>
                <w:rFonts w:hint="eastAsia" w:ascii="宋体" w:hAnsi="宋体" w:cs="宋体"/>
                <w:color w:val="auto"/>
                <w:sz w:val="24"/>
                <w:lang w:eastAsia="zh-CN"/>
              </w:rPr>
              <w:t>评审</w:t>
            </w:r>
            <w:r>
              <w:rPr>
                <w:rFonts w:hint="eastAsia" w:ascii="宋体" w:hAnsi="宋体" w:eastAsia="宋体" w:cs="宋体"/>
                <w:color w:val="auto"/>
                <w:sz w:val="24"/>
              </w:rPr>
              <w:t>委员会要求在规定时间内证明其报价合理性的</w:t>
            </w:r>
            <w:r>
              <w:rPr>
                <w:rFonts w:hint="eastAsia" w:ascii="宋体" w:hAnsi="宋体" w:eastAsia="宋体" w:cs="宋体"/>
                <w:color w:val="auto"/>
                <w:kern w:val="0"/>
                <w:sz w:val="24"/>
              </w:rPr>
              <w:t>；</w:t>
            </w:r>
          </w:p>
        </w:tc>
        <w:tc>
          <w:tcPr>
            <w:tcW w:w="892" w:type="pct"/>
            <w:shd w:val="clear" w:color="auto" w:fill="auto"/>
            <w:noWrap w:val="0"/>
            <w:vAlign w:val="center"/>
          </w:tcPr>
          <w:p>
            <w:pPr>
              <w:widowControl/>
              <w:jc w:val="center"/>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30" w:type="pct"/>
            <w:shd w:val="clear" w:color="auto" w:fill="auto"/>
            <w:noWrap w:val="0"/>
            <w:vAlign w:val="center"/>
          </w:tcPr>
          <w:p>
            <w:pPr>
              <w:widowControl/>
              <w:jc w:val="center"/>
              <w:rPr>
                <w:rFonts w:hint="eastAsia" w:ascii="宋体" w:hAnsi="宋体" w:eastAsia="宋体" w:cs="宋体"/>
                <w:color w:val="auto"/>
                <w:kern w:val="0"/>
                <w:sz w:val="24"/>
                <w:highlight w:val="none"/>
                <w:lang w:val="en-US" w:eastAsia="zh-CN"/>
              </w:rPr>
            </w:pPr>
            <w:r>
              <w:rPr>
                <w:rFonts w:hint="eastAsia" w:ascii="宋体" w:hAnsi="宋体" w:cs="宋体"/>
                <w:color w:val="auto"/>
                <w:kern w:val="0"/>
                <w:sz w:val="24"/>
                <w:highlight w:val="none"/>
                <w:lang w:val="en-US" w:eastAsia="zh-CN"/>
              </w:rPr>
              <w:t>8</w:t>
            </w:r>
          </w:p>
        </w:tc>
        <w:tc>
          <w:tcPr>
            <w:tcW w:w="1051" w:type="pct"/>
            <w:shd w:val="clear" w:color="auto" w:fill="auto"/>
            <w:noWrap w:val="0"/>
            <w:vAlign w:val="center"/>
          </w:tcPr>
          <w:p>
            <w:pPr>
              <w:widowControl/>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highlight w:val="none"/>
                <w:lang w:val="en-US" w:eastAsia="zh-CN"/>
              </w:rPr>
              <w:t>磋商有效期</w:t>
            </w:r>
          </w:p>
        </w:tc>
        <w:tc>
          <w:tcPr>
            <w:tcW w:w="2525" w:type="pct"/>
            <w:shd w:val="clear" w:color="auto" w:fill="auto"/>
            <w:noWrap w:val="0"/>
            <w:vAlign w:val="center"/>
          </w:tcPr>
          <w:p>
            <w:pPr>
              <w:widowControl/>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highlight w:val="none"/>
                <w:lang w:val="en-US" w:eastAsia="zh-CN"/>
              </w:rPr>
              <w:t>磋商有效期满足竞争性磋商文件要求</w:t>
            </w:r>
            <w:r>
              <w:rPr>
                <w:rFonts w:hint="eastAsia" w:ascii="宋体" w:hAnsi="宋体" w:cs="宋体"/>
                <w:color w:val="auto"/>
                <w:kern w:val="0"/>
                <w:sz w:val="24"/>
                <w:highlight w:val="none"/>
                <w:lang w:val="en-US" w:eastAsia="zh-CN"/>
              </w:rPr>
              <w:t>；</w:t>
            </w:r>
          </w:p>
        </w:tc>
        <w:tc>
          <w:tcPr>
            <w:tcW w:w="892" w:type="pct"/>
            <w:shd w:val="clear" w:color="auto" w:fill="auto"/>
            <w:noWrap w:val="0"/>
            <w:vAlign w:val="center"/>
          </w:tcPr>
          <w:p>
            <w:pPr>
              <w:widowControl/>
              <w:jc w:val="center"/>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30" w:type="pct"/>
            <w:shd w:val="clear" w:color="auto" w:fill="auto"/>
            <w:noWrap w:val="0"/>
            <w:vAlign w:val="center"/>
          </w:tcPr>
          <w:p>
            <w:pPr>
              <w:widowControl/>
              <w:jc w:val="center"/>
              <w:rPr>
                <w:rFonts w:hint="default" w:ascii="宋体" w:hAnsi="宋体" w:eastAsia="宋体" w:cs="宋体"/>
                <w:color w:val="auto"/>
                <w:kern w:val="0"/>
                <w:sz w:val="24"/>
                <w:highlight w:val="none"/>
                <w:lang w:val="en-US" w:eastAsia="zh-CN"/>
              </w:rPr>
            </w:pPr>
            <w:r>
              <w:rPr>
                <w:rFonts w:hint="eastAsia" w:ascii="宋体" w:hAnsi="宋体" w:cs="宋体"/>
                <w:color w:val="auto"/>
                <w:kern w:val="0"/>
                <w:sz w:val="24"/>
                <w:highlight w:val="none"/>
                <w:lang w:val="en-US" w:eastAsia="zh-CN"/>
              </w:rPr>
              <w:t>9</w:t>
            </w:r>
          </w:p>
        </w:tc>
        <w:tc>
          <w:tcPr>
            <w:tcW w:w="1051" w:type="pct"/>
            <w:shd w:val="clear" w:color="auto" w:fill="auto"/>
            <w:noWrap w:val="0"/>
            <w:vAlign w:val="center"/>
          </w:tcPr>
          <w:p>
            <w:pPr>
              <w:widowControl/>
              <w:shd w:val="clear"/>
              <w:jc w:val="left"/>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rPr>
              <w:t>公平竞争</w:t>
            </w:r>
          </w:p>
        </w:tc>
        <w:tc>
          <w:tcPr>
            <w:tcW w:w="2525" w:type="pct"/>
            <w:shd w:val="clear" w:color="auto" w:fill="auto"/>
            <w:noWrap w:val="0"/>
            <w:vAlign w:val="center"/>
          </w:tcPr>
          <w:p>
            <w:pPr>
              <w:widowControl/>
              <w:shd w:val="clear"/>
              <w:jc w:val="left"/>
              <w:rPr>
                <w:rFonts w:hint="eastAsia" w:ascii="宋体" w:hAnsi="宋体" w:eastAsia="宋体" w:cs="宋体"/>
                <w:color w:val="auto"/>
                <w:kern w:val="0"/>
                <w:sz w:val="24"/>
                <w:highlight w:val="none"/>
                <w:lang w:val="en-US" w:eastAsia="zh-CN"/>
              </w:rPr>
            </w:pPr>
            <w:r>
              <w:rPr>
                <w:rFonts w:hint="eastAsia" w:ascii="宋体" w:hAnsi="宋体" w:cs="宋体"/>
                <w:color w:val="auto"/>
                <w:sz w:val="24"/>
                <w:lang w:eastAsia="zh-CN"/>
              </w:rPr>
              <w:t>供应商</w:t>
            </w:r>
            <w:r>
              <w:rPr>
                <w:rFonts w:hint="eastAsia" w:ascii="宋体" w:hAnsi="宋体" w:eastAsia="宋体" w:cs="宋体"/>
                <w:color w:val="auto"/>
                <w:sz w:val="24"/>
              </w:rPr>
              <w:t>遵循公平竞争的原则，不存在恶意串通，妨碍其他投标人的竞争行为，不存在损害采购人或者其他</w:t>
            </w:r>
            <w:r>
              <w:rPr>
                <w:rFonts w:hint="eastAsia" w:ascii="宋体" w:hAnsi="宋体" w:cs="宋体"/>
                <w:color w:val="auto"/>
                <w:sz w:val="24"/>
                <w:lang w:eastAsia="zh-CN"/>
              </w:rPr>
              <w:t>供应商</w:t>
            </w:r>
            <w:r>
              <w:rPr>
                <w:rFonts w:hint="eastAsia" w:ascii="宋体" w:hAnsi="宋体" w:eastAsia="宋体" w:cs="宋体"/>
                <w:color w:val="auto"/>
                <w:sz w:val="24"/>
              </w:rPr>
              <w:t>的合法权益情形的；</w:t>
            </w:r>
          </w:p>
        </w:tc>
        <w:tc>
          <w:tcPr>
            <w:tcW w:w="892" w:type="pct"/>
            <w:shd w:val="clear" w:color="auto" w:fill="auto"/>
            <w:noWrap w:val="0"/>
            <w:vAlign w:val="center"/>
          </w:tcPr>
          <w:p>
            <w:pPr>
              <w:widowControl/>
              <w:jc w:val="center"/>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530" w:type="pct"/>
            <w:shd w:val="clear" w:color="auto" w:fill="auto"/>
            <w:noWrap w:val="0"/>
            <w:vAlign w:val="center"/>
          </w:tcPr>
          <w:p>
            <w:pPr>
              <w:widowControl/>
              <w:jc w:val="center"/>
              <w:rPr>
                <w:rFonts w:hint="default" w:ascii="宋体" w:hAnsi="宋体" w:eastAsia="宋体" w:cs="宋体"/>
                <w:color w:val="auto"/>
                <w:kern w:val="0"/>
                <w:sz w:val="24"/>
                <w:highlight w:val="none"/>
                <w:lang w:val="en-US" w:eastAsia="zh-CN"/>
              </w:rPr>
            </w:pPr>
            <w:r>
              <w:rPr>
                <w:rFonts w:hint="eastAsia" w:ascii="宋体" w:hAnsi="宋体" w:cs="宋体"/>
                <w:color w:val="auto"/>
                <w:kern w:val="0"/>
                <w:sz w:val="24"/>
                <w:highlight w:val="none"/>
                <w:lang w:val="en-US" w:eastAsia="zh-CN"/>
              </w:rPr>
              <w:t>10</w:t>
            </w:r>
          </w:p>
        </w:tc>
        <w:tc>
          <w:tcPr>
            <w:tcW w:w="1051" w:type="pct"/>
            <w:shd w:val="clear" w:color="auto" w:fill="auto"/>
            <w:noWrap w:val="0"/>
            <w:vAlign w:val="center"/>
          </w:tcPr>
          <w:p>
            <w:pPr>
              <w:widowControl/>
              <w:shd w:val="clear"/>
              <w:spacing w:line="240" w:lineRule="auto"/>
              <w:jc w:val="left"/>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rPr>
              <w:t>附加条件</w:t>
            </w:r>
          </w:p>
        </w:tc>
        <w:tc>
          <w:tcPr>
            <w:tcW w:w="2525" w:type="pct"/>
            <w:shd w:val="clear" w:color="auto" w:fill="auto"/>
            <w:noWrap w:val="0"/>
            <w:vAlign w:val="center"/>
          </w:tcPr>
          <w:p>
            <w:pPr>
              <w:widowControl/>
              <w:shd w:val="clear"/>
              <w:spacing w:line="240" w:lineRule="auto"/>
              <w:jc w:val="left"/>
              <w:rPr>
                <w:rFonts w:hint="eastAsia" w:ascii="宋体" w:hAnsi="宋体" w:eastAsia="宋体" w:cs="宋体"/>
                <w:color w:val="auto"/>
                <w:kern w:val="0"/>
                <w:sz w:val="24"/>
                <w:szCs w:val="24"/>
                <w:lang w:val="en-US" w:eastAsia="zh-CN" w:bidi="ar-SA"/>
              </w:rPr>
            </w:pPr>
            <w:r>
              <w:rPr>
                <w:rFonts w:hint="eastAsia" w:ascii="宋体" w:hAnsi="宋体" w:cs="宋体"/>
                <w:color w:val="auto"/>
                <w:kern w:val="0"/>
                <w:sz w:val="24"/>
                <w:lang w:eastAsia="zh-CN"/>
              </w:rPr>
              <w:t>响应</w:t>
            </w:r>
            <w:r>
              <w:rPr>
                <w:rFonts w:hint="eastAsia" w:ascii="宋体" w:hAnsi="宋体" w:eastAsia="宋体" w:cs="宋体"/>
                <w:color w:val="auto"/>
                <w:kern w:val="0"/>
                <w:sz w:val="24"/>
              </w:rPr>
              <w:t>文件未含有采购人不能接受的附加条件的；</w:t>
            </w:r>
          </w:p>
        </w:tc>
        <w:tc>
          <w:tcPr>
            <w:tcW w:w="892" w:type="pct"/>
            <w:shd w:val="clear" w:color="auto" w:fill="auto"/>
            <w:noWrap w:val="0"/>
            <w:vAlign w:val="center"/>
          </w:tcPr>
          <w:p>
            <w:pPr>
              <w:widowControl/>
              <w:jc w:val="center"/>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6" w:hRule="atLeast"/>
          <w:jc w:val="center"/>
        </w:trPr>
        <w:tc>
          <w:tcPr>
            <w:tcW w:w="530" w:type="pct"/>
            <w:shd w:val="clear" w:color="auto" w:fill="auto"/>
            <w:noWrap w:val="0"/>
            <w:vAlign w:val="center"/>
          </w:tcPr>
          <w:p>
            <w:pPr>
              <w:widowControl/>
              <w:jc w:val="center"/>
              <w:rPr>
                <w:rFonts w:hint="default" w:ascii="宋体" w:hAnsi="宋体" w:eastAsia="宋体" w:cs="宋体"/>
                <w:color w:val="auto"/>
                <w:kern w:val="0"/>
                <w:sz w:val="24"/>
                <w:highlight w:val="none"/>
                <w:lang w:val="en-US" w:eastAsia="zh-CN"/>
              </w:rPr>
            </w:pPr>
            <w:r>
              <w:rPr>
                <w:rFonts w:hint="eastAsia" w:ascii="宋体" w:hAnsi="宋体" w:cs="宋体"/>
                <w:color w:val="auto"/>
                <w:kern w:val="0"/>
                <w:sz w:val="24"/>
                <w:highlight w:val="none"/>
                <w:lang w:val="en-US" w:eastAsia="zh-CN"/>
              </w:rPr>
              <w:t>11</w:t>
            </w:r>
          </w:p>
        </w:tc>
        <w:tc>
          <w:tcPr>
            <w:tcW w:w="1051" w:type="pct"/>
            <w:shd w:val="clear" w:color="auto" w:fill="auto"/>
            <w:noWrap w:val="0"/>
            <w:vAlign w:val="center"/>
          </w:tcPr>
          <w:p>
            <w:pPr>
              <w:widowControl/>
              <w:jc w:val="left"/>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磋商文件规定的其他无效条款</w:t>
            </w:r>
          </w:p>
        </w:tc>
        <w:tc>
          <w:tcPr>
            <w:tcW w:w="2525" w:type="pct"/>
            <w:shd w:val="clear" w:color="auto" w:fill="auto"/>
            <w:noWrap w:val="0"/>
            <w:vAlign w:val="center"/>
          </w:tcPr>
          <w:p>
            <w:pPr>
              <w:widowControl/>
              <w:jc w:val="left"/>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不存在磋商文件规定的其他无效条款</w:t>
            </w:r>
            <w:r>
              <w:rPr>
                <w:rFonts w:hint="eastAsia" w:ascii="宋体" w:hAnsi="宋体" w:cs="宋体"/>
                <w:color w:val="auto"/>
                <w:kern w:val="0"/>
                <w:sz w:val="24"/>
                <w:highlight w:val="none"/>
                <w:lang w:val="en-US" w:eastAsia="zh-CN"/>
              </w:rPr>
              <w:t>；</w:t>
            </w:r>
          </w:p>
        </w:tc>
        <w:tc>
          <w:tcPr>
            <w:tcW w:w="892" w:type="pct"/>
            <w:shd w:val="clear" w:color="auto" w:fill="auto"/>
            <w:noWrap w:val="0"/>
            <w:vAlign w:val="center"/>
          </w:tcPr>
          <w:p>
            <w:pPr>
              <w:widowControl/>
              <w:jc w:val="center"/>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否</w:t>
            </w:r>
          </w:p>
        </w:tc>
      </w:tr>
    </w:tbl>
    <w:p>
      <w:pPr>
        <w:numPr>
          <w:ilvl w:val="0"/>
          <w:numId w:val="10"/>
        </w:numPr>
        <w:tabs>
          <w:tab w:val="left" w:pos="360"/>
        </w:tabs>
        <w:snapToGrid w:val="0"/>
        <w:spacing w:line="360" w:lineRule="auto"/>
        <w:outlineLvl w:val="1"/>
        <w:rPr>
          <w:rFonts w:hint="eastAsia" w:ascii="宋体" w:hAnsi="宋体" w:eastAsia="宋体" w:cs="宋体"/>
          <w:sz w:val="24"/>
        </w:rPr>
      </w:pPr>
      <w:r>
        <w:rPr>
          <w:rFonts w:hint="eastAsia" w:ascii="宋体" w:hAnsi="宋体" w:eastAsia="宋体" w:cs="宋体"/>
          <w:sz w:val="24"/>
        </w:rPr>
        <w:t>磋商、响应文件有关事项的澄清、说明或者更正和最后报价</w:t>
      </w:r>
    </w:p>
    <w:p>
      <w:pPr>
        <w:numPr>
          <w:ilvl w:val="1"/>
          <w:numId w:val="10"/>
        </w:numPr>
        <w:tabs>
          <w:tab w:val="left" w:pos="1080"/>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磋商小组所有成员应当集中与单一供应商分别进行磋商，并给予所有参加磋商的供应商平等的磋商机会。</w:t>
      </w:r>
    </w:p>
    <w:p>
      <w:pPr>
        <w:numPr>
          <w:ilvl w:val="1"/>
          <w:numId w:val="10"/>
        </w:numPr>
        <w:tabs>
          <w:tab w:val="left" w:pos="1080"/>
          <w:tab w:val="left" w:pos="1872"/>
        </w:tabs>
        <w:snapToGrid w:val="0"/>
        <w:spacing w:line="360" w:lineRule="auto"/>
        <w:ind w:left="1077" w:hanging="720"/>
        <w:rPr>
          <w:rFonts w:hint="eastAsia" w:ascii="宋体" w:hAnsi="宋体" w:eastAsia="宋体" w:cs="宋体"/>
          <w:sz w:val="24"/>
        </w:rPr>
      </w:pPr>
      <w:r>
        <w:rPr>
          <w:rFonts w:hint="eastAsia" w:ascii="宋体" w:hAnsi="宋体" w:eastAsia="宋体" w:cs="宋体"/>
          <w:kern w:val="0"/>
          <w:sz w:val="24"/>
        </w:rPr>
        <w:t>在磋商过程中，磋商小组可以根据磋商文件和磋商情况实质性变动采购需求中的技术、服务要求以及合同草案条款，但不得变动磋商文件中的其他内容。实质性变动的内容，须经采购人代表确认。</w:t>
      </w:r>
    </w:p>
    <w:p>
      <w:pPr>
        <w:numPr>
          <w:ilvl w:val="1"/>
          <w:numId w:val="10"/>
        </w:numPr>
        <w:tabs>
          <w:tab w:val="left" w:pos="1080"/>
          <w:tab w:val="left" w:pos="1872"/>
        </w:tabs>
        <w:snapToGrid w:val="0"/>
        <w:spacing w:line="360" w:lineRule="auto"/>
        <w:ind w:left="1077" w:hanging="720"/>
        <w:rPr>
          <w:rFonts w:hint="eastAsia" w:ascii="宋体" w:hAnsi="宋体" w:eastAsia="宋体" w:cs="宋体"/>
          <w:kern w:val="0"/>
          <w:sz w:val="24"/>
        </w:rPr>
      </w:pPr>
      <w:r>
        <w:rPr>
          <w:rFonts w:hint="eastAsia" w:ascii="宋体" w:hAnsi="宋体" w:eastAsia="宋体" w:cs="宋体"/>
          <w:kern w:val="0"/>
          <w:sz w:val="24"/>
        </w:rPr>
        <w:t>对磋商文件作出的实质性变动是磋商文件的有效组成部分，磋商小组应当及时以书面形式同时通知所有参加磋商的供应商。</w:t>
      </w:r>
    </w:p>
    <w:p>
      <w:pPr>
        <w:numPr>
          <w:ilvl w:val="1"/>
          <w:numId w:val="10"/>
        </w:numPr>
        <w:tabs>
          <w:tab w:val="left" w:pos="1080"/>
          <w:tab w:val="left" w:pos="1872"/>
        </w:tabs>
        <w:snapToGrid w:val="0"/>
        <w:spacing w:line="360" w:lineRule="auto"/>
        <w:ind w:left="1077" w:hanging="720"/>
        <w:rPr>
          <w:rFonts w:hint="eastAsia" w:ascii="宋体" w:hAnsi="宋体" w:eastAsia="宋体" w:cs="宋体"/>
          <w:kern w:val="0"/>
          <w:sz w:val="24"/>
        </w:rPr>
      </w:pPr>
      <w:r>
        <w:rPr>
          <w:rFonts w:hint="eastAsia" w:ascii="宋体" w:hAnsi="宋体" w:eastAsia="宋体" w:cs="宋体"/>
          <w:kern w:val="0"/>
          <w:sz w:val="24"/>
        </w:rPr>
        <w:t>供应商应当按照磋商文件的变动情况和磋商小组的要求重新提交响应文件，并由其法定代表人或授权代表签字或者加盖公章。由授权代表签字的，应当附授权委托书。供应商为自然人的，应当由本人签字并附身份证明。</w:t>
      </w:r>
    </w:p>
    <w:p>
      <w:pPr>
        <w:numPr>
          <w:ilvl w:val="1"/>
          <w:numId w:val="10"/>
        </w:numPr>
        <w:tabs>
          <w:tab w:val="left" w:pos="1080"/>
          <w:tab w:val="left" w:pos="1872"/>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响应文件的澄清、说明或者更正：</w:t>
      </w:r>
    </w:p>
    <w:p>
      <w:pPr>
        <w:numPr>
          <w:ilvl w:val="2"/>
          <w:numId w:val="10"/>
        </w:numPr>
        <w:snapToGrid w:val="0"/>
        <w:spacing w:line="360" w:lineRule="auto"/>
        <w:rPr>
          <w:rFonts w:hint="eastAsia" w:ascii="宋体" w:hAnsi="宋体" w:eastAsia="宋体" w:cs="宋体"/>
          <w:sz w:val="24"/>
        </w:rPr>
      </w:pPr>
      <w:r>
        <w:rPr>
          <w:rFonts w:hint="eastAsia" w:ascii="宋体" w:hAnsi="宋体" w:eastAsia="宋体" w:cs="宋体"/>
          <w:sz w:val="24"/>
        </w:rPr>
        <w:t>磋商小组在对响应文件的有效性、完整性和响应程度进行审查时，可以要求供应商对响应文件中含义不明确、同类问题表述不一致或者有明显文字和计算错误的内容等作出必要的澄清、说明或者更正。</w:t>
      </w:r>
    </w:p>
    <w:p>
      <w:pPr>
        <w:numPr>
          <w:ilvl w:val="2"/>
          <w:numId w:val="10"/>
        </w:numPr>
        <w:snapToGrid w:val="0"/>
        <w:spacing w:line="360" w:lineRule="auto"/>
        <w:rPr>
          <w:rFonts w:hint="eastAsia" w:ascii="宋体" w:hAnsi="宋体" w:eastAsia="宋体" w:cs="宋体"/>
          <w:sz w:val="24"/>
        </w:rPr>
      </w:pPr>
      <w:r>
        <w:rPr>
          <w:rFonts w:hint="eastAsia" w:ascii="宋体" w:hAnsi="宋体" w:eastAsia="宋体" w:cs="宋体"/>
          <w:sz w:val="24"/>
        </w:rPr>
        <w:t>磋商小组对响应文件进行审查，如发现供应商提交的响应文件存在不满足《符合性审查要求》的内容，如属于表中“不允许”澄清、说明或者更正的内容，则供应商响应文件按</w:t>
      </w:r>
      <w:r>
        <w:rPr>
          <w:rFonts w:hint="eastAsia" w:ascii="宋体" w:hAnsi="宋体" w:eastAsia="宋体" w:cs="宋体"/>
          <w:b/>
          <w:sz w:val="24"/>
        </w:rPr>
        <w:t>无效处理</w:t>
      </w:r>
      <w:r>
        <w:rPr>
          <w:rFonts w:hint="eastAsia" w:ascii="宋体" w:hAnsi="宋体" w:eastAsia="宋体" w:cs="宋体"/>
          <w:sz w:val="24"/>
        </w:rPr>
        <w:t>；如属于表中的“允许”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Pr>
          <w:rFonts w:hint="eastAsia" w:ascii="宋体" w:hAnsi="宋体" w:eastAsia="宋体" w:cs="宋体"/>
          <w:b/>
          <w:sz w:val="24"/>
        </w:rPr>
        <w:t>无效处理</w:t>
      </w:r>
      <w:r>
        <w:rPr>
          <w:rFonts w:hint="eastAsia" w:ascii="宋体" w:hAnsi="宋体" w:eastAsia="宋体" w:cs="宋体"/>
          <w:sz w:val="24"/>
        </w:rPr>
        <w:t>。</w:t>
      </w:r>
    </w:p>
    <w:p>
      <w:pPr>
        <w:numPr>
          <w:ilvl w:val="2"/>
          <w:numId w:val="10"/>
        </w:numPr>
        <w:snapToGrid w:val="0"/>
        <w:spacing w:line="360" w:lineRule="auto"/>
        <w:rPr>
          <w:rFonts w:hint="eastAsia" w:ascii="宋体" w:hAnsi="宋体" w:eastAsia="宋体" w:cs="宋体"/>
          <w:sz w:val="24"/>
        </w:rPr>
      </w:pPr>
      <w:r>
        <w:rPr>
          <w:rFonts w:hint="eastAsia" w:ascii="宋体" w:hAnsi="宋体" w:eastAsia="宋体" w:cs="宋体"/>
          <w:sz w:val="24"/>
        </w:rPr>
        <w:t>供应商的澄清、说明或者更正不得超出响应文件的范围或者改变响应文件的实质性内容。磋商小组要求供应商澄清、说明或者更正响应文件应当以书面形式作出。供应商的澄清、说明或者更正应当由法定代表人或其授权代表签字或者加盖公章。由授权代表签字的，应当附授权委托书。供应商为自然人的，应当由本人签字并附身份证明。澄清文件将作为响应文件内容的一部分。</w:t>
      </w:r>
    </w:p>
    <w:p>
      <w:pPr>
        <w:numPr>
          <w:ilvl w:val="1"/>
          <w:numId w:val="10"/>
        </w:numPr>
        <w:tabs>
          <w:tab w:val="left" w:pos="1080"/>
          <w:tab w:val="left" w:pos="1872"/>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磋商结束后，磋商小组将要求所有实质性响应的供应商在规定时间内提交最后报价。最后报价时间为磋商小组指定的时间，具体时间根据磋商进度另行通知。</w:t>
      </w:r>
    </w:p>
    <w:p>
      <w:pPr>
        <w:numPr>
          <w:ilvl w:val="1"/>
          <w:numId w:val="10"/>
        </w:numPr>
        <w:tabs>
          <w:tab w:val="left" w:pos="1080"/>
          <w:tab w:val="left" w:pos="1872"/>
        </w:tabs>
        <w:snapToGrid w:val="0"/>
        <w:spacing w:line="360" w:lineRule="auto"/>
        <w:ind w:left="1077" w:hanging="720"/>
        <w:rPr>
          <w:rFonts w:hint="eastAsia" w:ascii="宋体" w:hAnsi="宋体" w:eastAsia="宋体" w:cs="宋体"/>
          <w:sz w:val="24"/>
        </w:rPr>
      </w:pPr>
      <w:r>
        <w:rPr>
          <w:rFonts w:hint="eastAsia" w:ascii="宋体" w:hAnsi="宋体" w:eastAsia="宋体" w:cs="宋体"/>
          <w:snapToGrid w:val="0"/>
          <w:sz w:val="24"/>
        </w:rPr>
        <w:t>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r>
        <w:rPr>
          <w:rFonts w:hint="eastAsia" w:ascii="宋体" w:hAnsi="宋体" w:eastAsia="宋体" w:cs="宋体"/>
          <w:sz w:val="24"/>
        </w:rPr>
        <w:t>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w:t>
      </w:r>
    </w:p>
    <w:p>
      <w:pPr>
        <w:numPr>
          <w:ilvl w:val="1"/>
          <w:numId w:val="10"/>
        </w:numPr>
        <w:tabs>
          <w:tab w:val="left" w:pos="1080"/>
          <w:tab w:val="left" w:pos="1872"/>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最后报价是供应商响应文件的有效组成部分。</w:t>
      </w:r>
    </w:p>
    <w:p>
      <w:pPr>
        <w:numPr>
          <w:ilvl w:val="1"/>
          <w:numId w:val="10"/>
        </w:numPr>
        <w:tabs>
          <w:tab w:val="left" w:pos="1080"/>
          <w:tab w:val="left" w:pos="1872"/>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已提交响应文件的供应商，在提交最后报价之前，可以根据磋商情况退出磋商。</w:t>
      </w:r>
    </w:p>
    <w:p>
      <w:pPr>
        <w:numPr>
          <w:ilvl w:val="0"/>
          <w:numId w:val="10"/>
        </w:numPr>
        <w:tabs>
          <w:tab w:val="left" w:pos="360"/>
        </w:tabs>
        <w:snapToGrid w:val="0"/>
        <w:spacing w:line="360" w:lineRule="auto"/>
        <w:outlineLvl w:val="1"/>
        <w:rPr>
          <w:rFonts w:hint="eastAsia" w:ascii="宋体" w:hAnsi="宋体" w:eastAsia="宋体" w:cs="宋体"/>
          <w:sz w:val="24"/>
        </w:rPr>
      </w:pPr>
      <w:r>
        <w:rPr>
          <w:rFonts w:hint="eastAsia" w:ascii="宋体" w:hAnsi="宋体" w:eastAsia="宋体" w:cs="宋体"/>
          <w:sz w:val="24"/>
        </w:rPr>
        <w:t>最后报价的算术修正及政策调整</w:t>
      </w:r>
    </w:p>
    <w:p>
      <w:pPr>
        <w:numPr>
          <w:ilvl w:val="1"/>
          <w:numId w:val="10"/>
        </w:numPr>
        <w:tabs>
          <w:tab w:val="left" w:pos="1080"/>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最后报价须包含竞争性磋商文件全部内容，如最后分项报价表有缺漏视为已含在其他各项报价中，将不对最后报价总价进行调整。磋商小组有权要求供应商在评审现场合理的时间内对此进行书面确认，供应商不确认的，视为将一个采购包中的内容拆开响应，其</w:t>
      </w:r>
      <w:r>
        <w:rPr>
          <w:rFonts w:hint="eastAsia" w:ascii="宋体" w:hAnsi="宋体" w:eastAsia="宋体" w:cs="宋体"/>
          <w:b/>
          <w:sz w:val="24"/>
        </w:rPr>
        <w:t>响应无效</w:t>
      </w:r>
      <w:r>
        <w:rPr>
          <w:rFonts w:hint="eastAsia" w:ascii="宋体" w:hAnsi="宋体" w:eastAsia="宋体" w:cs="宋体"/>
          <w:sz w:val="24"/>
        </w:rPr>
        <w:t>。</w:t>
      </w:r>
    </w:p>
    <w:p>
      <w:pPr>
        <w:numPr>
          <w:ilvl w:val="1"/>
          <w:numId w:val="10"/>
        </w:numPr>
        <w:tabs>
          <w:tab w:val="left" w:pos="1080"/>
          <w:tab w:val="left" w:pos="1872"/>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最后报价出现前后不一致的，按照下列规定修正：</w:t>
      </w:r>
    </w:p>
    <w:p>
      <w:pPr>
        <w:numPr>
          <w:ilvl w:val="2"/>
          <w:numId w:val="10"/>
        </w:numPr>
        <w:tabs>
          <w:tab w:val="left" w:pos="1080"/>
          <w:tab w:val="left" w:pos="1589"/>
          <w:tab w:val="left" w:pos="2035"/>
          <w:tab w:val="left" w:pos="2114"/>
        </w:tabs>
        <w:snapToGrid w:val="0"/>
        <w:spacing w:line="360" w:lineRule="auto"/>
        <w:ind w:left="2035"/>
        <w:rPr>
          <w:rFonts w:hint="eastAsia" w:ascii="宋体" w:hAnsi="宋体" w:eastAsia="宋体" w:cs="宋体"/>
          <w:sz w:val="24"/>
        </w:rPr>
      </w:pPr>
      <w:r>
        <w:rPr>
          <w:rFonts w:hint="eastAsia" w:ascii="宋体" w:hAnsi="宋体" w:eastAsia="宋体" w:cs="宋体"/>
          <w:sz w:val="24"/>
        </w:rPr>
        <w:t>竞争性磋商文件对于报价修正是否另有规定：</w:t>
      </w:r>
    </w:p>
    <w:p>
      <w:pPr>
        <w:tabs>
          <w:tab w:val="left" w:pos="1080"/>
          <w:tab w:val="left" w:pos="1589"/>
          <w:tab w:val="left" w:pos="2035"/>
          <w:tab w:val="left" w:pos="2114"/>
        </w:tabs>
        <w:snapToGrid w:val="0"/>
        <w:spacing w:line="360" w:lineRule="auto"/>
        <w:ind w:left="2035"/>
        <w:rPr>
          <w:rFonts w:hint="eastAsia" w:ascii="宋体" w:hAnsi="宋体" w:eastAsia="宋体" w:cs="宋体"/>
          <w:sz w:val="24"/>
          <w:u w:val="single"/>
          <w:lang w:val="en-US" w:eastAsia="zh-CN"/>
        </w:rPr>
      </w:pPr>
      <w:r>
        <w:rPr>
          <w:rFonts w:hint="eastAsia" w:ascii="宋体" w:hAnsi="宋体" w:eastAsia="宋体" w:cs="宋体"/>
          <w:sz w:val="24"/>
        </w:rPr>
        <w:t>□有，具体规定为：</w:t>
      </w:r>
      <w:r>
        <w:rPr>
          <w:rFonts w:hint="eastAsia" w:ascii="宋体" w:hAnsi="宋体" w:eastAsia="宋体" w:cs="宋体"/>
          <w:sz w:val="24"/>
          <w:u w:val="single"/>
          <w:lang w:val="en-US" w:eastAsia="zh-CN"/>
        </w:rPr>
        <w:t xml:space="preserve">    /    </w:t>
      </w:r>
    </w:p>
    <w:p>
      <w:pPr>
        <w:tabs>
          <w:tab w:val="left" w:pos="1080"/>
          <w:tab w:val="left" w:pos="1589"/>
          <w:tab w:val="left" w:pos="2035"/>
          <w:tab w:val="left" w:pos="2114"/>
        </w:tabs>
        <w:snapToGrid w:val="0"/>
        <w:spacing w:line="360" w:lineRule="auto"/>
        <w:ind w:left="2035"/>
        <w:rPr>
          <w:rFonts w:hint="eastAsia" w:ascii="宋体" w:hAnsi="宋体" w:eastAsia="宋体" w:cs="宋体"/>
          <w:sz w:val="24"/>
        </w:rPr>
      </w:pPr>
      <w:r>
        <w:rPr>
          <w:rFonts w:hint="eastAsia" w:ascii="宋体" w:hAnsi="宋体" w:eastAsia="宋体" w:cs="宋体"/>
          <w:b/>
          <w:color w:val="000000"/>
          <w:sz w:val="24"/>
          <w:szCs w:val="24"/>
        </w:rPr>
        <w:t>■</w:t>
      </w:r>
      <w:r>
        <w:rPr>
          <w:rFonts w:hint="eastAsia" w:ascii="宋体" w:hAnsi="宋体" w:eastAsia="宋体" w:cs="宋体"/>
          <w:sz w:val="24"/>
        </w:rPr>
        <w:t>无，按下述3.2.2-3.2.5项规定修正。</w:t>
      </w:r>
    </w:p>
    <w:p>
      <w:pPr>
        <w:numPr>
          <w:ilvl w:val="2"/>
          <w:numId w:val="10"/>
        </w:numPr>
        <w:tabs>
          <w:tab w:val="left" w:pos="2035"/>
          <w:tab w:val="left" w:pos="2114"/>
          <w:tab w:val="left" w:pos="2977"/>
        </w:tabs>
        <w:snapToGrid w:val="0"/>
        <w:spacing w:line="360" w:lineRule="auto"/>
        <w:ind w:left="2035"/>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大写金额和小写金额不一致的，以大写金额为准；</w:t>
      </w:r>
    </w:p>
    <w:p>
      <w:pPr>
        <w:numPr>
          <w:ilvl w:val="2"/>
          <w:numId w:val="10"/>
        </w:numPr>
        <w:tabs>
          <w:tab w:val="left" w:pos="2035"/>
          <w:tab w:val="left" w:pos="2114"/>
          <w:tab w:val="left" w:pos="2977"/>
        </w:tabs>
        <w:snapToGrid w:val="0"/>
        <w:spacing w:line="360" w:lineRule="auto"/>
        <w:ind w:left="2035"/>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单价金额小数点或者百分比有明显错位的，以最后报价一览表的总价为准，并修改单价；</w:t>
      </w:r>
    </w:p>
    <w:p>
      <w:pPr>
        <w:numPr>
          <w:ilvl w:val="2"/>
          <w:numId w:val="10"/>
        </w:numPr>
        <w:tabs>
          <w:tab w:val="left" w:pos="2035"/>
          <w:tab w:val="left" w:pos="2114"/>
          <w:tab w:val="left" w:pos="2977"/>
        </w:tabs>
        <w:snapToGrid w:val="0"/>
        <w:spacing w:line="360" w:lineRule="auto"/>
        <w:ind w:left="2035"/>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总价金额与按单价汇总金额不一致的，以单价金额计算结果为准。</w:t>
      </w:r>
    </w:p>
    <w:p>
      <w:pPr>
        <w:numPr>
          <w:ilvl w:val="2"/>
          <w:numId w:val="10"/>
        </w:numPr>
        <w:tabs>
          <w:tab w:val="left" w:pos="1080"/>
          <w:tab w:val="left" w:pos="1589"/>
          <w:tab w:val="left" w:pos="2035"/>
          <w:tab w:val="left" w:pos="2114"/>
        </w:tabs>
        <w:snapToGrid w:val="0"/>
        <w:spacing w:line="360" w:lineRule="auto"/>
        <w:ind w:left="2035"/>
        <w:rPr>
          <w:rFonts w:hint="eastAsia" w:ascii="宋体" w:hAnsi="宋体" w:eastAsia="宋体" w:cs="宋体"/>
          <w:sz w:val="24"/>
        </w:rPr>
      </w:pPr>
      <w:r>
        <w:rPr>
          <w:rFonts w:hint="eastAsia" w:ascii="宋体" w:hAnsi="宋体" w:eastAsia="宋体" w:cs="宋体"/>
          <w:sz w:val="24"/>
        </w:rPr>
        <w:t>同时出现两种以上不一致的，按照前款规定的顺序修正。修正后的报价经供应商书面确认后产生约束力，供应商不确认的，</w:t>
      </w:r>
      <w:r>
        <w:rPr>
          <w:rFonts w:hint="eastAsia" w:ascii="宋体" w:hAnsi="宋体" w:eastAsia="宋体" w:cs="宋体"/>
          <w:b/>
          <w:sz w:val="24"/>
        </w:rPr>
        <w:t>其响应无效</w:t>
      </w:r>
      <w:r>
        <w:rPr>
          <w:rFonts w:hint="eastAsia" w:ascii="宋体" w:hAnsi="宋体" w:eastAsia="宋体" w:cs="宋体"/>
          <w:sz w:val="24"/>
        </w:rPr>
        <w:t>。</w:t>
      </w:r>
    </w:p>
    <w:p>
      <w:pPr>
        <w:numPr>
          <w:ilvl w:val="1"/>
          <w:numId w:val="10"/>
        </w:numPr>
        <w:tabs>
          <w:tab w:val="left" w:pos="1080"/>
          <w:tab w:val="left" w:pos="1872"/>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落实政府采购政策的价格调整：只有符合第二章《供应商须知》4.2条规定情形的，可以享受中小企业扶持政策，用扣除后的价格参加评审；否则，评审时价格不予扣除。</w:t>
      </w:r>
    </w:p>
    <w:p>
      <w:pPr>
        <w:numPr>
          <w:ilvl w:val="2"/>
          <w:numId w:val="10"/>
        </w:numPr>
        <w:tabs>
          <w:tab w:val="left" w:pos="1080"/>
          <w:tab w:val="left" w:pos="1589"/>
          <w:tab w:val="left" w:pos="2035"/>
        </w:tabs>
        <w:snapToGrid w:val="0"/>
        <w:spacing w:line="360" w:lineRule="auto"/>
        <w:ind w:left="2035"/>
        <w:rPr>
          <w:rFonts w:hint="eastAsia" w:ascii="宋体" w:hAnsi="宋体" w:eastAsia="宋体" w:cs="宋体"/>
          <w:sz w:val="24"/>
        </w:rPr>
      </w:pPr>
      <w:r>
        <w:rPr>
          <w:rFonts w:hint="eastAsia" w:ascii="宋体" w:hAnsi="宋体" w:eastAsia="宋体" w:cs="宋体"/>
          <w:sz w:val="24"/>
        </w:rPr>
        <w:t>对于未预留份额专门面向中小企业采购的采购项目，以及预留份额项目中的非预留部分采购包，对小微企业报价给予</w:t>
      </w:r>
      <w:r>
        <w:rPr>
          <w:rFonts w:hint="eastAsia" w:ascii="宋体" w:hAnsi="宋体" w:eastAsia="宋体" w:cs="宋体"/>
          <w:sz w:val="24"/>
          <w:u w:val="single"/>
          <w:lang w:val="en-US" w:eastAsia="zh-CN"/>
        </w:rPr>
        <w:t xml:space="preserve"> </w:t>
      </w:r>
      <w:r>
        <w:rPr>
          <w:rFonts w:hint="eastAsia" w:ascii="宋体" w:hAnsi="宋体" w:cs="宋体"/>
          <w:sz w:val="24"/>
          <w:u w:val="single"/>
          <w:lang w:val="en-US" w:eastAsia="zh-CN"/>
        </w:rPr>
        <w:t>10</w:t>
      </w:r>
      <w:r>
        <w:rPr>
          <w:rFonts w:hint="eastAsia" w:ascii="宋体" w:hAnsi="宋体" w:eastAsia="宋体" w:cs="宋体"/>
          <w:sz w:val="24"/>
          <w:u w:val="single"/>
          <w:lang w:val="en-US" w:eastAsia="zh-CN"/>
        </w:rPr>
        <w:t xml:space="preserve"> </w:t>
      </w:r>
      <w:r>
        <w:rPr>
          <w:rFonts w:hint="eastAsia" w:ascii="宋体" w:hAnsi="宋体" w:eastAsia="宋体" w:cs="宋体"/>
          <w:sz w:val="24"/>
        </w:rPr>
        <w:t>%的扣除，用扣除后的价格参加评审。</w:t>
      </w:r>
    </w:p>
    <w:p>
      <w:pPr>
        <w:numPr>
          <w:ilvl w:val="2"/>
          <w:numId w:val="10"/>
        </w:numPr>
        <w:tabs>
          <w:tab w:val="left" w:pos="1080"/>
          <w:tab w:val="left" w:pos="1589"/>
          <w:tab w:val="left" w:pos="2035"/>
        </w:tabs>
        <w:snapToGrid w:val="0"/>
        <w:spacing w:line="360" w:lineRule="auto"/>
        <w:ind w:left="2035"/>
        <w:rPr>
          <w:rFonts w:hint="eastAsia" w:ascii="宋体" w:hAnsi="宋体" w:eastAsia="宋体" w:cs="宋体"/>
          <w:sz w:val="24"/>
        </w:rPr>
      </w:pPr>
      <w:r>
        <w:rPr>
          <w:rFonts w:hint="eastAsia" w:ascii="宋体" w:hAnsi="宋体" w:eastAsia="宋体" w:cs="宋体"/>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30%以上的联合体或者大中型企业的报价给予</w:t>
      </w:r>
      <w:r>
        <w:rPr>
          <w:rFonts w:hint="eastAsia" w:ascii="宋体" w:hAnsi="宋体" w:cs="宋体"/>
          <w:sz w:val="24"/>
          <w:u w:val="single"/>
          <w:lang w:val="en-US" w:eastAsia="zh-CN"/>
        </w:rPr>
        <w:t xml:space="preserve"> 4</w:t>
      </w:r>
      <w:r>
        <w:rPr>
          <w:rFonts w:hint="eastAsia" w:ascii="宋体" w:hAnsi="宋体" w:eastAsia="宋体" w:cs="宋体"/>
          <w:sz w:val="24"/>
          <w:u w:val="single"/>
          <w:lang w:val="en-US" w:eastAsia="zh-CN"/>
        </w:rPr>
        <w:t xml:space="preserve"> </w:t>
      </w:r>
      <w:r>
        <w:rPr>
          <w:rFonts w:hint="eastAsia" w:ascii="宋体" w:hAnsi="宋体" w:eastAsia="宋体" w:cs="宋体"/>
          <w:sz w:val="24"/>
        </w:rPr>
        <w:t>%的扣除，用扣除后的价格参加评审。</w:t>
      </w:r>
    </w:p>
    <w:p>
      <w:pPr>
        <w:numPr>
          <w:ilvl w:val="2"/>
          <w:numId w:val="10"/>
        </w:numPr>
        <w:tabs>
          <w:tab w:val="left" w:pos="1080"/>
          <w:tab w:val="left" w:pos="1589"/>
          <w:tab w:val="left" w:pos="2035"/>
        </w:tabs>
        <w:snapToGrid w:val="0"/>
        <w:spacing w:line="360" w:lineRule="auto"/>
        <w:ind w:left="2035"/>
        <w:rPr>
          <w:rFonts w:hint="eastAsia" w:ascii="宋体" w:hAnsi="宋体" w:eastAsia="宋体" w:cs="宋体"/>
          <w:sz w:val="24"/>
        </w:rPr>
      </w:pPr>
      <w:r>
        <w:rPr>
          <w:rFonts w:hint="eastAsia" w:ascii="宋体" w:hAnsi="宋体" w:eastAsia="宋体" w:cs="宋体"/>
          <w:sz w:val="24"/>
        </w:rPr>
        <w:t>组成联合体或者接受分包的小微企业与联合体内其他企业、分包企业之间存在直接控股、管理关系的，不享受价格扣除优惠政策。</w:t>
      </w:r>
    </w:p>
    <w:p>
      <w:pPr>
        <w:numPr>
          <w:ilvl w:val="2"/>
          <w:numId w:val="10"/>
        </w:numPr>
        <w:tabs>
          <w:tab w:val="left" w:pos="1080"/>
          <w:tab w:val="left" w:pos="1589"/>
          <w:tab w:val="left" w:pos="2035"/>
        </w:tabs>
        <w:snapToGrid w:val="0"/>
        <w:spacing w:line="360" w:lineRule="auto"/>
        <w:ind w:left="2035"/>
        <w:rPr>
          <w:rFonts w:hint="eastAsia" w:ascii="宋体" w:hAnsi="宋体" w:eastAsia="宋体" w:cs="宋体"/>
          <w:sz w:val="24"/>
        </w:rPr>
      </w:pPr>
      <w:r>
        <w:rPr>
          <w:rFonts w:hint="eastAsia" w:ascii="宋体" w:hAnsi="宋体" w:eastAsia="宋体" w:cs="宋体"/>
          <w:sz w:val="24"/>
        </w:rPr>
        <w:t>价格扣除比例对小型企业和微型企业同等对待，不作区分。</w:t>
      </w:r>
    </w:p>
    <w:p>
      <w:pPr>
        <w:numPr>
          <w:ilvl w:val="2"/>
          <w:numId w:val="10"/>
        </w:numPr>
        <w:tabs>
          <w:tab w:val="left" w:pos="1080"/>
          <w:tab w:val="left" w:pos="1589"/>
          <w:tab w:val="left" w:pos="2035"/>
        </w:tabs>
        <w:snapToGrid w:val="0"/>
        <w:spacing w:line="360" w:lineRule="auto"/>
        <w:ind w:left="2035"/>
        <w:rPr>
          <w:rFonts w:hint="eastAsia" w:ascii="宋体" w:hAnsi="宋体" w:eastAsia="宋体" w:cs="宋体"/>
          <w:sz w:val="24"/>
        </w:rPr>
      </w:pPr>
      <w:r>
        <w:rPr>
          <w:rFonts w:hint="eastAsia" w:ascii="宋体" w:hAnsi="宋体" w:eastAsia="宋体" w:cs="宋体"/>
          <w:color w:val="000000" w:themeColor="text1"/>
          <w:sz w:val="24"/>
          <w14:textFill>
            <w14:solidFill>
              <w14:schemeClr w14:val="tx1"/>
            </w14:solidFill>
          </w14:textFill>
        </w:rPr>
        <w:t>中小企业参加政府采购活动，应当按照竞争性磋商文件给定的格式出具《中小企业声明函》，否则不得享受相关中小企业扶持政策。</w:t>
      </w:r>
    </w:p>
    <w:p>
      <w:pPr>
        <w:numPr>
          <w:ilvl w:val="2"/>
          <w:numId w:val="10"/>
        </w:numPr>
        <w:tabs>
          <w:tab w:val="left" w:pos="1080"/>
          <w:tab w:val="left" w:pos="1589"/>
          <w:tab w:val="left" w:pos="2035"/>
        </w:tabs>
        <w:snapToGrid w:val="0"/>
        <w:spacing w:line="360" w:lineRule="auto"/>
        <w:ind w:left="2035"/>
        <w:rPr>
          <w:rFonts w:hint="eastAsia" w:ascii="宋体" w:hAnsi="宋体" w:eastAsia="宋体" w:cs="宋体"/>
          <w:sz w:val="24"/>
        </w:rPr>
      </w:pPr>
      <w:r>
        <w:rPr>
          <w:rFonts w:hint="eastAsia" w:ascii="宋体" w:hAnsi="宋体" w:eastAsia="宋体" w:cs="宋体"/>
          <w:sz w:val="24"/>
        </w:rPr>
        <w:t>监狱企业提供了由省级以上监狱管理局（北京市含教育矫治局）、戒毒管理局（含新疆生产建设兵团）出具的属于监狱企业的证明文件的，视同小微企业。</w:t>
      </w:r>
    </w:p>
    <w:p>
      <w:pPr>
        <w:numPr>
          <w:ilvl w:val="2"/>
          <w:numId w:val="10"/>
        </w:numPr>
        <w:tabs>
          <w:tab w:val="left" w:pos="1080"/>
          <w:tab w:val="left" w:pos="1589"/>
          <w:tab w:val="left" w:pos="2035"/>
        </w:tabs>
        <w:snapToGrid w:val="0"/>
        <w:spacing w:line="360" w:lineRule="auto"/>
        <w:ind w:left="2035"/>
        <w:rPr>
          <w:rFonts w:hint="eastAsia" w:ascii="宋体" w:hAnsi="宋体" w:eastAsia="宋体" w:cs="宋体"/>
          <w:sz w:val="24"/>
        </w:rPr>
      </w:pPr>
      <w:r>
        <w:rPr>
          <w:rFonts w:hint="eastAsia" w:ascii="宋体" w:hAnsi="宋体" w:eastAsia="宋体" w:cs="宋体"/>
          <w:sz w:val="24"/>
        </w:rPr>
        <w:t>残疾人福利性单位按竞争性磋商文件要求提供了《残疾人福利性单位声明函》（见附件）的，视同小微企业。</w:t>
      </w:r>
    </w:p>
    <w:p>
      <w:pPr>
        <w:numPr>
          <w:ilvl w:val="2"/>
          <w:numId w:val="10"/>
        </w:numPr>
        <w:tabs>
          <w:tab w:val="left" w:pos="1080"/>
          <w:tab w:val="left" w:pos="1589"/>
          <w:tab w:val="left" w:pos="2014"/>
        </w:tabs>
        <w:snapToGrid w:val="0"/>
        <w:spacing w:line="360" w:lineRule="auto"/>
        <w:ind w:left="2035"/>
        <w:rPr>
          <w:rFonts w:hint="eastAsia" w:ascii="宋体" w:hAnsi="宋体" w:eastAsia="宋体" w:cs="宋体"/>
          <w:sz w:val="24"/>
        </w:rPr>
      </w:pPr>
      <w:r>
        <w:rPr>
          <w:rFonts w:hint="eastAsia" w:ascii="宋体" w:hAnsi="宋体" w:eastAsia="宋体" w:cs="宋体"/>
          <w:sz w:val="24"/>
        </w:rPr>
        <w:t>若供应商同时属于小型或微型企业、监狱企业、残疾人福利性单位中的两种及以上，将不重复享受小微企业价格扣减的优惠政策。</w:t>
      </w:r>
    </w:p>
    <w:p>
      <w:pPr>
        <w:numPr>
          <w:ilvl w:val="2"/>
          <w:numId w:val="10"/>
        </w:numPr>
        <w:tabs>
          <w:tab w:val="left" w:pos="1080"/>
          <w:tab w:val="left" w:pos="1589"/>
          <w:tab w:val="left" w:pos="2014"/>
        </w:tabs>
        <w:snapToGrid w:val="0"/>
        <w:spacing w:line="360" w:lineRule="auto"/>
        <w:ind w:left="2035"/>
        <w:rPr>
          <w:rFonts w:hint="eastAsia" w:ascii="宋体" w:hAnsi="宋体" w:eastAsia="宋体" w:cs="宋体"/>
          <w:sz w:val="24"/>
        </w:rPr>
      </w:pPr>
      <w:r>
        <w:rPr>
          <w:rFonts w:hint="eastAsia" w:ascii="宋体" w:hAnsi="宋体" w:eastAsia="宋体" w:cs="宋体"/>
          <w:sz w:val="24"/>
        </w:rPr>
        <w:t>其他为落实政府采购政策实施的优先采购：</w:t>
      </w:r>
      <w:r>
        <w:rPr>
          <w:rFonts w:hint="eastAsia" w:ascii="宋体" w:hAnsi="宋体" w:eastAsia="宋体" w:cs="宋体"/>
          <w:sz w:val="24"/>
          <w:u w:val="single"/>
          <w:lang w:val="en-US" w:eastAsia="zh-CN"/>
        </w:rPr>
        <w:t xml:space="preserve"> / </w:t>
      </w:r>
      <w:r>
        <w:rPr>
          <w:rFonts w:hint="eastAsia" w:ascii="宋体" w:hAnsi="宋体" w:eastAsia="宋体" w:cs="宋体"/>
          <w:sz w:val="24"/>
        </w:rPr>
        <w:t>。</w:t>
      </w:r>
    </w:p>
    <w:p>
      <w:pPr>
        <w:numPr>
          <w:ilvl w:val="0"/>
          <w:numId w:val="10"/>
        </w:numPr>
        <w:tabs>
          <w:tab w:val="left" w:pos="360"/>
        </w:tabs>
        <w:snapToGrid w:val="0"/>
        <w:spacing w:line="360" w:lineRule="auto"/>
        <w:outlineLvl w:val="1"/>
        <w:rPr>
          <w:rFonts w:hint="eastAsia" w:ascii="宋体" w:hAnsi="宋体" w:eastAsia="宋体" w:cs="宋体"/>
          <w:sz w:val="24"/>
        </w:rPr>
      </w:pPr>
      <w:r>
        <w:rPr>
          <w:rFonts w:hint="eastAsia" w:ascii="宋体" w:hAnsi="宋体" w:eastAsia="宋体" w:cs="宋体"/>
          <w:sz w:val="24"/>
        </w:rPr>
        <w:t>磋商环节及提交最后报价后如出现以下情况的，供应商的</w:t>
      </w:r>
      <w:r>
        <w:rPr>
          <w:rFonts w:hint="eastAsia" w:ascii="宋体" w:hAnsi="宋体" w:eastAsia="宋体" w:cs="宋体"/>
          <w:b/>
          <w:sz w:val="24"/>
        </w:rPr>
        <w:t>响应文件无效</w:t>
      </w:r>
      <w:r>
        <w:rPr>
          <w:rFonts w:hint="eastAsia" w:ascii="宋体" w:hAnsi="宋体" w:eastAsia="宋体" w:cs="宋体"/>
          <w:sz w:val="24"/>
        </w:rPr>
        <w:t>：</w:t>
      </w:r>
    </w:p>
    <w:p>
      <w:pPr>
        <w:numPr>
          <w:ilvl w:val="1"/>
          <w:numId w:val="10"/>
        </w:numPr>
        <w:tabs>
          <w:tab w:val="left" w:pos="1080"/>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供应商对实质性变动不予确认的；</w:t>
      </w:r>
    </w:p>
    <w:p>
      <w:pPr>
        <w:numPr>
          <w:ilvl w:val="1"/>
          <w:numId w:val="10"/>
        </w:numPr>
        <w:tabs>
          <w:tab w:val="left" w:pos="1080"/>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不满足磋商文件★号条款或磋商文件技术指标超出磋商文件《采购需求》中主要技术参数允许偏差的最大范围的（如有）；</w:t>
      </w:r>
    </w:p>
    <w:p>
      <w:pPr>
        <w:numPr>
          <w:ilvl w:val="1"/>
          <w:numId w:val="10"/>
        </w:numPr>
        <w:tabs>
          <w:tab w:val="left" w:pos="1080"/>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未按照磋商小组规定的时间、逾期提交最后报价的；</w:t>
      </w:r>
    </w:p>
    <w:p>
      <w:pPr>
        <w:numPr>
          <w:ilvl w:val="1"/>
          <w:numId w:val="10"/>
        </w:numPr>
        <w:tabs>
          <w:tab w:val="left" w:pos="1080"/>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如供应商的最后报价超过竞争性磋商文件中规定的项目/采购包预算金额或者项目/采购包最高限价的；</w:t>
      </w:r>
    </w:p>
    <w:p>
      <w:pPr>
        <w:numPr>
          <w:ilvl w:val="1"/>
          <w:numId w:val="10"/>
        </w:numPr>
        <w:tabs>
          <w:tab w:val="left" w:pos="1080"/>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响应文件中出现可选择性或可调整的报价的（竞争性磋商文件另有规定的除外）；</w:t>
      </w:r>
    </w:p>
    <w:p>
      <w:pPr>
        <w:numPr>
          <w:ilvl w:val="1"/>
          <w:numId w:val="10"/>
        </w:numPr>
        <w:tabs>
          <w:tab w:val="left" w:pos="1080"/>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最后报价出现前后不一致，供应商对修正后的报价不予确认的；</w:t>
      </w:r>
    </w:p>
    <w:p>
      <w:pPr>
        <w:numPr>
          <w:ilvl w:val="1"/>
          <w:numId w:val="10"/>
        </w:numPr>
        <w:tabs>
          <w:tab w:val="left" w:pos="1080"/>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其他：</w:t>
      </w:r>
      <w:r>
        <w:rPr>
          <w:rFonts w:hint="eastAsia" w:ascii="宋体" w:hAnsi="宋体" w:eastAsia="宋体" w:cs="宋体"/>
          <w:sz w:val="24"/>
          <w:u w:val="single"/>
          <w:lang w:val="en-US" w:eastAsia="zh-CN"/>
        </w:rPr>
        <w:t xml:space="preserve"> / </w:t>
      </w:r>
      <w:r>
        <w:rPr>
          <w:rFonts w:hint="eastAsia" w:ascii="宋体" w:hAnsi="宋体" w:eastAsia="宋体" w:cs="宋体"/>
          <w:sz w:val="24"/>
        </w:rPr>
        <w:t>。</w:t>
      </w:r>
    </w:p>
    <w:bookmarkEnd w:id="617"/>
    <w:bookmarkEnd w:id="618"/>
    <w:p>
      <w:pPr>
        <w:numPr>
          <w:ilvl w:val="0"/>
          <w:numId w:val="10"/>
        </w:numPr>
        <w:tabs>
          <w:tab w:val="left" w:pos="360"/>
        </w:tabs>
        <w:snapToGrid w:val="0"/>
        <w:spacing w:line="360" w:lineRule="auto"/>
        <w:outlineLvl w:val="1"/>
        <w:rPr>
          <w:rFonts w:hint="eastAsia" w:ascii="宋体" w:hAnsi="宋体" w:eastAsia="宋体" w:cs="宋体"/>
          <w:sz w:val="24"/>
        </w:rPr>
      </w:pPr>
      <w:r>
        <w:rPr>
          <w:rFonts w:hint="eastAsia" w:ascii="宋体" w:hAnsi="宋体" w:eastAsia="宋体" w:cs="宋体"/>
          <w:sz w:val="24"/>
        </w:rPr>
        <w:t>评审方法和评审标准</w:t>
      </w:r>
    </w:p>
    <w:p>
      <w:pPr>
        <w:numPr>
          <w:ilvl w:val="1"/>
          <w:numId w:val="10"/>
        </w:numPr>
        <w:tabs>
          <w:tab w:val="left" w:pos="1080"/>
          <w:tab w:val="left" w:pos="1872"/>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pPr>
        <w:numPr>
          <w:ilvl w:val="1"/>
          <w:numId w:val="10"/>
        </w:numPr>
        <w:tabs>
          <w:tab w:val="left" w:pos="1080"/>
          <w:tab w:val="left" w:pos="1872"/>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竞争性磋商文件中没有规定的评审标准不得作为评审依据。</w:t>
      </w:r>
    </w:p>
    <w:p>
      <w:pPr>
        <w:numPr>
          <w:ilvl w:val="1"/>
          <w:numId w:val="10"/>
        </w:numPr>
        <w:tabs>
          <w:tab w:val="left" w:pos="1080"/>
          <w:tab w:val="left" w:pos="1872"/>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非政府强制采购的节能产品或环境标志产品，依据品目清单和认证证书实施政府优先采购。优先采购的具体规定（如涉及）</w:t>
      </w:r>
      <w:r>
        <w:rPr>
          <w:rFonts w:hint="eastAsia" w:ascii="宋体" w:hAnsi="宋体" w:eastAsia="宋体" w:cs="宋体"/>
          <w:sz w:val="24"/>
          <w:u w:val="single"/>
          <w:lang w:val="en-US" w:eastAsia="zh-CN"/>
        </w:rPr>
        <w:t xml:space="preserve"> / </w:t>
      </w:r>
      <w:r>
        <w:rPr>
          <w:rFonts w:hint="eastAsia" w:ascii="宋体" w:hAnsi="宋体" w:eastAsia="宋体" w:cs="宋体"/>
          <w:sz w:val="24"/>
        </w:rPr>
        <w:t>。</w:t>
      </w:r>
    </w:p>
    <w:p>
      <w:pPr>
        <w:numPr>
          <w:ilvl w:val="1"/>
          <w:numId w:val="10"/>
        </w:numPr>
        <w:tabs>
          <w:tab w:val="left" w:pos="1080"/>
          <w:tab w:val="left" w:pos="1872"/>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关于无线局域网认证产品政府采购清单中的产品，优先采购的具体规定（如涉及）</w:t>
      </w:r>
      <w:r>
        <w:rPr>
          <w:rFonts w:hint="eastAsia" w:ascii="宋体" w:hAnsi="宋体" w:eastAsia="宋体" w:cs="宋体"/>
          <w:sz w:val="24"/>
          <w:u w:val="single"/>
          <w:lang w:val="en-US" w:eastAsia="zh-CN"/>
        </w:rPr>
        <w:t xml:space="preserve"> / </w:t>
      </w:r>
      <w:r>
        <w:rPr>
          <w:rFonts w:hint="eastAsia" w:ascii="宋体" w:hAnsi="宋体" w:eastAsia="宋体" w:cs="宋体"/>
          <w:sz w:val="24"/>
        </w:rPr>
        <w:t>。</w:t>
      </w:r>
    </w:p>
    <w:p>
      <w:pPr>
        <w:numPr>
          <w:ilvl w:val="0"/>
          <w:numId w:val="10"/>
        </w:numPr>
        <w:tabs>
          <w:tab w:val="left" w:pos="360"/>
        </w:tabs>
        <w:snapToGrid w:val="0"/>
        <w:spacing w:line="360" w:lineRule="auto"/>
        <w:outlineLvl w:val="1"/>
        <w:rPr>
          <w:rFonts w:hint="eastAsia" w:ascii="宋体" w:hAnsi="宋体" w:eastAsia="宋体" w:cs="宋体"/>
          <w:sz w:val="24"/>
        </w:rPr>
      </w:pPr>
      <w:r>
        <w:rPr>
          <w:rFonts w:hint="eastAsia" w:ascii="宋体" w:hAnsi="宋体" w:eastAsia="宋体" w:cs="宋体"/>
          <w:sz w:val="24"/>
        </w:rPr>
        <w:t>确定</w:t>
      </w:r>
      <w:bookmarkStart w:id="634" w:name="_Toc151193644"/>
      <w:bookmarkStart w:id="635" w:name="_Toc127161460"/>
      <w:bookmarkStart w:id="636" w:name="_Toc151193934"/>
      <w:bookmarkStart w:id="637" w:name="_Toc264969236"/>
      <w:bookmarkStart w:id="638" w:name="_Toc150774646"/>
      <w:bookmarkStart w:id="639" w:name="_Toc226309790"/>
      <w:bookmarkStart w:id="640" w:name="_Toc305158814"/>
      <w:bookmarkStart w:id="641" w:name="_Toc164608815"/>
      <w:bookmarkStart w:id="642" w:name="_Toc265228384"/>
      <w:bookmarkStart w:id="643" w:name="_Toc305158888"/>
      <w:bookmarkStart w:id="644" w:name="_Toc164229241"/>
      <w:bookmarkStart w:id="645" w:name="_Toc151190173"/>
      <w:bookmarkStart w:id="646" w:name="_Toc164229387"/>
      <w:bookmarkStart w:id="647" w:name="_Toc195842911"/>
      <w:bookmarkStart w:id="648" w:name="_Toc142311048"/>
      <w:bookmarkStart w:id="649" w:name="_Ref467307010"/>
      <w:bookmarkStart w:id="650" w:name="_Toc127151747"/>
      <w:bookmarkStart w:id="651" w:name="_Toc149720839"/>
      <w:bookmarkStart w:id="652" w:name="_Toc151193716"/>
      <w:bookmarkStart w:id="653" w:name="_Toc150509297"/>
      <w:bookmarkStart w:id="654" w:name="_Toc520356170"/>
      <w:bookmarkStart w:id="655" w:name="_Toc164351640"/>
      <w:bookmarkStart w:id="656" w:name="_Toc164608660"/>
      <w:bookmarkStart w:id="657" w:name="_Toc150774751"/>
      <w:bookmarkStart w:id="658" w:name="_Toc151193788"/>
      <w:bookmarkStart w:id="659" w:name="_Toc127151546"/>
      <w:bookmarkStart w:id="660" w:name="_Toc226965819"/>
      <w:bookmarkStart w:id="661" w:name="_Toc226337242"/>
      <w:bookmarkStart w:id="662" w:name="_Toc151193860"/>
      <w:bookmarkStart w:id="663" w:name="_Toc150480784"/>
      <w:bookmarkStart w:id="664" w:name="_Toc226965736"/>
      <w:r>
        <w:rPr>
          <w:rFonts w:hint="eastAsia" w:ascii="宋体" w:hAnsi="宋体" w:eastAsia="宋体" w:cs="宋体"/>
          <w:sz w:val="24"/>
        </w:rPr>
        <w:t>成交候选人名单</w:t>
      </w:r>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p>
    <w:p>
      <w:pPr>
        <w:numPr>
          <w:ilvl w:val="1"/>
          <w:numId w:val="10"/>
        </w:numPr>
        <w:tabs>
          <w:tab w:val="left" w:pos="1080"/>
          <w:tab w:val="left" w:pos="1872"/>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 xml:space="preserve">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p>
    <w:p>
      <w:pPr>
        <w:numPr>
          <w:ilvl w:val="1"/>
          <w:numId w:val="10"/>
        </w:numPr>
        <w:tabs>
          <w:tab w:val="left" w:pos="1080"/>
          <w:tab w:val="left" w:pos="1872"/>
        </w:tabs>
        <w:snapToGrid w:val="0"/>
        <w:spacing w:line="360" w:lineRule="auto"/>
        <w:ind w:left="1077" w:hanging="720"/>
        <w:rPr>
          <w:rFonts w:hint="eastAsia" w:ascii="宋体" w:hAnsi="宋体" w:eastAsia="宋体" w:cs="宋体"/>
          <w:sz w:val="24"/>
        </w:rPr>
      </w:pPr>
      <w:r>
        <w:rPr>
          <w:rFonts w:hint="eastAsia" w:ascii="宋体" w:hAnsi="宋体" w:eastAsia="宋体" w:cs="宋体"/>
          <w:kern w:val="0"/>
          <w:sz w:val="24"/>
          <w:szCs w:val="20"/>
        </w:rPr>
        <w:t>磋商小组根据上述供应商排序，依次推荐排序前</w:t>
      </w:r>
      <w:r>
        <w:rPr>
          <w:rFonts w:hint="eastAsia" w:ascii="宋体" w:hAnsi="宋体" w:eastAsia="宋体" w:cs="宋体"/>
          <w:sz w:val="24"/>
          <w:u w:val="single"/>
          <w:lang w:val="en-US" w:eastAsia="zh-CN"/>
        </w:rPr>
        <w:t xml:space="preserve"> 3 </w:t>
      </w:r>
      <w:r>
        <w:rPr>
          <w:rFonts w:hint="eastAsia" w:ascii="宋体" w:hAnsi="宋体" w:eastAsia="宋体" w:cs="宋体"/>
          <w:sz w:val="24"/>
        </w:rPr>
        <w:t>名</w:t>
      </w:r>
      <w:r>
        <w:rPr>
          <w:rFonts w:hint="eastAsia" w:ascii="宋体" w:hAnsi="宋体" w:eastAsia="宋体" w:cs="宋体"/>
          <w:kern w:val="0"/>
          <w:sz w:val="24"/>
          <w:szCs w:val="20"/>
        </w:rPr>
        <w:t>的供应商为</w:t>
      </w:r>
      <w:r>
        <w:rPr>
          <w:rFonts w:hint="eastAsia" w:ascii="宋体" w:hAnsi="宋体" w:eastAsia="宋体" w:cs="宋体"/>
          <w:snapToGrid w:val="0"/>
          <w:kern w:val="0"/>
          <w:sz w:val="24"/>
          <w:szCs w:val="21"/>
        </w:rPr>
        <w:t>成交候选供应商</w:t>
      </w:r>
      <w:r>
        <w:rPr>
          <w:rFonts w:hint="eastAsia" w:ascii="宋体" w:hAnsi="宋体" w:eastAsia="宋体" w:cs="宋体"/>
          <w:kern w:val="0"/>
          <w:sz w:val="24"/>
          <w:szCs w:val="20"/>
        </w:rPr>
        <w:t>（若在磋商文件允许的情形下提交最后报价的供应商为二家，则依次推荐二名供应商为成交候选供应商），并编写评审报告。</w:t>
      </w:r>
    </w:p>
    <w:p>
      <w:pPr>
        <w:numPr>
          <w:ilvl w:val="1"/>
          <w:numId w:val="10"/>
        </w:numPr>
        <w:tabs>
          <w:tab w:val="left" w:pos="1080"/>
          <w:tab w:val="left" w:pos="1872"/>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磋商小组要对评分汇总情况进行复核，特别是对排名第一的、报价最低的、响应文件被认定为无效的情形进行重点复核。</w:t>
      </w:r>
    </w:p>
    <w:p>
      <w:pPr>
        <w:numPr>
          <w:ilvl w:val="0"/>
          <w:numId w:val="10"/>
        </w:numPr>
        <w:tabs>
          <w:tab w:val="left" w:pos="360"/>
        </w:tabs>
        <w:snapToGrid w:val="0"/>
        <w:spacing w:line="360" w:lineRule="auto"/>
        <w:outlineLvl w:val="1"/>
        <w:rPr>
          <w:rFonts w:hint="eastAsia" w:ascii="宋体" w:hAnsi="宋体" w:eastAsia="宋体" w:cs="宋体"/>
          <w:sz w:val="24"/>
        </w:rPr>
      </w:pPr>
      <w:r>
        <w:rPr>
          <w:rFonts w:hint="eastAsia" w:ascii="宋体" w:hAnsi="宋体" w:eastAsia="宋体" w:cs="宋体"/>
          <w:sz w:val="24"/>
        </w:rPr>
        <w:t>报告违法行为</w:t>
      </w:r>
    </w:p>
    <w:p>
      <w:pPr>
        <w:widowControl/>
        <w:numPr>
          <w:ilvl w:val="1"/>
          <w:numId w:val="10"/>
        </w:numPr>
        <w:tabs>
          <w:tab w:val="left" w:pos="1080"/>
          <w:tab w:val="left" w:pos="1872"/>
        </w:tabs>
        <w:snapToGrid w:val="0"/>
        <w:spacing w:line="360" w:lineRule="auto"/>
        <w:ind w:left="1077" w:hanging="720"/>
        <w:jc w:val="left"/>
        <w:rPr>
          <w:rFonts w:hint="eastAsia" w:ascii="宋体" w:hAnsi="宋体" w:eastAsia="宋体" w:cs="宋体"/>
          <w:b/>
          <w:sz w:val="24"/>
        </w:rPr>
      </w:pPr>
      <w:r>
        <w:rPr>
          <w:rFonts w:hint="eastAsia" w:ascii="宋体" w:hAnsi="宋体" w:eastAsia="宋体" w:cs="宋体"/>
          <w:sz w:val="24"/>
        </w:rPr>
        <w:t>磋商小组在评审过程中发现供应商有行贿、提供虚假材料或者串通等违法行为时，有向采购人、采购代理机构或者有关部门报告的职责。</w:t>
      </w:r>
      <w:r>
        <w:rPr>
          <w:rFonts w:hint="eastAsia" w:ascii="宋体" w:hAnsi="宋体" w:eastAsia="宋体" w:cs="宋体"/>
          <w:b/>
          <w:sz w:val="24"/>
        </w:rPr>
        <w:br w:type="page"/>
      </w:r>
    </w:p>
    <w:p>
      <w:pPr>
        <w:numPr>
          <w:ilvl w:val="0"/>
          <w:numId w:val="11"/>
        </w:numPr>
        <w:shd w:val="clear" w:color="auto" w:fill="auto"/>
        <w:tabs>
          <w:tab w:val="left" w:pos="360"/>
          <w:tab w:val="left" w:pos="900"/>
        </w:tabs>
        <w:snapToGrid w:val="0"/>
        <w:spacing w:after="0" w:line="360" w:lineRule="auto"/>
        <w:jc w:val="center"/>
        <w:outlineLvl w:val="1"/>
        <w:rPr>
          <w:rFonts w:hint="eastAsia" w:ascii="宋体" w:hAnsi="宋体" w:eastAsia="宋体" w:cs="宋体"/>
          <w:color w:val="auto"/>
        </w:rPr>
      </w:pPr>
      <w:bookmarkStart w:id="665" w:name="_Toc8882"/>
      <w:r>
        <w:rPr>
          <w:rFonts w:hint="eastAsia" w:ascii="宋体" w:hAnsi="宋体" w:eastAsia="宋体" w:cs="宋体"/>
          <w:b/>
          <w:color w:val="auto"/>
          <w:sz w:val="24"/>
        </w:rPr>
        <w:t>评标标准</w:t>
      </w:r>
      <w:bookmarkEnd w:id="665"/>
    </w:p>
    <w:tbl>
      <w:tblPr>
        <w:tblStyle w:val="47"/>
        <w:tblW w:w="9767" w:type="dxa"/>
        <w:tblInd w:w="-35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7"/>
        <w:gridCol w:w="1448"/>
        <w:gridCol w:w="677"/>
        <w:gridCol w:w="5713"/>
        <w:gridCol w:w="12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667" w:type="dxa"/>
            <w:vAlign w:val="center"/>
          </w:tcPr>
          <w:p>
            <w:pPr>
              <w:spacing w:after="0"/>
              <w:ind w:firstLine="28"/>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序号</w:t>
            </w:r>
          </w:p>
        </w:tc>
        <w:tc>
          <w:tcPr>
            <w:tcW w:w="1448" w:type="dxa"/>
            <w:vAlign w:val="center"/>
          </w:tcPr>
          <w:p>
            <w:pPr>
              <w:spacing w:after="0"/>
              <w:ind w:firstLine="28"/>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评分因素</w:t>
            </w:r>
          </w:p>
        </w:tc>
        <w:tc>
          <w:tcPr>
            <w:tcW w:w="677" w:type="dxa"/>
            <w:vAlign w:val="center"/>
          </w:tcPr>
          <w:p>
            <w:pPr>
              <w:spacing w:after="0"/>
              <w:ind w:firstLine="28"/>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分值</w:t>
            </w:r>
          </w:p>
        </w:tc>
        <w:tc>
          <w:tcPr>
            <w:tcW w:w="5713" w:type="dxa"/>
            <w:vAlign w:val="center"/>
          </w:tcPr>
          <w:p>
            <w:pPr>
              <w:spacing w:after="0"/>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评分标准</w:t>
            </w:r>
          </w:p>
        </w:tc>
        <w:tc>
          <w:tcPr>
            <w:tcW w:w="1262" w:type="dxa"/>
            <w:vAlign w:val="center"/>
          </w:tcPr>
          <w:p>
            <w:pPr>
              <w:pStyle w:val="255"/>
              <w:spacing w:before="0" w:after="0"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9767" w:type="dxa"/>
            <w:gridSpan w:val="5"/>
            <w:vAlign w:val="center"/>
          </w:tcPr>
          <w:p>
            <w:pPr>
              <w:pStyle w:val="255"/>
              <w:spacing w:before="0" w:after="0" w:line="240" w:lineRule="auto"/>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商务部分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0" w:hRule="atLeast"/>
        </w:trPr>
        <w:tc>
          <w:tcPr>
            <w:tcW w:w="667" w:type="dxa"/>
            <w:vAlign w:val="center"/>
          </w:tcPr>
          <w:p>
            <w:pPr>
              <w:spacing w:after="0" w:line="240" w:lineRule="auto"/>
              <w:ind w:firstLine="28"/>
              <w:jc w:val="center"/>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1</w:t>
            </w:r>
          </w:p>
        </w:tc>
        <w:tc>
          <w:tcPr>
            <w:tcW w:w="1448" w:type="dxa"/>
            <w:vAlign w:val="center"/>
          </w:tcPr>
          <w:p>
            <w:pPr>
              <w:spacing w:after="0" w:line="240" w:lineRule="auto"/>
              <w:ind w:firstLine="28"/>
              <w:jc w:val="center"/>
              <w:rPr>
                <w:rFonts w:hint="eastAsia" w:ascii="宋体" w:hAnsi="宋体" w:eastAsia="宋体" w:cs="宋体"/>
                <w:b w:val="0"/>
                <w:bCs/>
                <w:color w:val="auto"/>
                <w:sz w:val="21"/>
                <w:szCs w:val="21"/>
                <w:lang w:eastAsia="zh-CN"/>
              </w:rPr>
            </w:pPr>
            <w:r>
              <w:rPr>
                <w:rFonts w:hint="eastAsia" w:ascii="宋体" w:hAnsi="宋体" w:eastAsia="宋体" w:cs="宋体"/>
                <w:b w:val="0"/>
                <w:bCs/>
                <w:color w:val="auto"/>
                <w:sz w:val="21"/>
                <w:szCs w:val="21"/>
                <w:lang w:eastAsia="zh-CN"/>
              </w:rPr>
              <w:t>类似业绩</w:t>
            </w:r>
          </w:p>
        </w:tc>
        <w:tc>
          <w:tcPr>
            <w:tcW w:w="677" w:type="dxa"/>
            <w:vAlign w:val="center"/>
          </w:tcPr>
          <w:p>
            <w:pPr>
              <w:spacing w:after="0" w:line="360" w:lineRule="auto"/>
              <w:ind w:firstLine="28"/>
              <w:jc w:val="center"/>
              <w:rPr>
                <w:rFonts w:hint="eastAsia" w:ascii="宋体" w:hAnsi="宋体" w:eastAsia="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6</w:t>
            </w:r>
          </w:p>
        </w:tc>
        <w:tc>
          <w:tcPr>
            <w:tcW w:w="5713" w:type="dxa"/>
            <w:vAlign w:val="center"/>
          </w:tcPr>
          <w:p>
            <w:pPr>
              <w:spacing w:after="0" w:line="240" w:lineRule="auto"/>
              <w:ind w:firstLine="28"/>
              <w:jc w:val="lef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投标人近3年（20</w:t>
            </w:r>
            <w:r>
              <w:rPr>
                <w:rFonts w:hint="eastAsia" w:ascii="宋体" w:hAnsi="宋体" w:cs="宋体"/>
                <w:b w:val="0"/>
                <w:bCs/>
                <w:color w:val="auto"/>
                <w:sz w:val="21"/>
                <w:szCs w:val="21"/>
                <w:highlight w:val="none"/>
                <w:lang w:val="en-US" w:eastAsia="zh-CN"/>
              </w:rPr>
              <w:t>21</w:t>
            </w:r>
            <w:r>
              <w:rPr>
                <w:rFonts w:hint="eastAsia" w:ascii="宋体" w:hAnsi="宋体" w:eastAsia="宋体" w:cs="宋体"/>
                <w:b w:val="0"/>
                <w:bCs/>
                <w:color w:val="auto"/>
                <w:sz w:val="21"/>
                <w:szCs w:val="21"/>
                <w:highlight w:val="none"/>
                <w:lang w:val="en-US" w:eastAsia="zh-CN"/>
              </w:rPr>
              <w:t>年</w:t>
            </w:r>
            <w:r>
              <w:rPr>
                <w:rFonts w:hint="eastAsia" w:ascii="宋体" w:hAnsi="宋体" w:cs="宋体"/>
                <w:b w:val="0"/>
                <w:bCs/>
                <w:color w:val="auto"/>
                <w:sz w:val="21"/>
                <w:szCs w:val="21"/>
                <w:highlight w:val="none"/>
                <w:lang w:val="en-US" w:eastAsia="zh-CN"/>
              </w:rPr>
              <w:t>05</w:t>
            </w:r>
            <w:r>
              <w:rPr>
                <w:rFonts w:hint="eastAsia" w:ascii="宋体" w:hAnsi="宋体" w:eastAsia="宋体" w:cs="宋体"/>
                <w:b w:val="0"/>
                <w:bCs/>
                <w:color w:val="auto"/>
                <w:sz w:val="21"/>
                <w:szCs w:val="21"/>
                <w:highlight w:val="none"/>
                <w:lang w:val="en-US" w:eastAsia="zh-CN"/>
              </w:rPr>
              <w:t>月至今）内承担过类似</w:t>
            </w:r>
            <w:r>
              <w:rPr>
                <w:rFonts w:hint="eastAsia" w:ascii="宋体" w:hAnsi="宋体" w:cs="宋体"/>
                <w:b w:val="0"/>
                <w:bCs/>
                <w:color w:val="auto"/>
                <w:sz w:val="21"/>
                <w:szCs w:val="21"/>
                <w:highlight w:val="none"/>
                <w:lang w:val="en-US" w:eastAsia="zh-CN"/>
              </w:rPr>
              <w:t>项目</w:t>
            </w:r>
            <w:r>
              <w:rPr>
                <w:rFonts w:hint="eastAsia" w:ascii="宋体" w:hAnsi="宋体" w:eastAsia="宋体" w:cs="宋体"/>
                <w:b w:val="0"/>
                <w:bCs/>
                <w:color w:val="auto"/>
                <w:sz w:val="21"/>
                <w:szCs w:val="21"/>
                <w:highlight w:val="none"/>
                <w:lang w:val="en-US" w:eastAsia="zh-CN"/>
              </w:rPr>
              <w:t>业绩，每提供一个有效业绩2分，最高得</w:t>
            </w:r>
            <w:r>
              <w:rPr>
                <w:rFonts w:hint="eastAsia" w:ascii="宋体" w:hAnsi="宋体" w:cs="宋体"/>
                <w:b w:val="0"/>
                <w:bCs/>
                <w:color w:val="auto"/>
                <w:sz w:val="21"/>
                <w:szCs w:val="21"/>
                <w:highlight w:val="none"/>
                <w:lang w:val="en-US" w:eastAsia="zh-CN"/>
              </w:rPr>
              <w:t>6</w:t>
            </w:r>
            <w:r>
              <w:rPr>
                <w:rFonts w:hint="eastAsia" w:ascii="宋体" w:hAnsi="宋体" w:eastAsia="宋体" w:cs="宋体"/>
                <w:b w:val="0"/>
                <w:bCs/>
                <w:color w:val="auto"/>
                <w:sz w:val="21"/>
                <w:szCs w:val="21"/>
                <w:highlight w:val="none"/>
                <w:lang w:val="en-US" w:eastAsia="zh-CN"/>
              </w:rPr>
              <w:t>分。（须提供相应的合同首页、服务标的（内容）页、与合同双方盖章页</w:t>
            </w:r>
            <w:r>
              <w:rPr>
                <w:rFonts w:hint="eastAsia" w:ascii="宋体" w:hAnsi="宋体" w:cs="宋体"/>
                <w:b w:val="0"/>
                <w:bCs/>
                <w:color w:val="auto"/>
                <w:sz w:val="21"/>
                <w:szCs w:val="21"/>
                <w:highlight w:val="none"/>
                <w:lang w:val="en-US" w:eastAsia="zh-CN"/>
              </w:rPr>
              <w:t>扫描件</w:t>
            </w:r>
            <w:r>
              <w:rPr>
                <w:rFonts w:hint="eastAsia" w:ascii="宋体" w:hAnsi="宋体" w:eastAsia="宋体" w:cs="宋体"/>
                <w:b w:val="0"/>
                <w:bCs/>
                <w:color w:val="auto"/>
                <w:sz w:val="21"/>
                <w:szCs w:val="21"/>
                <w:highlight w:val="none"/>
                <w:lang w:val="en-US" w:eastAsia="zh-CN"/>
              </w:rPr>
              <w:t>并加盖</w:t>
            </w:r>
            <w:r>
              <w:rPr>
                <w:rFonts w:hint="eastAsia" w:ascii="宋体" w:hAnsi="宋体" w:cs="宋体"/>
                <w:b w:val="0"/>
                <w:bCs/>
                <w:color w:val="auto"/>
                <w:sz w:val="21"/>
                <w:szCs w:val="21"/>
                <w:highlight w:val="none"/>
                <w:lang w:val="en-US" w:eastAsia="zh-CN"/>
              </w:rPr>
              <w:t>电子章</w:t>
            </w:r>
            <w:r>
              <w:rPr>
                <w:rFonts w:hint="eastAsia" w:ascii="宋体" w:hAnsi="宋体" w:eastAsia="宋体" w:cs="宋体"/>
                <w:b w:val="0"/>
                <w:bCs/>
                <w:color w:val="auto"/>
                <w:sz w:val="21"/>
                <w:szCs w:val="21"/>
                <w:highlight w:val="none"/>
                <w:lang w:val="en-US" w:eastAsia="zh-CN"/>
              </w:rPr>
              <w:t>，未按要求提供完整材料的不得分。</w:t>
            </w:r>
          </w:p>
        </w:tc>
        <w:tc>
          <w:tcPr>
            <w:tcW w:w="1262" w:type="dxa"/>
            <w:vAlign w:val="center"/>
          </w:tcPr>
          <w:p>
            <w:pPr>
              <w:pStyle w:val="255"/>
              <w:spacing w:before="0" w:after="0" w:line="360" w:lineRule="auto"/>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9767" w:type="dxa"/>
            <w:gridSpan w:val="5"/>
            <w:vAlign w:val="center"/>
          </w:tcPr>
          <w:p>
            <w:pPr>
              <w:pStyle w:val="255"/>
              <w:spacing w:before="0" w:after="0" w:line="240" w:lineRule="auto"/>
              <w:rPr>
                <w:rFonts w:hint="eastAsia" w:ascii="宋体" w:hAnsi="宋体" w:eastAsia="宋体" w:cs="宋体"/>
                <w:b w:val="0"/>
                <w:bCs/>
                <w:color w:val="auto"/>
                <w:sz w:val="21"/>
                <w:szCs w:val="21"/>
                <w:lang w:val="en-US" w:eastAsia="zh-CN"/>
              </w:rPr>
            </w:pPr>
            <w:r>
              <w:rPr>
                <w:rFonts w:hint="eastAsia" w:ascii="宋体" w:hAnsi="宋体" w:eastAsia="宋体" w:cs="宋体"/>
                <w:b/>
                <w:bCs w:val="0"/>
                <w:color w:val="auto"/>
                <w:sz w:val="21"/>
                <w:szCs w:val="21"/>
                <w:lang w:val="en-US" w:eastAsia="zh-CN"/>
              </w:rPr>
              <w:t>技术部分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1" w:hRule="atLeast"/>
        </w:trPr>
        <w:tc>
          <w:tcPr>
            <w:tcW w:w="667" w:type="dxa"/>
            <w:vAlign w:val="center"/>
          </w:tcPr>
          <w:p>
            <w:pPr>
              <w:spacing w:after="0" w:line="240" w:lineRule="auto"/>
              <w:ind w:firstLine="28"/>
              <w:jc w:val="center"/>
              <w:rPr>
                <w:rFonts w:hint="eastAsia" w:ascii="宋体" w:hAnsi="宋体" w:eastAsia="宋体" w:cs="宋体"/>
                <w:b w:val="0"/>
                <w:bCs/>
                <w:color w:val="auto"/>
                <w:sz w:val="21"/>
                <w:szCs w:val="21"/>
                <w:lang w:val="en-US" w:eastAsia="zh-CN"/>
              </w:rPr>
            </w:pPr>
            <w:r>
              <w:rPr>
                <w:rFonts w:hint="eastAsia" w:ascii="宋体" w:hAnsi="宋体" w:cs="宋体"/>
                <w:b w:val="0"/>
                <w:bCs/>
                <w:color w:val="auto"/>
                <w:sz w:val="21"/>
                <w:szCs w:val="21"/>
                <w:lang w:val="en-US" w:eastAsia="zh-CN"/>
              </w:rPr>
              <w:t>1</w:t>
            </w:r>
          </w:p>
        </w:tc>
        <w:tc>
          <w:tcPr>
            <w:tcW w:w="1448"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28"/>
              <w:jc w:val="center"/>
              <w:textAlignment w:val="auto"/>
              <w:rPr>
                <w:rFonts w:hint="eastAsia" w:ascii="宋体" w:hAnsi="宋体" w:eastAsia="宋体" w:cs="宋体"/>
                <w:b w:val="0"/>
                <w:bCs/>
                <w:color w:val="auto"/>
                <w:sz w:val="21"/>
                <w:szCs w:val="21"/>
                <w:lang w:val="en-US" w:eastAsia="zh-CN"/>
              </w:rPr>
            </w:pPr>
            <w:r>
              <w:rPr>
                <w:rFonts w:hint="eastAsia" w:ascii="宋体" w:hAnsi="宋体" w:eastAsia="宋体" w:cs="宋体"/>
                <w:b w:val="0"/>
                <w:bCs/>
                <w:sz w:val="21"/>
                <w:szCs w:val="21"/>
                <w:highlight w:val="none"/>
              </w:rPr>
              <w:t>施工方案与技术措施</w:t>
            </w:r>
          </w:p>
        </w:tc>
        <w:tc>
          <w:tcPr>
            <w:tcW w:w="677" w:type="dxa"/>
            <w:vAlign w:val="center"/>
          </w:tcPr>
          <w:p>
            <w:pPr>
              <w:keepNext w:val="0"/>
              <w:keepLines w:val="0"/>
              <w:pageBreakBefore w:val="0"/>
              <w:widowControl w:val="0"/>
              <w:kinsoku/>
              <w:wordWrap/>
              <w:overflowPunct/>
              <w:topLinePunct w:val="0"/>
              <w:autoSpaceDE/>
              <w:autoSpaceDN/>
              <w:bidi w:val="0"/>
              <w:adjustRightInd/>
              <w:snapToGrid/>
              <w:spacing w:line="360" w:lineRule="auto"/>
              <w:ind w:firstLine="28" w:firstLineChars="0"/>
              <w:jc w:val="center"/>
              <w:textAlignment w:val="auto"/>
              <w:rPr>
                <w:rFonts w:hint="default" w:ascii="宋体" w:hAnsi="宋体" w:eastAsia="宋体" w:cs="宋体"/>
                <w:b w:val="0"/>
                <w:bCs/>
                <w:color w:val="auto"/>
                <w:sz w:val="21"/>
                <w:szCs w:val="21"/>
                <w:lang w:val="en-US"/>
              </w:rPr>
            </w:pPr>
            <w:r>
              <w:rPr>
                <w:rFonts w:hint="eastAsia" w:ascii="宋体" w:hAnsi="宋体" w:cs="宋体"/>
                <w:b w:val="0"/>
                <w:bCs/>
                <w:sz w:val="21"/>
                <w:szCs w:val="21"/>
                <w:highlight w:val="none"/>
                <w:lang w:val="en-US" w:eastAsia="zh-CN"/>
              </w:rPr>
              <w:t>10</w:t>
            </w:r>
          </w:p>
        </w:tc>
        <w:tc>
          <w:tcPr>
            <w:tcW w:w="5713"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28"/>
              <w:jc w:val="left"/>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方案</w:t>
            </w:r>
            <w:r>
              <w:rPr>
                <w:rFonts w:hint="eastAsia" w:ascii="宋体" w:hAnsi="宋体" w:cs="宋体"/>
                <w:b w:val="0"/>
                <w:bCs/>
                <w:sz w:val="21"/>
                <w:szCs w:val="21"/>
                <w:highlight w:val="none"/>
                <w:lang w:val="en-US" w:eastAsia="zh-CN"/>
              </w:rPr>
              <w:t>科学合理、针对性强</w:t>
            </w:r>
            <w:r>
              <w:rPr>
                <w:rFonts w:hint="eastAsia" w:ascii="宋体" w:hAnsi="宋体" w:eastAsia="宋体" w:cs="宋体"/>
                <w:b w:val="0"/>
                <w:bCs/>
                <w:sz w:val="21"/>
                <w:szCs w:val="21"/>
                <w:highlight w:val="none"/>
              </w:rPr>
              <w:t>，有完善的建设规划、部署和</w:t>
            </w:r>
            <w:r>
              <w:rPr>
                <w:rFonts w:hint="eastAsia" w:ascii="宋体" w:hAnsi="宋体" w:cs="宋体"/>
                <w:b w:val="0"/>
                <w:bCs/>
                <w:sz w:val="21"/>
                <w:szCs w:val="21"/>
                <w:highlight w:val="none"/>
                <w:lang w:val="en-US" w:eastAsia="zh-CN"/>
              </w:rPr>
              <w:t>技术</w:t>
            </w:r>
            <w:r>
              <w:rPr>
                <w:rFonts w:hint="eastAsia" w:ascii="宋体" w:hAnsi="宋体" w:eastAsia="宋体" w:cs="宋体"/>
                <w:b w:val="0"/>
                <w:bCs/>
                <w:sz w:val="21"/>
                <w:szCs w:val="21"/>
                <w:highlight w:val="none"/>
              </w:rPr>
              <w:t>措施</w:t>
            </w:r>
            <w:r>
              <w:rPr>
                <w:rFonts w:hint="eastAsia" w:ascii="宋体" w:hAnsi="宋体" w:cs="宋体"/>
                <w:b w:val="0"/>
                <w:bCs/>
                <w:sz w:val="21"/>
                <w:szCs w:val="21"/>
                <w:highlight w:val="none"/>
                <w:lang w:eastAsia="zh-CN"/>
              </w:rPr>
              <w:t>，</w:t>
            </w:r>
            <w:r>
              <w:rPr>
                <w:rFonts w:hint="eastAsia" w:ascii="宋体" w:hAnsi="宋体" w:eastAsia="宋体" w:cs="宋体"/>
                <w:b w:val="0"/>
                <w:bCs/>
                <w:sz w:val="21"/>
                <w:szCs w:val="21"/>
                <w:highlight w:val="none"/>
              </w:rPr>
              <w:t>得</w:t>
            </w:r>
            <w:r>
              <w:rPr>
                <w:rFonts w:hint="eastAsia" w:ascii="宋体" w:hAnsi="宋体" w:cs="宋体"/>
                <w:b w:val="0"/>
                <w:bCs/>
                <w:sz w:val="21"/>
                <w:szCs w:val="21"/>
                <w:highlight w:val="none"/>
                <w:lang w:val="en-US" w:eastAsia="zh-CN"/>
              </w:rPr>
              <w:t>10</w:t>
            </w:r>
            <w:r>
              <w:rPr>
                <w:rFonts w:hint="eastAsia" w:ascii="宋体" w:hAnsi="宋体" w:eastAsia="宋体" w:cs="宋体"/>
                <w:b w:val="0"/>
                <w:bCs/>
                <w:sz w:val="21"/>
                <w:szCs w:val="21"/>
                <w:highlight w:val="none"/>
              </w:rPr>
              <w:t>分；</w:t>
            </w:r>
          </w:p>
          <w:p>
            <w:pPr>
              <w:keepNext w:val="0"/>
              <w:keepLines w:val="0"/>
              <w:pageBreakBefore w:val="0"/>
              <w:widowControl w:val="0"/>
              <w:kinsoku/>
              <w:wordWrap/>
              <w:overflowPunct/>
              <w:topLinePunct w:val="0"/>
              <w:autoSpaceDE/>
              <w:autoSpaceDN/>
              <w:bidi w:val="0"/>
              <w:adjustRightInd/>
              <w:snapToGrid/>
              <w:spacing w:line="240" w:lineRule="auto"/>
              <w:ind w:firstLine="28"/>
              <w:jc w:val="left"/>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方案</w:t>
            </w:r>
            <w:r>
              <w:rPr>
                <w:rFonts w:hint="eastAsia" w:ascii="宋体" w:hAnsi="宋体" w:cs="宋体"/>
                <w:b w:val="0"/>
                <w:bCs/>
                <w:sz w:val="21"/>
                <w:szCs w:val="21"/>
                <w:highlight w:val="none"/>
                <w:lang w:val="en-US" w:eastAsia="zh-CN"/>
              </w:rPr>
              <w:t>较合理</w:t>
            </w:r>
            <w:r>
              <w:rPr>
                <w:rFonts w:hint="eastAsia" w:ascii="宋体" w:hAnsi="宋体" w:eastAsia="宋体" w:cs="宋体"/>
                <w:b w:val="0"/>
                <w:bCs/>
                <w:sz w:val="21"/>
                <w:szCs w:val="21"/>
                <w:highlight w:val="none"/>
              </w:rPr>
              <w:t>、</w:t>
            </w:r>
            <w:r>
              <w:rPr>
                <w:rFonts w:hint="eastAsia" w:ascii="宋体" w:hAnsi="宋体" w:cs="宋体"/>
                <w:b w:val="0"/>
                <w:bCs/>
                <w:sz w:val="21"/>
                <w:szCs w:val="21"/>
                <w:highlight w:val="none"/>
                <w:lang w:val="en-US" w:eastAsia="zh-CN"/>
              </w:rPr>
              <w:t>针对性较强</w:t>
            </w:r>
            <w:r>
              <w:rPr>
                <w:rFonts w:hint="eastAsia" w:ascii="宋体" w:hAnsi="宋体" w:eastAsia="宋体" w:cs="宋体"/>
                <w:b w:val="0"/>
                <w:bCs/>
                <w:sz w:val="21"/>
                <w:szCs w:val="21"/>
                <w:highlight w:val="none"/>
              </w:rPr>
              <w:t>，有较完善的建设规划、部署和</w:t>
            </w:r>
            <w:r>
              <w:rPr>
                <w:rFonts w:hint="eastAsia" w:ascii="宋体" w:hAnsi="宋体" w:cs="宋体"/>
                <w:b w:val="0"/>
                <w:bCs/>
                <w:sz w:val="21"/>
                <w:szCs w:val="21"/>
                <w:highlight w:val="none"/>
                <w:lang w:val="en-US" w:eastAsia="zh-CN"/>
              </w:rPr>
              <w:t>技术</w:t>
            </w:r>
            <w:r>
              <w:rPr>
                <w:rFonts w:hint="eastAsia" w:ascii="宋体" w:hAnsi="宋体" w:eastAsia="宋体" w:cs="宋体"/>
                <w:b w:val="0"/>
                <w:bCs/>
                <w:sz w:val="21"/>
                <w:szCs w:val="21"/>
                <w:highlight w:val="none"/>
              </w:rPr>
              <w:t>措施</w:t>
            </w:r>
            <w:r>
              <w:rPr>
                <w:rFonts w:hint="eastAsia" w:ascii="宋体" w:hAnsi="宋体" w:cs="宋体"/>
                <w:b w:val="0"/>
                <w:bCs/>
                <w:sz w:val="21"/>
                <w:szCs w:val="21"/>
                <w:highlight w:val="none"/>
                <w:lang w:eastAsia="zh-CN"/>
              </w:rPr>
              <w:t>，</w:t>
            </w:r>
            <w:r>
              <w:rPr>
                <w:rFonts w:hint="eastAsia" w:ascii="宋体" w:hAnsi="宋体" w:eastAsia="宋体" w:cs="宋体"/>
                <w:b w:val="0"/>
                <w:bCs/>
                <w:sz w:val="21"/>
                <w:szCs w:val="21"/>
                <w:highlight w:val="none"/>
              </w:rPr>
              <w:t>得</w:t>
            </w:r>
            <w:r>
              <w:rPr>
                <w:rFonts w:hint="eastAsia" w:ascii="宋体" w:hAnsi="宋体" w:cs="宋体"/>
                <w:b w:val="0"/>
                <w:bCs/>
                <w:sz w:val="21"/>
                <w:szCs w:val="21"/>
                <w:highlight w:val="none"/>
                <w:lang w:val="en-US" w:eastAsia="zh-CN"/>
              </w:rPr>
              <w:t>7</w:t>
            </w:r>
            <w:r>
              <w:rPr>
                <w:rFonts w:hint="eastAsia" w:ascii="宋体" w:hAnsi="宋体" w:eastAsia="宋体" w:cs="宋体"/>
                <w:b w:val="0"/>
                <w:bCs/>
                <w:sz w:val="21"/>
                <w:szCs w:val="21"/>
                <w:highlight w:val="none"/>
              </w:rPr>
              <w:t>分；</w:t>
            </w:r>
          </w:p>
          <w:p>
            <w:pPr>
              <w:keepNext w:val="0"/>
              <w:keepLines w:val="0"/>
              <w:pageBreakBefore w:val="0"/>
              <w:widowControl w:val="0"/>
              <w:kinsoku/>
              <w:wordWrap/>
              <w:overflowPunct/>
              <w:topLinePunct w:val="0"/>
              <w:autoSpaceDE/>
              <w:autoSpaceDN/>
              <w:bidi w:val="0"/>
              <w:adjustRightInd/>
              <w:snapToGrid/>
              <w:spacing w:line="240" w:lineRule="auto"/>
              <w:ind w:firstLine="28"/>
              <w:jc w:val="left"/>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方案一般</w:t>
            </w:r>
            <w:r>
              <w:rPr>
                <w:rFonts w:hint="eastAsia" w:ascii="宋体" w:hAnsi="宋体" w:cs="宋体"/>
                <w:b w:val="0"/>
                <w:bCs/>
                <w:sz w:val="21"/>
                <w:szCs w:val="21"/>
                <w:highlight w:val="none"/>
                <w:lang w:eastAsia="zh-CN"/>
              </w:rPr>
              <w:t>，</w:t>
            </w:r>
            <w:r>
              <w:rPr>
                <w:rFonts w:hint="eastAsia" w:ascii="宋体" w:hAnsi="宋体" w:cs="宋体"/>
                <w:b w:val="0"/>
                <w:bCs/>
                <w:sz w:val="21"/>
                <w:szCs w:val="21"/>
                <w:highlight w:val="none"/>
                <w:lang w:val="en-US" w:eastAsia="zh-CN"/>
              </w:rPr>
              <w:t>针对性一般，基本满足项目建设要求，</w:t>
            </w:r>
            <w:r>
              <w:rPr>
                <w:rFonts w:hint="eastAsia" w:ascii="宋体" w:hAnsi="宋体" w:eastAsia="宋体" w:cs="宋体"/>
                <w:b w:val="0"/>
                <w:bCs/>
                <w:sz w:val="21"/>
                <w:szCs w:val="21"/>
                <w:highlight w:val="none"/>
              </w:rPr>
              <w:t>得</w:t>
            </w:r>
            <w:r>
              <w:rPr>
                <w:rFonts w:hint="eastAsia" w:ascii="宋体" w:hAnsi="宋体" w:cs="宋体"/>
                <w:b w:val="0"/>
                <w:bCs/>
                <w:sz w:val="21"/>
                <w:szCs w:val="21"/>
                <w:highlight w:val="none"/>
                <w:lang w:val="en-US" w:eastAsia="zh-CN"/>
              </w:rPr>
              <w:t>4</w:t>
            </w:r>
            <w:r>
              <w:rPr>
                <w:rFonts w:hint="eastAsia" w:ascii="宋体" w:hAnsi="宋体" w:eastAsia="宋体" w:cs="宋体"/>
                <w:b w:val="0"/>
                <w:bCs/>
                <w:sz w:val="21"/>
                <w:szCs w:val="21"/>
                <w:highlight w:val="none"/>
              </w:rPr>
              <w:t>分；</w:t>
            </w:r>
          </w:p>
          <w:p>
            <w:pPr>
              <w:keepNext w:val="0"/>
              <w:keepLines w:val="0"/>
              <w:pageBreakBefore w:val="0"/>
              <w:widowControl w:val="0"/>
              <w:kinsoku/>
              <w:wordWrap/>
              <w:overflowPunct/>
              <w:topLinePunct w:val="0"/>
              <w:autoSpaceDE/>
              <w:autoSpaceDN/>
              <w:bidi w:val="0"/>
              <w:adjustRightInd/>
              <w:snapToGrid/>
              <w:spacing w:line="240" w:lineRule="auto"/>
              <w:ind w:firstLine="28" w:firstLineChars="0"/>
              <w:jc w:val="left"/>
              <w:textAlignment w:val="auto"/>
              <w:rPr>
                <w:rFonts w:hint="eastAsia" w:ascii="宋体" w:hAnsi="宋体" w:eastAsia="宋体" w:cs="宋体"/>
                <w:b w:val="0"/>
                <w:bCs/>
                <w:color w:val="auto"/>
                <w:sz w:val="21"/>
                <w:szCs w:val="21"/>
              </w:rPr>
            </w:pPr>
            <w:r>
              <w:rPr>
                <w:rFonts w:hint="eastAsia" w:ascii="宋体" w:hAnsi="宋体" w:eastAsia="宋体" w:cs="宋体"/>
                <w:b w:val="0"/>
                <w:bCs/>
                <w:sz w:val="21"/>
                <w:szCs w:val="21"/>
                <w:highlight w:val="none"/>
              </w:rPr>
              <w:t>未提供得</w:t>
            </w:r>
            <w:r>
              <w:rPr>
                <w:rFonts w:hint="eastAsia" w:ascii="宋体" w:hAnsi="宋体" w:eastAsia="宋体" w:cs="宋体"/>
                <w:b w:val="0"/>
                <w:bCs/>
                <w:sz w:val="21"/>
                <w:szCs w:val="21"/>
                <w:highlight w:val="none"/>
                <w:lang w:val="en-US" w:eastAsia="zh-CN"/>
              </w:rPr>
              <w:t>0</w:t>
            </w:r>
            <w:r>
              <w:rPr>
                <w:rFonts w:hint="eastAsia" w:ascii="宋体" w:hAnsi="宋体" w:eastAsia="宋体" w:cs="宋体"/>
                <w:b w:val="0"/>
                <w:bCs/>
                <w:sz w:val="21"/>
                <w:szCs w:val="21"/>
                <w:highlight w:val="none"/>
              </w:rPr>
              <w:t>分。</w:t>
            </w:r>
          </w:p>
        </w:tc>
        <w:tc>
          <w:tcPr>
            <w:tcW w:w="1262" w:type="dxa"/>
            <w:vAlign w:val="center"/>
          </w:tcPr>
          <w:p>
            <w:pPr>
              <w:pStyle w:val="255"/>
              <w:shd w:val="clear" w:color="auto" w:fill="auto"/>
              <w:spacing w:before="0" w:after="0" w:line="24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5" w:hRule="atLeast"/>
        </w:trPr>
        <w:tc>
          <w:tcPr>
            <w:tcW w:w="667" w:type="dxa"/>
            <w:vAlign w:val="center"/>
          </w:tcPr>
          <w:p>
            <w:pPr>
              <w:spacing w:after="0" w:line="240" w:lineRule="auto"/>
              <w:ind w:firstLine="28"/>
              <w:jc w:val="center"/>
              <w:rPr>
                <w:rFonts w:hint="default" w:ascii="宋体" w:hAnsi="宋体" w:eastAsia="宋体" w:cs="宋体"/>
                <w:b w:val="0"/>
                <w:bCs/>
                <w:color w:val="auto"/>
                <w:sz w:val="21"/>
                <w:szCs w:val="21"/>
                <w:lang w:val="en-US" w:eastAsia="zh-CN"/>
              </w:rPr>
            </w:pPr>
            <w:r>
              <w:rPr>
                <w:rFonts w:hint="eastAsia" w:ascii="宋体" w:hAnsi="宋体" w:cs="宋体"/>
                <w:b w:val="0"/>
                <w:bCs/>
                <w:color w:val="auto"/>
                <w:sz w:val="21"/>
                <w:szCs w:val="21"/>
                <w:lang w:val="en-US" w:eastAsia="zh-CN"/>
              </w:rPr>
              <w:t>2</w:t>
            </w:r>
          </w:p>
        </w:tc>
        <w:tc>
          <w:tcPr>
            <w:tcW w:w="1448"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28"/>
              <w:jc w:val="center"/>
              <w:textAlignment w:val="auto"/>
              <w:rPr>
                <w:rFonts w:hint="eastAsia" w:ascii="宋体" w:hAnsi="宋体" w:eastAsia="宋体" w:cs="宋体"/>
                <w:b w:val="0"/>
                <w:bCs/>
                <w:color w:val="auto"/>
                <w:kern w:val="2"/>
                <w:sz w:val="21"/>
                <w:szCs w:val="21"/>
                <w:lang w:val="en-US" w:eastAsia="zh-CN" w:bidi="ar-SA"/>
              </w:rPr>
            </w:pPr>
            <w:r>
              <w:rPr>
                <w:rFonts w:hint="eastAsia" w:ascii="宋体" w:hAnsi="宋体" w:eastAsia="宋体" w:cs="宋体"/>
                <w:sz w:val="21"/>
                <w:szCs w:val="21"/>
                <w:highlight w:val="none"/>
              </w:rPr>
              <w:t>质量</w:t>
            </w:r>
            <w:r>
              <w:rPr>
                <w:rFonts w:hint="eastAsia" w:ascii="宋体" w:hAnsi="宋体" w:cs="宋体"/>
                <w:sz w:val="21"/>
                <w:szCs w:val="21"/>
                <w:highlight w:val="none"/>
                <w:lang w:val="en-US" w:eastAsia="zh-CN"/>
              </w:rPr>
              <w:t>目标</w:t>
            </w:r>
            <w:r>
              <w:rPr>
                <w:rFonts w:hint="eastAsia" w:ascii="宋体" w:hAnsi="宋体" w:eastAsia="宋体" w:cs="宋体"/>
                <w:sz w:val="21"/>
                <w:szCs w:val="21"/>
                <w:highlight w:val="none"/>
              </w:rPr>
              <w:t>与保证措施</w:t>
            </w:r>
          </w:p>
        </w:tc>
        <w:tc>
          <w:tcPr>
            <w:tcW w:w="677" w:type="dxa"/>
            <w:vAlign w:val="center"/>
          </w:tcPr>
          <w:p>
            <w:pPr>
              <w:keepNext w:val="0"/>
              <w:keepLines w:val="0"/>
              <w:pageBreakBefore w:val="0"/>
              <w:widowControl w:val="0"/>
              <w:kinsoku/>
              <w:wordWrap/>
              <w:overflowPunct/>
              <w:topLinePunct w:val="0"/>
              <w:autoSpaceDE/>
              <w:autoSpaceDN/>
              <w:bidi w:val="0"/>
              <w:adjustRightInd/>
              <w:snapToGrid/>
              <w:spacing w:line="360" w:lineRule="auto"/>
              <w:ind w:firstLine="28" w:firstLineChars="0"/>
              <w:jc w:val="center"/>
              <w:textAlignment w:val="auto"/>
              <w:rPr>
                <w:rFonts w:hint="default" w:ascii="宋体" w:hAnsi="宋体" w:eastAsia="宋体" w:cs="宋体"/>
                <w:b w:val="0"/>
                <w:bCs/>
                <w:color w:val="auto"/>
                <w:kern w:val="2"/>
                <w:sz w:val="21"/>
                <w:szCs w:val="21"/>
                <w:lang w:val="en-US" w:eastAsia="zh-CN" w:bidi="ar-SA"/>
              </w:rPr>
            </w:pPr>
            <w:r>
              <w:rPr>
                <w:rFonts w:hint="eastAsia" w:ascii="宋体" w:hAnsi="宋体" w:cs="宋体"/>
                <w:sz w:val="21"/>
                <w:szCs w:val="21"/>
                <w:highlight w:val="none"/>
                <w:lang w:val="en-US" w:eastAsia="zh-CN"/>
              </w:rPr>
              <w:t>10</w:t>
            </w:r>
          </w:p>
        </w:tc>
        <w:tc>
          <w:tcPr>
            <w:tcW w:w="5713"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28"/>
              <w:jc w:val="left"/>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措施</w:t>
            </w:r>
            <w:r>
              <w:rPr>
                <w:rFonts w:hint="eastAsia" w:ascii="宋体" w:hAnsi="宋体" w:cs="宋体"/>
                <w:b w:val="0"/>
                <w:bCs/>
                <w:sz w:val="21"/>
                <w:szCs w:val="21"/>
                <w:highlight w:val="none"/>
                <w:lang w:val="en-US" w:eastAsia="zh-CN"/>
              </w:rPr>
              <w:t>科学合理</w:t>
            </w:r>
            <w:r>
              <w:rPr>
                <w:rFonts w:hint="eastAsia" w:ascii="宋体" w:hAnsi="宋体" w:eastAsia="宋体" w:cs="宋体"/>
                <w:b w:val="0"/>
                <w:bCs/>
                <w:sz w:val="21"/>
                <w:szCs w:val="21"/>
                <w:highlight w:val="none"/>
                <w:lang w:val="en-US" w:eastAsia="zh-CN"/>
              </w:rPr>
              <w:t>、针对性强</w:t>
            </w:r>
            <w:r>
              <w:rPr>
                <w:rFonts w:hint="eastAsia" w:ascii="宋体" w:hAnsi="宋体" w:eastAsia="宋体" w:cs="宋体"/>
                <w:b w:val="0"/>
                <w:bCs/>
                <w:sz w:val="21"/>
                <w:szCs w:val="21"/>
                <w:highlight w:val="none"/>
              </w:rPr>
              <w:t>，细节考虑完善</w:t>
            </w:r>
            <w:r>
              <w:rPr>
                <w:rFonts w:hint="eastAsia" w:ascii="宋体" w:hAnsi="宋体" w:cs="宋体"/>
                <w:b w:val="0"/>
                <w:bCs/>
                <w:sz w:val="21"/>
                <w:szCs w:val="21"/>
                <w:highlight w:val="none"/>
                <w:lang w:eastAsia="zh-CN"/>
              </w:rPr>
              <w:t>，</w:t>
            </w:r>
            <w:r>
              <w:rPr>
                <w:rFonts w:hint="eastAsia" w:ascii="宋体" w:hAnsi="宋体" w:eastAsia="宋体" w:cs="宋体"/>
                <w:b w:val="0"/>
                <w:bCs/>
                <w:sz w:val="21"/>
                <w:szCs w:val="21"/>
                <w:highlight w:val="none"/>
              </w:rPr>
              <w:t>得</w:t>
            </w:r>
            <w:r>
              <w:rPr>
                <w:rFonts w:hint="eastAsia" w:ascii="宋体" w:hAnsi="宋体" w:cs="宋体"/>
                <w:b w:val="0"/>
                <w:bCs/>
                <w:sz w:val="21"/>
                <w:szCs w:val="21"/>
                <w:highlight w:val="none"/>
                <w:lang w:val="en-US" w:eastAsia="zh-CN"/>
              </w:rPr>
              <w:t>10</w:t>
            </w:r>
            <w:r>
              <w:rPr>
                <w:rFonts w:hint="eastAsia" w:ascii="宋体" w:hAnsi="宋体" w:eastAsia="宋体" w:cs="宋体"/>
                <w:b w:val="0"/>
                <w:bCs/>
                <w:sz w:val="21"/>
                <w:szCs w:val="21"/>
                <w:highlight w:val="none"/>
              </w:rPr>
              <w:t>分；</w:t>
            </w:r>
          </w:p>
          <w:p>
            <w:pPr>
              <w:keepNext w:val="0"/>
              <w:keepLines w:val="0"/>
              <w:pageBreakBefore w:val="0"/>
              <w:widowControl w:val="0"/>
              <w:kinsoku/>
              <w:wordWrap/>
              <w:overflowPunct/>
              <w:topLinePunct w:val="0"/>
              <w:autoSpaceDE/>
              <w:autoSpaceDN/>
              <w:bidi w:val="0"/>
              <w:adjustRightInd/>
              <w:snapToGrid/>
              <w:spacing w:line="240" w:lineRule="auto"/>
              <w:ind w:firstLine="28"/>
              <w:jc w:val="left"/>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措施</w:t>
            </w:r>
            <w:r>
              <w:rPr>
                <w:rFonts w:hint="eastAsia" w:ascii="宋体" w:hAnsi="宋体" w:cs="宋体"/>
                <w:b w:val="0"/>
                <w:bCs/>
                <w:sz w:val="21"/>
                <w:szCs w:val="21"/>
                <w:highlight w:val="none"/>
                <w:lang w:val="en-US" w:eastAsia="zh-CN"/>
              </w:rPr>
              <w:t>较合理</w:t>
            </w:r>
            <w:r>
              <w:rPr>
                <w:rFonts w:hint="eastAsia" w:ascii="宋体" w:hAnsi="宋体" w:eastAsia="宋体" w:cs="宋体"/>
                <w:b w:val="0"/>
                <w:bCs/>
                <w:sz w:val="21"/>
                <w:szCs w:val="21"/>
                <w:highlight w:val="none"/>
              </w:rPr>
              <w:t>、</w:t>
            </w:r>
            <w:r>
              <w:rPr>
                <w:rFonts w:hint="eastAsia" w:ascii="宋体" w:hAnsi="宋体" w:cs="宋体"/>
                <w:b w:val="0"/>
                <w:bCs/>
                <w:sz w:val="21"/>
                <w:szCs w:val="21"/>
                <w:highlight w:val="none"/>
                <w:lang w:val="en-US" w:eastAsia="zh-CN"/>
              </w:rPr>
              <w:t>针对性较强</w:t>
            </w:r>
            <w:r>
              <w:rPr>
                <w:rFonts w:hint="eastAsia" w:ascii="宋体" w:hAnsi="宋体" w:eastAsia="宋体" w:cs="宋体"/>
                <w:b w:val="0"/>
                <w:bCs/>
                <w:sz w:val="21"/>
                <w:szCs w:val="21"/>
                <w:highlight w:val="none"/>
              </w:rPr>
              <w:t>，细节考虑较完善</w:t>
            </w:r>
            <w:r>
              <w:rPr>
                <w:rFonts w:hint="eastAsia" w:ascii="宋体" w:hAnsi="宋体" w:cs="宋体"/>
                <w:b w:val="0"/>
                <w:bCs/>
                <w:sz w:val="21"/>
                <w:szCs w:val="21"/>
                <w:highlight w:val="none"/>
                <w:lang w:eastAsia="zh-CN"/>
              </w:rPr>
              <w:t>，</w:t>
            </w:r>
            <w:r>
              <w:rPr>
                <w:rFonts w:hint="eastAsia" w:ascii="宋体" w:hAnsi="宋体" w:eastAsia="宋体" w:cs="宋体"/>
                <w:b w:val="0"/>
                <w:bCs/>
                <w:sz w:val="21"/>
                <w:szCs w:val="21"/>
                <w:highlight w:val="none"/>
              </w:rPr>
              <w:t>得</w:t>
            </w:r>
            <w:r>
              <w:rPr>
                <w:rFonts w:hint="eastAsia" w:ascii="宋体" w:hAnsi="宋体" w:cs="宋体"/>
                <w:b w:val="0"/>
                <w:bCs/>
                <w:sz w:val="21"/>
                <w:szCs w:val="21"/>
                <w:highlight w:val="none"/>
                <w:lang w:val="en-US" w:eastAsia="zh-CN"/>
              </w:rPr>
              <w:t>7</w:t>
            </w:r>
            <w:r>
              <w:rPr>
                <w:rFonts w:hint="eastAsia" w:ascii="宋体" w:hAnsi="宋体" w:eastAsia="宋体" w:cs="宋体"/>
                <w:b w:val="0"/>
                <w:bCs/>
                <w:sz w:val="21"/>
                <w:szCs w:val="21"/>
                <w:highlight w:val="none"/>
              </w:rPr>
              <w:t>分；</w:t>
            </w:r>
          </w:p>
          <w:p>
            <w:pPr>
              <w:keepNext w:val="0"/>
              <w:keepLines w:val="0"/>
              <w:pageBreakBefore w:val="0"/>
              <w:widowControl w:val="0"/>
              <w:kinsoku/>
              <w:wordWrap/>
              <w:overflowPunct/>
              <w:topLinePunct w:val="0"/>
              <w:autoSpaceDE/>
              <w:autoSpaceDN/>
              <w:bidi w:val="0"/>
              <w:adjustRightInd/>
              <w:snapToGrid/>
              <w:spacing w:line="240" w:lineRule="auto"/>
              <w:ind w:firstLine="28"/>
              <w:jc w:val="left"/>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措施一般，细节考虑欠完善，基本满足</w:t>
            </w:r>
            <w:r>
              <w:rPr>
                <w:rFonts w:hint="eastAsia" w:ascii="宋体" w:hAnsi="宋体" w:cs="宋体"/>
                <w:b w:val="0"/>
                <w:bCs/>
                <w:sz w:val="21"/>
                <w:szCs w:val="21"/>
                <w:highlight w:val="none"/>
                <w:lang w:val="en-US" w:eastAsia="zh-CN"/>
              </w:rPr>
              <w:t>项目建设要求，</w:t>
            </w:r>
            <w:r>
              <w:rPr>
                <w:rFonts w:hint="eastAsia" w:ascii="宋体" w:hAnsi="宋体" w:eastAsia="宋体" w:cs="宋体"/>
                <w:b w:val="0"/>
                <w:bCs/>
                <w:sz w:val="21"/>
                <w:szCs w:val="21"/>
                <w:highlight w:val="none"/>
              </w:rPr>
              <w:t>得</w:t>
            </w:r>
            <w:r>
              <w:rPr>
                <w:rFonts w:hint="eastAsia" w:ascii="宋体" w:hAnsi="宋体" w:cs="宋体"/>
                <w:b w:val="0"/>
                <w:bCs/>
                <w:sz w:val="21"/>
                <w:szCs w:val="21"/>
                <w:highlight w:val="none"/>
                <w:lang w:val="en-US" w:eastAsia="zh-CN"/>
              </w:rPr>
              <w:t>4</w:t>
            </w:r>
            <w:r>
              <w:rPr>
                <w:rFonts w:hint="eastAsia" w:ascii="宋体" w:hAnsi="宋体" w:eastAsia="宋体" w:cs="宋体"/>
                <w:b w:val="0"/>
                <w:bCs/>
                <w:sz w:val="21"/>
                <w:szCs w:val="21"/>
                <w:highlight w:val="none"/>
              </w:rPr>
              <w:t>分；</w:t>
            </w:r>
          </w:p>
          <w:p>
            <w:pPr>
              <w:keepNext w:val="0"/>
              <w:keepLines w:val="0"/>
              <w:pageBreakBefore w:val="0"/>
              <w:widowControl w:val="0"/>
              <w:kinsoku/>
              <w:wordWrap/>
              <w:overflowPunct/>
              <w:topLinePunct w:val="0"/>
              <w:autoSpaceDE/>
              <w:autoSpaceDN/>
              <w:bidi w:val="0"/>
              <w:adjustRightInd/>
              <w:snapToGrid/>
              <w:spacing w:line="240" w:lineRule="auto"/>
              <w:ind w:firstLine="28" w:firstLineChars="0"/>
              <w:jc w:val="left"/>
              <w:textAlignment w:val="auto"/>
              <w:rPr>
                <w:rFonts w:hint="eastAsia" w:ascii="宋体" w:hAnsi="宋体" w:eastAsia="宋体" w:cs="宋体"/>
                <w:b w:val="0"/>
                <w:bCs/>
                <w:color w:val="auto"/>
                <w:kern w:val="2"/>
                <w:sz w:val="21"/>
                <w:szCs w:val="21"/>
                <w:lang w:val="en-US" w:eastAsia="zh-CN" w:bidi="ar-SA"/>
              </w:rPr>
            </w:pPr>
            <w:r>
              <w:rPr>
                <w:rFonts w:hint="eastAsia" w:ascii="宋体" w:hAnsi="宋体" w:eastAsia="宋体" w:cs="宋体"/>
                <w:b w:val="0"/>
                <w:bCs/>
                <w:sz w:val="21"/>
                <w:szCs w:val="21"/>
                <w:highlight w:val="none"/>
              </w:rPr>
              <w:t>未提供得</w:t>
            </w:r>
            <w:r>
              <w:rPr>
                <w:rFonts w:hint="eastAsia" w:ascii="宋体" w:hAnsi="宋体" w:eastAsia="宋体" w:cs="宋体"/>
                <w:b w:val="0"/>
                <w:bCs/>
                <w:sz w:val="21"/>
                <w:szCs w:val="21"/>
                <w:highlight w:val="none"/>
                <w:lang w:val="en-US" w:eastAsia="zh-CN"/>
              </w:rPr>
              <w:t>0</w:t>
            </w:r>
            <w:r>
              <w:rPr>
                <w:rFonts w:hint="eastAsia" w:ascii="宋体" w:hAnsi="宋体" w:eastAsia="宋体" w:cs="宋体"/>
                <w:b w:val="0"/>
                <w:bCs/>
                <w:sz w:val="21"/>
                <w:szCs w:val="21"/>
                <w:highlight w:val="none"/>
              </w:rPr>
              <w:t>分。</w:t>
            </w:r>
          </w:p>
        </w:tc>
        <w:tc>
          <w:tcPr>
            <w:tcW w:w="1262" w:type="dxa"/>
            <w:vAlign w:val="center"/>
          </w:tcPr>
          <w:p>
            <w:pPr>
              <w:pStyle w:val="255"/>
              <w:shd w:val="clear" w:color="auto" w:fill="auto"/>
              <w:spacing w:before="0" w:after="0" w:line="240" w:lineRule="auto"/>
              <w:rPr>
                <w:rFonts w:hint="default"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67" w:type="dxa"/>
            <w:vAlign w:val="center"/>
          </w:tcPr>
          <w:p>
            <w:pPr>
              <w:spacing w:after="0" w:line="240" w:lineRule="auto"/>
              <w:ind w:firstLine="28"/>
              <w:jc w:val="center"/>
              <w:rPr>
                <w:rFonts w:hint="default" w:ascii="宋体" w:hAnsi="宋体" w:cs="宋体"/>
                <w:b w:val="0"/>
                <w:bCs/>
                <w:color w:val="auto"/>
                <w:sz w:val="21"/>
                <w:szCs w:val="21"/>
                <w:lang w:val="en-US" w:eastAsia="zh-CN"/>
              </w:rPr>
            </w:pPr>
            <w:r>
              <w:rPr>
                <w:rFonts w:hint="eastAsia" w:ascii="宋体" w:hAnsi="宋体" w:cs="宋体"/>
                <w:b w:val="0"/>
                <w:bCs/>
                <w:color w:val="auto"/>
                <w:sz w:val="21"/>
                <w:szCs w:val="21"/>
                <w:lang w:val="en-US" w:eastAsia="zh-CN"/>
              </w:rPr>
              <w:t>3</w:t>
            </w:r>
          </w:p>
        </w:tc>
        <w:tc>
          <w:tcPr>
            <w:tcW w:w="1448"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28"/>
              <w:jc w:val="center"/>
              <w:textAlignment w:val="auto"/>
              <w:rPr>
                <w:rFonts w:hint="eastAsia" w:ascii="宋体" w:hAnsi="宋体" w:eastAsia="宋体" w:cs="宋体"/>
                <w:b w:val="0"/>
                <w:bCs/>
                <w:color w:val="auto"/>
                <w:kern w:val="2"/>
                <w:sz w:val="21"/>
                <w:szCs w:val="21"/>
                <w:lang w:val="en-US" w:eastAsia="zh-CN" w:bidi="ar-SA"/>
              </w:rPr>
            </w:pPr>
            <w:r>
              <w:rPr>
                <w:rFonts w:hint="eastAsia" w:ascii="宋体" w:hAnsi="宋体" w:eastAsia="宋体" w:cs="宋体"/>
                <w:sz w:val="21"/>
                <w:szCs w:val="21"/>
                <w:highlight w:val="none"/>
              </w:rPr>
              <w:t>安全和绿色施工保障措施</w:t>
            </w:r>
          </w:p>
        </w:tc>
        <w:tc>
          <w:tcPr>
            <w:tcW w:w="677" w:type="dxa"/>
            <w:vAlign w:val="center"/>
          </w:tcPr>
          <w:p>
            <w:pPr>
              <w:keepNext w:val="0"/>
              <w:keepLines w:val="0"/>
              <w:pageBreakBefore w:val="0"/>
              <w:widowControl w:val="0"/>
              <w:kinsoku/>
              <w:wordWrap/>
              <w:overflowPunct/>
              <w:topLinePunct w:val="0"/>
              <w:autoSpaceDE/>
              <w:autoSpaceDN/>
              <w:bidi w:val="0"/>
              <w:adjustRightInd/>
              <w:snapToGrid/>
              <w:spacing w:line="360" w:lineRule="auto"/>
              <w:ind w:firstLine="28" w:firstLineChars="0"/>
              <w:jc w:val="center"/>
              <w:textAlignment w:val="auto"/>
              <w:rPr>
                <w:rFonts w:hint="default" w:ascii="宋体" w:hAnsi="宋体" w:eastAsia="宋体" w:cs="宋体"/>
                <w:b w:val="0"/>
                <w:bCs/>
                <w:color w:val="auto"/>
                <w:kern w:val="2"/>
                <w:sz w:val="21"/>
                <w:szCs w:val="21"/>
                <w:lang w:val="en-US" w:eastAsia="zh-CN" w:bidi="ar-SA"/>
              </w:rPr>
            </w:pPr>
            <w:r>
              <w:rPr>
                <w:rFonts w:hint="eastAsia" w:ascii="宋体" w:hAnsi="宋体" w:cs="宋体"/>
                <w:sz w:val="21"/>
                <w:szCs w:val="21"/>
                <w:highlight w:val="none"/>
                <w:lang w:val="en-US" w:eastAsia="zh-CN"/>
              </w:rPr>
              <w:t>10</w:t>
            </w:r>
          </w:p>
        </w:tc>
        <w:tc>
          <w:tcPr>
            <w:tcW w:w="5713"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28"/>
              <w:jc w:val="left"/>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措施完整、详细，能保障施工安全及施工环境维护</w:t>
            </w:r>
            <w:r>
              <w:rPr>
                <w:rFonts w:hint="eastAsia" w:ascii="宋体" w:hAnsi="宋体" w:cs="宋体"/>
                <w:b w:val="0"/>
                <w:bCs/>
                <w:sz w:val="21"/>
                <w:szCs w:val="21"/>
                <w:highlight w:val="none"/>
                <w:lang w:eastAsia="zh-CN"/>
              </w:rPr>
              <w:t>，</w:t>
            </w:r>
            <w:r>
              <w:rPr>
                <w:rFonts w:hint="eastAsia" w:ascii="宋体" w:hAnsi="宋体" w:eastAsia="宋体" w:cs="宋体"/>
                <w:b w:val="0"/>
                <w:bCs/>
                <w:sz w:val="21"/>
                <w:szCs w:val="21"/>
                <w:highlight w:val="none"/>
              </w:rPr>
              <w:t>得</w:t>
            </w:r>
            <w:r>
              <w:rPr>
                <w:rFonts w:hint="eastAsia" w:ascii="宋体" w:hAnsi="宋体" w:cs="宋体"/>
                <w:b w:val="0"/>
                <w:bCs/>
                <w:sz w:val="21"/>
                <w:szCs w:val="21"/>
                <w:highlight w:val="none"/>
                <w:lang w:val="en-US" w:eastAsia="zh-CN"/>
              </w:rPr>
              <w:t>10</w:t>
            </w:r>
            <w:r>
              <w:rPr>
                <w:rFonts w:hint="eastAsia" w:ascii="宋体" w:hAnsi="宋体" w:eastAsia="宋体" w:cs="宋体"/>
                <w:b w:val="0"/>
                <w:bCs/>
                <w:sz w:val="21"/>
                <w:szCs w:val="21"/>
                <w:highlight w:val="none"/>
              </w:rPr>
              <w:t>分；</w:t>
            </w:r>
          </w:p>
          <w:p>
            <w:pPr>
              <w:keepNext w:val="0"/>
              <w:keepLines w:val="0"/>
              <w:pageBreakBefore w:val="0"/>
              <w:widowControl w:val="0"/>
              <w:kinsoku/>
              <w:wordWrap/>
              <w:overflowPunct/>
              <w:topLinePunct w:val="0"/>
              <w:autoSpaceDE/>
              <w:autoSpaceDN/>
              <w:bidi w:val="0"/>
              <w:adjustRightInd/>
              <w:snapToGrid/>
              <w:spacing w:line="240" w:lineRule="auto"/>
              <w:ind w:firstLine="28"/>
              <w:jc w:val="left"/>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措施较完整、较详细，有可行性较强的实施措施</w:t>
            </w:r>
            <w:r>
              <w:rPr>
                <w:rFonts w:hint="eastAsia" w:ascii="宋体" w:hAnsi="宋体" w:cs="宋体"/>
                <w:b w:val="0"/>
                <w:bCs/>
                <w:sz w:val="21"/>
                <w:szCs w:val="21"/>
                <w:highlight w:val="none"/>
                <w:lang w:eastAsia="zh-CN"/>
              </w:rPr>
              <w:t>，</w:t>
            </w:r>
            <w:r>
              <w:rPr>
                <w:rFonts w:hint="eastAsia" w:ascii="宋体" w:hAnsi="宋体" w:eastAsia="宋体" w:cs="宋体"/>
                <w:b w:val="0"/>
                <w:bCs/>
                <w:sz w:val="21"/>
                <w:szCs w:val="21"/>
                <w:highlight w:val="none"/>
              </w:rPr>
              <w:t>得</w:t>
            </w:r>
            <w:r>
              <w:rPr>
                <w:rFonts w:hint="eastAsia" w:ascii="宋体" w:hAnsi="宋体" w:cs="宋体"/>
                <w:b w:val="0"/>
                <w:bCs/>
                <w:sz w:val="21"/>
                <w:szCs w:val="21"/>
                <w:highlight w:val="none"/>
                <w:lang w:val="en-US" w:eastAsia="zh-CN"/>
              </w:rPr>
              <w:t>7</w:t>
            </w:r>
            <w:r>
              <w:rPr>
                <w:rFonts w:hint="eastAsia" w:ascii="宋体" w:hAnsi="宋体" w:eastAsia="宋体" w:cs="宋体"/>
                <w:b w:val="0"/>
                <w:bCs/>
                <w:sz w:val="21"/>
                <w:szCs w:val="21"/>
                <w:highlight w:val="none"/>
              </w:rPr>
              <w:t>分；</w:t>
            </w:r>
          </w:p>
          <w:p>
            <w:pPr>
              <w:keepNext w:val="0"/>
              <w:keepLines w:val="0"/>
              <w:pageBreakBefore w:val="0"/>
              <w:widowControl w:val="0"/>
              <w:kinsoku/>
              <w:wordWrap/>
              <w:overflowPunct/>
              <w:topLinePunct w:val="0"/>
              <w:autoSpaceDE/>
              <w:autoSpaceDN/>
              <w:bidi w:val="0"/>
              <w:adjustRightInd/>
              <w:snapToGrid/>
              <w:spacing w:line="240" w:lineRule="auto"/>
              <w:ind w:firstLine="28"/>
              <w:jc w:val="left"/>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措施欠合理，可行性较差，基本满足</w:t>
            </w:r>
            <w:r>
              <w:rPr>
                <w:rFonts w:hint="eastAsia" w:ascii="宋体" w:hAnsi="宋体" w:cs="宋体"/>
                <w:b w:val="0"/>
                <w:bCs/>
                <w:sz w:val="21"/>
                <w:szCs w:val="21"/>
                <w:highlight w:val="none"/>
                <w:lang w:val="en-US" w:eastAsia="zh-CN"/>
              </w:rPr>
              <w:t>项目建设要求</w:t>
            </w:r>
            <w:r>
              <w:rPr>
                <w:rFonts w:hint="eastAsia" w:ascii="宋体" w:hAnsi="宋体" w:cs="宋体"/>
                <w:b w:val="0"/>
                <w:bCs/>
                <w:sz w:val="21"/>
                <w:szCs w:val="21"/>
                <w:highlight w:val="none"/>
                <w:lang w:eastAsia="zh-CN"/>
              </w:rPr>
              <w:t>，</w:t>
            </w:r>
            <w:r>
              <w:rPr>
                <w:rFonts w:hint="eastAsia" w:ascii="宋体" w:hAnsi="宋体" w:eastAsia="宋体" w:cs="宋体"/>
                <w:b w:val="0"/>
                <w:bCs/>
                <w:sz w:val="21"/>
                <w:szCs w:val="21"/>
                <w:highlight w:val="none"/>
              </w:rPr>
              <w:t>得</w:t>
            </w:r>
            <w:r>
              <w:rPr>
                <w:rFonts w:hint="eastAsia" w:ascii="宋体" w:hAnsi="宋体" w:cs="宋体"/>
                <w:b w:val="0"/>
                <w:bCs/>
                <w:sz w:val="21"/>
                <w:szCs w:val="21"/>
                <w:highlight w:val="none"/>
                <w:lang w:val="en-US" w:eastAsia="zh-CN"/>
              </w:rPr>
              <w:t>4</w:t>
            </w:r>
            <w:r>
              <w:rPr>
                <w:rFonts w:hint="eastAsia" w:ascii="宋体" w:hAnsi="宋体" w:eastAsia="宋体" w:cs="宋体"/>
                <w:b w:val="0"/>
                <w:bCs/>
                <w:sz w:val="21"/>
                <w:szCs w:val="21"/>
                <w:highlight w:val="none"/>
              </w:rPr>
              <w:t>分；</w:t>
            </w:r>
          </w:p>
          <w:p>
            <w:pPr>
              <w:keepNext w:val="0"/>
              <w:keepLines w:val="0"/>
              <w:pageBreakBefore w:val="0"/>
              <w:widowControl w:val="0"/>
              <w:kinsoku/>
              <w:wordWrap/>
              <w:overflowPunct/>
              <w:topLinePunct w:val="0"/>
              <w:autoSpaceDE/>
              <w:autoSpaceDN/>
              <w:bidi w:val="0"/>
              <w:adjustRightInd/>
              <w:snapToGrid/>
              <w:spacing w:line="240" w:lineRule="auto"/>
              <w:ind w:firstLine="28" w:firstLineChars="0"/>
              <w:jc w:val="left"/>
              <w:textAlignment w:val="auto"/>
              <w:rPr>
                <w:rFonts w:hint="eastAsia"/>
                <w:lang w:val="en-US" w:eastAsia="zh-CN"/>
              </w:rPr>
            </w:pPr>
            <w:r>
              <w:rPr>
                <w:rFonts w:hint="eastAsia" w:ascii="宋体" w:hAnsi="宋体" w:eastAsia="宋体" w:cs="宋体"/>
                <w:b w:val="0"/>
                <w:bCs/>
                <w:sz w:val="21"/>
                <w:szCs w:val="21"/>
                <w:highlight w:val="none"/>
              </w:rPr>
              <w:t>未提供得</w:t>
            </w:r>
            <w:r>
              <w:rPr>
                <w:rFonts w:hint="eastAsia" w:ascii="宋体" w:hAnsi="宋体" w:eastAsia="宋体" w:cs="宋体"/>
                <w:b w:val="0"/>
                <w:bCs/>
                <w:sz w:val="21"/>
                <w:szCs w:val="21"/>
                <w:highlight w:val="none"/>
                <w:lang w:val="en-US" w:eastAsia="zh-CN"/>
              </w:rPr>
              <w:t>0</w:t>
            </w:r>
            <w:r>
              <w:rPr>
                <w:rFonts w:hint="eastAsia" w:ascii="宋体" w:hAnsi="宋体" w:eastAsia="宋体" w:cs="宋体"/>
                <w:b w:val="0"/>
                <w:bCs/>
                <w:sz w:val="21"/>
                <w:szCs w:val="21"/>
                <w:highlight w:val="none"/>
              </w:rPr>
              <w:t>分。</w:t>
            </w:r>
          </w:p>
        </w:tc>
        <w:tc>
          <w:tcPr>
            <w:tcW w:w="1262" w:type="dxa"/>
            <w:vAlign w:val="center"/>
          </w:tcPr>
          <w:p>
            <w:pPr>
              <w:pStyle w:val="255"/>
              <w:shd w:val="clear" w:color="auto" w:fill="auto"/>
              <w:spacing w:before="0" w:after="0" w:line="240" w:lineRule="auto"/>
              <w:rPr>
                <w:rFonts w:hint="default"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trPr>
        <w:tc>
          <w:tcPr>
            <w:tcW w:w="667" w:type="dxa"/>
            <w:vAlign w:val="center"/>
          </w:tcPr>
          <w:p>
            <w:pPr>
              <w:shd w:val="clear" w:color="auto" w:fill="auto"/>
              <w:spacing w:after="0" w:line="240" w:lineRule="auto"/>
              <w:ind w:firstLine="28" w:firstLineChars="0"/>
              <w:jc w:val="center"/>
              <w:rPr>
                <w:rFonts w:hint="default" w:ascii="宋体" w:hAnsi="宋体" w:eastAsia="宋体" w:cs="宋体"/>
                <w:b w:val="0"/>
                <w:bCs/>
                <w:color w:val="auto"/>
                <w:kern w:val="2"/>
                <w:sz w:val="21"/>
                <w:szCs w:val="21"/>
                <w:lang w:val="en-US" w:eastAsia="zh-CN" w:bidi="ar-SA"/>
              </w:rPr>
            </w:pPr>
            <w:r>
              <w:rPr>
                <w:rFonts w:hint="eastAsia" w:ascii="宋体" w:hAnsi="宋体" w:cs="宋体"/>
                <w:b w:val="0"/>
                <w:bCs/>
                <w:color w:val="auto"/>
                <w:kern w:val="2"/>
                <w:sz w:val="21"/>
                <w:szCs w:val="21"/>
                <w:lang w:val="en-US" w:eastAsia="zh-CN" w:bidi="ar-SA"/>
              </w:rPr>
              <w:t>4</w:t>
            </w:r>
          </w:p>
        </w:tc>
        <w:tc>
          <w:tcPr>
            <w:tcW w:w="1448"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28"/>
              <w:jc w:val="center"/>
              <w:textAlignment w:val="auto"/>
              <w:rPr>
                <w:rFonts w:hint="eastAsia" w:ascii="宋体" w:hAnsi="宋体" w:eastAsia="宋体" w:cs="宋体"/>
                <w:b w:val="0"/>
                <w:bCs/>
                <w:color w:val="auto"/>
                <w:kern w:val="2"/>
                <w:sz w:val="21"/>
                <w:szCs w:val="21"/>
                <w:lang w:val="en-US" w:eastAsia="zh-CN" w:bidi="ar-SA"/>
              </w:rPr>
            </w:pPr>
            <w:r>
              <w:rPr>
                <w:rFonts w:hint="eastAsia" w:ascii="宋体" w:hAnsi="宋体" w:cs="宋体"/>
                <w:sz w:val="21"/>
                <w:szCs w:val="21"/>
                <w:highlight w:val="none"/>
                <w:lang w:val="en-US" w:eastAsia="zh-CN"/>
              </w:rPr>
              <w:t>施工</w:t>
            </w:r>
            <w:r>
              <w:rPr>
                <w:rFonts w:hint="eastAsia" w:ascii="宋体" w:hAnsi="宋体" w:eastAsia="宋体" w:cs="宋体"/>
                <w:sz w:val="21"/>
                <w:szCs w:val="21"/>
                <w:highlight w:val="none"/>
              </w:rPr>
              <w:t>进度计划与保证措施</w:t>
            </w:r>
          </w:p>
        </w:tc>
        <w:tc>
          <w:tcPr>
            <w:tcW w:w="677"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28" w:firstLineChars="0"/>
              <w:jc w:val="center"/>
              <w:textAlignment w:val="auto"/>
              <w:rPr>
                <w:rFonts w:hint="default" w:ascii="宋体" w:hAnsi="宋体" w:eastAsia="宋体" w:cs="宋体"/>
                <w:b w:val="0"/>
                <w:bCs/>
                <w:color w:val="auto"/>
                <w:kern w:val="2"/>
                <w:sz w:val="21"/>
                <w:szCs w:val="21"/>
                <w:lang w:val="en-US" w:eastAsia="zh-CN" w:bidi="ar-SA"/>
              </w:rPr>
            </w:pPr>
            <w:r>
              <w:rPr>
                <w:rFonts w:hint="eastAsia" w:ascii="宋体" w:hAnsi="宋体" w:cs="宋体"/>
                <w:sz w:val="21"/>
                <w:szCs w:val="21"/>
                <w:highlight w:val="none"/>
                <w:lang w:val="en-US" w:eastAsia="zh-CN"/>
              </w:rPr>
              <w:t>10</w:t>
            </w:r>
          </w:p>
        </w:tc>
        <w:tc>
          <w:tcPr>
            <w:tcW w:w="5713"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28"/>
              <w:jc w:val="left"/>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进度计划与保证措施科学、可行、针对性强</w:t>
            </w:r>
            <w:r>
              <w:rPr>
                <w:rFonts w:hint="eastAsia" w:ascii="宋体" w:hAnsi="宋体" w:cs="宋体"/>
                <w:b w:val="0"/>
                <w:bCs/>
                <w:sz w:val="21"/>
                <w:szCs w:val="21"/>
                <w:highlight w:val="none"/>
                <w:lang w:eastAsia="zh-CN"/>
              </w:rPr>
              <w:t>，</w:t>
            </w:r>
            <w:r>
              <w:rPr>
                <w:rFonts w:hint="eastAsia" w:ascii="宋体" w:hAnsi="宋体" w:eastAsia="宋体" w:cs="宋体"/>
                <w:b w:val="0"/>
                <w:bCs/>
                <w:sz w:val="21"/>
                <w:szCs w:val="21"/>
                <w:highlight w:val="none"/>
              </w:rPr>
              <w:t>得</w:t>
            </w:r>
            <w:r>
              <w:rPr>
                <w:rFonts w:hint="eastAsia" w:ascii="宋体" w:hAnsi="宋体" w:cs="宋体"/>
                <w:b w:val="0"/>
                <w:bCs/>
                <w:sz w:val="21"/>
                <w:szCs w:val="21"/>
                <w:highlight w:val="none"/>
                <w:lang w:val="en-US" w:eastAsia="zh-CN"/>
              </w:rPr>
              <w:t>10</w:t>
            </w:r>
            <w:r>
              <w:rPr>
                <w:rFonts w:hint="eastAsia" w:ascii="宋体" w:hAnsi="宋体" w:eastAsia="宋体" w:cs="宋体"/>
                <w:b w:val="0"/>
                <w:bCs/>
                <w:sz w:val="21"/>
                <w:szCs w:val="21"/>
                <w:highlight w:val="none"/>
              </w:rPr>
              <w:t>分；</w:t>
            </w:r>
          </w:p>
          <w:p>
            <w:pPr>
              <w:keepNext w:val="0"/>
              <w:keepLines w:val="0"/>
              <w:pageBreakBefore w:val="0"/>
              <w:widowControl w:val="0"/>
              <w:kinsoku/>
              <w:wordWrap/>
              <w:overflowPunct/>
              <w:topLinePunct w:val="0"/>
              <w:autoSpaceDE/>
              <w:autoSpaceDN/>
              <w:bidi w:val="0"/>
              <w:adjustRightInd/>
              <w:snapToGrid/>
              <w:spacing w:line="240" w:lineRule="auto"/>
              <w:ind w:firstLine="28"/>
              <w:jc w:val="left"/>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进度计划与保证措施较合理、可行、细节待完善</w:t>
            </w:r>
            <w:r>
              <w:rPr>
                <w:rFonts w:hint="eastAsia" w:ascii="宋体" w:hAnsi="宋体" w:cs="宋体"/>
                <w:b w:val="0"/>
                <w:bCs/>
                <w:sz w:val="21"/>
                <w:szCs w:val="21"/>
                <w:highlight w:val="none"/>
                <w:lang w:eastAsia="zh-CN"/>
              </w:rPr>
              <w:t>，</w:t>
            </w:r>
            <w:r>
              <w:rPr>
                <w:rFonts w:hint="eastAsia" w:ascii="宋体" w:hAnsi="宋体" w:eastAsia="宋体" w:cs="宋体"/>
                <w:b w:val="0"/>
                <w:bCs/>
                <w:sz w:val="21"/>
                <w:szCs w:val="21"/>
                <w:highlight w:val="none"/>
              </w:rPr>
              <w:t>得</w:t>
            </w:r>
            <w:r>
              <w:rPr>
                <w:rFonts w:hint="eastAsia" w:ascii="宋体" w:hAnsi="宋体" w:cs="宋体"/>
                <w:b w:val="0"/>
                <w:bCs/>
                <w:sz w:val="21"/>
                <w:szCs w:val="21"/>
                <w:highlight w:val="none"/>
                <w:lang w:val="en-US" w:eastAsia="zh-CN"/>
              </w:rPr>
              <w:t>7</w:t>
            </w:r>
            <w:r>
              <w:rPr>
                <w:rFonts w:hint="eastAsia" w:ascii="宋体" w:hAnsi="宋体" w:eastAsia="宋体" w:cs="宋体"/>
                <w:b w:val="0"/>
                <w:bCs/>
                <w:sz w:val="21"/>
                <w:szCs w:val="21"/>
                <w:highlight w:val="none"/>
              </w:rPr>
              <w:t>分；</w:t>
            </w:r>
          </w:p>
          <w:p>
            <w:pPr>
              <w:keepNext w:val="0"/>
              <w:keepLines w:val="0"/>
              <w:pageBreakBefore w:val="0"/>
              <w:widowControl w:val="0"/>
              <w:kinsoku/>
              <w:wordWrap/>
              <w:overflowPunct/>
              <w:topLinePunct w:val="0"/>
              <w:autoSpaceDE/>
              <w:autoSpaceDN/>
              <w:bidi w:val="0"/>
              <w:adjustRightInd/>
              <w:snapToGrid/>
              <w:spacing w:line="240" w:lineRule="auto"/>
              <w:ind w:firstLine="28"/>
              <w:jc w:val="left"/>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进度计划与保证措施欠合理，可行性较差，基本满足工程需要</w:t>
            </w:r>
            <w:r>
              <w:rPr>
                <w:rFonts w:hint="eastAsia" w:ascii="宋体" w:hAnsi="宋体" w:cs="宋体"/>
                <w:b w:val="0"/>
                <w:bCs/>
                <w:sz w:val="21"/>
                <w:szCs w:val="21"/>
                <w:highlight w:val="none"/>
                <w:lang w:eastAsia="zh-CN"/>
              </w:rPr>
              <w:t>，</w:t>
            </w:r>
            <w:r>
              <w:rPr>
                <w:rFonts w:hint="eastAsia" w:ascii="宋体" w:hAnsi="宋体" w:eastAsia="宋体" w:cs="宋体"/>
                <w:b w:val="0"/>
                <w:bCs/>
                <w:sz w:val="21"/>
                <w:szCs w:val="21"/>
                <w:highlight w:val="none"/>
              </w:rPr>
              <w:t>得</w:t>
            </w:r>
            <w:r>
              <w:rPr>
                <w:rFonts w:hint="eastAsia" w:ascii="宋体" w:hAnsi="宋体" w:cs="宋体"/>
                <w:b w:val="0"/>
                <w:bCs/>
                <w:sz w:val="21"/>
                <w:szCs w:val="21"/>
                <w:highlight w:val="none"/>
                <w:lang w:val="en-US" w:eastAsia="zh-CN"/>
              </w:rPr>
              <w:t>4</w:t>
            </w:r>
            <w:r>
              <w:rPr>
                <w:rFonts w:hint="eastAsia" w:ascii="宋体" w:hAnsi="宋体" w:eastAsia="宋体" w:cs="宋体"/>
                <w:b w:val="0"/>
                <w:bCs/>
                <w:sz w:val="21"/>
                <w:szCs w:val="21"/>
                <w:highlight w:val="none"/>
              </w:rPr>
              <w:t>分；</w:t>
            </w:r>
          </w:p>
          <w:p>
            <w:pPr>
              <w:keepNext w:val="0"/>
              <w:keepLines w:val="0"/>
              <w:pageBreakBefore w:val="0"/>
              <w:widowControl w:val="0"/>
              <w:kinsoku/>
              <w:wordWrap/>
              <w:overflowPunct/>
              <w:topLinePunct w:val="0"/>
              <w:autoSpaceDE/>
              <w:autoSpaceDN/>
              <w:bidi w:val="0"/>
              <w:adjustRightInd/>
              <w:snapToGrid/>
              <w:spacing w:line="240" w:lineRule="auto"/>
              <w:ind w:firstLine="28" w:firstLineChars="0"/>
              <w:jc w:val="left"/>
              <w:textAlignment w:val="auto"/>
              <w:rPr>
                <w:rFonts w:hint="eastAsia" w:ascii="宋体" w:hAnsi="宋体" w:eastAsia="宋体" w:cs="宋体"/>
                <w:b w:val="0"/>
                <w:bCs/>
                <w:color w:val="auto"/>
                <w:kern w:val="2"/>
                <w:sz w:val="21"/>
                <w:szCs w:val="21"/>
                <w:lang w:val="en-US" w:eastAsia="zh-CN" w:bidi="ar-SA"/>
              </w:rPr>
            </w:pPr>
            <w:r>
              <w:rPr>
                <w:rFonts w:hint="eastAsia" w:ascii="宋体" w:hAnsi="宋体" w:eastAsia="宋体" w:cs="宋体"/>
                <w:b w:val="0"/>
                <w:bCs/>
                <w:sz w:val="21"/>
                <w:szCs w:val="21"/>
                <w:highlight w:val="none"/>
              </w:rPr>
              <w:t>未提供得</w:t>
            </w:r>
            <w:r>
              <w:rPr>
                <w:rFonts w:hint="eastAsia" w:ascii="宋体" w:hAnsi="宋体" w:eastAsia="宋体" w:cs="宋体"/>
                <w:b w:val="0"/>
                <w:bCs/>
                <w:sz w:val="21"/>
                <w:szCs w:val="21"/>
                <w:highlight w:val="none"/>
                <w:lang w:val="en-US" w:eastAsia="zh-CN"/>
              </w:rPr>
              <w:t>0</w:t>
            </w:r>
            <w:r>
              <w:rPr>
                <w:rFonts w:hint="eastAsia" w:ascii="宋体" w:hAnsi="宋体" w:eastAsia="宋体" w:cs="宋体"/>
                <w:b w:val="0"/>
                <w:bCs/>
                <w:sz w:val="21"/>
                <w:szCs w:val="21"/>
                <w:highlight w:val="none"/>
              </w:rPr>
              <w:t>分。</w:t>
            </w:r>
          </w:p>
        </w:tc>
        <w:tc>
          <w:tcPr>
            <w:tcW w:w="1262" w:type="dxa"/>
            <w:vAlign w:val="center"/>
          </w:tcPr>
          <w:p>
            <w:pPr>
              <w:pStyle w:val="255"/>
              <w:shd w:val="clear" w:color="auto" w:fill="auto"/>
              <w:spacing w:before="0" w:after="0" w:line="240" w:lineRule="auto"/>
              <w:rPr>
                <w:rFonts w:hint="default"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0" w:hRule="atLeast"/>
        </w:trPr>
        <w:tc>
          <w:tcPr>
            <w:tcW w:w="667" w:type="dxa"/>
            <w:vAlign w:val="center"/>
          </w:tcPr>
          <w:p>
            <w:pPr>
              <w:spacing w:after="0" w:line="240" w:lineRule="auto"/>
              <w:ind w:firstLine="28"/>
              <w:jc w:val="center"/>
              <w:rPr>
                <w:rFonts w:hint="default" w:ascii="宋体" w:hAnsi="宋体" w:eastAsia="宋体" w:cs="宋体"/>
                <w:b w:val="0"/>
                <w:bCs/>
                <w:color w:val="auto"/>
                <w:sz w:val="21"/>
                <w:szCs w:val="21"/>
                <w:lang w:val="en-US" w:eastAsia="zh-CN"/>
              </w:rPr>
            </w:pPr>
            <w:r>
              <w:rPr>
                <w:rFonts w:hint="eastAsia" w:ascii="宋体" w:hAnsi="宋体" w:cs="宋体"/>
                <w:b w:val="0"/>
                <w:bCs/>
                <w:color w:val="auto"/>
                <w:sz w:val="21"/>
                <w:szCs w:val="21"/>
                <w:lang w:val="en-US" w:eastAsia="zh-CN"/>
              </w:rPr>
              <w:t>5</w:t>
            </w:r>
          </w:p>
        </w:tc>
        <w:tc>
          <w:tcPr>
            <w:tcW w:w="1448"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28"/>
              <w:jc w:val="center"/>
              <w:textAlignment w:val="auto"/>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拟入项目的人员配备和专业技术力量</w:t>
            </w:r>
          </w:p>
        </w:tc>
        <w:tc>
          <w:tcPr>
            <w:tcW w:w="677"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28" w:firstLineChars="0"/>
              <w:jc w:val="center"/>
              <w:textAlignment w:val="auto"/>
              <w:rPr>
                <w:rFonts w:hint="default" w:ascii="宋体" w:hAnsi="宋体" w:eastAsia="宋体" w:cs="宋体"/>
                <w:color w:val="auto"/>
                <w:kern w:val="2"/>
                <w:sz w:val="21"/>
                <w:szCs w:val="21"/>
                <w:lang w:val="en-US" w:eastAsia="zh-CN" w:bidi="ar-SA"/>
              </w:rPr>
            </w:pPr>
            <w:r>
              <w:rPr>
                <w:rFonts w:hint="eastAsia" w:ascii="宋体" w:hAnsi="宋体" w:cs="宋体"/>
                <w:sz w:val="21"/>
                <w:szCs w:val="21"/>
                <w:highlight w:val="none"/>
                <w:lang w:val="en-US" w:eastAsia="zh-CN"/>
              </w:rPr>
              <w:t>8</w:t>
            </w:r>
          </w:p>
        </w:tc>
        <w:tc>
          <w:tcPr>
            <w:tcW w:w="5713"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28"/>
              <w:jc w:val="left"/>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布置科学合理</w:t>
            </w:r>
            <w:r>
              <w:rPr>
                <w:rFonts w:hint="eastAsia" w:ascii="宋体" w:hAnsi="宋体" w:cs="宋体"/>
                <w:b w:val="0"/>
                <w:bCs/>
                <w:sz w:val="21"/>
                <w:szCs w:val="21"/>
                <w:highlight w:val="none"/>
                <w:lang w:eastAsia="zh-CN"/>
              </w:rPr>
              <w:t>、</w:t>
            </w:r>
            <w:r>
              <w:rPr>
                <w:rFonts w:hint="eastAsia" w:ascii="宋体" w:hAnsi="宋体" w:cs="宋体"/>
                <w:b w:val="0"/>
                <w:bCs/>
                <w:sz w:val="21"/>
                <w:szCs w:val="21"/>
                <w:highlight w:val="none"/>
                <w:lang w:val="en-US" w:eastAsia="zh-CN"/>
              </w:rPr>
              <w:t>针对性强</w:t>
            </w:r>
            <w:r>
              <w:rPr>
                <w:rFonts w:hint="eastAsia" w:ascii="宋体" w:hAnsi="宋体" w:cs="宋体"/>
                <w:b w:val="0"/>
                <w:bCs/>
                <w:sz w:val="21"/>
                <w:szCs w:val="21"/>
                <w:highlight w:val="none"/>
                <w:lang w:eastAsia="zh-CN"/>
              </w:rPr>
              <w:t>，</w:t>
            </w:r>
            <w:r>
              <w:rPr>
                <w:rFonts w:hint="eastAsia" w:ascii="宋体" w:hAnsi="宋体" w:eastAsia="宋体" w:cs="宋体"/>
                <w:b w:val="0"/>
                <w:bCs/>
                <w:sz w:val="21"/>
                <w:szCs w:val="21"/>
                <w:highlight w:val="none"/>
              </w:rPr>
              <w:t>得</w:t>
            </w:r>
            <w:r>
              <w:rPr>
                <w:rFonts w:hint="eastAsia" w:ascii="宋体" w:hAnsi="宋体" w:cs="宋体"/>
                <w:b w:val="0"/>
                <w:bCs/>
                <w:sz w:val="21"/>
                <w:szCs w:val="21"/>
                <w:highlight w:val="none"/>
                <w:lang w:val="en-US" w:eastAsia="zh-CN"/>
              </w:rPr>
              <w:t>8</w:t>
            </w:r>
            <w:r>
              <w:rPr>
                <w:rFonts w:hint="eastAsia" w:ascii="宋体" w:hAnsi="宋体" w:eastAsia="宋体" w:cs="宋体"/>
                <w:b w:val="0"/>
                <w:bCs/>
                <w:sz w:val="21"/>
                <w:szCs w:val="21"/>
                <w:highlight w:val="none"/>
              </w:rPr>
              <w:t>分；</w:t>
            </w:r>
          </w:p>
          <w:p>
            <w:pPr>
              <w:keepNext w:val="0"/>
              <w:keepLines w:val="0"/>
              <w:pageBreakBefore w:val="0"/>
              <w:widowControl w:val="0"/>
              <w:kinsoku/>
              <w:wordWrap/>
              <w:overflowPunct/>
              <w:topLinePunct w:val="0"/>
              <w:autoSpaceDE/>
              <w:autoSpaceDN/>
              <w:bidi w:val="0"/>
              <w:adjustRightInd/>
              <w:snapToGrid/>
              <w:spacing w:line="240" w:lineRule="auto"/>
              <w:ind w:firstLine="28"/>
              <w:jc w:val="left"/>
              <w:textAlignment w:val="auto"/>
              <w:rPr>
                <w:rFonts w:hint="eastAsia" w:ascii="宋体" w:hAnsi="宋体" w:eastAsia="宋体" w:cs="宋体"/>
                <w:b w:val="0"/>
                <w:bCs/>
                <w:sz w:val="21"/>
                <w:szCs w:val="21"/>
                <w:highlight w:val="none"/>
              </w:rPr>
            </w:pPr>
            <w:r>
              <w:rPr>
                <w:rFonts w:hint="eastAsia" w:ascii="宋体" w:hAnsi="宋体" w:cs="宋体"/>
                <w:b w:val="0"/>
                <w:bCs/>
                <w:sz w:val="21"/>
                <w:szCs w:val="21"/>
                <w:highlight w:val="none"/>
                <w:lang w:val="en-US" w:eastAsia="zh-CN"/>
              </w:rPr>
              <w:t>布置较合理、针对性较强，</w:t>
            </w:r>
            <w:r>
              <w:rPr>
                <w:rFonts w:hint="eastAsia" w:ascii="宋体" w:hAnsi="宋体" w:eastAsia="宋体" w:cs="宋体"/>
                <w:b w:val="0"/>
                <w:bCs/>
                <w:sz w:val="21"/>
                <w:szCs w:val="21"/>
                <w:highlight w:val="none"/>
              </w:rPr>
              <w:t>得</w:t>
            </w:r>
            <w:r>
              <w:rPr>
                <w:rFonts w:hint="eastAsia" w:ascii="宋体" w:hAnsi="宋体" w:cs="宋体"/>
                <w:b w:val="0"/>
                <w:bCs/>
                <w:sz w:val="21"/>
                <w:szCs w:val="21"/>
                <w:highlight w:val="none"/>
                <w:lang w:val="en-US" w:eastAsia="zh-CN"/>
              </w:rPr>
              <w:t>6</w:t>
            </w:r>
            <w:r>
              <w:rPr>
                <w:rFonts w:hint="eastAsia" w:ascii="宋体" w:hAnsi="宋体" w:eastAsia="宋体" w:cs="宋体"/>
                <w:b w:val="0"/>
                <w:bCs/>
                <w:sz w:val="21"/>
                <w:szCs w:val="21"/>
                <w:highlight w:val="none"/>
              </w:rPr>
              <w:t>分；</w:t>
            </w:r>
          </w:p>
          <w:p>
            <w:pPr>
              <w:keepNext w:val="0"/>
              <w:keepLines w:val="0"/>
              <w:pageBreakBefore w:val="0"/>
              <w:widowControl w:val="0"/>
              <w:kinsoku/>
              <w:wordWrap/>
              <w:overflowPunct/>
              <w:topLinePunct w:val="0"/>
              <w:autoSpaceDE/>
              <w:autoSpaceDN/>
              <w:bidi w:val="0"/>
              <w:adjustRightInd/>
              <w:snapToGrid/>
              <w:spacing w:line="240" w:lineRule="auto"/>
              <w:ind w:firstLine="28"/>
              <w:jc w:val="left"/>
              <w:textAlignment w:val="auto"/>
              <w:rPr>
                <w:rFonts w:hint="eastAsia" w:ascii="宋体" w:hAnsi="宋体" w:eastAsia="宋体" w:cs="宋体"/>
                <w:b w:val="0"/>
                <w:bCs/>
                <w:sz w:val="21"/>
                <w:szCs w:val="21"/>
                <w:highlight w:val="none"/>
              </w:rPr>
            </w:pPr>
            <w:r>
              <w:rPr>
                <w:rFonts w:hint="eastAsia" w:ascii="宋体" w:hAnsi="宋体" w:cs="宋体"/>
                <w:b w:val="0"/>
                <w:bCs/>
                <w:sz w:val="21"/>
                <w:szCs w:val="21"/>
                <w:highlight w:val="none"/>
                <w:lang w:val="en-US" w:eastAsia="zh-CN"/>
              </w:rPr>
              <w:t>布置一般</w:t>
            </w:r>
            <w:r>
              <w:rPr>
                <w:rFonts w:hint="eastAsia" w:ascii="宋体" w:hAnsi="宋体" w:eastAsia="宋体" w:cs="宋体"/>
                <w:b w:val="0"/>
                <w:bCs/>
                <w:sz w:val="21"/>
                <w:szCs w:val="21"/>
                <w:highlight w:val="none"/>
              </w:rPr>
              <w:t>、</w:t>
            </w:r>
            <w:r>
              <w:rPr>
                <w:rFonts w:hint="eastAsia" w:ascii="宋体" w:hAnsi="宋体" w:cs="宋体"/>
                <w:b w:val="0"/>
                <w:bCs/>
                <w:sz w:val="21"/>
                <w:szCs w:val="21"/>
                <w:highlight w:val="none"/>
                <w:lang w:val="en-US" w:eastAsia="zh-CN"/>
              </w:rPr>
              <w:t>细节待完善</w:t>
            </w:r>
            <w:r>
              <w:rPr>
                <w:rFonts w:hint="eastAsia" w:ascii="宋体" w:hAnsi="宋体" w:cs="宋体"/>
                <w:b w:val="0"/>
                <w:bCs/>
                <w:sz w:val="21"/>
                <w:szCs w:val="21"/>
                <w:highlight w:val="none"/>
                <w:lang w:eastAsia="zh-CN"/>
              </w:rPr>
              <w:t>，</w:t>
            </w:r>
            <w:r>
              <w:rPr>
                <w:rFonts w:hint="eastAsia" w:ascii="宋体" w:hAnsi="宋体" w:eastAsia="宋体" w:cs="宋体"/>
                <w:b w:val="0"/>
                <w:bCs/>
                <w:sz w:val="21"/>
                <w:szCs w:val="21"/>
                <w:highlight w:val="none"/>
              </w:rPr>
              <w:t>得</w:t>
            </w:r>
            <w:r>
              <w:rPr>
                <w:rFonts w:hint="eastAsia" w:ascii="宋体" w:hAnsi="宋体" w:cs="宋体"/>
                <w:b w:val="0"/>
                <w:bCs/>
                <w:sz w:val="21"/>
                <w:szCs w:val="21"/>
                <w:highlight w:val="none"/>
                <w:lang w:val="en-US" w:eastAsia="zh-CN"/>
              </w:rPr>
              <w:t>4</w:t>
            </w:r>
            <w:r>
              <w:rPr>
                <w:rFonts w:hint="eastAsia" w:ascii="宋体" w:hAnsi="宋体" w:eastAsia="宋体" w:cs="宋体"/>
                <w:b w:val="0"/>
                <w:bCs/>
                <w:sz w:val="21"/>
                <w:szCs w:val="21"/>
                <w:highlight w:val="none"/>
              </w:rPr>
              <w:t>分。</w:t>
            </w:r>
          </w:p>
          <w:p>
            <w:pPr>
              <w:keepNext w:val="0"/>
              <w:keepLines w:val="0"/>
              <w:pageBreakBefore w:val="0"/>
              <w:widowControl w:val="0"/>
              <w:kinsoku/>
              <w:wordWrap/>
              <w:overflowPunct/>
              <w:topLinePunct w:val="0"/>
              <w:autoSpaceDE/>
              <w:autoSpaceDN/>
              <w:bidi w:val="0"/>
              <w:adjustRightInd/>
              <w:snapToGrid/>
              <w:spacing w:line="240" w:lineRule="auto"/>
              <w:ind w:firstLine="28" w:firstLineChars="0"/>
              <w:jc w:val="left"/>
              <w:textAlignment w:val="auto"/>
              <w:rPr>
                <w:rFonts w:hint="default" w:ascii="宋体" w:hAnsi="宋体" w:eastAsia="宋体" w:cs="宋体"/>
                <w:color w:val="auto"/>
                <w:kern w:val="2"/>
                <w:sz w:val="21"/>
                <w:szCs w:val="21"/>
                <w:lang w:val="en-US" w:eastAsia="zh-CN" w:bidi="ar-SA"/>
              </w:rPr>
            </w:pPr>
            <w:r>
              <w:rPr>
                <w:rFonts w:hint="eastAsia" w:ascii="宋体" w:hAnsi="宋体" w:eastAsia="宋体" w:cs="宋体"/>
                <w:b w:val="0"/>
                <w:bCs/>
                <w:sz w:val="21"/>
                <w:szCs w:val="21"/>
                <w:highlight w:val="none"/>
              </w:rPr>
              <w:t>未提供得</w:t>
            </w:r>
            <w:r>
              <w:rPr>
                <w:rFonts w:hint="eastAsia" w:ascii="宋体" w:hAnsi="宋体" w:eastAsia="宋体" w:cs="宋体"/>
                <w:b w:val="0"/>
                <w:bCs/>
                <w:sz w:val="21"/>
                <w:szCs w:val="21"/>
                <w:highlight w:val="none"/>
                <w:lang w:val="en-US" w:eastAsia="zh-CN"/>
              </w:rPr>
              <w:t>0</w:t>
            </w:r>
            <w:r>
              <w:rPr>
                <w:rFonts w:hint="eastAsia" w:ascii="宋体" w:hAnsi="宋体" w:eastAsia="宋体" w:cs="宋体"/>
                <w:b w:val="0"/>
                <w:bCs/>
                <w:sz w:val="21"/>
                <w:szCs w:val="21"/>
                <w:highlight w:val="none"/>
              </w:rPr>
              <w:t>分。</w:t>
            </w:r>
          </w:p>
        </w:tc>
        <w:tc>
          <w:tcPr>
            <w:tcW w:w="1262" w:type="dxa"/>
            <w:vAlign w:val="center"/>
          </w:tcPr>
          <w:p>
            <w:pPr>
              <w:pStyle w:val="255"/>
              <w:shd w:val="clear" w:color="auto" w:fill="auto"/>
              <w:spacing w:before="0" w:after="0" w:line="240" w:lineRule="auto"/>
              <w:rPr>
                <w:rFonts w:hint="default"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0" w:hRule="atLeast"/>
        </w:trPr>
        <w:tc>
          <w:tcPr>
            <w:tcW w:w="667" w:type="dxa"/>
            <w:vAlign w:val="center"/>
          </w:tcPr>
          <w:p>
            <w:pPr>
              <w:spacing w:after="0" w:line="240" w:lineRule="auto"/>
              <w:ind w:firstLine="28"/>
              <w:jc w:val="center"/>
              <w:rPr>
                <w:rFonts w:hint="default" w:ascii="宋体" w:hAnsi="宋体" w:eastAsia="宋体" w:cs="宋体"/>
                <w:b w:val="0"/>
                <w:bCs/>
                <w:color w:val="auto"/>
                <w:sz w:val="21"/>
                <w:szCs w:val="21"/>
                <w:lang w:val="en-US" w:eastAsia="zh-CN"/>
              </w:rPr>
            </w:pPr>
            <w:r>
              <w:rPr>
                <w:rFonts w:hint="eastAsia" w:ascii="宋体" w:hAnsi="宋体" w:cs="宋体"/>
                <w:b w:val="0"/>
                <w:bCs/>
                <w:color w:val="auto"/>
                <w:sz w:val="21"/>
                <w:szCs w:val="21"/>
                <w:lang w:val="en-US" w:eastAsia="zh-CN"/>
              </w:rPr>
              <w:t>6</w:t>
            </w:r>
          </w:p>
        </w:tc>
        <w:tc>
          <w:tcPr>
            <w:tcW w:w="1448"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28"/>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sz w:val="21"/>
                <w:szCs w:val="21"/>
                <w:highlight w:val="none"/>
              </w:rPr>
              <w:t>紧急情况的处理措施、预案以及抵抗风险的措施</w:t>
            </w:r>
          </w:p>
        </w:tc>
        <w:tc>
          <w:tcPr>
            <w:tcW w:w="677"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28" w:firstLineChars="0"/>
              <w:jc w:val="center"/>
              <w:textAlignment w:val="auto"/>
              <w:rPr>
                <w:rFonts w:hint="default" w:ascii="宋体" w:hAnsi="宋体" w:eastAsia="宋体" w:cs="宋体"/>
                <w:color w:val="auto"/>
                <w:sz w:val="21"/>
                <w:szCs w:val="21"/>
                <w:lang w:val="en-US" w:eastAsia="zh-CN"/>
              </w:rPr>
            </w:pPr>
            <w:r>
              <w:rPr>
                <w:rFonts w:hint="eastAsia" w:ascii="宋体" w:hAnsi="宋体" w:cs="宋体"/>
                <w:sz w:val="21"/>
                <w:szCs w:val="21"/>
                <w:highlight w:val="none"/>
                <w:lang w:val="en-US" w:eastAsia="zh-CN"/>
              </w:rPr>
              <w:t>8</w:t>
            </w:r>
          </w:p>
        </w:tc>
        <w:tc>
          <w:tcPr>
            <w:tcW w:w="5713"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28"/>
              <w:jc w:val="left"/>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措施科学合理</w:t>
            </w:r>
            <w:r>
              <w:rPr>
                <w:rFonts w:hint="eastAsia" w:ascii="宋体" w:hAnsi="宋体" w:cs="宋体"/>
                <w:b w:val="0"/>
                <w:bCs/>
                <w:sz w:val="21"/>
                <w:szCs w:val="21"/>
                <w:highlight w:val="none"/>
                <w:lang w:eastAsia="zh-CN"/>
              </w:rPr>
              <w:t>、</w:t>
            </w:r>
            <w:r>
              <w:rPr>
                <w:rFonts w:hint="eastAsia" w:ascii="宋体" w:hAnsi="宋体" w:cs="宋体"/>
                <w:b w:val="0"/>
                <w:bCs/>
                <w:sz w:val="21"/>
                <w:szCs w:val="21"/>
                <w:highlight w:val="none"/>
                <w:lang w:val="en-US" w:eastAsia="zh-CN"/>
              </w:rPr>
              <w:t>针对性强</w:t>
            </w:r>
            <w:r>
              <w:rPr>
                <w:rFonts w:hint="eastAsia" w:ascii="宋体" w:hAnsi="宋体" w:cs="宋体"/>
                <w:b w:val="0"/>
                <w:bCs/>
                <w:sz w:val="21"/>
                <w:szCs w:val="21"/>
                <w:highlight w:val="none"/>
                <w:lang w:eastAsia="zh-CN"/>
              </w:rPr>
              <w:t>，</w:t>
            </w:r>
            <w:r>
              <w:rPr>
                <w:rFonts w:hint="eastAsia" w:ascii="宋体" w:hAnsi="宋体" w:eastAsia="宋体" w:cs="宋体"/>
                <w:b w:val="0"/>
                <w:bCs/>
                <w:sz w:val="21"/>
                <w:szCs w:val="21"/>
                <w:highlight w:val="none"/>
              </w:rPr>
              <w:t>得</w:t>
            </w:r>
            <w:r>
              <w:rPr>
                <w:rFonts w:hint="eastAsia" w:ascii="宋体" w:hAnsi="宋体" w:cs="宋体"/>
                <w:b w:val="0"/>
                <w:bCs/>
                <w:sz w:val="21"/>
                <w:szCs w:val="21"/>
                <w:highlight w:val="none"/>
                <w:lang w:val="en-US" w:eastAsia="zh-CN"/>
              </w:rPr>
              <w:t>8</w:t>
            </w:r>
            <w:r>
              <w:rPr>
                <w:rFonts w:hint="eastAsia" w:ascii="宋体" w:hAnsi="宋体" w:eastAsia="宋体" w:cs="宋体"/>
                <w:b w:val="0"/>
                <w:bCs/>
                <w:sz w:val="21"/>
                <w:szCs w:val="21"/>
                <w:highlight w:val="none"/>
              </w:rPr>
              <w:t>分；</w:t>
            </w:r>
          </w:p>
          <w:p>
            <w:pPr>
              <w:keepNext w:val="0"/>
              <w:keepLines w:val="0"/>
              <w:pageBreakBefore w:val="0"/>
              <w:widowControl w:val="0"/>
              <w:kinsoku/>
              <w:wordWrap/>
              <w:overflowPunct/>
              <w:topLinePunct w:val="0"/>
              <w:autoSpaceDE/>
              <w:autoSpaceDN/>
              <w:bidi w:val="0"/>
              <w:adjustRightInd/>
              <w:snapToGrid/>
              <w:spacing w:line="240" w:lineRule="auto"/>
              <w:ind w:firstLine="28" w:firstLineChars="0"/>
              <w:jc w:val="left"/>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lang w:val="en-US" w:eastAsia="zh-CN"/>
              </w:rPr>
              <w:t>措施</w:t>
            </w:r>
            <w:r>
              <w:rPr>
                <w:rFonts w:hint="eastAsia" w:ascii="宋体" w:hAnsi="宋体" w:cs="宋体"/>
                <w:b w:val="0"/>
                <w:bCs/>
                <w:sz w:val="21"/>
                <w:szCs w:val="21"/>
                <w:highlight w:val="none"/>
                <w:lang w:val="en-US" w:eastAsia="zh-CN"/>
              </w:rPr>
              <w:t>较</w:t>
            </w:r>
            <w:r>
              <w:rPr>
                <w:rFonts w:hint="eastAsia" w:ascii="宋体" w:hAnsi="宋体" w:eastAsia="宋体" w:cs="宋体"/>
                <w:b w:val="0"/>
                <w:bCs/>
                <w:sz w:val="21"/>
                <w:szCs w:val="21"/>
                <w:highlight w:val="none"/>
                <w:lang w:val="en-US" w:eastAsia="zh-CN"/>
              </w:rPr>
              <w:t>合理，针对性</w:t>
            </w:r>
            <w:r>
              <w:rPr>
                <w:rFonts w:hint="eastAsia" w:ascii="宋体" w:hAnsi="宋体" w:cs="宋体"/>
                <w:b w:val="0"/>
                <w:bCs/>
                <w:sz w:val="21"/>
                <w:szCs w:val="21"/>
                <w:highlight w:val="none"/>
                <w:lang w:val="en-US" w:eastAsia="zh-CN"/>
              </w:rPr>
              <w:t>较</w:t>
            </w:r>
            <w:r>
              <w:rPr>
                <w:rFonts w:hint="eastAsia" w:ascii="宋体" w:hAnsi="宋体" w:eastAsia="宋体" w:cs="宋体"/>
                <w:b w:val="0"/>
                <w:bCs/>
                <w:sz w:val="21"/>
                <w:szCs w:val="21"/>
                <w:highlight w:val="none"/>
                <w:lang w:val="en-US" w:eastAsia="zh-CN"/>
              </w:rPr>
              <w:t>强，得</w:t>
            </w:r>
            <w:r>
              <w:rPr>
                <w:rFonts w:hint="eastAsia" w:ascii="宋体" w:hAnsi="宋体" w:cs="宋体"/>
                <w:b w:val="0"/>
                <w:bCs/>
                <w:sz w:val="21"/>
                <w:szCs w:val="21"/>
                <w:highlight w:val="none"/>
                <w:lang w:val="en-US" w:eastAsia="zh-CN"/>
              </w:rPr>
              <w:t>6</w:t>
            </w:r>
            <w:r>
              <w:rPr>
                <w:rFonts w:hint="eastAsia" w:ascii="宋体" w:hAnsi="宋体" w:eastAsia="宋体" w:cs="宋体"/>
                <w:b w:val="0"/>
                <w:bCs/>
                <w:sz w:val="21"/>
                <w:szCs w:val="21"/>
                <w:highlight w:val="none"/>
                <w:lang w:val="en-US" w:eastAsia="zh-CN"/>
              </w:rPr>
              <w:t xml:space="preserve">分； </w:t>
            </w:r>
          </w:p>
          <w:p>
            <w:pPr>
              <w:keepNext w:val="0"/>
              <w:keepLines w:val="0"/>
              <w:pageBreakBefore w:val="0"/>
              <w:widowControl w:val="0"/>
              <w:kinsoku/>
              <w:wordWrap/>
              <w:overflowPunct/>
              <w:topLinePunct w:val="0"/>
              <w:autoSpaceDE/>
              <w:autoSpaceDN/>
              <w:bidi w:val="0"/>
              <w:adjustRightInd/>
              <w:snapToGrid/>
              <w:spacing w:line="240" w:lineRule="auto"/>
              <w:ind w:firstLine="28"/>
              <w:jc w:val="left"/>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lang w:val="en-US" w:eastAsia="zh-CN"/>
              </w:rPr>
              <w:t>措施一般，</w:t>
            </w:r>
            <w:r>
              <w:rPr>
                <w:rFonts w:hint="eastAsia" w:ascii="宋体" w:hAnsi="宋体" w:cs="宋体"/>
                <w:b w:val="0"/>
                <w:bCs/>
                <w:sz w:val="21"/>
                <w:szCs w:val="21"/>
                <w:highlight w:val="none"/>
                <w:lang w:val="en-US" w:eastAsia="zh-CN"/>
              </w:rPr>
              <w:t>细节待完善，</w:t>
            </w:r>
            <w:r>
              <w:rPr>
                <w:rFonts w:hint="eastAsia" w:ascii="宋体" w:hAnsi="宋体" w:eastAsia="宋体" w:cs="宋体"/>
                <w:b w:val="0"/>
                <w:bCs/>
                <w:sz w:val="21"/>
                <w:szCs w:val="21"/>
                <w:highlight w:val="none"/>
                <w:lang w:val="en-US" w:eastAsia="zh-CN"/>
              </w:rPr>
              <w:t>得</w:t>
            </w:r>
            <w:r>
              <w:rPr>
                <w:rFonts w:hint="eastAsia" w:ascii="宋体" w:hAnsi="宋体" w:cs="宋体"/>
                <w:b w:val="0"/>
                <w:bCs/>
                <w:sz w:val="21"/>
                <w:szCs w:val="21"/>
                <w:highlight w:val="none"/>
                <w:lang w:val="en-US" w:eastAsia="zh-CN"/>
              </w:rPr>
              <w:t>4</w:t>
            </w:r>
            <w:r>
              <w:rPr>
                <w:rFonts w:hint="eastAsia" w:ascii="宋体" w:hAnsi="宋体" w:eastAsia="宋体" w:cs="宋体"/>
                <w:b w:val="0"/>
                <w:bCs/>
                <w:sz w:val="21"/>
                <w:szCs w:val="21"/>
                <w:highlight w:val="none"/>
                <w:lang w:val="en-US" w:eastAsia="zh-CN"/>
              </w:rPr>
              <w:t>分</w:t>
            </w:r>
            <w:r>
              <w:rPr>
                <w:rFonts w:hint="eastAsia" w:ascii="宋体" w:hAnsi="宋体" w:eastAsia="宋体" w:cs="宋体"/>
                <w:b w:val="0"/>
                <w:bCs/>
                <w:sz w:val="21"/>
                <w:szCs w:val="21"/>
                <w:highlight w:val="none"/>
              </w:rPr>
              <w:t>。</w:t>
            </w:r>
          </w:p>
          <w:p>
            <w:pPr>
              <w:keepNext w:val="0"/>
              <w:keepLines w:val="0"/>
              <w:pageBreakBefore w:val="0"/>
              <w:widowControl w:val="0"/>
              <w:kinsoku/>
              <w:wordWrap/>
              <w:overflowPunct/>
              <w:topLinePunct w:val="0"/>
              <w:autoSpaceDE/>
              <w:autoSpaceDN/>
              <w:bidi w:val="0"/>
              <w:adjustRightInd/>
              <w:snapToGrid/>
              <w:spacing w:line="240" w:lineRule="auto"/>
              <w:ind w:firstLine="28" w:firstLineChars="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b w:val="0"/>
                <w:bCs/>
                <w:sz w:val="21"/>
                <w:szCs w:val="21"/>
                <w:highlight w:val="none"/>
              </w:rPr>
              <w:t>未提供得</w:t>
            </w:r>
            <w:r>
              <w:rPr>
                <w:rFonts w:hint="eastAsia" w:ascii="宋体" w:hAnsi="宋体" w:eastAsia="宋体" w:cs="宋体"/>
                <w:b w:val="0"/>
                <w:bCs/>
                <w:sz w:val="21"/>
                <w:szCs w:val="21"/>
                <w:highlight w:val="none"/>
                <w:lang w:val="en-US" w:eastAsia="zh-CN"/>
              </w:rPr>
              <w:t>0</w:t>
            </w:r>
            <w:r>
              <w:rPr>
                <w:rFonts w:hint="eastAsia" w:ascii="宋体" w:hAnsi="宋体" w:eastAsia="宋体" w:cs="宋体"/>
                <w:b w:val="0"/>
                <w:bCs/>
                <w:sz w:val="21"/>
                <w:szCs w:val="21"/>
                <w:highlight w:val="none"/>
              </w:rPr>
              <w:t>分。</w:t>
            </w:r>
          </w:p>
        </w:tc>
        <w:tc>
          <w:tcPr>
            <w:tcW w:w="1262" w:type="dxa"/>
            <w:vAlign w:val="center"/>
          </w:tcPr>
          <w:p>
            <w:pPr>
              <w:pStyle w:val="255"/>
              <w:shd w:val="clear" w:color="auto" w:fill="auto"/>
              <w:spacing w:before="0" w:after="0" w:line="240" w:lineRule="auto"/>
              <w:rPr>
                <w:rFonts w:hint="default"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8" w:hRule="atLeast"/>
        </w:trPr>
        <w:tc>
          <w:tcPr>
            <w:tcW w:w="667" w:type="dxa"/>
            <w:vAlign w:val="center"/>
          </w:tcPr>
          <w:p>
            <w:pPr>
              <w:spacing w:after="0" w:line="240" w:lineRule="auto"/>
              <w:ind w:firstLine="28"/>
              <w:jc w:val="center"/>
              <w:rPr>
                <w:rFonts w:hint="default" w:ascii="宋体" w:hAnsi="宋体" w:cs="宋体"/>
                <w:b w:val="0"/>
                <w:bCs/>
                <w:color w:val="auto"/>
                <w:sz w:val="21"/>
                <w:szCs w:val="21"/>
                <w:lang w:val="en-US" w:eastAsia="zh-CN"/>
              </w:rPr>
            </w:pPr>
            <w:r>
              <w:rPr>
                <w:rFonts w:hint="eastAsia" w:ascii="宋体" w:hAnsi="宋体" w:cs="宋体"/>
                <w:b w:val="0"/>
                <w:bCs/>
                <w:color w:val="auto"/>
                <w:sz w:val="21"/>
                <w:szCs w:val="21"/>
                <w:lang w:val="en-US" w:eastAsia="zh-CN"/>
              </w:rPr>
              <w:t>7</w:t>
            </w:r>
          </w:p>
        </w:tc>
        <w:tc>
          <w:tcPr>
            <w:tcW w:w="1448"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28"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sz w:val="21"/>
                <w:szCs w:val="21"/>
                <w:highlight w:val="none"/>
              </w:rPr>
              <w:t>建筑垃圾运输及处置措施</w:t>
            </w:r>
          </w:p>
        </w:tc>
        <w:tc>
          <w:tcPr>
            <w:tcW w:w="677"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28" w:firstLineChars="0"/>
              <w:jc w:val="center"/>
              <w:textAlignment w:val="auto"/>
              <w:rPr>
                <w:rFonts w:hint="default" w:ascii="宋体" w:hAnsi="宋体" w:eastAsia="宋体" w:cs="宋体"/>
                <w:color w:val="auto"/>
                <w:sz w:val="21"/>
                <w:szCs w:val="21"/>
                <w:lang w:val="en-US" w:eastAsia="zh-CN"/>
              </w:rPr>
            </w:pPr>
            <w:r>
              <w:rPr>
                <w:rFonts w:hint="eastAsia" w:ascii="宋体" w:hAnsi="宋体" w:cs="宋体"/>
                <w:sz w:val="21"/>
                <w:szCs w:val="21"/>
                <w:highlight w:val="none"/>
                <w:lang w:val="en-US" w:eastAsia="zh-CN"/>
              </w:rPr>
              <w:t>8</w:t>
            </w:r>
          </w:p>
        </w:tc>
        <w:tc>
          <w:tcPr>
            <w:tcW w:w="5713"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28"/>
              <w:jc w:val="left"/>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措施科学合理</w:t>
            </w:r>
            <w:r>
              <w:rPr>
                <w:rFonts w:hint="eastAsia" w:ascii="宋体" w:hAnsi="宋体" w:cs="宋体"/>
                <w:b w:val="0"/>
                <w:bCs/>
                <w:sz w:val="21"/>
                <w:szCs w:val="21"/>
                <w:highlight w:val="none"/>
                <w:lang w:eastAsia="zh-CN"/>
              </w:rPr>
              <w:t>、</w:t>
            </w:r>
            <w:r>
              <w:rPr>
                <w:rFonts w:hint="eastAsia" w:ascii="宋体" w:hAnsi="宋体" w:cs="宋体"/>
                <w:b w:val="0"/>
                <w:bCs/>
                <w:sz w:val="21"/>
                <w:szCs w:val="21"/>
                <w:highlight w:val="none"/>
                <w:lang w:val="en-US" w:eastAsia="zh-CN"/>
              </w:rPr>
              <w:t>针对性强</w:t>
            </w:r>
            <w:r>
              <w:rPr>
                <w:rFonts w:hint="eastAsia" w:ascii="宋体" w:hAnsi="宋体" w:cs="宋体"/>
                <w:b w:val="0"/>
                <w:bCs/>
                <w:sz w:val="21"/>
                <w:szCs w:val="21"/>
                <w:highlight w:val="none"/>
                <w:lang w:eastAsia="zh-CN"/>
              </w:rPr>
              <w:t>，</w:t>
            </w:r>
            <w:r>
              <w:rPr>
                <w:rFonts w:hint="eastAsia" w:ascii="宋体" w:hAnsi="宋体" w:eastAsia="宋体" w:cs="宋体"/>
                <w:b w:val="0"/>
                <w:bCs/>
                <w:sz w:val="21"/>
                <w:szCs w:val="21"/>
                <w:highlight w:val="none"/>
              </w:rPr>
              <w:t>得</w:t>
            </w:r>
            <w:r>
              <w:rPr>
                <w:rFonts w:hint="eastAsia" w:ascii="宋体" w:hAnsi="宋体" w:cs="宋体"/>
                <w:b w:val="0"/>
                <w:bCs/>
                <w:sz w:val="21"/>
                <w:szCs w:val="21"/>
                <w:highlight w:val="none"/>
                <w:lang w:val="en-US" w:eastAsia="zh-CN"/>
              </w:rPr>
              <w:t>8</w:t>
            </w:r>
            <w:r>
              <w:rPr>
                <w:rFonts w:hint="eastAsia" w:ascii="宋体" w:hAnsi="宋体" w:eastAsia="宋体" w:cs="宋体"/>
                <w:b w:val="0"/>
                <w:bCs/>
                <w:sz w:val="21"/>
                <w:szCs w:val="21"/>
                <w:highlight w:val="none"/>
              </w:rPr>
              <w:t>分；</w:t>
            </w:r>
          </w:p>
          <w:p>
            <w:pPr>
              <w:keepNext w:val="0"/>
              <w:keepLines w:val="0"/>
              <w:pageBreakBefore w:val="0"/>
              <w:widowControl w:val="0"/>
              <w:kinsoku/>
              <w:wordWrap/>
              <w:overflowPunct/>
              <w:topLinePunct w:val="0"/>
              <w:autoSpaceDE/>
              <w:autoSpaceDN/>
              <w:bidi w:val="0"/>
              <w:adjustRightInd/>
              <w:snapToGrid/>
              <w:spacing w:line="240" w:lineRule="auto"/>
              <w:ind w:firstLine="28" w:firstLineChars="0"/>
              <w:jc w:val="left"/>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lang w:val="en-US" w:eastAsia="zh-CN"/>
              </w:rPr>
              <w:t>措施</w:t>
            </w:r>
            <w:r>
              <w:rPr>
                <w:rFonts w:hint="eastAsia" w:ascii="宋体" w:hAnsi="宋体" w:cs="宋体"/>
                <w:b w:val="0"/>
                <w:bCs/>
                <w:sz w:val="21"/>
                <w:szCs w:val="21"/>
                <w:highlight w:val="none"/>
                <w:lang w:val="en-US" w:eastAsia="zh-CN"/>
              </w:rPr>
              <w:t>较</w:t>
            </w:r>
            <w:r>
              <w:rPr>
                <w:rFonts w:hint="eastAsia" w:ascii="宋体" w:hAnsi="宋体" w:eastAsia="宋体" w:cs="宋体"/>
                <w:b w:val="0"/>
                <w:bCs/>
                <w:sz w:val="21"/>
                <w:szCs w:val="21"/>
                <w:highlight w:val="none"/>
                <w:lang w:val="en-US" w:eastAsia="zh-CN"/>
              </w:rPr>
              <w:t>合理，针对性</w:t>
            </w:r>
            <w:r>
              <w:rPr>
                <w:rFonts w:hint="eastAsia" w:ascii="宋体" w:hAnsi="宋体" w:cs="宋体"/>
                <w:b w:val="0"/>
                <w:bCs/>
                <w:sz w:val="21"/>
                <w:szCs w:val="21"/>
                <w:highlight w:val="none"/>
                <w:lang w:val="en-US" w:eastAsia="zh-CN"/>
              </w:rPr>
              <w:t>较</w:t>
            </w:r>
            <w:r>
              <w:rPr>
                <w:rFonts w:hint="eastAsia" w:ascii="宋体" w:hAnsi="宋体" w:eastAsia="宋体" w:cs="宋体"/>
                <w:b w:val="0"/>
                <w:bCs/>
                <w:sz w:val="21"/>
                <w:szCs w:val="21"/>
                <w:highlight w:val="none"/>
                <w:lang w:val="en-US" w:eastAsia="zh-CN"/>
              </w:rPr>
              <w:t>强，得</w:t>
            </w:r>
            <w:r>
              <w:rPr>
                <w:rFonts w:hint="eastAsia" w:ascii="宋体" w:hAnsi="宋体" w:cs="宋体"/>
                <w:b w:val="0"/>
                <w:bCs/>
                <w:sz w:val="21"/>
                <w:szCs w:val="21"/>
                <w:highlight w:val="none"/>
                <w:lang w:val="en-US" w:eastAsia="zh-CN"/>
              </w:rPr>
              <w:t>6</w:t>
            </w:r>
            <w:r>
              <w:rPr>
                <w:rFonts w:hint="eastAsia" w:ascii="宋体" w:hAnsi="宋体" w:eastAsia="宋体" w:cs="宋体"/>
                <w:b w:val="0"/>
                <w:bCs/>
                <w:sz w:val="21"/>
                <w:szCs w:val="21"/>
                <w:highlight w:val="none"/>
                <w:lang w:val="en-US" w:eastAsia="zh-CN"/>
              </w:rPr>
              <w:t xml:space="preserve">分； </w:t>
            </w:r>
          </w:p>
          <w:p>
            <w:pPr>
              <w:keepNext w:val="0"/>
              <w:keepLines w:val="0"/>
              <w:pageBreakBefore w:val="0"/>
              <w:widowControl w:val="0"/>
              <w:kinsoku/>
              <w:wordWrap/>
              <w:overflowPunct/>
              <w:topLinePunct w:val="0"/>
              <w:autoSpaceDE/>
              <w:autoSpaceDN/>
              <w:bidi w:val="0"/>
              <w:adjustRightInd/>
              <w:snapToGrid/>
              <w:spacing w:line="240" w:lineRule="auto"/>
              <w:ind w:firstLine="28"/>
              <w:jc w:val="left"/>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lang w:val="en-US" w:eastAsia="zh-CN"/>
              </w:rPr>
              <w:t>措施一般，</w:t>
            </w:r>
            <w:r>
              <w:rPr>
                <w:rFonts w:hint="eastAsia" w:ascii="宋体" w:hAnsi="宋体" w:cs="宋体"/>
                <w:b w:val="0"/>
                <w:bCs/>
                <w:sz w:val="21"/>
                <w:szCs w:val="21"/>
                <w:highlight w:val="none"/>
                <w:lang w:val="en-US" w:eastAsia="zh-CN"/>
              </w:rPr>
              <w:t>细节待完善，</w:t>
            </w:r>
            <w:r>
              <w:rPr>
                <w:rFonts w:hint="eastAsia" w:ascii="宋体" w:hAnsi="宋体" w:eastAsia="宋体" w:cs="宋体"/>
                <w:b w:val="0"/>
                <w:bCs/>
                <w:sz w:val="21"/>
                <w:szCs w:val="21"/>
                <w:highlight w:val="none"/>
                <w:lang w:val="en-US" w:eastAsia="zh-CN"/>
              </w:rPr>
              <w:t>得</w:t>
            </w:r>
            <w:r>
              <w:rPr>
                <w:rFonts w:hint="eastAsia" w:ascii="宋体" w:hAnsi="宋体" w:cs="宋体"/>
                <w:b w:val="0"/>
                <w:bCs/>
                <w:sz w:val="21"/>
                <w:szCs w:val="21"/>
                <w:highlight w:val="none"/>
                <w:lang w:val="en-US" w:eastAsia="zh-CN"/>
              </w:rPr>
              <w:t>4</w:t>
            </w:r>
            <w:r>
              <w:rPr>
                <w:rFonts w:hint="eastAsia" w:ascii="宋体" w:hAnsi="宋体" w:eastAsia="宋体" w:cs="宋体"/>
                <w:b w:val="0"/>
                <w:bCs/>
                <w:sz w:val="21"/>
                <w:szCs w:val="21"/>
                <w:highlight w:val="none"/>
                <w:lang w:val="en-US" w:eastAsia="zh-CN"/>
              </w:rPr>
              <w:t>分</w:t>
            </w:r>
            <w:r>
              <w:rPr>
                <w:rFonts w:hint="eastAsia" w:ascii="宋体" w:hAnsi="宋体" w:eastAsia="宋体" w:cs="宋体"/>
                <w:b w:val="0"/>
                <w:bCs/>
                <w:sz w:val="21"/>
                <w:szCs w:val="21"/>
                <w:highlight w:val="none"/>
              </w:rPr>
              <w:t>；</w:t>
            </w:r>
          </w:p>
          <w:p>
            <w:pPr>
              <w:keepNext w:val="0"/>
              <w:keepLines w:val="0"/>
              <w:pageBreakBefore w:val="0"/>
              <w:widowControl w:val="0"/>
              <w:kinsoku/>
              <w:wordWrap/>
              <w:overflowPunct/>
              <w:topLinePunct w:val="0"/>
              <w:autoSpaceDE/>
              <w:autoSpaceDN/>
              <w:bidi w:val="0"/>
              <w:adjustRightInd/>
              <w:snapToGrid/>
              <w:spacing w:line="240" w:lineRule="auto"/>
              <w:ind w:firstLine="28" w:firstLineChars="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b w:val="0"/>
                <w:bCs/>
                <w:sz w:val="21"/>
                <w:szCs w:val="21"/>
                <w:highlight w:val="none"/>
              </w:rPr>
              <w:t>未提供得</w:t>
            </w:r>
            <w:r>
              <w:rPr>
                <w:rFonts w:hint="eastAsia" w:ascii="宋体" w:hAnsi="宋体" w:eastAsia="宋体" w:cs="宋体"/>
                <w:b w:val="0"/>
                <w:bCs/>
                <w:sz w:val="21"/>
                <w:szCs w:val="21"/>
                <w:highlight w:val="none"/>
                <w:lang w:val="en-US" w:eastAsia="zh-CN"/>
              </w:rPr>
              <w:t>0</w:t>
            </w:r>
            <w:r>
              <w:rPr>
                <w:rFonts w:hint="eastAsia" w:ascii="宋体" w:hAnsi="宋体" w:eastAsia="宋体" w:cs="宋体"/>
                <w:b w:val="0"/>
                <w:bCs/>
                <w:sz w:val="21"/>
                <w:szCs w:val="21"/>
                <w:highlight w:val="none"/>
              </w:rPr>
              <w:t>分。</w:t>
            </w:r>
          </w:p>
        </w:tc>
        <w:tc>
          <w:tcPr>
            <w:tcW w:w="1262" w:type="dxa"/>
            <w:vAlign w:val="center"/>
          </w:tcPr>
          <w:p>
            <w:pPr>
              <w:pStyle w:val="255"/>
              <w:shd w:val="clear" w:color="auto" w:fill="auto"/>
              <w:spacing w:before="0" w:after="0" w:line="240" w:lineRule="auto"/>
              <w:rPr>
                <w:rFonts w:hint="default"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9767" w:type="dxa"/>
            <w:gridSpan w:val="5"/>
            <w:vAlign w:val="center"/>
          </w:tcPr>
          <w:p>
            <w:pPr>
              <w:pStyle w:val="255"/>
              <w:shd w:val="clear" w:color="auto" w:fill="auto"/>
              <w:spacing w:before="0" w:after="0" w:line="240" w:lineRule="auto"/>
              <w:rPr>
                <w:rFonts w:hint="eastAsia" w:ascii="宋体" w:hAnsi="宋体" w:eastAsia="宋体" w:cs="宋体"/>
                <w:b w:val="0"/>
                <w:bCs/>
                <w:color w:val="auto"/>
                <w:sz w:val="21"/>
                <w:szCs w:val="21"/>
                <w:lang w:val="en-US" w:eastAsia="zh-CN"/>
              </w:rPr>
            </w:pPr>
            <w:r>
              <w:rPr>
                <w:rFonts w:hint="eastAsia" w:ascii="宋体" w:hAnsi="宋体" w:eastAsia="宋体" w:cs="宋体"/>
                <w:b/>
                <w:bCs w:val="0"/>
                <w:color w:val="auto"/>
                <w:sz w:val="21"/>
                <w:szCs w:val="21"/>
                <w:lang w:val="en-US" w:eastAsia="zh-CN"/>
              </w:rPr>
              <w:t>报价部分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1" w:hRule="atLeast"/>
        </w:trPr>
        <w:tc>
          <w:tcPr>
            <w:tcW w:w="667" w:type="dxa"/>
            <w:vAlign w:val="center"/>
          </w:tcPr>
          <w:p>
            <w:pPr>
              <w:spacing w:after="0" w:line="240" w:lineRule="auto"/>
              <w:ind w:firstLine="28"/>
              <w:jc w:val="center"/>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1</w:t>
            </w:r>
          </w:p>
        </w:tc>
        <w:tc>
          <w:tcPr>
            <w:tcW w:w="1448" w:type="dxa"/>
            <w:vAlign w:val="center"/>
          </w:tcPr>
          <w:p>
            <w:pPr>
              <w:spacing w:after="0" w:line="240" w:lineRule="auto"/>
              <w:ind w:firstLine="28"/>
              <w:jc w:val="center"/>
              <w:rPr>
                <w:rFonts w:hint="eastAsia" w:ascii="宋体" w:hAnsi="宋体" w:eastAsia="宋体" w:cs="宋体"/>
                <w:color w:val="auto"/>
                <w:sz w:val="21"/>
                <w:szCs w:val="21"/>
              </w:rPr>
            </w:pPr>
            <w:r>
              <w:rPr>
                <w:rFonts w:hint="eastAsia" w:ascii="宋体" w:hAnsi="宋体" w:eastAsia="宋体" w:cs="宋体"/>
                <w:color w:val="auto"/>
                <w:sz w:val="21"/>
                <w:szCs w:val="21"/>
              </w:rPr>
              <w:t>报价</w:t>
            </w:r>
          </w:p>
        </w:tc>
        <w:tc>
          <w:tcPr>
            <w:tcW w:w="677" w:type="dxa"/>
            <w:vAlign w:val="center"/>
          </w:tcPr>
          <w:p>
            <w:pPr>
              <w:spacing w:after="0" w:line="240" w:lineRule="auto"/>
              <w:ind w:firstLine="28"/>
              <w:jc w:val="center"/>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30</w:t>
            </w:r>
          </w:p>
        </w:tc>
        <w:tc>
          <w:tcPr>
            <w:tcW w:w="5713" w:type="dxa"/>
            <w:vAlign w:val="center"/>
          </w:tcPr>
          <w:p>
            <w:pPr>
              <w:spacing w:after="0" w:line="240" w:lineRule="auto"/>
              <w:ind w:firstLine="28"/>
              <w:jc w:val="left"/>
              <w:rPr>
                <w:rFonts w:hint="eastAsia" w:ascii="宋体" w:hAnsi="宋体" w:eastAsia="宋体" w:cs="宋体"/>
                <w:color w:val="auto"/>
                <w:sz w:val="21"/>
                <w:szCs w:val="21"/>
              </w:rPr>
            </w:pPr>
            <w:r>
              <w:rPr>
                <w:rFonts w:hint="eastAsia" w:ascii="宋体" w:hAnsi="宋体" w:eastAsia="宋体" w:cs="宋体"/>
                <w:color w:val="auto"/>
                <w:sz w:val="21"/>
                <w:szCs w:val="21"/>
              </w:rPr>
              <w:t>满足磋商文件要求的最后报价最低的供应商的价格为磋商基准价，其价格分为满分。其他供应商的价格分统一按照下列公式计算：</w:t>
            </w:r>
          </w:p>
          <w:p>
            <w:pPr>
              <w:spacing w:after="0" w:line="240" w:lineRule="auto"/>
              <w:ind w:firstLine="28"/>
              <w:jc w:val="left"/>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rPr>
              <w:t>磋商报价得分=（磋商基准价/最后报价）×</w:t>
            </w:r>
            <w:r>
              <w:rPr>
                <w:rFonts w:hint="eastAsia" w:ascii="宋体" w:hAnsi="宋体" w:eastAsia="宋体" w:cs="宋体"/>
                <w:color w:val="auto"/>
                <w:sz w:val="21"/>
                <w:szCs w:val="21"/>
                <w:lang w:val="en-US" w:eastAsia="zh-CN"/>
              </w:rPr>
              <w:t>30</w:t>
            </w:r>
            <w:r>
              <w:rPr>
                <w:rFonts w:hint="eastAsia" w:ascii="宋体" w:hAnsi="宋体" w:eastAsia="宋体" w:cs="宋体"/>
                <w:color w:val="auto"/>
                <w:sz w:val="21"/>
                <w:szCs w:val="21"/>
              </w:rPr>
              <w:t>。</w:t>
            </w:r>
          </w:p>
        </w:tc>
        <w:tc>
          <w:tcPr>
            <w:tcW w:w="1262" w:type="dxa"/>
            <w:vAlign w:val="center"/>
          </w:tcPr>
          <w:p>
            <w:pPr>
              <w:spacing w:after="0" w:line="240" w:lineRule="auto"/>
              <w:ind w:left="-38"/>
              <w:rPr>
                <w:rFonts w:hint="eastAsia" w:ascii="宋体" w:hAnsi="宋体" w:eastAsia="宋体" w:cs="宋体"/>
                <w:color w:val="auto"/>
                <w:sz w:val="21"/>
                <w:szCs w:val="21"/>
              </w:rPr>
            </w:pPr>
            <w:r>
              <w:rPr>
                <w:rFonts w:hint="eastAsia" w:ascii="宋体" w:hAnsi="宋体" w:eastAsia="宋体" w:cs="宋体"/>
                <w:color w:val="auto"/>
                <w:sz w:val="21"/>
                <w:szCs w:val="21"/>
              </w:rPr>
              <w:t>此处最后报价指经过报价修正，及因落实政府采购政策进行价格调整后的报价，详见第三章《评审方法和评审标准》3.2、3.3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trPr>
        <w:tc>
          <w:tcPr>
            <w:tcW w:w="2115" w:type="dxa"/>
            <w:gridSpan w:val="2"/>
            <w:vAlign w:val="center"/>
          </w:tcPr>
          <w:p>
            <w:pPr>
              <w:spacing w:after="0"/>
              <w:ind w:firstLine="28"/>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合计</w:t>
            </w:r>
          </w:p>
        </w:tc>
        <w:tc>
          <w:tcPr>
            <w:tcW w:w="677" w:type="dxa"/>
            <w:vAlign w:val="center"/>
          </w:tcPr>
          <w:p>
            <w:pPr>
              <w:spacing w:after="0"/>
              <w:ind w:firstLine="28"/>
              <w:jc w:val="center"/>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rPr>
              <w:t>100</w:t>
            </w:r>
            <w:r>
              <w:rPr>
                <w:rFonts w:hint="eastAsia" w:ascii="宋体" w:hAnsi="宋体" w:eastAsia="宋体" w:cs="宋体"/>
                <w:b/>
                <w:bCs/>
                <w:color w:val="auto"/>
                <w:sz w:val="21"/>
                <w:szCs w:val="21"/>
                <w:lang w:eastAsia="zh-CN"/>
              </w:rPr>
              <w:t>分</w:t>
            </w:r>
          </w:p>
        </w:tc>
        <w:tc>
          <w:tcPr>
            <w:tcW w:w="6975" w:type="dxa"/>
            <w:gridSpan w:val="2"/>
            <w:vAlign w:val="center"/>
          </w:tcPr>
          <w:p>
            <w:pPr>
              <w:spacing w:after="0"/>
              <w:rPr>
                <w:rFonts w:hint="eastAsia" w:ascii="宋体" w:hAnsi="宋体" w:eastAsia="宋体" w:cs="宋体"/>
                <w:b/>
                <w:bCs/>
                <w:color w:val="auto"/>
                <w:sz w:val="21"/>
                <w:szCs w:val="21"/>
              </w:rPr>
            </w:pPr>
          </w:p>
        </w:tc>
      </w:tr>
    </w:tbl>
    <w:p>
      <w:pPr>
        <w:autoSpaceDE w:val="0"/>
        <w:autoSpaceDN w:val="0"/>
        <w:adjustRightInd w:val="0"/>
        <w:snapToGrid w:val="0"/>
        <w:spacing w:line="360" w:lineRule="auto"/>
        <w:rPr>
          <w:rFonts w:hint="eastAsia" w:ascii="宋体" w:hAnsi="宋体" w:eastAsia="宋体" w:cs="宋体"/>
          <w:b/>
          <w:sz w:val="36"/>
          <w:szCs w:val="36"/>
        </w:rPr>
      </w:pPr>
      <w:r>
        <w:rPr>
          <w:rFonts w:hint="eastAsia" w:ascii="宋体" w:hAnsi="宋体" w:eastAsia="宋体" w:cs="宋体"/>
          <w:b/>
          <w:sz w:val="36"/>
          <w:szCs w:val="36"/>
        </w:rPr>
        <w:br w:type="page"/>
      </w:r>
    </w:p>
    <w:p>
      <w:pPr>
        <w:spacing w:after="160" w:line="480" w:lineRule="exact"/>
        <w:jc w:val="center"/>
        <w:outlineLvl w:val="0"/>
        <w:rPr>
          <w:rFonts w:eastAsia="宋体"/>
          <w:color w:val="auto"/>
          <w:highlight w:val="none"/>
        </w:rPr>
      </w:pPr>
      <w:bookmarkStart w:id="666" w:name="_Toc20954"/>
      <w:r>
        <w:rPr>
          <w:rFonts w:hint="eastAsia" w:ascii="宋体" w:hAnsi="宋体" w:eastAsia="宋体" w:cs="宋体"/>
          <w:b/>
          <w:color w:val="auto"/>
          <w:sz w:val="36"/>
          <w:szCs w:val="36"/>
          <w:highlight w:val="none"/>
        </w:rPr>
        <w:t xml:space="preserve">第四章   </w:t>
      </w:r>
      <w:bookmarkEnd w:id="666"/>
      <w:r>
        <w:rPr>
          <w:rFonts w:eastAsia="宋体"/>
          <w:b/>
          <w:color w:val="auto"/>
          <w:sz w:val="36"/>
          <w:szCs w:val="36"/>
          <w:highlight w:val="none"/>
        </w:rPr>
        <w:t>采购需求</w:t>
      </w:r>
    </w:p>
    <w:p>
      <w:pPr>
        <w:widowControl w:val="0"/>
        <w:numPr>
          <w:ilvl w:val="0"/>
          <w:numId w:val="12"/>
        </w:numPr>
        <w:spacing w:after="160" w:line="360" w:lineRule="auto"/>
        <w:ind w:left="500" w:hanging="500" w:firstLineChars="0"/>
        <w:contextualSpacing/>
        <w:jc w:val="both"/>
        <w:rPr>
          <w:rFonts w:ascii="Times New Roman" w:hAnsi="Times New Roman" w:eastAsia="宋体" w:cs="Times New Roman"/>
          <w:b/>
          <w:kern w:val="2"/>
          <w:sz w:val="24"/>
          <w:szCs w:val="24"/>
          <w:lang w:val="en-US" w:eastAsia="zh-CN" w:bidi="ar-SA"/>
        </w:rPr>
      </w:pPr>
      <w:r>
        <w:rPr>
          <w:rFonts w:ascii="Times New Roman" w:hAnsi="Times New Roman" w:eastAsia="宋体" w:cs="Times New Roman"/>
          <w:b/>
          <w:kern w:val="2"/>
          <w:sz w:val="24"/>
          <w:szCs w:val="24"/>
          <w:lang w:val="en-US" w:eastAsia="zh-CN" w:bidi="ar-SA"/>
        </w:rPr>
        <w:t>采购标的</w:t>
      </w:r>
    </w:p>
    <w:p>
      <w:pPr>
        <w:spacing w:after="160"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通过本次采购，确定</w:t>
      </w:r>
      <w:r>
        <w:rPr>
          <w:rFonts w:hint="eastAsia" w:ascii="宋体" w:hAnsi="宋体" w:cs="宋体"/>
          <w:sz w:val="24"/>
          <w:highlight w:val="none"/>
          <w:lang w:val="en-US" w:eastAsia="zh-CN"/>
        </w:rPr>
        <w:t>1</w:t>
      </w:r>
      <w:r>
        <w:rPr>
          <w:rFonts w:hint="eastAsia" w:ascii="宋体" w:hAnsi="宋体" w:eastAsia="宋体" w:cs="宋体"/>
          <w:sz w:val="24"/>
          <w:highlight w:val="none"/>
        </w:rPr>
        <w:t>家服务单位，协助采购人完成顺义区木林镇镇域范围内各类违章建筑的拆除、清运、渣土消纳、场地平整等服务。</w:t>
      </w:r>
    </w:p>
    <w:p>
      <w:pPr>
        <w:spacing w:after="160"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采购内容：供应商按照采购人提交的违章建筑类别、规模、数量和地点和时限要求等信息，组织人力物力，完成顺义区木林镇镇域范围内各类违章建筑的拆除、清运、渣土消纳、场地平整等服务。</w:t>
      </w:r>
    </w:p>
    <w:p>
      <w:pPr>
        <w:widowControl w:val="0"/>
        <w:numPr>
          <w:ilvl w:val="0"/>
          <w:numId w:val="12"/>
        </w:numPr>
        <w:spacing w:after="160" w:line="360" w:lineRule="auto"/>
        <w:ind w:left="500" w:hanging="500" w:firstLineChars="0"/>
        <w:contextualSpacing/>
        <w:jc w:val="both"/>
        <w:rPr>
          <w:rFonts w:ascii="Times New Roman" w:hAnsi="Times New Roman" w:eastAsia="宋体" w:cs="Times New Roman"/>
          <w:b/>
          <w:kern w:val="2"/>
          <w:sz w:val="24"/>
          <w:szCs w:val="24"/>
          <w:lang w:val="en-US" w:eastAsia="zh-CN" w:bidi="ar-SA"/>
        </w:rPr>
      </w:pPr>
      <w:r>
        <w:rPr>
          <w:rFonts w:ascii="Times New Roman" w:hAnsi="Times New Roman" w:eastAsia="宋体" w:cs="Times New Roman"/>
          <w:b/>
          <w:kern w:val="2"/>
          <w:sz w:val="24"/>
          <w:szCs w:val="24"/>
          <w:lang w:val="en-US" w:eastAsia="zh-CN" w:bidi="ar-SA"/>
        </w:rPr>
        <w:t>商务要求</w:t>
      </w:r>
    </w:p>
    <w:p>
      <w:pPr>
        <w:spacing w:after="160" w:line="360" w:lineRule="auto"/>
        <w:contextualSpacing/>
        <w:rPr>
          <w:rFonts w:eastAsia="宋体"/>
          <w:sz w:val="24"/>
        </w:rPr>
      </w:pPr>
      <w:r>
        <w:rPr>
          <w:rFonts w:eastAsia="宋体"/>
          <w:sz w:val="24"/>
        </w:rPr>
        <w:t>1. 交付的时间和地点</w:t>
      </w:r>
    </w:p>
    <w:p>
      <w:pPr>
        <w:spacing w:after="160" w:line="360" w:lineRule="auto"/>
        <w:contextualSpacing/>
        <w:rPr>
          <w:rFonts w:eastAsia="宋体"/>
          <w:sz w:val="24"/>
        </w:rPr>
      </w:pPr>
      <w:r>
        <w:rPr>
          <w:rFonts w:ascii="Segoe UI Symbol" w:hAnsi="Segoe UI Symbol" w:eastAsia="宋体" w:cs="Segoe UI Symbol"/>
          <w:color w:val="000000"/>
          <w:kern w:val="0"/>
          <w:sz w:val="24"/>
        </w:rPr>
        <w:t>★</w:t>
      </w:r>
      <w:r>
        <w:rPr>
          <w:rFonts w:hint="eastAsia" w:eastAsia="宋体"/>
          <w:sz w:val="24"/>
        </w:rPr>
        <w:t>合同履行期：一年（具体以签订合同日期为准）</w:t>
      </w:r>
    </w:p>
    <w:p>
      <w:pPr>
        <w:spacing w:after="160" w:line="360" w:lineRule="auto"/>
        <w:contextualSpacing/>
        <w:rPr>
          <w:rFonts w:eastAsia="宋体"/>
          <w:sz w:val="24"/>
        </w:rPr>
      </w:pPr>
      <w:r>
        <w:rPr>
          <w:rFonts w:ascii="Segoe UI Symbol" w:hAnsi="Segoe UI Symbol" w:eastAsia="宋体" w:cs="Segoe UI Symbol"/>
          <w:color w:val="000000"/>
          <w:kern w:val="0"/>
          <w:sz w:val="24"/>
        </w:rPr>
        <w:t>★</w:t>
      </w:r>
      <w:r>
        <w:rPr>
          <w:rFonts w:hint="eastAsia" w:eastAsia="宋体"/>
          <w:sz w:val="24"/>
        </w:rPr>
        <w:t>服务地点：北京市顺义区木林镇镇域内</w:t>
      </w:r>
    </w:p>
    <w:p>
      <w:pPr>
        <w:widowControl w:val="0"/>
        <w:spacing w:after="120" w:line="480" w:lineRule="exact"/>
        <w:ind w:left="0" w:leftChars="0" w:firstLine="0" w:firstLineChars="0"/>
        <w:jc w:val="both"/>
        <w:rPr>
          <w:rFonts w:hint="eastAsia" w:ascii="Times New Roman" w:hAnsi="Times New Roman" w:eastAsia="宋体" w:cs="Times New Roman"/>
          <w:kern w:val="2"/>
          <w:sz w:val="24"/>
          <w:szCs w:val="20"/>
          <w:lang w:val="en-US" w:eastAsia="zh-CN" w:bidi="ar-SA"/>
        </w:rPr>
      </w:pPr>
      <w:r>
        <w:rPr>
          <w:rFonts w:ascii="Segoe UI Symbol" w:hAnsi="Segoe UI Symbol" w:eastAsia="宋体" w:cs="Segoe UI Symbol"/>
          <w:color w:val="000000"/>
          <w:kern w:val="0"/>
          <w:sz w:val="24"/>
          <w:szCs w:val="20"/>
          <w:lang w:val="en-US" w:eastAsia="zh-CN" w:bidi="ar-SA"/>
        </w:rPr>
        <w:t>★</w:t>
      </w:r>
      <w:r>
        <w:rPr>
          <w:rFonts w:hint="eastAsia" w:ascii="Times New Roman" w:hAnsi="Times New Roman" w:eastAsia="宋体" w:cs="Times New Roman"/>
          <w:kern w:val="2"/>
          <w:sz w:val="24"/>
          <w:szCs w:val="20"/>
          <w:lang w:val="en-US" w:eastAsia="zh-CN" w:bidi="ar-SA"/>
        </w:rPr>
        <w:t>服务范围：</w:t>
      </w:r>
    </w:p>
    <w:p>
      <w:pPr>
        <w:widowControl w:val="0"/>
        <w:spacing w:after="160" w:line="360" w:lineRule="auto"/>
        <w:ind w:left="420" w:firstLine="0" w:firstLineChars="0"/>
        <w:jc w:val="both"/>
        <w:rPr>
          <w:rFonts w:hint="eastAsia" w:ascii="宋体" w:hAnsi="宋体" w:eastAsia="宋体" w:cs="宋体"/>
          <w:kern w:val="2"/>
          <w:sz w:val="24"/>
          <w:szCs w:val="22"/>
          <w:highlight w:val="none"/>
          <w:lang w:val="en-US" w:eastAsia="zh-CN" w:bidi="ar-SA"/>
        </w:rPr>
      </w:pPr>
      <w:bookmarkStart w:id="667" w:name="_Hlk104019987"/>
      <w:r>
        <w:rPr>
          <w:rFonts w:hint="eastAsia" w:ascii="宋体" w:hAnsi="宋体" w:eastAsia="宋体" w:cs="宋体"/>
          <w:kern w:val="2"/>
          <w:sz w:val="24"/>
          <w:szCs w:val="22"/>
          <w:highlight w:val="none"/>
          <w:lang w:val="en-US" w:eastAsia="zh-CN" w:bidi="ar-SA"/>
        </w:rPr>
        <w:t>第四包：木林镇陈各庄，东沿头，前王，潘家坟，长林庄，陈家坨村。规自领域整改工作，包括但不仅限于违法建设的拆除腾退工作。</w:t>
      </w:r>
    </w:p>
    <w:p>
      <w:pPr>
        <w:numPr>
          <w:ilvl w:val="0"/>
          <w:numId w:val="13"/>
        </w:numPr>
        <w:spacing w:after="160" w:line="360" w:lineRule="auto"/>
        <w:contextualSpacing/>
        <w:rPr>
          <w:rFonts w:eastAsia="宋体"/>
          <w:sz w:val="24"/>
        </w:rPr>
      </w:pPr>
      <w:r>
        <w:rPr>
          <w:rFonts w:hint="eastAsia" w:eastAsia="宋体"/>
          <w:sz w:val="24"/>
        </w:rPr>
        <w:t>合同价款</w:t>
      </w:r>
    </w:p>
    <w:p>
      <w:pPr>
        <w:spacing w:after="160"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highlight w:val="none"/>
        </w:rPr>
        <w:t>如上级财政资金到位，本项目按照财政拨款进度进行结算，结算周期满后，乙方按拆除批次上报拆除项目结算报告。拆除项目结算由甲方委托的第三方评审机构审核，结算金额以最终第三方评审机构的结算评审金额为准。如上级财政资金不能到位，双方一致同意：本合同款项支付期限为乙方合同项下的全部义务履行完毕之日起两年内支付。前述款项支付期限届满后，若因本合同项目财政资金未拨付到位导致甲方迟延履行的，甲乙双方应协商解决，在此期间乙方认可甲方不构成违约，乙方不得因此追究甲方的违约责任。甲方每次付款前，乙方均应开具等额的国家正规增值税发票，否则甲方有权迟延付款，且不承担任何违约责任。</w:t>
      </w:r>
      <w:r>
        <w:rPr>
          <w:rFonts w:hint="eastAsia" w:eastAsia="宋体"/>
          <w:color w:val="auto"/>
          <w:szCs w:val="21"/>
          <w:highlight w:val="none"/>
        </w:rPr>
        <w:t xml:space="preserve">    </w:t>
      </w:r>
      <w:r>
        <w:rPr>
          <w:rFonts w:hint="eastAsia" w:ascii="宋体" w:hAnsi="宋体" w:eastAsia="宋体" w:cs="宋体"/>
          <w:color w:val="auto"/>
          <w:sz w:val="24"/>
          <w:highlight w:val="none"/>
        </w:rPr>
        <w:t xml:space="preserve">支付方式为对公转账或支票。 </w:t>
      </w:r>
      <w:r>
        <w:rPr>
          <w:rFonts w:hint="eastAsia" w:ascii="宋体" w:hAnsi="宋体" w:eastAsia="宋体" w:cs="宋体"/>
          <w:color w:val="auto"/>
          <w:sz w:val="24"/>
          <w:szCs w:val="24"/>
          <w:highlight w:val="none"/>
          <w:lang w:val="en-US" w:eastAsia="zh-CN"/>
        </w:rPr>
        <w:t>如乙方存在违约或考核扣款，甲方有权从合同价款中直接予以扣除。</w:t>
      </w:r>
    </w:p>
    <w:p>
      <w:pPr>
        <w:spacing w:after="160" w:line="360" w:lineRule="auto"/>
        <w:ind w:firstLine="420"/>
        <w:rPr>
          <w:rFonts w:ascii="宋体" w:hAnsi="宋体" w:eastAsia="宋体" w:cs="宋体"/>
          <w:color w:val="auto"/>
          <w:sz w:val="24"/>
        </w:rPr>
      </w:pPr>
      <w:r>
        <w:rPr>
          <w:rFonts w:hint="eastAsia" w:ascii="宋体" w:hAnsi="宋体" w:eastAsia="宋体" w:cs="宋体"/>
          <w:color w:val="auto"/>
          <w:sz w:val="24"/>
        </w:rPr>
        <w:t>该项目为单价合同，拆除项目通过甲方验收且合格后，乙方向甲方上报拆除工程结算报告，由甲方确认拆除工程量后并对结算价格进行审核，最终以双方确认的审核结果为准进行结算。</w:t>
      </w:r>
    </w:p>
    <w:p>
      <w:pPr>
        <w:spacing w:after="160" w:line="360" w:lineRule="auto"/>
        <w:ind w:firstLine="420"/>
        <w:rPr>
          <w:rFonts w:ascii="宋体" w:hAnsi="宋体" w:eastAsia="宋体" w:cs="宋体"/>
          <w:color w:val="auto"/>
          <w:sz w:val="24"/>
        </w:rPr>
      </w:pPr>
      <w:r>
        <w:rPr>
          <w:rFonts w:hint="eastAsia" w:ascii="宋体" w:hAnsi="宋体" w:eastAsia="宋体" w:cs="宋体"/>
          <w:color w:val="auto"/>
          <w:sz w:val="24"/>
        </w:rPr>
        <w:t>合同价款包括但不限于完成拆除工作所需的人工、材料、机械等直接费用以及企业管理费、措施项目费（临时设施费、夜间施工、二次搬运、场地狭小费、冬雨季施工费等）、安全文明施工费、利润、规费、税金、保险、渣土清运及消纳费等全部费用。合同单价详见附件一。</w:t>
      </w:r>
    </w:p>
    <w:p>
      <w:pPr>
        <w:widowControl w:val="0"/>
        <w:snapToGrid w:val="0"/>
        <w:spacing w:after="160" w:line="259" w:lineRule="auto"/>
        <w:jc w:val="left"/>
        <w:rPr>
          <w:rFonts w:ascii="Times New Roman" w:hAnsi="Times New Roman" w:eastAsia="宋体" w:cs="Times New Roman"/>
          <w:kern w:val="2"/>
          <w:sz w:val="21"/>
          <w:szCs w:val="24"/>
          <w:lang w:val="en-US" w:eastAsia="zh-CN" w:bidi="ar-SA"/>
        </w:rPr>
      </w:pPr>
    </w:p>
    <w:bookmarkEnd w:id="667"/>
    <w:p>
      <w:pPr>
        <w:widowControl w:val="0"/>
        <w:numPr>
          <w:ilvl w:val="0"/>
          <w:numId w:val="12"/>
        </w:numPr>
        <w:spacing w:after="160" w:line="360" w:lineRule="auto"/>
        <w:ind w:left="500" w:hanging="500" w:firstLineChars="0"/>
        <w:contextualSpacing/>
        <w:jc w:val="both"/>
        <w:rPr>
          <w:rFonts w:ascii="Times New Roman" w:hAnsi="Times New Roman" w:eastAsia="宋体" w:cs="Times New Roman"/>
          <w:b/>
          <w:kern w:val="2"/>
          <w:sz w:val="24"/>
          <w:szCs w:val="24"/>
          <w:lang w:val="en-US" w:eastAsia="zh-CN" w:bidi="ar-SA"/>
        </w:rPr>
      </w:pPr>
      <w:r>
        <w:rPr>
          <w:rFonts w:hint="eastAsia" w:ascii="Times New Roman" w:hAnsi="Times New Roman" w:eastAsia="宋体" w:cs="Times New Roman"/>
          <w:b/>
          <w:kern w:val="2"/>
          <w:sz w:val="24"/>
          <w:szCs w:val="24"/>
          <w:lang w:val="en-US" w:eastAsia="zh-CN" w:bidi="ar-SA"/>
        </w:rPr>
        <w:t>服务要求</w:t>
      </w:r>
    </w:p>
    <w:p>
      <w:pPr>
        <w:spacing w:after="160" w:line="360" w:lineRule="auto"/>
        <w:ind w:firstLine="480" w:firstLineChars="200"/>
        <w:rPr>
          <w:rFonts w:ascii="宋体" w:hAnsi="宋体" w:eastAsia="宋体" w:cs="宋体"/>
          <w:color w:val="auto"/>
          <w:sz w:val="24"/>
        </w:rPr>
      </w:pPr>
      <w:r>
        <w:rPr>
          <w:rFonts w:hint="eastAsia" w:ascii="宋体" w:hAnsi="宋体" w:eastAsia="宋体" w:cs="宋体"/>
          <w:color w:val="auto"/>
          <w:sz w:val="24"/>
        </w:rPr>
        <w:t>1、乙方依据甲方要求拆除的建筑物情况核实建筑施工图纸、地上地下现有管线资料等，合理安排拆除机械及配合人员，编制合理的拆除方案及安全施工方案，明确具体的环保要求，并且对要求保护性拆除的建筑物提供保护性专项方案，在甲方规定的时间内拆除完毕。</w:t>
      </w:r>
    </w:p>
    <w:p>
      <w:pPr>
        <w:spacing w:after="160" w:line="360" w:lineRule="auto"/>
        <w:ind w:firstLine="480" w:firstLineChars="200"/>
        <w:rPr>
          <w:rFonts w:ascii="宋体" w:hAnsi="宋体" w:eastAsia="宋体" w:cs="宋体"/>
          <w:color w:val="auto"/>
          <w:sz w:val="24"/>
        </w:rPr>
      </w:pPr>
      <w:r>
        <w:rPr>
          <w:rFonts w:hint="eastAsia" w:ascii="宋体" w:hAnsi="宋体" w:eastAsia="宋体" w:cs="宋体"/>
          <w:color w:val="auto"/>
          <w:sz w:val="24"/>
        </w:rPr>
        <w:t>2、乙方须建立完善施工现场安全组织结构，明确岗位职责，在施工中出现的一切安全事故，由乙方自行解决，并承担由此产生的经济和法律责任。</w:t>
      </w:r>
    </w:p>
    <w:p>
      <w:pPr>
        <w:spacing w:after="160" w:line="360" w:lineRule="auto"/>
        <w:ind w:firstLine="480" w:firstLineChars="200"/>
        <w:rPr>
          <w:rFonts w:ascii="宋体" w:hAnsi="宋体" w:eastAsia="宋体" w:cs="宋体"/>
          <w:color w:val="auto"/>
          <w:sz w:val="24"/>
        </w:rPr>
      </w:pPr>
      <w:r>
        <w:rPr>
          <w:rFonts w:hint="eastAsia" w:ascii="宋体" w:hAnsi="宋体" w:eastAsia="宋体" w:cs="宋体"/>
          <w:color w:val="auto"/>
          <w:sz w:val="24"/>
        </w:rPr>
        <w:t>3、乙方依据甲方要求在施工现场必须委派一名现场负责人员及两名安全员，并向甲方提供相关人员名单、职务及岗位证书的复印件及联系电话。</w:t>
      </w:r>
    </w:p>
    <w:p>
      <w:pPr>
        <w:spacing w:after="160" w:line="360" w:lineRule="auto"/>
        <w:ind w:firstLine="480" w:firstLineChars="200"/>
        <w:rPr>
          <w:rFonts w:ascii="宋体" w:hAnsi="宋体" w:eastAsia="宋体" w:cs="宋体"/>
          <w:color w:val="auto"/>
          <w:sz w:val="24"/>
        </w:rPr>
      </w:pPr>
      <w:r>
        <w:rPr>
          <w:rFonts w:hint="eastAsia" w:ascii="宋体" w:hAnsi="宋体" w:eastAsia="宋体" w:cs="宋体"/>
          <w:color w:val="auto"/>
          <w:sz w:val="24"/>
        </w:rPr>
        <w:t>4、做好施工组织管理，建立完善施工现场安全组织结构，明确岗位职责，保证项目质量、确保安全生产和文明施工。施工期间如发生安全事故由乙方自行解决，并承担由此产生的经济和法律责任，并报告甲方或建设主管部门。</w:t>
      </w:r>
    </w:p>
    <w:p>
      <w:pPr>
        <w:spacing w:after="160" w:line="360" w:lineRule="auto"/>
        <w:ind w:firstLine="480" w:firstLineChars="200"/>
        <w:rPr>
          <w:rFonts w:ascii="宋体" w:hAnsi="宋体" w:eastAsia="宋体" w:cs="宋体"/>
          <w:color w:val="auto"/>
          <w:sz w:val="24"/>
        </w:rPr>
      </w:pPr>
      <w:r>
        <w:rPr>
          <w:rFonts w:hint="eastAsia" w:ascii="宋体" w:hAnsi="宋体" w:eastAsia="宋体" w:cs="宋体"/>
          <w:color w:val="auto"/>
          <w:sz w:val="24"/>
        </w:rPr>
        <w:t>5、乙方按甲方的要求进场（时间、地点）拆除已确定区域的建筑物，服从甲方的监督管理。</w:t>
      </w:r>
    </w:p>
    <w:p>
      <w:pPr>
        <w:spacing w:after="160" w:line="360" w:lineRule="auto"/>
        <w:ind w:firstLine="480" w:firstLineChars="200"/>
        <w:rPr>
          <w:rFonts w:ascii="宋体" w:hAnsi="宋体" w:eastAsia="宋体" w:cs="宋体"/>
          <w:color w:val="auto"/>
          <w:sz w:val="24"/>
        </w:rPr>
      </w:pPr>
      <w:r>
        <w:rPr>
          <w:rFonts w:hint="eastAsia" w:ascii="宋体" w:hAnsi="宋体" w:eastAsia="宋体" w:cs="宋体"/>
          <w:color w:val="auto"/>
          <w:sz w:val="24"/>
        </w:rPr>
        <w:t>6、工程竣工验收合格后清理现场。由乙方自行办理建筑垃圾消纳相关手续，并承担由此产生的所有费用。渣土清运车辆应按规定装载、遮盖严密，并清运至指定消纳地点。由于乙方未按相关规定导致的行政处罚由乙方自行承担。</w:t>
      </w:r>
    </w:p>
    <w:p>
      <w:pPr>
        <w:spacing w:after="160" w:line="360" w:lineRule="auto"/>
        <w:ind w:firstLine="480" w:firstLineChars="200"/>
        <w:rPr>
          <w:rFonts w:ascii="宋体" w:hAnsi="宋体" w:eastAsia="宋体" w:cs="宋体"/>
          <w:color w:val="auto"/>
          <w:sz w:val="24"/>
        </w:rPr>
      </w:pPr>
      <w:r>
        <w:rPr>
          <w:rFonts w:hint="eastAsia" w:ascii="宋体" w:hAnsi="宋体" w:eastAsia="宋体" w:cs="宋体"/>
          <w:color w:val="auto"/>
          <w:sz w:val="24"/>
        </w:rPr>
        <w:t>7、乙方不得以任何理由向甲方人员给付财物和其他利益，造成本项目质量问题及甲方其他损失的，乙方负责赔偿。</w:t>
      </w:r>
    </w:p>
    <w:p>
      <w:pPr>
        <w:spacing w:after="160" w:line="360" w:lineRule="auto"/>
        <w:ind w:firstLine="480" w:firstLineChars="200"/>
        <w:rPr>
          <w:rFonts w:ascii="宋体" w:hAnsi="宋体" w:eastAsia="宋体" w:cs="宋体"/>
          <w:color w:val="auto"/>
          <w:sz w:val="24"/>
        </w:rPr>
      </w:pPr>
      <w:r>
        <w:rPr>
          <w:rFonts w:hint="eastAsia" w:ascii="宋体" w:hAnsi="宋体" w:eastAsia="宋体" w:cs="宋体"/>
          <w:color w:val="auto"/>
          <w:sz w:val="24"/>
        </w:rPr>
        <w:t>8、乙方按甲方的要求进场（时间、地点）拆除已确定区域的建筑物。</w:t>
      </w:r>
    </w:p>
    <w:p>
      <w:pPr>
        <w:spacing w:after="160" w:line="360" w:lineRule="auto"/>
        <w:ind w:firstLine="480" w:firstLineChars="200"/>
        <w:rPr>
          <w:rFonts w:ascii="宋体" w:hAnsi="宋体" w:eastAsia="宋体" w:cs="宋体"/>
          <w:color w:val="auto"/>
          <w:sz w:val="24"/>
        </w:rPr>
      </w:pPr>
      <w:r>
        <w:rPr>
          <w:rFonts w:hint="eastAsia" w:ascii="宋体" w:hAnsi="宋体" w:eastAsia="宋体" w:cs="宋体"/>
          <w:color w:val="auto"/>
          <w:sz w:val="24"/>
        </w:rPr>
        <w:t>9、乙方应在拆除工作完成后3日内上报拆除项目工程量确认单。</w:t>
      </w:r>
    </w:p>
    <w:p>
      <w:pPr>
        <w:spacing w:after="160"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10、接受甲方考核，并对考核结果负责，对于考核不合格内容及时进行整改，接受相应处罚。</w:t>
      </w:r>
    </w:p>
    <w:p>
      <w:pPr>
        <w:widowControl w:val="0"/>
        <w:spacing w:after="120" w:line="480" w:lineRule="exact"/>
        <w:ind w:left="0" w:leftChars="0" w:firstLine="480" w:firstLineChars="200"/>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11、乙方应与其聘用人员签署劳动合同或劳务合同，及时足额支付工资，缴纳社会保险费，乙方与其聘用人员之间的纠纷，均由乙方负责解决，与甲方无关。</w:t>
      </w:r>
    </w:p>
    <w:p>
      <w:pPr>
        <w:spacing w:after="160" w:line="360" w:lineRule="auto"/>
        <w:ind w:firstLine="482" w:firstLineChars="200"/>
        <w:rPr>
          <w:rFonts w:hint="eastAsia" w:ascii="仿宋" w:hAnsi="仿宋" w:eastAsia="仿宋" w:cs="宋体"/>
          <w:b/>
          <w:sz w:val="24"/>
        </w:rPr>
      </w:pPr>
    </w:p>
    <w:p>
      <w:pPr>
        <w:spacing w:after="160" w:line="360" w:lineRule="auto"/>
        <w:ind w:firstLine="482" w:firstLineChars="200"/>
        <w:rPr>
          <w:rFonts w:hint="eastAsia" w:ascii="宋体" w:hAnsi="宋体" w:eastAsia="宋体" w:cs="宋体"/>
          <w:b/>
          <w:sz w:val="24"/>
        </w:rPr>
      </w:pPr>
      <w:r>
        <w:rPr>
          <w:rFonts w:hint="eastAsia" w:ascii="宋体" w:hAnsi="宋体" w:eastAsia="宋体" w:cs="宋体"/>
          <w:b/>
          <w:sz w:val="24"/>
        </w:rPr>
        <w:t>四、考核制度</w:t>
      </w:r>
    </w:p>
    <w:p>
      <w:pPr>
        <w:spacing w:after="160" w:line="360" w:lineRule="auto"/>
        <w:ind w:firstLine="484" w:firstLineChars="202"/>
        <w:rPr>
          <w:rFonts w:hint="eastAsia" w:ascii="宋体" w:hAnsi="宋体" w:eastAsia="宋体" w:cs="宋体"/>
          <w:sz w:val="24"/>
        </w:rPr>
      </w:pPr>
      <w:r>
        <w:rPr>
          <w:rFonts w:hint="eastAsia" w:ascii="宋体" w:hAnsi="宋体" w:eastAsia="宋体" w:cs="宋体"/>
          <w:sz w:val="24"/>
        </w:rPr>
        <w:t xml:space="preserve">乙方按照拆除面积每1万平方米100分计算，形成记分与工程量的关系，被扣除队伍的分值，相应给予其他队伍进行加分。 </w:t>
      </w:r>
    </w:p>
    <w:p>
      <w:pPr>
        <w:spacing w:after="160" w:line="360" w:lineRule="auto"/>
        <w:ind w:firstLine="484" w:firstLineChars="202"/>
        <w:rPr>
          <w:rFonts w:hint="eastAsia" w:ascii="宋体" w:hAnsi="宋体" w:eastAsia="宋体" w:cs="宋体"/>
          <w:sz w:val="24"/>
        </w:rPr>
      </w:pPr>
      <w:r>
        <w:rPr>
          <w:rFonts w:hint="eastAsia" w:ascii="宋体" w:hAnsi="宋体" w:eastAsia="宋体" w:cs="宋体"/>
          <w:sz w:val="24"/>
        </w:rPr>
        <w:t>1、每次拆除工作前3个工作日内，由乙方根据项目需要就具体拆除工作向甲方提供拆除方案，明确施工造价、拆除内容、质量标准、完成时限等，施工前乙方代表与甲方代表现场对拟拆除建筑进行测量，并签订工程量确认单，作为最终结算依据。如未按时报送拆除方案视同放弃此次拆除任务，如未按时签订工程量确认单日后将不予以补签。按拆除方案指定时间按时到达现场，迟到一次将扣除乙方10分。</w:t>
      </w:r>
    </w:p>
    <w:p>
      <w:pPr>
        <w:spacing w:after="160" w:line="360" w:lineRule="auto"/>
        <w:ind w:firstLine="484" w:firstLineChars="202"/>
        <w:rPr>
          <w:rFonts w:hint="eastAsia" w:ascii="宋体" w:hAnsi="宋体" w:eastAsia="宋体" w:cs="宋体"/>
          <w:sz w:val="24"/>
        </w:rPr>
      </w:pPr>
      <w:r>
        <w:rPr>
          <w:rFonts w:hint="eastAsia" w:ascii="宋体" w:hAnsi="宋体" w:eastAsia="宋体" w:cs="宋体"/>
          <w:sz w:val="24"/>
        </w:rPr>
        <w:t>2、拆除期间，乙方施工人员全部统一着装，佩戴安全头盔，根据实际需要，对施工场地周边设置安全警戒线，场地进出口安排专人把守，并对施工车辆配发出入证，防止无关人员及车辆入内影响施工安全，如发现一次一人未佩戴安全头盔或高空作业未系安全带将扣处乙方5分，如未设置安全警戒线将扣除乙方10分。</w:t>
      </w:r>
    </w:p>
    <w:p>
      <w:pPr>
        <w:spacing w:after="160" w:line="360" w:lineRule="auto"/>
        <w:ind w:firstLine="484" w:firstLineChars="202"/>
        <w:rPr>
          <w:rFonts w:hint="eastAsia" w:ascii="宋体" w:hAnsi="宋体" w:eastAsia="宋体" w:cs="宋体"/>
          <w:sz w:val="24"/>
        </w:rPr>
      </w:pPr>
      <w:r>
        <w:rPr>
          <w:rFonts w:hint="eastAsia" w:ascii="宋体" w:hAnsi="宋体" w:eastAsia="宋体" w:cs="宋体"/>
          <w:sz w:val="24"/>
        </w:rPr>
        <w:t>3、为保证施工效率，拆除过程中，由专人负责现场拆除及运输工作的指挥调度，全部实行机械化作业，并配备专业洒水、降尘装置，裸露土地、渣土全部按照《北京市城市卫生管理条例》进行苫盖，所用拆除作业机械必须达到环保要求。如遇特殊情况需人工拆除，经甲方同意后，在专职安全员指导下，规范作业，确保如期完成拆除任务。如未安排专职安全员，将扣除乙方10分，如未配备专业洒水、降尘装置扣除乙方10分。</w:t>
      </w:r>
    </w:p>
    <w:p>
      <w:pPr>
        <w:spacing w:after="160" w:line="360" w:lineRule="auto"/>
        <w:ind w:firstLine="484" w:firstLineChars="202"/>
        <w:rPr>
          <w:rFonts w:hint="eastAsia" w:ascii="宋体" w:hAnsi="宋体" w:eastAsia="宋体" w:cs="宋体"/>
          <w:sz w:val="24"/>
        </w:rPr>
      </w:pPr>
      <w:r>
        <w:rPr>
          <w:rFonts w:hint="eastAsia" w:ascii="宋体" w:hAnsi="宋体" w:eastAsia="宋体" w:cs="宋体"/>
          <w:sz w:val="24"/>
        </w:rPr>
        <w:t>4、乙方负责对施工场地地貌进行平整恢复，做到场清地平，因拆除产生的建筑垃圾有序存放，并及时清运至木林镇域范围外正规消纳处置场所。如未将建筑垃圾按时清理到正规消纳场所，扣除乙方10分，如引起不良舆论致使甲方造成损失的直接解除其合同。</w:t>
      </w:r>
    </w:p>
    <w:p>
      <w:pPr>
        <w:spacing w:after="160" w:line="360" w:lineRule="auto"/>
        <w:ind w:firstLine="484" w:firstLineChars="202"/>
        <w:rPr>
          <w:rFonts w:hint="eastAsia" w:ascii="宋体" w:hAnsi="宋体" w:eastAsia="宋体" w:cs="宋体"/>
          <w:sz w:val="24"/>
        </w:rPr>
      </w:pPr>
      <w:r>
        <w:rPr>
          <w:rFonts w:hint="eastAsia" w:ascii="宋体" w:hAnsi="宋体" w:eastAsia="宋体" w:cs="宋体"/>
          <w:sz w:val="24"/>
        </w:rPr>
        <w:t>5、拆除施工时必须按照安全监管部门要求采取有效的安全保障措施，场内配备安全巡查及24小时值班人员，所有涉及水、电、焊及特种机械作业人员全部持证上岗，施工期间如发生任何安全问题及由此产生的费用由乙方全部承担。如未安排巡查人员扣除乙方10分，如特种作业人员未持证上岗扣除乙方10分，如未按照要求配备灭火器扣除乙方10分，如发生安全生产事故乙方在承担全部责任的基础上，如引起不良舆论或上访事件造成损失的直接解除其合同。</w:t>
      </w:r>
    </w:p>
    <w:p>
      <w:pPr>
        <w:spacing w:after="160" w:line="360" w:lineRule="auto"/>
        <w:ind w:firstLine="484" w:firstLineChars="202"/>
        <w:rPr>
          <w:rFonts w:hint="eastAsia" w:ascii="宋体" w:hAnsi="宋体" w:eastAsia="宋体" w:cs="宋体"/>
          <w:sz w:val="24"/>
        </w:rPr>
      </w:pPr>
      <w:r>
        <w:rPr>
          <w:rFonts w:hint="eastAsia" w:ascii="宋体" w:hAnsi="宋体" w:eastAsia="宋体" w:cs="宋体"/>
          <w:sz w:val="24"/>
        </w:rPr>
        <w:t>6、如乙方未按照拆除方案时限约定延期，延期一天扣除乙方10分，造成甲方在区级部门规定时限内未完成任务，造成一定影响直接直接解除其合同。</w:t>
      </w:r>
    </w:p>
    <w:p>
      <w:pPr>
        <w:spacing w:after="160" w:line="360" w:lineRule="auto"/>
        <w:ind w:firstLine="482" w:firstLineChars="200"/>
        <w:rPr>
          <w:rFonts w:hint="eastAsia" w:ascii="宋体" w:hAnsi="宋体" w:eastAsia="宋体" w:cs="宋体"/>
          <w:b/>
          <w:sz w:val="24"/>
        </w:rPr>
      </w:pPr>
      <w:r>
        <w:rPr>
          <w:rFonts w:hint="eastAsia" w:ascii="宋体" w:hAnsi="宋体" w:eastAsia="宋体" w:cs="宋体"/>
          <w:b/>
          <w:sz w:val="24"/>
        </w:rPr>
        <w:t>五、拆除验收</w:t>
      </w:r>
    </w:p>
    <w:p>
      <w:pPr>
        <w:spacing w:after="160" w:line="360" w:lineRule="auto"/>
        <w:ind w:firstLine="480" w:firstLineChars="200"/>
        <w:rPr>
          <w:rFonts w:hint="eastAsia" w:ascii="宋体" w:hAnsi="宋体" w:eastAsia="宋体" w:cs="宋体"/>
          <w:sz w:val="24"/>
        </w:rPr>
      </w:pPr>
      <w:r>
        <w:rPr>
          <w:rFonts w:hint="eastAsia" w:ascii="宋体" w:hAnsi="宋体" w:eastAsia="宋体" w:cs="宋体"/>
          <w:sz w:val="24"/>
        </w:rPr>
        <w:t>乙方在拆除结束后申请甲方对现场进行验收，甲方需及时通知上级部门对拆除现场进行验收，未达到拆除清理标准的，乙方需按要求进行再次拆除清理直至验收合格，由于验收不合格导致的二次清理产生相关费用已包含在综合单价中，结算时此类费用不予支持。</w:t>
      </w:r>
    </w:p>
    <w:p>
      <w:pPr>
        <w:widowControl w:val="0"/>
        <w:spacing w:after="120" w:line="480" w:lineRule="exact"/>
        <w:ind w:left="420" w:leftChars="200" w:firstLine="482" w:firstLineChars="200"/>
        <w:jc w:val="both"/>
        <w:rPr>
          <w:rFonts w:hint="eastAsia" w:ascii="宋体" w:hAnsi="宋体" w:eastAsia="宋体" w:cs="宋体"/>
          <w:b/>
          <w:bCs/>
          <w:color w:val="000000"/>
          <w:kern w:val="0"/>
          <w:sz w:val="24"/>
          <w:szCs w:val="20"/>
          <w:lang w:val="en-US" w:eastAsia="zh-CN" w:bidi="ar-SA"/>
        </w:rPr>
      </w:pPr>
    </w:p>
    <w:p>
      <w:pPr>
        <w:widowControl w:val="0"/>
        <w:spacing w:after="120" w:line="480" w:lineRule="exact"/>
        <w:ind w:left="420" w:leftChars="200" w:firstLine="482" w:firstLineChars="200"/>
        <w:jc w:val="both"/>
        <w:rPr>
          <w:rFonts w:hint="eastAsia" w:ascii="宋体" w:hAnsi="宋体" w:eastAsia="宋体" w:cs="宋体"/>
          <w:b/>
          <w:bCs/>
          <w:color w:val="000000"/>
          <w:kern w:val="0"/>
          <w:sz w:val="24"/>
          <w:szCs w:val="20"/>
          <w:lang w:val="en-US" w:eastAsia="zh-CN" w:bidi="ar-SA"/>
        </w:rPr>
      </w:pPr>
    </w:p>
    <w:p>
      <w:pPr>
        <w:keepNext w:val="0"/>
        <w:keepLines w:val="0"/>
        <w:pageBreakBefore w:val="0"/>
        <w:widowControl w:val="0"/>
        <w:kinsoku/>
        <w:wordWrap/>
        <w:overflowPunct/>
        <w:topLinePunct w:val="0"/>
        <w:autoSpaceDE/>
        <w:autoSpaceDN/>
        <w:bidi w:val="0"/>
        <w:adjustRightInd/>
        <w:snapToGrid/>
        <w:spacing w:after="0" w:line="480" w:lineRule="exact"/>
        <w:ind w:left="0" w:leftChars="0" w:firstLine="0" w:firstLineChars="0"/>
        <w:jc w:val="center"/>
        <w:textAlignment w:val="auto"/>
        <w:rPr>
          <w:rFonts w:hint="eastAsia" w:ascii="宋体" w:hAnsi="宋体" w:eastAsia="宋体" w:cs="宋体"/>
          <w:b/>
          <w:bCs/>
          <w:color w:val="000000"/>
          <w:kern w:val="0"/>
          <w:sz w:val="24"/>
          <w:szCs w:val="20"/>
          <w:lang w:val="en-US" w:eastAsia="zh-CN" w:bidi="ar-SA"/>
        </w:rPr>
      </w:pPr>
    </w:p>
    <w:p>
      <w:pPr>
        <w:keepNext w:val="0"/>
        <w:keepLines w:val="0"/>
        <w:pageBreakBefore w:val="0"/>
        <w:widowControl w:val="0"/>
        <w:kinsoku/>
        <w:wordWrap/>
        <w:overflowPunct/>
        <w:topLinePunct w:val="0"/>
        <w:autoSpaceDE/>
        <w:autoSpaceDN/>
        <w:bidi w:val="0"/>
        <w:adjustRightInd/>
        <w:snapToGrid/>
        <w:spacing w:after="0" w:line="480" w:lineRule="exact"/>
        <w:ind w:left="0" w:leftChars="0" w:firstLine="0" w:firstLineChars="0"/>
        <w:jc w:val="center"/>
        <w:textAlignment w:val="auto"/>
        <w:rPr>
          <w:rFonts w:hint="eastAsia" w:ascii="宋体" w:hAnsi="宋体" w:eastAsia="宋体" w:cs="宋体"/>
          <w:b/>
          <w:bCs/>
          <w:color w:val="000000"/>
          <w:kern w:val="0"/>
          <w:sz w:val="24"/>
          <w:szCs w:val="20"/>
          <w:lang w:val="en-US" w:eastAsia="zh-CN" w:bidi="ar-SA"/>
        </w:rPr>
      </w:pPr>
    </w:p>
    <w:p>
      <w:pPr>
        <w:keepNext w:val="0"/>
        <w:keepLines w:val="0"/>
        <w:pageBreakBefore w:val="0"/>
        <w:widowControl w:val="0"/>
        <w:kinsoku/>
        <w:wordWrap/>
        <w:overflowPunct/>
        <w:topLinePunct w:val="0"/>
        <w:autoSpaceDE/>
        <w:autoSpaceDN/>
        <w:bidi w:val="0"/>
        <w:adjustRightInd/>
        <w:snapToGrid/>
        <w:spacing w:after="0" w:line="480" w:lineRule="exact"/>
        <w:ind w:left="0" w:leftChars="0" w:firstLine="0" w:firstLineChars="0"/>
        <w:jc w:val="center"/>
        <w:textAlignment w:val="auto"/>
        <w:rPr>
          <w:rFonts w:hint="eastAsia" w:ascii="宋体" w:hAnsi="宋体" w:eastAsia="宋体" w:cs="宋体"/>
          <w:b/>
          <w:bCs/>
          <w:color w:val="000000"/>
          <w:kern w:val="0"/>
          <w:sz w:val="24"/>
          <w:szCs w:val="20"/>
          <w:lang w:val="en-US" w:eastAsia="zh-CN" w:bidi="ar-SA"/>
        </w:rPr>
      </w:pPr>
    </w:p>
    <w:p>
      <w:pPr>
        <w:keepNext w:val="0"/>
        <w:keepLines w:val="0"/>
        <w:pageBreakBefore w:val="0"/>
        <w:widowControl w:val="0"/>
        <w:kinsoku/>
        <w:wordWrap/>
        <w:overflowPunct/>
        <w:topLinePunct w:val="0"/>
        <w:autoSpaceDE/>
        <w:autoSpaceDN/>
        <w:bidi w:val="0"/>
        <w:adjustRightInd/>
        <w:snapToGrid/>
        <w:spacing w:after="0" w:line="480" w:lineRule="exact"/>
        <w:ind w:left="0" w:leftChars="0" w:firstLine="0" w:firstLineChars="0"/>
        <w:jc w:val="center"/>
        <w:textAlignment w:val="auto"/>
        <w:rPr>
          <w:rFonts w:hint="eastAsia" w:ascii="宋体" w:hAnsi="宋体" w:eastAsia="宋体" w:cs="宋体"/>
          <w:b/>
          <w:bCs/>
          <w:color w:val="000000"/>
          <w:kern w:val="0"/>
          <w:sz w:val="24"/>
          <w:szCs w:val="20"/>
          <w:lang w:val="en-US" w:eastAsia="zh-CN" w:bidi="ar-SA"/>
        </w:rPr>
      </w:pPr>
    </w:p>
    <w:p>
      <w:pPr>
        <w:keepNext w:val="0"/>
        <w:keepLines w:val="0"/>
        <w:pageBreakBefore w:val="0"/>
        <w:widowControl w:val="0"/>
        <w:kinsoku/>
        <w:wordWrap/>
        <w:overflowPunct/>
        <w:topLinePunct w:val="0"/>
        <w:autoSpaceDE/>
        <w:autoSpaceDN/>
        <w:bidi w:val="0"/>
        <w:adjustRightInd/>
        <w:snapToGrid/>
        <w:spacing w:after="0" w:line="480" w:lineRule="exact"/>
        <w:ind w:left="0" w:leftChars="0" w:firstLine="0" w:firstLineChars="0"/>
        <w:jc w:val="center"/>
        <w:textAlignment w:val="auto"/>
        <w:rPr>
          <w:rFonts w:hint="eastAsia" w:ascii="宋体" w:hAnsi="宋体" w:eastAsia="宋体" w:cs="宋体"/>
          <w:b/>
          <w:bCs/>
          <w:color w:val="000000"/>
          <w:kern w:val="0"/>
          <w:sz w:val="24"/>
          <w:szCs w:val="20"/>
          <w:lang w:val="en-US" w:eastAsia="zh-CN" w:bidi="ar-SA"/>
        </w:rPr>
      </w:pPr>
    </w:p>
    <w:p>
      <w:pPr>
        <w:keepNext w:val="0"/>
        <w:keepLines w:val="0"/>
        <w:pageBreakBefore w:val="0"/>
        <w:widowControl w:val="0"/>
        <w:kinsoku/>
        <w:wordWrap/>
        <w:overflowPunct/>
        <w:topLinePunct w:val="0"/>
        <w:autoSpaceDE/>
        <w:autoSpaceDN/>
        <w:bidi w:val="0"/>
        <w:adjustRightInd/>
        <w:snapToGrid/>
        <w:spacing w:after="0" w:line="480" w:lineRule="exact"/>
        <w:ind w:left="0" w:leftChars="0" w:firstLine="0" w:firstLineChars="0"/>
        <w:jc w:val="center"/>
        <w:textAlignment w:val="auto"/>
        <w:rPr>
          <w:rFonts w:hint="eastAsia" w:ascii="宋体" w:hAnsi="宋体" w:eastAsia="宋体" w:cs="宋体"/>
          <w:b/>
          <w:bCs/>
          <w:color w:val="000000"/>
          <w:kern w:val="0"/>
          <w:sz w:val="24"/>
          <w:szCs w:val="20"/>
          <w:lang w:val="en-US" w:eastAsia="zh-CN" w:bidi="ar-SA"/>
        </w:rPr>
      </w:pPr>
    </w:p>
    <w:p>
      <w:pPr>
        <w:keepNext w:val="0"/>
        <w:keepLines w:val="0"/>
        <w:pageBreakBefore w:val="0"/>
        <w:widowControl w:val="0"/>
        <w:kinsoku/>
        <w:wordWrap/>
        <w:overflowPunct/>
        <w:topLinePunct w:val="0"/>
        <w:autoSpaceDE/>
        <w:autoSpaceDN/>
        <w:bidi w:val="0"/>
        <w:adjustRightInd/>
        <w:snapToGrid/>
        <w:spacing w:after="0" w:line="480" w:lineRule="exact"/>
        <w:ind w:left="0" w:leftChars="0" w:firstLine="0" w:firstLineChars="0"/>
        <w:jc w:val="center"/>
        <w:textAlignment w:val="auto"/>
        <w:rPr>
          <w:rFonts w:hint="eastAsia" w:ascii="宋体" w:hAnsi="宋体" w:eastAsia="宋体" w:cs="宋体"/>
          <w:b/>
          <w:bCs/>
          <w:color w:val="000000"/>
          <w:kern w:val="0"/>
          <w:sz w:val="24"/>
          <w:szCs w:val="20"/>
          <w:lang w:val="en-US" w:eastAsia="zh-CN" w:bidi="ar-SA"/>
        </w:rPr>
      </w:pPr>
    </w:p>
    <w:p>
      <w:pPr>
        <w:keepNext w:val="0"/>
        <w:keepLines w:val="0"/>
        <w:pageBreakBefore w:val="0"/>
        <w:widowControl w:val="0"/>
        <w:kinsoku/>
        <w:wordWrap/>
        <w:overflowPunct/>
        <w:topLinePunct w:val="0"/>
        <w:autoSpaceDE/>
        <w:autoSpaceDN/>
        <w:bidi w:val="0"/>
        <w:adjustRightInd/>
        <w:snapToGrid/>
        <w:spacing w:after="0" w:line="480" w:lineRule="exact"/>
        <w:ind w:left="0" w:leftChars="0" w:firstLine="0" w:firstLineChars="0"/>
        <w:jc w:val="center"/>
        <w:textAlignment w:val="auto"/>
        <w:rPr>
          <w:rFonts w:hint="eastAsia" w:ascii="宋体" w:hAnsi="宋体" w:eastAsia="宋体" w:cs="宋体"/>
          <w:b/>
          <w:bCs/>
          <w:color w:val="000000"/>
          <w:kern w:val="0"/>
          <w:sz w:val="24"/>
          <w:szCs w:val="20"/>
          <w:lang w:val="en-US" w:eastAsia="zh-CN" w:bidi="ar-SA"/>
        </w:rPr>
      </w:pPr>
    </w:p>
    <w:p>
      <w:pPr>
        <w:keepNext w:val="0"/>
        <w:keepLines w:val="0"/>
        <w:pageBreakBefore w:val="0"/>
        <w:widowControl w:val="0"/>
        <w:kinsoku/>
        <w:wordWrap/>
        <w:overflowPunct/>
        <w:topLinePunct w:val="0"/>
        <w:autoSpaceDE/>
        <w:autoSpaceDN/>
        <w:bidi w:val="0"/>
        <w:adjustRightInd/>
        <w:snapToGrid/>
        <w:spacing w:after="0" w:line="480" w:lineRule="exact"/>
        <w:ind w:left="0" w:leftChars="0" w:firstLine="0" w:firstLineChars="0"/>
        <w:jc w:val="center"/>
        <w:textAlignment w:val="auto"/>
        <w:rPr>
          <w:rFonts w:ascii="宋体" w:hAnsi="宋体" w:eastAsia="宋体" w:cs="宋体"/>
          <w:b/>
          <w:bCs/>
          <w:color w:val="000000"/>
          <w:kern w:val="0"/>
          <w:sz w:val="24"/>
          <w:szCs w:val="20"/>
          <w:lang w:val="en-US" w:eastAsia="zh-CN" w:bidi="ar-SA"/>
        </w:rPr>
      </w:pPr>
      <w:r>
        <w:rPr>
          <w:rFonts w:hint="eastAsia" w:ascii="宋体" w:hAnsi="宋体" w:eastAsia="宋体" w:cs="宋体"/>
          <w:b/>
          <w:bCs/>
          <w:color w:val="000000"/>
          <w:kern w:val="0"/>
          <w:sz w:val="24"/>
          <w:szCs w:val="20"/>
          <w:lang w:val="en-US" w:eastAsia="zh-CN" w:bidi="ar-SA"/>
        </w:rPr>
        <w:t>木林镇2024年度建筑拆除工程项目（第四包）各分项单价明细</w:t>
      </w:r>
    </w:p>
    <w:p>
      <w:pPr>
        <w:keepNext w:val="0"/>
        <w:keepLines w:val="0"/>
        <w:pageBreakBefore w:val="0"/>
        <w:widowControl w:val="0"/>
        <w:kinsoku/>
        <w:wordWrap/>
        <w:overflowPunct/>
        <w:topLinePunct w:val="0"/>
        <w:autoSpaceDE/>
        <w:autoSpaceDN/>
        <w:bidi w:val="0"/>
        <w:adjustRightInd/>
        <w:snapToGrid/>
        <w:spacing w:after="0" w:line="480" w:lineRule="exact"/>
        <w:ind w:left="0" w:leftChars="0" w:firstLine="440" w:firstLineChars="200"/>
        <w:jc w:val="right"/>
        <w:textAlignment w:val="auto"/>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bidi="ar-SA"/>
        </w:rPr>
        <w:t>单价：元</w:t>
      </w:r>
    </w:p>
    <w:tbl>
      <w:tblPr>
        <w:tblStyle w:val="47"/>
        <w:tblW w:w="953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
      <w:tblGrid>
        <w:gridCol w:w="490"/>
        <w:gridCol w:w="1477"/>
        <w:gridCol w:w="4002"/>
        <w:gridCol w:w="508"/>
        <w:gridCol w:w="577"/>
        <w:gridCol w:w="755"/>
        <w:gridCol w:w="870"/>
        <w:gridCol w:w="85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870" w:hRule="atLeast"/>
          <w:jc w:val="center"/>
        </w:trPr>
        <w:tc>
          <w:tcPr>
            <w:tcW w:w="4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160" w:line="240" w:lineRule="exact"/>
              <w:ind w:left="0" w:leftChars="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序号</w:t>
            </w:r>
          </w:p>
        </w:tc>
        <w:tc>
          <w:tcPr>
            <w:tcW w:w="14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160" w:line="240" w:lineRule="exact"/>
              <w:ind w:left="0" w:leftChars="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名称</w:t>
            </w:r>
          </w:p>
        </w:tc>
        <w:tc>
          <w:tcPr>
            <w:tcW w:w="40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160" w:line="240" w:lineRule="exact"/>
              <w:ind w:left="0" w:leftChars="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清单内容</w:t>
            </w:r>
          </w:p>
        </w:tc>
        <w:tc>
          <w:tcPr>
            <w:tcW w:w="5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160" w:line="240" w:lineRule="exact"/>
              <w:ind w:left="0" w:leftChars="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单位</w:t>
            </w:r>
          </w:p>
        </w:tc>
        <w:tc>
          <w:tcPr>
            <w:tcW w:w="5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160" w:line="240" w:lineRule="exact"/>
              <w:ind w:left="0" w:leftChars="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工程量</w:t>
            </w:r>
          </w:p>
        </w:tc>
        <w:tc>
          <w:tcPr>
            <w:tcW w:w="7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160" w:line="240" w:lineRule="exact"/>
              <w:ind w:left="0" w:leftChars="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全费用单价（元）</w:t>
            </w:r>
          </w:p>
        </w:tc>
        <w:tc>
          <w:tcPr>
            <w:tcW w:w="87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160" w:line="240" w:lineRule="exact"/>
              <w:ind w:left="0" w:leftChars="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全费用合价（元）</w:t>
            </w:r>
          </w:p>
        </w:tc>
        <w:tc>
          <w:tcPr>
            <w:tcW w:w="8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160" w:line="240" w:lineRule="exact"/>
              <w:ind w:left="0" w:leftChars="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565" w:hRule="atLeast"/>
          <w:jc w:val="center"/>
        </w:trPr>
        <w:tc>
          <w:tcPr>
            <w:tcW w:w="4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160" w:line="259" w:lineRule="auto"/>
              <w:ind w:left="0" w:left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w:t>
            </w:r>
          </w:p>
        </w:tc>
        <w:tc>
          <w:tcPr>
            <w:tcW w:w="14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160" w:line="259" w:lineRule="auto"/>
              <w:ind w:left="0" w:left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现浇混凝土屋顶平房整体拆除(370厚砖墙)</w:t>
            </w:r>
          </w:p>
        </w:tc>
        <w:tc>
          <w:tcPr>
            <w:tcW w:w="40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160" w:line="259" w:lineRule="auto"/>
              <w:ind w:left="0" w:leftChars="0"/>
              <w:jc w:val="left"/>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1.现浇混凝土屋顶的平房整体拆除</w:t>
            </w:r>
          </w:p>
          <w:p>
            <w:pPr>
              <w:keepNext w:val="0"/>
              <w:keepLines w:val="0"/>
              <w:pageBreakBefore w:val="0"/>
              <w:widowControl/>
              <w:suppressLineNumbers w:val="0"/>
              <w:kinsoku/>
              <w:wordWrap/>
              <w:overflowPunct/>
              <w:topLinePunct w:val="0"/>
              <w:autoSpaceDE/>
              <w:autoSpaceDN/>
              <w:bidi w:val="0"/>
              <w:adjustRightInd/>
              <w:snapToGrid/>
              <w:spacing w:after="160" w:line="259" w:lineRule="auto"/>
              <w:ind w:left="0" w:leftChars="0"/>
              <w:jc w:val="left"/>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2.拆除房屋墙体厚度370mm厚砖砌</w:t>
            </w:r>
          </w:p>
          <w:p>
            <w:pPr>
              <w:keepNext w:val="0"/>
              <w:keepLines w:val="0"/>
              <w:pageBreakBefore w:val="0"/>
              <w:widowControl/>
              <w:suppressLineNumbers w:val="0"/>
              <w:kinsoku/>
              <w:wordWrap/>
              <w:overflowPunct/>
              <w:topLinePunct w:val="0"/>
              <w:autoSpaceDE/>
              <w:autoSpaceDN/>
              <w:bidi w:val="0"/>
              <w:adjustRightInd/>
              <w:snapToGrid/>
              <w:spacing w:after="160" w:line="259" w:lineRule="auto"/>
              <w:ind w:left="0" w:leftChars="0"/>
              <w:jc w:val="left"/>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3.包含地上及地下所有需拆除物、包含但不限于地上建筑物、室内地面及地下基础等</w:t>
            </w:r>
          </w:p>
          <w:p>
            <w:pPr>
              <w:keepNext w:val="0"/>
              <w:keepLines w:val="0"/>
              <w:pageBreakBefore w:val="0"/>
              <w:widowControl/>
              <w:suppressLineNumbers w:val="0"/>
              <w:kinsoku/>
              <w:wordWrap/>
              <w:overflowPunct/>
              <w:topLinePunct w:val="0"/>
              <w:autoSpaceDE/>
              <w:autoSpaceDN/>
              <w:bidi w:val="0"/>
              <w:adjustRightInd/>
              <w:snapToGrid/>
              <w:spacing w:after="160" w:line="259" w:lineRule="auto"/>
              <w:ind w:left="0" w:leftChars="0"/>
              <w:jc w:val="left"/>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4.包含各种拆除方式的主体破碎、拆除、挖出，毗邻建筑物的保护，渣土原地清理、场内倒运、集中堆放、收方归堆、装车、场地平整、洒水、苫盖等</w:t>
            </w:r>
          </w:p>
          <w:p>
            <w:pPr>
              <w:keepNext w:val="0"/>
              <w:keepLines w:val="0"/>
              <w:pageBreakBefore w:val="0"/>
              <w:widowControl/>
              <w:suppressLineNumbers w:val="0"/>
              <w:kinsoku/>
              <w:wordWrap/>
              <w:overflowPunct/>
              <w:topLinePunct w:val="0"/>
              <w:autoSpaceDE/>
              <w:autoSpaceDN/>
              <w:bidi w:val="0"/>
              <w:adjustRightInd/>
              <w:snapToGrid/>
              <w:spacing w:after="160" w:line="259" w:lineRule="auto"/>
              <w:ind w:left="0" w:leftChars="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5.拆除后要求场清地平，无建筑垃圾及渣土残留，按照土地性质达到相应验收标准并验收合格。</w:t>
            </w:r>
          </w:p>
        </w:tc>
        <w:tc>
          <w:tcPr>
            <w:tcW w:w="5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160" w:line="259" w:lineRule="auto"/>
              <w:ind w:left="0" w:left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m²</w:t>
            </w:r>
          </w:p>
        </w:tc>
        <w:tc>
          <w:tcPr>
            <w:tcW w:w="5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160" w:line="259" w:lineRule="auto"/>
              <w:ind w:left="0" w:left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w:t>
            </w:r>
          </w:p>
        </w:tc>
        <w:tc>
          <w:tcPr>
            <w:tcW w:w="7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160" w:line="259" w:lineRule="auto"/>
              <w:ind w:left="0" w:left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125.00 </w:t>
            </w:r>
          </w:p>
        </w:tc>
        <w:tc>
          <w:tcPr>
            <w:tcW w:w="87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after="160" w:line="259" w:lineRule="auto"/>
              <w:ind w:left="0" w:left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125.00 </w:t>
            </w:r>
          </w:p>
        </w:tc>
        <w:tc>
          <w:tcPr>
            <w:tcW w:w="8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pPr>
              <w:keepNext w:val="0"/>
              <w:keepLines w:val="0"/>
              <w:pageBreakBefore w:val="0"/>
              <w:kinsoku/>
              <w:wordWrap/>
              <w:overflowPunct/>
              <w:topLinePunct w:val="0"/>
              <w:autoSpaceDE/>
              <w:autoSpaceDN/>
              <w:bidi w:val="0"/>
              <w:adjustRightInd/>
              <w:snapToGrid/>
              <w:spacing w:after="160" w:line="259" w:lineRule="auto"/>
              <w:ind w:left="0" w:leftChars="0"/>
              <w:jc w:val="center"/>
              <w:rPr>
                <w:rFonts w:hint="eastAsia" w:ascii="Arial" w:hAnsi="Arial" w:eastAsia="宋体" w:cs="Arial"/>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300" w:hRule="atLeast"/>
          <w:jc w:val="center"/>
        </w:trPr>
        <w:tc>
          <w:tcPr>
            <w:tcW w:w="4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w:t>
            </w:r>
          </w:p>
        </w:tc>
        <w:tc>
          <w:tcPr>
            <w:tcW w:w="14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现浇混凝土屋顶平房整体拆除(240厚砖墙)</w:t>
            </w:r>
          </w:p>
        </w:tc>
        <w:tc>
          <w:tcPr>
            <w:tcW w:w="40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left"/>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1.现浇混凝土屋顶的平房整体拆除</w:t>
            </w:r>
          </w:p>
          <w:p>
            <w:pPr>
              <w:keepNext w:val="0"/>
              <w:keepLines w:val="0"/>
              <w:widowControl/>
              <w:suppressLineNumbers w:val="0"/>
              <w:spacing w:after="160" w:line="259" w:lineRule="auto"/>
              <w:jc w:val="left"/>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2.拆除房屋墙体厚度240mm厚砖砌</w:t>
            </w:r>
          </w:p>
          <w:p>
            <w:pPr>
              <w:keepNext w:val="0"/>
              <w:keepLines w:val="0"/>
              <w:widowControl/>
              <w:suppressLineNumbers w:val="0"/>
              <w:spacing w:after="160" w:line="259" w:lineRule="auto"/>
              <w:jc w:val="left"/>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3.包含地上及地下所有需拆除物、包含但不限于地上建筑物、室内地面及地下基础等</w:t>
            </w:r>
          </w:p>
          <w:p>
            <w:pPr>
              <w:keepNext w:val="0"/>
              <w:keepLines w:val="0"/>
              <w:widowControl/>
              <w:suppressLineNumbers w:val="0"/>
              <w:spacing w:after="160" w:line="259" w:lineRule="auto"/>
              <w:jc w:val="left"/>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4.包含各种拆除方式的主体破碎、拆除、挖出，毗邻建筑物的保护，渣土原地清理、场内倒运、集中堆放、收方归堆、装车、场地平整、洒水、苫盖等</w:t>
            </w:r>
          </w:p>
          <w:p>
            <w:pPr>
              <w:keepNext w:val="0"/>
              <w:keepLines w:val="0"/>
              <w:widowControl/>
              <w:suppressLineNumbers w:val="0"/>
              <w:spacing w:after="160" w:line="259" w:lineRule="auto"/>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5.拆除后要求场清地平，无建筑垃圾及渣土残留，按照土地性质达到相应验收标准并验收合格。</w:t>
            </w:r>
          </w:p>
        </w:tc>
        <w:tc>
          <w:tcPr>
            <w:tcW w:w="5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m²</w:t>
            </w:r>
          </w:p>
        </w:tc>
        <w:tc>
          <w:tcPr>
            <w:tcW w:w="5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w:t>
            </w:r>
          </w:p>
        </w:tc>
        <w:tc>
          <w:tcPr>
            <w:tcW w:w="7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118.00 </w:t>
            </w:r>
          </w:p>
        </w:tc>
        <w:tc>
          <w:tcPr>
            <w:tcW w:w="87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118.00 </w:t>
            </w:r>
          </w:p>
        </w:tc>
        <w:tc>
          <w:tcPr>
            <w:tcW w:w="8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pPr>
              <w:spacing w:after="160" w:line="259" w:lineRule="auto"/>
              <w:jc w:val="center"/>
              <w:rPr>
                <w:rFonts w:hint="default" w:ascii="Arial" w:hAnsi="Arial" w:eastAsia="宋体" w:cs="Arial"/>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135" w:hRule="atLeast"/>
          <w:jc w:val="center"/>
        </w:trPr>
        <w:tc>
          <w:tcPr>
            <w:tcW w:w="4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3</w:t>
            </w:r>
          </w:p>
        </w:tc>
        <w:tc>
          <w:tcPr>
            <w:tcW w:w="14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预制圆孔板顶整房拆除(370厚砖墙 )</w:t>
            </w:r>
          </w:p>
        </w:tc>
        <w:tc>
          <w:tcPr>
            <w:tcW w:w="40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left"/>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1.预制圆孔板顶整房拆除</w:t>
            </w:r>
          </w:p>
          <w:p>
            <w:pPr>
              <w:keepNext w:val="0"/>
              <w:keepLines w:val="0"/>
              <w:widowControl/>
              <w:suppressLineNumbers w:val="0"/>
              <w:spacing w:after="160" w:line="259" w:lineRule="auto"/>
              <w:jc w:val="left"/>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2.拆除房屋墙体厚度370mm厚砖砌</w:t>
            </w:r>
          </w:p>
          <w:p>
            <w:pPr>
              <w:keepNext w:val="0"/>
              <w:keepLines w:val="0"/>
              <w:widowControl/>
              <w:suppressLineNumbers w:val="0"/>
              <w:spacing w:after="160" w:line="259" w:lineRule="auto"/>
              <w:jc w:val="left"/>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3.包含地上及地下所有需拆除物、包含但不限于地上建筑物、室内地面及地下基础等</w:t>
            </w:r>
          </w:p>
          <w:p>
            <w:pPr>
              <w:keepNext w:val="0"/>
              <w:keepLines w:val="0"/>
              <w:widowControl/>
              <w:suppressLineNumbers w:val="0"/>
              <w:spacing w:after="160" w:line="259" w:lineRule="auto"/>
              <w:jc w:val="left"/>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4.包含各种拆除方式的主体破碎、拆除、挖出，毗邻建筑物的保护，渣土原地清理、场内倒运、集中堆放、收方归堆、装车、场地平整、洒水、苫盖等</w:t>
            </w:r>
          </w:p>
          <w:p>
            <w:pPr>
              <w:keepNext w:val="0"/>
              <w:keepLines w:val="0"/>
              <w:widowControl/>
              <w:suppressLineNumbers w:val="0"/>
              <w:spacing w:after="160" w:line="259" w:lineRule="auto"/>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5.拆除后要求场清地平，无建筑垃圾及渣土残留，按照土地性质达到相应验收标准并验收合格。</w:t>
            </w:r>
          </w:p>
        </w:tc>
        <w:tc>
          <w:tcPr>
            <w:tcW w:w="5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m²</w:t>
            </w:r>
          </w:p>
        </w:tc>
        <w:tc>
          <w:tcPr>
            <w:tcW w:w="5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1</w:t>
            </w:r>
          </w:p>
        </w:tc>
        <w:tc>
          <w:tcPr>
            <w:tcW w:w="7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110.00 </w:t>
            </w:r>
          </w:p>
        </w:tc>
        <w:tc>
          <w:tcPr>
            <w:tcW w:w="87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110.00 </w:t>
            </w:r>
          </w:p>
        </w:tc>
        <w:tc>
          <w:tcPr>
            <w:tcW w:w="8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pPr>
              <w:spacing w:after="160" w:line="259" w:lineRule="auto"/>
              <w:jc w:val="center"/>
              <w:rPr>
                <w:rFonts w:hint="default" w:ascii="Arial" w:hAnsi="Arial" w:eastAsia="宋体" w:cs="Arial"/>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280" w:hRule="atLeast"/>
          <w:jc w:val="center"/>
        </w:trPr>
        <w:tc>
          <w:tcPr>
            <w:tcW w:w="4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4</w:t>
            </w:r>
          </w:p>
        </w:tc>
        <w:tc>
          <w:tcPr>
            <w:tcW w:w="14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预制圆孔板顶整房拆除(240厚砖墙 )</w:t>
            </w:r>
          </w:p>
        </w:tc>
        <w:tc>
          <w:tcPr>
            <w:tcW w:w="40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left"/>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1.预制圆孔板顶整房拆除</w:t>
            </w:r>
          </w:p>
          <w:p>
            <w:pPr>
              <w:keepNext w:val="0"/>
              <w:keepLines w:val="0"/>
              <w:widowControl/>
              <w:suppressLineNumbers w:val="0"/>
              <w:spacing w:after="160" w:line="259" w:lineRule="auto"/>
              <w:jc w:val="left"/>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2.拆除房屋墙体厚度240mm厚砖砌</w:t>
            </w:r>
          </w:p>
          <w:p>
            <w:pPr>
              <w:keepNext w:val="0"/>
              <w:keepLines w:val="0"/>
              <w:widowControl/>
              <w:suppressLineNumbers w:val="0"/>
              <w:spacing w:after="160" w:line="259" w:lineRule="auto"/>
              <w:jc w:val="left"/>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3.包含地上及地下所有需拆除物、包含但不限于地上建筑物、室内地面及地下基础等</w:t>
            </w:r>
          </w:p>
          <w:p>
            <w:pPr>
              <w:keepNext w:val="0"/>
              <w:keepLines w:val="0"/>
              <w:widowControl/>
              <w:suppressLineNumbers w:val="0"/>
              <w:spacing w:after="160" w:line="259" w:lineRule="auto"/>
              <w:jc w:val="left"/>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4.包含各种拆除方式的主体破碎、拆除、挖出，毗邻建筑物的保护，渣土原地清理、场内倒运、集中堆放、收方归堆、装车、场地平整、洒水、苫盖等</w:t>
            </w:r>
          </w:p>
          <w:p>
            <w:pPr>
              <w:keepNext w:val="0"/>
              <w:keepLines w:val="0"/>
              <w:widowControl/>
              <w:suppressLineNumbers w:val="0"/>
              <w:spacing w:after="160" w:line="259" w:lineRule="auto"/>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5.拆除后要求场清地平，无建筑垃圾及渣土残留，按照土地性质达到相应验收标准并验收合格。</w:t>
            </w:r>
          </w:p>
        </w:tc>
        <w:tc>
          <w:tcPr>
            <w:tcW w:w="5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m²</w:t>
            </w:r>
          </w:p>
        </w:tc>
        <w:tc>
          <w:tcPr>
            <w:tcW w:w="5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1</w:t>
            </w:r>
          </w:p>
        </w:tc>
        <w:tc>
          <w:tcPr>
            <w:tcW w:w="7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100.00 </w:t>
            </w:r>
          </w:p>
        </w:tc>
        <w:tc>
          <w:tcPr>
            <w:tcW w:w="87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100.00 </w:t>
            </w:r>
          </w:p>
        </w:tc>
        <w:tc>
          <w:tcPr>
            <w:tcW w:w="8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pPr>
              <w:spacing w:after="160" w:line="259" w:lineRule="auto"/>
              <w:jc w:val="center"/>
              <w:rPr>
                <w:rFonts w:hint="default" w:ascii="Arial" w:hAnsi="Arial" w:eastAsia="宋体" w:cs="Arial"/>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380" w:hRule="atLeast"/>
          <w:jc w:val="center"/>
        </w:trPr>
        <w:tc>
          <w:tcPr>
            <w:tcW w:w="4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5</w:t>
            </w:r>
          </w:p>
        </w:tc>
        <w:tc>
          <w:tcPr>
            <w:tcW w:w="14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瓦屋顶平房整体拆除(370厚砖墙 )</w:t>
            </w:r>
          </w:p>
        </w:tc>
        <w:tc>
          <w:tcPr>
            <w:tcW w:w="40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left"/>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1.布瓦及泥瓦水泥瓦顶的平房整体拆除</w:t>
            </w:r>
          </w:p>
          <w:p>
            <w:pPr>
              <w:keepNext w:val="0"/>
              <w:keepLines w:val="0"/>
              <w:widowControl/>
              <w:suppressLineNumbers w:val="0"/>
              <w:spacing w:after="160" w:line="259" w:lineRule="auto"/>
              <w:jc w:val="left"/>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2.拆除房屋墙体厚度370mm厚砖砌</w:t>
            </w:r>
          </w:p>
          <w:p>
            <w:pPr>
              <w:keepNext w:val="0"/>
              <w:keepLines w:val="0"/>
              <w:widowControl/>
              <w:suppressLineNumbers w:val="0"/>
              <w:spacing w:after="160" w:line="259" w:lineRule="auto"/>
              <w:jc w:val="left"/>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3.包含地上及地下所有需拆除物、包含但不限于地上建筑物、室内地面及地下基础等</w:t>
            </w:r>
          </w:p>
          <w:p>
            <w:pPr>
              <w:keepNext w:val="0"/>
              <w:keepLines w:val="0"/>
              <w:widowControl/>
              <w:suppressLineNumbers w:val="0"/>
              <w:spacing w:after="160" w:line="259" w:lineRule="auto"/>
              <w:jc w:val="left"/>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4.包含各种拆除方式的主体破碎、拆除、挖出，毗邻建筑物的保护，渣土原地清理、场内倒运、集中堆放、收方归堆、装车、场地平整、洒水、苫盖等</w:t>
            </w:r>
          </w:p>
          <w:p>
            <w:pPr>
              <w:keepNext w:val="0"/>
              <w:keepLines w:val="0"/>
              <w:widowControl/>
              <w:suppressLineNumbers w:val="0"/>
              <w:spacing w:after="160" w:line="259" w:lineRule="auto"/>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5.拆除后要求场清地平，无建筑垃圾及渣土残留，按照土地性质达到相应验收标准并验收合格。</w:t>
            </w:r>
          </w:p>
        </w:tc>
        <w:tc>
          <w:tcPr>
            <w:tcW w:w="5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m²</w:t>
            </w:r>
          </w:p>
        </w:tc>
        <w:tc>
          <w:tcPr>
            <w:tcW w:w="5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w:t>
            </w:r>
          </w:p>
        </w:tc>
        <w:tc>
          <w:tcPr>
            <w:tcW w:w="7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85.00 </w:t>
            </w:r>
          </w:p>
        </w:tc>
        <w:tc>
          <w:tcPr>
            <w:tcW w:w="87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85.00 </w:t>
            </w:r>
          </w:p>
        </w:tc>
        <w:tc>
          <w:tcPr>
            <w:tcW w:w="8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pPr>
              <w:spacing w:after="160" w:line="259" w:lineRule="auto"/>
              <w:jc w:val="center"/>
              <w:rPr>
                <w:rFonts w:hint="default" w:ascii="Arial" w:hAnsi="Arial" w:eastAsia="宋体" w:cs="Arial"/>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065" w:hRule="atLeast"/>
          <w:jc w:val="center"/>
        </w:trPr>
        <w:tc>
          <w:tcPr>
            <w:tcW w:w="4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6</w:t>
            </w:r>
          </w:p>
        </w:tc>
        <w:tc>
          <w:tcPr>
            <w:tcW w:w="14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瓦屋顶平房整体拆除(240厚砖墙 )</w:t>
            </w:r>
          </w:p>
        </w:tc>
        <w:tc>
          <w:tcPr>
            <w:tcW w:w="40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left"/>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1.布瓦及泥瓦水泥瓦顶的平房整体拆除</w:t>
            </w:r>
          </w:p>
          <w:p>
            <w:pPr>
              <w:keepNext w:val="0"/>
              <w:keepLines w:val="0"/>
              <w:widowControl/>
              <w:suppressLineNumbers w:val="0"/>
              <w:spacing w:after="160" w:line="259" w:lineRule="auto"/>
              <w:jc w:val="left"/>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2.拆除房屋墙体厚度240mm厚砖砌</w:t>
            </w:r>
          </w:p>
          <w:p>
            <w:pPr>
              <w:keepNext w:val="0"/>
              <w:keepLines w:val="0"/>
              <w:widowControl/>
              <w:suppressLineNumbers w:val="0"/>
              <w:spacing w:after="160" w:line="259" w:lineRule="auto"/>
              <w:jc w:val="left"/>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3.包含地上及地下所有需拆除物、包含但不限于地上建筑物、室内地面及地下基础等</w:t>
            </w:r>
          </w:p>
          <w:p>
            <w:pPr>
              <w:keepNext w:val="0"/>
              <w:keepLines w:val="0"/>
              <w:widowControl/>
              <w:suppressLineNumbers w:val="0"/>
              <w:spacing w:after="160" w:line="259" w:lineRule="auto"/>
              <w:jc w:val="left"/>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4.包含各种拆除方式的主体破碎、拆除、挖出，毗邻建筑物的保护，渣土原地清理、场内倒运、集中堆放、收方归堆、装车、场地平整、洒水、苫盖等</w:t>
            </w:r>
          </w:p>
          <w:p>
            <w:pPr>
              <w:keepNext w:val="0"/>
              <w:keepLines w:val="0"/>
              <w:widowControl/>
              <w:suppressLineNumbers w:val="0"/>
              <w:spacing w:after="160" w:line="259" w:lineRule="auto"/>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5.拆除后要求场清地平，无建筑垃圾及渣土残留，按照土地性质达到相应验收标准并验收合格。</w:t>
            </w:r>
          </w:p>
        </w:tc>
        <w:tc>
          <w:tcPr>
            <w:tcW w:w="5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m²</w:t>
            </w:r>
          </w:p>
        </w:tc>
        <w:tc>
          <w:tcPr>
            <w:tcW w:w="5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w:t>
            </w:r>
          </w:p>
        </w:tc>
        <w:tc>
          <w:tcPr>
            <w:tcW w:w="7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80.00 </w:t>
            </w:r>
          </w:p>
        </w:tc>
        <w:tc>
          <w:tcPr>
            <w:tcW w:w="87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80.00 </w:t>
            </w:r>
          </w:p>
        </w:tc>
        <w:tc>
          <w:tcPr>
            <w:tcW w:w="8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pPr>
              <w:spacing w:after="160" w:line="259" w:lineRule="auto"/>
              <w:jc w:val="center"/>
              <w:rPr>
                <w:rFonts w:hint="default" w:ascii="Arial" w:hAnsi="Arial" w:eastAsia="宋体" w:cs="Arial"/>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360" w:hRule="atLeast"/>
          <w:jc w:val="center"/>
        </w:trPr>
        <w:tc>
          <w:tcPr>
            <w:tcW w:w="4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7</w:t>
            </w:r>
          </w:p>
        </w:tc>
        <w:tc>
          <w:tcPr>
            <w:tcW w:w="14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彩钢屋顶平房整体拆除(370厚砖墙 )</w:t>
            </w:r>
          </w:p>
        </w:tc>
        <w:tc>
          <w:tcPr>
            <w:tcW w:w="40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left"/>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1.彩钢屋顶的平房整体拆除</w:t>
            </w:r>
          </w:p>
          <w:p>
            <w:pPr>
              <w:keepNext w:val="0"/>
              <w:keepLines w:val="0"/>
              <w:widowControl/>
              <w:suppressLineNumbers w:val="0"/>
              <w:spacing w:after="160" w:line="259" w:lineRule="auto"/>
              <w:jc w:val="left"/>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2.拆除房屋墙体厚度370mm厚砖砌</w:t>
            </w:r>
          </w:p>
          <w:p>
            <w:pPr>
              <w:keepNext w:val="0"/>
              <w:keepLines w:val="0"/>
              <w:widowControl/>
              <w:suppressLineNumbers w:val="0"/>
              <w:spacing w:after="160" w:line="259" w:lineRule="auto"/>
              <w:jc w:val="left"/>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3.包含地上及地下所有需拆除物、包含但不限于地上建筑物、室内地面及地下基础等</w:t>
            </w:r>
          </w:p>
          <w:p>
            <w:pPr>
              <w:keepNext w:val="0"/>
              <w:keepLines w:val="0"/>
              <w:widowControl/>
              <w:suppressLineNumbers w:val="0"/>
              <w:spacing w:after="160" w:line="259" w:lineRule="auto"/>
              <w:jc w:val="left"/>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4.包含各种拆除方式的主体破碎、拆除、挖出，毗邻建筑物的保护，渣土原地清理、场内倒运、集中堆放、收方归堆、装车、场地平整、洒水、苫盖等</w:t>
            </w:r>
          </w:p>
          <w:p>
            <w:pPr>
              <w:keepNext w:val="0"/>
              <w:keepLines w:val="0"/>
              <w:widowControl/>
              <w:suppressLineNumbers w:val="0"/>
              <w:spacing w:after="160" w:line="259" w:lineRule="auto"/>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5.拆除后要求场清地平，无建筑垃圾及渣土残留，按照土地性质达到相应验收标准并验收合格。</w:t>
            </w:r>
          </w:p>
        </w:tc>
        <w:tc>
          <w:tcPr>
            <w:tcW w:w="5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m²</w:t>
            </w:r>
          </w:p>
        </w:tc>
        <w:tc>
          <w:tcPr>
            <w:tcW w:w="5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1</w:t>
            </w:r>
          </w:p>
        </w:tc>
        <w:tc>
          <w:tcPr>
            <w:tcW w:w="7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65.00 </w:t>
            </w:r>
          </w:p>
        </w:tc>
        <w:tc>
          <w:tcPr>
            <w:tcW w:w="87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65.00 </w:t>
            </w:r>
          </w:p>
        </w:tc>
        <w:tc>
          <w:tcPr>
            <w:tcW w:w="8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pPr>
              <w:spacing w:after="160" w:line="259" w:lineRule="auto"/>
              <w:jc w:val="center"/>
              <w:rPr>
                <w:rFonts w:hint="default" w:ascii="Arial" w:hAnsi="Arial" w:eastAsia="宋体" w:cs="Arial"/>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80" w:hRule="atLeast"/>
          <w:jc w:val="center"/>
        </w:trPr>
        <w:tc>
          <w:tcPr>
            <w:tcW w:w="4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8</w:t>
            </w:r>
          </w:p>
        </w:tc>
        <w:tc>
          <w:tcPr>
            <w:tcW w:w="14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彩钢屋顶平房整体拆除(240厚砖墙 )</w:t>
            </w:r>
          </w:p>
        </w:tc>
        <w:tc>
          <w:tcPr>
            <w:tcW w:w="40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left"/>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1.彩钢屋顶的平房整体拆除</w:t>
            </w:r>
          </w:p>
          <w:p>
            <w:pPr>
              <w:keepNext w:val="0"/>
              <w:keepLines w:val="0"/>
              <w:widowControl/>
              <w:suppressLineNumbers w:val="0"/>
              <w:spacing w:after="160" w:line="259" w:lineRule="auto"/>
              <w:jc w:val="left"/>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2.拆除房屋墙体厚度240mm厚砖砌</w:t>
            </w:r>
          </w:p>
          <w:p>
            <w:pPr>
              <w:keepNext w:val="0"/>
              <w:keepLines w:val="0"/>
              <w:widowControl/>
              <w:suppressLineNumbers w:val="0"/>
              <w:spacing w:after="160" w:line="259" w:lineRule="auto"/>
              <w:jc w:val="left"/>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3.包含地上及地下所有需拆除物、包含但不限于地上建筑物、室内地面及地下基础等</w:t>
            </w:r>
          </w:p>
          <w:p>
            <w:pPr>
              <w:keepNext w:val="0"/>
              <w:keepLines w:val="0"/>
              <w:widowControl/>
              <w:suppressLineNumbers w:val="0"/>
              <w:spacing w:after="160" w:line="259" w:lineRule="auto"/>
              <w:jc w:val="left"/>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4.包含各种拆除方式的主体破碎、拆除、挖出，毗邻建筑物的保护，渣土原地清理、场内倒运、集中堆放、收方归堆、装车、场地平整、洒水、苫盖等</w:t>
            </w:r>
          </w:p>
          <w:p>
            <w:pPr>
              <w:keepNext w:val="0"/>
              <w:keepLines w:val="0"/>
              <w:widowControl/>
              <w:suppressLineNumbers w:val="0"/>
              <w:spacing w:after="160" w:line="259" w:lineRule="auto"/>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5.拆除后要求场清地平，无建筑垃圾及渣土残留，按照土地性质达到相应验收标准并验收合格。</w:t>
            </w:r>
          </w:p>
        </w:tc>
        <w:tc>
          <w:tcPr>
            <w:tcW w:w="5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m²</w:t>
            </w:r>
          </w:p>
        </w:tc>
        <w:tc>
          <w:tcPr>
            <w:tcW w:w="5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w:t>
            </w:r>
          </w:p>
        </w:tc>
        <w:tc>
          <w:tcPr>
            <w:tcW w:w="7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60.00 </w:t>
            </w:r>
          </w:p>
        </w:tc>
        <w:tc>
          <w:tcPr>
            <w:tcW w:w="87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60.00 </w:t>
            </w:r>
          </w:p>
        </w:tc>
        <w:tc>
          <w:tcPr>
            <w:tcW w:w="8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pPr>
              <w:spacing w:after="160" w:line="259" w:lineRule="auto"/>
              <w:jc w:val="center"/>
              <w:rPr>
                <w:rFonts w:hint="default" w:ascii="Arial" w:hAnsi="Arial" w:eastAsia="宋体" w:cs="Arial"/>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940" w:hRule="atLeast"/>
          <w:jc w:val="center"/>
        </w:trPr>
        <w:tc>
          <w:tcPr>
            <w:tcW w:w="4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9</w:t>
            </w:r>
          </w:p>
        </w:tc>
        <w:tc>
          <w:tcPr>
            <w:tcW w:w="14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钢结构拆除</w:t>
            </w:r>
          </w:p>
        </w:tc>
        <w:tc>
          <w:tcPr>
            <w:tcW w:w="40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left"/>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1.钢结构房屋拆除</w:t>
            </w:r>
          </w:p>
          <w:p>
            <w:pPr>
              <w:keepNext w:val="0"/>
              <w:keepLines w:val="0"/>
              <w:widowControl/>
              <w:suppressLineNumbers w:val="0"/>
              <w:spacing w:after="160" w:line="259" w:lineRule="auto"/>
              <w:jc w:val="left"/>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2.屋架、钢梁、钢柱、钢檩条等拆除、分解、指定地点堆放整齐</w:t>
            </w:r>
          </w:p>
          <w:p>
            <w:pPr>
              <w:keepNext w:val="0"/>
              <w:keepLines w:val="0"/>
              <w:widowControl/>
              <w:suppressLineNumbers w:val="0"/>
              <w:spacing w:after="160" w:line="259" w:lineRule="auto"/>
              <w:jc w:val="left"/>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3.包含地上及地下所有需拆除物、包含但不限于地上建筑物、室内地面及地下基础等</w:t>
            </w:r>
          </w:p>
          <w:p>
            <w:pPr>
              <w:keepNext w:val="0"/>
              <w:keepLines w:val="0"/>
              <w:widowControl/>
              <w:suppressLineNumbers w:val="0"/>
              <w:spacing w:after="160" w:line="259" w:lineRule="auto"/>
              <w:jc w:val="left"/>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4.各种拆除方式的主体破碎、拆除、挖出，毗邻建筑物的保护，渣土原地清理、场内倒运、集中堆放、收方归堆、装车、场地平整、洒水、苫盖等</w:t>
            </w:r>
          </w:p>
          <w:p>
            <w:pPr>
              <w:keepNext w:val="0"/>
              <w:keepLines w:val="0"/>
              <w:widowControl/>
              <w:suppressLineNumbers w:val="0"/>
              <w:spacing w:after="160" w:line="259" w:lineRule="auto"/>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5.拆除后要求场清地平，无建筑垃圾及渣土残留，需要按照土地性质达到相应验收标准并验收合格。</w:t>
            </w:r>
          </w:p>
        </w:tc>
        <w:tc>
          <w:tcPr>
            <w:tcW w:w="5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m²</w:t>
            </w:r>
          </w:p>
        </w:tc>
        <w:tc>
          <w:tcPr>
            <w:tcW w:w="5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w:t>
            </w:r>
          </w:p>
        </w:tc>
        <w:tc>
          <w:tcPr>
            <w:tcW w:w="7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55.00 </w:t>
            </w:r>
          </w:p>
        </w:tc>
        <w:tc>
          <w:tcPr>
            <w:tcW w:w="87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55.00 </w:t>
            </w:r>
          </w:p>
        </w:tc>
        <w:tc>
          <w:tcPr>
            <w:tcW w:w="8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pPr>
              <w:spacing w:after="160" w:line="259" w:lineRule="auto"/>
              <w:jc w:val="center"/>
              <w:rPr>
                <w:rFonts w:hint="default" w:ascii="Arial" w:hAnsi="Arial" w:eastAsia="宋体" w:cs="Arial"/>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200" w:hRule="atLeast"/>
          <w:jc w:val="center"/>
        </w:trPr>
        <w:tc>
          <w:tcPr>
            <w:tcW w:w="4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14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棚子拆除</w:t>
            </w:r>
          </w:p>
        </w:tc>
        <w:tc>
          <w:tcPr>
            <w:tcW w:w="40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left"/>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1.彩钢、石棉瓦等棚子拆除</w:t>
            </w:r>
          </w:p>
          <w:p>
            <w:pPr>
              <w:keepNext w:val="0"/>
              <w:keepLines w:val="0"/>
              <w:widowControl/>
              <w:suppressLineNumbers w:val="0"/>
              <w:spacing w:after="160" w:line="259" w:lineRule="auto"/>
              <w:jc w:val="left"/>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2.无维护结构，仅有立柱的棚子拆除</w:t>
            </w:r>
          </w:p>
          <w:p>
            <w:pPr>
              <w:keepNext w:val="0"/>
              <w:keepLines w:val="0"/>
              <w:widowControl/>
              <w:suppressLineNumbers w:val="0"/>
              <w:spacing w:after="160" w:line="259" w:lineRule="auto"/>
              <w:jc w:val="left"/>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3.包含地上及地下所有需拆除物、包含但不限于地上建筑物、室内地面及地下基础等</w:t>
            </w:r>
          </w:p>
          <w:p>
            <w:pPr>
              <w:keepNext w:val="0"/>
              <w:keepLines w:val="0"/>
              <w:widowControl/>
              <w:suppressLineNumbers w:val="0"/>
              <w:spacing w:after="160" w:line="259" w:lineRule="auto"/>
              <w:jc w:val="left"/>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4.包含各种拆除方式的主体破碎、拆除、挖出，毗邻建筑物的保护，渣土原地清理、场内倒运、集中堆放、收方归堆、装车、场地平整、洒水、苫盖等</w:t>
            </w:r>
          </w:p>
          <w:p>
            <w:pPr>
              <w:keepNext w:val="0"/>
              <w:keepLines w:val="0"/>
              <w:widowControl/>
              <w:suppressLineNumbers w:val="0"/>
              <w:spacing w:after="160" w:line="259" w:lineRule="auto"/>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5.拆除后要求场清地平，无建筑垃圾及渣土残留，按照土地性质达到相应验收标准并验收合格。</w:t>
            </w:r>
          </w:p>
        </w:tc>
        <w:tc>
          <w:tcPr>
            <w:tcW w:w="5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m²</w:t>
            </w:r>
          </w:p>
        </w:tc>
        <w:tc>
          <w:tcPr>
            <w:tcW w:w="5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1</w:t>
            </w:r>
          </w:p>
        </w:tc>
        <w:tc>
          <w:tcPr>
            <w:tcW w:w="7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25.00 </w:t>
            </w:r>
          </w:p>
        </w:tc>
        <w:tc>
          <w:tcPr>
            <w:tcW w:w="87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25.00 </w:t>
            </w:r>
          </w:p>
        </w:tc>
        <w:tc>
          <w:tcPr>
            <w:tcW w:w="8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pPr>
              <w:spacing w:after="160" w:line="259" w:lineRule="auto"/>
              <w:jc w:val="center"/>
              <w:rPr>
                <w:rFonts w:hint="default" w:ascii="Arial" w:hAnsi="Arial" w:eastAsia="宋体" w:cs="Arial"/>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20" w:hRule="atLeast"/>
          <w:jc w:val="center"/>
        </w:trPr>
        <w:tc>
          <w:tcPr>
            <w:tcW w:w="4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11</w:t>
            </w:r>
          </w:p>
        </w:tc>
        <w:tc>
          <w:tcPr>
            <w:tcW w:w="14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彩钢板房拆除</w:t>
            </w:r>
          </w:p>
        </w:tc>
        <w:tc>
          <w:tcPr>
            <w:tcW w:w="40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left"/>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1.彩钢板房拆除</w:t>
            </w:r>
          </w:p>
          <w:p>
            <w:pPr>
              <w:keepNext w:val="0"/>
              <w:keepLines w:val="0"/>
              <w:widowControl/>
              <w:suppressLineNumbers w:val="0"/>
              <w:spacing w:after="160" w:line="259" w:lineRule="auto"/>
              <w:jc w:val="left"/>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2.墙体为彩钢板</w:t>
            </w:r>
          </w:p>
          <w:p>
            <w:pPr>
              <w:keepNext w:val="0"/>
              <w:keepLines w:val="0"/>
              <w:widowControl/>
              <w:suppressLineNumbers w:val="0"/>
              <w:spacing w:after="160" w:line="259" w:lineRule="auto"/>
              <w:jc w:val="left"/>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3.包含地上及地下所有需拆除物、包含但不限于地上建筑物、室内地面及地下基础等</w:t>
            </w:r>
          </w:p>
          <w:p>
            <w:pPr>
              <w:keepNext w:val="0"/>
              <w:keepLines w:val="0"/>
              <w:widowControl/>
              <w:suppressLineNumbers w:val="0"/>
              <w:spacing w:after="160" w:line="259" w:lineRule="auto"/>
              <w:jc w:val="left"/>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4.包含各种拆除方式的主体破碎、拆除、挖出，毗邻建筑物的保护，渣土原地清理、场内倒运、集中堆放、收方归堆、装车、场地平整、洒水、苫盖等</w:t>
            </w:r>
          </w:p>
          <w:p>
            <w:pPr>
              <w:keepNext w:val="0"/>
              <w:keepLines w:val="0"/>
              <w:widowControl/>
              <w:suppressLineNumbers w:val="0"/>
              <w:spacing w:after="160" w:line="259" w:lineRule="auto"/>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5.拆除后要求场清地平，无建筑垃圾及渣土残留，按照土地性质达到相应验收标准并验收合格。</w:t>
            </w:r>
          </w:p>
        </w:tc>
        <w:tc>
          <w:tcPr>
            <w:tcW w:w="5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m²</w:t>
            </w:r>
          </w:p>
        </w:tc>
        <w:tc>
          <w:tcPr>
            <w:tcW w:w="5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w:t>
            </w:r>
          </w:p>
        </w:tc>
        <w:tc>
          <w:tcPr>
            <w:tcW w:w="7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30.00 </w:t>
            </w:r>
          </w:p>
        </w:tc>
        <w:tc>
          <w:tcPr>
            <w:tcW w:w="87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30.00 </w:t>
            </w:r>
          </w:p>
        </w:tc>
        <w:tc>
          <w:tcPr>
            <w:tcW w:w="8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pPr>
              <w:spacing w:after="160" w:line="259" w:lineRule="auto"/>
              <w:jc w:val="center"/>
              <w:rPr>
                <w:rFonts w:hint="default" w:ascii="Arial" w:hAnsi="Arial" w:eastAsia="宋体" w:cs="Arial"/>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520" w:hRule="atLeast"/>
          <w:jc w:val="center"/>
        </w:trPr>
        <w:tc>
          <w:tcPr>
            <w:tcW w:w="4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12</w:t>
            </w:r>
          </w:p>
        </w:tc>
        <w:tc>
          <w:tcPr>
            <w:tcW w:w="14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沥青、混凝土等硬化道路拆除(200mm厚以内)</w:t>
            </w:r>
          </w:p>
        </w:tc>
        <w:tc>
          <w:tcPr>
            <w:tcW w:w="40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left"/>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1.沥青、混凝土等硬化道路拆除，包含拆除基层及面层等</w:t>
            </w:r>
          </w:p>
          <w:p>
            <w:pPr>
              <w:keepNext w:val="0"/>
              <w:keepLines w:val="0"/>
              <w:widowControl/>
              <w:suppressLineNumbers w:val="0"/>
              <w:spacing w:after="160" w:line="259" w:lineRule="auto"/>
              <w:jc w:val="left"/>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2.拆除厚度200mm以内</w:t>
            </w:r>
          </w:p>
          <w:p>
            <w:pPr>
              <w:keepNext w:val="0"/>
              <w:keepLines w:val="0"/>
              <w:widowControl/>
              <w:suppressLineNumbers w:val="0"/>
              <w:spacing w:after="160" w:line="259" w:lineRule="auto"/>
              <w:jc w:val="left"/>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3.包含所有需拆除物、包含但不限于地面及地下基础等</w:t>
            </w:r>
          </w:p>
          <w:p>
            <w:pPr>
              <w:keepNext w:val="0"/>
              <w:keepLines w:val="0"/>
              <w:widowControl/>
              <w:suppressLineNumbers w:val="0"/>
              <w:spacing w:after="160" w:line="259" w:lineRule="auto"/>
              <w:jc w:val="left"/>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4.各种拆除方式的主体破碎、拆除、挖出，毗邻建筑物的保护，渣土原地清理、场内倒运、集中堆放、收方归堆、装车、场地平整、洒水、苫盖等</w:t>
            </w:r>
          </w:p>
          <w:p>
            <w:pPr>
              <w:keepNext w:val="0"/>
              <w:keepLines w:val="0"/>
              <w:widowControl/>
              <w:suppressLineNumbers w:val="0"/>
              <w:spacing w:after="160" w:line="259" w:lineRule="auto"/>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5.拆除后要求场清地平，无建筑垃圾及渣土残留，需要按照土地性质达到相应验收标准并验收合格。</w:t>
            </w:r>
          </w:p>
        </w:tc>
        <w:tc>
          <w:tcPr>
            <w:tcW w:w="5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m²</w:t>
            </w:r>
          </w:p>
        </w:tc>
        <w:tc>
          <w:tcPr>
            <w:tcW w:w="5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w:t>
            </w:r>
          </w:p>
        </w:tc>
        <w:tc>
          <w:tcPr>
            <w:tcW w:w="7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20.00 </w:t>
            </w:r>
          </w:p>
        </w:tc>
        <w:tc>
          <w:tcPr>
            <w:tcW w:w="87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20.00 </w:t>
            </w:r>
          </w:p>
        </w:tc>
        <w:tc>
          <w:tcPr>
            <w:tcW w:w="8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pPr>
              <w:spacing w:after="160" w:line="259" w:lineRule="auto"/>
              <w:jc w:val="center"/>
              <w:rPr>
                <w:rFonts w:hint="default" w:ascii="Arial" w:hAnsi="Arial" w:eastAsia="宋体" w:cs="Arial"/>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820" w:hRule="atLeast"/>
          <w:jc w:val="center"/>
        </w:trPr>
        <w:tc>
          <w:tcPr>
            <w:tcW w:w="4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13</w:t>
            </w:r>
          </w:p>
        </w:tc>
        <w:tc>
          <w:tcPr>
            <w:tcW w:w="14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沥青、混凝土等硬化道路拆除(200mm厚以上)</w:t>
            </w:r>
          </w:p>
        </w:tc>
        <w:tc>
          <w:tcPr>
            <w:tcW w:w="40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left"/>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1.沥青、混凝土等硬化道路机械拆除旧路结构</w:t>
            </w:r>
          </w:p>
          <w:p>
            <w:pPr>
              <w:keepNext w:val="0"/>
              <w:keepLines w:val="0"/>
              <w:widowControl/>
              <w:suppressLineNumbers w:val="0"/>
              <w:spacing w:after="160" w:line="259" w:lineRule="auto"/>
              <w:jc w:val="left"/>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2.拆除厚度200mm以上</w:t>
            </w:r>
          </w:p>
          <w:p>
            <w:pPr>
              <w:keepNext w:val="0"/>
              <w:keepLines w:val="0"/>
              <w:widowControl/>
              <w:suppressLineNumbers w:val="0"/>
              <w:spacing w:after="160" w:line="259" w:lineRule="auto"/>
              <w:jc w:val="left"/>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3.所有需拆除物、包含但不限于地面及地下基础等</w:t>
            </w:r>
          </w:p>
          <w:p>
            <w:pPr>
              <w:keepNext w:val="0"/>
              <w:keepLines w:val="0"/>
              <w:widowControl/>
              <w:suppressLineNumbers w:val="0"/>
              <w:spacing w:after="160" w:line="259" w:lineRule="auto"/>
              <w:jc w:val="left"/>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4.各种拆除方式的主体破碎、拆除、挖出，毗邻建筑物的保护，渣土原地清理、场内倒运、集中堆放、收方归堆、装车、场地平整、洒水、苫盖等</w:t>
            </w:r>
          </w:p>
          <w:p>
            <w:pPr>
              <w:keepNext w:val="0"/>
              <w:keepLines w:val="0"/>
              <w:widowControl/>
              <w:suppressLineNumbers w:val="0"/>
              <w:spacing w:after="160" w:line="259" w:lineRule="auto"/>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5.拆除后要求场清地平，无建筑垃圾及渣土残留，需要按照土地性质达到相应验收标准并验收合格。</w:t>
            </w:r>
          </w:p>
        </w:tc>
        <w:tc>
          <w:tcPr>
            <w:tcW w:w="5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m²</w:t>
            </w:r>
          </w:p>
        </w:tc>
        <w:tc>
          <w:tcPr>
            <w:tcW w:w="5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w:t>
            </w:r>
          </w:p>
        </w:tc>
        <w:tc>
          <w:tcPr>
            <w:tcW w:w="7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30.00 </w:t>
            </w:r>
          </w:p>
        </w:tc>
        <w:tc>
          <w:tcPr>
            <w:tcW w:w="87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30.00 </w:t>
            </w:r>
          </w:p>
        </w:tc>
        <w:tc>
          <w:tcPr>
            <w:tcW w:w="8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pPr>
              <w:spacing w:after="160" w:line="259" w:lineRule="auto"/>
              <w:jc w:val="center"/>
              <w:rPr>
                <w:rFonts w:hint="default" w:ascii="Arial" w:hAnsi="Arial" w:eastAsia="宋体" w:cs="Arial"/>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960" w:hRule="atLeast"/>
          <w:jc w:val="center"/>
        </w:trPr>
        <w:tc>
          <w:tcPr>
            <w:tcW w:w="4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14</w:t>
            </w:r>
          </w:p>
        </w:tc>
        <w:tc>
          <w:tcPr>
            <w:tcW w:w="14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焦渣、石子等铺设道路拆除(200mm厚以内)</w:t>
            </w:r>
          </w:p>
        </w:tc>
        <w:tc>
          <w:tcPr>
            <w:tcW w:w="40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left"/>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1.焦渣、石子等铺设道路拆除</w:t>
            </w:r>
          </w:p>
          <w:p>
            <w:pPr>
              <w:keepNext w:val="0"/>
              <w:keepLines w:val="0"/>
              <w:widowControl/>
              <w:suppressLineNumbers w:val="0"/>
              <w:spacing w:after="160" w:line="259" w:lineRule="auto"/>
              <w:jc w:val="left"/>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2.拆除厚度200mm以内</w:t>
            </w:r>
          </w:p>
          <w:p>
            <w:pPr>
              <w:keepNext w:val="0"/>
              <w:keepLines w:val="0"/>
              <w:widowControl/>
              <w:suppressLineNumbers w:val="0"/>
              <w:spacing w:after="160" w:line="259" w:lineRule="auto"/>
              <w:jc w:val="left"/>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3.所有需拆除物、包含但不限于地面及地下基础等</w:t>
            </w:r>
          </w:p>
          <w:p>
            <w:pPr>
              <w:keepNext w:val="0"/>
              <w:keepLines w:val="0"/>
              <w:widowControl/>
              <w:suppressLineNumbers w:val="0"/>
              <w:spacing w:after="160" w:line="259" w:lineRule="auto"/>
              <w:jc w:val="left"/>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4.各种拆除方式的主体破碎、拆除、挖出，毗邻建筑物的保护，渣土原地清理、场内倒运、集中堆放、收方归堆、装车、场地平整、洒水、苫盖等</w:t>
            </w:r>
          </w:p>
          <w:p>
            <w:pPr>
              <w:keepNext w:val="0"/>
              <w:keepLines w:val="0"/>
              <w:widowControl/>
              <w:suppressLineNumbers w:val="0"/>
              <w:spacing w:after="160" w:line="259" w:lineRule="auto"/>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5.拆除后要求场清地平，无建筑垃圾及渣土残留，需要按照土地性质达到相应验收标准并验收合格。</w:t>
            </w:r>
          </w:p>
        </w:tc>
        <w:tc>
          <w:tcPr>
            <w:tcW w:w="5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m²</w:t>
            </w:r>
          </w:p>
        </w:tc>
        <w:tc>
          <w:tcPr>
            <w:tcW w:w="5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w:t>
            </w:r>
          </w:p>
        </w:tc>
        <w:tc>
          <w:tcPr>
            <w:tcW w:w="7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18.00 </w:t>
            </w:r>
          </w:p>
        </w:tc>
        <w:tc>
          <w:tcPr>
            <w:tcW w:w="87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18.00 </w:t>
            </w:r>
          </w:p>
        </w:tc>
        <w:tc>
          <w:tcPr>
            <w:tcW w:w="8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pPr>
              <w:spacing w:after="160" w:line="259" w:lineRule="auto"/>
              <w:jc w:val="center"/>
              <w:rPr>
                <w:rFonts w:hint="default" w:ascii="Arial" w:hAnsi="Arial" w:eastAsia="宋体" w:cs="Arial"/>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880" w:hRule="atLeast"/>
          <w:jc w:val="center"/>
        </w:trPr>
        <w:tc>
          <w:tcPr>
            <w:tcW w:w="4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15</w:t>
            </w:r>
          </w:p>
        </w:tc>
        <w:tc>
          <w:tcPr>
            <w:tcW w:w="14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焦渣、石子等铺设道路拆除(200mm厚以上)</w:t>
            </w:r>
          </w:p>
        </w:tc>
        <w:tc>
          <w:tcPr>
            <w:tcW w:w="40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left"/>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1.焦渣、石子等铺设道路拆除</w:t>
            </w:r>
          </w:p>
          <w:p>
            <w:pPr>
              <w:keepNext w:val="0"/>
              <w:keepLines w:val="0"/>
              <w:widowControl/>
              <w:suppressLineNumbers w:val="0"/>
              <w:spacing w:after="160" w:line="259" w:lineRule="auto"/>
              <w:jc w:val="left"/>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2.拆除厚度200mm以上</w:t>
            </w:r>
          </w:p>
          <w:p>
            <w:pPr>
              <w:keepNext w:val="0"/>
              <w:keepLines w:val="0"/>
              <w:widowControl/>
              <w:suppressLineNumbers w:val="0"/>
              <w:spacing w:after="160" w:line="259" w:lineRule="auto"/>
              <w:jc w:val="left"/>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3.所有需拆除物、包含但不限于地面及地下基础等</w:t>
            </w:r>
          </w:p>
          <w:p>
            <w:pPr>
              <w:keepNext w:val="0"/>
              <w:keepLines w:val="0"/>
              <w:widowControl/>
              <w:suppressLineNumbers w:val="0"/>
              <w:spacing w:after="160" w:line="259" w:lineRule="auto"/>
              <w:jc w:val="left"/>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4.各种拆除方式的主体破碎、拆除、挖出，毗邻建筑物的保护，渣土原地清理、场内倒运、集中堆放、收方归堆、装车、场地平整、洒水、苫盖等</w:t>
            </w:r>
          </w:p>
          <w:p>
            <w:pPr>
              <w:keepNext w:val="0"/>
              <w:keepLines w:val="0"/>
              <w:widowControl/>
              <w:suppressLineNumbers w:val="0"/>
              <w:spacing w:after="160" w:line="259" w:lineRule="auto"/>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5.拆除后要求场清地平，无建筑垃圾及渣土残留，需要按照土地性质达到相应验收标准并验收合格。</w:t>
            </w:r>
          </w:p>
        </w:tc>
        <w:tc>
          <w:tcPr>
            <w:tcW w:w="5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m²</w:t>
            </w:r>
          </w:p>
        </w:tc>
        <w:tc>
          <w:tcPr>
            <w:tcW w:w="5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w:t>
            </w:r>
          </w:p>
        </w:tc>
        <w:tc>
          <w:tcPr>
            <w:tcW w:w="7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25.00 </w:t>
            </w:r>
          </w:p>
        </w:tc>
        <w:tc>
          <w:tcPr>
            <w:tcW w:w="87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25.00 </w:t>
            </w:r>
          </w:p>
        </w:tc>
        <w:tc>
          <w:tcPr>
            <w:tcW w:w="8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pPr>
              <w:spacing w:after="160" w:line="259" w:lineRule="auto"/>
              <w:jc w:val="center"/>
              <w:rPr>
                <w:rFonts w:hint="default" w:ascii="Arial" w:hAnsi="Arial" w:eastAsia="宋体" w:cs="Arial"/>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600" w:hRule="atLeast"/>
          <w:jc w:val="center"/>
        </w:trPr>
        <w:tc>
          <w:tcPr>
            <w:tcW w:w="4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16</w:t>
            </w:r>
          </w:p>
        </w:tc>
        <w:tc>
          <w:tcPr>
            <w:tcW w:w="14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围墙拆除</w:t>
            </w:r>
          </w:p>
        </w:tc>
        <w:tc>
          <w:tcPr>
            <w:tcW w:w="40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left"/>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1.围墙拆除</w:t>
            </w:r>
          </w:p>
          <w:p>
            <w:pPr>
              <w:keepNext w:val="0"/>
              <w:keepLines w:val="0"/>
              <w:widowControl/>
              <w:suppressLineNumbers w:val="0"/>
              <w:spacing w:after="160" w:line="259" w:lineRule="auto"/>
              <w:jc w:val="left"/>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2.围墙材质、厚度及高度等综合考虑</w:t>
            </w:r>
          </w:p>
          <w:p>
            <w:pPr>
              <w:keepNext w:val="0"/>
              <w:keepLines w:val="0"/>
              <w:widowControl/>
              <w:suppressLineNumbers w:val="0"/>
              <w:spacing w:after="160" w:line="259" w:lineRule="auto"/>
              <w:jc w:val="left"/>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3.包含地上及地下所有需拆除物、包含但不限于地上建筑物及地下基础等</w:t>
            </w:r>
          </w:p>
          <w:p>
            <w:pPr>
              <w:keepNext w:val="0"/>
              <w:keepLines w:val="0"/>
              <w:widowControl/>
              <w:suppressLineNumbers w:val="0"/>
              <w:spacing w:after="160" w:line="259" w:lineRule="auto"/>
              <w:jc w:val="left"/>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4.各种拆除方式的主体破碎、拆除、挖出，毗邻建筑物的保护，渣土原地清理、场内倒运、集中堆放、收方归堆、装车、场地平整、洒水、苫盖等</w:t>
            </w:r>
          </w:p>
          <w:p>
            <w:pPr>
              <w:keepNext w:val="0"/>
              <w:keepLines w:val="0"/>
              <w:widowControl/>
              <w:suppressLineNumbers w:val="0"/>
              <w:spacing w:after="160" w:line="259" w:lineRule="auto"/>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5.拆除后要求场清地平，无建筑垃圾及渣土残留，需要按照土地性质达到相应验收标准并验收合格。</w:t>
            </w:r>
          </w:p>
        </w:tc>
        <w:tc>
          <w:tcPr>
            <w:tcW w:w="5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m³</w:t>
            </w:r>
          </w:p>
        </w:tc>
        <w:tc>
          <w:tcPr>
            <w:tcW w:w="5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w:t>
            </w:r>
          </w:p>
        </w:tc>
        <w:tc>
          <w:tcPr>
            <w:tcW w:w="7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50.00 </w:t>
            </w:r>
          </w:p>
        </w:tc>
        <w:tc>
          <w:tcPr>
            <w:tcW w:w="87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50.00 </w:t>
            </w:r>
          </w:p>
        </w:tc>
        <w:tc>
          <w:tcPr>
            <w:tcW w:w="8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after="160" w:line="259" w:lineRule="auto"/>
              <w:jc w:val="cente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380" w:hRule="atLeast"/>
          <w:jc w:val="center"/>
        </w:trPr>
        <w:tc>
          <w:tcPr>
            <w:tcW w:w="4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17</w:t>
            </w:r>
          </w:p>
        </w:tc>
        <w:tc>
          <w:tcPr>
            <w:tcW w:w="14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钢筋混凝土构件(独立基础等)拆除</w:t>
            </w:r>
          </w:p>
        </w:tc>
        <w:tc>
          <w:tcPr>
            <w:tcW w:w="40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left"/>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1.单独的钢筋混凝土构件(独立基础等)拆除</w:t>
            </w:r>
          </w:p>
          <w:p>
            <w:pPr>
              <w:keepNext w:val="0"/>
              <w:keepLines w:val="0"/>
              <w:widowControl/>
              <w:suppressLineNumbers w:val="0"/>
              <w:spacing w:after="160" w:line="259" w:lineRule="auto"/>
              <w:jc w:val="left"/>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2.包含开挖、破除，回填等</w:t>
            </w:r>
          </w:p>
          <w:p>
            <w:pPr>
              <w:keepNext w:val="0"/>
              <w:keepLines w:val="0"/>
              <w:widowControl/>
              <w:suppressLineNumbers w:val="0"/>
              <w:spacing w:after="160" w:line="259" w:lineRule="auto"/>
              <w:jc w:val="left"/>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3.包含所有需拆除物、包含但不限于地面以上及地下混凝土构件基础等</w:t>
            </w:r>
          </w:p>
          <w:p>
            <w:pPr>
              <w:keepNext w:val="0"/>
              <w:keepLines w:val="0"/>
              <w:widowControl/>
              <w:suppressLineNumbers w:val="0"/>
              <w:spacing w:after="160" w:line="259" w:lineRule="auto"/>
              <w:jc w:val="left"/>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4.各种拆除方式的主体破碎、拆除、挖出，毗邻建筑物的保护，渣土原地清理、场内倒运、集中堆放、收方归堆、装车、场地平整、洒水、苫盖等</w:t>
            </w:r>
          </w:p>
          <w:p>
            <w:pPr>
              <w:keepNext w:val="0"/>
              <w:keepLines w:val="0"/>
              <w:widowControl/>
              <w:suppressLineNumbers w:val="0"/>
              <w:spacing w:after="160" w:line="259" w:lineRule="auto"/>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5.拆除后要求场清地平，无建筑垃圾及渣土残留，需要按照土地性质达到相应验收标准并验收合格。</w:t>
            </w:r>
          </w:p>
        </w:tc>
        <w:tc>
          <w:tcPr>
            <w:tcW w:w="5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m³</w:t>
            </w:r>
          </w:p>
        </w:tc>
        <w:tc>
          <w:tcPr>
            <w:tcW w:w="5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w:t>
            </w:r>
          </w:p>
        </w:tc>
        <w:tc>
          <w:tcPr>
            <w:tcW w:w="7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80.00 </w:t>
            </w:r>
          </w:p>
        </w:tc>
        <w:tc>
          <w:tcPr>
            <w:tcW w:w="87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80.00 </w:t>
            </w:r>
          </w:p>
        </w:tc>
        <w:tc>
          <w:tcPr>
            <w:tcW w:w="8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after="160" w:line="259" w:lineRule="auto"/>
              <w:jc w:val="cente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340" w:hRule="atLeast"/>
          <w:jc w:val="center"/>
        </w:trPr>
        <w:tc>
          <w:tcPr>
            <w:tcW w:w="4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18</w:t>
            </w:r>
          </w:p>
        </w:tc>
        <w:tc>
          <w:tcPr>
            <w:tcW w:w="14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门拆除</w:t>
            </w:r>
          </w:p>
        </w:tc>
        <w:tc>
          <w:tcPr>
            <w:tcW w:w="40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left"/>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1.整樘各类型门拆除</w:t>
            </w:r>
          </w:p>
          <w:p>
            <w:pPr>
              <w:keepNext w:val="0"/>
              <w:keepLines w:val="0"/>
              <w:widowControl/>
              <w:suppressLineNumbers w:val="0"/>
              <w:spacing w:after="160" w:line="259" w:lineRule="auto"/>
              <w:jc w:val="left"/>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2.拆除包含：框、扇、五金件等，包含场内倒运、集中堆放、码放整齐、苫盖等</w:t>
            </w:r>
          </w:p>
          <w:p>
            <w:pPr>
              <w:keepNext w:val="0"/>
              <w:keepLines w:val="0"/>
              <w:widowControl/>
              <w:suppressLineNumbers w:val="0"/>
              <w:spacing w:after="160" w:line="259" w:lineRule="auto"/>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3.拆除文明施工及拆除后场地清理等。</w:t>
            </w:r>
          </w:p>
        </w:tc>
        <w:tc>
          <w:tcPr>
            <w:tcW w:w="5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樘</w:t>
            </w:r>
          </w:p>
        </w:tc>
        <w:tc>
          <w:tcPr>
            <w:tcW w:w="5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w:t>
            </w:r>
          </w:p>
        </w:tc>
        <w:tc>
          <w:tcPr>
            <w:tcW w:w="7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50.00 </w:t>
            </w:r>
          </w:p>
        </w:tc>
        <w:tc>
          <w:tcPr>
            <w:tcW w:w="87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50.00 </w:t>
            </w:r>
          </w:p>
        </w:tc>
        <w:tc>
          <w:tcPr>
            <w:tcW w:w="8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after="160" w:line="259" w:lineRule="auto"/>
              <w:jc w:val="cente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440" w:hRule="atLeast"/>
          <w:jc w:val="center"/>
        </w:trPr>
        <w:tc>
          <w:tcPr>
            <w:tcW w:w="4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19</w:t>
            </w:r>
          </w:p>
        </w:tc>
        <w:tc>
          <w:tcPr>
            <w:tcW w:w="14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窗拆除</w:t>
            </w:r>
          </w:p>
        </w:tc>
        <w:tc>
          <w:tcPr>
            <w:tcW w:w="40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left"/>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1.整樘各类型窗拆除</w:t>
            </w:r>
          </w:p>
          <w:p>
            <w:pPr>
              <w:keepNext w:val="0"/>
              <w:keepLines w:val="0"/>
              <w:widowControl/>
              <w:suppressLineNumbers w:val="0"/>
              <w:spacing w:after="160" w:line="259" w:lineRule="auto"/>
              <w:jc w:val="left"/>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2.拆除包含：框、扇、五金件等，包含场内倒运、集中堆放、码放整齐、苫盖等</w:t>
            </w:r>
          </w:p>
          <w:p>
            <w:pPr>
              <w:keepNext w:val="0"/>
              <w:keepLines w:val="0"/>
              <w:widowControl/>
              <w:suppressLineNumbers w:val="0"/>
              <w:spacing w:after="160" w:line="259" w:lineRule="auto"/>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3.拆除文明施工及拆除后场地清理等。</w:t>
            </w:r>
          </w:p>
        </w:tc>
        <w:tc>
          <w:tcPr>
            <w:tcW w:w="5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樘</w:t>
            </w:r>
          </w:p>
        </w:tc>
        <w:tc>
          <w:tcPr>
            <w:tcW w:w="5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w:t>
            </w:r>
          </w:p>
        </w:tc>
        <w:tc>
          <w:tcPr>
            <w:tcW w:w="7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60.00 </w:t>
            </w:r>
          </w:p>
        </w:tc>
        <w:tc>
          <w:tcPr>
            <w:tcW w:w="87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60.00 </w:t>
            </w:r>
          </w:p>
        </w:tc>
        <w:tc>
          <w:tcPr>
            <w:tcW w:w="8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after="160" w:line="259" w:lineRule="auto"/>
              <w:jc w:val="cente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040" w:hRule="atLeast"/>
          <w:jc w:val="center"/>
        </w:trPr>
        <w:tc>
          <w:tcPr>
            <w:tcW w:w="4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20</w:t>
            </w:r>
          </w:p>
        </w:tc>
        <w:tc>
          <w:tcPr>
            <w:tcW w:w="14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镇域外渣土清运</w:t>
            </w:r>
          </w:p>
        </w:tc>
        <w:tc>
          <w:tcPr>
            <w:tcW w:w="40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1.镇域外渣土清运，依据国家规范执行，渣土外运至镇域外正规消纳场所，包含车辆等手续办理的相关费用，不含渣土处置费。</w:t>
            </w:r>
          </w:p>
        </w:tc>
        <w:tc>
          <w:tcPr>
            <w:tcW w:w="5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m³</w:t>
            </w:r>
          </w:p>
        </w:tc>
        <w:tc>
          <w:tcPr>
            <w:tcW w:w="5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w:t>
            </w:r>
          </w:p>
        </w:tc>
        <w:tc>
          <w:tcPr>
            <w:tcW w:w="7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20.00 </w:t>
            </w:r>
          </w:p>
        </w:tc>
        <w:tc>
          <w:tcPr>
            <w:tcW w:w="87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20.00 </w:t>
            </w:r>
          </w:p>
        </w:tc>
        <w:tc>
          <w:tcPr>
            <w:tcW w:w="8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pPr>
              <w:spacing w:after="160" w:line="259" w:lineRule="auto"/>
              <w:jc w:val="center"/>
              <w:rPr>
                <w:rFonts w:hint="default" w:ascii="Arial" w:hAnsi="Arial" w:eastAsia="宋体" w:cs="Arial"/>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840" w:hRule="atLeast"/>
          <w:jc w:val="center"/>
        </w:trPr>
        <w:tc>
          <w:tcPr>
            <w:tcW w:w="4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21</w:t>
            </w:r>
          </w:p>
        </w:tc>
        <w:tc>
          <w:tcPr>
            <w:tcW w:w="14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镇域外渣土处置</w:t>
            </w:r>
          </w:p>
        </w:tc>
        <w:tc>
          <w:tcPr>
            <w:tcW w:w="40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1.渣土处置依据国家规范执行，包含手续办理等相关费用。</w:t>
            </w:r>
          </w:p>
        </w:tc>
        <w:tc>
          <w:tcPr>
            <w:tcW w:w="5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吨</w:t>
            </w:r>
          </w:p>
        </w:tc>
        <w:tc>
          <w:tcPr>
            <w:tcW w:w="5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w:t>
            </w:r>
          </w:p>
        </w:tc>
        <w:tc>
          <w:tcPr>
            <w:tcW w:w="7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45.00 </w:t>
            </w:r>
          </w:p>
        </w:tc>
        <w:tc>
          <w:tcPr>
            <w:tcW w:w="87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45.00 </w:t>
            </w:r>
          </w:p>
        </w:tc>
        <w:tc>
          <w:tcPr>
            <w:tcW w:w="8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pPr>
              <w:spacing w:after="160" w:line="259" w:lineRule="auto"/>
              <w:jc w:val="center"/>
              <w:rPr>
                <w:rFonts w:hint="default" w:ascii="Arial" w:hAnsi="Arial" w:eastAsia="宋体" w:cs="Arial"/>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40" w:hRule="atLeast"/>
          <w:jc w:val="center"/>
        </w:trPr>
        <w:tc>
          <w:tcPr>
            <w:tcW w:w="4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22</w:t>
            </w:r>
          </w:p>
        </w:tc>
        <w:tc>
          <w:tcPr>
            <w:tcW w:w="14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镇域内渣土清运、处置</w:t>
            </w:r>
          </w:p>
        </w:tc>
        <w:tc>
          <w:tcPr>
            <w:tcW w:w="40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1.镇域内渣土清运，依据国家规范执行，渣土外运至镇域内正规消纳场所，包含车辆等手续办理的相关费用，2.渣土处置依据国家规范执行，包含手续办理等相关费用。</w:t>
            </w:r>
          </w:p>
        </w:tc>
        <w:tc>
          <w:tcPr>
            <w:tcW w:w="5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m³</w:t>
            </w:r>
          </w:p>
        </w:tc>
        <w:tc>
          <w:tcPr>
            <w:tcW w:w="5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w:t>
            </w:r>
          </w:p>
        </w:tc>
        <w:tc>
          <w:tcPr>
            <w:tcW w:w="7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55.00 </w:t>
            </w:r>
          </w:p>
        </w:tc>
        <w:tc>
          <w:tcPr>
            <w:tcW w:w="87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55.00 </w:t>
            </w:r>
          </w:p>
        </w:tc>
        <w:tc>
          <w:tcPr>
            <w:tcW w:w="8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pPr>
              <w:spacing w:after="160" w:line="259" w:lineRule="auto"/>
              <w:jc w:val="center"/>
              <w:rPr>
                <w:rFonts w:hint="default" w:ascii="Arial" w:hAnsi="Arial" w:eastAsia="宋体" w:cs="Arial"/>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020" w:hRule="atLeast"/>
          <w:jc w:val="center"/>
        </w:trPr>
        <w:tc>
          <w:tcPr>
            <w:tcW w:w="4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23</w:t>
            </w:r>
          </w:p>
        </w:tc>
        <w:tc>
          <w:tcPr>
            <w:tcW w:w="14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平整场地</w:t>
            </w:r>
          </w:p>
        </w:tc>
        <w:tc>
          <w:tcPr>
            <w:tcW w:w="40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left"/>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1.平均厚度：±30cm挖填找平</w:t>
            </w:r>
          </w:p>
          <w:p>
            <w:pPr>
              <w:keepNext w:val="0"/>
              <w:keepLines w:val="0"/>
              <w:widowControl/>
              <w:suppressLineNumbers w:val="0"/>
              <w:spacing w:after="160" w:line="259" w:lineRule="auto"/>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2.按照土地性质达到相应验收标准并验收合格。</w:t>
            </w:r>
          </w:p>
        </w:tc>
        <w:tc>
          <w:tcPr>
            <w:tcW w:w="5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m³</w:t>
            </w:r>
          </w:p>
        </w:tc>
        <w:tc>
          <w:tcPr>
            <w:tcW w:w="5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w:t>
            </w:r>
          </w:p>
        </w:tc>
        <w:tc>
          <w:tcPr>
            <w:tcW w:w="7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2.00 </w:t>
            </w:r>
          </w:p>
        </w:tc>
        <w:tc>
          <w:tcPr>
            <w:tcW w:w="87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2.00 </w:t>
            </w:r>
          </w:p>
        </w:tc>
        <w:tc>
          <w:tcPr>
            <w:tcW w:w="8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after="160" w:line="259" w:lineRule="auto"/>
              <w:jc w:val="cente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120" w:hRule="atLeast"/>
          <w:jc w:val="center"/>
        </w:trPr>
        <w:tc>
          <w:tcPr>
            <w:tcW w:w="4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24</w:t>
            </w:r>
          </w:p>
        </w:tc>
        <w:tc>
          <w:tcPr>
            <w:tcW w:w="1477"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回填方</w:t>
            </w:r>
          </w:p>
        </w:tc>
        <w:tc>
          <w:tcPr>
            <w:tcW w:w="4002"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left"/>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1.包含购土及回填、平整</w:t>
            </w:r>
          </w:p>
          <w:p>
            <w:pPr>
              <w:keepNext w:val="0"/>
              <w:keepLines w:val="0"/>
              <w:widowControl/>
              <w:suppressLineNumbers w:val="0"/>
              <w:spacing w:after="160" w:line="259" w:lineRule="auto"/>
              <w:jc w:val="left"/>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2.取土运距；自行考虑</w:t>
            </w:r>
          </w:p>
          <w:p>
            <w:pPr>
              <w:keepNext w:val="0"/>
              <w:keepLines w:val="0"/>
              <w:widowControl/>
              <w:suppressLineNumbers w:val="0"/>
              <w:spacing w:after="160" w:line="259" w:lineRule="auto"/>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3.按照土地性质达到相应验收标准并验收合格。</w:t>
            </w:r>
          </w:p>
        </w:tc>
        <w:tc>
          <w:tcPr>
            <w:tcW w:w="508"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m³</w:t>
            </w:r>
          </w:p>
        </w:tc>
        <w:tc>
          <w:tcPr>
            <w:tcW w:w="577"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w:t>
            </w:r>
          </w:p>
        </w:tc>
        <w:tc>
          <w:tcPr>
            <w:tcW w:w="755"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20.00 </w:t>
            </w:r>
          </w:p>
        </w:tc>
        <w:tc>
          <w:tcPr>
            <w:tcW w:w="870"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20.00 </w:t>
            </w:r>
          </w:p>
        </w:tc>
        <w:tc>
          <w:tcPr>
            <w:tcW w:w="85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top"/>
          </w:tcPr>
          <w:p>
            <w:pPr>
              <w:spacing w:after="160" w:line="259" w:lineRule="auto"/>
              <w:jc w:val="center"/>
              <w:rPr>
                <w:rFonts w:hint="default" w:ascii="Arial" w:hAnsi="Arial" w:eastAsia="宋体" w:cs="Arial"/>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620" w:hRule="atLeast"/>
          <w:jc w:val="center"/>
        </w:trPr>
        <w:tc>
          <w:tcPr>
            <w:tcW w:w="4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pPr>
              <w:spacing w:after="160" w:line="259" w:lineRule="auto"/>
              <w:jc w:val="left"/>
              <w:rPr>
                <w:rFonts w:hint="eastAsia" w:ascii="宋体" w:hAnsi="宋体" w:eastAsia="宋体" w:cs="宋体"/>
                <w:i w:val="0"/>
                <w:color w:val="000000"/>
                <w:sz w:val="24"/>
                <w:szCs w:val="24"/>
                <w:u w:val="none"/>
              </w:rPr>
            </w:pPr>
          </w:p>
        </w:tc>
        <w:tc>
          <w:tcPr>
            <w:tcW w:w="14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合计</w:t>
            </w:r>
          </w:p>
        </w:tc>
        <w:tc>
          <w:tcPr>
            <w:tcW w:w="40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pPr>
              <w:spacing w:after="160" w:line="259" w:lineRule="auto"/>
              <w:jc w:val="left"/>
              <w:rPr>
                <w:rFonts w:hint="eastAsia" w:ascii="宋体" w:hAnsi="宋体" w:eastAsia="宋体" w:cs="宋体"/>
                <w:i w:val="0"/>
                <w:color w:val="000000"/>
                <w:sz w:val="24"/>
                <w:szCs w:val="24"/>
                <w:u w:val="none"/>
              </w:rPr>
            </w:pPr>
          </w:p>
        </w:tc>
        <w:tc>
          <w:tcPr>
            <w:tcW w:w="5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after="160" w:line="259" w:lineRule="auto"/>
              <w:jc w:val="center"/>
              <w:rPr>
                <w:rFonts w:hint="eastAsia" w:ascii="宋体" w:hAnsi="宋体" w:eastAsia="宋体" w:cs="宋体"/>
                <w:i w:val="0"/>
                <w:color w:val="000000"/>
                <w:sz w:val="24"/>
                <w:szCs w:val="24"/>
                <w:u w:val="none"/>
              </w:rPr>
            </w:pPr>
          </w:p>
        </w:tc>
        <w:tc>
          <w:tcPr>
            <w:tcW w:w="5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after="160" w:line="259" w:lineRule="auto"/>
              <w:jc w:val="center"/>
              <w:rPr>
                <w:rFonts w:hint="eastAsia" w:ascii="宋体" w:hAnsi="宋体" w:eastAsia="宋体" w:cs="宋体"/>
                <w:i w:val="0"/>
                <w:color w:val="000000"/>
                <w:sz w:val="24"/>
                <w:szCs w:val="24"/>
                <w:u w:val="none"/>
              </w:rPr>
            </w:pPr>
          </w:p>
        </w:tc>
        <w:tc>
          <w:tcPr>
            <w:tcW w:w="7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after="160" w:line="259" w:lineRule="auto"/>
              <w:jc w:val="center"/>
              <w:rPr>
                <w:rFonts w:hint="eastAsia" w:ascii="宋体" w:hAnsi="宋体" w:eastAsia="宋体" w:cs="宋体"/>
                <w:i w:val="0"/>
                <w:color w:val="000000"/>
                <w:sz w:val="24"/>
                <w:szCs w:val="24"/>
                <w:u w:val="none"/>
              </w:rPr>
            </w:pPr>
          </w:p>
        </w:tc>
        <w:tc>
          <w:tcPr>
            <w:tcW w:w="87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after="160" w:line="259"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1328.00 </w:t>
            </w:r>
          </w:p>
        </w:tc>
        <w:tc>
          <w:tcPr>
            <w:tcW w:w="8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pPr>
              <w:spacing w:after="160" w:line="259" w:lineRule="auto"/>
              <w:jc w:val="center"/>
              <w:rPr>
                <w:rFonts w:hint="default" w:ascii="Arial" w:hAnsi="Arial" w:eastAsia="宋体" w:cs="Arial"/>
                <w:i w:val="0"/>
                <w:color w:val="000000"/>
                <w:sz w:val="24"/>
                <w:szCs w:val="24"/>
                <w:u w:val="none"/>
              </w:rPr>
            </w:pPr>
          </w:p>
        </w:tc>
      </w:tr>
    </w:tbl>
    <w:p>
      <w:pPr>
        <w:widowControl w:val="0"/>
        <w:spacing w:after="120" w:line="480" w:lineRule="exact"/>
        <w:ind w:left="0" w:leftChars="0" w:firstLine="0" w:firstLineChars="0"/>
        <w:jc w:val="both"/>
        <w:rPr>
          <w:rFonts w:hint="eastAsia" w:ascii="宋体" w:hAnsi="宋体" w:eastAsia="宋体" w:cs="宋体"/>
          <w:b w:val="0"/>
          <w:bCs w:val="0"/>
          <w:color w:val="000000"/>
          <w:kern w:val="0"/>
          <w:sz w:val="24"/>
          <w:szCs w:val="20"/>
          <w:lang w:val="en-US" w:eastAsia="zh-CN" w:bidi="ar-SA"/>
        </w:rPr>
      </w:pPr>
      <w:r>
        <w:rPr>
          <w:rFonts w:hint="eastAsia" w:ascii="宋体" w:hAnsi="宋体" w:eastAsia="宋体" w:cs="宋体"/>
          <w:b w:val="0"/>
          <w:bCs w:val="0"/>
          <w:color w:val="000000"/>
          <w:kern w:val="0"/>
          <w:sz w:val="24"/>
          <w:szCs w:val="20"/>
          <w:lang w:val="en-US" w:eastAsia="zh-CN" w:bidi="ar-SA"/>
        </w:rPr>
        <w:t>相关说明：以上价格为全费用完全价，已包含建筑物内搬运零星杂物等情况。包含但不限于办理相关正规手续的费用、人工费、材料费、机械费、措施费、管理费、安全文明施工费（达标）、风险费、利润、规费及税金等。</w:t>
      </w:r>
    </w:p>
    <w:p>
      <w:pPr>
        <w:pStyle w:val="82"/>
        <w:adjustRightInd w:val="0"/>
        <w:spacing w:line="360" w:lineRule="auto"/>
        <w:ind w:left="0" w:leftChars="0" w:firstLine="0" w:firstLineChars="0"/>
        <w:contextualSpacing/>
        <w:jc w:val="center"/>
        <w:outlineLvl w:val="9"/>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br w:type="page"/>
      </w:r>
      <w:bookmarkStart w:id="668" w:name="_Toc29479"/>
    </w:p>
    <w:p>
      <w:pPr>
        <w:pStyle w:val="82"/>
        <w:adjustRightInd w:val="0"/>
        <w:spacing w:line="360" w:lineRule="auto"/>
        <w:ind w:left="0" w:leftChars="0" w:firstLine="0" w:firstLineChars="0"/>
        <w:contextualSpacing/>
        <w:jc w:val="center"/>
        <w:outlineLvl w:val="0"/>
        <w:rPr>
          <w:rFonts w:hint="eastAsia" w:ascii="宋体" w:hAnsi="宋体" w:eastAsia="宋体" w:cs="宋体"/>
          <w:b/>
          <w:color w:val="auto"/>
          <w:sz w:val="36"/>
          <w:szCs w:val="36"/>
          <w:highlight w:val="yellow"/>
        </w:rPr>
      </w:pPr>
      <w:r>
        <w:rPr>
          <w:rFonts w:hint="eastAsia" w:ascii="宋体" w:hAnsi="宋体" w:eastAsia="宋体" w:cs="宋体"/>
          <w:b/>
          <w:color w:val="000000" w:themeColor="text1"/>
          <w:sz w:val="36"/>
          <w:szCs w:val="36"/>
          <w:highlight w:val="none"/>
          <w14:textFill>
            <w14:solidFill>
              <w14:schemeClr w14:val="tx1"/>
            </w14:solidFill>
          </w14:textFill>
        </w:rPr>
        <w:t>第</w:t>
      </w:r>
      <w:r>
        <w:rPr>
          <w:rFonts w:hint="eastAsia" w:ascii="宋体" w:hAnsi="宋体" w:eastAsia="宋体" w:cs="宋体"/>
          <w:b/>
          <w:color w:val="000000" w:themeColor="text1"/>
          <w:sz w:val="36"/>
          <w:szCs w:val="36"/>
          <w:highlight w:val="none"/>
          <w:lang w:val="en-US" w:eastAsia="zh-CN"/>
          <w14:textFill>
            <w14:solidFill>
              <w14:schemeClr w14:val="tx1"/>
            </w14:solidFill>
          </w14:textFill>
        </w:rPr>
        <w:t>五</w:t>
      </w:r>
      <w:r>
        <w:rPr>
          <w:rFonts w:hint="eastAsia" w:ascii="宋体" w:hAnsi="宋体" w:eastAsia="宋体" w:cs="宋体"/>
          <w:b/>
          <w:color w:val="000000" w:themeColor="text1"/>
          <w:sz w:val="36"/>
          <w:szCs w:val="36"/>
          <w:highlight w:val="none"/>
          <w14:textFill>
            <w14:solidFill>
              <w14:schemeClr w14:val="tx1"/>
            </w14:solidFill>
          </w14:textFill>
        </w:rPr>
        <w:t>章   合同草案条款</w:t>
      </w:r>
      <w:bookmarkEnd w:id="668"/>
    </w:p>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b w:val="0"/>
          <w:bCs w:val="0"/>
          <w:sz w:val="22"/>
          <w:szCs w:val="28"/>
          <w:lang w:eastAsia="zh-CN"/>
        </w:rPr>
      </w:pPr>
      <w:r>
        <w:rPr>
          <w:rFonts w:hint="eastAsia"/>
          <w:b w:val="0"/>
          <w:bCs w:val="0"/>
          <w:sz w:val="22"/>
          <w:szCs w:val="28"/>
          <w:lang w:eastAsia="zh-CN"/>
        </w:rPr>
        <w:t>（</w:t>
      </w:r>
      <w:r>
        <w:rPr>
          <w:b w:val="0"/>
          <w:bCs w:val="0"/>
          <w:sz w:val="22"/>
          <w:szCs w:val="28"/>
        </w:rPr>
        <w:t>此合同仅供参考</w:t>
      </w:r>
      <w:r>
        <w:rPr>
          <w:rFonts w:hint="eastAsia"/>
          <w:b w:val="0"/>
          <w:bCs w:val="0"/>
          <w:sz w:val="22"/>
          <w:szCs w:val="28"/>
          <w:lang w:eastAsia="zh-CN"/>
        </w:rPr>
        <w:t>，</w:t>
      </w:r>
      <w:r>
        <w:rPr>
          <w:b w:val="0"/>
          <w:bCs w:val="0"/>
          <w:sz w:val="22"/>
          <w:szCs w:val="28"/>
        </w:rPr>
        <w:t>以最终采购人</w:t>
      </w:r>
      <w:r>
        <w:rPr>
          <w:rFonts w:hint="eastAsia"/>
          <w:b w:val="0"/>
          <w:bCs w:val="0"/>
          <w:sz w:val="22"/>
          <w:szCs w:val="28"/>
          <w:lang w:val="en-US" w:eastAsia="zh-CN"/>
        </w:rPr>
        <w:t>经法审后</w:t>
      </w:r>
      <w:r>
        <w:rPr>
          <w:b w:val="0"/>
          <w:bCs w:val="0"/>
          <w:sz w:val="22"/>
          <w:szCs w:val="28"/>
        </w:rPr>
        <w:t>与中标供应商签定的合同条款为准进行公示</w:t>
      </w:r>
      <w:r>
        <w:rPr>
          <w:rFonts w:hint="eastAsia"/>
          <w:b w:val="0"/>
          <w:bCs w:val="0"/>
          <w:sz w:val="22"/>
          <w:szCs w:val="28"/>
          <w:lang w:eastAsia="zh-CN"/>
        </w:rPr>
        <w:t>）</w:t>
      </w:r>
    </w:p>
    <w:p>
      <w:pPr>
        <w:pStyle w:val="28"/>
        <w:rPr>
          <w:rFonts w:hint="eastAsia"/>
          <w:lang w:eastAsia="zh-CN"/>
        </w:rPr>
      </w:pPr>
    </w:p>
    <w:p>
      <w:pPr>
        <w:pStyle w:val="46"/>
        <w:rPr>
          <w:color w:val="auto"/>
        </w:rPr>
      </w:pPr>
    </w:p>
    <w:p>
      <w:pPr>
        <w:autoSpaceDE w:val="0"/>
        <w:autoSpaceDN w:val="0"/>
        <w:snapToGrid w:val="0"/>
        <w:spacing w:before="663" w:line="300" w:lineRule="exact"/>
        <w:jc w:val="center"/>
        <w:rPr>
          <w:rFonts w:ascii="宋体" w:hAnsi="宋体" w:cs="宋体"/>
          <w:b/>
          <w:bCs/>
          <w:color w:val="auto"/>
          <w:sz w:val="40"/>
          <w:szCs w:val="40"/>
        </w:rPr>
      </w:pPr>
      <w:r>
        <w:rPr>
          <w:rFonts w:hint="eastAsia" w:ascii="宋体" w:hAnsi="宋体" w:cs="宋体"/>
          <w:b/>
          <w:bCs/>
          <w:color w:val="auto"/>
          <w:sz w:val="40"/>
          <w:szCs w:val="40"/>
        </w:rPr>
        <w:t>木林镇</w:t>
      </w:r>
      <w:r>
        <w:rPr>
          <w:rFonts w:hint="eastAsia" w:ascii="宋体" w:hAnsi="宋体" w:cs="宋体"/>
          <w:b/>
          <w:bCs/>
          <w:color w:val="auto"/>
          <w:sz w:val="40"/>
          <w:szCs w:val="40"/>
          <w:lang w:val="en-US" w:eastAsia="zh-CN"/>
        </w:rPr>
        <w:t>2024年度</w:t>
      </w:r>
      <w:r>
        <w:rPr>
          <w:rFonts w:hint="eastAsia" w:ascii="宋体" w:hAnsi="宋体" w:cs="宋体"/>
          <w:b/>
          <w:bCs/>
          <w:color w:val="auto"/>
          <w:sz w:val="40"/>
          <w:szCs w:val="40"/>
        </w:rPr>
        <w:t>建筑</w:t>
      </w:r>
      <w:r>
        <w:rPr>
          <w:rFonts w:hint="eastAsia" w:ascii="宋体" w:hAnsi="宋体" w:cs="宋体"/>
          <w:b/>
          <w:bCs/>
          <w:color w:val="auto"/>
          <w:sz w:val="40"/>
          <w:szCs w:val="40"/>
          <w:lang w:val="en-US" w:eastAsia="zh-CN"/>
        </w:rPr>
        <w:t>拆除工程</w:t>
      </w:r>
      <w:r>
        <w:rPr>
          <w:rFonts w:hint="eastAsia" w:ascii="宋体" w:hAnsi="宋体" w:cs="宋体"/>
          <w:b/>
          <w:bCs/>
          <w:color w:val="auto"/>
          <w:sz w:val="40"/>
          <w:szCs w:val="40"/>
        </w:rPr>
        <w:t>项目</w:t>
      </w:r>
    </w:p>
    <w:p>
      <w:pPr>
        <w:autoSpaceDE w:val="0"/>
        <w:autoSpaceDN w:val="0"/>
        <w:snapToGrid w:val="0"/>
        <w:spacing w:before="663" w:line="300" w:lineRule="exact"/>
        <w:jc w:val="center"/>
        <w:outlineLvl w:val="1"/>
        <w:rPr>
          <w:rFonts w:ascii="宋体" w:hAnsi="宋体" w:cs="宋体"/>
          <w:b/>
          <w:bCs/>
          <w:color w:val="auto"/>
          <w:sz w:val="40"/>
          <w:szCs w:val="40"/>
        </w:rPr>
      </w:pPr>
      <w:r>
        <w:rPr>
          <w:rFonts w:hint="eastAsia" w:ascii="宋体" w:hAnsi="宋体" w:cs="宋体"/>
          <w:b/>
          <w:bCs/>
          <w:color w:val="auto"/>
          <w:sz w:val="40"/>
          <w:szCs w:val="40"/>
        </w:rPr>
        <w:t>第（</w:t>
      </w:r>
      <w:r>
        <w:rPr>
          <w:rFonts w:hint="eastAsia" w:ascii="宋体" w:hAnsi="宋体" w:cs="宋体"/>
          <w:b/>
          <w:bCs/>
          <w:color w:val="auto"/>
          <w:sz w:val="40"/>
          <w:szCs w:val="40"/>
          <w:lang w:val="en-US" w:eastAsia="zh-CN"/>
        </w:rPr>
        <w:t>四</w:t>
      </w:r>
      <w:r>
        <w:rPr>
          <w:rFonts w:hint="eastAsia" w:ascii="宋体" w:hAnsi="宋体" w:cs="宋体"/>
          <w:b/>
          <w:bCs/>
          <w:color w:val="auto"/>
          <w:sz w:val="40"/>
          <w:szCs w:val="40"/>
        </w:rPr>
        <w:t>）包</w:t>
      </w:r>
    </w:p>
    <w:p>
      <w:pPr>
        <w:pStyle w:val="28"/>
        <w:rPr>
          <w:color w:val="auto"/>
        </w:rPr>
      </w:pPr>
    </w:p>
    <w:p>
      <w:pPr>
        <w:autoSpaceDE w:val="0"/>
        <w:autoSpaceDN w:val="0"/>
        <w:snapToGrid w:val="0"/>
        <w:spacing w:before="663" w:line="520" w:lineRule="exact"/>
        <w:jc w:val="center"/>
        <w:rPr>
          <w:rFonts w:ascii="宋体" w:hAnsi="宋体" w:cs="宋体"/>
          <w:b/>
          <w:color w:val="auto"/>
          <w:sz w:val="40"/>
          <w:szCs w:val="32"/>
        </w:rPr>
      </w:pPr>
      <w:r>
        <w:rPr>
          <w:rFonts w:hint="eastAsia" w:ascii="宋体" w:hAnsi="宋体" w:cs="宋体"/>
          <w:b/>
          <w:color w:val="auto"/>
          <w:sz w:val="40"/>
          <w:szCs w:val="32"/>
        </w:rPr>
        <w:t>服务合同</w:t>
      </w:r>
    </w:p>
    <w:p>
      <w:pPr>
        <w:autoSpaceDE w:val="0"/>
        <w:autoSpaceDN w:val="0"/>
        <w:snapToGrid w:val="0"/>
        <w:spacing w:before="663" w:line="520" w:lineRule="exact"/>
        <w:rPr>
          <w:rFonts w:ascii="宋体" w:hAnsi="宋体" w:cs="宋体"/>
          <w:b/>
          <w:color w:val="auto"/>
          <w:sz w:val="36"/>
          <w:szCs w:val="30"/>
        </w:rPr>
      </w:pPr>
    </w:p>
    <w:p>
      <w:pPr>
        <w:rPr>
          <w:rFonts w:ascii="仿宋_GB2312" w:hAnsi="仿宋" w:eastAsia="仿宋_GB2312" w:cs="仿宋"/>
          <w:bCs/>
          <w:color w:val="auto"/>
          <w:szCs w:val="21"/>
        </w:rPr>
      </w:pPr>
    </w:p>
    <w:p>
      <w:pPr>
        <w:pStyle w:val="28"/>
        <w:rPr>
          <w:rFonts w:ascii="仿宋_GB2312" w:hAnsi="仿宋" w:eastAsia="仿宋_GB2312" w:cs="仿宋"/>
          <w:bCs/>
          <w:color w:val="auto"/>
          <w:szCs w:val="21"/>
        </w:rPr>
      </w:pPr>
    </w:p>
    <w:p>
      <w:pPr>
        <w:rPr>
          <w:rFonts w:ascii="仿宋_GB2312" w:hAnsi="仿宋" w:eastAsia="仿宋_GB2312" w:cs="仿宋"/>
          <w:bCs/>
          <w:color w:val="auto"/>
          <w:szCs w:val="21"/>
        </w:rPr>
      </w:pPr>
    </w:p>
    <w:p>
      <w:pPr>
        <w:pStyle w:val="28"/>
        <w:rPr>
          <w:rFonts w:ascii="仿宋_GB2312" w:hAnsi="仿宋" w:eastAsia="仿宋_GB2312" w:cs="仿宋"/>
          <w:bCs/>
          <w:color w:val="auto"/>
          <w:szCs w:val="21"/>
        </w:rPr>
      </w:pPr>
    </w:p>
    <w:p>
      <w:pPr>
        <w:rPr>
          <w:rFonts w:ascii="仿宋_GB2312" w:hAnsi="仿宋" w:eastAsia="仿宋_GB2312" w:cs="仿宋"/>
          <w:bCs/>
          <w:color w:val="auto"/>
          <w:szCs w:val="21"/>
        </w:rPr>
      </w:pPr>
    </w:p>
    <w:p>
      <w:pPr>
        <w:pStyle w:val="28"/>
        <w:rPr>
          <w:rFonts w:ascii="仿宋_GB2312" w:hAnsi="仿宋" w:eastAsia="仿宋_GB2312" w:cs="仿宋"/>
          <w:bCs/>
          <w:color w:val="auto"/>
          <w:szCs w:val="21"/>
        </w:rPr>
      </w:pPr>
    </w:p>
    <w:p>
      <w:pPr>
        <w:rPr>
          <w:rFonts w:ascii="仿宋_GB2312" w:hAnsi="仿宋" w:eastAsia="仿宋_GB2312" w:cs="仿宋"/>
          <w:bCs/>
          <w:color w:val="auto"/>
          <w:szCs w:val="21"/>
        </w:rPr>
      </w:pPr>
    </w:p>
    <w:p>
      <w:pPr>
        <w:pStyle w:val="28"/>
        <w:rPr>
          <w:rFonts w:ascii="仿宋_GB2312" w:hAnsi="仿宋" w:eastAsia="仿宋_GB2312" w:cs="仿宋"/>
          <w:bCs/>
          <w:color w:val="auto"/>
          <w:szCs w:val="21"/>
        </w:rPr>
      </w:pPr>
    </w:p>
    <w:p>
      <w:pPr>
        <w:rPr>
          <w:rFonts w:ascii="仿宋_GB2312" w:hAnsi="仿宋" w:eastAsia="仿宋_GB2312" w:cs="仿宋"/>
          <w:bCs/>
          <w:color w:val="auto"/>
          <w:szCs w:val="21"/>
        </w:rPr>
      </w:pPr>
    </w:p>
    <w:p>
      <w:pPr>
        <w:pStyle w:val="28"/>
        <w:rPr>
          <w:rFonts w:ascii="仿宋_GB2312" w:hAnsi="仿宋" w:eastAsia="仿宋_GB2312" w:cs="仿宋"/>
          <w:bCs/>
          <w:color w:val="auto"/>
          <w:szCs w:val="21"/>
        </w:rPr>
      </w:pPr>
    </w:p>
    <w:p>
      <w:pPr>
        <w:rPr>
          <w:rFonts w:ascii="仿宋_GB2312" w:hAnsi="仿宋" w:eastAsia="仿宋_GB2312" w:cs="仿宋"/>
          <w:bCs/>
          <w:color w:val="auto"/>
          <w:szCs w:val="21"/>
        </w:rPr>
      </w:pPr>
    </w:p>
    <w:p>
      <w:pPr>
        <w:pStyle w:val="28"/>
        <w:rPr>
          <w:rFonts w:ascii="仿宋_GB2312" w:hAnsi="仿宋" w:eastAsia="仿宋_GB2312" w:cs="仿宋"/>
          <w:bCs/>
          <w:color w:val="auto"/>
          <w:szCs w:val="21"/>
        </w:rPr>
      </w:pPr>
    </w:p>
    <w:p>
      <w:pPr>
        <w:rPr>
          <w:rFonts w:ascii="仿宋_GB2312" w:hAnsi="仿宋" w:eastAsia="仿宋_GB2312" w:cs="仿宋"/>
          <w:bCs/>
          <w:color w:val="auto"/>
          <w:szCs w:val="21"/>
        </w:rPr>
      </w:pPr>
    </w:p>
    <w:p>
      <w:pPr>
        <w:rPr>
          <w:rFonts w:ascii="仿宋_GB2312" w:hAnsi="仿宋" w:eastAsia="仿宋_GB2312" w:cs="仿宋"/>
          <w:bCs/>
          <w:color w:val="auto"/>
          <w:szCs w:val="21"/>
        </w:rPr>
      </w:pPr>
    </w:p>
    <w:p>
      <w:pPr>
        <w:pStyle w:val="28"/>
        <w:rPr>
          <w:rFonts w:ascii="仿宋_GB2312" w:hAnsi="仿宋" w:eastAsia="仿宋_GB2312" w:cs="仿宋"/>
          <w:bCs/>
          <w:color w:val="auto"/>
          <w:szCs w:val="21"/>
        </w:rPr>
      </w:pPr>
    </w:p>
    <w:p>
      <w:pPr>
        <w:rPr>
          <w:rFonts w:ascii="仿宋_GB2312" w:hAnsi="仿宋" w:eastAsia="仿宋_GB2312" w:cs="仿宋"/>
          <w:bCs/>
          <w:color w:val="auto"/>
          <w:szCs w:val="21"/>
        </w:rPr>
      </w:pPr>
    </w:p>
    <w:p>
      <w:pPr>
        <w:pStyle w:val="28"/>
        <w:rPr>
          <w:color w:val="auto"/>
        </w:rPr>
      </w:pPr>
    </w:p>
    <w:p>
      <w:pPr>
        <w:pStyle w:val="28"/>
        <w:rPr>
          <w:rFonts w:ascii="仿宋_GB2312" w:hAnsi="仿宋" w:eastAsia="仿宋_GB2312" w:cs="仿宋"/>
          <w:bCs/>
          <w:color w:val="auto"/>
          <w:szCs w:val="21"/>
        </w:rPr>
      </w:pPr>
    </w:p>
    <w:p>
      <w:pPr>
        <w:rPr>
          <w:color w:val="auto"/>
        </w:rPr>
      </w:pPr>
    </w:p>
    <w:p>
      <w:pPr>
        <w:spacing w:after="312" w:afterLines="100" w:line="360" w:lineRule="exact"/>
        <w:ind w:firstLine="1456" w:firstLineChars="518"/>
        <w:rPr>
          <w:b/>
          <w:color w:val="auto"/>
          <w:spacing w:val="39"/>
          <w:kern w:val="0"/>
          <w:sz w:val="28"/>
          <w:szCs w:val="28"/>
        </w:rPr>
      </w:pPr>
      <w:r>
        <w:rPr>
          <w:rFonts w:hint="eastAsia"/>
          <w:b/>
          <w:color w:val="auto"/>
          <w:sz w:val="28"/>
          <w:szCs w:val="28"/>
        </w:rPr>
        <w:t>甲方</w:t>
      </w:r>
      <w:r>
        <w:rPr>
          <w:b/>
          <w:color w:val="auto"/>
          <w:sz w:val="28"/>
          <w:szCs w:val="28"/>
        </w:rPr>
        <w:t>：</w:t>
      </w:r>
      <w:r>
        <w:rPr>
          <w:rFonts w:hint="eastAsia"/>
          <w:b/>
          <w:color w:val="auto"/>
          <w:sz w:val="28"/>
          <w:szCs w:val="28"/>
        </w:rPr>
        <w:t>北京市顺义区木林镇人民政府</w:t>
      </w:r>
    </w:p>
    <w:p>
      <w:pPr>
        <w:spacing w:after="312" w:afterLines="100" w:line="360" w:lineRule="exact"/>
        <w:ind w:firstLine="1405" w:firstLineChars="500"/>
        <w:rPr>
          <w:rFonts w:hint="eastAsia"/>
          <w:b/>
          <w:color w:val="auto"/>
          <w:sz w:val="28"/>
          <w:szCs w:val="28"/>
          <w:lang w:eastAsia="zh-CN"/>
        </w:rPr>
      </w:pPr>
      <w:r>
        <w:rPr>
          <w:rFonts w:hint="eastAsia"/>
          <w:b/>
          <w:color w:val="auto"/>
          <w:sz w:val="28"/>
          <w:szCs w:val="28"/>
        </w:rPr>
        <w:t>乙方</w:t>
      </w:r>
      <w:r>
        <w:rPr>
          <w:b/>
          <w:color w:val="auto"/>
          <w:sz w:val="28"/>
          <w:szCs w:val="28"/>
        </w:rPr>
        <w:t>：</w:t>
      </w:r>
    </w:p>
    <w:p>
      <w:pPr>
        <w:jc w:val="center"/>
        <w:rPr>
          <w:rFonts w:ascii="宋体" w:hAnsi="宋体" w:cs="宋体"/>
          <w:color w:val="auto"/>
        </w:rPr>
      </w:pPr>
      <w:r>
        <w:rPr>
          <w:b/>
          <w:color w:val="auto"/>
          <w:sz w:val="28"/>
          <w:szCs w:val="28"/>
        </w:rPr>
        <w:t>日期：二〇二</w:t>
      </w:r>
      <w:r>
        <w:rPr>
          <w:rFonts w:hint="eastAsia"/>
          <w:b/>
          <w:color w:val="auto"/>
          <w:sz w:val="28"/>
          <w:szCs w:val="28"/>
          <w:lang w:val="en-US" w:eastAsia="zh-CN"/>
        </w:rPr>
        <w:t>四</w:t>
      </w:r>
      <w:r>
        <w:rPr>
          <w:b/>
          <w:color w:val="auto"/>
          <w:sz w:val="28"/>
          <w:szCs w:val="28"/>
        </w:rPr>
        <w:t>年</w:t>
      </w:r>
      <w:r>
        <w:rPr>
          <w:rFonts w:hint="eastAsia"/>
          <w:b/>
          <w:color w:val="auto"/>
          <w:sz w:val="28"/>
          <w:szCs w:val="28"/>
          <w:lang w:val="en-US" w:eastAsia="zh-CN"/>
        </w:rPr>
        <w:t xml:space="preserve"> </w:t>
      </w:r>
      <w:r>
        <w:rPr>
          <w:b/>
          <w:color w:val="auto"/>
          <w:sz w:val="28"/>
          <w:szCs w:val="28"/>
        </w:rPr>
        <w:t>月</w:t>
      </w:r>
    </w:p>
    <w:p>
      <w:pPr>
        <w:adjustRightInd w:val="0"/>
        <w:snapToGrid w:val="0"/>
        <w:spacing w:before="119" w:line="320" w:lineRule="exact"/>
        <w:ind w:firstLine="719"/>
        <w:jc w:val="center"/>
        <w:textAlignment w:val="baseline"/>
        <w:rPr>
          <w:rFonts w:ascii="宋体" w:hAnsi="宋体" w:cs="宋体"/>
          <w:color w:val="auto"/>
          <w:sz w:val="44"/>
          <w:szCs w:val="44"/>
        </w:rPr>
        <w:sectPr>
          <w:footerReference r:id="rId14" w:type="default"/>
          <w:pgSz w:w="11906" w:h="16838"/>
          <w:pgMar w:top="1440" w:right="1800" w:bottom="1440" w:left="1800" w:header="851" w:footer="992" w:gutter="0"/>
          <w:pgNumType w:fmt="decimal"/>
          <w:cols w:space="425" w:num="1"/>
          <w:docGrid w:type="lines" w:linePitch="312" w:charSpace="0"/>
        </w:sectPr>
      </w:pPr>
    </w:p>
    <w:p>
      <w:pPr>
        <w:adjustRightInd w:val="0"/>
        <w:snapToGrid w:val="0"/>
        <w:spacing w:before="119" w:line="320" w:lineRule="exact"/>
        <w:ind w:firstLine="719"/>
        <w:jc w:val="center"/>
        <w:textAlignment w:val="baseline"/>
        <w:rPr>
          <w:rFonts w:ascii="宋体" w:hAnsi="宋体" w:cs="宋体"/>
          <w:color w:val="auto"/>
          <w:sz w:val="44"/>
          <w:szCs w:val="44"/>
        </w:rPr>
      </w:pPr>
      <w:r>
        <w:rPr>
          <w:rFonts w:hint="eastAsia" w:ascii="宋体" w:hAnsi="宋体" w:cs="宋体"/>
          <w:color w:val="auto"/>
          <w:sz w:val="44"/>
          <w:szCs w:val="44"/>
        </w:rPr>
        <w:t>合同协议书</w:t>
      </w:r>
    </w:p>
    <w:p>
      <w:pPr>
        <w:spacing w:line="480" w:lineRule="auto"/>
        <w:rPr>
          <w:rFonts w:ascii="宋体" w:hAnsi="宋体" w:cs="宋体"/>
          <w:color w:val="auto"/>
          <w:sz w:val="24"/>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宋体" w:hAnsi="宋体" w:eastAsia="宋体" w:cs="宋体"/>
          <w:color w:val="auto"/>
          <w:sz w:val="24"/>
          <w:u w:val="single"/>
          <w:lang w:val="en-US" w:eastAsia="zh-CN"/>
        </w:rPr>
      </w:pPr>
      <w:r>
        <w:rPr>
          <w:rFonts w:hint="eastAsia" w:ascii="宋体" w:hAnsi="宋体" w:cs="宋体"/>
          <w:color w:val="auto"/>
          <w:sz w:val="24"/>
        </w:rPr>
        <w:t>甲</w:t>
      </w:r>
      <w:r>
        <w:rPr>
          <w:rFonts w:hint="eastAsia" w:ascii="宋体" w:hAnsi="宋体" w:cs="宋体"/>
          <w:color w:val="auto"/>
          <w:sz w:val="24"/>
          <w:lang w:val="en-US" w:eastAsia="zh-CN"/>
        </w:rPr>
        <w:t xml:space="preserve">  </w:t>
      </w:r>
      <w:r>
        <w:rPr>
          <w:rFonts w:hint="eastAsia" w:ascii="宋体" w:hAnsi="宋体" w:cs="宋体"/>
          <w:color w:val="auto"/>
          <w:sz w:val="24"/>
        </w:rPr>
        <w:t>方：</w:t>
      </w:r>
      <w:r>
        <w:rPr>
          <w:rFonts w:hint="eastAsia" w:ascii="宋体" w:hAnsi="宋体" w:cs="宋体"/>
          <w:color w:val="auto"/>
          <w:sz w:val="24"/>
          <w:lang w:val="en-US" w:eastAsia="zh-CN"/>
        </w:rPr>
        <w:t xml:space="preserve"> </w:t>
      </w:r>
      <w:r>
        <w:rPr>
          <w:rFonts w:hint="eastAsia"/>
          <w:b/>
          <w:color w:val="auto"/>
          <w:sz w:val="24"/>
          <w:szCs w:val="24"/>
          <w:u w:val="single"/>
        </w:rPr>
        <w:t>北京市顺义区木林镇人民政府</w:t>
      </w:r>
      <w:r>
        <w:rPr>
          <w:rFonts w:hint="eastAsia"/>
          <w:b/>
          <w:color w:val="auto"/>
          <w:sz w:val="24"/>
          <w:szCs w:val="24"/>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宋体" w:hAnsi="宋体" w:cs="宋体"/>
          <w:color w:val="auto"/>
          <w:sz w:val="24"/>
          <w:u w:val="single"/>
          <w:lang w:val="en-US" w:eastAsia="zh-CN"/>
        </w:rPr>
      </w:pPr>
      <w:r>
        <w:rPr>
          <w:rFonts w:hint="eastAsia" w:ascii="宋体" w:hAnsi="宋体" w:cs="宋体"/>
          <w:color w:val="auto"/>
          <w:sz w:val="24"/>
          <w:lang w:val="en-US" w:eastAsia="zh-CN"/>
        </w:rPr>
        <w:t>联系地址：</w:t>
      </w:r>
      <w:r>
        <w:rPr>
          <w:rFonts w:hint="eastAsia" w:ascii="宋体" w:hAnsi="宋体" w:cs="宋体"/>
          <w:color w:val="auto"/>
          <w:sz w:val="24"/>
          <w:u w:val="thick"/>
          <w:lang w:val="en-US" w:eastAsia="zh-CN"/>
        </w:rPr>
        <w:t xml:space="preserve">  北京市顺义区木林镇顺焦路71号</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color w:val="auto"/>
          <w:u w:val="single"/>
          <w:lang w:val="en-US" w:eastAsia="zh-CN"/>
        </w:rPr>
      </w:pPr>
      <w:r>
        <w:rPr>
          <w:rFonts w:hint="eastAsia" w:ascii="宋体" w:hAnsi="宋体" w:cs="宋体"/>
          <w:color w:val="auto"/>
          <w:sz w:val="24"/>
          <w:lang w:val="en-US" w:eastAsia="zh-CN"/>
        </w:rPr>
        <w:t>联系人：</w:t>
      </w:r>
      <w:r>
        <w:rPr>
          <w:rFonts w:hint="eastAsia" w:ascii="宋体" w:hAnsi="宋体" w:cs="宋体"/>
          <w:color w:val="auto"/>
          <w:sz w:val="24"/>
          <w:u w:val="thick"/>
          <w:lang w:val="en-US" w:eastAsia="zh-CN"/>
        </w:rPr>
        <w:t xml:space="preserve">   宁宇                         </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宋体" w:hAnsi="宋体" w:eastAsia="宋体" w:cs="宋体"/>
          <w:color w:val="auto"/>
          <w:sz w:val="24"/>
          <w:u w:val="single"/>
          <w:lang w:val="en-US" w:eastAsia="zh-CN"/>
        </w:rPr>
      </w:pPr>
      <w:r>
        <w:rPr>
          <w:rFonts w:hint="eastAsia" w:ascii="宋体" w:hAnsi="宋体" w:cs="宋体"/>
          <w:color w:val="auto"/>
          <w:sz w:val="24"/>
          <w:lang w:val="en-US" w:eastAsia="zh-CN"/>
        </w:rPr>
        <w:t>联系电话：</w:t>
      </w:r>
      <w:r>
        <w:rPr>
          <w:rFonts w:hint="eastAsia" w:ascii="宋体" w:hAnsi="宋体" w:cs="宋体"/>
          <w:color w:val="auto"/>
          <w:sz w:val="24"/>
          <w:u w:val="thick"/>
          <w:lang w:val="en-US" w:eastAsia="zh-CN"/>
        </w:rPr>
        <w:t xml:space="preserve">     010-60456219             </w:t>
      </w:r>
    </w:p>
    <w:p>
      <w:pPr>
        <w:spacing w:afterLines="100" w:line="360" w:lineRule="exact"/>
        <w:rPr>
          <w:rFonts w:hint="eastAsia" w:ascii="宋体" w:hAnsi="宋体" w:cs="宋体"/>
          <w:color w:val="auto"/>
          <w:sz w:val="24"/>
        </w:rPr>
      </w:pPr>
    </w:p>
    <w:p>
      <w:pPr>
        <w:keepNext w:val="0"/>
        <w:keepLines w:val="0"/>
        <w:pageBreakBefore w:val="0"/>
        <w:widowControl w:val="0"/>
        <w:kinsoku/>
        <w:wordWrap/>
        <w:overflowPunct/>
        <w:topLinePunct w:val="0"/>
        <w:autoSpaceDE/>
        <w:autoSpaceDN/>
        <w:bidi w:val="0"/>
        <w:adjustRightInd/>
        <w:spacing w:line="560" w:lineRule="exact"/>
        <w:textAlignment w:val="auto"/>
        <w:rPr>
          <w:rFonts w:hint="eastAsia"/>
          <w:b/>
          <w:color w:val="auto"/>
          <w:sz w:val="28"/>
          <w:szCs w:val="28"/>
          <w:u w:val="single"/>
          <w:lang w:val="en-US" w:eastAsia="zh-CN"/>
        </w:rPr>
      </w:pPr>
      <w:r>
        <w:rPr>
          <w:rFonts w:hint="eastAsia" w:ascii="宋体" w:hAnsi="宋体" w:cs="宋体"/>
          <w:color w:val="auto"/>
          <w:sz w:val="24"/>
        </w:rPr>
        <w:t>乙方：</w:t>
      </w:r>
      <w:r>
        <w:rPr>
          <w:rFonts w:hint="eastAsia"/>
          <w:b/>
          <w:color w:val="auto"/>
          <w:sz w:val="28"/>
          <w:szCs w:val="28"/>
          <w:u w:val="single"/>
          <w:lang w:val="en-US" w:eastAsia="zh-CN"/>
        </w:rPr>
        <w:t xml:space="preserve">                           </w:t>
      </w:r>
    </w:p>
    <w:p>
      <w:pPr>
        <w:pStyle w:val="33"/>
        <w:keepNext w:val="0"/>
        <w:keepLines w:val="0"/>
        <w:pageBreakBefore w:val="0"/>
        <w:widowControl w:val="0"/>
        <w:kinsoku/>
        <w:wordWrap/>
        <w:overflowPunct/>
        <w:topLinePunct w:val="0"/>
        <w:autoSpaceDE/>
        <w:autoSpaceDN/>
        <w:bidi w:val="0"/>
        <w:adjustRightInd/>
        <w:spacing w:line="560" w:lineRule="exact"/>
        <w:textAlignment w:val="auto"/>
        <w:rPr>
          <w:rFonts w:hint="default"/>
          <w:color w:val="auto"/>
          <w:lang w:val="en-US" w:eastAsia="zh-CN"/>
        </w:rPr>
      </w:pPr>
      <w:r>
        <w:rPr>
          <w:rFonts w:hint="eastAsia"/>
          <w:b w:val="0"/>
          <w:bCs/>
          <w:color w:val="auto"/>
          <w:sz w:val="28"/>
          <w:szCs w:val="28"/>
          <w:u w:val="none"/>
          <w:lang w:val="en-US" w:eastAsia="zh-CN"/>
        </w:rPr>
        <w:t>联系地址：</w:t>
      </w:r>
      <w:r>
        <w:rPr>
          <w:rFonts w:hint="eastAsia"/>
          <w:b/>
          <w:color w:val="auto"/>
          <w:sz w:val="28"/>
          <w:szCs w:val="28"/>
          <w:u w:val="single"/>
          <w:lang w:val="en-US" w:eastAsia="zh-CN"/>
        </w:rPr>
        <w:t xml:space="preserve">                      </w:t>
      </w:r>
    </w:p>
    <w:p>
      <w:pPr>
        <w:pStyle w:val="33"/>
        <w:keepNext w:val="0"/>
        <w:keepLines w:val="0"/>
        <w:pageBreakBefore w:val="0"/>
        <w:widowControl w:val="0"/>
        <w:kinsoku/>
        <w:wordWrap/>
        <w:overflowPunct/>
        <w:topLinePunct w:val="0"/>
        <w:autoSpaceDE/>
        <w:autoSpaceDN/>
        <w:bidi w:val="0"/>
        <w:adjustRightInd/>
        <w:spacing w:line="560" w:lineRule="exact"/>
        <w:textAlignment w:val="auto"/>
        <w:rPr>
          <w:rFonts w:hint="eastAsia" w:ascii="宋体" w:hAnsi="宋体" w:cs="宋体"/>
          <w:b w:val="0"/>
          <w:bCs w:val="0"/>
          <w:color w:val="auto"/>
          <w:sz w:val="24"/>
          <w:lang w:val="en-US" w:eastAsia="zh-CN"/>
        </w:rPr>
      </w:pPr>
      <w:r>
        <w:rPr>
          <w:rFonts w:hint="eastAsia" w:ascii="宋体" w:hAnsi="宋体" w:cs="宋体"/>
          <w:color w:val="auto"/>
          <w:sz w:val="24"/>
          <w:lang w:val="en-US" w:eastAsia="zh-CN"/>
        </w:rPr>
        <w:t xml:space="preserve">联系人： </w:t>
      </w:r>
      <w:r>
        <w:rPr>
          <w:rFonts w:hint="eastAsia"/>
          <w:b/>
          <w:color w:val="auto"/>
          <w:sz w:val="28"/>
          <w:szCs w:val="28"/>
          <w:u w:val="single"/>
          <w:lang w:val="en-US" w:eastAsia="zh-CN"/>
        </w:rPr>
        <w:t xml:space="preserve">                        </w:t>
      </w:r>
    </w:p>
    <w:p>
      <w:pPr>
        <w:pStyle w:val="33"/>
        <w:keepNext w:val="0"/>
        <w:keepLines w:val="0"/>
        <w:pageBreakBefore w:val="0"/>
        <w:widowControl w:val="0"/>
        <w:kinsoku/>
        <w:wordWrap/>
        <w:overflowPunct/>
        <w:topLinePunct w:val="0"/>
        <w:autoSpaceDE/>
        <w:autoSpaceDN/>
        <w:bidi w:val="0"/>
        <w:adjustRightInd/>
        <w:spacing w:line="560" w:lineRule="exact"/>
        <w:textAlignment w:val="auto"/>
        <w:rPr>
          <w:rFonts w:hint="default"/>
          <w:color w:val="auto"/>
          <w:lang w:val="en-US" w:eastAsia="zh-CN"/>
        </w:rPr>
      </w:pPr>
      <w:r>
        <w:rPr>
          <w:rFonts w:hint="eastAsia" w:ascii="宋体" w:hAnsi="宋体" w:cs="宋体"/>
          <w:color w:val="auto"/>
          <w:sz w:val="24"/>
          <w:lang w:val="en-US" w:eastAsia="zh-CN"/>
        </w:rPr>
        <w:t>联系电话：</w:t>
      </w:r>
      <w:r>
        <w:rPr>
          <w:rFonts w:hint="eastAsia"/>
          <w:b/>
          <w:color w:val="auto"/>
          <w:sz w:val="28"/>
          <w:szCs w:val="28"/>
          <w:u w:val="single"/>
          <w:lang w:val="en-US" w:eastAsia="zh-CN"/>
        </w:rPr>
        <w:t xml:space="preserve">                       </w:t>
      </w:r>
    </w:p>
    <w:p>
      <w:pPr>
        <w:spacing w:line="480" w:lineRule="auto"/>
        <w:rPr>
          <w:rFonts w:ascii="宋体" w:hAnsi="宋体" w:cs="宋体"/>
          <w:color w:val="auto"/>
          <w:sz w:val="24"/>
        </w:rPr>
      </w:pPr>
    </w:p>
    <w:p>
      <w:pPr>
        <w:spacing w:line="360" w:lineRule="auto"/>
        <w:ind w:firstLine="480" w:firstLineChars="200"/>
        <w:rPr>
          <w:rFonts w:ascii="宋体" w:hAnsi="宋体" w:cs="宋体"/>
          <w:color w:val="auto"/>
          <w:sz w:val="24"/>
        </w:rPr>
      </w:pPr>
      <w:r>
        <w:rPr>
          <w:rFonts w:hint="eastAsia" w:ascii="宋体" w:hAnsi="宋体" w:cs="宋体"/>
          <w:color w:val="auto"/>
          <w:sz w:val="24"/>
        </w:rPr>
        <w:t>为深入贯彻落实市、区两级全力打击违法建设、违法用地的指示精神，加强木林镇城乡规划、土地和市容环境管理，维护社会安全稳定，提升综合环境建设水平，有效遏制和打击违法用地和违法建设现象，确保木林镇违法用地违法建设“零增长”。经甲、乙双方协商一致，结合本项目的具体情况，自愿达成以下协议，双方共同遵守。</w:t>
      </w:r>
    </w:p>
    <w:p>
      <w:pPr>
        <w:spacing w:line="360" w:lineRule="auto"/>
        <w:rPr>
          <w:rFonts w:ascii="宋体" w:hAnsi="宋体" w:cs="宋体"/>
          <w:b/>
          <w:color w:val="auto"/>
          <w:sz w:val="24"/>
        </w:rPr>
      </w:pPr>
      <w:r>
        <w:rPr>
          <w:rFonts w:hint="eastAsia" w:ascii="宋体" w:hAnsi="宋体" w:cs="宋体"/>
          <w:b/>
          <w:color w:val="auto"/>
          <w:sz w:val="24"/>
        </w:rPr>
        <w:t>第一条：项目概况</w:t>
      </w:r>
    </w:p>
    <w:p>
      <w:pPr>
        <w:spacing w:line="360" w:lineRule="auto"/>
        <w:rPr>
          <w:rFonts w:ascii="宋体" w:hAnsi="宋体" w:cs="宋体"/>
          <w:color w:val="auto"/>
          <w:u w:val="single"/>
        </w:rPr>
      </w:pPr>
      <w:r>
        <w:rPr>
          <w:rFonts w:hint="eastAsia" w:ascii="宋体" w:hAnsi="宋体" w:cs="宋体"/>
          <w:color w:val="auto"/>
          <w:sz w:val="24"/>
        </w:rPr>
        <w:t>1.项目名称：</w:t>
      </w:r>
      <w:r>
        <w:rPr>
          <w:rFonts w:hint="eastAsia" w:ascii="宋体" w:hAnsi="宋体" w:cs="宋体"/>
          <w:color w:val="auto"/>
          <w:sz w:val="24"/>
          <w:u w:val="single"/>
        </w:rPr>
        <w:t xml:space="preserve"> 木林镇202</w:t>
      </w:r>
      <w:r>
        <w:rPr>
          <w:rFonts w:hint="eastAsia" w:ascii="宋体" w:hAnsi="宋体" w:cs="宋体"/>
          <w:color w:val="auto"/>
          <w:sz w:val="24"/>
          <w:u w:val="single"/>
          <w:lang w:val="en-US" w:eastAsia="zh-CN"/>
        </w:rPr>
        <w:t>4</w:t>
      </w:r>
      <w:r>
        <w:rPr>
          <w:rFonts w:hint="eastAsia" w:ascii="宋体" w:hAnsi="宋体" w:cs="宋体"/>
          <w:color w:val="auto"/>
          <w:sz w:val="24"/>
          <w:u w:val="single"/>
        </w:rPr>
        <w:t>年度建筑拆除</w:t>
      </w:r>
      <w:r>
        <w:rPr>
          <w:rFonts w:hint="eastAsia" w:ascii="宋体" w:hAnsi="宋体" w:cs="宋体"/>
          <w:color w:val="auto"/>
          <w:sz w:val="24"/>
          <w:u w:val="single"/>
          <w:lang w:val="en-US" w:eastAsia="zh-CN"/>
        </w:rPr>
        <w:t>工程</w:t>
      </w:r>
      <w:r>
        <w:rPr>
          <w:rFonts w:hint="eastAsia" w:ascii="宋体" w:hAnsi="宋体" w:cs="宋体"/>
          <w:color w:val="auto"/>
          <w:sz w:val="24"/>
          <w:u w:val="single"/>
        </w:rPr>
        <w:t>项目</w:t>
      </w:r>
      <w:r>
        <w:rPr>
          <w:rFonts w:hint="eastAsia" w:ascii="宋体" w:hAnsi="宋体" w:cs="宋体"/>
          <w:color w:val="auto"/>
          <w:sz w:val="24"/>
          <w:u w:val="single"/>
          <w:lang w:eastAsia="zh-CN"/>
        </w:rPr>
        <w:t>（</w:t>
      </w:r>
      <w:r>
        <w:rPr>
          <w:rFonts w:hint="eastAsia" w:ascii="宋体" w:hAnsi="宋体" w:cs="宋体"/>
          <w:color w:val="auto"/>
          <w:sz w:val="24"/>
          <w:u w:val="single"/>
          <w:lang w:val="en-US" w:eastAsia="zh-CN"/>
        </w:rPr>
        <w:t>第四包</w:t>
      </w:r>
      <w:r>
        <w:rPr>
          <w:rFonts w:hint="eastAsia" w:ascii="宋体" w:hAnsi="宋体" w:cs="宋体"/>
          <w:color w:val="auto"/>
          <w:sz w:val="24"/>
          <w:u w:val="single"/>
          <w:lang w:eastAsia="zh-CN"/>
        </w:rPr>
        <w:t>）</w:t>
      </w:r>
    </w:p>
    <w:p>
      <w:pPr>
        <w:spacing w:line="360" w:lineRule="auto"/>
        <w:rPr>
          <w:rFonts w:ascii="宋体" w:hAnsi="宋体" w:cs="宋体"/>
          <w:color w:val="auto"/>
          <w:u w:val="single"/>
        </w:rPr>
      </w:pPr>
      <w:r>
        <w:rPr>
          <w:rFonts w:hint="eastAsia" w:ascii="宋体" w:hAnsi="宋体" w:cs="宋体"/>
          <w:color w:val="auto"/>
          <w:sz w:val="24"/>
        </w:rPr>
        <w:t>2.服务地点：</w:t>
      </w:r>
      <w:r>
        <w:rPr>
          <w:rFonts w:hint="eastAsia" w:ascii="宋体" w:hAnsi="宋体" w:cs="宋体"/>
          <w:color w:val="auto"/>
          <w:sz w:val="24"/>
          <w:u w:val="single"/>
        </w:rPr>
        <w:t>北京市顺义区木林镇镇域内</w:t>
      </w:r>
      <w:r>
        <w:rPr>
          <w:rFonts w:hint="eastAsia" w:ascii="宋体" w:hAnsi="宋体" w:cs="宋体"/>
          <w:color w:val="auto"/>
          <w:sz w:val="24"/>
          <w:u w:val="single"/>
          <w:lang w:val="en-US" w:eastAsia="zh-CN"/>
        </w:rPr>
        <w:t xml:space="preserve">             </w:t>
      </w:r>
      <w:r>
        <w:rPr>
          <w:rFonts w:hint="eastAsia" w:ascii="宋体" w:hAnsi="宋体" w:cs="宋体"/>
          <w:color w:val="auto"/>
          <w:sz w:val="24"/>
          <w:u w:val="single"/>
        </w:rPr>
        <w:t xml:space="preserve">     </w:t>
      </w:r>
    </w:p>
    <w:p>
      <w:pPr>
        <w:spacing w:line="360" w:lineRule="auto"/>
        <w:rPr>
          <w:rFonts w:hint="eastAsia" w:ascii="宋体" w:hAnsi="宋体" w:cs="宋体"/>
          <w:color w:val="auto"/>
          <w:sz w:val="24"/>
          <w:u w:val="single"/>
        </w:rPr>
      </w:pPr>
      <w:r>
        <w:rPr>
          <w:rFonts w:hint="eastAsia" w:ascii="宋体" w:hAnsi="宋体" w:cs="宋体"/>
          <w:color w:val="auto"/>
          <w:sz w:val="24"/>
        </w:rPr>
        <w:t>3.服务范围：</w:t>
      </w:r>
      <w:r>
        <w:rPr>
          <w:rFonts w:hint="eastAsia" w:ascii="宋体" w:hAnsi="宋体" w:cs="宋体"/>
          <w:color w:val="auto"/>
          <w:sz w:val="24"/>
          <w:u w:val="single"/>
        </w:rPr>
        <w:t xml:space="preserve"> </w:t>
      </w:r>
      <w:r>
        <w:rPr>
          <w:rFonts w:hint="eastAsia" w:ascii="宋体" w:hAnsi="宋体" w:cs="宋体"/>
          <w:color w:val="auto"/>
          <w:sz w:val="24"/>
          <w:u w:val="single"/>
          <w:lang w:val="en-US" w:eastAsia="zh-CN"/>
        </w:rPr>
        <w:t>木林镇</w:t>
      </w:r>
      <w:r>
        <w:rPr>
          <w:rFonts w:hint="eastAsia" w:ascii="宋体" w:hAnsi="宋体" w:cs="宋体"/>
          <w:color w:val="auto"/>
          <w:sz w:val="24"/>
          <w:u w:val="single"/>
        </w:rPr>
        <w:t xml:space="preserve"> 陈各庄，东沿头，前王，潘家坟，长林庄，陈家坨</w:t>
      </w:r>
      <w:r>
        <w:rPr>
          <w:rFonts w:hint="eastAsia" w:ascii="宋体" w:hAnsi="宋体" w:cs="宋体"/>
          <w:color w:val="auto"/>
          <w:sz w:val="24"/>
          <w:u w:val="single"/>
          <w:lang w:eastAsia="zh-CN"/>
        </w:rPr>
        <w:t>。</w:t>
      </w:r>
      <w:r>
        <w:rPr>
          <w:rFonts w:hint="eastAsia" w:ascii="宋体" w:hAnsi="宋体" w:cs="宋体"/>
          <w:color w:val="auto"/>
          <w:sz w:val="24"/>
          <w:u w:val="single"/>
          <w:lang w:val="en-US" w:eastAsia="zh-CN"/>
        </w:rPr>
        <w:t xml:space="preserve">规自领域整改工作，包括但不仅限于违法建设的拆除腾退工作。   </w:t>
      </w:r>
    </w:p>
    <w:p>
      <w:pPr>
        <w:spacing w:line="360" w:lineRule="auto"/>
        <w:rPr>
          <w:rFonts w:ascii="宋体" w:hAnsi="宋体" w:cs="宋体"/>
          <w:b/>
          <w:color w:val="auto"/>
          <w:sz w:val="24"/>
        </w:rPr>
      </w:pPr>
      <w:r>
        <w:rPr>
          <w:rFonts w:hint="eastAsia" w:ascii="宋体" w:hAnsi="宋体" w:cs="宋体"/>
          <w:b/>
          <w:color w:val="auto"/>
          <w:sz w:val="24"/>
        </w:rPr>
        <w:t>第二条：合同履行期限</w:t>
      </w:r>
    </w:p>
    <w:p>
      <w:pPr>
        <w:spacing w:line="360" w:lineRule="auto"/>
        <w:ind w:firstLine="420"/>
        <w:rPr>
          <w:rFonts w:ascii="宋体" w:hAnsi="宋体" w:cs="宋体"/>
          <w:color w:val="auto"/>
          <w:sz w:val="24"/>
        </w:rPr>
      </w:pPr>
      <w:r>
        <w:rPr>
          <w:rFonts w:hint="eastAsia" w:ascii="宋体" w:hAnsi="宋体" w:cs="宋体"/>
          <w:color w:val="auto"/>
          <w:sz w:val="24"/>
        </w:rPr>
        <w:t xml:space="preserve">合同履行期限: </w:t>
      </w:r>
      <w:r>
        <w:rPr>
          <w:rFonts w:hint="eastAsia" w:ascii="宋体" w:hAnsi="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cs="宋体"/>
          <w:color w:val="auto"/>
          <w:sz w:val="24"/>
          <w:u w:val="single"/>
        </w:rPr>
        <w:t xml:space="preserve"> </w:t>
      </w:r>
      <w:r>
        <w:rPr>
          <w:rFonts w:hint="eastAsia" w:ascii="宋体" w:hAnsi="宋体" w:cs="宋体"/>
          <w:color w:val="auto"/>
          <w:sz w:val="24"/>
        </w:rPr>
        <w:t>年，自</w:t>
      </w:r>
      <w:r>
        <w:rPr>
          <w:rFonts w:hint="eastAsia" w:ascii="宋体" w:hAnsi="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cs="宋体"/>
          <w:color w:val="auto"/>
          <w:sz w:val="24"/>
          <w:u w:val="single"/>
        </w:rPr>
        <w:t xml:space="preserve">  </w:t>
      </w:r>
      <w:r>
        <w:rPr>
          <w:rFonts w:hint="eastAsia" w:ascii="宋体" w:hAnsi="宋体" w:cs="宋体"/>
          <w:color w:val="auto"/>
          <w:sz w:val="24"/>
        </w:rPr>
        <w:t>年</w:t>
      </w:r>
      <w:r>
        <w:rPr>
          <w:rFonts w:hint="eastAsia" w:ascii="宋体" w:hAnsi="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cs="宋体"/>
          <w:color w:val="auto"/>
          <w:sz w:val="24"/>
        </w:rPr>
        <w:t>月</w:t>
      </w:r>
      <w:r>
        <w:rPr>
          <w:rFonts w:hint="eastAsia" w:ascii="宋体" w:hAnsi="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cs="宋体"/>
          <w:color w:val="auto"/>
          <w:sz w:val="24"/>
        </w:rPr>
        <w:t>日至</w:t>
      </w:r>
      <w:r>
        <w:rPr>
          <w:rFonts w:hint="eastAsia" w:ascii="宋体" w:hAnsi="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cs="宋体"/>
          <w:color w:val="auto"/>
          <w:sz w:val="24"/>
          <w:u w:val="single"/>
        </w:rPr>
        <w:t xml:space="preserve"> </w:t>
      </w:r>
      <w:r>
        <w:rPr>
          <w:rFonts w:hint="eastAsia" w:ascii="宋体" w:hAnsi="宋体" w:cs="宋体"/>
          <w:color w:val="auto"/>
          <w:sz w:val="24"/>
        </w:rPr>
        <w:t>年</w:t>
      </w:r>
      <w:r>
        <w:rPr>
          <w:rFonts w:hint="eastAsia" w:ascii="宋体" w:hAnsi="宋体" w:cs="宋体"/>
          <w:color w:val="auto"/>
          <w:sz w:val="24"/>
          <w:u w:val="single"/>
          <w:lang w:val="en-US" w:eastAsia="zh-CN"/>
        </w:rPr>
        <w:t xml:space="preserve">   </w:t>
      </w:r>
      <w:r>
        <w:rPr>
          <w:rFonts w:hint="eastAsia" w:ascii="宋体" w:hAnsi="宋体" w:cs="宋体"/>
          <w:color w:val="auto"/>
          <w:sz w:val="24"/>
          <w:lang w:val="en-US" w:eastAsia="zh-CN"/>
        </w:rPr>
        <w:t xml:space="preserve"> </w:t>
      </w:r>
      <w:r>
        <w:rPr>
          <w:rFonts w:hint="eastAsia" w:ascii="宋体" w:hAnsi="宋体" w:cs="宋体"/>
          <w:color w:val="auto"/>
          <w:sz w:val="24"/>
        </w:rPr>
        <w:t>月</w:t>
      </w:r>
      <w:r>
        <w:rPr>
          <w:rFonts w:hint="eastAsia" w:ascii="宋体" w:hAnsi="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cs="宋体"/>
          <w:color w:val="auto"/>
          <w:sz w:val="24"/>
          <w:u w:val="single"/>
        </w:rPr>
        <w:t xml:space="preserve"> </w:t>
      </w:r>
      <w:r>
        <w:rPr>
          <w:rFonts w:hint="eastAsia" w:ascii="宋体" w:hAnsi="宋体" w:cs="宋体"/>
          <w:color w:val="auto"/>
          <w:sz w:val="24"/>
        </w:rPr>
        <w:t>日。</w:t>
      </w:r>
    </w:p>
    <w:p>
      <w:pPr>
        <w:spacing w:line="360" w:lineRule="auto"/>
        <w:rPr>
          <w:rFonts w:ascii="宋体" w:hAnsi="宋体" w:cs="宋体"/>
          <w:b/>
          <w:color w:val="auto"/>
          <w:sz w:val="24"/>
        </w:rPr>
      </w:pPr>
      <w:r>
        <w:rPr>
          <w:rFonts w:hint="eastAsia" w:ascii="宋体" w:hAnsi="宋体" w:cs="宋体"/>
          <w:b/>
          <w:color w:val="auto"/>
          <w:sz w:val="24"/>
        </w:rPr>
        <w:t>第三条：项目合同价款</w:t>
      </w:r>
    </w:p>
    <w:p>
      <w:pPr>
        <w:spacing w:line="360" w:lineRule="auto"/>
        <w:ind w:firstLine="420"/>
        <w:rPr>
          <w:rFonts w:ascii="宋体" w:hAnsi="宋体" w:cs="宋体"/>
          <w:color w:val="auto"/>
          <w:sz w:val="24"/>
        </w:rPr>
      </w:pPr>
      <w:r>
        <w:rPr>
          <w:rFonts w:hint="eastAsia" w:ascii="宋体" w:hAnsi="宋体" w:cs="宋体"/>
          <w:color w:val="auto"/>
          <w:sz w:val="24"/>
        </w:rPr>
        <w:t>该项目为单价合同，拆除项目通过甲方验收且合格后，乙方向甲方上报拆除工程结算报告，</w:t>
      </w:r>
      <w:r>
        <w:rPr>
          <w:rFonts w:hint="eastAsia" w:ascii="宋体" w:hAnsi="宋体" w:cs="宋体"/>
          <w:color w:val="auto"/>
          <w:sz w:val="24"/>
          <w:lang w:eastAsia="zh-CN"/>
        </w:rPr>
        <w:t>甲方确认拆除工程量后，以第三方评审机构出具的结算评审金额为准进行结算。</w:t>
      </w:r>
    </w:p>
    <w:p>
      <w:pPr>
        <w:spacing w:line="360" w:lineRule="auto"/>
        <w:ind w:firstLine="420"/>
        <w:rPr>
          <w:rFonts w:ascii="宋体" w:hAnsi="宋体" w:cs="宋体"/>
          <w:color w:val="auto"/>
          <w:sz w:val="24"/>
        </w:rPr>
      </w:pPr>
      <w:r>
        <w:rPr>
          <w:rFonts w:hint="eastAsia" w:ascii="宋体" w:hAnsi="宋体" w:cs="宋体"/>
          <w:color w:val="auto"/>
          <w:sz w:val="24"/>
        </w:rPr>
        <w:t>合同价款包括但不限于完成拆除工作所需的人工、材料、机械等直接费用以及企业管理费、措施项目费（临时设施费、夜间施工、二次搬运、场地狭小费、冬雨季施工费等）、安全文明施工费、利润、规费、税金、保险、渣土清运及消纳费等全部费用。合同单价详见附件一。</w:t>
      </w:r>
    </w:p>
    <w:p>
      <w:pPr>
        <w:spacing w:line="360" w:lineRule="auto"/>
        <w:rPr>
          <w:rFonts w:ascii="宋体" w:hAnsi="宋体" w:cs="宋体"/>
          <w:b/>
          <w:color w:val="auto"/>
          <w:sz w:val="24"/>
        </w:rPr>
      </w:pPr>
      <w:r>
        <w:rPr>
          <w:rFonts w:hint="eastAsia" w:ascii="宋体" w:hAnsi="宋体" w:cs="宋体"/>
          <w:b/>
          <w:color w:val="auto"/>
          <w:sz w:val="24"/>
        </w:rPr>
        <w:t>第四条：项目价款的支付</w:t>
      </w:r>
    </w:p>
    <w:p>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cs="宋体"/>
          <w:color w:val="auto"/>
          <w:sz w:val="24"/>
          <w:highlight w:val="none"/>
        </w:rPr>
        <w:t>如上级财政资金到位，本项目按照财政拨款进度进行结算，结算周期满后，乙方按拆除批次上报拆除项目结算报告。拆除项目结算由甲方委托的第三方评审机构审核，结算金额以最终第三方评审机构的结算评审金额为准。如上级财政资金不能到位，双方一致同意：本合同款项支付期限为乙方合同项下的全部义务履行完毕之日起两年内支付。前述款项支付期限届满后，若因本合同项目财政资金未拨付到位导致甲方迟延履行的，甲乙双方应协商解决，在此期间乙方认可甲方不构成违约，乙方不得因此追究甲方的违约责任。甲方每次付款前，乙方均应开具等额的国家正规增值税发票，否则甲方有权迟延付款，且不承担任何违约责任。</w:t>
      </w:r>
      <w:r>
        <w:rPr>
          <w:rFonts w:hint="eastAsia" w:ascii="宋体" w:hAnsi="宋体" w:eastAsia="宋体" w:cs="宋体"/>
          <w:color w:val="auto"/>
          <w:sz w:val="24"/>
          <w:szCs w:val="24"/>
          <w:highlight w:val="none"/>
          <w:lang w:val="en-US" w:eastAsia="zh-CN"/>
        </w:rPr>
        <w:t>如乙方存在违约或考核扣款，甲方有权从合同价款中直接予以扣除。</w:t>
      </w:r>
    </w:p>
    <w:p>
      <w:pPr>
        <w:keepNext w:val="0"/>
        <w:keepLines w:val="0"/>
        <w:pageBreakBefore w:val="0"/>
        <w:widowControl w:val="0"/>
        <w:kinsoku/>
        <w:wordWrap/>
        <w:overflowPunct/>
        <w:topLinePunct w:val="0"/>
        <w:autoSpaceDE/>
        <w:autoSpaceDN/>
        <w:bidi w:val="0"/>
        <w:adjustRightInd/>
        <w:snapToGrid/>
        <w:spacing w:line="540" w:lineRule="exact"/>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乙方收款账户如下：</w:t>
      </w:r>
    </w:p>
    <w:p>
      <w:pPr>
        <w:keepNext w:val="0"/>
        <w:keepLines w:val="0"/>
        <w:pageBreakBefore w:val="0"/>
        <w:widowControl w:val="0"/>
        <w:kinsoku/>
        <w:wordWrap/>
        <w:overflowPunct/>
        <w:topLinePunct w:val="0"/>
        <w:autoSpaceDE/>
        <w:autoSpaceDN/>
        <w:bidi w:val="0"/>
        <w:adjustRightInd/>
        <w:snapToGrid/>
        <w:spacing w:line="540" w:lineRule="exact"/>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户名： </w:t>
      </w:r>
    </w:p>
    <w:p>
      <w:pPr>
        <w:keepNext w:val="0"/>
        <w:keepLines w:val="0"/>
        <w:pageBreakBefore w:val="0"/>
        <w:widowControl w:val="0"/>
        <w:kinsoku/>
        <w:wordWrap/>
        <w:overflowPunct/>
        <w:topLinePunct w:val="0"/>
        <w:autoSpaceDE/>
        <w:autoSpaceDN/>
        <w:bidi w:val="0"/>
        <w:adjustRightInd/>
        <w:snapToGrid/>
        <w:spacing w:line="540" w:lineRule="exact"/>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账号： </w:t>
      </w:r>
    </w:p>
    <w:p>
      <w:pPr>
        <w:keepNext w:val="0"/>
        <w:keepLines w:val="0"/>
        <w:pageBreakBefore w:val="0"/>
        <w:widowControl w:val="0"/>
        <w:kinsoku/>
        <w:wordWrap/>
        <w:overflowPunct/>
        <w:topLinePunct w:val="0"/>
        <w:autoSpaceDE/>
        <w:autoSpaceDN/>
        <w:bidi w:val="0"/>
        <w:adjustRightInd/>
        <w:snapToGrid/>
        <w:spacing w:line="540" w:lineRule="exact"/>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开户行： </w:t>
      </w:r>
    </w:p>
    <w:p>
      <w:pPr>
        <w:keepNext w:val="0"/>
        <w:keepLines w:val="0"/>
        <w:pageBreakBefore w:val="0"/>
        <w:widowControl w:val="0"/>
        <w:kinsoku/>
        <w:wordWrap/>
        <w:overflowPunct/>
        <w:topLinePunct w:val="0"/>
        <w:autoSpaceDE/>
        <w:autoSpaceDN/>
        <w:bidi w:val="0"/>
        <w:adjustRightInd/>
        <w:snapToGrid/>
        <w:spacing w:line="540" w:lineRule="exact"/>
        <w:ind w:firstLine="480" w:firstLineChars="200"/>
        <w:jc w:val="both"/>
        <w:textAlignment w:val="auto"/>
        <w:rPr>
          <w:rFonts w:hint="eastAsia" w:ascii="宋体" w:hAnsi="宋体" w:cs="宋体"/>
          <w:b/>
          <w:color w:val="auto"/>
          <w:sz w:val="24"/>
        </w:rPr>
      </w:pPr>
      <w:r>
        <w:rPr>
          <w:rFonts w:hint="eastAsia" w:ascii="宋体" w:hAnsi="宋体" w:eastAsia="宋体" w:cs="宋体"/>
          <w:color w:val="auto"/>
          <w:sz w:val="24"/>
          <w:szCs w:val="24"/>
          <w:highlight w:val="none"/>
          <w:lang w:val="en-US" w:eastAsia="zh-CN"/>
        </w:rPr>
        <w:t>如乙方的上述账户信息发生变更，须提前30个工作日书面通知甲方，否则一切后果由乙方承担。</w:t>
      </w:r>
    </w:p>
    <w:p>
      <w:pPr>
        <w:spacing w:line="360" w:lineRule="auto"/>
        <w:rPr>
          <w:rFonts w:ascii="宋体" w:hAnsi="宋体" w:cs="宋体"/>
          <w:b/>
          <w:color w:val="auto"/>
          <w:sz w:val="24"/>
        </w:rPr>
      </w:pPr>
      <w:r>
        <w:rPr>
          <w:rFonts w:hint="eastAsia" w:ascii="宋体" w:hAnsi="宋体" w:cs="宋体"/>
          <w:b/>
          <w:color w:val="auto"/>
          <w:sz w:val="24"/>
        </w:rPr>
        <w:t>第五条：合同价款的变更</w:t>
      </w:r>
    </w:p>
    <w:p>
      <w:pPr>
        <w:tabs>
          <w:tab w:val="left" w:pos="1406"/>
        </w:tabs>
        <w:spacing w:line="360" w:lineRule="auto"/>
        <w:ind w:firstLine="460" w:firstLineChars="192"/>
        <w:rPr>
          <w:rFonts w:ascii="宋体" w:hAnsi="宋体" w:cs="宋体"/>
          <w:color w:val="auto"/>
          <w:sz w:val="24"/>
        </w:rPr>
      </w:pPr>
      <w:r>
        <w:rPr>
          <w:rFonts w:hint="eastAsia" w:ascii="宋体" w:hAnsi="宋体" w:cs="宋体"/>
          <w:color w:val="auto"/>
          <w:sz w:val="24"/>
        </w:rPr>
        <w:t>乙方在合约执行过程中，如有变更或合同约定清单未包含项目，按照以下原则进行计价：</w:t>
      </w:r>
    </w:p>
    <w:p>
      <w:pPr>
        <w:numPr>
          <w:ilvl w:val="0"/>
          <w:numId w:val="0"/>
        </w:numPr>
        <w:spacing w:line="360" w:lineRule="auto"/>
        <w:ind w:firstLine="480" w:firstLineChars="200"/>
        <w:rPr>
          <w:rFonts w:ascii="宋体" w:hAnsi="宋体" w:cs="宋体"/>
          <w:color w:val="auto"/>
          <w:sz w:val="24"/>
        </w:rPr>
      </w:pPr>
      <w:r>
        <w:rPr>
          <w:rFonts w:hint="eastAsia" w:ascii="宋体" w:hAnsi="宋体" w:cs="宋体"/>
          <w:color w:val="auto"/>
          <w:sz w:val="24"/>
          <w:lang w:eastAsia="zh-CN"/>
        </w:rPr>
        <w:t>（</w:t>
      </w:r>
      <w:r>
        <w:rPr>
          <w:rFonts w:hint="eastAsia" w:ascii="宋体" w:hAnsi="宋体" w:cs="宋体"/>
          <w:color w:val="auto"/>
          <w:sz w:val="24"/>
          <w:lang w:val="en-US" w:eastAsia="zh-CN"/>
        </w:rPr>
        <w:t>1）</w:t>
      </w:r>
      <w:r>
        <w:rPr>
          <w:rFonts w:hint="eastAsia" w:ascii="宋体" w:hAnsi="宋体" w:cs="宋体"/>
          <w:color w:val="auto"/>
          <w:sz w:val="24"/>
        </w:rPr>
        <w:t>合同文件中已有适用于变更项目的价格或费率，按照合同文件已有的价格或费率对变更工作进行计价；</w:t>
      </w:r>
    </w:p>
    <w:p>
      <w:pPr>
        <w:numPr>
          <w:ilvl w:val="0"/>
          <w:numId w:val="0"/>
        </w:numPr>
        <w:spacing w:line="360" w:lineRule="auto"/>
        <w:ind w:firstLine="480" w:firstLineChars="200"/>
        <w:rPr>
          <w:rFonts w:ascii="宋体" w:hAnsi="宋体" w:cs="宋体"/>
          <w:color w:val="auto"/>
          <w:sz w:val="24"/>
        </w:rPr>
      </w:pPr>
      <w:r>
        <w:rPr>
          <w:rFonts w:hint="eastAsia" w:ascii="宋体" w:hAnsi="宋体" w:cs="宋体"/>
          <w:color w:val="auto"/>
          <w:sz w:val="24"/>
          <w:lang w:eastAsia="zh-CN"/>
        </w:rPr>
        <w:t>（</w:t>
      </w:r>
      <w:r>
        <w:rPr>
          <w:rFonts w:hint="eastAsia" w:ascii="宋体" w:hAnsi="宋体" w:cs="宋体"/>
          <w:color w:val="auto"/>
          <w:sz w:val="24"/>
          <w:lang w:val="en-US" w:eastAsia="zh-CN"/>
        </w:rPr>
        <w:t>2</w:t>
      </w:r>
      <w:r>
        <w:rPr>
          <w:rFonts w:hint="eastAsia" w:ascii="宋体" w:hAnsi="宋体" w:cs="宋体"/>
          <w:color w:val="auto"/>
          <w:sz w:val="24"/>
          <w:lang w:eastAsia="zh-CN"/>
        </w:rPr>
        <w:t>）</w:t>
      </w:r>
      <w:r>
        <w:rPr>
          <w:rFonts w:hint="eastAsia" w:ascii="宋体" w:hAnsi="宋体" w:cs="宋体"/>
          <w:color w:val="auto"/>
          <w:sz w:val="24"/>
        </w:rPr>
        <w:t>合同文件中只有类似于变更工作的价格，只要甲方和乙方都同意，则可采用合同文件中的价格作为基础对变更工作进行计价；</w:t>
      </w:r>
    </w:p>
    <w:p>
      <w:pPr>
        <w:tabs>
          <w:tab w:val="left" w:pos="1276"/>
        </w:tabs>
        <w:spacing w:line="360" w:lineRule="auto"/>
        <w:ind w:firstLine="480" w:firstLineChars="200"/>
        <w:rPr>
          <w:rFonts w:ascii="宋体" w:hAnsi="宋体" w:cs="宋体"/>
          <w:color w:val="auto"/>
          <w:sz w:val="24"/>
        </w:rPr>
      </w:pPr>
      <w:r>
        <w:rPr>
          <w:rFonts w:hint="eastAsia" w:ascii="宋体" w:hAnsi="宋体" w:cs="宋体"/>
          <w:color w:val="auto"/>
          <w:sz w:val="24"/>
        </w:rPr>
        <w:t>（3）合同文件中没有适用或类似于变更工作的价格，由中标供应商或采购人提出适当的变更价格，经对方确认后执行，最终以评审金额为准。</w:t>
      </w:r>
    </w:p>
    <w:p>
      <w:pPr>
        <w:spacing w:line="360" w:lineRule="auto"/>
        <w:rPr>
          <w:rFonts w:ascii="宋体" w:hAnsi="宋体" w:cs="宋体"/>
          <w:b/>
          <w:color w:val="auto"/>
          <w:sz w:val="24"/>
        </w:rPr>
      </w:pPr>
      <w:r>
        <w:rPr>
          <w:rFonts w:hint="eastAsia" w:ascii="宋体" w:hAnsi="宋体" w:cs="宋体"/>
          <w:b/>
          <w:color w:val="auto"/>
          <w:sz w:val="24"/>
        </w:rPr>
        <w:t>第六条：拆除验收</w:t>
      </w:r>
    </w:p>
    <w:p>
      <w:pPr>
        <w:spacing w:line="360" w:lineRule="auto"/>
        <w:ind w:firstLine="480" w:firstLineChars="200"/>
        <w:rPr>
          <w:rFonts w:ascii="宋体" w:hAnsi="宋体" w:cs="宋体"/>
          <w:color w:val="auto"/>
          <w:sz w:val="24"/>
        </w:rPr>
      </w:pPr>
      <w:r>
        <w:rPr>
          <w:rFonts w:hint="eastAsia" w:ascii="宋体" w:hAnsi="宋体" w:cs="宋体"/>
          <w:color w:val="auto"/>
          <w:sz w:val="24"/>
        </w:rPr>
        <w:t>乙方在拆除结束后申请甲方对现场进行验收，甲方需及时通知上级部门对拆除现场进行验收，未达到拆除清理标准的，乙方需按要求进行再次拆除清理直至验收合格，</w:t>
      </w:r>
      <w:r>
        <w:rPr>
          <w:rFonts w:hint="eastAsia" w:ascii="宋体" w:hAnsi="宋体" w:cs="宋体"/>
          <w:color w:val="auto"/>
          <w:sz w:val="24"/>
          <w:lang w:val="en-US" w:eastAsia="zh-CN"/>
        </w:rPr>
        <w:t>由于验收不合格导致的二次清理产生相关费用已包含在综合单价中，结算时此类费用不再重复结算</w:t>
      </w:r>
      <w:r>
        <w:rPr>
          <w:rFonts w:hint="eastAsia" w:ascii="宋体" w:hAnsi="宋体" w:cs="宋体"/>
          <w:color w:val="auto"/>
          <w:sz w:val="24"/>
        </w:rPr>
        <w:t>。</w:t>
      </w:r>
    </w:p>
    <w:p>
      <w:pPr>
        <w:spacing w:line="360" w:lineRule="auto"/>
        <w:rPr>
          <w:rFonts w:ascii="宋体" w:hAnsi="宋体" w:cs="宋体"/>
          <w:b/>
          <w:color w:val="auto"/>
          <w:sz w:val="24"/>
        </w:rPr>
      </w:pPr>
      <w:r>
        <w:rPr>
          <w:rFonts w:hint="eastAsia" w:ascii="宋体" w:hAnsi="宋体" w:cs="宋体"/>
          <w:b/>
          <w:color w:val="auto"/>
          <w:sz w:val="24"/>
        </w:rPr>
        <w:t>第七条:双方权利与义务</w:t>
      </w:r>
    </w:p>
    <w:p>
      <w:pPr>
        <w:numPr>
          <w:ilvl w:val="0"/>
          <w:numId w:val="14"/>
        </w:numPr>
        <w:spacing w:line="360" w:lineRule="auto"/>
        <w:ind w:left="1350" w:hanging="420"/>
        <w:rPr>
          <w:rFonts w:ascii="宋体" w:hAnsi="宋体" w:cs="宋体"/>
          <w:color w:val="auto"/>
          <w:sz w:val="24"/>
        </w:rPr>
      </w:pPr>
      <w:r>
        <w:rPr>
          <w:rFonts w:hint="eastAsia" w:ascii="宋体" w:hAnsi="宋体" w:cs="宋体"/>
          <w:color w:val="auto"/>
          <w:sz w:val="24"/>
        </w:rPr>
        <w:t>甲方权利及义务</w:t>
      </w:r>
    </w:p>
    <w:p>
      <w:pPr>
        <w:spacing w:line="360" w:lineRule="auto"/>
        <w:ind w:firstLine="480" w:firstLineChars="200"/>
        <w:rPr>
          <w:rFonts w:ascii="宋体" w:hAnsi="宋体" w:cs="宋体"/>
          <w:color w:val="auto"/>
          <w:sz w:val="24"/>
        </w:rPr>
      </w:pPr>
      <w:r>
        <w:rPr>
          <w:rFonts w:hint="eastAsia" w:ascii="宋体" w:hAnsi="宋体" w:cs="宋体"/>
          <w:color w:val="auto"/>
          <w:sz w:val="24"/>
        </w:rPr>
        <w:t>1、签订本协议后甲方向乙方提供有关本项目的拆除范围图斑，并协调城管、派出所、电管站、村委会等部门进行现场配合，做好拆除前断水、断电及当事人员管护工作。</w:t>
      </w:r>
    </w:p>
    <w:p>
      <w:pPr>
        <w:spacing w:line="360" w:lineRule="auto"/>
        <w:ind w:firstLine="480" w:firstLineChars="200"/>
        <w:rPr>
          <w:rFonts w:ascii="宋体" w:hAnsi="宋体" w:cs="宋体"/>
          <w:color w:val="auto"/>
          <w:sz w:val="24"/>
        </w:rPr>
      </w:pPr>
      <w:r>
        <w:rPr>
          <w:rFonts w:hint="eastAsia" w:ascii="宋体" w:hAnsi="宋体" w:cs="宋体"/>
          <w:color w:val="auto"/>
          <w:sz w:val="24"/>
        </w:rPr>
        <w:t>2、委派施工现场代表对项目进度、项目质量和合同的履行情况进行监督检查。</w:t>
      </w:r>
    </w:p>
    <w:p>
      <w:pPr>
        <w:spacing w:line="360" w:lineRule="auto"/>
        <w:ind w:firstLine="480" w:firstLineChars="200"/>
        <w:rPr>
          <w:rFonts w:ascii="宋体" w:hAnsi="宋体" w:cs="宋体"/>
          <w:color w:val="auto"/>
          <w:sz w:val="24"/>
        </w:rPr>
      </w:pPr>
      <w:r>
        <w:rPr>
          <w:rFonts w:hint="eastAsia" w:ascii="宋体" w:hAnsi="宋体" w:cs="宋体"/>
          <w:color w:val="auto"/>
          <w:sz w:val="24"/>
        </w:rPr>
        <w:t>3、负责施工期间与被拆户以及相关部门的协调工作，为乙方的顺利施工做好准备，并按以上第四条约定的付款方式支付项目款，配合乙方办好结算工作，及时结算项目费用和项目尾款。</w:t>
      </w:r>
    </w:p>
    <w:p>
      <w:pPr>
        <w:spacing w:line="360" w:lineRule="auto"/>
        <w:ind w:firstLine="480" w:firstLineChars="200"/>
        <w:rPr>
          <w:rFonts w:ascii="宋体" w:hAnsi="宋体" w:cs="宋体"/>
          <w:color w:val="auto"/>
          <w:sz w:val="24"/>
        </w:rPr>
      </w:pPr>
      <w:r>
        <w:rPr>
          <w:rFonts w:hint="eastAsia" w:ascii="宋体" w:hAnsi="宋体" w:cs="宋体"/>
          <w:color w:val="auto"/>
          <w:sz w:val="24"/>
        </w:rPr>
        <w:t>4、确认现场拆除工程量及拆除方案，未经甲方确认的工程量及拆除方案不得作为结算依据。</w:t>
      </w:r>
    </w:p>
    <w:p>
      <w:pPr>
        <w:spacing w:line="360" w:lineRule="auto"/>
        <w:ind w:firstLine="480" w:firstLineChars="200"/>
        <w:rPr>
          <w:rFonts w:ascii="宋体" w:hAnsi="宋体" w:cs="宋体"/>
          <w:color w:val="auto"/>
          <w:sz w:val="24"/>
        </w:rPr>
      </w:pPr>
      <w:r>
        <w:rPr>
          <w:rFonts w:hint="eastAsia" w:ascii="宋体" w:hAnsi="宋体" w:cs="宋体"/>
          <w:color w:val="auto"/>
          <w:sz w:val="24"/>
        </w:rPr>
        <w:t>5、甲方有权对乙方实施的拆除项目进行考核，考核内容不限于实施进度、应急响应能力、拆除质量等内容。</w:t>
      </w:r>
    </w:p>
    <w:p>
      <w:pPr>
        <w:numPr>
          <w:ilvl w:val="0"/>
          <w:numId w:val="14"/>
        </w:numPr>
        <w:spacing w:line="360" w:lineRule="auto"/>
        <w:ind w:left="1350" w:hanging="420"/>
        <w:rPr>
          <w:rFonts w:ascii="宋体" w:hAnsi="宋体" w:cs="宋体"/>
          <w:color w:val="auto"/>
          <w:sz w:val="24"/>
        </w:rPr>
      </w:pPr>
      <w:r>
        <w:rPr>
          <w:rFonts w:hint="eastAsia" w:ascii="宋体" w:hAnsi="宋体" w:cs="宋体"/>
          <w:color w:val="auto"/>
          <w:sz w:val="24"/>
        </w:rPr>
        <w:t>乙方权利及义务</w:t>
      </w:r>
    </w:p>
    <w:p>
      <w:pPr>
        <w:spacing w:line="360" w:lineRule="auto"/>
        <w:ind w:firstLine="480" w:firstLineChars="200"/>
        <w:rPr>
          <w:rFonts w:ascii="宋体" w:hAnsi="宋体" w:cs="宋体"/>
          <w:color w:val="auto"/>
          <w:sz w:val="24"/>
        </w:rPr>
      </w:pPr>
      <w:r>
        <w:rPr>
          <w:rFonts w:hint="eastAsia" w:ascii="宋体" w:hAnsi="宋体" w:cs="宋体"/>
          <w:color w:val="auto"/>
          <w:sz w:val="24"/>
        </w:rPr>
        <w:t>1、乙方依据甲方要求拆除的建筑物情况核实建筑施工图纸、地上地下现有管线资料等，合理安排拆除机械及配合人员，编制合理的拆除方案及安全施工方案，明确具体的环保要求，并且对要求保护性拆除的建筑物提供保护性专项方案，在甲方规定的时间内拆除完毕。</w:t>
      </w:r>
    </w:p>
    <w:p>
      <w:pPr>
        <w:spacing w:line="360" w:lineRule="auto"/>
        <w:ind w:firstLine="480" w:firstLineChars="200"/>
        <w:rPr>
          <w:rFonts w:ascii="宋体" w:hAnsi="宋体" w:cs="宋体"/>
          <w:color w:val="auto"/>
          <w:sz w:val="24"/>
        </w:rPr>
      </w:pPr>
      <w:r>
        <w:rPr>
          <w:rFonts w:hint="eastAsia" w:ascii="宋体" w:hAnsi="宋体" w:cs="宋体"/>
          <w:color w:val="auto"/>
          <w:sz w:val="24"/>
        </w:rPr>
        <w:t>2、乙方须建立完善施工现场安全组织结构，明确岗位职责，在施工中出现的一切安全事故，由乙方自行解决，并承担由此产生的经济和法律责任。</w:t>
      </w:r>
    </w:p>
    <w:p>
      <w:pPr>
        <w:spacing w:line="360" w:lineRule="auto"/>
        <w:ind w:firstLine="480" w:firstLineChars="200"/>
        <w:rPr>
          <w:rFonts w:ascii="宋体" w:hAnsi="宋体" w:cs="宋体"/>
          <w:color w:val="auto"/>
          <w:sz w:val="24"/>
        </w:rPr>
      </w:pPr>
      <w:r>
        <w:rPr>
          <w:rFonts w:hint="eastAsia" w:ascii="宋体" w:hAnsi="宋体" w:cs="宋体"/>
          <w:color w:val="auto"/>
          <w:sz w:val="24"/>
        </w:rPr>
        <w:t>3、乙方依据甲方要求在施工现场必须委派一名现场负责人员及两名安全员，并向甲方提供相关人员名单、职务及岗位证书的复印件及联系电话。</w:t>
      </w:r>
    </w:p>
    <w:p>
      <w:pPr>
        <w:spacing w:line="360" w:lineRule="auto"/>
        <w:ind w:firstLine="480" w:firstLineChars="200"/>
        <w:rPr>
          <w:rFonts w:ascii="宋体" w:hAnsi="宋体" w:cs="宋体"/>
          <w:color w:val="auto"/>
          <w:sz w:val="24"/>
        </w:rPr>
      </w:pPr>
      <w:r>
        <w:rPr>
          <w:rFonts w:hint="eastAsia" w:ascii="宋体" w:hAnsi="宋体" w:cs="宋体"/>
          <w:color w:val="auto"/>
          <w:sz w:val="24"/>
        </w:rPr>
        <w:t>4、做好施工组织管理，建立完善施工现场安全组织结构，明确岗位职责，保证项目质量、确保安全生产和文明施工。施工期间如发生安全事故由乙方自行解决，并承担由此产生的经济和法律责任，并报告甲方或建设主管部门。</w:t>
      </w:r>
    </w:p>
    <w:p>
      <w:pPr>
        <w:spacing w:line="360" w:lineRule="auto"/>
        <w:ind w:firstLine="480" w:firstLineChars="200"/>
        <w:rPr>
          <w:rFonts w:ascii="宋体" w:hAnsi="宋体" w:cs="宋体"/>
          <w:color w:val="auto"/>
          <w:sz w:val="24"/>
        </w:rPr>
      </w:pPr>
      <w:r>
        <w:rPr>
          <w:rFonts w:hint="eastAsia" w:ascii="宋体" w:hAnsi="宋体" w:cs="宋体"/>
          <w:color w:val="auto"/>
          <w:sz w:val="24"/>
        </w:rPr>
        <w:t>5、乙方按甲方的要求进场（时间、地点）拆除已确定区域的建筑物，服从甲方的监督管理。</w:t>
      </w:r>
    </w:p>
    <w:p>
      <w:pPr>
        <w:spacing w:line="360" w:lineRule="auto"/>
        <w:ind w:firstLine="480" w:firstLineChars="200"/>
        <w:rPr>
          <w:rFonts w:ascii="宋体" w:hAnsi="宋体" w:cs="宋体"/>
          <w:color w:val="auto"/>
          <w:sz w:val="24"/>
        </w:rPr>
      </w:pPr>
      <w:r>
        <w:rPr>
          <w:rFonts w:hint="eastAsia" w:ascii="宋体" w:hAnsi="宋体" w:cs="宋体"/>
          <w:color w:val="auto"/>
          <w:sz w:val="24"/>
        </w:rPr>
        <w:t>6、工程竣工验收合格后清理现场。由乙方自行办理建筑垃圾消纳相关手续，并承担由此产生的所有费用。渣土清运车辆应按规定装载、遮盖严密，并清运至指定消纳地点。由于乙方未按相关规定导致的行政处罚由乙方自行承担。</w:t>
      </w:r>
    </w:p>
    <w:p>
      <w:pPr>
        <w:spacing w:line="360" w:lineRule="auto"/>
        <w:ind w:firstLine="480" w:firstLineChars="200"/>
        <w:rPr>
          <w:rFonts w:ascii="宋体" w:hAnsi="宋体" w:cs="宋体"/>
          <w:color w:val="auto"/>
          <w:sz w:val="24"/>
        </w:rPr>
      </w:pPr>
      <w:r>
        <w:rPr>
          <w:rFonts w:hint="eastAsia" w:ascii="宋体" w:hAnsi="宋体" w:cs="宋体"/>
          <w:color w:val="auto"/>
          <w:sz w:val="24"/>
        </w:rPr>
        <w:t>7、乙方不得以任何理由向甲方人员给付财物和其他利益，造成本项目质量问题及甲方其他损失的，乙方负责赔偿。</w:t>
      </w:r>
    </w:p>
    <w:p>
      <w:pPr>
        <w:spacing w:line="360" w:lineRule="auto"/>
        <w:ind w:firstLine="480" w:firstLineChars="200"/>
        <w:rPr>
          <w:rFonts w:ascii="宋体" w:hAnsi="宋体" w:cs="宋体"/>
          <w:color w:val="auto"/>
          <w:sz w:val="24"/>
        </w:rPr>
      </w:pPr>
      <w:r>
        <w:rPr>
          <w:rFonts w:hint="eastAsia" w:ascii="宋体" w:hAnsi="宋体" w:cs="宋体"/>
          <w:color w:val="auto"/>
          <w:sz w:val="24"/>
        </w:rPr>
        <w:t>8、乙方按甲方的要求进场（时间、地点）拆除已确定区域的建筑物。</w:t>
      </w:r>
    </w:p>
    <w:p>
      <w:pPr>
        <w:spacing w:line="360" w:lineRule="auto"/>
        <w:ind w:firstLine="480" w:firstLineChars="200"/>
        <w:rPr>
          <w:rFonts w:ascii="宋体" w:hAnsi="宋体" w:cs="宋体"/>
          <w:color w:val="auto"/>
          <w:sz w:val="24"/>
        </w:rPr>
      </w:pPr>
      <w:r>
        <w:rPr>
          <w:rFonts w:hint="eastAsia" w:ascii="宋体" w:hAnsi="宋体" w:cs="宋体"/>
          <w:color w:val="auto"/>
          <w:sz w:val="24"/>
        </w:rPr>
        <w:t>9、乙方应在拆除工作完成后3日内上报拆除项目工程量确认单。</w:t>
      </w:r>
    </w:p>
    <w:p>
      <w:pPr>
        <w:spacing w:line="360" w:lineRule="auto"/>
        <w:ind w:firstLine="480" w:firstLineChars="200"/>
        <w:rPr>
          <w:rFonts w:hint="eastAsia" w:ascii="宋体" w:hAnsi="宋体" w:cs="宋体"/>
          <w:color w:val="auto"/>
          <w:sz w:val="24"/>
        </w:rPr>
      </w:pPr>
      <w:r>
        <w:rPr>
          <w:rFonts w:hint="eastAsia" w:ascii="宋体" w:hAnsi="宋体" w:cs="宋体"/>
          <w:color w:val="auto"/>
          <w:sz w:val="24"/>
        </w:rPr>
        <w:t>10、接受甲方考核，并对考核结果负责，对于考核不合格内容及时进行整改，接受相应处罚。</w:t>
      </w:r>
    </w:p>
    <w:p>
      <w:pPr>
        <w:pStyle w:val="46"/>
        <w:ind w:left="0" w:leftChars="0" w:firstLine="480" w:firstLineChars="200"/>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11、乙方应与其聘用人员签署劳动合同或劳务合同，及时足额支付工资，缴纳社会保险费，乙方与其聘用人员之间的纠纷，均由乙方负责解决，与甲方无关。</w:t>
      </w:r>
    </w:p>
    <w:p>
      <w:pPr>
        <w:pStyle w:val="46"/>
        <w:ind w:left="0" w:leftChars="0" w:firstLine="480" w:firstLineChars="200"/>
        <w:rPr>
          <w:rFonts w:hint="eastAsia" w:ascii="宋体" w:hAnsi="宋体" w:cs="宋体"/>
          <w:color w:val="auto"/>
          <w:kern w:val="2"/>
          <w:sz w:val="24"/>
          <w:szCs w:val="24"/>
          <w:lang w:val="en-US" w:eastAsia="zh-CN" w:bidi="ar-SA"/>
        </w:rPr>
      </w:pPr>
      <w:r>
        <w:rPr>
          <w:rFonts w:hint="eastAsia" w:ascii="宋体" w:hAnsi="宋体" w:cs="宋体"/>
          <w:color w:val="auto"/>
          <w:kern w:val="2"/>
          <w:sz w:val="24"/>
          <w:szCs w:val="24"/>
          <w:lang w:val="en-US" w:eastAsia="zh-CN" w:bidi="ar-SA"/>
        </w:rPr>
        <w:t>12、</w:t>
      </w:r>
      <w:r>
        <w:rPr>
          <w:rFonts w:hint="eastAsia" w:ascii="宋体" w:hAnsi="宋体" w:eastAsia="宋体" w:cs="宋体"/>
          <w:color w:val="auto"/>
          <w:kern w:val="2"/>
          <w:sz w:val="24"/>
          <w:szCs w:val="24"/>
          <w:lang w:val="en-US" w:eastAsia="zh-CN" w:bidi="ar-SA"/>
        </w:rPr>
        <w:t>乙方不得将本合同项下的工程内容转包、分包给第三人，不得以联营、合作、挂靠等任何形式让第三人实施本合同项下的工程内容，否则，甲方有权要求乙方承担本合同工程款总额30%的违约金，同时甲方有权解除本合同，并有权要求乙方在7个工作日内撤场完毕，双方约定乙方撤场完毕后再进行已完工的工程总结算，因乙方违反本条款造成的全部损失由乙方承担全部责任</w:t>
      </w:r>
      <w:r>
        <w:rPr>
          <w:rFonts w:hint="eastAsia" w:ascii="宋体" w:hAnsi="宋体" w:cs="宋体"/>
          <w:color w:val="auto"/>
          <w:kern w:val="2"/>
          <w:sz w:val="24"/>
          <w:szCs w:val="24"/>
          <w:lang w:val="en-US" w:eastAsia="zh-CN" w:bidi="ar-SA"/>
        </w:rPr>
        <w:t>。</w:t>
      </w:r>
    </w:p>
    <w:p>
      <w:pPr>
        <w:pStyle w:val="46"/>
        <w:spacing w:line="360" w:lineRule="auto"/>
        <w:ind w:left="0" w:leftChars="0"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13.乙方就本合同项下的所有债权不得以任何形式（包括但不限于债权转让、质押、赠与等）转让给第三人。</w:t>
      </w:r>
    </w:p>
    <w:p>
      <w:pPr>
        <w:pStyle w:val="46"/>
        <w:spacing w:line="360" w:lineRule="auto"/>
        <w:ind w:left="0" w:leftChars="0" w:firstLine="480"/>
        <w:rPr>
          <w:rFonts w:hint="default" w:ascii="宋体" w:hAnsi="宋体" w:cs="宋体"/>
          <w:color w:val="auto"/>
          <w:kern w:val="2"/>
          <w:sz w:val="24"/>
          <w:szCs w:val="24"/>
          <w:lang w:val="en-US" w:eastAsia="zh-CN" w:bidi="ar-SA"/>
        </w:rPr>
      </w:pPr>
      <w:r>
        <w:rPr>
          <w:rFonts w:hint="eastAsia" w:ascii="宋体" w:hAnsi="宋体" w:eastAsia="宋体" w:cs="宋体"/>
          <w:color w:val="auto"/>
          <w:sz w:val="24"/>
          <w:szCs w:val="24"/>
          <w:highlight w:val="none"/>
          <w:lang w:val="en-US" w:eastAsia="zh-CN"/>
        </w:rPr>
        <w:t>14.乙方在履行本合同过程中应严格遵守保密义务，对所获悉的与甲方有关的一切信息和资料，不得泄露，保密期限为永久。泄密责任：承担由此给甲方造成的相应经济损失。</w:t>
      </w:r>
    </w:p>
    <w:p>
      <w:pPr>
        <w:spacing w:line="360" w:lineRule="auto"/>
        <w:ind w:firstLine="482" w:firstLineChars="200"/>
        <w:rPr>
          <w:rFonts w:ascii="宋体" w:hAnsi="宋体" w:cs="宋体"/>
          <w:b/>
          <w:color w:val="auto"/>
          <w:sz w:val="24"/>
        </w:rPr>
      </w:pPr>
      <w:r>
        <w:rPr>
          <w:rFonts w:hint="eastAsia" w:ascii="宋体" w:hAnsi="宋体" w:cs="宋体"/>
          <w:b/>
          <w:color w:val="auto"/>
          <w:sz w:val="24"/>
        </w:rPr>
        <w:t>第八条：考核制度</w:t>
      </w:r>
    </w:p>
    <w:p>
      <w:pPr>
        <w:spacing w:line="360" w:lineRule="auto"/>
        <w:ind w:firstLine="484" w:firstLineChars="202"/>
        <w:rPr>
          <w:rFonts w:ascii="宋体" w:hAnsi="宋体" w:cs="宋体"/>
          <w:color w:val="auto"/>
          <w:sz w:val="24"/>
        </w:rPr>
      </w:pPr>
      <w:r>
        <w:rPr>
          <w:rFonts w:hint="eastAsia" w:ascii="宋体" w:hAnsi="宋体" w:cs="宋体"/>
          <w:color w:val="auto"/>
          <w:sz w:val="24"/>
        </w:rPr>
        <w:t xml:space="preserve">乙方按照拆除面积每1万平方米100分计算，形成记分与工程量的关系，被扣除队伍的分值，相应给予其他队伍进行加分。 </w:t>
      </w:r>
    </w:p>
    <w:p>
      <w:pPr>
        <w:spacing w:line="360" w:lineRule="auto"/>
        <w:ind w:firstLine="484" w:firstLineChars="202"/>
        <w:rPr>
          <w:rFonts w:ascii="宋体" w:hAnsi="宋体" w:cs="宋体"/>
          <w:color w:val="auto"/>
          <w:sz w:val="24"/>
        </w:rPr>
      </w:pPr>
      <w:r>
        <w:rPr>
          <w:rFonts w:hint="eastAsia" w:ascii="宋体" w:hAnsi="宋体" w:cs="宋体"/>
          <w:color w:val="auto"/>
          <w:sz w:val="24"/>
        </w:rPr>
        <w:t>1、每次拆除工作前3个工作日内，由乙方根据项目需要就具体拆除工作向甲方提供拆除方案，明确施工造价、拆除内容、质量标准、完成时限等，施工前乙方代表与甲方代表现场对拟拆除建筑进行测量，并签订工程量确认单，作为最终结算依据。如未按时报送拆除方案视同放弃此次拆除任务，如未按时签订工程量确认单日后将不予以补签。按拆除方案指定时间按时到达现场，迟到一次将扣除乙方10分。</w:t>
      </w:r>
    </w:p>
    <w:p>
      <w:pPr>
        <w:spacing w:line="360" w:lineRule="auto"/>
        <w:ind w:firstLine="484" w:firstLineChars="202"/>
        <w:rPr>
          <w:rFonts w:ascii="宋体" w:hAnsi="宋体" w:cs="宋体"/>
          <w:color w:val="auto"/>
          <w:sz w:val="24"/>
        </w:rPr>
      </w:pPr>
      <w:r>
        <w:rPr>
          <w:rFonts w:hint="eastAsia" w:ascii="宋体" w:hAnsi="宋体" w:cs="宋体"/>
          <w:color w:val="auto"/>
          <w:sz w:val="24"/>
        </w:rPr>
        <w:t>2、拆除期间，乙方施工人员全部统一着装，佩戴安全头盔，根据实际需要，对施工场地周边设置安全警戒线，场地进出口安排专人把守，并对施工车辆配发出入证，防止无关人员及车辆入内影响施工安全，如发现一次一人未佩戴安全头盔或高空作业未系安全带将扣处乙方5分，如未设置安全警戒线将扣除乙方10分。</w:t>
      </w:r>
    </w:p>
    <w:p>
      <w:pPr>
        <w:spacing w:line="360" w:lineRule="auto"/>
        <w:ind w:firstLine="484" w:firstLineChars="202"/>
        <w:rPr>
          <w:rFonts w:ascii="宋体" w:hAnsi="宋体" w:cs="宋体"/>
          <w:color w:val="auto"/>
          <w:sz w:val="24"/>
        </w:rPr>
      </w:pPr>
      <w:r>
        <w:rPr>
          <w:rFonts w:hint="eastAsia" w:ascii="宋体" w:hAnsi="宋体" w:cs="宋体"/>
          <w:color w:val="auto"/>
          <w:sz w:val="24"/>
        </w:rPr>
        <w:t>3、为保证施工效率，拆除过程中，由专人负责现场拆除及运输工作的指挥调度，全部实行机械化作业，并配备专业洒水、降尘装置，裸露土地、渣土全部按照《北京市城市卫生管理条例》进行苫盖，所用拆除作业机械必须达到环保要求。如遇特殊情况需人工拆除，经甲方同意后，在专职安全员指导下，规范作业，确保如期完成拆除任务。如未安排专职安全员，将扣除乙方10分，如未配备专业洒水、降尘装置扣除乙方10分。</w:t>
      </w:r>
    </w:p>
    <w:p>
      <w:pPr>
        <w:spacing w:line="360" w:lineRule="auto"/>
        <w:ind w:firstLine="484" w:firstLineChars="202"/>
        <w:rPr>
          <w:rFonts w:ascii="宋体" w:hAnsi="宋体" w:cs="宋体"/>
          <w:color w:val="auto"/>
          <w:sz w:val="24"/>
        </w:rPr>
      </w:pPr>
      <w:r>
        <w:rPr>
          <w:rFonts w:hint="eastAsia" w:ascii="宋体" w:hAnsi="宋体" w:cs="宋体"/>
          <w:color w:val="auto"/>
          <w:sz w:val="24"/>
        </w:rPr>
        <w:t>4、乙方负责对施工场地地貌进行平整恢复，做到场清地平，因拆除产生的建筑垃圾有序存放，并及时清运至木林镇域范围外正规消纳处置场所。如未将建筑垃圾按时清理到正规消纳场所，扣除乙方10分，如引起不良舆论致使甲方造成损失的直接解除其合同。</w:t>
      </w:r>
    </w:p>
    <w:p>
      <w:pPr>
        <w:spacing w:line="360" w:lineRule="auto"/>
        <w:ind w:firstLine="484" w:firstLineChars="202"/>
        <w:rPr>
          <w:rFonts w:ascii="宋体" w:hAnsi="宋体" w:cs="宋体"/>
          <w:color w:val="auto"/>
          <w:sz w:val="24"/>
        </w:rPr>
      </w:pPr>
      <w:r>
        <w:rPr>
          <w:rFonts w:hint="eastAsia" w:ascii="宋体" w:hAnsi="宋体" w:cs="宋体"/>
          <w:color w:val="auto"/>
          <w:sz w:val="24"/>
        </w:rPr>
        <w:t>5、拆除施工时必须按照安全监管部门要求采取有效的安全保障措施，场内配备安全巡查及24小时值班人员，所有涉及水、电、焊及特种机械作业人员全部持证上岗，施工期间如发生任何安全问题及由此产生的费用由乙方全部承担。如未安排巡查人员扣除乙方10分，如特种作业人员未持证上岗扣除乙方10分，如未按照要求配备灭火器扣除乙方10分，如发生安全生产事故乙方在承担全部责任的基础上，如引起不良舆论或上访事件造成损失的直接解除其合同。</w:t>
      </w:r>
    </w:p>
    <w:p>
      <w:pPr>
        <w:spacing w:line="360" w:lineRule="auto"/>
        <w:ind w:firstLine="484" w:firstLineChars="202"/>
        <w:rPr>
          <w:rFonts w:ascii="宋体" w:hAnsi="宋体" w:cs="宋体"/>
          <w:color w:val="auto"/>
          <w:sz w:val="24"/>
        </w:rPr>
      </w:pPr>
      <w:r>
        <w:rPr>
          <w:rFonts w:hint="eastAsia" w:ascii="宋体" w:hAnsi="宋体" w:cs="宋体"/>
          <w:color w:val="auto"/>
          <w:sz w:val="24"/>
        </w:rPr>
        <w:t>6、如乙方未按照拆除方案时限约定延期，延期一天扣除乙方10分，造成甲方在区级部门规定时限内未完成任务，造成一定影响直接直接解除其合同。</w:t>
      </w:r>
    </w:p>
    <w:p>
      <w:pPr>
        <w:spacing w:line="360" w:lineRule="auto"/>
        <w:ind w:firstLine="482" w:firstLineChars="200"/>
        <w:rPr>
          <w:rFonts w:ascii="宋体" w:hAnsi="宋体" w:cs="宋体"/>
          <w:b/>
          <w:color w:val="auto"/>
          <w:sz w:val="24"/>
        </w:rPr>
      </w:pPr>
      <w:r>
        <w:rPr>
          <w:rFonts w:hint="eastAsia" w:ascii="宋体" w:hAnsi="宋体" w:cs="宋体"/>
          <w:b/>
          <w:color w:val="auto"/>
          <w:sz w:val="24"/>
        </w:rPr>
        <w:t>第九条：乙方安全责任</w:t>
      </w:r>
    </w:p>
    <w:p>
      <w:pPr>
        <w:spacing w:line="360" w:lineRule="auto"/>
        <w:ind w:firstLine="480" w:firstLineChars="200"/>
        <w:rPr>
          <w:rFonts w:ascii="宋体" w:hAnsi="宋体" w:cs="宋体"/>
          <w:color w:val="auto"/>
          <w:sz w:val="24"/>
        </w:rPr>
      </w:pPr>
      <w:r>
        <w:rPr>
          <w:rFonts w:hint="eastAsia" w:ascii="宋体" w:hAnsi="宋体" w:cs="宋体"/>
          <w:color w:val="auto"/>
          <w:sz w:val="24"/>
        </w:rPr>
        <w:t>1、按照甲方拆除范围及时间，组织人员进场施工。</w:t>
      </w:r>
    </w:p>
    <w:p>
      <w:pPr>
        <w:spacing w:line="360" w:lineRule="auto"/>
        <w:ind w:firstLine="480" w:firstLineChars="200"/>
        <w:rPr>
          <w:rFonts w:ascii="宋体" w:hAnsi="宋体" w:cs="宋体"/>
          <w:color w:val="auto"/>
          <w:sz w:val="24"/>
        </w:rPr>
      </w:pPr>
      <w:r>
        <w:rPr>
          <w:rFonts w:hint="eastAsia" w:ascii="宋体" w:hAnsi="宋体" w:cs="宋体"/>
          <w:color w:val="auto"/>
          <w:sz w:val="24"/>
        </w:rPr>
        <w:t>2、负责制定拆除工程现场安全操作规程，对施工人员进行安全交底，按安全程序施工并指派现场安全检查员。</w:t>
      </w:r>
    </w:p>
    <w:p>
      <w:pPr>
        <w:spacing w:line="360" w:lineRule="auto"/>
        <w:ind w:firstLine="540" w:firstLineChars="225"/>
        <w:rPr>
          <w:rFonts w:ascii="宋体" w:hAnsi="宋体" w:cs="宋体"/>
          <w:color w:val="auto"/>
          <w:sz w:val="24"/>
        </w:rPr>
      </w:pPr>
      <w:r>
        <w:rPr>
          <w:rFonts w:hint="eastAsia" w:ascii="宋体" w:hAnsi="宋体" w:cs="宋体"/>
          <w:color w:val="auto"/>
          <w:sz w:val="24"/>
        </w:rPr>
        <w:t>3、建立完善施工现场安全组织机构，明确岗位、职责。</w:t>
      </w:r>
    </w:p>
    <w:p>
      <w:pPr>
        <w:spacing w:line="360" w:lineRule="auto"/>
        <w:ind w:left="540"/>
        <w:rPr>
          <w:rFonts w:ascii="宋体" w:hAnsi="宋体" w:cs="宋体"/>
          <w:color w:val="auto"/>
          <w:sz w:val="24"/>
        </w:rPr>
      </w:pPr>
      <w:r>
        <w:rPr>
          <w:rFonts w:hint="eastAsia" w:ascii="宋体" w:hAnsi="宋体" w:cs="宋体"/>
          <w:color w:val="auto"/>
          <w:sz w:val="24"/>
        </w:rPr>
        <w:t>4、接受甲方提出的安全处理意见，并及时改正。</w:t>
      </w:r>
    </w:p>
    <w:p>
      <w:pPr>
        <w:spacing w:line="360" w:lineRule="auto"/>
        <w:ind w:firstLine="480" w:firstLineChars="200"/>
        <w:rPr>
          <w:rFonts w:ascii="宋体" w:hAnsi="宋体" w:cs="宋体"/>
          <w:color w:val="auto"/>
          <w:sz w:val="24"/>
        </w:rPr>
      </w:pPr>
      <w:r>
        <w:rPr>
          <w:rFonts w:hint="eastAsia" w:ascii="宋体" w:hAnsi="宋体" w:cs="宋体"/>
          <w:color w:val="auto"/>
          <w:sz w:val="24"/>
        </w:rPr>
        <w:t>5、拆除施工中发生的一切不安全情况由乙方自行解决，违反国家规定的安全操作规程，造成意外事故的损失由乙方承担。出现断水、断电及扰民问题，由乙方自行解决。</w:t>
      </w:r>
    </w:p>
    <w:p>
      <w:pPr>
        <w:spacing w:line="360" w:lineRule="auto"/>
        <w:ind w:left="420" w:firstLine="241" w:firstLineChars="100"/>
        <w:rPr>
          <w:rFonts w:ascii="宋体" w:hAnsi="宋体" w:cs="宋体"/>
          <w:b/>
          <w:color w:val="auto"/>
          <w:sz w:val="24"/>
        </w:rPr>
      </w:pPr>
      <w:r>
        <w:rPr>
          <w:rFonts w:hint="eastAsia" w:ascii="宋体" w:hAnsi="宋体" w:cs="宋体"/>
          <w:b/>
          <w:color w:val="auto"/>
          <w:sz w:val="24"/>
        </w:rPr>
        <w:t>第十条：乙方环保责任</w:t>
      </w:r>
    </w:p>
    <w:p>
      <w:pPr>
        <w:tabs>
          <w:tab w:val="left" w:pos="0"/>
        </w:tabs>
        <w:spacing w:line="360" w:lineRule="auto"/>
        <w:ind w:firstLine="480" w:firstLineChars="200"/>
        <w:rPr>
          <w:rFonts w:ascii="宋体" w:hAnsi="宋体" w:cs="宋体"/>
          <w:color w:val="auto"/>
          <w:sz w:val="24"/>
        </w:rPr>
      </w:pPr>
      <w:r>
        <w:rPr>
          <w:rFonts w:hint="eastAsia" w:ascii="宋体" w:hAnsi="宋体" w:cs="宋体"/>
          <w:color w:val="auto"/>
          <w:sz w:val="24"/>
        </w:rPr>
        <w:t>1、制定拆除施工方案，提出具体的防止扬尘、渣土清运等环保措施，明确拆迁工地具体的环保要求和环保责任人。</w:t>
      </w:r>
    </w:p>
    <w:p>
      <w:pPr>
        <w:tabs>
          <w:tab w:val="left" w:pos="0"/>
        </w:tabs>
        <w:spacing w:line="360" w:lineRule="auto"/>
        <w:ind w:firstLine="480" w:firstLineChars="200"/>
        <w:rPr>
          <w:rFonts w:ascii="宋体" w:hAnsi="宋体" w:cs="宋体"/>
          <w:color w:val="auto"/>
          <w:sz w:val="24"/>
        </w:rPr>
      </w:pPr>
      <w:r>
        <w:rPr>
          <w:rFonts w:hint="eastAsia" w:ascii="宋体" w:hAnsi="宋体" w:cs="宋体"/>
          <w:color w:val="auto"/>
          <w:sz w:val="24"/>
        </w:rPr>
        <w:t>2、拆除工地外围应当设置围挡，防止物料、渣土遗撒，并及时清理工程外围道路遗撒的渣土，适当洒水，防止扬尘。拆迁工地现场应设置围挡。</w:t>
      </w:r>
    </w:p>
    <w:p>
      <w:pPr>
        <w:tabs>
          <w:tab w:val="left" w:pos="0"/>
        </w:tabs>
        <w:spacing w:line="360" w:lineRule="auto"/>
        <w:ind w:firstLine="480" w:firstLineChars="200"/>
        <w:rPr>
          <w:rFonts w:ascii="宋体" w:hAnsi="宋体" w:cs="宋体"/>
          <w:color w:val="auto"/>
          <w:sz w:val="24"/>
        </w:rPr>
      </w:pPr>
      <w:r>
        <w:rPr>
          <w:rFonts w:hint="eastAsia" w:ascii="宋体" w:hAnsi="宋体" w:cs="宋体"/>
          <w:color w:val="auto"/>
          <w:sz w:val="24"/>
        </w:rPr>
        <w:t>3、拆除工地应按规定办理渣土消纳证，经常保持清洁卫生，拆除房屋过程中应当随拆随洒水，避免大量扬尘。对拆除楼房的施工垃圾，必须设置封闭式临时专用垃圾道或者采用容器吊运，严禁随意凌空抛撒。</w:t>
      </w:r>
    </w:p>
    <w:p>
      <w:pPr>
        <w:tabs>
          <w:tab w:val="left" w:pos="0"/>
        </w:tabs>
        <w:spacing w:line="360" w:lineRule="auto"/>
        <w:ind w:firstLine="480" w:firstLineChars="200"/>
        <w:rPr>
          <w:rFonts w:ascii="宋体" w:hAnsi="宋体" w:cs="宋体"/>
          <w:color w:val="auto"/>
          <w:sz w:val="24"/>
        </w:rPr>
      </w:pPr>
      <w:r>
        <w:rPr>
          <w:rFonts w:hint="eastAsia" w:ascii="宋体" w:hAnsi="宋体" w:cs="宋体"/>
          <w:color w:val="auto"/>
          <w:sz w:val="24"/>
        </w:rPr>
        <w:t>4、拆除工地渣土应当设专门人员管理，定期洒水和苫盖，并配备必要的洒水、排水设施。拆迁工地的垃圾应当及时清运，遇特殊情况暂存时应得到甲方现场管理人员的认可，在指定地点集中堆放，要求有围挡、有苫盖。</w:t>
      </w:r>
    </w:p>
    <w:p>
      <w:pPr>
        <w:spacing w:line="360" w:lineRule="auto"/>
        <w:ind w:firstLine="480" w:firstLineChars="200"/>
        <w:rPr>
          <w:rFonts w:ascii="宋体" w:hAnsi="宋体" w:cs="宋体"/>
          <w:color w:val="auto"/>
          <w:sz w:val="24"/>
        </w:rPr>
      </w:pPr>
      <w:r>
        <w:rPr>
          <w:rFonts w:hint="eastAsia" w:ascii="宋体" w:hAnsi="宋体" w:cs="宋体"/>
          <w:color w:val="auto"/>
          <w:sz w:val="24"/>
        </w:rPr>
        <w:t>5、渣土清运车辆应当按照规定装载，装载的垃圾渣土高度不得超过车辆槽帮上沿，并应当苫盖严密，沿途不得遗撒，注意冲洗车轮，车辆不带泥上路。</w:t>
      </w:r>
    </w:p>
    <w:p>
      <w:pPr>
        <w:spacing w:line="360" w:lineRule="auto"/>
        <w:ind w:firstLine="463" w:firstLineChars="192"/>
        <w:rPr>
          <w:rFonts w:ascii="宋体" w:hAnsi="宋体" w:cs="宋体"/>
          <w:b/>
          <w:color w:val="auto"/>
          <w:sz w:val="24"/>
        </w:rPr>
      </w:pPr>
      <w:r>
        <w:rPr>
          <w:rFonts w:hint="eastAsia" w:ascii="宋体" w:hAnsi="宋体" w:cs="宋体"/>
          <w:b/>
          <w:color w:val="auto"/>
          <w:sz w:val="24"/>
        </w:rPr>
        <w:t>第十一条：文明施工</w:t>
      </w:r>
    </w:p>
    <w:p>
      <w:pPr>
        <w:spacing w:line="360" w:lineRule="auto"/>
        <w:ind w:left="540"/>
        <w:rPr>
          <w:rFonts w:ascii="宋体" w:hAnsi="宋体" w:cs="宋体"/>
          <w:color w:val="auto"/>
          <w:sz w:val="24"/>
        </w:rPr>
      </w:pPr>
      <w:r>
        <w:rPr>
          <w:rFonts w:hint="eastAsia" w:ascii="宋体" w:hAnsi="宋体" w:cs="宋体"/>
          <w:color w:val="auto"/>
          <w:sz w:val="24"/>
        </w:rPr>
        <w:t>1、乙方施工人员应着装整齐，配带统一标志，戴安全帽。</w:t>
      </w:r>
    </w:p>
    <w:p>
      <w:pPr>
        <w:spacing w:line="360" w:lineRule="auto"/>
        <w:ind w:firstLine="540" w:firstLineChars="225"/>
        <w:rPr>
          <w:rFonts w:ascii="宋体" w:hAnsi="宋体" w:cs="宋体"/>
          <w:color w:val="auto"/>
          <w:sz w:val="24"/>
        </w:rPr>
      </w:pPr>
      <w:r>
        <w:rPr>
          <w:rFonts w:hint="eastAsia" w:ascii="宋体" w:hAnsi="宋体" w:cs="宋体"/>
          <w:color w:val="auto"/>
          <w:sz w:val="24"/>
        </w:rPr>
        <w:t>2、乙方应保证施工现场内、外清洁卫生，交通道路畅通。</w:t>
      </w:r>
    </w:p>
    <w:p>
      <w:pPr>
        <w:spacing w:line="360" w:lineRule="auto"/>
        <w:ind w:firstLine="540" w:firstLineChars="225"/>
        <w:rPr>
          <w:rFonts w:ascii="宋体" w:hAnsi="宋体" w:cs="宋体"/>
          <w:color w:val="auto"/>
          <w:sz w:val="24"/>
        </w:rPr>
      </w:pPr>
      <w:r>
        <w:rPr>
          <w:rFonts w:hint="eastAsia" w:ascii="宋体" w:hAnsi="宋体" w:cs="宋体"/>
          <w:color w:val="auto"/>
          <w:sz w:val="24"/>
        </w:rPr>
        <w:t>3、乙方应保证在用市政、公用设施完好、畅通。</w:t>
      </w:r>
    </w:p>
    <w:p>
      <w:pPr>
        <w:spacing w:line="360" w:lineRule="auto"/>
        <w:ind w:firstLine="540" w:firstLineChars="225"/>
        <w:rPr>
          <w:rFonts w:ascii="宋体" w:hAnsi="宋体" w:cs="宋体"/>
          <w:color w:val="auto"/>
          <w:sz w:val="24"/>
        </w:rPr>
      </w:pPr>
      <w:r>
        <w:rPr>
          <w:rFonts w:hint="eastAsia" w:ascii="宋体" w:hAnsi="宋体" w:cs="宋体"/>
          <w:color w:val="auto"/>
          <w:sz w:val="24"/>
        </w:rPr>
        <w:t>4、施工现场主要出入口设立标牌，明确拆迁人、施工单位、环保负责人、拆除期限。</w:t>
      </w:r>
    </w:p>
    <w:p>
      <w:pPr>
        <w:spacing w:line="360" w:lineRule="auto"/>
        <w:ind w:firstLine="480" w:firstLineChars="200"/>
        <w:rPr>
          <w:rFonts w:ascii="宋体" w:hAnsi="宋体" w:cs="宋体"/>
          <w:color w:val="auto"/>
          <w:sz w:val="24"/>
        </w:rPr>
      </w:pPr>
      <w:r>
        <w:rPr>
          <w:rFonts w:hint="eastAsia" w:ascii="宋体" w:hAnsi="宋体" w:cs="宋体"/>
          <w:color w:val="auto"/>
          <w:sz w:val="24"/>
        </w:rPr>
        <w:t>5、乙方施工中现场扬尘、噪音污染及渣土清运等环保措施，严格按甲方审核通过的《施工方案》规定执行。</w:t>
      </w:r>
    </w:p>
    <w:p>
      <w:pPr>
        <w:spacing w:line="360" w:lineRule="auto"/>
        <w:ind w:firstLine="241" w:firstLineChars="100"/>
        <w:rPr>
          <w:rFonts w:ascii="宋体" w:hAnsi="宋体" w:cs="宋体"/>
          <w:b/>
          <w:color w:val="auto"/>
          <w:sz w:val="24"/>
        </w:rPr>
      </w:pPr>
      <w:r>
        <w:rPr>
          <w:rFonts w:hint="eastAsia" w:ascii="宋体" w:hAnsi="宋体" w:cs="宋体"/>
          <w:b/>
          <w:color w:val="auto"/>
          <w:sz w:val="24"/>
        </w:rPr>
        <w:t>第十二条：违约责任</w:t>
      </w:r>
    </w:p>
    <w:p>
      <w:pPr>
        <w:spacing w:line="360" w:lineRule="auto"/>
        <w:rPr>
          <w:rFonts w:ascii="宋体" w:hAnsi="宋体" w:cs="宋体"/>
          <w:color w:val="auto"/>
          <w:sz w:val="24"/>
        </w:rPr>
      </w:pPr>
      <w:r>
        <w:rPr>
          <w:rFonts w:hint="eastAsia" w:ascii="宋体" w:hAnsi="宋体" w:cs="宋体"/>
          <w:color w:val="auto"/>
          <w:sz w:val="24"/>
        </w:rPr>
        <w:t xml:space="preserve">  乙方违约责任</w:t>
      </w:r>
    </w:p>
    <w:p>
      <w:pPr>
        <w:spacing w:line="360" w:lineRule="auto"/>
        <w:ind w:firstLine="480" w:firstLineChars="200"/>
        <w:rPr>
          <w:rFonts w:ascii="宋体" w:hAnsi="宋体" w:cs="宋体"/>
          <w:color w:val="auto"/>
          <w:sz w:val="24"/>
        </w:rPr>
      </w:pPr>
      <w:r>
        <w:rPr>
          <w:rFonts w:hint="eastAsia" w:ascii="宋体" w:hAnsi="宋体" w:cs="宋体"/>
          <w:color w:val="auto"/>
          <w:sz w:val="24"/>
        </w:rPr>
        <w:t>1、乙方原因未按甲方要求合理时间或乙方承诺到场时间到场实施拆除的，乙方承担违约责任，逾期到场违约金1000元/次，由于逾期到场导致拆除任务不能完成的，乙方向甲方支付违约金为当次拆除项目拆除费的3%。</w:t>
      </w:r>
    </w:p>
    <w:p>
      <w:pPr>
        <w:spacing w:line="360" w:lineRule="auto"/>
        <w:ind w:firstLine="480" w:firstLineChars="200"/>
        <w:rPr>
          <w:rFonts w:ascii="宋体" w:hAnsi="宋体" w:cs="宋体"/>
          <w:color w:val="auto"/>
          <w:sz w:val="24"/>
        </w:rPr>
      </w:pPr>
      <w:r>
        <w:rPr>
          <w:rFonts w:hint="eastAsia" w:ascii="宋体" w:hAnsi="宋体" w:cs="宋体"/>
          <w:color w:val="auto"/>
          <w:sz w:val="24"/>
        </w:rPr>
        <w:t>2、因乙方原因导致本项目某个时段不能按时完工，乙方承担违约责任，由乙方向甲方按合同总价的</w:t>
      </w:r>
      <w:r>
        <w:rPr>
          <w:rFonts w:hint="eastAsia" w:ascii="宋体" w:hAnsi="宋体" w:cs="宋体"/>
          <w:color w:val="auto"/>
          <w:sz w:val="24"/>
          <w:u w:val="single"/>
        </w:rPr>
        <w:t>1%</w:t>
      </w:r>
      <w:r>
        <w:rPr>
          <w:rFonts w:hint="eastAsia" w:ascii="宋体" w:hAnsi="宋体" w:cs="宋体"/>
          <w:color w:val="auto"/>
          <w:sz w:val="24"/>
        </w:rPr>
        <w:t>偿付逾期违约金。</w:t>
      </w:r>
    </w:p>
    <w:p>
      <w:pPr>
        <w:spacing w:line="360" w:lineRule="auto"/>
        <w:ind w:firstLine="480" w:firstLineChars="200"/>
        <w:rPr>
          <w:rFonts w:ascii="宋体" w:hAnsi="宋体" w:cs="宋体"/>
          <w:color w:val="auto"/>
          <w:sz w:val="24"/>
        </w:rPr>
      </w:pPr>
      <w:r>
        <w:rPr>
          <w:rFonts w:hint="eastAsia" w:ascii="宋体" w:hAnsi="宋体" w:cs="宋体"/>
          <w:color w:val="auto"/>
          <w:sz w:val="24"/>
        </w:rPr>
        <w:t>3、乙方履约期间，不得出现农民工讨薪等集体事件，如有发生，甲方有权停止支付全部合同款项用于优先支付农民工工资，乙方同时承担逾期支付农民工薪资2倍以上的违约金。</w:t>
      </w:r>
    </w:p>
    <w:p>
      <w:pPr>
        <w:spacing w:line="360" w:lineRule="auto"/>
        <w:ind w:firstLine="241" w:firstLineChars="100"/>
        <w:rPr>
          <w:rFonts w:ascii="宋体" w:hAnsi="宋体" w:cs="宋体"/>
          <w:b/>
          <w:color w:val="auto"/>
          <w:sz w:val="24"/>
        </w:rPr>
      </w:pPr>
      <w:r>
        <w:rPr>
          <w:rFonts w:hint="eastAsia" w:ascii="宋体" w:hAnsi="宋体" w:cs="宋体"/>
          <w:b/>
          <w:color w:val="auto"/>
          <w:sz w:val="24"/>
        </w:rPr>
        <w:t>第十三条：合同解除的条件</w:t>
      </w:r>
    </w:p>
    <w:p>
      <w:pPr>
        <w:numPr>
          <w:ilvl w:val="0"/>
          <w:numId w:val="15"/>
        </w:numPr>
        <w:spacing w:line="360" w:lineRule="auto"/>
        <w:ind w:left="210" w:leftChars="100" w:firstLine="480" w:firstLineChars="200"/>
        <w:rPr>
          <w:rFonts w:ascii="宋体" w:hAnsi="宋体" w:cs="宋体"/>
          <w:color w:val="auto"/>
          <w:sz w:val="24"/>
        </w:rPr>
      </w:pPr>
      <w:r>
        <w:rPr>
          <w:rFonts w:hint="eastAsia" w:ascii="宋体" w:hAnsi="宋体" w:cs="宋体"/>
          <w:color w:val="auto"/>
          <w:sz w:val="24"/>
        </w:rPr>
        <w:t>双方当事人经过自愿协商同意，并且不因此损害国家利益和社会公共利益。</w:t>
      </w:r>
    </w:p>
    <w:p>
      <w:pPr>
        <w:numPr>
          <w:ilvl w:val="0"/>
          <w:numId w:val="15"/>
        </w:numPr>
        <w:spacing w:line="360" w:lineRule="auto"/>
        <w:ind w:left="210" w:leftChars="100" w:firstLine="480" w:firstLineChars="200"/>
        <w:rPr>
          <w:rFonts w:ascii="宋体" w:hAnsi="宋体" w:cs="宋体"/>
          <w:color w:val="auto"/>
          <w:sz w:val="24"/>
        </w:rPr>
      </w:pPr>
      <w:r>
        <w:rPr>
          <w:rFonts w:hint="eastAsia" w:ascii="宋体" w:hAnsi="宋体" w:cs="宋体"/>
          <w:color w:val="auto"/>
          <w:sz w:val="24"/>
        </w:rPr>
        <w:t>由于不可抗力致使合同的内容不能继续履行的。</w:t>
      </w:r>
    </w:p>
    <w:p>
      <w:pPr>
        <w:numPr>
          <w:ilvl w:val="0"/>
          <w:numId w:val="15"/>
        </w:numPr>
        <w:spacing w:line="360" w:lineRule="auto"/>
        <w:ind w:left="210" w:leftChars="100" w:firstLine="480" w:firstLineChars="200"/>
        <w:rPr>
          <w:rFonts w:ascii="宋体" w:hAnsi="宋体" w:cs="宋体"/>
          <w:color w:val="auto"/>
          <w:sz w:val="24"/>
        </w:rPr>
      </w:pPr>
      <w:r>
        <w:rPr>
          <w:rFonts w:hint="eastAsia" w:ascii="宋体" w:hAnsi="宋体" w:cs="宋体"/>
          <w:color w:val="auto"/>
          <w:sz w:val="24"/>
        </w:rPr>
        <w:t>由于一方在合同约定的期限内没有履行合同，且在被允许的推迟的履行的合理期限（本合同约定3天）内仍未履行。</w:t>
      </w:r>
    </w:p>
    <w:p>
      <w:pPr>
        <w:spacing w:line="360" w:lineRule="auto"/>
        <w:ind w:firstLine="241" w:firstLineChars="100"/>
        <w:rPr>
          <w:rFonts w:ascii="宋体" w:hAnsi="宋体" w:cs="宋体"/>
          <w:b/>
          <w:color w:val="auto"/>
          <w:sz w:val="24"/>
        </w:rPr>
      </w:pPr>
      <w:r>
        <w:rPr>
          <w:rFonts w:hint="eastAsia" w:ascii="宋体" w:hAnsi="宋体" w:cs="宋体"/>
          <w:b/>
          <w:color w:val="auto"/>
          <w:sz w:val="24"/>
        </w:rPr>
        <w:t>第十四条：其他</w:t>
      </w:r>
    </w:p>
    <w:p>
      <w:pPr>
        <w:numPr>
          <w:ilvl w:val="0"/>
          <w:numId w:val="16"/>
        </w:numPr>
        <w:spacing w:line="360" w:lineRule="auto"/>
        <w:ind w:left="210" w:leftChars="100" w:firstLine="480" w:firstLineChars="200"/>
        <w:rPr>
          <w:rFonts w:ascii="宋体" w:hAnsi="宋体" w:cs="宋体"/>
          <w:color w:val="auto"/>
          <w:sz w:val="24"/>
        </w:rPr>
      </w:pPr>
      <w:r>
        <w:rPr>
          <w:rFonts w:hint="eastAsia" w:ascii="宋体" w:hAnsi="宋体" w:cs="宋体"/>
          <w:color w:val="auto"/>
          <w:sz w:val="24"/>
        </w:rPr>
        <w:t>在合同执行过程中，如果发生合同未约定的事项时，双方应在友好协商的基础上签订补充协议，以利于本合同的顺利履行。</w:t>
      </w:r>
    </w:p>
    <w:p>
      <w:pPr>
        <w:numPr>
          <w:ilvl w:val="0"/>
          <w:numId w:val="16"/>
        </w:numPr>
        <w:spacing w:line="360" w:lineRule="auto"/>
        <w:ind w:left="210" w:leftChars="100"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highlight w:val="none"/>
          <w:lang w:val="en-US" w:eastAsia="zh-CN"/>
        </w:rPr>
        <w:t>在合同的履行期间，双方若发生争议，应当由双方协商解决；协商不成的，任何一方均有权向北京市顺义区人民法院提起诉讼。</w:t>
      </w:r>
    </w:p>
    <w:p>
      <w:pPr>
        <w:numPr>
          <w:ilvl w:val="0"/>
          <w:numId w:val="16"/>
        </w:numPr>
        <w:spacing w:line="360" w:lineRule="auto"/>
        <w:ind w:left="210" w:leftChars="100" w:firstLine="480" w:firstLineChars="200"/>
        <w:rPr>
          <w:rFonts w:ascii="宋体" w:hAnsi="宋体" w:cs="宋体"/>
          <w:color w:val="auto"/>
          <w:sz w:val="24"/>
        </w:rPr>
      </w:pPr>
      <w:r>
        <w:rPr>
          <w:rFonts w:hint="eastAsia" w:ascii="宋体" w:hAnsi="宋体" w:cs="宋体"/>
          <w:color w:val="auto"/>
          <w:sz w:val="24"/>
        </w:rPr>
        <w:t>本项目中标分项报价文件是本合同的组成部分，作为本合同附件存留，与本合同具有同等法律效力</w:t>
      </w:r>
      <w:r>
        <w:rPr>
          <w:rFonts w:hint="eastAsia" w:ascii="宋体" w:hAnsi="宋体" w:cs="宋体"/>
          <w:color w:val="auto"/>
          <w:sz w:val="24"/>
          <w:lang w:eastAsia="zh-CN"/>
        </w:rPr>
        <w:t>。</w:t>
      </w:r>
      <w:r>
        <w:rPr>
          <w:rFonts w:hint="eastAsia" w:ascii="宋体" w:hAnsi="宋体" w:cs="宋体"/>
          <w:color w:val="auto"/>
          <w:sz w:val="24"/>
        </w:rPr>
        <w:t xml:space="preserve"> </w:t>
      </w:r>
    </w:p>
    <w:p>
      <w:pPr>
        <w:numPr>
          <w:ilvl w:val="0"/>
          <w:numId w:val="16"/>
        </w:numPr>
        <w:spacing w:line="360" w:lineRule="auto"/>
        <w:ind w:left="210" w:leftChars="100" w:firstLine="480" w:firstLineChars="200"/>
        <w:rPr>
          <w:rFonts w:ascii="宋体" w:hAnsi="宋体" w:cs="宋体"/>
          <w:color w:val="auto"/>
          <w:sz w:val="24"/>
        </w:rPr>
      </w:pPr>
      <w:r>
        <w:rPr>
          <w:rFonts w:hint="eastAsia" w:ascii="宋体" w:hAnsi="宋体" w:cs="宋体"/>
          <w:color w:val="auto"/>
          <w:sz w:val="24"/>
        </w:rPr>
        <w:t>本合同一式</w:t>
      </w:r>
      <w:r>
        <w:rPr>
          <w:rFonts w:hint="eastAsia" w:ascii="宋体" w:hAnsi="宋体" w:cs="宋体"/>
          <w:color w:val="auto"/>
          <w:sz w:val="24"/>
          <w:lang w:val="en-US" w:eastAsia="zh-CN"/>
        </w:rPr>
        <w:t>捌</w:t>
      </w:r>
      <w:r>
        <w:rPr>
          <w:rFonts w:hint="eastAsia" w:ascii="宋体" w:hAnsi="宋体" w:cs="宋体"/>
          <w:color w:val="auto"/>
          <w:sz w:val="24"/>
        </w:rPr>
        <w:t>份，甲</w:t>
      </w:r>
      <w:r>
        <w:rPr>
          <w:rFonts w:hint="eastAsia" w:ascii="宋体" w:hAnsi="宋体" w:cs="宋体"/>
          <w:color w:val="auto"/>
          <w:sz w:val="24"/>
          <w:lang w:val="en-US" w:eastAsia="zh-CN"/>
        </w:rPr>
        <w:t>方执伍份，</w:t>
      </w:r>
      <w:r>
        <w:rPr>
          <w:rFonts w:hint="eastAsia" w:ascii="宋体" w:hAnsi="宋体" w:cs="宋体"/>
          <w:color w:val="auto"/>
          <w:sz w:val="24"/>
        </w:rPr>
        <w:t>乙方执叁份</w:t>
      </w:r>
      <w:r>
        <w:rPr>
          <w:rFonts w:hint="eastAsia" w:ascii="宋体" w:hAnsi="宋体" w:cs="宋体"/>
          <w:color w:val="auto"/>
          <w:sz w:val="24"/>
          <w:lang w:eastAsia="zh-CN"/>
        </w:rPr>
        <w:t>，</w:t>
      </w:r>
      <w:r>
        <w:rPr>
          <w:rFonts w:hint="eastAsia" w:ascii="宋体" w:hAnsi="宋体" w:cs="宋体"/>
          <w:color w:val="auto"/>
          <w:sz w:val="24"/>
        </w:rPr>
        <w:t>每份具有同等的法律效力，在双方法定代表人或授权代表签字盖章后生效。</w:t>
      </w:r>
    </w:p>
    <w:p>
      <w:pPr>
        <w:spacing w:line="360" w:lineRule="auto"/>
        <w:ind w:firstLine="772" w:firstLineChars="322"/>
        <w:rPr>
          <w:rFonts w:hint="eastAsia" w:ascii="宋体" w:hAnsi="宋体" w:cs="宋体"/>
          <w:color w:val="auto"/>
          <w:sz w:val="24"/>
        </w:rPr>
      </w:pPr>
    </w:p>
    <w:p>
      <w:pPr>
        <w:spacing w:line="360" w:lineRule="auto"/>
        <w:ind w:firstLine="772" w:firstLineChars="322"/>
        <w:rPr>
          <w:rFonts w:hint="eastAsia" w:ascii="宋体" w:hAnsi="宋体" w:cs="宋体"/>
          <w:color w:val="auto"/>
          <w:sz w:val="24"/>
        </w:rPr>
      </w:pPr>
    </w:p>
    <w:p>
      <w:pPr>
        <w:spacing w:line="360" w:lineRule="auto"/>
        <w:ind w:firstLine="772" w:firstLineChars="322"/>
        <w:rPr>
          <w:rFonts w:hint="eastAsia" w:ascii="宋体" w:hAnsi="宋体" w:cs="宋体"/>
          <w:color w:val="auto"/>
          <w:sz w:val="24"/>
        </w:rPr>
      </w:pPr>
    </w:p>
    <w:p>
      <w:pPr>
        <w:spacing w:line="360" w:lineRule="auto"/>
        <w:ind w:firstLine="240" w:firstLineChars="100"/>
        <w:rPr>
          <w:rFonts w:ascii="宋体" w:hAnsi="宋体" w:cs="宋体"/>
          <w:color w:val="auto"/>
          <w:sz w:val="24"/>
        </w:rPr>
      </w:pPr>
      <w:r>
        <w:rPr>
          <w:rFonts w:hint="eastAsia" w:ascii="宋体" w:hAnsi="宋体" w:cs="宋体"/>
          <w:color w:val="auto"/>
          <w:sz w:val="24"/>
        </w:rPr>
        <w:t xml:space="preserve">甲 方（盖章）：              </w:t>
      </w:r>
      <w:r>
        <w:rPr>
          <w:rFonts w:hint="eastAsia" w:ascii="宋体" w:hAnsi="宋体" w:cs="宋体"/>
          <w:color w:val="auto"/>
          <w:sz w:val="24"/>
          <w:lang w:val="en-US" w:eastAsia="zh-CN"/>
        </w:rPr>
        <w:t xml:space="preserve">   </w:t>
      </w:r>
      <w:r>
        <w:rPr>
          <w:rFonts w:hint="eastAsia" w:ascii="宋体" w:hAnsi="宋体" w:cs="宋体"/>
          <w:color w:val="auto"/>
          <w:sz w:val="24"/>
        </w:rPr>
        <w:t xml:space="preserve">            乙方（盖章）：</w:t>
      </w:r>
    </w:p>
    <w:p>
      <w:pPr>
        <w:spacing w:line="360" w:lineRule="auto"/>
        <w:ind w:left="735"/>
        <w:rPr>
          <w:rFonts w:ascii="宋体" w:hAnsi="宋体" w:cs="宋体"/>
          <w:color w:val="auto"/>
          <w:sz w:val="24"/>
        </w:rPr>
      </w:pPr>
    </w:p>
    <w:p>
      <w:pPr>
        <w:spacing w:line="360" w:lineRule="auto"/>
        <w:rPr>
          <w:rFonts w:hint="eastAsia" w:ascii="宋体" w:hAnsi="宋体" w:cs="宋体"/>
          <w:color w:val="auto"/>
          <w:sz w:val="24"/>
        </w:rPr>
      </w:pPr>
      <w:r>
        <w:rPr>
          <w:rFonts w:hint="eastAsia" w:ascii="宋体" w:hAnsi="宋体" w:cs="宋体"/>
          <w:color w:val="auto"/>
          <w:sz w:val="24"/>
          <w:lang w:val="en-US" w:eastAsia="zh-CN"/>
        </w:rPr>
        <w:t>法定代表人或授权代表</w:t>
      </w:r>
      <w:r>
        <w:rPr>
          <w:rFonts w:hint="eastAsia" w:ascii="宋体" w:hAnsi="宋体" w:cs="宋体"/>
          <w:color w:val="auto"/>
          <w:sz w:val="24"/>
        </w:rPr>
        <w:t xml:space="preserve">：                       </w:t>
      </w:r>
      <w:r>
        <w:rPr>
          <w:rFonts w:hint="eastAsia" w:ascii="宋体" w:hAnsi="宋体" w:cs="宋体"/>
          <w:color w:val="auto"/>
          <w:sz w:val="24"/>
          <w:lang w:val="en-US" w:eastAsia="zh-CN"/>
        </w:rPr>
        <w:t>法定代表人或授权代表</w:t>
      </w:r>
      <w:r>
        <w:rPr>
          <w:rFonts w:hint="eastAsia" w:ascii="宋体" w:hAnsi="宋体" w:cs="宋体"/>
          <w:color w:val="auto"/>
          <w:sz w:val="24"/>
        </w:rPr>
        <w:t>：</w:t>
      </w:r>
    </w:p>
    <w:p>
      <w:pPr>
        <w:ind w:firstLine="4800" w:firstLineChars="2000"/>
        <w:rPr>
          <w:rFonts w:ascii="宋体" w:hAnsi="宋体" w:cs="宋体"/>
          <w:color w:val="auto"/>
          <w:sz w:val="24"/>
        </w:rPr>
      </w:pPr>
    </w:p>
    <w:p>
      <w:pPr>
        <w:rPr>
          <w:rFonts w:hint="default" w:ascii="宋体" w:hAnsi="宋体" w:eastAsia="宋体" w:cs="宋体"/>
          <w:color w:val="auto"/>
          <w:sz w:val="24"/>
          <w:lang w:val="en-US" w:eastAsia="zh-CN"/>
        </w:rPr>
        <w:sectPr>
          <w:pgSz w:w="11906" w:h="16838"/>
          <w:pgMar w:top="2098" w:right="1474" w:bottom="1984" w:left="1587" w:header="851" w:footer="992" w:gutter="0"/>
          <w:pgNumType w:fmt="decimal"/>
          <w:cols w:space="425" w:num="1"/>
          <w:docGrid w:type="lines" w:linePitch="312" w:charSpace="0"/>
        </w:sectPr>
      </w:pPr>
      <w:r>
        <w:rPr>
          <w:rFonts w:hint="eastAsia" w:ascii="宋体" w:hAnsi="宋体" w:cs="宋体"/>
          <w:color w:val="auto"/>
          <w:sz w:val="24"/>
        </w:rPr>
        <w:t>签约日期：　　年　　月　　日</w:t>
      </w:r>
      <w:r>
        <w:rPr>
          <w:rFonts w:hint="eastAsia" w:ascii="宋体" w:hAnsi="宋体" w:cs="宋体"/>
          <w:color w:val="auto"/>
          <w:sz w:val="24"/>
          <w:lang w:val="en-US" w:eastAsia="zh-CN"/>
        </w:rPr>
        <w:t xml:space="preserve">              </w:t>
      </w:r>
      <w:r>
        <w:rPr>
          <w:rFonts w:hint="eastAsia" w:ascii="宋体" w:hAnsi="宋体" w:cs="宋体"/>
          <w:color w:val="auto"/>
          <w:sz w:val="24"/>
        </w:rPr>
        <w:t>签约日期：　　年　　月　　日</w:t>
      </w:r>
    </w:p>
    <w:p>
      <w:pPr>
        <w:spacing w:line="540" w:lineRule="exact"/>
        <w:jc w:val="both"/>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附件一：</w:t>
      </w:r>
    </w:p>
    <w:p>
      <w:pPr>
        <w:keepNext w:val="0"/>
        <w:keepLines w:val="0"/>
        <w:pageBreakBefore w:val="0"/>
        <w:kinsoku/>
        <w:wordWrap/>
        <w:overflowPunct/>
        <w:topLinePunct w:val="0"/>
        <w:autoSpaceDE/>
        <w:autoSpaceDN/>
        <w:bidi w:val="0"/>
        <w:adjustRightInd/>
        <w:snapToGrid/>
        <w:spacing w:line="400" w:lineRule="exact"/>
        <w:ind w:left="0" w:leftChars="0"/>
        <w:jc w:val="center"/>
        <w:rPr>
          <w:rFonts w:hint="eastAsia" w:ascii="宋体" w:hAnsi="宋体" w:eastAsia="宋体"/>
          <w:b/>
          <w:color w:val="auto"/>
          <w:sz w:val="34"/>
        </w:rPr>
      </w:pPr>
      <w:r>
        <w:rPr>
          <w:rFonts w:hint="eastAsia" w:ascii="宋体" w:hAnsi="宋体" w:eastAsia="宋体"/>
          <w:b/>
          <w:color w:val="auto"/>
          <w:sz w:val="34"/>
        </w:rPr>
        <w:t>分项报价表</w:t>
      </w:r>
    </w:p>
    <w:p>
      <w:pPr>
        <w:pStyle w:val="17"/>
        <w:rPr>
          <w:rFonts w:hint="eastAsia" w:ascii="宋体" w:hAnsi="宋体" w:eastAsia="宋体"/>
          <w:b/>
          <w:color w:val="auto"/>
          <w:sz w:val="34"/>
        </w:rPr>
      </w:pPr>
    </w:p>
    <w:p>
      <w:pPr>
        <w:pStyle w:val="17"/>
        <w:rPr>
          <w:rFonts w:hint="eastAsia" w:ascii="宋体" w:hAnsi="宋体" w:eastAsia="宋体"/>
          <w:b/>
          <w:color w:val="auto"/>
          <w:sz w:val="34"/>
        </w:rPr>
        <w:sectPr>
          <w:footerReference r:id="rId15" w:type="default"/>
          <w:type w:val="continuous"/>
          <w:pgSz w:w="11900" w:h="16840"/>
          <w:pgMar w:top="1120" w:right="1060" w:bottom="1440" w:left="1320" w:header="0" w:footer="1360" w:gutter="0"/>
          <w:pgNumType w:fmt="decimal"/>
          <w:cols w:space="720" w:num="1"/>
        </w:sectPr>
      </w:pPr>
    </w:p>
    <w:tbl>
      <w:tblPr>
        <w:tblStyle w:val="47"/>
        <w:tblpPr w:leftFromText="180" w:rightFromText="180" w:vertAnchor="page" w:horzAnchor="page" w:tblpXSpec="center" w:tblpY="2693"/>
        <w:tblOverlap w:val="never"/>
        <w:tblW w:w="1027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
      <w:tblGrid>
        <w:gridCol w:w="670"/>
        <w:gridCol w:w="1755"/>
        <w:gridCol w:w="4065"/>
        <w:gridCol w:w="600"/>
        <w:gridCol w:w="660"/>
        <w:gridCol w:w="840"/>
        <w:gridCol w:w="990"/>
        <w:gridCol w:w="69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70" w:hRule="atLeast"/>
          <w:jc w:val="center"/>
        </w:trPr>
        <w:tc>
          <w:tcPr>
            <w:tcW w:w="67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ind w:left="0" w:leftChars="0"/>
              <w:jc w:val="center"/>
              <w:textAlignment w:val="center"/>
              <w:rPr>
                <w:rFonts w:hint="eastAsia" w:ascii="宋体" w:hAnsi="宋体" w:eastAsia="宋体" w:cs="宋体"/>
                <w:b/>
                <w:i w:val="0"/>
                <w:color w:val="auto"/>
                <w:sz w:val="24"/>
                <w:szCs w:val="24"/>
                <w:u w:val="none"/>
              </w:rPr>
            </w:pPr>
            <w:r>
              <w:rPr>
                <w:rFonts w:hint="eastAsia" w:ascii="宋体" w:hAnsi="宋体" w:eastAsia="宋体" w:cs="宋体"/>
                <w:b/>
                <w:i w:val="0"/>
                <w:color w:val="auto"/>
                <w:kern w:val="0"/>
                <w:sz w:val="24"/>
                <w:szCs w:val="24"/>
                <w:u w:val="none"/>
                <w:lang w:val="en-US" w:eastAsia="zh-CN" w:bidi="ar"/>
              </w:rPr>
              <w:t>序号</w:t>
            </w:r>
          </w:p>
        </w:tc>
        <w:tc>
          <w:tcPr>
            <w:tcW w:w="17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ind w:left="0" w:leftChars="0"/>
              <w:jc w:val="center"/>
              <w:textAlignment w:val="center"/>
              <w:rPr>
                <w:rFonts w:hint="eastAsia" w:ascii="宋体" w:hAnsi="宋体" w:eastAsia="宋体" w:cs="宋体"/>
                <w:b/>
                <w:i w:val="0"/>
                <w:color w:val="auto"/>
                <w:sz w:val="24"/>
                <w:szCs w:val="24"/>
                <w:u w:val="none"/>
              </w:rPr>
            </w:pPr>
            <w:r>
              <w:rPr>
                <w:rFonts w:hint="eastAsia" w:ascii="宋体" w:hAnsi="宋体" w:eastAsia="宋体" w:cs="宋体"/>
                <w:b/>
                <w:i w:val="0"/>
                <w:color w:val="auto"/>
                <w:kern w:val="0"/>
                <w:sz w:val="24"/>
                <w:szCs w:val="24"/>
                <w:u w:val="none"/>
                <w:lang w:val="en-US" w:eastAsia="zh-CN" w:bidi="ar"/>
              </w:rPr>
              <w:t>名称</w:t>
            </w:r>
          </w:p>
        </w:tc>
        <w:tc>
          <w:tcPr>
            <w:tcW w:w="40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ind w:left="0" w:leftChars="0"/>
              <w:jc w:val="center"/>
              <w:textAlignment w:val="center"/>
              <w:rPr>
                <w:rFonts w:hint="eastAsia" w:ascii="宋体" w:hAnsi="宋体" w:eastAsia="宋体" w:cs="宋体"/>
                <w:b/>
                <w:i w:val="0"/>
                <w:color w:val="auto"/>
                <w:sz w:val="24"/>
                <w:szCs w:val="24"/>
                <w:u w:val="none"/>
              </w:rPr>
            </w:pPr>
            <w:r>
              <w:rPr>
                <w:rFonts w:hint="eastAsia" w:ascii="宋体" w:hAnsi="宋体" w:eastAsia="宋体" w:cs="宋体"/>
                <w:b/>
                <w:i w:val="0"/>
                <w:color w:val="auto"/>
                <w:kern w:val="0"/>
                <w:sz w:val="24"/>
                <w:szCs w:val="24"/>
                <w:u w:val="none"/>
                <w:lang w:val="en-US" w:eastAsia="zh-CN" w:bidi="ar"/>
              </w:rPr>
              <w:t>清单内容</w:t>
            </w:r>
          </w:p>
        </w:tc>
        <w:tc>
          <w:tcPr>
            <w:tcW w:w="6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ind w:left="0" w:leftChars="0"/>
              <w:jc w:val="center"/>
              <w:textAlignment w:val="center"/>
              <w:rPr>
                <w:rFonts w:hint="eastAsia" w:ascii="宋体" w:hAnsi="宋体" w:eastAsia="宋体" w:cs="宋体"/>
                <w:b/>
                <w:i w:val="0"/>
                <w:color w:val="auto"/>
                <w:sz w:val="24"/>
                <w:szCs w:val="24"/>
                <w:u w:val="none"/>
              </w:rPr>
            </w:pPr>
            <w:r>
              <w:rPr>
                <w:rFonts w:hint="eastAsia" w:ascii="宋体" w:hAnsi="宋体" w:eastAsia="宋体" w:cs="宋体"/>
                <w:b/>
                <w:i w:val="0"/>
                <w:color w:val="auto"/>
                <w:kern w:val="0"/>
                <w:sz w:val="24"/>
                <w:szCs w:val="24"/>
                <w:u w:val="none"/>
                <w:lang w:val="en-US" w:eastAsia="zh-CN" w:bidi="ar"/>
              </w:rPr>
              <w:t>单位</w:t>
            </w:r>
          </w:p>
        </w:tc>
        <w:tc>
          <w:tcPr>
            <w:tcW w:w="6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ind w:left="0" w:leftChars="0"/>
              <w:jc w:val="center"/>
              <w:textAlignment w:val="center"/>
              <w:rPr>
                <w:rFonts w:hint="eastAsia" w:ascii="宋体" w:hAnsi="宋体" w:eastAsia="宋体" w:cs="宋体"/>
                <w:b/>
                <w:i w:val="0"/>
                <w:color w:val="auto"/>
                <w:sz w:val="24"/>
                <w:szCs w:val="24"/>
                <w:u w:val="none"/>
              </w:rPr>
            </w:pPr>
            <w:r>
              <w:rPr>
                <w:rFonts w:hint="eastAsia" w:ascii="宋体" w:hAnsi="宋体" w:eastAsia="宋体" w:cs="宋体"/>
                <w:b/>
                <w:i w:val="0"/>
                <w:color w:val="auto"/>
                <w:kern w:val="0"/>
                <w:sz w:val="24"/>
                <w:szCs w:val="24"/>
                <w:u w:val="none"/>
                <w:lang w:val="en-US" w:eastAsia="zh-CN" w:bidi="ar"/>
              </w:rPr>
              <w:t>工程量</w:t>
            </w:r>
          </w:p>
        </w:tc>
        <w:tc>
          <w:tcPr>
            <w:tcW w:w="8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ind w:left="0" w:leftChars="0"/>
              <w:jc w:val="center"/>
              <w:textAlignment w:val="center"/>
              <w:rPr>
                <w:rFonts w:hint="eastAsia" w:ascii="宋体" w:hAnsi="宋体" w:eastAsia="宋体" w:cs="宋体"/>
                <w:b/>
                <w:i w:val="0"/>
                <w:color w:val="auto"/>
                <w:sz w:val="24"/>
                <w:szCs w:val="24"/>
                <w:u w:val="none"/>
              </w:rPr>
            </w:pPr>
            <w:r>
              <w:rPr>
                <w:rFonts w:hint="eastAsia" w:ascii="宋体" w:hAnsi="宋体" w:eastAsia="宋体" w:cs="宋体"/>
                <w:b/>
                <w:i w:val="0"/>
                <w:color w:val="auto"/>
                <w:kern w:val="0"/>
                <w:sz w:val="24"/>
                <w:szCs w:val="24"/>
                <w:u w:val="none"/>
                <w:lang w:val="en-US" w:eastAsia="zh-CN" w:bidi="ar"/>
              </w:rPr>
              <w:t>全费用单价（元）</w:t>
            </w:r>
          </w:p>
        </w:tc>
        <w:tc>
          <w:tcPr>
            <w:tcW w:w="9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ind w:left="0" w:leftChars="0"/>
              <w:jc w:val="center"/>
              <w:textAlignment w:val="center"/>
              <w:rPr>
                <w:rFonts w:hint="eastAsia" w:ascii="宋体" w:hAnsi="宋体" w:eastAsia="宋体" w:cs="宋体"/>
                <w:b/>
                <w:i w:val="0"/>
                <w:color w:val="auto"/>
                <w:sz w:val="24"/>
                <w:szCs w:val="24"/>
                <w:u w:val="none"/>
              </w:rPr>
            </w:pPr>
            <w:r>
              <w:rPr>
                <w:rFonts w:hint="eastAsia" w:ascii="宋体" w:hAnsi="宋体" w:eastAsia="宋体" w:cs="宋体"/>
                <w:b/>
                <w:i w:val="0"/>
                <w:color w:val="auto"/>
                <w:kern w:val="0"/>
                <w:sz w:val="24"/>
                <w:szCs w:val="24"/>
                <w:u w:val="none"/>
                <w:lang w:val="en-US" w:eastAsia="zh-CN" w:bidi="ar"/>
              </w:rPr>
              <w:t>全费用合价（元）</w:t>
            </w:r>
          </w:p>
        </w:tc>
        <w:tc>
          <w:tcPr>
            <w:tcW w:w="6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ind w:left="0" w:leftChars="0"/>
              <w:jc w:val="center"/>
              <w:textAlignment w:val="center"/>
              <w:rPr>
                <w:rFonts w:hint="eastAsia" w:ascii="宋体" w:hAnsi="宋体" w:eastAsia="宋体" w:cs="宋体"/>
                <w:b/>
                <w:i w:val="0"/>
                <w:color w:val="auto"/>
                <w:sz w:val="24"/>
                <w:szCs w:val="24"/>
                <w:u w:val="none"/>
              </w:rPr>
            </w:pPr>
            <w:r>
              <w:rPr>
                <w:rFonts w:hint="eastAsia" w:ascii="宋体" w:hAnsi="宋体" w:eastAsia="宋体" w:cs="宋体"/>
                <w:b/>
                <w:i w:val="0"/>
                <w:color w:val="auto"/>
                <w:kern w:val="0"/>
                <w:sz w:val="24"/>
                <w:szCs w:val="24"/>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565" w:hRule="atLeast"/>
          <w:jc w:val="center"/>
        </w:trPr>
        <w:tc>
          <w:tcPr>
            <w:tcW w:w="67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1</w:t>
            </w:r>
          </w:p>
        </w:tc>
        <w:tc>
          <w:tcPr>
            <w:tcW w:w="17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现浇混凝土屋顶平房整体拆除(370厚砖墙)</w:t>
            </w:r>
          </w:p>
        </w:tc>
        <w:tc>
          <w:tcPr>
            <w:tcW w:w="40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kern w:val="0"/>
                <w:sz w:val="18"/>
                <w:szCs w:val="18"/>
                <w:u w:val="none"/>
                <w:lang w:val="en-US" w:eastAsia="zh-CN" w:bidi="ar"/>
              </w:rPr>
            </w:pPr>
            <w:r>
              <w:rPr>
                <w:rFonts w:hint="eastAsia" w:ascii="宋体" w:hAnsi="宋体" w:eastAsia="宋体" w:cs="宋体"/>
                <w:i w:val="0"/>
                <w:color w:val="auto"/>
                <w:kern w:val="0"/>
                <w:sz w:val="18"/>
                <w:szCs w:val="18"/>
                <w:u w:val="none"/>
                <w:lang w:val="en-US" w:eastAsia="zh-CN" w:bidi="ar"/>
              </w:rPr>
              <w:t>1.现浇混凝土屋顶的平房整体拆除</w:t>
            </w:r>
          </w:p>
          <w:p>
            <w:pPr>
              <w:keepNext w:val="0"/>
              <w:keepLines w:val="0"/>
              <w:widowControl/>
              <w:suppressLineNumbers w:val="0"/>
              <w:jc w:val="left"/>
              <w:textAlignment w:val="center"/>
              <w:rPr>
                <w:rFonts w:hint="eastAsia" w:ascii="宋体" w:hAnsi="宋体" w:eastAsia="宋体" w:cs="宋体"/>
                <w:i w:val="0"/>
                <w:color w:val="auto"/>
                <w:kern w:val="0"/>
                <w:sz w:val="18"/>
                <w:szCs w:val="18"/>
                <w:u w:val="none"/>
                <w:lang w:val="en-US" w:eastAsia="zh-CN" w:bidi="ar"/>
              </w:rPr>
            </w:pPr>
            <w:r>
              <w:rPr>
                <w:rFonts w:hint="eastAsia" w:ascii="宋体" w:hAnsi="宋体" w:eastAsia="宋体" w:cs="宋体"/>
                <w:i w:val="0"/>
                <w:color w:val="auto"/>
                <w:kern w:val="0"/>
                <w:sz w:val="18"/>
                <w:szCs w:val="18"/>
                <w:u w:val="none"/>
                <w:lang w:val="en-US" w:eastAsia="zh-CN" w:bidi="ar"/>
              </w:rPr>
              <w:t>2.拆除房屋墙体厚度370mm厚砖砌</w:t>
            </w:r>
          </w:p>
          <w:p>
            <w:pPr>
              <w:keepNext w:val="0"/>
              <w:keepLines w:val="0"/>
              <w:widowControl/>
              <w:suppressLineNumbers w:val="0"/>
              <w:jc w:val="left"/>
              <w:textAlignment w:val="center"/>
              <w:rPr>
                <w:rFonts w:hint="eastAsia" w:ascii="宋体" w:hAnsi="宋体" w:eastAsia="宋体" w:cs="宋体"/>
                <w:i w:val="0"/>
                <w:color w:val="auto"/>
                <w:kern w:val="0"/>
                <w:sz w:val="18"/>
                <w:szCs w:val="18"/>
                <w:u w:val="none"/>
                <w:lang w:val="en-US" w:eastAsia="zh-CN" w:bidi="ar"/>
              </w:rPr>
            </w:pPr>
            <w:r>
              <w:rPr>
                <w:rFonts w:hint="eastAsia" w:ascii="宋体" w:hAnsi="宋体" w:eastAsia="宋体" w:cs="宋体"/>
                <w:i w:val="0"/>
                <w:color w:val="auto"/>
                <w:kern w:val="0"/>
                <w:sz w:val="18"/>
                <w:szCs w:val="18"/>
                <w:u w:val="none"/>
                <w:lang w:val="en-US" w:eastAsia="zh-CN" w:bidi="ar"/>
              </w:rPr>
              <w:t>3.包含地上及地下所有需拆除物、包含但不限于地上建筑物、室内地面及地下基础等</w:t>
            </w:r>
          </w:p>
          <w:p>
            <w:pPr>
              <w:keepNext w:val="0"/>
              <w:keepLines w:val="0"/>
              <w:widowControl/>
              <w:suppressLineNumbers w:val="0"/>
              <w:jc w:val="left"/>
              <w:textAlignment w:val="center"/>
              <w:rPr>
                <w:rFonts w:hint="eastAsia" w:ascii="宋体" w:hAnsi="宋体" w:eastAsia="宋体" w:cs="宋体"/>
                <w:i w:val="0"/>
                <w:color w:val="auto"/>
                <w:kern w:val="0"/>
                <w:sz w:val="18"/>
                <w:szCs w:val="18"/>
                <w:u w:val="none"/>
                <w:lang w:val="en-US" w:eastAsia="zh-CN" w:bidi="ar"/>
              </w:rPr>
            </w:pPr>
            <w:r>
              <w:rPr>
                <w:rFonts w:hint="eastAsia" w:ascii="宋体" w:hAnsi="宋体" w:eastAsia="宋体" w:cs="宋体"/>
                <w:i w:val="0"/>
                <w:color w:val="auto"/>
                <w:kern w:val="0"/>
                <w:sz w:val="18"/>
                <w:szCs w:val="18"/>
                <w:u w:val="none"/>
                <w:lang w:val="en-US" w:eastAsia="zh-CN" w:bidi="ar"/>
              </w:rPr>
              <w:t>4.包含各种拆除方式的主体破碎、拆除、挖出，毗邻建筑物的保护，渣土原地清理、场内倒运、集中堆放、收方归堆、装车、场地平整、洒水、苫盖等</w:t>
            </w:r>
          </w:p>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5.拆除后要求场清地平，无建筑垃圾及渣土残留，按照土地性质达到相应验收标准并验收合格。</w:t>
            </w:r>
          </w:p>
        </w:tc>
        <w:tc>
          <w:tcPr>
            <w:tcW w:w="6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m²</w:t>
            </w:r>
          </w:p>
        </w:tc>
        <w:tc>
          <w:tcPr>
            <w:tcW w:w="6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1</w:t>
            </w:r>
          </w:p>
        </w:tc>
        <w:tc>
          <w:tcPr>
            <w:tcW w:w="8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p>
        </w:tc>
        <w:tc>
          <w:tcPr>
            <w:tcW w:w="9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p>
        </w:tc>
        <w:tc>
          <w:tcPr>
            <w:tcW w:w="6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pPr>
              <w:jc w:val="center"/>
              <w:rPr>
                <w:rFonts w:hint="eastAsia" w:ascii="Arial" w:hAnsi="Arial" w:eastAsia="宋体" w:cs="Arial"/>
                <w:i w:val="0"/>
                <w:color w:val="auto"/>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300" w:hRule="atLeast"/>
          <w:jc w:val="center"/>
        </w:trPr>
        <w:tc>
          <w:tcPr>
            <w:tcW w:w="67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2</w:t>
            </w:r>
          </w:p>
        </w:tc>
        <w:tc>
          <w:tcPr>
            <w:tcW w:w="17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现浇混凝土屋顶平房整体拆除(240厚砖墙)</w:t>
            </w:r>
          </w:p>
        </w:tc>
        <w:tc>
          <w:tcPr>
            <w:tcW w:w="40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kern w:val="0"/>
                <w:sz w:val="18"/>
                <w:szCs w:val="18"/>
                <w:u w:val="none"/>
                <w:lang w:val="en-US" w:eastAsia="zh-CN" w:bidi="ar"/>
              </w:rPr>
            </w:pPr>
            <w:r>
              <w:rPr>
                <w:rFonts w:hint="eastAsia" w:ascii="宋体" w:hAnsi="宋体" w:eastAsia="宋体" w:cs="宋体"/>
                <w:i w:val="0"/>
                <w:color w:val="auto"/>
                <w:kern w:val="0"/>
                <w:sz w:val="18"/>
                <w:szCs w:val="18"/>
                <w:u w:val="none"/>
                <w:lang w:val="en-US" w:eastAsia="zh-CN" w:bidi="ar"/>
              </w:rPr>
              <w:t>1.现浇混凝土屋顶的平房整体拆除</w:t>
            </w:r>
          </w:p>
          <w:p>
            <w:pPr>
              <w:keepNext w:val="0"/>
              <w:keepLines w:val="0"/>
              <w:widowControl/>
              <w:suppressLineNumbers w:val="0"/>
              <w:jc w:val="left"/>
              <w:textAlignment w:val="center"/>
              <w:rPr>
                <w:rFonts w:hint="eastAsia" w:ascii="宋体" w:hAnsi="宋体" w:eastAsia="宋体" w:cs="宋体"/>
                <w:i w:val="0"/>
                <w:color w:val="auto"/>
                <w:kern w:val="0"/>
                <w:sz w:val="18"/>
                <w:szCs w:val="18"/>
                <w:u w:val="none"/>
                <w:lang w:val="en-US" w:eastAsia="zh-CN" w:bidi="ar"/>
              </w:rPr>
            </w:pPr>
            <w:r>
              <w:rPr>
                <w:rFonts w:hint="eastAsia" w:ascii="宋体" w:hAnsi="宋体" w:eastAsia="宋体" w:cs="宋体"/>
                <w:i w:val="0"/>
                <w:color w:val="auto"/>
                <w:kern w:val="0"/>
                <w:sz w:val="18"/>
                <w:szCs w:val="18"/>
                <w:u w:val="none"/>
                <w:lang w:val="en-US" w:eastAsia="zh-CN" w:bidi="ar"/>
              </w:rPr>
              <w:t>2.拆除房屋墙体厚度240mm厚砖砌</w:t>
            </w:r>
          </w:p>
          <w:p>
            <w:pPr>
              <w:keepNext w:val="0"/>
              <w:keepLines w:val="0"/>
              <w:widowControl/>
              <w:suppressLineNumbers w:val="0"/>
              <w:jc w:val="left"/>
              <w:textAlignment w:val="center"/>
              <w:rPr>
                <w:rFonts w:hint="eastAsia" w:ascii="宋体" w:hAnsi="宋体" w:eastAsia="宋体" w:cs="宋体"/>
                <w:i w:val="0"/>
                <w:color w:val="auto"/>
                <w:kern w:val="0"/>
                <w:sz w:val="18"/>
                <w:szCs w:val="18"/>
                <w:u w:val="none"/>
                <w:lang w:val="en-US" w:eastAsia="zh-CN" w:bidi="ar"/>
              </w:rPr>
            </w:pPr>
            <w:r>
              <w:rPr>
                <w:rFonts w:hint="eastAsia" w:ascii="宋体" w:hAnsi="宋体" w:eastAsia="宋体" w:cs="宋体"/>
                <w:i w:val="0"/>
                <w:color w:val="auto"/>
                <w:kern w:val="0"/>
                <w:sz w:val="18"/>
                <w:szCs w:val="18"/>
                <w:u w:val="none"/>
                <w:lang w:val="en-US" w:eastAsia="zh-CN" w:bidi="ar"/>
              </w:rPr>
              <w:t>3.包含地上及地下所有需拆除物、包含但不限于地上建筑物、室内地面及地下基础等</w:t>
            </w:r>
          </w:p>
          <w:p>
            <w:pPr>
              <w:keepNext w:val="0"/>
              <w:keepLines w:val="0"/>
              <w:widowControl/>
              <w:suppressLineNumbers w:val="0"/>
              <w:jc w:val="left"/>
              <w:textAlignment w:val="center"/>
              <w:rPr>
                <w:rFonts w:hint="eastAsia" w:ascii="宋体" w:hAnsi="宋体" w:eastAsia="宋体" w:cs="宋体"/>
                <w:i w:val="0"/>
                <w:color w:val="auto"/>
                <w:kern w:val="0"/>
                <w:sz w:val="18"/>
                <w:szCs w:val="18"/>
                <w:u w:val="none"/>
                <w:lang w:val="en-US" w:eastAsia="zh-CN" w:bidi="ar"/>
              </w:rPr>
            </w:pPr>
            <w:r>
              <w:rPr>
                <w:rFonts w:hint="eastAsia" w:ascii="宋体" w:hAnsi="宋体" w:eastAsia="宋体" w:cs="宋体"/>
                <w:i w:val="0"/>
                <w:color w:val="auto"/>
                <w:kern w:val="0"/>
                <w:sz w:val="18"/>
                <w:szCs w:val="18"/>
                <w:u w:val="none"/>
                <w:lang w:val="en-US" w:eastAsia="zh-CN" w:bidi="ar"/>
              </w:rPr>
              <w:t>4.包含各种拆除方式的主体破碎、拆除、挖出，毗邻建筑物的保护，渣土原地清理、场内倒运、集中堆放、收方归堆、装车、场地平整、洒水、苫盖等</w:t>
            </w:r>
          </w:p>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5.拆除后要求场清地平，无建筑垃圾及渣土残留，按照土地性质达到相应验收标准并验收合格。</w:t>
            </w:r>
          </w:p>
        </w:tc>
        <w:tc>
          <w:tcPr>
            <w:tcW w:w="6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m²</w:t>
            </w:r>
          </w:p>
        </w:tc>
        <w:tc>
          <w:tcPr>
            <w:tcW w:w="6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1</w:t>
            </w:r>
          </w:p>
        </w:tc>
        <w:tc>
          <w:tcPr>
            <w:tcW w:w="8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p>
        </w:tc>
        <w:tc>
          <w:tcPr>
            <w:tcW w:w="9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p>
        </w:tc>
        <w:tc>
          <w:tcPr>
            <w:tcW w:w="6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pPr>
              <w:jc w:val="center"/>
              <w:rPr>
                <w:rFonts w:hint="default" w:ascii="Arial" w:hAnsi="Arial" w:eastAsia="宋体" w:cs="Arial"/>
                <w:i w:val="0"/>
                <w:color w:val="auto"/>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320" w:hRule="atLeast"/>
          <w:jc w:val="center"/>
        </w:trPr>
        <w:tc>
          <w:tcPr>
            <w:tcW w:w="67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3</w:t>
            </w:r>
          </w:p>
        </w:tc>
        <w:tc>
          <w:tcPr>
            <w:tcW w:w="17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预制圆孔板顶整房拆除(370厚砖墙 )</w:t>
            </w:r>
          </w:p>
        </w:tc>
        <w:tc>
          <w:tcPr>
            <w:tcW w:w="40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kern w:val="0"/>
                <w:sz w:val="18"/>
                <w:szCs w:val="18"/>
                <w:u w:val="none"/>
                <w:lang w:val="en-US" w:eastAsia="zh-CN" w:bidi="ar"/>
              </w:rPr>
            </w:pPr>
            <w:r>
              <w:rPr>
                <w:rFonts w:hint="eastAsia" w:ascii="宋体" w:hAnsi="宋体" w:eastAsia="宋体" w:cs="宋体"/>
                <w:i w:val="0"/>
                <w:color w:val="auto"/>
                <w:kern w:val="0"/>
                <w:sz w:val="18"/>
                <w:szCs w:val="18"/>
                <w:u w:val="none"/>
                <w:lang w:val="en-US" w:eastAsia="zh-CN" w:bidi="ar"/>
              </w:rPr>
              <w:t>1.预制圆孔板顶整房拆除</w:t>
            </w:r>
          </w:p>
          <w:p>
            <w:pPr>
              <w:keepNext w:val="0"/>
              <w:keepLines w:val="0"/>
              <w:widowControl/>
              <w:suppressLineNumbers w:val="0"/>
              <w:jc w:val="left"/>
              <w:textAlignment w:val="center"/>
              <w:rPr>
                <w:rFonts w:hint="eastAsia" w:ascii="宋体" w:hAnsi="宋体" w:eastAsia="宋体" w:cs="宋体"/>
                <w:i w:val="0"/>
                <w:color w:val="auto"/>
                <w:kern w:val="0"/>
                <w:sz w:val="18"/>
                <w:szCs w:val="18"/>
                <w:u w:val="none"/>
                <w:lang w:val="en-US" w:eastAsia="zh-CN" w:bidi="ar"/>
              </w:rPr>
            </w:pPr>
            <w:r>
              <w:rPr>
                <w:rFonts w:hint="eastAsia" w:ascii="宋体" w:hAnsi="宋体" w:eastAsia="宋体" w:cs="宋体"/>
                <w:i w:val="0"/>
                <w:color w:val="auto"/>
                <w:kern w:val="0"/>
                <w:sz w:val="18"/>
                <w:szCs w:val="18"/>
                <w:u w:val="none"/>
                <w:lang w:val="en-US" w:eastAsia="zh-CN" w:bidi="ar"/>
              </w:rPr>
              <w:t>2.拆除房屋墙体厚度370mm厚砖砌</w:t>
            </w:r>
          </w:p>
          <w:p>
            <w:pPr>
              <w:keepNext w:val="0"/>
              <w:keepLines w:val="0"/>
              <w:widowControl/>
              <w:suppressLineNumbers w:val="0"/>
              <w:jc w:val="left"/>
              <w:textAlignment w:val="center"/>
              <w:rPr>
                <w:rFonts w:hint="eastAsia" w:ascii="宋体" w:hAnsi="宋体" w:eastAsia="宋体" w:cs="宋体"/>
                <w:i w:val="0"/>
                <w:color w:val="auto"/>
                <w:kern w:val="0"/>
                <w:sz w:val="18"/>
                <w:szCs w:val="18"/>
                <w:u w:val="none"/>
                <w:lang w:val="en-US" w:eastAsia="zh-CN" w:bidi="ar"/>
              </w:rPr>
            </w:pPr>
            <w:r>
              <w:rPr>
                <w:rFonts w:hint="eastAsia" w:ascii="宋体" w:hAnsi="宋体" w:eastAsia="宋体" w:cs="宋体"/>
                <w:i w:val="0"/>
                <w:color w:val="auto"/>
                <w:kern w:val="0"/>
                <w:sz w:val="18"/>
                <w:szCs w:val="18"/>
                <w:u w:val="none"/>
                <w:lang w:val="en-US" w:eastAsia="zh-CN" w:bidi="ar"/>
              </w:rPr>
              <w:t>3.包含地上及地下所有需拆除物、包含但不限于地上建筑物、室内地面及地下基础等</w:t>
            </w:r>
          </w:p>
          <w:p>
            <w:pPr>
              <w:keepNext w:val="0"/>
              <w:keepLines w:val="0"/>
              <w:widowControl/>
              <w:suppressLineNumbers w:val="0"/>
              <w:jc w:val="left"/>
              <w:textAlignment w:val="center"/>
              <w:rPr>
                <w:rFonts w:hint="eastAsia" w:ascii="宋体" w:hAnsi="宋体" w:eastAsia="宋体" w:cs="宋体"/>
                <w:i w:val="0"/>
                <w:color w:val="auto"/>
                <w:kern w:val="0"/>
                <w:sz w:val="18"/>
                <w:szCs w:val="18"/>
                <w:u w:val="none"/>
                <w:lang w:val="en-US" w:eastAsia="zh-CN" w:bidi="ar"/>
              </w:rPr>
            </w:pPr>
            <w:r>
              <w:rPr>
                <w:rFonts w:hint="eastAsia" w:ascii="宋体" w:hAnsi="宋体" w:eastAsia="宋体" w:cs="宋体"/>
                <w:i w:val="0"/>
                <w:color w:val="auto"/>
                <w:kern w:val="0"/>
                <w:sz w:val="18"/>
                <w:szCs w:val="18"/>
                <w:u w:val="none"/>
                <w:lang w:val="en-US" w:eastAsia="zh-CN" w:bidi="ar"/>
              </w:rPr>
              <w:t>4.包含各种拆除方式的主体破碎、拆除、挖出，毗邻建筑物的保护，渣土原地清理、场内倒运、集中堆放、收方归堆、装车、场地平整、洒水、苫盖等</w:t>
            </w:r>
          </w:p>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5.拆除后要求场清地平，无建筑垃圾及渣土残留，按照土地性质达到相应验收标准并验收合格。</w:t>
            </w:r>
          </w:p>
        </w:tc>
        <w:tc>
          <w:tcPr>
            <w:tcW w:w="6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m²</w:t>
            </w:r>
          </w:p>
        </w:tc>
        <w:tc>
          <w:tcPr>
            <w:tcW w:w="6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 xml:space="preserve"> 1</w:t>
            </w:r>
          </w:p>
        </w:tc>
        <w:tc>
          <w:tcPr>
            <w:tcW w:w="8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p>
        </w:tc>
        <w:tc>
          <w:tcPr>
            <w:tcW w:w="9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p>
        </w:tc>
        <w:tc>
          <w:tcPr>
            <w:tcW w:w="6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pPr>
              <w:jc w:val="center"/>
              <w:rPr>
                <w:rFonts w:hint="default" w:ascii="Arial" w:hAnsi="Arial" w:eastAsia="宋体" w:cs="Arial"/>
                <w:i w:val="0"/>
                <w:color w:val="auto"/>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280" w:hRule="atLeast"/>
          <w:jc w:val="center"/>
        </w:trPr>
        <w:tc>
          <w:tcPr>
            <w:tcW w:w="67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4</w:t>
            </w:r>
          </w:p>
        </w:tc>
        <w:tc>
          <w:tcPr>
            <w:tcW w:w="17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预制圆孔板顶整房拆除(240厚砖墙 )</w:t>
            </w:r>
          </w:p>
        </w:tc>
        <w:tc>
          <w:tcPr>
            <w:tcW w:w="40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kern w:val="0"/>
                <w:sz w:val="18"/>
                <w:szCs w:val="18"/>
                <w:u w:val="none"/>
                <w:lang w:val="en-US" w:eastAsia="zh-CN" w:bidi="ar"/>
              </w:rPr>
            </w:pPr>
            <w:r>
              <w:rPr>
                <w:rFonts w:hint="eastAsia" w:ascii="宋体" w:hAnsi="宋体" w:eastAsia="宋体" w:cs="宋体"/>
                <w:i w:val="0"/>
                <w:color w:val="auto"/>
                <w:kern w:val="0"/>
                <w:sz w:val="18"/>
                <w:szCs w:val="18"/>
                <w:u w:val="none"/>
                <w:lang w:val="en-US" w:eastAsia="zh-CN" w:bidi="ar"/>
              </w:rPr>
              <w:t>1.预制圆孔板顶整房拆除</w:t>
            </w:r>
          </w:p>
          <w:p>
            <w:pPr>
              <w:keepNext w:val="0"/>
              <w:keepLines w:val="0"/>
              <w:widowControl/>
              <w:suppressLineNumbers w:val="0"/>
              <w:jc w:val="left"/>
              <w:textAlignment w:val="center"/>
              <w:rPr>
                <w:rFonts w:hint="eastAsia" w:ascii="宋体" w:hAnsi="宋体" w:eastAsia="宋体" w:cs="宋体"/>
                <w:i w:val="0"/>
                <w:color w:val="auto"/>
                <w:kern w:val="0"/>
                <w:sz w:val="18"/>
                <w:szCs w:val="18"/>
                <w:u w:val="none"/>
                <w:lang w:val="en-US" w:eastAsia="zh-CN" w:bidi="ar"/>
              </w:rPr>
            </w:pPr>
            <w:r>
              <w:rPr>
                <w:rFonts w:hint="eastAsia" w:ascii="宋体" w:hAnsi="宋体" w:eastAsia="宋体" w:cs="宋体"/>
                <w:i w:val="0"/>
                <w:color w:val="auto"/>
                <w:kern w:val="0"/>
                <w:sz w:val="18"/>
                <w:szCs w:val="18"/>
                <w:u w:val="none"/>
                <w:lang w:val="en-US" w:eastAsia="zh-CN" w:bidi="ar"/>
              </w:rPr>
              <w:t>2.拆除房屋墙体厚度240mm厚砖砌</w:t>
            </w:r>
          </w:p>
          <w:p>
            <w:pPr>
              <w:keepNext w:val="0"/>
              <w:keepLines w:val="0"/>
              <w:widowControl/>
              <w:suppressLineNumbers w:val="0"/>
              <w:jc w:val="left"/>
              <w:textAlignment w:val="center"/>
              <w:rPr>
                <w:rFonts w:hint="eastAsia" w:ascii="宋体" w:hAnsi="宋体" w:eastAsia="宋体" w:cs="宋体"/>
                <w:i w:val="0"/>
                <w:color w:val="auto"/>
                <w:kern w:val="0"/>
                <w:sz w:val="18"/>
                <w:szCs w:val="18"/>
                <w:u w:val="none"/>
                <w:lang w:val="en-US" w:eastAsia="zh-CN" w:bidi="ar"/>
              </w:rPr>
            </w:pPr>
            <w:r>
              <w:rPr>
                <w:rFonts w:hint="eastAsia" w:ascii="宋体" w:hAnsi="宋体" w:eastAsia="宋体" w:cs="宋体"/>
                <w:i w:val="0"/>
                <w:color w:val="auto"/>
                <w:kern w:val="0"/>
                <w:sz w:val="18"/>
                <w:szCs w:val="18"/>
                <w:u w:val="none"/>
                <w:lang w:val="en-US" w:eastAsia="zh-CN" w:bidi="ar"/>
              </w:rPr>
              <w:t>3.包含地上及地下所有需拆除物、包含但不限于地上建筑物、室内地面及地下基础等</w:t>
            </w:r>
          </w:p>
          <w:p>
            <w:pPr>
              <w:keepNext w:val="0"/>
              <w:keepLines w:val="0"/>
              <w:widowControl/>
              <w:suppressLineNumbers w:val="0"/>
              <w:jc w:val="left"/>
              <w:textAlignment w:val="center"/>
              <w:rPr>
                <w:rFonts w:hint="eastAsia" w:ascii="宋体" w:hAnsi="宋体" w:eastAsia="宋体" w:cs="宋体"/>
                <w:i w:val="0"/>
                <w:color w:val="auto"/>
                <w:kern w:val="0"/>
                <w:sz w:val="18"/>
                <w:szCs w:val="18"/>
                <w:u w:val="none"/>
                <w:lang w:val="en-US" w:eastAsia="zh-CN" w:bidi="ar"/>
              </w:rPr>
            </w:pPr>
            <w:r>
              <w:rPr>
                <w:rFonts w:hint="eastAsia" w:ascii="宋体" w:hAnsi="宋体" w:eastAsia="宋体" w:cs="宋体"/>
                <w:i w:val="0"/>
                <w:color w:val="auto"/>
                <w:kern w:val="0"/>
                <w:sz w:val="18"/>
                <w:szCs w:val="18"/>
                <w:u w:val="none"/>
                <w:lang w:val="en-US" w:eastAsia="zh-CN" w:bidi="ar"/>
              </w:rPr>
              <w:t>4.包含各种拆除方式的主体破碎、拆除、挖出，毗邻建筑物的保护，渣土原地清理、场内倒运、集中堆放、收方归堆、装车、场地平整、洒水、苫盖等</w:t>
            </w:r>
          </w:p>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5.拆除后要求场清地平，无建筑垃圾及渣土残留，按照土地性质达到相应验收标准并验收合格。</w:t>
            </w:r>
          </w:p>
        </w:tc>
        <w:tc>
          <w:tcPr>
            <w:tcW w:w="6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m²</w:t>
            </w:r>
          </w:p>
        </w:tc>
        <w:tc>
          <w:tcPr>
            <w:tcW w:w="6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 xml:space="preserve"> 1</w:t>
            </w:r>
          </w:p>
        </w:tc>
        <w:tc>
          <w:tcPr>
            <w:tcW w:w="8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p>
        </w:tc>
        <w:tc>
          <w:tcPr>
            <w:tcW w:w="9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p>
        </w:tc>
        <w:tc>
          <w:tcPr>
            <w:tcW w:w="6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pPr>
              <w:jc w:val="center"/>
              <w:rPr>
                <w:rFonts w:hint="default" w:ascii="Arial" w:hAnsi="Arial" w:eastAsia="宋体" w:cs="Arial"/>
                <w:i w:val="0"/>
                <w:color w:val="auto"/>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380" w:hRule="atLeast"/>
          <w:jc w:val="center"/>
        </w:trPr>
        <w:tc>
          <w:tcPr>
            <w:tcW w:w="67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5</w:t>
            </w:r>
          </w:p>
        </w:tc>
        <w:tc>
          <w:tcPr>
            <w:tcW w:w="17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瓦屋顶平房整体拆除(370厚砖墙 )</w:t>
            </w:r>
          </w:p>
        </w:tc>
        <w:tc>
          <w:tcPr>
            <w:tcW w:w="40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kern w:val="0"/>
                <w:sz w:val="18"/>
                <w:szCs w:val="18"/>
                <w:u w:val="none"/>
                <w:lang w:val="en-US" w:eastAsia="zh-CN" w:bidi="ar"/>
              </w:rPr>
            </w:pPr>
            <w:r>
              <w:rPr>
                <w:rFonts w:hint="eastAsia" w:ascii="宋体" w:hAnsi="宋体" w:eastAsia="宋体" w:cs="宋体"/>
                <w:i w:val="0"/>
                <w:color w:val="auto"/>
                <w:kern w:val="0"/>
                <w:sz w:val="18"/>
                <w:szCs w:val="18"/>
                <w:u w:val="none"/>
                <w:lang w:val="en-US" w:eastAsia="zh-CN" w:bidi="ar"/>
              </w:rPr>
              <w:t>1.布瓦及泥瓦水泥瓦顶的平房整体拆除</w:t>
            </w:r>
          </w:p>
          <w:p>
            <w:pPr>
              <w:keepNext w:val="0"/>
              <w:keepLines w:val="0"/>
              <w:widowControl/>
              <w:suppressLineNumbers w:val="0"/>
              <w:jc w:val="left"/>
              <w:textAlignment w:val="center"/>
              <w:rPr>
                <w:rFonts w:hint="eastAsia" w:ascii="宋体" w:hAnsi="宋体" w:eastAsia="宋体" w:cs="宋体"/>
                <w:i w:val="0"/>
                <w:color w:val="auto"/>
                <w:kern w:val="0"/>
                <w:sz w:val="18"/>
                <w:szCs w:val="18"/>
                <w:u w:val="none"/>
                <w:lang w:val="en-US" w:eastAsia="zh-CN" w:bidi="ar"/>
              </w:rPr>
            </w:pPr>
            <w:r>
              <w:rPr>
                <w:rFonts w:hint="eastAsia" w:ascii="宋体" w:hAnsi="宋体" w:eastAsia="宋体" w:cs="宋体"/>
                <w:i w:val="0"/>
                <w:color w:val="auto"/>
                <w:kern w:val="0"/>
                <w:sz w:val="18"/>
                <w:szCs w:val="18"/>
                <w:u w:val="none"/>
                <w:lang w:val="en-US" w:eastAsia="zh-CN" w:bidi="ar"/>
              </w:rPr>
              <w:t>2.拆除房屋墙体厚度370mm厚砖砌</w:t>
            </w:r>
          </w:p>
          <w:p>
            <w:pPr>
              <w:keepNext w:val="0"/>
              <w:keepLines w:val="0"/>
              <w:widowControl/>
              <w:suppressLineNumbers w:val="0"/>
              <w:jc w:val="left"/>
              <w:textAlignment w:val="center"/>
              <w:rPr>
                <w:rFonts w:hint="eastAsia" w:ascii="宋体" w:hAnsi="宋体" w:eastAsia="宋体" w:cs="宋体"/>
                <w:i w:val="0"/>
                <w:color w:val="auto"/>
                <w:kern w:val="0"/>
                <w:sz w:val="18"/>
                <w:szCs w:val="18"/>
                <w:u w:val="none"/>
                <w:lang w:val="en-US" w:eastAsia="zh-CN" w:bidi="ar"/>
              </w:rPr>
            </w:pPr>
            <w:r>
              <w:rPr>
                <w:rFonts w:hint="eastAsia" w:ascii="宋体" w:hAnsi="宋体" w:eastAsia="宋体" w:cs="宋体"/>
                <w:i w:val="0"/>
                <w:color w:val="auto"/>
                <w:kern w:val="0"/>
                <w:sz w:val="18"/>
                <w:szCs w:val="18"/>
                <w:u w:val="none"/>
                <w:lang w:val="en-US" w:eastAsia="zh-CN" w:bidi="ar"/>
              </w:rPr>
              <w:t>3.包含地上及地下所有需拆除物、包含但不限于地上建筑物、室内地面及地下基础等</w:t>
            </w:r>
          </w:p>
          <w:p>
            <w:pPr>
              <w:keepNext w:val="0"/>
              <w:keepLines w:val="0"/>
              <w:widowControl/>
              <w:suppressLineNumbers w:val="0"/>
              <w:jc w:val="left"/>
              <w:textAlignment w:val="center"/>
              <w:rPr>
                <w:rFonts w:hint="eastAsia" w:ascii="宋体" w:hAnsi="宋体" w:eastAsia="宋体" w:cs="宋体"/>
                <w:i w:val="0"/>
                <w:color w:val="auto"/>
                <w:kern w:val="0"/>
                <w:sz w:val="18"/>
                <w:szCs w:val="18"/>
                <w:u w:val="none"/>
                <w:lang w:val="en-US" w:eastAsia="zh-CN" w:bidi="ar"/>
              </w:rPr>
            </w:pPr>
            <w:r>
              <w:rPr>
                <w:rFonts w:hint="eastAsia" w:ascii="宋体" w:hAnsi="宋体" w:eastAsia="宋体" w:cs="宋体"/>
                <w:i w:val="0"/>
                <w:color w:val="auto"/>
                <w:kern w:val="0"/>
                <w:sz w:val="18"/>
                <w:szCs w:val="18"/>
                <w:u w:val="none"/>
                <w:lang w:val="en-US" w:eastAsia="zh-CN" w:bidi="ar"/>
              </w:rPr>
              <w:t>4.包含各种拆除方式的主体破碎、拆除、挖出，毗邻建筑物的保护，渣土原地清理、场内倒运、集中堆放、收方归堆、装车、场地平整、洒水、苫盖等</w:t>
            </w:r>
          </w:p>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5.拆除后要求场清地平，无建筑垃圾及渣土残留，按照土地性质达到相应验收标准并验收合格。</w:t>
            </w:r>
          </w:p>
        </w:tc>
        <w:tc>
          <w:tcPr>
            <w:tcW w:w="6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m²</w:t>
            </w:r>
          </w:p>
        </w:tc>
        <w:tc>
          <w:tcPr>
            <w:tcW w:w="6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1</w:t>
            </w:r>
          </w:p>
        </w:tc>
        <w:tc>
          <w:tcPr>
            <w:tcW w:w="8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p>
        </w:tc>
        <w:tc>
          <w:tcPr>
            <w:tcW w:w="9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p>
        </w:tc>
        <w:tc>
          <w:tcPr>
            <w:tcW w:w="6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pPr>
              <w:jc w:val="center"/>
              <w:rPr>
                <w:rFonts w:hint="default" w:ascii="Arial" w:hAnsi="Arial" w:eastAsia="宋体" w:cs="Arial"/>
                <w:i w:val="0"/>
                <w:color w:val="auto"/>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340" w:hRule="atLeast"/>
          <w:jc w:val="center"/>
        </w:trPr>
        <w:tc>
          <w:tcPr>
            <w:tcW w:w="67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6</w:t>
            </w:r>
          </w:p>
        </w:tc>
        <w:tc>
          <w:tcPr>
            <w:tcW w:w="17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瓦屋顶平房整体拆除(240厚砖墙 )</w:t>
            </w:r>
          </w:p>
        </w:tc>
        <w:tc>
          <w:tcPr>
            <w:tcW w:w="40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kern w:val="0"/>
                <w:sz w:val="18"/>
                <w:szCs w:val="18"/>
                <w:u w:val="none"/>
                <w:lang w:val="en-US" w:eastAsia="zh-CN" w:bidi="ar"/>
              </w:rPr>
            </w:pPr>
            <w:r>
              <w:rPr>
                <w:rFonts w:hint="eastAsia" w:ascii="宋体" w:hAnsi="宋体" w:eastAsia="宋体" w:cs="宋体"/>
                <w:i w:val="0"/>
                <w:color w:val="auto"/>
                <w:kern w:val="0"/>
                <w:sz w:val="18"/>
                <w:szCs w:val="18"/>
                <w:u w:val="none"/>
                <w:lang w:val="en-US" w:eastAsia="zh-CN" w:bidi="ar"/>
              </w:rPr>
              <w:t>1.布瓦及泥瓦水泥瓦顶的平房整体拆除</w:t>
            </w:r>
          </w:p>
          <w:p>
            <w:pPr>
              <w:keepNext w:val="0"/>
              <w:keepLines w:val="0"/>
              <w:widowControl/>
              <w:suppressLineNumbers w:val="0"/>
              <w:jc w:val="left"/>
              <w:textAlignment w:val="center"/>
              <w:rPr>
                <w:rFonts w:hint="eastAsia" w:ascii="宋体" w:hAnsi="宋体" w:eastAsia="宋体" w:cs="宋体"/>
                <w:i w:val="0"/>
                <w:color w:val="auto"/>
                <w:kern w:val="0"/>
                <w:sz w:val="18"/>
                <w:szCs w:val="18"/>
                <w:u w:val="none"/>
                <w:lang w:val="en-US" w:eastAsia="zh-CN" w:bidi="ar"/>
              </w:rPr>
            </w:pPr>
            <w:r>
              <w:rPr>
                <w:rFonts w:hint="eastAsia" w:ascii="宋体" w:hAnsi="宋体" w:eastAsia="宋体" w:cs="宋体"/>
                <w:i w:val="0"/>
                <w:color w:val="auto"/>
                <w:kern w:val="0"/>
                <w:sz w:val="18"/>
                <w:szCs w:val="18"/>
                <w:u w:val="none"/>
                <w:lang w:val="en-US" w:eastAsia="zh-CN" w:bidi="ar"/>
              </w:rPr>
              <w:t>2.拆除房屋墙体厚度240mm厚砖砌</w:t>
            </w:r>
          </w:p>
          <w:p>
            <w:pPr>
              <w:keepNext w:val="0"/>
              <w:keepLines w:val="0"/>
              <w:widowControl/>
              <w:suppressLineNumbers w:val="0"/>
              <w:jc w:val="left"/>
              <w:textAlignment w:val="center"/>
              <w:rPr>
                <w:rFonts w:hint="eastAsia" w:ascii="宋体" w:hAnsi="宋体" w:eastAsia="宋体" w:cs="宋体"/>
                <w:i w:val="0"/>
                <w:color w:val="auto"/>
                <w:kern w:val="0"/>
                <w:sz w:val="18"/>
                <w:szCs w:val="18"/>
                <w:u w:val="none"/>
                <w:lang w:val="en-US" w:eastAsia="zh-CN" w:bidi="ar"/>
              </w:rPr>
            </w:pPr>
            <w:r>
              <w:rPr>
                <w:rFonts w:hint="eastAsia" w:ascii="宋体" w:hAnsi="宋体" w:eastAsia="宋体" w:cs="宋体"/>
                <w:i w:val="0"/>
                <w:color w:val="auto"/>
                <w:kern w:val="0"/>
                <w:sz w:val="18"/>
                <w:szCs w:val="18"/>
                <w:u w:val="none"/>
                <w:lang w:val="en-US" w:eastAsia="zh-CN" w:bidi="ar"/>
              </w:rPr>
              <w:t>3.包含地上及地下所有需拆除物、包含但不限于地上建筑物、室内地面及地下基础等</w:t>
            </w:r>
          </w:p>
          <w:p>
            <w:pPr>
              <w:keepNext w:val="0"/>
              <w:keepLines w:val="0"/>
              <w:widowControl/>
              <w:suppressLineNumbers w:val="0"/>
              <w:jc w:val="left"/>
              <w:textAlignment w:val="center"/>
              <w:rPr>
                <w:rFonts w:hint="eastAsia" w:ascii="宋体" w:hAnsi="宋体" w:eastAsia="宋体" w:cs="宋体"/>
                <w:i w:val="0"/>
                <w:color w:val="auto"/>
                <w:kern w:val="0"/>
                <w:sz w:val="18"/>
                <w:szCs w:val="18"/>
                <w:u w:val="none"/>
                <w:lang w:val="en-US" w:eastAsia="zh-CN" w:bidi="ar"/>
              </w:rPr>
            </w:pPr>
            <w:r>
              <w:rPr>
                <w:rFonts w:hint="eastAsia" w:ascii="宋体" w:hAnsi="宋体" w:eastAsia="宋体" w:cs="宋体"/>
                <w:i w:val="0"/>
                <w:color w:val="auto"/>
                <w:kern w:val="0"/>
                <w:sz w:val="18"/>
                <w:szCs w:val="18"/>
                <w:u w:val="none"/>
                <w:lang w:val="en-US" w:eastAsia="zh-CN" w:bidi="ar"/>
              </w:rPr>
              <w:t>4.包含各种拆除方式的主体破碎、拆除、挖出，毗邻建筑物的保护，渣土原地清理、场内倒运、集中堆放、收方归堆、装车、场地平整、洒水、苫盖等</w:t>
            </w:r>
          </w:p>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5.拆除后要求场清地平，无建筑垃圾及渣土残留，按照土地性质达到相应验收标准并验收合格。</w:t>
            </w:r>
          </w:p>
        </w:tc>
        <w:tc>
          <w:tcPr>
            <w:tcW w:w="6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m²</w:t>
            </w:r>
          </w:p>
        </w:tc>
        <w:tc>
          <w:tcPr>
            <w:tcW w:w="6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1</w:t>
            </w:r>
          </w:p>
        </w:tc>
        <w:tc>
          <w:tcPr>
            <w:tcW w:w="8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p>
        </w:tc>
        <w:tc>
          <w:tcPr>
            <w:tcW w:w="9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p>
        </w:tc>
        <w:tc>
          <w:tcPr>
            <w:tcW w:w="6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pPr>
              <w:jc w:val="center"/>
              <w:rPr>
                <w:rFonts w:hint="default" w:ascii="Arial" w:hAnsi="Arial" w:eastAsia="宋体" w:cs="Arial"/>
                <w:i w:val="0"/>
                <w:color w:val="auto"/>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360" w:hRule="atLeast"/>
          <w:jc w:val="center"/>
        </w:trPr>
        <w:tc>
          <w:tcPr>
            <w:tcW w:w="67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7</w:t>
            </w:r>
          </w:p>
        </w:tc>
        <w:tc>
          <w:tcPr>
            <w:tcW w:w="17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彩钢屋顶平房整体拆除(370厚砖墙 )</w:t>
            </w:r>
          </w:p>
        </w:tc>
        <w:tc>
          <w:tcPr>
            <w:tcW w:w="40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kern w:val="0"/>
                <w:sz w:val="18"/>
                <w:szCs w:val="18"/>
                <w:u w:val="none"/>
                <w:lang w:val="en-US" w:eastAsia="zh-CN" w:bidi="ar"/>
              </w:rPr>
            </w:pPr>
            <w:r>
              <w:rPr>
                <w:rFonts w:hint="eastAsia" w:ascii="宋体" w:hAnsi="宋体" w:eastAsia="宋体" w:cs="宋体"/>
                <w:i w:val="0"/>
                <w:color w:val="auto"/>
                <w:kern w:val="0"/>
                <w:sz w:val="18"/>
                <w:szCs w:val="18"/>
                <w:u w:val="none"/>
                <w:lang w:val="en-US" w:eastAsia="zh-CN" w:bidi="ar"/>
              </w:rPr>
              <w:t>1.彩钢屋顶的平房整体拆除</w:t>
            </w:r>
          </w:p>
          <w:p>
            <w:pPr>
              <w:keepNext w:val="0"/>
              <w:keepLines w:val="0"/>
              <w:widowControl/>
              <w:suppressLineNumbers w:val="0"/>
              <w:jc w:val="left"/>
              <w:textAlignment w:val="center"/>
              <w:rPr>
                <w:rFonts w:hint="eastAsia" w:ascii="宋体" w:hAnsi="宋体" w:eastAsia="宋体" w:cs="宋体"/>
                <w:i w:val="0"/>
                <w:color w:val="auto"/>
                <w:kern w:val="0"/>
                <w:sz w:val="18"/>
                <w:szCs w:val="18"/>
                <w:u w:val="none"/>
                <w:lang w:val="en-US" w:eastAsia="zh-CN" w:bidi="ar"/>
              </w:rPr>
            </w:pPr>
            <w:r>
              <w:rPr>
                <w:rFonts w:hint="eastAsia" w:ascii="宋体" w:hAnsi="宋体" w:eastAsia="宋体" w:cs="宋体"/>
                <w:i w:val="0"/>
                <w:color w:val="auto"/>
                <w:kern w:val="0"/>
                <w:sz w:val="18"/>
                <w:szCs w:val="18"/>
                <w:u w:val="none"/>
                <w:lang w:val="en-US" w:eastAsia="zh-CN" w:bidi="ar"/>
              </w:rPr>
              <w:t>2.拆除房屋墙体厚度370mm厚砖砌</w:t>
            </w:r>
          </w:p>
          <w:p>
            <w:pPr>
              <w:keepNext w:val="0"/>
              <w:keepLines w:val="0"/>
              <w:widowControl/>
              <w:suppressLineNumbers w:val="0"/>
              <w:jc w:val="left"/>
              <w:textAlignment w:val="center"/>
              <w:rPr>
                <w:rFonts w:hint="eastAsia" w:ascii="宋体" w:hAnsi="宋体" w:eastAsia="宋体" w:cs="宋体"/>
                <w:i w:val="0"/>
                <w:color w:val="auto"/>
                <w:kern w:val="0"/>
                <w:sz w:val="18"/>
                <w:szCs w:val="18"/>
                <w:u w:val="none"/>
                <w:lang w:val="en-US" w:eastAsia="zh-CN" w:bidi="ar"/>
              </w:rPr>
            </w:pPr>
            <w:r>
              <w:rPr>
                <w:rFonts w:hint="eastAsia" w:ascii="宋体" w:hAnsi="宋体" w:eastAsia="宋体" w:cs="宋体"/>
                <w:i w:val="0"/>
                <w:color w:val="auto"/>
                <w:kern w:val="0"/>
                <w:sz w:val="18"/>
                <w:szCs w:val="18"/>
                <w:u w:val="none"/>
                <w:lang w:val="en-US" w:eastAsia="zh-CN" w:bidi="ar"/>
              </w:rPr>
              <w:t>3.包含地上及地下所有需拆除物、包含但不限于地上建筑物、室内地面及地下基础等</w:t>
            </w:r>
          </w:p>
          <w:p>
            <w:pPr>
              <w:keepNext w:val="0"/>
              <w:keepLines w:val="0"/>
              <w:widowControl/>
              <w:suppressLineNumbers w:val="0"/>
              <w:jc w:val="left"/>
              <w:textAlignment w:val="center"/>
              <w:rPr>
                <w:rFonts w:hint="eastAsia" w:ascii="宋体" w:hAnsi="宋体" w:eastAsia="宋体" w:cs="宋体"/>
                <w:i w:val="0"/>
                <w:color w:val="auto"/>
                <w:kern w:val="0"/>
                <w:sz w:val="18"/>
                <w:szCs w:val="18"/>
                <w:u w:val="none"/>
                <w:lang w:val="en-US" w:eastAsia="zh-CN" w:bidi="ar"/>
              </w:rPr>
            </w:pPr>
            <w:r>
              <w:rPr>
                <w:rFonts w:hint="eastAsia" w:ascii="宋体" w:hAnsi="宋体" w:eastAsia="宋体" w:cs="宋体"/>
                <w:i w:val="0"/>
                <w:color w:val="auto"/>
                <w:kern w:val="0"/>
                <w:sz w:val="18"/>
                <w:szCs w:val="18"/>
                <w:u w:val="none"/>
                <w:lang w:val="en-US" w:eastAsia="zh-CN" w:bidi="ar"/>
              </w:rPr>
              <w:t>4.包含各种拆除方式的主体破碎、拆除、挖出，毗邻建筑物的保护，渣土原地清理、场内倒运、集中堆放、收方归堆、装车、场地平整、洒水、苫盖等</w:t>
            </w:r>
          </w:p>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5.拆除后要求场清地平，无建筑垃圾及渣土残留，按照土地性质达到相应验收标准并验收合格。</w:t>
            </w:r>
          </w:p>
        </w:tc>
        <w:tc>
          <w:tcPr>
            <w:tcW w:w="6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m²</w:t>
            </w:r>
          </w:p>
        </w:tc>
        <w:tc>
          <w:tcPr>
            <w:tcW w:w="6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 xml:space="preserve"> 1</w:t>
            </w:r>
          </w:p>
        </w:tc>
        <w:tc>
          <w:tcPr>
            <w:tcW w:w="8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p>
        </w:tc>
        <w:tc>
          <w:tcPr>
            <w:tcW w:w="9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p>
        </w:tc>
        <w:tc>
          <w:tcPr>
            <w:tcW w:w="6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pPr>
              <w:jc w:val="center"/>
              <w:rPr>
                <w:rFonts w:hint="default" w:ascii="Arial" w:hAnsi="Arial" w:eastAsia="宋体" w:cs="Arial"/>
                <w:i w:val="0"/>
                <w:color w:val="auto"/>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80" w:hRule="atLeast"/>
          <w:jc w:val="center"/>
        </w:trPr>
        <w:tc>
          <w:tcPr>
            <w:tcW w:w="67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8</w:t>
            </w:r>
          </w:p>
        </w:tc>
        <w:tc>
          <w:tcPr>
            <w:tcW w:w="17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彩钢屋顶平房整体拆除(240厚砖墙 )</w:t>
            </w:r>
          </w:p>
        </w:tc>
        <w:tc>
          <w:tcPr>
            <w:tcW w:w="40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kern w:val="0"/>
                <w:sz w:val="18"/>
                <w:szCs w:val="18"/>
                <w:u w:val="none"/>
                <w:lang w:val="en-US" w:eastAsia="zh-CN" w:bidi="ar"/>
              </w:rPr>
            </w:pPr>
            <w:r>
              <w:rPr>
                <w:rFonts w:hint="eastAsia" w:ascii="宋体" w:hAnsi="宋体" w:eastAsia="宋体" w:cs="宋体"/>
                <w:i w:val="0"/>
                <w:color w:val="auto"/>
                <w:kern w:val="0"/>
                <w:sz w:val="18"/>
                <w:szCs w:val="18"/>
                <w:u w:val="none"/>
                <w:lang w:val="en-US" w:eastAsia="zh-CN" w:bidi="ar"/>
              </w:rPr>
              <w:t>1.彩钢屋顶的平房整体拆除</w:t>
            </w:r>
          </w:p>
          <w:p>
            <w:pPr>
              <w:keepNext w:val="0"/>
              <w:keepLines w:val="0"/>
              <w:widowControl/>
              <w:suppressLineNumbers w:val="0"/>
              <w:jc w:val="left"/>
              <w:textAlignment w:val="center"/>
              <w:rPr>
                <w:rFonts w:hint="eastAsia" w:ascii="宋体" w:hAnsi="宋体" w:eastAsia="宋体" w:cs="宋体"/>
                <w:i w:val="0"/>
                <w:color w:val="auto"/>
                <w:kern w:val="0"/>
                <w:sz w:val="18"/>
                <w:szCs w:val="18"/>
                <w:u w:val="none"/>
                <w:lang w:val="en-US" w:eastAsia="zh-CN" w:bidi="ar"/>
              </w:rPr>
            </w:pPr>
            <w:r>
              <w:rPr>
                <w:rFonts w:hint="eastAsia" w:ascii="宋体" w:hAnsi="宋体" w:eastAsia="宋体" w:cs="宋体"/>
                <w:i w:val="0"/>
                <w:color w:val="auto"/>
                <w:kern w:val="0"/>
                <w:sz w:val="18"/>
                <w:szCs w:val="18"/>
                <w:u w:val="none"/>
                <w:lang w:val="en-US" w:eastAsia="zh-CN" w:bidi="ar"/>
              </w:rPr>
              <w:t>2.拆除房屋墙体厚度240mm厚砖砌</w:t>
            </w:r>
          </w:p>
          <w:p>
            <w:pPr>
              <w:keepNext w:val="0"/>
              <w:keepLines w:val="0"/>
              <w:widowControl/>
              <w:suppressLineNumbers w:val="0"/>
              <w:jc w:val="left"/>
              <w:textAlignment w:val="center"/>
              <w:rPr>
                <w:rFonts w:hint="eastAsia" w:ascii="宋体" w:hAnsi="宋体" w:eastAsia="宋体" w:cs="宋体"/>
                <w:i w:val="0"/>
                <w:color w:val="auto"/>
                <w:kern w:val="0"/>
                <w:sz w:val="18"/>
                <w:szCs w:val="18"/>
                <w:u w:val="none"/>
                <w:lang w:val="en-US" w:eastAsia="zh-CN" w:bidi="ar"/>
              </w:rPr>
            </w:pPr>
            <w:r>
              <w:rPr>
                <w:rFonts w:hint="eastAsia" w:ascii="宋体" w:hAnsi="宋体" w:eastAsia="宋体" w:cs="宋体"/>
                <w:i w:val="0"/>
                <w:color w:val="auto"/>
                <w:kern w:val="0"/>
                <w:sz w:val="18"/>
                <w:szCs w:val="18"/>
                <w:u w:val="none"/>
                <w:lang w:val="en-US" w:eastAsia="zh-CN" w:bidi="ar"/>
              </w:rPr>
              <w:t>3.包含地上及地下所有需拆除物、包含但不限于地上建筑物、室内地面及地下基础等</w:t>
            </w:r>
          </w:p>
          <w:p>
            <w:pPr>
              <w:keepNext w:val="0"/>
              <w:keepLines w:val="0"/>
              <w:widowControl/>
              <w:suppressLineNumbers w:val="0"/>
              <w:jc w:val="left"/>
              <w:textAlignment w:val="center"/>
              <w:rPr>
                <w:rFonts w:hint="eastAsia" w:ascii="宋体" w:hAnsi="宋体" w:eastAsia="宋体" w:cs="宋体"/>
                <w:i w:val="0"/>
                <w:color w:val="auto"/>
                <w:kern w:val="0"/>
                <w:sz w:val="18"/>
                <w:szCs w:val="18"/>
                <w:u w:val="none"/>
                <w:lang w:val="en-US" w:eastAsia="zh-CN" w:bidi="ar"/>
              </w:rPr>
            </w:pPr>
            <w:r>
              <w:rPr>
                <w:rFonts w:hint="eastAsia" w:ascii="宋体" w:hAnsi="宋体" w:eastAsia="宋体" w:cs="宋体"/>
                <w:i w:val="0"/>
                <w:color w:val="auto"/>
                <w:kern w:val="0"/>
                <w:sz w:val="18"/>
                <w:szCs w:val="18"/>
                <w:u w:val="none"/>
                <w:lang w:val="en-US" w:eastAsia="zh-CN" w:bidi="ar"/>
              </w:rPr>
              <w:t>4.包含各种拆除方式的主体破碎、拆除、挖出，毗邻建筑物的保护，渣土原地清理、场内倒运、集中堆放、收方归堆、装车、场地平整、洒水、苫盖等</w:t>
            </w:r>
          </w:p>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5.拆除后要求场清地平，无建筑垃圾及渣土残留，按照土地性质达到相应验收标准并验收合格。</w:t>
            </w:r>
          </w:p>
        </w:tc>
        <w:tc>
          <w:tcPr>
            <w:tcW w:w="6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m²</w:t>
            </w:r>
          </w:p>
        </w:tc>
        <w:tc>
          <w:tcPr>
            <w:tcW w:w="6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1</w:t>
            </w:r>
          </w:p>
        </w:tc>
        <w:tc>
          <w:tcPr>
            <w:tcW w:w="8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p>
        </w:tc>
        <w:tc>
          <w:tcPr>
            <w:tcW w:w="9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p>
        </w:tc>
        <w:tc>
          <w:tcPr>
            <w:tcW w:w="6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pPr>
              <w:jc w:val="center"/>
              <w:rPr>
                <w:rFonts w:hint="default" w:ascii="Arial" w:hAnsi="Arial" w:eastAsia="宋体" w:cs="Arial"/>
                <w:i w:val="0"/>
                <w:color w:val="auto"/>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620" w:hRule="atLeast"/>
          <w:jc w:val="center"/>
        </w:trPr>
        <w:tc>
          <w:tcPr>
            <w:tcW w:w="67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9</w:t>
            </w:r>
          </w:p>
        </w:tc>
        <w:tc>
          <w:tcPr>
            <w:tcW w:w="17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钢结构拆除</w:t>
            </w:r>
          </w:p>
        </w:tc>
        <w:tc>
          <w:tcPr>
            <w:tcW w:w="40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kern w:val="0"/>
                <w:sz w:val="18"/>
                <w:szCs w:val="18"/>
                <w:u w:val="none"/>
                <w:lang w:val="en-US" w:eastAsia="zh-CN" w:bidi="ar"/>
              </w:rPr>
            </w:pPr>
            <w:r>
              <w:rPr>
                <w:rFonts w:hint="eastAsia" w:ascii="宋体" w:hAnsi="宋体" w:eastAsia="宋体" w:cs="宋体"/>
                <w:i w:val="0"/>
                <w:color w:val="auto"/>
                <w:kern w:val="0"/>
                <w:sz w:val="18"/>
                <w:szCs w:val="18"/>
                <w:u w:val="none"/>
                <w:lang w:val="en-US" w:eastAsia="zh-CN" w:bidi="ar"/>
              </w:rPr>
              <w:t>1.钢结构房屋拆除</w:t>
            </w:r>
          </w:p>
          <w:p>
            <w:pPr>
              <w:keepNext w:val="0"/>
              <w:keepLines w:val="0"/>
              <w:widowControl/>
              <w:suppressLineNumbers w:val="0"/>
              <w:jc w:val="left"/>
              <w:textAlignment w:val="center"/>
              <w:rPr>
                <w:rFonts w:hint="eastAsia" w:ascii="宋体" w:hAnsi="宋体" w:eastAsia="宋体" w:cs="宋体"/>
                <w:i w:val="0"/>
                <w:color w:val="auto"/>
                <w:kern w:val="0"/>
                <w:sz w:val="18"/>
                <w:szCs w:val="18"/>
                <w:u w:val="none"/>
                <w:lang w:val="en-US" w:eastAsia="zh-CN" w:bidi="ar"/>
              </w:rPr>
            </w:pPr>
            <w:r>
              <w:rPr>
                <w:rFonts w:hint="eastAsia" w:ascii="宋体" w:hAnsi="宋体" w:eastAsia="宋体" w:cs="宋体"/>
                <w:i w:val="0"/>
                <w:color w:val="auto"/>
                <w:kern w:val="0"/>
                <w:sz w:val="18"/>
                <w:szCs w:val="18"/>
                <w:u w:val="none"/>
                <w:lang w:val="en-US" w:eastAsia="zh-CN" w:bidi="ar"/>
              </w:rPr>
              <w:t>2.屋架、钢梁、钢柱、钢檩条等拆除、分解、指定地点堆放整齐</w:t>
            </w:r>
          </w:p>
          <w:p>
            <w:pPr>
              <w:keepNext w:val="0"/>
              <w:keepLines w:val="0"/>
              <w:widowControl/>
              <w:suppressLineNumbers w:val="0"/>
              <w:jc w:val="left"/>
              <w:textAlignment w:val="center"/>
              <w:rPr>
                <w:rFonts w:hint="eastAsia" w:ascii="宋体" w:hAnsi="宋体" w:eastAsia="宋体" w:cs="宋体"/>
                <w:i w:val="0"/>
                <w:color w:val="auto"/>
                <w:kern w:val="0"/>
                <w:sz w:val="18"/>
                <w:szCs w:val="18"/>
                <w:u w:val="none"/>
                <w:lang w:val="en-US" w:eastAsia="zh-CN" w:bidi="ar"/>
              </w:rPr>
            </w:pPr>
            <w:r>
              <w:rPr>
                <w:rFonts w:hint="eastAsia" w:ascii="宋体" w:hAnsi="宋体" w:eastAsia="宋体" w:cs="宋体"/>
                <w:i w:val="0"/>
                <w:color w:val="auto"/>
                <w:kern w:val="0"/>
                <w:sz w:val="18"/>
                <w:szCs w:val="18"/>
                <w:u w:val="none"/>
                <w:lang w:val="en-US" w:eastAsia="zh-CN" w:bidi="ar"/>
              </w:rPr>
              <w:t>3.包含地上及地下所有需拆除物、包含但不限于地上建筑物、室内地面及地下基础等</w:t>
            </w:r>
          </w:p>
          <w:p>
            <w:pPr>
              <w:keepNext w:val="0"/>
              <w:keepLines w:val="0"/>
              <w:widowControl/>
              <w:suppressLineNumbers w:val="0"/>
              <w:jc w:val="left"/>
              <w:textAlignment w:val="center"/>
              <w:rPr>
                <w:rFonts w:hint="eastAsia" w:ascii="宋体" w:hAnsi="宋体" w:eastAsia="宋体" w:cs="宋体"/>
                <w:i w:val="0"/>
                <w:color w:val="auto"/>
                <w:kern w:val="0"/>
                <w:sz w:val="18"/>
                <w:szCs w:val="18"/>
                <w:u w:val="none"/>
                <w:lang w:val="en-US" w:eastAsia="zh-CN" w:bidi="ar"/>
              </w:rPr>
            </w:pPr>
            <w:r>
              <w:rPr>
                <w:rFonts w:hint="eastAsia" w:ascii="宋体" w:hAnsi="宋体" w:eastAsia="宋体" w:cs="宋体"/>
                <w:i w:val="0"/>
                <w:color w:val="auto"/>
                <w:kern w:val="0"/>
                <w:sz w:val="18"/>
                <w:szCs w:val="18"/>
                <w:u w:val="none"/>
                <w:lang w:val="en-US" w:eastAsia="zh-CN" w:bidi="ar"/>
              </w:rPr>
              <w:t>4.各种拆除方式的主体破碎、拆除、挖出，毗邻建筑物的保护，渣土原地清理、场内倒运、集中堆放、收方归堆、装车、场地平整、洒水、苫盖等</w:t>
            </w:r>
          </w:p>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5.拆除后要求场清地平，无建筑垃圾及渣土残留，需要按照土地性质达到相应验收标准并验收合格。</w:t>
            </w:r>
          </w:p>
        </w:tc>
        <w:tc>
          <w:tcPr>
            <w:tcW w:w="6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m²</w:t>
            </w:r>
          </w:p>
        </w:tc>
        <w:tc>
          <w:tcPr>
            <w:tcW w:w="6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1</w:t>
            </w:r>
          </w:p>
        </w:tc>
        <w:tc>
          <w:tcPr>
            <w:tcW w:w="8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p>
        </w:tc>
        <w:tc>
          <w:tcPr>
            <w:tcW w:w="9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p>
        </w:tc>
        <w:tc>
          <w:tcPr>
            <w:tcW w:w="6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pPr>
              <w:jc w:val="center"/>
              <w:rPr>
                <w:rFonts w:hint="default" w:ascii="Arial" w:hAnsi="Arial" w:eastAsia="宋体" w:cs="Arial"/>
                <w:i w:val="0"/>
                <w:color w:val="auto"/>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200" w:hRule="atLeast"/>
          <w:jc w:val="center"/>
        </w:trPr>
        <w:tc>
          <w:tcPr>
            <w:tcW w:w="67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10</w:t>
            </w:r>
          </w:p>
        </w:tc>
        <w:tc>
          <w:tcPr>
            <w:tcW w:w="17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棚子拆除</w:t>
            </w:r>
          </w:p>
        </w:tc>
        <w:tc>
          <w:tcPr>
            <w:tcW w:w="40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kern w:val="0"/>
                <w:sz w:val="18"/>
                <w:szCs w:val="18"/>
                <w:u w:val="none"/>
                <w:lang w:val="en-US" w:eastAsia="zh-CN" w:bidi="ar"/>
              </w:rPr>
            </w:pPr>
            <w:r>
              <w:rPr>
                <w:rFonts w:hint="eastAsia" w:ascii="宋体" w:hAnsi="宋体" w:eastAsia="宋体" w:cs="宋体"/>
                <w:i w:val="0"/>
                <w:color w:val="auto"/>
                <w:kern w:val="0"/>
                <w:sz w:val="18"/>
                <w:szCs w:val="18"/>
                <w:u w:val="none"/>
                <w:lang w:val="en-US" w:eastAsia="zh-CN" w:bidi="ar"/>
              </w:rPr>
              <w:t>1.彩钢、石棉瓦等棚子拆除</w:t>
            </w:r>
          </w:p>
          <w:p>
            <w:pPr>
              <w:keepNext w:val="0"/>
              <w:keepLines w:val="0"/>
              <w:widowControl/>
              <w:suppressLineNumbers w:val="0"/>
              <w:jc w:val="left"/>
              <w:textAlignment w:val="center"/>
              <w:rPr>
                <w:rFonts w:hint="eastAsia" w:ascii="宋体" w:hAnsi="宋体" w:eastAsia="宋体" w:cs="宋体"/>
                <w:i w:val="0"/>
                <w:color w:val="auto"/>
                <w:kern w:val="0"/>
                <w:sz w:val="18"/>
                <w:szCs w:val="18"/>
                <w:u w:val="none"/>
                <w:lang w:val="en-US" w:eastAsia="zh-CN" w:bidi="ar"/>
              </w:rPr>
            </w:pPr>
            <w:r>
              <w:rPr>
                <w:rFonts w:hint="eastAsia" w:ascii="宋体" w:hAnsi="宋体" w:eastAsia="宋体" w:cs="宋体"/>
                <w:i w:val="0"/>
                <w:color w:val="auto"/>
                <w:kern w:val="0"/>
                <w:sz w:val="18"/>
                <w:szCs w:val="18"/>
                <w:u w:val="none"/>
                <w:lang w:val="en-US" w:eastAsia="zh-CN" w:bidi="ar"/>
              </w:rPr>
              <w:t>2.无维护结构，仅有立柱的棚子拆除</w:t>
            </w:r>
          </w:p>
          <w:p>
            <w:pPr>
              <w:keepNext w:val="0"/>
              <w:keepLines w:val="0"/>
              <w:widowControl/>
              <w:suppressLineNumbers w:val="0"/>
              <w:jc w:val="left"/>
              <w:textAlignment w:val="center"/>
              <w:rPr>
                <w:rFonts w:hint="eastAsia" w:ascii="宋体" w:hAnsi="宋体" w:eastAsia="宋体" w:cs="宋体"/>
                <w:i w:val="0"/>
                <w:color w:val="auto"/>
                <w:kern w:val="0"/>
                <w:sz w:val="18"/>
                <w:szCs w:val="18"/>
                <w:u w:val="none"/>
                <w:lang w:val="en-US" w:eastAsia="zh-CN" w:bidi="ar"/>
              </w:rPr>
            </w:pPr>
            <w:r>
              <w:rPr>
                <w:rFonts w:hint="eastAsia" w:ascii="宋体" w:hAnsi="宋体" w:eastAsia="宋体" w:cs="宋体"/>
                <w:i w:val="0"/>
                <w:color w:val="auto"/>
                <w:kern w:val="0"/>
                <w:sz w:val="18"/>
                <w:szCs w:val="18"/>
                <w:u w:val="none"/>
                <w:lang w:val="en-US" w:eastAsia="zh-CN" w:bidi="ar"/>
              </w:rPr>
              <w:t>3.包含地上及地下所有需拆除物、包含但不限于地上建筑物、室内地面及地下基础等</w:t>
            </w:r>
          </w:p>
          <w:p>
            <w:pPr>
              <w:keepNext w:val="0"/>
              <w:keepLines w:val="0"/>
              <w:widowControl/>
              <w:suppressLineNumbers w:val="0"/>
              <w:jc w:val="left"/>
              <w:textAlignment w:val="center"/>
              <w:rPr>
                <w:rFonts w:hint="eastAsia" w:ascii="宋体" w:hAnsi="宋体" w:eastAsia="宋体" w:cs="宋体"/>
                <w:i w:val="0"/>
                <w:color w:val="auto"/>
                <w:kern w:val="0"/>
                <w:sz w:val="18"/>
                <w:szCs w:val="18"/>
                <w:u w:val="none"/>
                <w:lang w:val="en-US" w:eastAsia="zh-CN" w:bidi="ar"/>
              </w:rPr>
            </w:pPr>
            <w:r>
              <w:rPr>
                <w:rFonts w:hint="eastAsia" w:ascii="宋体" w:hAnsi="宋体" w:eastAsia="宋体" w:cs="宋体"/>
                <w:i w:val="0"/>
                <w:color w:val="auto"/>
                <w:kern w:val="0"/>
                <w:sz w:val="18"/>
                <w:szCs w:val="18"/>
                <w:u w:val="none"/>
                <w:lang w:val="en-US" w:eastAsia="zh-CN" w:bidi="ar"/>
              </w:rPr>
              <w:t>4.包含各种拆除方式的主体破碎、拆除、挖出，毗邻建筑物的保护，渣土原地清理、场内倒运、集中堆放、收方归堆、装车、场地平整、洒水、苫盖等</w:t>
            </w:r>
          </w:p>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5.拆除后要求场清地平，无建筑垃圾及渣土残留，按照土地性质达到相应验收标准并验收合格。</w:t>
            </w:r>
          </w:p>
        </w:tc>
        <w:tc>
          <w:tcPr>
            <w:tcW w:w="6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m²</w:t>
            </w:r>
          </w:p>
        </w:tc>
        <w:tc>
          <w:tcPr>
            <w:tcW w:w="6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 xml:space="preserve"> 1</w:t>
            </w:r>
          </w:p>
        </w:tc>
        <w:tc>
          <w:tcPr>
            <w:tcW w:w="8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p>
        </w:tc>
        <w:tc>
          <w:tcPr>
            <w:tcW w:w="9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p>
        </w:tc>
        <w:tc>
          <w:tcPr>
            <w:tcW w:w="6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pPr>
              <w:jc w:val="center"/>
              <w:rPr>
                <w:rFonts w:hint="default" w:ascii="Arial" w:hAnsi="Arial" w:eastAsia="宋体" w:cs="Arial"/>
                <w:i w:val="0"/>
                <w:color w:val="auto"/>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20" w:hRule="atLeast"/>
          <w:jc w:val="center"/>
        </w:trPr>
        <w:tc>
          <w:tcPr>
            <w:tcW w:w="67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11</w:t>
            </w:r>
          </w:p>
        </w:tc>
        <w:tc>
          <w:tcPr>
            <w:tcW w:w="17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彩钢板房拆除</w:t>
            </w:r>
          </w:p>
        </w:tc>
        <w:tc>
          <w:tcPr>
            <w:tcW w:w="40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kern w:val="0"/>
                <w:sz w:val="18"/>
                <w:szCs w:val="18"/>
                <w:u w:val="none"/>
                <w:lang w:val="en-US" w:eastAsia="zh-CN" w:bidi="ar"/>
              </w:rPr>
            </w:pPr>
            <w:r>
              <w:rPr>
                <w:rFonts w:hint="eastAsia" w:ascii="宋体" w:hAnsi="宋体" w:eastAsia="宋体" w:cs="宋体"/>
                <w:i w:val="0"/>
                <w:color w:val="auto"/>
                <w:kern w:val="0"/>
                <w:sz w:val="18"/>
                <w:szCs w:val="18"/>
                <w:u w:val="none"/>
                <w:lang w:val="en-US" w:eastAsia="zh-CN" w:bidi="ar"/>
              </w:rPr>
              <w:t>1.彩钢板房拆除</w:t>
            </w:r>
          </w:p>
          <w:p>
            <w:pPr>
              <w:keepNext w:val="0"/>
              <w:keepLines w:val="0"/>
              <w:widowControl/>
              <w:suppressLineNumbers w:val="0"/>
              <w:jc w:val="left"/>
              <w:textAlignment w:val="center"/>
              <w:rPr>
                <w:rFonts w:hint="eastAsia" w:ascii="宋体" w:hAnsi="宋体" w:eastAsia="宋体" w:cs="宋体"/>
                <w:i w:val="0"/>
                <w:color w:val="auto"/>
                <w:kern w:val="0"/>
                <w:sz w:val="18"/>
                <w:szCs w:val="18"/>
                <w:u w:val="none"/>
                <w:lang w:val="en-US" w:eastAsia="zh-CN" w:bidi="ar"/>
              </w:rPr>
            </w:pPr>
            <w:r>
              <w:rPr>
                <w:rFonts w:hint="eastAsia" w:ascii="宋体" w:hAnsi="宋体" w:eastAsia="宋体" w:cs="宋体"/>
                <w:i w:val="0"/>
                <w:color w:val="auto"/>
                <w:kern w:val="0"/>
                <w:sz w:val="18"/>
                <w:szCs w:val="18"/>
                <w:u w:val="none"/>
                <w:lang w:val="en-US" w:eastAsia="zh-CN" w:bidi="ar"/>
              </w:rPr>
              <w:t>2.墙体为彩钢板</w:t>
            </w:r>
          </w:p>
          <w:p>
            <w:pPr>
              <w:keepNext w:val="0"/>
              <w:keepLines w:val="0"/>
              <w:widowControl/>
              <w:suppressLineNumbers w:val="0"/>
              <w:jc w:val="left"/>
              <w:textAlignment w:val="center"/>
              <w:rPr>
                <w:rFonts w:hint="eastAsia" w:ascii="宋体" w:hAnsi="宋体" w:eastAsia="宋体" w:cs="宋体"/>
                <w:i w:val="0"/>
                <w:color w:val="auto"/>
                <w:kern w:val="0"/>
                <w:sz w:val="18"/>
                <w:szCs w:val="18"/>
                <w:u w:val="none"/>
                <w:lang w:val="en-US" w:eastAsia="zh-CN" w:bidi="ar"/>
              </w:rPr>
            </w:pPr>
            <w:r>
              <w:rPr>
                <w:rFonts w:hint="eastAsia" w:ascii="宋体" w:hAnsi="宋体" w:eastAsia="宋体" w:cs="宋体"/>
                <w:i w:val="0"/>
                <w:color w:val="auto"/>
                <w:kern w:val="0"/>
                <w:sz w:val="18"/>
                <w:szCs w:val="18"/>
                <w:u w:val="none"/>
                <w:lang w:val="en-US" w:eastAsia="zh-CN" w:bidi="ar"/>
              </w:rPr>
              <w:t>3.包含地上及地下所有需拆除物、包含但不限于地上建筑物、室内地面及地下基础等</w:t>
            </w:r>
          </w:p>
          <w:p>
            <w:pPr>
              <w:keepNext w:val="0"/>
              <w:keepLines w:val="0"/>
              <w:widowControl/>
              <w:suppressLineNumbers w:val="0"/>
              <w:jc w:val="left"/>
              <w:textAlignment w:val="center"/>
              <w:rPr>
                <w:rFonts w:hint="eastAsia" w:ascii="宋体" w:hAnsi="宋体" w:eastAsia="宋体" w:cs="宋体"/>
                <w:i w:val="0"/>
                <w:color w:val="auto"/>
                <w:kern w:val="0"/>
                <w:sz w:val="18"/>
                <w:szCs w:val="18"/>
                <w:u w:val="none"/>
                <w:lang w:val="en-US" w:eastAsia="zh-CN" w:bidi="ar"/>
              </w:rPr>
            </w:pPr>
            <w:r>
              <w:rPr>
                <w:rFonts w:hint="eastAsia" w:ascii="宋体" w:hAnsi="宋体" w:eastAsia="宋体" w:cs="宋体"/>
                <w:i w:val="0"/>
                <w:color w:val="auto"/>
                <w:kern w:val="0"/>
                <w:sz w:val="18"/>
                <w:szCs w:val="18"/>
                <w:u w:val="none"/>
                <w:lang w:val="en-US" w:eastAsia="zh-CN" w:bidi="ar"/>
              </w:rPr>
              <w:t>4.包含各种拆除方式的主体破碎、拆除、挖出，毗邻建筑物的保护，渣土原地清理、场内倒运、集中堆放、收方归堆、装车、场地平整、洒水、苫盖等</w:t>
            </w:r>
          </w:p>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5.拆除后要求场清地平，无建筑垃圾及渣土残留，按照土地性质达到相应验收标准并验收合格。</w:t>
            </w:r>
          </w:p>
        </w:tc>
        <w:tc>
          <w:tcPr>
            <w:tcW w:w="6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m²</w:t>
            </w:r>
          </w:p>
        </w:tc>
        <w:tc>
          <w:tcPr>
            <w:tcW w:w="6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1</w:t>
            </w:r>
          </w:p>
        </w:tc>
        <w:tc>
          <w:tcPr>
            <w:tcW w:w="8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p>
        </w:tc>
        <w:tc>
          <w:tcPr>
            <w:tcW w:w="9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p>
        </w:tc>
        <w:tc>
          <w:tcPr>
            <w:tcW w:w="6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pPr>
              <w:jc w:val="center"/>
              <w:rPr>
                <w:rFonts w:hint="default" w:ascii="Arial" w:hAnsi="Arial" w:eastAsia="宋体" w:cs="Arial"/>
                <w:i w:val="0"/>
                <w:color w:val="auto"/>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520" w:hRule="atLeast"/>
          <w:jc w:val="center"/>
        </w:trPr>
        <w:tc>
          <w:tcPr>
            <w:tcW w:w="67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12</w:t>
            </w:r>
          </w:p>
        </w:tc>
        <w:tc>
          <w:tcPr>
            <w:tcW w:w="17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沥青、混凝土等硬化道路拆除(200mm厚以内)</w:t>
            </w:r>
          </w:p>
        </w:tc>
        <w:tc>
          <w:tcPr>
            <w:tcW w:w="40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kern w:val="0"/>
                <w:sz w:val="18"/>
                <w:szCs w:val="18"/>
                <w:u w:val="none"/>
                <w:lang w:val="en-US" w:eastAsia="zh-CN" w:bidi="ar"/>
              </w:rPr>
            </w:pPr>
            <w:r>
              <w:rPr>
                <w:rFonts w:hint="eastAsia" w:ascii="宋体" w:hAnsi="宋体" w:eastAsia="宋体" w:cs="宋体"/>
                <w:i w:val="0"/>
                <w:color w:val="auto"/>
                <w:kern w:val="0"/>
                <w:sz w:val="18"/>
                <w:szCs w:val="18"/>
                <w:u w:val="none"/>
                <w:lang w:val="en-US" w:eastAsia="zh-CN" w:bidi="ar"/>
              </w:rPr>
              <w:t>1.沥青、混凝土等硬化道路拆除，包含拆除基层及面层等</w:t>
            </w:r>
          </w:p>
          <w:p>
            <w:pPr>
              <w:keepNext w:val="0"/>
              <w:keepLines w:val="0"/>
              <w:widowControl/>
              <w:suppressLineNumbers w:val="0"/>
              <w:jc w:val="left"/>
              <w:textAlignment w:val="center"/>
              <w:rPr>
                <w:rFonts w:hint="eastAsia" w:ascii="宋体" w:hAnsi="宋体" w:eastAsia="宋体" w:cs="宋体"/>
                <w:i w:val="0"/>
                <w:color w:val="auto"/>
                <w:kern w:val="0"/>
                <w:sz w:val="18"/>
                <w:szCs w:val="18"/>
                <w:u w:val="none"/>
                <w:lang w:val="en-US" w:eastAsia="zh-CN" w:bidi="ar"/>
              </w:rPr>
            </w:pPr>
            <w:r>
              <w:rPr>
                <w:rFonts w:hint="eastAsia" w:ascii="宋体" w:hAnsi="宋体" w:eastAsia="宋体" w:cs="宋体"/>
                <w:i w:val="0"/>
                <w:color w:val="auto"/>
                <w:kern w:val="0"/>
                <w:sz w:val="18"/>
                <w:szCs w:val="18"/>
                <w:u w:val="none"/>
                <w:lang w:val="en-US" w:eastAsia="zh-CN" w:bidi="ar"/>
              </w:rPr>
              <w:t>2.拆除厚度200mm以内</w:t>
            </w:r>
          </w:p>
          <w:p>
            <w:pPr>
              <w:keepNext w:val="0"/>
              <w:keepLines w:val="0"/>
              <w:widowControl/>
              <w:suppressLineNumbers w:val="0"/>
              <w:jc w:val="left"/>
              <w:textAlignment w:val="center"/>
              <w:rPr>
                <w:rFonts w:hint="eastAsia" w:ascii="宋体" w:hAnsi="宋体" w:eastAsia="宋体" w:cs="宋体"/>
                <w:i w:val="0"/>
                <w:color w:val="auto"/>
                <w:kern w:val="0"/>
                <w:sz w:val="18"/>
                <w:szCs w:val="18"/>
                <w:u w:val="none"/>
                <w:lang w:val="en-US" w:eastAsia="zh-CN" w:bidi="ar"/>
              </w:rPr>
            </w:pPr>
            <w:r>
              <w:rPr>
                <w:rFonts w:hint="eastAsia" w:ascii="宋体" w:hAnsi="宋体" w:eastAsia="宋体" w:cs="宋体"/>
                <w:i w:val="0"/>
                <w:color w:val="auto"/>
                <w:kern w:val="0"/>
                <w:sz w:val="18"/>
                <w:szCs w:val="18"/>
                <w:u w:val="none"/>
                <w:lang w:val="en-US" w:eastAsia="zh-CN" w:bidi="ar"/>
              </w:rPr>
              <w:t>3.包含所有需拆除物、包含但不限于地面及地下基础等</w:t>
            </w:r>
          </w:p>
          <w:p>
            <w:pPr>
              <w:keepNext w:val="0"/>
              <w:keepLines w:val="0"/>
              <w:widowControl/>
              <w:suppressLineNumbers w:val="0"/>
              <w:jc w:val="left"/>
              <w:textAlignment w:val="center"/>
              <w:rPr>
                <w:rFonts w:hint="eastAsia" w:ascii="宋体" w:hAnsi="宋体" w:eastAsia="宋体" w:cs="宋体"/>
                <w:i w:val="0"/>
                <w:color w:val="auto"/>
                <w:kern w:val="0"/>
                <w:sz w:val="18"/>
                <w:szCs w:val="18"/>
                <w:u w:val="none"/>
                <w:lang w:val="en-US" w:eastAsia="zh-CN" w:bidi="ar"/>
              </w:rPr>
            </w:pPr>
            <w:r>
              <w:rPr>
                <w:rFonts w:hint="eastAsia" w:ascii="宋体" w:hAnsi="宋体" w:eastAsia="宋体" w:cs="宋体"/>
                <w:i w:val="0"/>
                <w:color w:val="auto"/>
                <w:kern w:val="0"/>
                <w:sz w:val="18"/>
                <w:szCs w:val="18"/>
                <w:u w:val="none"/>
                <w:lang w:val="en-US" w:eastAsia="zh-CN" w:bidi="ar"/>
              </w:rPr>
              <w:t>4.各种拆除方式的主体破碎、拆除、挖出，毗邻建筑物的保护，渣土原地清理、场内倒运、集中堆放、收方归堆、装车、场地平整、洒水、苫盖等</w:t>
            </w:r>
          </w:p>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5.拆除后要求场清地平，无建筑垃圾及渣土残留，需要按照土地性质达到相应验收标准并验收合格。</w:t>
            </w:r>
          </w:p>
        </w:tc>
        <w:tc>
          <w:tcPr>
            <w:tcW w:w="6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m²</w:t>
            </w:r>
          </w:p>
        </w:tc>
        <w:tc>
          <w:tcPr>
            <w:tcW w:w="6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1</w:t>
            </w:r>
          </w:p>
        </w:tc>
        <w:tc>
          <w:tcPr>
            <w:tcW w:w="8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p>
        </w:tc>
        <w:tc>
          <w:tcPr>
            <w:tcW w:w="9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p>
        </w:tc>
        <w:tc>
          <w:tcPr>
            <w:tcW w:w="6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pPr>
              <w:jc w:val="center"/>
              <w:rPr>
                <w:rFonts w:hint="default" w:ascii="Arial" w:hAnsi="Arial" w:eastAsia="宋体" w:cs="Arial"/>
                <w:i w:val="0"/>
                <w:color w:val="auto"/>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820" w:hRule="atLeast"/>
          <w:jc w:val="center"/>
        </w:trPr>
        <w:tc>
          <w:tcPr>
            <w:tcW w:w="67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13</w:t>
            </w:r>
          </w:p>
        </w:tc>
        <w:tc>
          <w:tcPr>
            <w:tcW w:w="17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沥青、混凝土等硬化道路拆除(200mm厚以上)</w:t>
            </w:r>
          </w:p>
        </w:tc>
        <w:tc>
          <w:tcPr>
            <w:tcW w:w="40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kern w:val="0"/>
                <w:sz w:val="18"/>
                <w:szCs w:val="18"/>
                <w:u w:val="none"/>
                <w:lang w:val="en-US" w:eastAsia="zh-CN" w:bidi="ar"/>
              </w:rPr>
            </w:pPr>
            <w:r>
              <w:rPr>
                <w:rFonts w:hint="eastAsia" w:ascii="宋体" w:hAnsi="宋体" w:eastAsia="宋体" w:cs="宋体"/>
                <w:i w:val="0"/>
                <w:color w:val="auto"/>
                <w:kern w:val="0"/>
                <w:sz w:val="18"/>
                <w:szCs w:val="18"/>
                <w:u w:val="none"/>
                <w:lang w:val="en-US" w:eastAsia="zh-CN" w:bidi="ar"/>
              </w:rPr>
              <w:t>1.沥青、混凝土等硬化道路机械拆除旧路结构</w:t>
            </w:r>
          </w:p>
          <w:p>
            <w:pPr>
              <w:keepNext w:val="0"/>
              <w:keepLines w:val="0"/>
              <w:widowControl/>
              <w:suppressLineNumbers w:val="0"/>
              <w:jc w:val="left"/>
              <w:textAlignment w:val="center"/>
              <w:rPr>
                <w:rFonts w:hint="eastAsia" w:ascii="宋体" w:hAnsi="宋体" w:eastAsia="宋体" w:cs="宋体"/>
                <w:i w:val="0"/>
                <w:color w:val="auto"/>
                <w:kern w:val="0"/>
                <w:sz w:val="18"/>
                <w:szCs w:val="18"/>
                <w:u w:val="none"/>
                <w:lang w:val="en-US" w:eastAsia="zh-CN" w:bidi="ar"/>
              </w:rPr>
            </w:pPr>
            <w:r>
              <w:rPr>
                <w:rFonts w:hint="eastAsia" w:ascii="宋体" w:hAnsi="宋体" w:eastAsia="宋体" w:cs="宋体"/>
                <w:i w:val="0"/>
                <w:color w:val="auto"/>
                <w:kern w:val="0"/>
                <w:sz w:val="18"/>
                <w:szCs w:val="18"/>
                <w:u w:val="none"/>
                <w:lang w:val="en-US" w:eastAsia="zh-CN" w:bidi="ar"/>
              </w:rPr>
              <w:t>2.拆除厚度200mm以上</w:t>
            </w:r>
          </w:p>
          <w:p>
            <w:pPr>
              <w:keepNext w:val="0"/>
              <w:keepLines w:val="0"/>
              <w:widowControl/>
              <w:suppressLineNumbers w:val="0"/>
              <w:jc w:val="left"/>
              <w:textAlignment w:val="center"/>
              <w:rPr>
                <w:rFonts w:hint="eastAsia" w:ascii="宋体" w:hAnsi="宋体" w:eastAsia="宋体" w:cs="宋体"/>
                <w:i w:val="0"/>
                <w:color w:val="auto"/>
                <w:kern w:val="0"/>
                <w:sz w:val="18"/>
                <w:szCs w:val="18"/>
                <w:u w:val="none"/>
                <w:lang w:val="en-US" w:eastAsia="zh-CN" w:bidi="ar"/>
              </w:rPr>
            </w:pPr>
            <w:r>
              <w:rPr>
                <w:rFonts w:hint="eastAsia" w:ascii="宋体" w:hAnsi="宋体" w:eastAsia="宋体" w:cs="宋体"/>
                <w:i w:val="0"/>
                <w:color w:val="auto"/>
                <w:kern w:val="0"/>
                <w:sz w:val="18"/>
                <w:szCs w:val="18"/>
                <w:u w:val="none"/>
                <w:lang w:val="en-US" w:eastAsia="zh-CN" w:bidi="ar"/>
              </w:rPr>
              <w:t>3.所有需拆除物、包含但不限于地面及地下基础等</w:t>
            </w:r>
          </w:p>
          <w:p>
            <w:pPr>
              <w:keepNext w:val="0"/>
              <w:keepLines w:val="0"/>
              <w:widowControl/>
              <w:suppressLineNumbers w:val="0"/>
              <w:jc w:val="left"/>
              <w:textAlignment w:val="center"/>
              <w:rPr>
                <w:rFonts w:hint="eastAsia" w:ascii="宋体" w:hAnsi="宋体" w:eastAsia="宋体" w:cs="宋体"/>
                <w:i w:val="0"/>
                <w:color w:val="auto"/>
                <w:kern w:val="0"/>
                <w:sz w:val="18"/>
                <w:szCs w:val="18"/>
                <w:u w:val="none"/>
                <w:lang w:val="en-US" w:eastAsia="zh-CN" w:bidi="ar"/>
              </w:rPr>
            </w:pPr>
            <w:r>
              <w:rPr>
                <w:rFonts w:hint="eastAsia" w:ascii="宋体" w:hAnsi="宋体" w:eastAsia="宋体" w:cs="宋体"/>
                <w:i w:val="0"/>
                <w:color w:val="auto"/>
                <w:kern w:val="0"/>
                <w:sz w:val="18"/>
                <w:szCs w:val="18"/>
                <w:u w:val="none"/>
                <w:lang w:val="en-US" w:eastAsia="zh-CN" w:bidi="ar"/>
              </w:rPr>
              <w:t>4.各种拆除方式的主体破碎、拆除、挖出，毗邻建筑物的保护，渣土原地清理、场内倒运、集中堆放、收方归堆、装车、场地平整、洒水、苫盖等</w:t>
            </w:r>
          </w:p>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5.拆除后要求场清地平，无建筑垃圾及渣土残留，需要按照土地性质达到相应验收标准并验收合格。</w:t>
            </w:r>
          </w:p>
        </w:tc>
        <w:tc>
          <w:tcPr>
            <w:tcW w:w="6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m²</w:t>
            </w:r>
          </w:p>
        </w:tc>
        <w:tc>
          <w:tcPr>
            <w:tcW w:w="6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1</w:t>
            </w:r>
          </w:p>
        </w:tc>
        <w:tc>
          <w:tcPr>
            <w:tcW w:w="8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p>
        </w:tc>
        <w:tc>
          <w:tcPr>
            <w:tcW w:w="9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p>
        </w:tc>
        <w:tc>
          <w:tcPr>
            <w:tcW w:w="6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pPr>
              <w:jc w:val="center"/>
              <w:rPr>
                <w:rFonts w:hint="default" w:ascii="Arial" w:hAnsi="Arial" w:eastAsia="宋体" w:cs="Arial"/>
                <w:i w:val="0"/>
                <w:color w:val="auto"/>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960" w:hRule="atLeast"/>
          <w:jc w:val="center"/>
        </w:trPr>
        <w:tc>
          <w:tcPr>
            <w:tcW w:w="67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14</w:t>
            </w:r>
          </w:p>
        </w:tc>
        <w:tc>
          <w:tcPr>
            <w:tcW w:w="17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焦渣、石子等铺设道路拆除(200mm厚以内)</w:t>
            </w:r>
          </w:p>
        </w:tc>
        <w:tc>
          <w:tcPr>
            <w:tcW w:w="40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kern w:val="0"/>
                <w:sz w:val="18"/>
                <w:szCs w:val="18"/>
                <w:u w:val="none"/>
                <w:lang w:val="en-US" w:eastAsia="zh-CN" w:bidi="ar"/>
              </w:rPr>
            </w:pPr>
            <w:r>
              <w:rPr>
                <w:rFonts w:hint="eastAsia" w:ascii="宋体" w:hAnsi="宋体" w:eastAsia="宋体" w:cs="宋体"/>
                <w:i w:val="0"/>
                <w:color w:val="auto"/>
                <w:kern w:val="0"/>
                <w:sz w:val="18"/>
                <w:szCs w:val="18"/>
                <w:u w:val="none"/>
                <w:lang w:val="en-US" w:eastAsia="zh-CN" w:bidi="ar"/>
              </w:rPr>
              <w:t>1.焦渣、石子等铺设道路拆除</w:t>
            </w:r>
          </w:p>
          <w:p>
            <w:pPr>
              <w:keepNext w:val="0"/>
              <w:keepLines w:val="0"/>
              <w:widowControl/>
              <w:suppressLineNumbers w:val="0"/>
              <w:jc w:val="left"/>
              <w:textAlignment w:val="center"/>
              <w:rPr>
                <w:rFonts w:hint="eastAsia" w:ascii="宋体" w:hAnsi="宋体" w:eastAsia="宋体" w:cs="宋体"/>
                <w:i w:val="0"/>
                <w:color w:val="auto"/>
                <w:kern w:val="0"/>
                <w:sz w:val="18"/>
                <w:szCs w:val="18"/>
                <w:u w:val="none"/>
                <w:lang w:val="en-US" w:eastAsia="zh-CN" w:bidi="ar"/>
              </w:rPr>
            </w:pPr>
            <w:r>
              <w:rPr>
                <w:rFonts w:hint="eastAsia" w:ascii="宋体" w:hAnsi="宋体" w:eastAsia="宋体" w:cs="宋体"/>
                <w:i w:val="0"/>
                <w:color w:val="auto"/>
                <w:kern w:val="0"/>
                <w:sz w:val="18"/>
                <w:szCs w:val="18"/>
                <w:u w:val="none"/>
                <w:lang w:val="en-US" w:eastAsia="zh-CN" w:bidi="ar"/>
              </w:rPr>
              <w:t>2.拆除厚度200mm以内</w:t>
            </w:r>
          </w:p>
          <w:p>
            <w:pPr>
              <w:keepNext w:val="0"/>
              <w:keepLines w:val="0"/>
              <w:widowControl/>
              <w:suppressLineNumbers w:val="0"/>
              <w:jc w:val="left"/>
              <w:textAlignment w:val="center"/>
              <w:rPr>
                <w:rFonts w:hint="eastAsia" w:ascii="宋体" w:hAnsi="宋体" w:eastAsia="宋体" w:cs="宋体"/>
                <w:i w:val="0"/>
                <w:color w:val="auto"/>
                <w:kern w:val="0"/>
                <w:sz w:val="18"/>
                <w:szCs w:val="18"/>
                <w:u w:val="none"/>
                <w:lang w:val="en-US" w:eastAsia="zh-CN" w:bidi="ar"/>
              </w:rPr>
            </w:pPr>
            <w:r>
              <w:rPr>
                <w:rFonts w:hint="eastAsia" w:ascii="宋体" w:hAnsi="宋体" w:eastAsia="宋体" w:cs="宋体"/>
                <w:i w:val="0"/>
                <w:color w:val="auto"/>
                <w:kern w:val="0"/>
                <w:sz w:val="18"/>
                <w:szCs w:val="18"/>
                <w:u w:val="none"/>
                <w:lang w:val="en-US" w:eastAsia="zh-CN" w:bidi="ar"/>
              </w:rPr>
              <w:t>3.所有需拆除物、包含但不限于地面及地下基础等</w:t>
            </w:r>
          </w:p>
          <w:p>
            <w:pPr>
              <w:keepNext w:val="0"/>
              <w:keepLines w:val="0"/>
              <w:widowControl/>
              <w:suppressLineNumbers w:val="0"/>
              <w:jc w:val="left"/>
              <w:textAlignment w:val="center"/>
              <w:rPr>
                <w:rFonts w:hint="eastAsia" w:ascii="宋体" w:hAnsi="宋体" w:eastAsia="宋体" w:cs="宋体"/>
                <w:i w:val="0"/>
                <w:color w:val="auto"/>
                <w:kern w:val="0"/>
                <w:sz w:val="18"/>
                <w:szCs w:val="18"/>
                <w:u w:val="none"/>
                <w:lang w:val="en-US" w:eastAsia="zh-CN" w:bidi="ar"/>
              </w:rPr>
            </w:pPr>
            <w:r>
              <w:rPr>
                <w:rFonts w:hint="eastAsia" w:ascii="宋体" w:hAnsi="宋体" w:eastAsia="宋体" w:cs="宋体"/>
                <w:i w:val="0"/>
                <w:color w:val="auto"/>
                <w:kern w:val="0"/>
                <w:sz w:val="18"/>
                <w:szCs w:val="18"/>
                <w:u w:val="none"/>
                <w:lang w:val="en-US" w:eastAsia="zh-CN" w:bidi="ar"/>
              </w:rPr>
              <w:t>4.各种拆除方式的主体破碎、拆除、挖出，毗邻建筑物的保护，渣土原地清理、场内倒运、集中堆放、收方归堆、装车、场地平整、洒水、苫盖等</w:t>
            </w:r>
          </w:p>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5.拆除后要求场清地平，无建筑垃圾及渣土残留，需要按照土地性质达到相应验收标准并验收合格。</w:t>
            </w:r>
          </w:p>
        </w:tc>
        <w:tc>
          <w:tcPr>
            <w:tcW w:w="6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m²</w:t>
            </w:r>
          </w:p>
        </w:tc>
        <w:tc>
          <w:tcPr>
            <w:tcW w:w="6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1</w:t>
            </w:r>
          </w:p>
        </w:tc>
        <w:tc>
          <w:tcPr>
            <w:tcW w:w="8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p>
        </w:tc>
        <w:tc>
          <w:tcPr>
            <w:tcW w:w="9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p>
        </w:tc>
        <w:tc>
          <w:tcPr>
            <w:tcW w:w="6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pPr>
              <w:jc w:val="center"/>
              <w:rPr>
                <w:rFonts w:hint="default" w:ascii="Arial" w:hAnsi="Arial" w:eastAsia="宋体" w:cs="Arial"/>
                <w:i w:val="0"/>
                <w:color w:val="auto"/>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80" w:hRule="atLeast"/>
          <w:jc w:val="center"/>
        </w:trPr>
        <w:tc>
          <w:tcPr>
            <w:tcW w:w="67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15</w:t>
            </w:r>
          </w:p>
        </w:tc>
        <w:tc>
          <w:tcPr>
            <w:tcW w:w="17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焦渣、石子等铺设道路拆除(200mm厚以上)</w:t>
            </w:r>
          </w:p>
        </w:tc>
        <w:tc>
          <w:tcPr>
            <w:tcW w:w="40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kern w:val="0"/>
                <w:sz w:val="18"/>
                <w:szCs w:val="18"/>
                <w:u w:val="none"/>
                <w:lang w:val="en-US" w:eastAsia="zh-CN" w:bidi="ar"/>
              </w:rPr>
            </w:pPr>
            <w:r>
              <w:rPr>
                <w:rFonts w:hint="eastAsia" w:ascii="宋体" w:hAnsi="宋体" w:eastAsia="宋体" w:cs="宋体"/>
                <w:i w:val="0"/>
                <w:color w:val="auto"/>
                <w:kern w:val="0"/>
                <w:sz w:val="18"/>
                <w:szCs w:val="18"/>
                <w:u w:val="none"/>
                <w:lang w:val="en-US" w:eastAsia="zh-CN" w:bidi="ar"/>
              </w:rPr>
              <w:t>1.焦渣、石子等铺设道路拆除</w:t>
            </w:r>
          </w:p>
          <w:p>
            <w:pPr>
              <w:keepNext w:val="0"/>
              <w:keepLines w:val="0"/>
              <w:widowControl/>
              <w:suppressLineNumbers w:val="0"/>
              <w:jc w:val="left"/>
              <w:textAlignment w:val="center"/>
              <w:rPr>
                <w:rFonts w:hint="eastAsia" w:ascii="宋体" w:hAnsi="宋体" w:eastAsia="宋体" w:cs="宋体"/>
                <w:i w:val="0"/>
                <w:color w:val="auto"/>
                <w:kern w:val="0"/>
                <w:sz w:val="18"/>
                <w:szCs w:val="18"/>
                <w:u w:val="none"/>
                <w:lang w:val="en-US" w:eastAsia="zh-CN" w:bidi="ar"/>
              </w:rPr>
            </w:pPr>
            <w:r>
              <w:rPr>
                <w:rFonts w:hint="eastAsia" w:ascii="宋体" w:hAnsi="宋体" w:eastAsia="宋体" w:cs="宋体"/>
                <w:i w:val="0"/>
                <w:color w:val="auto"/>
                <w:kern w:val="0"/>
                <w:sz w:val="18"/>
                <w:szCs w:val="18"/>
                <w:u w:val="none"/>
                <w:lang w:val="en-US" w:eastAsia="zh-CN" w:bidi="ar"/>
              </w:rPr>
              <w:t>2.拆除厚度200mm以上</w:t>
            </w:r>
          </w:p>
          <w:p>
            <w:pPr>
              <w:keepNext w:val="0"/>
              <w:keepLines w:val="0"/>
              <w:widowControl/>
              <w:suppressLineNumbers w:val="0"/>
              <w:jc w:val="left"/>
              <w:textAlignment w:val="center"/>
              <w:rPr>
                <w:rFonts w:hint="eastAsia" w:ascii="宋体" w:hAnsi="宋体" w:eastAsia="宋体" w:cs="宋体"/>
                <w:i w:val="0"/>
                <w:color w:val="auto"/>
                <w:kern w:val="0"/>
                <w:sz w:val="18"/>
                <w:szCs w:val="18"/>
                <w:u w:val="none"/>
                <w:lang w:val="en-US" w:eastAsia="zh-CN" w:bidi="ar"/>
              </w:rPr>
            </w:pPr>
            <w:r>
              <w:rPr>
                <w:rFonts w:hint="eastAsia" w:ascii="宋体" w:hAnsi="宋体" w:eastAsia="宋体" w:cs="宋体"/>
                <w:i w:val="0"/>
                <w:color w:val="auto"/>
                <w:kern w:val="0"/>
                <w:sz w:val="18"/>
                <w:szCs w:val="18"/>
                <w:u w:val="none"/>
                <w:lang w:val="en-US" w:eastAsia="zh-CN" w:bidi="ar"/>
              </w:rPr>
              <w:t>3.所有需拆除物、包含但不限于地面及地下基础等</w:t>
            </w:r>
          </w:p>
          <w:p>
            <w:pPr>
              <w:keepNext w:val="0"/>
              <w:keepLines w:val="0"/>
              <w:widowControl/>
              <w:suppressLineNumbers w:val="0"/>
              <w:jc w:val="left"/>
              <w:textAlignment w:val="center"/>
              <w:rPr>
                <w:rFonts w:hint="eastAsia" w:ascii="宋体" w:hAnsi="宋体" w:eastAsia="宋体" w:cs="宋体"/>
                <w:i w:val="0"/>
                <w:color w:val="auto"/>
                <w:kern w:val="0"/>
                <w:sz w:val="18"/>
                <w:szCs w:val="18"/>
                <w:u w:val="none"/>
                <w:lang w:val="en-US" w:eastAsia="zh-CN" w:bidi="ar"/>
              </w:rPr>
            </w:pPr>
            <w:r>
              <w:rPr>
                <w:rFonts w:hint="eastAsia" w:ascii="宋体" w:hAnsi="宋体" w:eastAsia="宋体" w:cs="宋体"/>
                <w:i w:val="0"/>
                <w:color w:val="auto"/>
                <w:kern w:val="0"/>
                <w:sz w:val="18"/>
                <w:szCs w:val="18"/>
                <w:u w:val="none"/>
                <w:lang w:val="en-US" w:eastAsia="zh-CN" w:bidi="ar"/>
              </w:rPr>
              <w:t>4.各种拆除方式的主体破碎、拆除、挖出，毗邻建筑物的保护，渣土原地清理、场内倒运、集中堆放、收方归堆、装车、场地平整、洒水、苫盖等</w:t>
            </w:r>
          </w:p>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5.拆除后要求场清地平，无建筑垃圾及渣土残留，需要按照土地性质达到相应验收标准并验收合格。</w:t>
            </w:r>
          </w:p>
        </w:tc>
        <w:tc>
          <w:tcPr>
            <w:tcW w:w="6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m²</w:t>
            </w:r>
          </w:p>
        </w:tc>
        <w:tc>
          <w:tcPr>
            <w:tcW w:w="6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1</w:t>
            </w:r>
          </w:p>
        </w:tc>
        <w:tc>
          <w:tcPr>
            <w:tcW w:w="8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p>
        </w:tc>
        <w:tc>
          <w:tcPr>
            <w:tcW w:w="9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p>
        </w:tc>
        <w:tc>
          <w:tcPr>
            <w:tcW w:w="6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pPr>
              <w:jc w:val="center"/>
              <w:rPr>
                <w:rFonts w:hint="default" w:ascii="Arial" w:hAnsi="Arial" w:eastAsia="宋体" w:cs="Arial"/>
                <w:i w:val="0"/>
                <w:color w:val="auto"/>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600" w:hRule="atLeast"/>
          <w:jc w:val="center"/>
        </w:trPr>
        <w:tc>
          <w:tcPr>
            <w:tcW w:w="67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16</w:t>
            </w:r>
          </w:p>
        </w:tc>
        <w:tc>
          <w:tcPr>
            <w:tcW w:w="17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围墙拆除</w:t>
            </w:r>
          </w:p>
        </w:tc>
        <w:tc>
          <w:tcPr>
            <w:tcW w:w="40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kern w:val="0"/>
                <w:sz w:val="18"/>
                <w:szCs w:val="18"/>
                <w:u w:val="none"/>
                <w:lang w:val="en-US" w:eastAsia="zh-CN" w:bidi="ar"/>
              </w:rPr>
            </w:pPr>
            <w:r>
              <w:rPr>
                <w:rFonts w:hint="eastAsia" w:ascii="宋体" w:hAnsi="宋体" w:eastAsia="宋体" w:cs="宋体"/>
                <w:i w:val="0"/>
                <w:color w:val="auto"/>
                <w:kern w:val="0"/>
                <w:sz w:val="18"/>
                <w:szCs w:val="18"/>
                <w:u w:val="none"/>
                <w:lang w:val="en-US" w:eastAsia="zh-CN" w:bidi="ar"/>
              </w:rPr>
              <w:t>1.围墙拆除</w:t>
            </w:r>
          </w:p>
          <w:p>
            <w:pPr>
              <w:keepNext w:val="0"/>
              <w:keepLines w:val="0"/>
              <w:widowControl/>
              <w:suppressLineNumbers w:val="0"/>
              <w:jc w:val="left"/>
              <w:textAlignment w:val="center"/>
              <w:rPr>
                <w:rFonts w:hint="eastAsia" w:ascii="宋体" w:hAnsi="宋体" w:eastAsia="宋体" w:cs="宋体"/>
                <w:i w:val="0"/>
                <w:color w:val="auto"/>
                <w:kern w:val="0"/>
                <w:sz w:val="18"/>
                <w:szCs w:val="18"/>
                <w:u w:val="none"/>
                <w:lang w:val="en-US" w:eastAsia="zh-CN" w:bidi="ar"/>
              </w:rPr>
            </w:pPr>
            <w:r>
              <w:rPr>
                <w:rFonts w:hint="eastAsia" w:ascii="宋体" w:hAnsi="宋体" w:eastAsia="宋体" w:cs="宋体"/>
                <w:i w:val="0"/>
                <w:color w:val="auto"/>
                <w:kern w:val="0"/>
                <w:sz w:val="18"/>
                <w:szCs w:val="18"/>
                <w:u w:val="none"/>
                <w:lang w:val="en-US" w:eastAsia="zh-CN" w:bidi="ar"/>
              </w:rPr>
              <w:t>2.围墙材质、厚度及高度等综合考虑</w:t>
            </w:r>
          </w:p>
          <w:p>
            <w:pPr>
              <w:keepNext w:val="0"/>
              <w:keepLines w:val="0"/>
              <w:widowControl/>
              <w:suppressLineNumbers w:val="0"/>
              <w:jc w:val="left"/>
              <w:textAlignment w:val="center"/>
              <w:rPr>
                <w:rFonts w:hint="eastAsia" w:ascii="宋体" w:hAnsi="宋体" w:eastAsia="宋体" w:cs="宋体"/>
                <w:i w:val="0"/>
                <w:color w:val="auto"/>
                <w:kern w:val="0"/>
                <w:sz w:val="18"/>
                <w:szCs w:val="18"/>
                <w:u w:val="none"/>
                <w:lang w:val="en-US" w:eastAsia="zh-CN" w:bidi="ar"/>
              </w:rPr>
            </w:pPr>
            <w:r>
              <w:rPr>
                <w:rFonts w:hint="eastAsia" w:ascii="宋体" w:hAnsi="宋体" w:eastAsia="宋体" w:cs="宋体"/>
                <w:i w:val="0"/>
                <w:color w:val="auto"/>
                <w:kern w:val="0"/>
                <w:sz w:val="18"/>
                <w:szCs w:val="18"/>
                <w:u w:val="none"/>
                <w:lang w:val="en-US" w:eastAsia="zh-CN" w:bidi="ar"/>
              </w:rPr>
              <w:t>3.包含地上及地下所有需拆除物、包含但不限于地上建筑物及地下基础等</w:t>
            </w:r>
          </w:p>
          <w:p>
            <w:pPr>
              <w:keepNext w:val="0"/>
              <w:keepLines w:val="0"/>
              <w:widowControl/>
              <w:suppressLineNumbers w:val="0"/>
              <w:jc w:val="left"/>
              <w:textAlignment w:val="center"/>
              <w:rPr>
                <w:rFonts w:hint="eastAsia" w:ascii="宋体" w:hAnsi="宋体" w:eastAsia="宋体" w:cs="宋体"/>
                <w:i w:val="0"/>
                <w:color w:val="auto"/>
                <w:kern w:val="0"/>
                <w:sz w:val="18"/>
                <w:szCs w:val="18"/>
                <w:u w:val="none"/>
                <w:lang w:val="en-US" w:eastAsia="zh-CN" w:bidi="ar"/>
              </w:rPr>
            </w:pPr>
            <w:r>
              <w:rPr>
                <w:rFonts w:hint="eastAsia" w:ascii="宋体" w:hAnsi="宋体" w:eastAsia="宋体" w:cs="宋体"/>
                <w:i w:val="0"/>
                <w:color w:val="auto"/>
                <w:kern w:val="0"/>
                <w:sz w:val="18"/>
                <w:szCs w:val="18"/>
                <w:u w:val="none"/>
                <w:lang w:val="en-US" w:eastAsia="zh-CN" w:bidi="ar"/>
              </w:rPr>
              <w:t>4.各种拆除方式的主体破碎、拆除、挖出，毗邻建筑物的保护，渣土原地清理、场内倒运、集中堆放、收方归堆、装车、场地平整、洒水、苫盖等</w:t>
            </w:r>
          </w:p>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5.拆除后要求场清地平，无建筑垃圾及渣土残留，需要按照土地性质达到相应验收标准并验收合格。</w:t>
            </w:r>
          </w:p>
        </w:tc>
        <w:tc>
          <w:tcPr>
            <w:tcW w:w="6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m³</w:t>
            </w:r>
          </w:p>
        </w:tc>
        <w:tc>
          <w:tcPr>
            <w:tcW w:w="6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1</w:t>
            </w:r>
          </w:p>
        </w:tc>
        <w:tc>
          <w:tcPr>
            <w:tcW w:w="8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p>
        </w:tc>
        <w:tc>
          <w:tcPr>
            <w:tcW w:w="9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p>
        </w:tc>
        <w:tc>
          <w:tcPr>
            <w:tcW w:w="6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380" w:hRule="atLeast"/>
          <w:jc w:val="center"/>
        </w:trPr>
        <w:tc>
          <w:tcPr>
            <w:tcW w:w="67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17</w:t>
            </w:r>
          </w:p>
        </w:tc>
        <w:tc>
          <w:tcPr>
            <w:tcW w:w="17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钢筋混凝土构件(独立基础等)拆除</w:t>
            </w:r>
          </w:p>
        </w:tc>
        <w:tc>
          <w:tcPr>
            <w:tcW w:w="40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kern w:val="0"/>
                <w:sz w:val="18"/>
                <w:szCs w:val="18"/>
                <w:u w:val="none"/>
                <w:lang w:val="en-US" w:eastAsia="zh-CN" w:bidi="ar"/>
              </w:rPr>
            </w:pPr>
            <w:r>
              <w:rPr>
                <w:rFonts w:hint="eastAsia" w:ascii="宋体" w:hAnsi="宋体" w:eastAsia="宋体" w:cs="宋体"/>
                <w:i w:val="0"/>
                <w:color w:val="auto"/>
                <w:kern w:val="0"/>
                <w:sz w:val="18"/>
                <w:szCs w:val="18"/>
                <w:u w:val="none"/>
                <w:lang w:val="en-US" w:eastAsia="zh-CN" w:bidi="ar"/>
              </w:rPr>
              <w:t>1.单独的钢筋混凝土构件(独立基础等)拆除</w:t>
            </w:r>
          </w:p>
          <w:p>
            <w:pPr>
              <w:keepNext w:val="0"/>
              <w:keepLines w:val="0"/>
              <w:widowControl/>
              <w:suppressLineNumbers w:val="0"/>
              <w:jc w:val="left"/>
              <w:textAlignment w:val="center"/>
              <w:rPr>
                <w:rFonts w:hint="eastAsia" w:ascii="宋体" w:hAnsi="宋体" w:eastAsia="宋体" w:cs="宋体"/>
                <w:i w:val="0"/>
                <w:color w:val="auto"/>
                <w:kern w:val="0"/>
                <w:sz w:val="18"/>
                <w:szCs w:val="18"/>
                <w:u w:val="none"/>
                <w:lang w:val="en-US" w:eastAsia="zh-CN" w:bidi="ar"/>
              </w:rPr>
            </w:pPr>
            <w:r>
              <w:rPr>
                <w:rFonts w:hint="eastAsia" w:ascii="宋体" w:hAnsi="宋体" w:eastAsia="宋体" w:cs="宋体"/>
                <w:i w:val="0"/>
                <w:color w:val="auto"/>
                <w:kern w:val="0"/>
                <w:sz w:val="18"/>
                <w:szCs w:val="18"/>
                <w:u w:val="none"/>
                <w:lang w:val="en-US" w:eastAsia="zh-CN" w:bidi="ar"/>
              </w:rPr>
              <w:t>2.包含开挖、破除，回填等</w:t>
            </w:r>
          </w:p>
          <w:p>
            <w:pPr>
              <w:keepNext w:val="0"/>
              <w:keepLines w:val="0"/>
              <w:widowControl/>
              <w:suppressLineNumbers w:val="0"/>
              <w:jc w:val="left"/>
              <w:textAlignment w:val="center"/>
              <w:rPr>
                <w:rFonts w:hint="eastAsia" w:ascii="宋体" w:hAnsi="宋体" w:eastAsia="宋体" w:cs="宋体"/>
                <w:i w:val="0"/>
                <w:color w:val="auto"/>
                <w:kern w:val="0"/>
                <w:sz w:val="18"/>
                <w:szCs w:val="18"/>
                <w:u w:val="none"/>
                <w:lang w:val="en-US" w:eastAsia="zh-CN" w:bidi="ar"/>
              </w:rPr>
            </w:pPr>
            <w:r>
              <w:rPr>
                <w:rFonts w:hint="eastAsia" w:ascii="宋体" w:hAnsi="宋体" w:eastAsia="宋体" w:cs="宋体"/>
                <w:i w:val="0"/>
                <w:color w:val="auto"/>
                <w:kern w:val="0"/>
                <w:sz w:val="18"/>
                <w:szCs w:val="18"/>
                <w:u w:val="none"/>
                <w:lang w:val="en-US" w:eastAsia="zh-CN" w:bidi="ar"/>
              </w:rPr>
              <w:t>3.包含所有需拆除物、包含但不限于地面以上及地下混凝土构件基础等</w:t>
            </w:r>
          </w:p>
          <w:p>
            <w:pPr>
              <w:keepNext w:val="0"/>
              <w:keepLines w:val="0"/>
              <w:widowControl/>
              <w:suppressLineNumbers w:val="0"/>
              <w:jc w:val="left"/>
              <w:textAlignment w:val="center"/>
              <w:rPr>
                <w:rFonts w:hint="eastAsia" w:ascii="宋体" w:hAnsi="宋体" w:eastAsia="宋体" w:cs="宋体"/>
                <w:i w:val="0"/>
                <w:color w:val="auto"/>
                <w:kern w:val="0"/>
                <w:sz w:val="18"/>
                <w:szCs w:val="18"/>
                <w:u w:val="none"/>
                <w:lang w:val="en-US" w:eastAsia="zh-CN" w:bidi="ar"/>
              </w:rPr>
            </w:pPr>
            <w:r>
              <w:rPr>
                <w:rFonts w:hint="eastAsia" w:ascii="宋体" w:hAnsi="宋体" w:eastAsia="宋体" w:cs="宋体"/>
                <w:i w:val="0"/>
                <w:color w:val="auto"/>
                <w:kern w:val="0"/>
                <w:sz w:val="18"/>
                <w:szCs w:val="18"/>
                <w:u w:val="none"/>
                <w:lang w:val="en-US" w:eastAsia="zh-CN" w:bidi="ar"/>
              </w:rPr>
              <w:t>4.各种拆除方式的主体破碎、拆除、挖出，毗邻建筑物的保护，渣土原地清理、场内倒运、集中堆放、收方归堆、装车、场地平整、洒水、苫盖等</w:t>
            </w:r>
          </w:p>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5.拆除后要求场清地平，无建筑垃圾及渣土残留，需要按照土地性质达到相应验收标准并验收合格。</w:t>
            </w:r>
          </w:p>
        </w:tc>
        <w:tc>
          <w:tcPr>
            <w:tcW w:w="6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m³</w:t>
            </w:r>
          </w:p>
        </w:tc>
        <w:tc>
          <w:tcPr>
            <w:tcW w:w="6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1</w:t>
            </w:r>
          </w:p>
        </w:tc>
        <w:tc>
          <w:tcPr>
            <w:tcW w:w="8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p>
        </w:tc>
        <w:tc>
          <w:tcPr>
            <w:tcW w:w="9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p>
        </w:tc>
        <w:tc>
          <w:tcPr>
            <w:tcW w:w="6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340" w:hRule="atLeast"/>
          <w:jc w:val="center"/>
        </w:trPr>
        <w:tc>
          <w:tcPr>
            <w:tcW w:w="67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18</w:t>
            </w:r>
          </w:p>
        </w:tc>
        <w:tc>
          <w:tcPr>
            <w:tcW w:w="17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门拆除</w:t>
            </w:r>
          </w:p>
        </w:tc>
        <w:tc>
          <w:tcPr>
            <w:tcW w:w="40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kern w:val="0"/>
                <w:sz w:val="18"/>
                <w:szCs w:val="18"/>
                <w:u w:val="none"/>
                <w:lang w:val="en-US" w:eastAsia="zh-CN" w:bidi="ar"/>
              </w:rPr>
            </w:pPr>
            <w:r>
              <w:rPr>
                <w:rFonts w:hint="eastAsia" w:ascii="宋体" w:hAnsi="宋体" w:eastAsia="宋体" w:cs="宋体"/>
                <w:i w:val="0"/>
                <w:color w:val="auto"/>
                <w:kern w:val="0"/>
                <w:sz w:val="18"/>
                <w:szCs w:val="18"/>
                <w:u w:val="none"/>
                <w:lang w:val="en-US" w:eastAsia="zh-CN" w:bidi="ar"/>
              </w:rPr>
              <w:t>1.整樘各类型门拆除</w:t>
            </w:r>
          </w:p>
          <w:p>
            <w:pPr>
              <w:keepNext w:val="0"/>
              <w:keepLines w:val="0"/>
              <w:widowControl/>
              <w:suppressLineNumbers w:val="0"/>
              <w:jc w:val="left"/>
              <w:textAlignment w:val="center"/>
              <w:rPr>
                <w:rFonts w:hint="eastAsia" w:ascii="宋体" w:hAnsi="宋体" w:eastAsia="宋体" w:cs="宋体"/>
                <w:i w:val="0"/>
                <w:color w:val="auto"/>
                <w:kern w:val="0"/>
                <w:sz w:val="18"/>
                <w:szCs w:val="18"/>
                <w:u w:val="none"/>
                <w:lang w:val="en-US" w:eastAsia="zh-CN" w:bidi="ar"/>
              </w:rPr>
            </w:pPr>
            <w:r>
              <w:rPr>
                <w:rFonts w:hint="eastAsia" w:ascii="宋体" w:hAnsi="宋体" w:eastAsia="宋体" w:cs="宋体"/>
                <w:i w:val="0"/>
                <w:color w:val="auto"/>
                <w:kern w:val="0"/>
                <w:sz w:val="18"/>
                <w:szCs w:val="18"/>
                <w:u w:val="none"/>
                <w:lang w:val="en-US" w:eastAsia="zh-CN" w:bidi="ar"/>
              </w:rPr>
              <w:t>2.拆除包含：框、扇、五金件等，包含场内倒运、集中堆放、码放整齐、苫盖等</w:t>
            </w:r>
          </w:p>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3.拆除文明施工及拆除后场地清理等。</w:t>
            </w:r>
          </w:p>
        </w:tc>
        <w:tc>
          <w:tcPr>
            <w:tcW w:w="6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樘</w:t>
            </w:r>
          </w:p>
        </w:tc>
        <w:tc>
          <w:tcPr>
            <w:tcW w:w="6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1</w:t>
            </w:r>
          </w:p>
        </w:tc>
        <w:tc>
          <w:tcPr>
            <w:tcW w:w="8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p>
        </w:tc>
        <w:tc>
          <w:tcPr>
            <w:tcW w:w="9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p>
        </w:tc>
        <w:tc>
          <w:tcPr>
            <w:tcW w:w="6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440" w:hRule="atLeast"/>
          <w:jc w:val="center"/>
        </w:trPr>
        <w:tc>
          <w:tcPr>
            <w:tcW w:w="67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19</w:t>
            </w:r>
          </w:p>
        </w:tc>
        <w:tc>
          <w:tcPr>
            <w:tcW w:w="17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窗拆除</w:t>
            </w:r>
          </w:p>
        </w:tc>
        <w:tc>
          <w:tcPr>
            <w:tcW w:w="40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kern w:val="0"/>
                <w:sz w:val="18"/>
                <w:szCs w:val="18"/>
                <w:u w:val="none"/>
                <w:lang w:val="en-US" w:eastAsia="zh-CN" w:bidi="ar"/>
              </w:rPr>
            </w:pPr>
            <w:r>
              <w:rPr>
                <w:rFonts w:hint="eastAsia" w:ascii="宋体" w:hAnsi="宋体" w:eastAsia="宋体" w:cs="宋体"/>
                <w:i w:val="0"/>
                <w:color w:val="auto"/>
                <w:kern w:val="0"/>
                <w:sz w:val="18"/>
                <w:szCs w:val="18"/>
                <w:u w:val="none"/>
                <w:lang w:val="en-US" w:eastAsia="zh-CN" w:bidi="ar"/>
              </w:rPr>
              <w:t>1.整樘各类型窗拆除</w:t>
            </w:r>
          </w:p>
          <w:p>
            <w:pPr>
              <w:keepNext w:val="0"/>
              <w:keepLines w:val="0"/>
              <w:widowControl/>
              <w:suppressLineNumbers w:val="0"/>
              <w:jc w:val="left"/>
              <w:textAlignment w:val="center"/>
              <w:rPr>
                <w:rFonts w:hint="eastAsia" w:ascii="宋体" w:hAnsi="宋体" w:eastAsia="宋体" w:cs="宋体"/>
                <w:i w:val="0"/>
                <w:color w:val="auto"/>
                <w:kern w:val="0"/>
                <w:sz w:val="18"/>
                <w:szCs w:val="18"/>
                <w:u w:val="none"/>
                <w:lang w:val="en-US" w:eastAsia="zh-CN" w:bidi="ar"/>
              </w:rPr>
            </w:pPr>
            <w:r>
              <w:rPr>
                <w:rFonts w:hint="eastAsia" w:ascii="宋体" w:hAnsi="宋体" w:eastAsia="宋体" w:cs="宋体"/>
                <w:i w:val="0"/>
                <w:color w:val="auto"/>
                <w:kern w:val="0"/>
                <w:sz w:val="18"/>
                <w:szCs w:val="18"/>
                <w:u w:val="none"/>
                <w:lang w:val="en-US" w:eastAsia="zh-CN" w:bidi="ar"/>
              </w:rPr>
              <w:t>2.拆除包含：框、扇、五金件等，包含场内倒运、集中堆放、码放整齐、苫盖等</w:t>
            </w:r>
          </w:p>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3.拆除文明施工及拆除后场地清理等。</w:t>
            </w:r>
          </w:p>
        </w:tc>
        <w:tc>
          <w:tcPr>
            <w:tcW w:w="6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樘</w:t>
            </w:r>
          </w:p>
        </w:tc>
        <w:tc>
          <w:tcPr>
            <w:tcW w:w="6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1</w:t>
            </w:r>
          </w:p>
        </w:tc>
        <w:tc>
          <w:tcPr>
            <w:tcW w:w="8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p>
        </w:tc>
        <w:tc>
          <w:tcPr>
            <w:tcW w:w="9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p>
        </w:tc>
        <w:tc>
          <w:tcPr>
            <w:tcW w:w="6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040" w:hRule="atLeast"/>
          <w:jc w:val="center"/>
        </w:trPr>
        <w:tc>
          <w:tcPr>
            <w:tcW w:w="67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20</w:t>
            </w:r>
          </w:p>
        </w:tc>
        <w:tc>
          <w:tcPr>
            <w:tcW w:w="17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镇域外渣土清运</w:t>
            </w:r>
          </w:p>
        </w:tc>
        <w:tc>
          <w:tcPr>
            <w:tcW w:w="40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1.镇域外渣土清运，依据国家规范执行，渣土外运至镇域外正规消纳场所，包含车辆等手续办理的相关费用，不含渣土处置费。</w:t>
            </w:r>
          </w:p>
        </w:tc>
        <w:tc>
          <w:tcPr>
            <w:tcW w:w="6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m³</w:t>
            </w:r>
          </w:p>
        </w:tc>
        <w:tc>
          <w:tcPr>
            <w:tcW w:w="6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1</w:t>
            </w:r>
          </w:p>
        </w:tc>
        <w:tc>
          <w:tcPr>
            <w:tcW w:w="8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p>
        </w:tc>
        <w:tc>
          <w:tcPr>
            <w:tcW w:w="9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p>
        </w:tc>
        <w:tc>
          <w:tcPr>
            <w:tcW w:w="6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pPr>
              <w:jc w:val="center"/>
              <w:rPr>
                <w:rFonts w:hint="default" w:ascii="Arial" w:hAnsi="Arial" w:eastAsia="宋体" w:cs="Arial"/>
                <w:i w:val="0"/>
                <w:color w:val="auto"/>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840" w:hRule="atLeast"/>
          <w:jc w:val="center"/>
        </w:trPr>
        <w:tc>
          <w:tcPr>
            <w:tcW w:w="67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21</w:t>
            </w:r>
          </w:p>
        </w:tc>
        <w:tc>
          <w:tcPr>
            <w:tcW w:w="17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镇域外渣土处置</w:t>
            </w:r>
          </w:p>
        </w:tc>
        <w:tc>
          <w:tcPr>
            <w:tcW w:w="40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1.渣土处置依据国家规范执行，包含手续办理等相关费用。</w:t>
            </w:r>
          </w:p>
        </w:tc>
        <w:tc>
          <w:tcPr>
            <w:tcW w:w="6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吨</w:t>
            </w:r>
          </w:p>
        </w:tc>
        <w:tc>
          <w:tcPr>
            <w:tcW w:w="6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1</w:t>
            </w:r>
          </w:p>
        </w:tc>
        <w:tc>
          <w:tcPr>
            <w:tcW w:w="8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p>
        </w:tc>
        <w:tc>
          <w:tcPr>
            <w:tcW w:w="9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p>
        </w:tc>
        <w:tc>
          <w:tcPr>
            <w:tcW w:w="6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pPr>
              <w:jc w:val="center"/>
              <w:rPr>
                <w:rFonts w:hint="default" w:ascii="Arial" w:hAnsi="Arial" w:eastAsia="宋体" w:cs="Arial"/>
                <w:i w:val="0"/>
                <w:color w:val="auto"/>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440" w:hRule="atLeast"/>
          <w:jc w:val="center"/>
        </w:trPr>
        <w:tc>
          <w:tcPr>
            <w:tcW w:w="67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22</w:t>
            </w:r>
          </w:p>
        </w:tc>
        <w:tc>
          <w:tcPr>
            <w:tcW w:w="17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镇域内渣土清运、处置</w:t>
            </w:r>
          </w:p>
        </w:tc>
        <w:tc>
          <w:tcPr>
            <w:tcW w:w="40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1.镇域内渣土清运，依据国家规范执行，渣土外运至镇域内正规消纳场所，包含车辆等手续办理的相关费用，2.渣土处置依据国家规范执行，包含手续办理等相关费用。</w:t>
            </w:r>
          </w:p>
        </w:tc>
        <w:tc>
          <w:tcPr>
            <w:tcW w:w="6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m³</w:t>
            </w:r>
          </w:p>
        </w:tc>
        <w:tc>
          <w:tcPr>
            <w:tcW w:w="6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1</w:t>
            </w:r>
          </w:p>
        </w:tc>
        <w:tc>
          <w:tcPr>
            <w:tcW w:w="8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p>
        </w:tc>
        <w:tc>
          <w:tcPr>
            <w:tcW w:w="9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p>
        </w:tc>
        <w:tc>
          <w:tcPr>
            <w:tcW w:w="6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pPr>
              <w:jc w:val="center"/>
              <w:rPr>
                <w:rFonts w:hint="default" w:ascii="Arial" w:hAnsi="Arial" w:eastAsia="宋体" w:cs="Arial"/>
                <w:i w:val="0"/>
                <w:color w:val="auto"/>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020" w:hRule="atLeast"/>
          <w:jc w:val="center"/>
        </w:trPr>
        <w:tc>
          <w:tcPr>
            <w:tcW w:w="67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23</w:t>
            </w:r>
          </w:p>
        </w:tc>
        <w:tc>
          <w:tcPr>
            <w:tcW w:w="17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平整场地</w:t>
            </w:r>
          </w:p>
        </w:tc>
        <w:tc>
          <w:tcPr>
            <w:tcW w:w="40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kern w:val="0"/>
                <w:sz w:val="18"/>
                <w:szCs w:val="18"/>
                <w:u w:val="none"/>
                <w:lang w:val="en-US" w:eastAsia="zh-CN" w:bidi="ar"/>
              </w:rPr>
            </w:pPr>
            <w:r>
              <w:rPr>
                <w:rFonts w:hint="eastAsia" w:ascii="宋体" w:hAnsi="宋体" w:eastAsia="宋体" w:cs="宋体"/>
                <w:i w:val="0"/>
                <w:color w:val="auto"/>
                <w:kern w:val="0"/>
                <w:sz w:val="18"/>
                <w:szCs w:val="18"/>
                <w:u w:val="none"/>
                <w:lang w:val="en-US" w:eastAsia="zh-CN" w:bidi="ar"/>
              </w:rPr>
              <w:t>1.平均厚度：±30cm挖填找平</w:t>
            </w:r>
          </w:p>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2.按照土地性质达到相应验收标准并验收合格。</w:t>
            </w:r>
          </w:p>
        </w:tc>
        <w:tc>
          <w:tcPr>
            <w:tcW w:w="6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m³</w:t>
            </w:r>
          </w:p>
        </w:tc>
        <w:tc>
          <w:tcPr>
            <w:tcW w:w="6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1</w:t>
            </w:r>
          </w:p>
        </w:tc>
        <w:tc>
          <w:tcPr>
            <w:tcW w:w="8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p>
        </w:tc>
        <w:tc>
          <w:tcPr>
            <w:tcW w:w="9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p>
        </w:tc>
        <w:tc>
          <w:tcPr>
            <w:tcW w:w="6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120" w:hRule="atLeast"/>
          <w:jc w:val="center"/>
        </w:trPr>
        <w:tc>
          <w:tcPr>
            <w:tcW w:w="67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24</w:t>
            </w:r>
          </w:p>
        </w:tc>
        <w:tc>
          <w:tcPr>
            <w:tcW w:w="1755"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回填方</w:t>
            </w:r>
          </w:p>
        </w:tc>
        <w:tc>
          <w:tcPr>
            <w:tcW w:w="4065"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kern w:val="0"/>
                <w:sz w:val="18"/>
                <w:szCs w:val="18"/>
                <w:u w:val="none"/>
                <w:lang w:val="en-US" w:eastAsia="zh-CN" w:bidi="ar"/>
              </w:rPr>
            </w:pPr>
            <w:r>
              <w:rPr>
                <w:rFonts w:hint="eastAsia" w:ascii="宋体" w:hAnsi="宋体" w:eastAsia="宋体" w:cs="宋体"/>
                <w:i w:val="0"/>
                <w:color w:val="auto"/>
                <w:kern w:val="0"/>
                <w:sz w:val="18"/>
                <w:szCs w:val="18"/>
                <w:u w:val="none"/>
                <w:lang w:val="en-US" w:eastAsia="zh-CN" w:bidi="ar"/>
              </w:rPr>
              <w:t>1.包含购土及回填、平整</w:t>
            </w:r>
          </w:p>
          <w:p>
            <w:pPr>
              <w:keepNext w:val="0"/>
              <w:keepLines w:val="0"/>
              <w:widowControl/>
              <w:suppressLineNumbers w:val="0"/>
              <w:jc w:val="left"/>
              <w:textAlignment w:val="center"/>
              <w:rPr>
                <w:rFonts w:hint="eastAsia" w:ascii="宋体" w:hAnsi="宋体" w:eastAsia="宋体" w:cs="宋体"/>
                <w:i w:val="0"/>
                <w:color w:val="auto"/>
                <w:kern w:val="0"/>
                <w:sz w:val="18"/>
                <w:szCs w:val="18"/>
                <w:u w:val="none"/>
                <w:lang w:val="en-US" w:eastAsia="zh-CN" w:bidi="ar"/>
              </w:rPr>
            </w:pPr>
            <w:r>
              <w:rPr>
                <w:rFonts w:hint="eastAsia" w:ascii="宋体" w:hAnsi="宋体" w:eastAsia="宋体" w:cs="宋体"/>
                <w:i w:val="0"/>
                <w:color w:val="auto"/>
                <w:kern w:val="0"/>
                <w:sz w:val="18"/>
                <w:szCs w:val="18"/>
                <w:u w:val="none"/>
                <w:lang w:val="en-US" w:eastAsia="zh-CN" w:bidi="ar"/>
              </w:rPr>
              <w:t>2.取土运距；自行考虑</w:t>
            </w:r>
          </w:p>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3.按照土地性质达到相应验收标准并验收合格。</w:t>
            </w:r>
          </w:p>
        </w:tc>
        <w:tc>
          <w:tcPr>
            <w:tcW w:w="600"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m³</w:t>
            </w:r>
          </w:p>
        </w:tc>
        <w:tc>
          <w:tcPr>
            <w:tcW w:w="660"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1</w:t>
            </w:r>
          </w:p>
        </w:tc>
        <w:tc>
          <w:tcPr>
            <w:tcW w:w="840"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p>
        </w:tc>
        <w:tc>
          <w:tcPr>
            <w:tcW w:w="990"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p>
        </w:tc>
        <w:tc>
          <w:tcPr>
            <w:tcW w:w="699"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top"/>
          </w:tcPr>
          <w:p>
            <w:pPr>
              <w:jc w:val="center"/>
              <w:rPr>
                <w:rFonts w:hint="default" w:ascii="Arial" w:hAnsi="Arial" w:eastAsia="宋体" w:cs="Arial"/>
                <w:i w:val="0"/>
                <w:color w:val="auto"/>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70" w:hRule="atLeast"/>
          <w:jc w:val="center"/>
        </w:trPr>
        <w:tc>
          <w:tcPr>
            <w:tcW w:w="67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pPr>
              <w:jc w:val="left"/>
              <w:rPr>
                <w:rFonts w:hint="eastAsia" w:ascii="宋体" w:hAnsi="宋体" w:eastAsia="宋体" w:cs="宋体"/>
                <w:i w:val="0"/>
                <w:color w:val="auto"/>
                <w:sz w:val="24"/>
                <w:szCs w:val="24"/>
                <w:u w:val="none"/>
              </w:rPr>
            </w:pPr>
          </w:p>
        </w:tc>
        <w:tc>
          <w:tcPr>
            <w:tcW w:w="17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合计</w:t>
            </w:r>
          </w:p>
        </w:tc>
        <w:tc>
          <w:tcPr>
            <w:tcW w:w="40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pPr>
              <w:jc w:val="left"/>
              <w:rPr>
                <w:rFonts w:hint="eastAsia" w:ascii="宋体" w:hAnsi="宋体" w:eastAsia="宋体" w:cs="宋体"/>
                <w:i w:val="0"/>
                <w:color w:val="auto"/>
                <w:sz w:val="18"/>
                <w:szCs w:val="18"/>
                <w:u w:val="none"/>
              </w:rPr>
            </w:pPr>
          </w:p>
        </w:tc>
        <w:tc>
          <w:tcPr>
            <w:tcW w:w="6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18"/>
                <w:szCs w:val="18"/>
                <w:u w:val="none"/>
              </w:rPr>
            </w:pPr>
          </w:p>
        </w:tc>
        <w:tc>
          <w:tcPr>
            <w:tcW w:w="6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18"/>
                <w:szCs w:val="18"/>
                <w:u w:val="none"/>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18"/>
                <w:szCs w:val="18"/>
                <w:u w:val="none"/>
              </w:rPr>
            </w:pPr>
          </w:p>
        </w:tc>
        <w:tc>
          <w:tcPr>
            <w:tcW w:w="9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p>
        </w:tc>
        <w:tc>
          <w:tcPr>
            <w:tcW w:w="6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pPr>
              <w:jc w:val="center"/>
              <w:rPr>
                <w:rFonts w:hint="default" w:ascii="Arial" w:hAnsi="Arial" w:eastAsia="宋体" w:cs="Arial"/>
                <w:i w:val="0"/>
                <w:color w:val="auto"/>
                <w:sz w:val="18"/>
                <w:szCs w:val="18"/>
                <w:u w:val="none"/>
              </w:rPr>
            </w:pPr>
          </w:p>
        </w:tc>
      </w:tr>
    </w:tbl>
    <w:p>
      <w:pPr>
        <w:spacing w:line="1" w:lineRule="exact"/>
        <w:jc w:val="both"/>
        <w:rPr>
          <w:rFonts w:hint="eastAsia" w:asciiTheme="minorEastAsia" w:hAnsiTheme="minorEastAsia" w:eastAsiaTheme="minorEastAsia" w:cstheme="minorEastAsia"/>
          <w:color w:val="auto"/>
          <w:sz w:val="18"/>
          <w:szCs w:val="18"/>
        </w:rPr>
        <w:sectPr>
          <w:footerReference r:id="rId16" w:type="default"/>
          <w:type w:val="continuous"/>
          <w:pgSz w:w="11900" w:h="16840"/>
          <w:pgMar w:top="2098" w:right="1474" w:bottom="1984" w:left="1587" w:header="0" w:footer="1360" w:gutter="0"/>
          <w:pgNumType w:fmt="decimal"/>
          <w:cols w:space="720" w:num="1"/>
        </w:sectPr>
      </w:pPr>
    </w:p>
    <w:p>
      <w:pPr>
        <w:spacing w:line="360" w:lineRule="auto"/>
        <w:jc w:val="center"/>
        <w:outlineLvl w:val="0"/>
        <w:rPr>
          <w:rFonts w:hint="eastAsia" w:ascii="宋体" w:hAnsi="宋体" w:eastAsia="宋体" w:cs="宋体"/>
          <w:b/>
          <w:sz w:val="32"/>
          <w:szCs w:val="32"/>
        </w:rPr>
      </w:pPr>
      <w:bookmarkStart w:id="669" w:name="_Toc1526"/>
      <w:r>
        <w:rPr>
          <w:rFonts w:hint="eastAsia" w:ascii="宋体" w:hAnsi="宋体" w:eastAsia="宋体" w:cs="宋体"/>
          <w:b/>
          <w:sz w:val="32"/>
          <w:szCs w:val="32"/>
        </w:rPr>
        <w:t>第六章</w:t>
      </w:r>
      <w:r>
        <w:rPr>
          <w:rFonts w:hint="eastAsia" w:ascii="宋体" w:hAnsi="宋体" w:eastAsia="宋体" w:cs="宋体"/>
          <w:b/>
          <w:sz w:val="32"/>
          <w:szCs w:val="32"/>
          <w:lang w:eastAsia="zh-CN"/>
        </w:rPr>
        <w:t>、</w:t>
      </w:r>
      <w:r>
        <w:rPr>
          <w:rFonts w:hint="eastAsia" w:ascii="宋体" w:hAnsi="宋体" w:eastAsia="宋体" w:cs="宋体"/>
          <w:b/>
          <w:sz w:val="32"/>
          <w:szCs w:val="32"/>
        </w:rPr>
        <w:t>响应文件格式</w:t>
      </w:r>
      <w:bookmarkEnd w:id="669"/>
    </w:p>
    <w:p>
      <w:pPr>
        <w:widowControl/>
        <w:spacing w:line="360" w:lineRule="auto"/>
        <w:jc w:val="left"/>
        <w:rPr>
          <w:rFonts w:hint="eastAsia" w:ascii="宋体" w:hAnsi="宋体" w:eastAsia="宋体" w:cs="宋体"/>
          <w:b/>
          <w:sz w:val="24"/>
        </w:rPr>
      </w:pPr>
    </w:p>
    <w:p>
      <w:pPr>
        <w:widowControl/>
        <w:spacing w:line="360" w:lineRule="auto"/>
        <w:jc w:val="left"/>
        <w:rPr>
          <w:rFonts w:hint="eastAsia" w:ascii="宋体" w:hAnsi="宋体" w:eastAsia="宋体" w:cs="宋体"/>
          <w:b/>
          <w:sz w:val="24"/>
        </w:rPr>
      </w:pPr>
    </w:p>
    <w:p>
      <w:pPr>
        <w:tabs>
          <w:tab w:val="left" w:pos="900"/>
          <w:tab w:val="left" w:pos="1980"/>
        </w:tabs>
        <w:snapToGrid w:val="0"/>
        <w:spacing w:line="360" w:lineRule="auto"/>
        <w:ind w:left="142"/>
        <w:rPr>
          <w:rFonts w:hint="eastAsia" w:ascii="宋体" w:hAnsi="宋体" w:eastAsia="宋体" w:cs="宋体"/>
          <w:b/>
          <w:kern w:val="0"/>
          <w:sz w:val="24"/>
        </w:rPr>
      </w:pPr>
      <w:r>
        <w:rPr>
          <w:rFonts w:hint="eastAsia" w:ascii="宋体" w:hAnsi="宋体" w:eastAsia="宋体" w:cs="宋体"/>
          <w:b/>
          <w:kern w:val="0"/>
          <w:sz w:val="24"/>
        </w:rPr>
        <w:t>供应商编制文件须知</w:t>
      </w:r>
    </w:p>
    <w:p>
      <w:pPr>
        <w:tabs>
          <w:tab w:val="left" w:pos="900"/>
          <w:tab w:val="left" w:pos="1980"/>
        </w:tabs>
        <w:snapToGrid w:val="0"/>
        <w:spacing w:line="360" w:lineRule="auto"/>
        <w:ind w:left="142"/>
        <w:rPr>
          <w:rFonts w:hint="eastAsia" w:ascii="宋体" w:hAnsi="宋体" w:eastAsia="宋体" w:cs="宋体"/>
          <w:sz w:val="24"/>
        </w:rPr>
      </w:pPr>
      <w:r>
        <w:rPr>
          <w:rFonts w:hint="eastAsia" w:ascii="宋体" w:hAnsi="宋体" w:eastAsia="宋体" w:cs="宋体"/>
          <w:sz w:val="24"/>
        </w:rPr>
        <w:t>1、供应商按照本部分的顺序编制响应文件，编制中涉及格式资料的，应按照本部分提供的内容和格式（所有表格的格式可扩展）填写提交。</w:t>
      </w:r>
    </w:p>
    <w:p>
      <w:pPr>
        <w:tabs>
          <w:tab w:val="left" w:pos="900"/>
          <w:tab w:val="left" w:pos="1980"/>
        </w:tabs>
        <w:snapToGrid w:val="0"/>
        <w:spacing w:line="360" w:lineRule="auto"/>
        <w:ind w:left="142"/>
        <w:rPr>
          <w:rFonts w:hint="eastAsia" w:ascii="宋体" w:hAnsi="宋体" w:eastAsia="宋体" w:cs="宋体"/>
          <w:kern w:val="0"/>
          <w:sz w:val="24"/>
        </w:rPr>
      </w:pPr>
      <w:r>
        <w:rPr>
          <w:rFonts w:hint="eastAsia" w:ascii="宋体" w:hAnsi="宋体" w:eastAsia="宋体" w:cs="宋体"/>
          <w:sz w:val="24"/>
        </w:rPr>
        <w:t>2、</w:t>
      </w:r>
      <w:r>
        <w:rPr>
          <w:rFonts w:hint="eastAsia" w:ascii="宋体" w:hAnsi="宋体" w:eastAsia="宋体" w:cs="宋体"/>
          <w:kern w:val="0"/>
          <w:sz w:val="24"/>
        </w:rPr>
        <w:t>对于竞争性磋商文件中标记了“实质性格式”文件的，供应商</w:t>
      </w:r>
      <w:r>
        <w:rPr>
          <w:rFonts w:hint="eastAsia" w:ascii="宋体" w:hAnsi="宋体" w:eastAsia="宋体" w:cs="宋体"/>
          <w:sz w:val="24"/>
        </w:rPr>
        <w:t>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eastAsia="宋体" w:cs="宋体"/>
          <w:b/>
          <w:kern w:val="0"/>
          <w:sz w:val="24"/>
        </w:rPr>
        <w:t>否则响应无效</w:t>
      </w:r>
      <w:r>
        <w:rPr>
          <w:rFonts w:hint="eastAsia" w:ascii="宋体" w:hAnsi="宋体" w:eastAsia="宋体" w:cs="宋体"/>
          <w:kern w:val="0"/>
          <w:sz w:val="24"/>
        </w:rPr>
        <w:t>。未标记“实质性格式”的文件和竞争性磋商文件未提供格式的内容，可由供应商自行编写。</w:t>
      </w:r>
    </w:p>
    <w:p>
      <w:pPr>
        <w:tabs>
          <w:tab w:val="left" w:pos="900"/>
          <w:tab w:val="left" w:pos="1980"/>
        </w:tabs>
        <w:snapToGrid w:val="0"/>
        <w:spacing w:line="360" w:lineRule="auto"/>
        <w:ind w:left="142"/>
        <w:rPr>
          <w:rFonts w:hint="eastAsia" w:ascii="宋体" w:hAnsi="宋体" w:eastAsia="宋体" w:cs="宋体"/>
          <w:sz w:val="24"/>
        </w:rPr>
      </w:pPr>
      <w:r>
        <w:rPr>
          <w:rFonts w:hint="eastAsia" w:ascii="宋体" w:hAnsi="宋体" w:eastAsia="宋体" w:cs="宋体"/>
          <w:sz w:val="24"/>
        </w:rPr>
        <w:t>3、全部声明和问题的回答及所附材料必须是真实的、准确的和完整的。</w:t>
      </w:r>
    </w:p>
    <w:p>
      <w:pPr>
        <w:tabs>
          <w:tab w:val="left" w:pos="900"/>
          <w:tab w:val="left" w:pos="1980"/>
        </w:tabs>
        <w:snapToGrid w:val="0"/>
        <w:spacing w:line="360" w:lineRule="auto"/>
        <w:ind w:left="142"/>
        <w:rPr>
          <w:rFonts w:hint="eastAsia" w:ascii="宋体" w:hAnsi="宋体" w:eastAsia="宋体" w:cs="宋体"/>
          <w:sz w:val="24"/>
        </w:rPr>
      </w:pPr>
    </w:p>
    <w:p>
      <w:pPr>
        <w:widowControl/>
        <w:jc w:val="left"/>
        <w:rPr>
          <w:rFonts w:hint="eastAsia" w:ascii="宋体" w:hAnsi="宋体" w:eastAsia="宋体" w:cs="宋体"/>
          <w:sz w:val="24"/>
        </w:rPr>
      </w:pPr>
      <w:r>
        <w:rPr>
          <w:rFonts w:hint="eastAsia" w:ascii="宋体" w:hAnsi="宋体" w:eastAsia="宋体" w:cs="宋体"/>
          <w:sz w:val="24"/>
        </w:rPr>
        <w:br w:type="page"/>
      </w:r>
    </w:p>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p>
      <w:pPr>
        <w:rPr>
          <w:rFonts w:hint="eastAsia" w:ascii="宋体" w:hAnsi="宋体" w:eastAsia="宋体" w:cs="宋体"/>
          <w:b/>
          <w:spacing w:val="20"/>
          <w:szCs w:val="21"/>
        </w:rPr>
      </w:pPr>
    </w:p>
    <w:p>
      <w:pPr>
        <w:rPr>
          <w:rFonts w:hint="eastAsia" w:ascii="宋体" w:hAnsi="宋体" w:eastAsia="宋体" w:cs="宋体"/>
          <w:b/>
          <w:sz w:val="24"/>
        </w:rPr>
      </w:pPr>
      <w:r>
        <w:rPr>
          <w:rFonts w:hint="eastAsia" w:ascii="宋体" w:hAnsi="宋体" w:eastAsia="宋体" w:cs="宋体"/>
          <w:b/>
          <w:spacing w:val="20"/>
          <w:sz w:val="24"/>
        </w:rPr>
        <w:t>响应文件</w:t>
      </w:r>
      <w:r>
        <w:rPr>
          <w:rFonts w:hint="eastAsia" w:ascii="宋体" w:hAnsi="宋体" w:eastAsia="宋体" w:cs="宋体"/>
          <w:b/>
          <w:sz w:val="24"/>
        </w:rPr>
        <w:t>封面（非实质性格式）</w:t>
      </w:r>
    </w:p>
    <w:p>
      <w:pPr>
        <w:jc w:val="center"/>
        <w:rPr>
          <w:rFonts w:hint="eastAsia" w:ascii="宋体" w:hAnsi="宋体" w:eastAsia="宋体" w:cs="宋体"/>
          <w:szCs w:val="21"/>
        </w:rPr>
      </w:pPr>
    </w:p>
    <w:p>
      <w:pPr>
        <w:jc w:val="center"/>
        <w:rPr>
          <w:rFonts w:hint="eastAsia" w:ascii="宋体" w:hAnsi="宋体" w:eastAsia="宋体" w:cs="宋体"/>
          <w:b/>
          <w:spacing w:val="60"/>
          <w:sz w:val="84"/>
          <w:szCs w:val="84"/>
        </w:rPr>
      </w:pPr>
    </w:p>
    <w:p>
      <w:pPr>
        <w:pStyle w:val="28"/>
        <w:rPr>
          <w:rFonts w:hint="eastAsia"/>
        </w:rPr>
      </w:pPr>
    </w:p>
    <w:p>
      <w:pPr>
        <w:rPr>
          <w:rFonts w:hint="eastAsia"/>
        </w:rPr>
      </w:pPr>
    </w:p>
    <w:p>
      <w:pPr>
        <w:pStyle w:val="28"/>
        <w:rPr>
          <w:rFonts w:hint="eastAsia"/>
        </w:rPr>
      </w:pPr>
    </w:p>
    <w:p>
      <w:pPr>
        <w:rPr>
          <w:rFonts w:hint="eastAsia"/>
        </w:rPr>
      </w:pPr>
    </w:p>
    <w:p>
      <w:pPr>
        <w:pStyle w:val="28"/>
        <w:rPr>
          <w:rFonts w:hint="eastAsia"/>
        </w:rPr>
      </w:pPr>
    </w:p>
    <w:p>
      <w:pPr>
        <w:jc w:val="center"/>
        <w:rPr>
          <w:rFonts w:hint="eastAsia" w:ascii="宋体" w:hAnsi="宋体" w:eastAsia="宋体" w:cs="宋体"/>
          <w:b/>
          <w:spacing w:val="60"/>
          <w:sz w:val="84"/>
          <w:szCs w:val="84"/>
        </w:rPr>
      </w:pPr>
      <w:r>
        <w:rPr>
          <w:rFonts w:hint="eastAsia" w:ascii="宋体" w:hAnsi="宋体" w:eastAsia="宋体" w:cs="宋体"/>
          <w:b/>
          <w:spacing w:val="60"/>
          <w:sz w:val="84"/>
          <w:szCs w:val="84"/>
        </w:rPr>
        <w:t>响 应 文 件</w:t>
      </w:r>
    </w:p>
    <w:p>
      <w:pPr>
        <w:jc w:val="center"/>
        <w:rPr>
          <w:rFonts w:hint="eastAsia" w:ascii="宋体" w:hAnsi="宋体" w:eastAsia="宋体" w:cs="宋体"/>
          <w:b/>
          <w:spacing w:val="60"/>
          <w:sz w:val="52"/>
          <w:szCs w:val="52"/>
        </w:rPr>
      </w:pPr>
    </w:p>
    <w:p>
      <w:pPr>
        <w:ind w:firstLine="542" w:firstLineChars="150"/>
        <w:rPr>
          <w:rFonts w:hint="eastAsia" w:ascii="宋体" w:hAnsi="宋体" w:eastAsia="宋体" w:cs="宋体"/>
          <w:b/>
          <w:spacing w:val="20"/>
          <w:sz w:val="32"/>
          <w:szCs w:val="32"/>
        </w:rPr>
      </w:pPr>
    </w:p>
    <w:p>
      <w:pPr>
        <w:ind w:firstLine="542" w:firstLineChars="150"/>
        <w:rPr>
          <w:rFonts w:hint="eastAsia" w:ascii="宋体" w:hAnsi="宋体" w:eastAsia="宋体" w:cs="宋体"/>
          <w:b/>
          <w:spacing w:val="20"/>
          <w:sz w:val="32"/>
          <w:szCs w:val="32"/>
        </w:rPr>
      </w:pPr>
    </w:p>
    <w:p>
      <w:pPr>
        <w:pStyle w:val="28"/>
        <w:rPr>
          <w:rFonts w:hint="eastAsia" w:ascii="宋体" w:hAnsi="宋体" w:eastAsia="宋体" w:cs="宋体"/>
          <w:b/>
          <w:spacing w:val="20"/>
          <w:sz w:val="32"/>
          <w:szCs w:val="32"/>
        </w:rPr>
      </w:pPr>
    </w:p>
    <w:p>
      <w:pPr>
        <w:rPr>
          <w:rFonts w:hint="eastAsia" w:ascii="宋体" w:hAnsi="宋体" w:eastAsia="宋体" w:cs="宋体"/>
          <w:b/>
          <w:spacing w:val="20"/>
          <w:sz w:val="32"/>
          <w:szCs w:val="32"/>
        </w:rPr>
      </w:pPr>
    </w:p>
    <w:p>
      <w:pPr>
        <w:pStyle w:val="28"/>
        <w:rPr>
          <w:rFonts w:hint="eastAsia" w:ascii="宋体" w:hAnsi="宋体" w:eastAsia="宋体" w:cs="宋体"/>
          <w:b/>
          <w:spacing w:val="20"/>
          <w:sz w:val="32"/>
          <w:szCs w:val="32"/>
        </w:rPr>
      </w:pPr>
    </w:p>
    <w:p>
      <w:pPr>
        <w:rPr>
          <w:rFonts w:hint="eastAsia"/>
        </w:rPr>
      </w:pPr>
    </w:p>
    <w:p>
      <w:pPr>
        <w:pStyle w:val="28"/>
        <w:rPr>
          <w:rFonts w:hint="eastAsia"/>
        </w:rPr>
      </w:pPr>
    </w:p>
    <w:p>
      <w:pPr>
        <w:pStyle w:val="28"/>
        <w:rPr>
          <w:rFonts w:hint="eastAsia"/>
        </w:rPr>
      </w:pPr>
    </w:p>
    <w:p>
      <w:pPr>
        <w:rPr>
          <w:rFonts w:hint="eastAsia"/>
        </w:rPr>
      </w:pPr>
    </w:p>
    <w:p>
      <w:pPr>
        <w:pStyle w:val="28"/>
        <w:rPr>
          <w:rFonts w:hint="eastAsia"/>
        </w:rPr>
      </w:pPr>
    </w:p>
    <w:p>
      <w:pPr>
        <w:rPr>
          <w:rFonts w:hint="eastAsia"/>
        </w:rPr>
      </w:pPr>
    </w:p>
    <w:p>
      <w:pPr>
        <w:pStyle w:val="28"/>
        <w:rPr>
          <w:rFonts w:hint="eastAsia"/>
        </w:rPr>
      </w:pPr>
    </w:p>
    <w:p>
      <w:pPr>
        <w:rPr>
          <w:rFonts w:hint="eastAsia"/>
        </w:rPr>
      </w:pPr>
    </w:p>
    <w:p>
      <w:pPr>
        <w:pStyle w:val="28"/>
        <w:rPr>
          <w:rFonts w:hint="eastAsia"/>
        </w:rPr>
      </w:pPr>
    </w:p>
    <w:p>
      <w:pPr>
        <w:rPr>
          <w:rFonts w:hint="eastAsia"/>
        </w:rPr>
      </w:pPr>
    </w:p>
    <w:p>
      <w:pPr>
        <w:pStyle w:val="28"/>
        <w:rPr>
          <w:rFonts w:hint="eastAsia"/>
        </w:rPr>
      </w:pPr>
    </w:p>
    <w:p>
      <w:pPr>
        <w:keepNext w:val="0"/>
        <w:keepLines w:val="0"/>
        <w:pageBreakBefore w:val="0"/>
        <w:widowControl w:val="0"/>
        <w:kinsoku/>
        <w:wordWrap/>
        <w:overflowPunct/>
        <w:topLinePunct w:val="0"/>
        <w:autoSpaceDE/>
        <w:autoSpaceDN/>
        <w:bidi w:val="0"/>
        <w:adjustRightInd/>
        <w:snapToGrid/>
        <w:spacing w:line="480" w:lineRule="auto"/>
        <w:ind w:firstLine="542" w:firstLineChars="150"/>
        <w:textAlignment w:val="auto"/>
        <w:rPr>
          <w:rFonts w:hint="eastAsia" w:ascii="宋体" w:hAnsi="宋体" w:eastAsia="宋体" w:cs="宋体"/>
          <w:b/>
          <w:spacing w:val="20"/>
          <w:sz w:val="32"/>
          <w:szCs w:val="32"/>
          <w:lang w:eastAsia="zh-CN"/>
        </w:rPr>
      </w:pPr>
      <w:r>
        <w:rPr>
          <w:rFonts w:hint="eastAsia" w:ascii="宋体" w:hAnsi="宋体" w:eastAsia="宋体" w:cs="宋体"/>
          <w:b/>
          <w:spacing w:val="20"/>
          <w:sz w:val="32"/>
          <w:szCs w:val="32"/>
        </w:rPr>
        <w:t>项目名称</w:t>
      </w:r>
      <w:r>
        <w:rPr>
          <w:rFonts w:hint="eastAsia" w:ascii="宋体" w:hAnsi="宋体" w:cs="宋体"/>
          <w:b/>
          <w:spacing w:val="20"/>
          <w:sz w:val="32"/>
          <w:szCs w:val="32"/>
          <w:lang w:eastAsia="zh-CN"/>
        </w:rPr>
        <w:t>：</w:t>
      </w:r>
    </w:p>
    <w:p>
      <w:pPr>
        <w:keepNext w:val="0"/>
        <w:keepLines w:val="0"/>
        <w:pageBreakBefore w:val="0"/>
        <w:widowControl w:val="0"/>
        <w:kinsoku/>
        <w:wordWrap/>
        <w:overflowPunct/>
        <w:topLinePunct w:val="0"/>
        <w:autoSpaceDE/>
        <w:autoSpaceDN/>
        <w:bidi w:val="0"/>
        <w:adjustRightInd/>
        <w:snapToGrid/>
        <w:spacing w:line="480" w:lineRule="auto"/>
        <w:ind w:firstLine="542" w:firstLineChars="150"/>
        <w:textAlignment w:val="auto"/>
        <w:rPr>
          <w:rFonts w:hint="eastAsia" w:ascii="宋体" w:hAnsi="宋体" w:eastAsia="宋体" w:cs="宋体"/>
          <w:b/>
          <w:spacing w:val="20"/>
          <w:sz w:val="32"/>
          <w:szCs w:val="32"/>
        </w:rPr>
      </w:pPr>
      <w:r>
        <w:rPr>
          <w:rFonts w:hint="eastAsia" w:ascii="宋体" w:hAnsi="宋体" w:eastAsia="宋体" w:cs="宋体"/>
          <w:b/>
          <w:spacing w:val="20"/>
          <w:sz w:val="32"/>
          <w:szCs w:val="32"/>
        </w:rPr>
        <w:t>项目编号：</w:t>
      </w:r>
    </w:p>
    <w:p>
      <w:pPr>
        <w:keepNext w:val="0"/>
        <w:keepLines w:val="0"/>
        <w:pageBreakBefore w:val="0"/>
        <w:widowControl w:val="0"/>
        <w:kinsoku/>
        <w:wordWrap/>
        <w:overflowPunct/>
        <w:topLinePunct w:val="0"/>
        <w:autoSpaceDE/>
        <w:autoSpaceDN/>
        <w:bidi w:val="0"/>
        <w:adjustRightInd/>
        <w:snapToGrid/>
        <w:spacing w:line="480" w:lineRule="auto"/>
        <w:ind w:firstLine="542" w:firstLineChars="150"/>
        <w:textAlignment w:val="auto"/>
        <w:rPr>
          <w:rFonts w:hint="eastAsia" w:ascii="宋体" w:hAnsi="宋体" w:eastAsia="宋体" w:cs="宋体"/>
          <w:b/>
          <w:spacing w:val="20"/>
          <w:sz w:val="32"/>
          <w:szCs w:val="32"/>
        </w:rPr>
      </w:pPr>
      <w:r>
        <w:rPr>
          <w:rFonts w:hint="eastAsia" w:ascii="宋体" w:hAnsi="宋体" w:eastAsia="宋体" w:cs="宋体"/>
          <w:b/>
          <w:spacing w:val="20"/>
          <w:sz w:val="32"/>
          <w:szCs w:val="32"/>
        </w:rPr>
        <w:t>供应商名称：</w:t>
      </w:r>
    </w:p>
    <w:p>
      <w:pPr>
        <w:jc w:val="center"/>
        <w:rPr>
          <w:rFonts w:hint="eastAsia" w:ascii="宋体" w:hAnsi="宋体" w:eastAsia="宋体" w:cs="宋体"/>
          <w:b/>
          <w:sz w:val="32"/>
          <w:szCs w:val="32"/>
        </w:rPr>
      </w:pPr>
    </w:p>
    <w:p>
      <w:pPr>
        <w:rPr>
          <w:rFonts w:hint="eastAsia" w:ascii="宋体" w:hAnsi="宋体" w:eastAsia="宋体" w:cs="宋体"/>
          <w:b/>
        </w:rPr>
      </w:pPr>
      <w:r>
        <w:rPr>
          <w:rFonts w:hint="eastAsia" w:ascii="宋体" w:hAnsi="宋体" w:eastAsia="宋体" w:cs="宋体"/>
          <w:b/>
          <w:spacing w:val="20"/>
          <w:sz w:val="32"/>
          <w:szCs w:val="32"/>
        </w:rPr>
        <w:br w:type="page"/>
      </w:r>
    </w:p>
    <w:p>
      <w:pPr>
        <w:tabs>
          <w:tab w:val="left" w:pos="360"/>
        </w:tabs>
        <w:snapToGrid w:val="0"/>
        <w:spacing w:line="360" w:lineRule="auto"/>
        <w:outlineLvl w:val="1"/>
        <w:rPr>
          <w:rFonts w:hint="eastAsia" w:ascii="宋体" w:hAnsi="宋体" w:eastAsia="宋体" w:cs="宋体"/>
          <w:sz w:val="24"/>
        </w:rPr>
      </w:pPr>
      <w:r>
        <w:rPr>
          <w:rFonts w:hint="eastAsia" w:ascii="宋体" w:hAnsi="宋体" w:eastAsia="宋体" w:cs="宋体"/>
          <w:sz w:val="24"/>
        </w:rPr>
        <w:t>1 满足《中华人民共和国政府采购法》第二十二条规定</w:t>
      </w:r>
    </w:p>
    <w:p>
      <w:pPr>
        <w:spacing w:line="360" w:lineRule="auto"/>
        <w:outlineLvl w:val="2"/>
        <w:rPr>
          <w:rFonts w:hint="eastAsia" w:ascii="宋体" w:hAnsi="宋体" w:eastAsia="宋体" w:cs="宋体"/>
          <w:color w:val="000000"/>
          <w:sz w:val="24"/>
        </w:rPr>
      </w:pPr>
      <w:r>
        <w:rPr>
          <w:rFonts w:hint="eastAsia" w:ascii="宋体" w:hAnsi="宋体" w:eastAsia="宋体" w:cs="宋体"/>
          <w:color w:val="000000"/>
          <w:sz w:val="24"/>
        </w:rPr>
        <w:t>1-1营业执照等证明文件</w:t>
      </w:r>
    </w:p>
    <w:p>
      <w:pPr>
        <w:tabs>
          <w:tab w:val="left" w:pos="1080"/>
        </w:tabs>
        <w:snapToGrid w:val="0"/>
        <w:rPr>
          <w:rFonts w:hint="eastAsia" w:ascii="宋体" w:hAnsi="宋体" w:eastAsia="宋体" w:cs="宋体"/>
          <w:sz w:val="24"/>
        </w:rPr>
      </w:pPr>
    </w:p>
    <w:p>
      <w:pPr>
        <w:widowControl/>
        <w:jc w:val="left"/>
        <w:rPr>
          <w:rFonts w:hint="eastAsia" w:ascii="宋体" w:hAnsi="宋体" w:eastAsia="宋体" w:cs="宋体"/>
          <w:color w:val="000000"/>
          <w:sz w:val="24"/>
          <w:szCs w:val="20"/>
        </w:rPr>
      </w:pPr>
      <w:r>
        <w:rPr>
          <w:rFonts w:hint="eastAsia" w:ascii="宋体" w:hAnsi="宋体" w:eastAsia="宋体" w:cs="宋体"/>
          <w:color w:val="000000"/>
          <w:sz w:val="24"/>
        </w:rPr>
        <w:br w:type="page"/>
      </w:r>
    </w:p>
    <w:p>
      <w:pPr>
        <w:pStyle w:val="4"/>
        <w:rPr>
          <w:rFonts w:hint="eastAsia" w:ascii="宋体" w:hAnsi="宋体" w:eastAsia="宋体" w:cs="宋体"/>
          <w:b w:val="0"/>
          <w:bCs/>
          <w:color w:val="000000"/>
          <w:szCs w:val="24"/>
          <w:u w:val="none"/>
        </w:rPr>
      </w:pPr>
      <w:r>
        <w:rPr>
          <w:rFonts w:hint="eastAsia" w:ascii="宋体" w:hAnsi="宋体" w:eastAsia="宋体" w:cs="宋体"/>
          <w:b w:val="0"/>
          <w:color w:val="000000"/>
          <w:szCs w:val="24"/>
          <w:u w:val="none"/>
        </w:rPr>
        <w:t>1-2 供应商资格声明书（实质性格式）</w:t>
      </w:r>
    </w:p>
    <w:p>
      <w:pPr>
        <w:jc w:val="center"/>
        <w:rPr>
          <w:rFonts w:hint="eastAsia" w:ascii="宋体" w:hAnsi="宋体" w:eastAsia="宋体" w:cs="宋体"/>
          <w:b/>
          <w:color w:val="000000"/>
          <w:sz w:val="36"/>
          <w:szCs w:val="36"/>
        </w:rPr>
      </w:pPr>
      <w:r>
        <w:rPr>
          <w:rFonts w:hint="eastAsia" w:ascii="宋体" w:hAnsi="宋体" w:eastAsia="宋体" w:cs="宋体"/>
          <w:b/>
          <w:color w:val="000000"/>
          <w:sz w:val="36"/>
          <w:szCs w:val="36"/>
        </w:rPr>
        <w:t>供应商资格声明书</w:t>
      </w:r>
    </w:p>
    <w:p>
      <w:pPr>
        <w:tabs>
          <w:tab w:val="left" w:pos="5580"/>
        </w:tabs>
        <w:spacing w:line="360" w:lineRule="auto"/>
        <w:rPr>
          <w:rFonts w:hint="eastAsia" w:ascii="宋体" w:hAnsi="宋体" w:eastAsia="宋体" w:cs="宋体"/>
          <w:sz w:val="24"/>
        </w:rPr>
      </w:pPr>
    </w:p>
    <w:p>
      <w:pPr>
        <w:tabs>
          <w:tab w:val="left" w:pos="5580"/>
        </w:tabs>
        <w:spacing w:line="360" w:lineRule="auto"/>
        <w:rPr>
          <w:rFonts w:hint="eastAsia" w:ascii="宋体" w:hAnsi="宋体" w:eastAsia="宋体" w:cs="宋体"/>
          <w:sz w:val="24"/>
        </w:rPr>
      </w:pPr>
      <w:r>
        <w:rPr>
          <w:rFonts w:hint="eastAsia" w:ascii="宋体" w:hAnsi="宋体" w:eastAsia="宋体" w:cs="宋体"/>
          <w:sz w:val="24"/>
        </w:rPr>
        <w:t>致：</w:t>
      </w:r>
      <w:r>
        <w:rPr>
          <w:rFonts w:hint="eastAsia" w:ascii="宋体" w:hAnsi="宋体" w:eastAsia="宋体" w:cs="宋体"/>
          <w:sz w:val="24"/>
          <w:u w:val="single"/>
        </w:rPr>
        <w:t>采购人或采购代理机构</w:t>
      </w:r>
    </w:p>
    <w:p>
      <w:pPr>
        <w:spacing w:line="360" w:lineRule="auto"/>
        <w:ind w:firstLine="480" w:firstLineChars="200"/>
        <w:rPr>
          <w:rFonts w:hint="eastAsia" w:ascii="宋体" w:hAnsi="宋体" w:eastAsia="宋体" w:cs="宋体"/>
          <w:sz w:val="24"/>
        </w:rPr>
      </w:pPr>
      <w:r>
        <w:rPr>
          <w:rFonts w:hint="eastAsia" w:ascii="宋体" w:hAnsi="宋体" w:eastAsia="宋体" w:cs="宋体"/>
          <w:sz w:val="24"/>
        </w:rPr>
        <w:t>在参与本次项目磋商中，我单位承诺：</w:t>
      </w:r>
    </w:p>
    <w:p>
      <w:pPr>
        <w:numPr>
          <w:ilvl w:val="0"/>
          <w:numId w:val="17"/>
        </w:numPr>
        <w:spacing w:line="360" w:lineRule="auto"/>
        <w:ind w:left="1134"/>
        <w:rPr>
          <w:rFonts w:hint="eastAsia" w:ascii="宋体" w:hAnsi="宋体" w:eastAsia="宋体" w:cs="宋体"/>
          <w:sz w:val="24"/>
          <w:szCs w:val="22"/>
        </w:rPr>
      </w:pPr>
      <w:r>
        <w:rPr>
          <w:rFonts w:hint="eastAsia" w:ascii="宋体" w:hAnsi="宋体" w:eastAsia="宋体" w:cs="宋体"/>
          <w:sz w:val="24"/>
          <w:szCs w:val="22"/>
        </w:rPr>
        <w:t>具有良好的商业信誉和健全的财务会计制度；</w:t>
      </w:r>
    </w:p>
    <w:p>
      <w:pPr>
        <w:numPr>
          <w:ilvl w:val="0"/>
          <w:numId w:val="17"/>
        </w:numPr>
        <w:spacing w:line="360" w:lineRule="auto"/>
        <w:ind w:left="1134"/>
        <w:rPr>
          <w:rFonts w:hint="eastAsia" w:ascii="宋体" w:hAnsi="宋体" w:eastAsia="宋体" w:cs="宋体"/>
          <w:sz w:val="24"/>
          <w:szCs w:val="22"/>
        </w:rPr>
      </w:pPr>
      <w:r>
        <w:rPr>
          <w:rFonts w:hint="eastAsia" w:ascii="宋体" w:hAnsi="宋体" w:eastAsia="宋体" w:cs="宋体"/>
          <w:sz w:val="24"/>
          <w:szCs w:val="22"/>
        </w:rPr>
        <w:t>具有履行合同所必需的设备和专业技术能力；</w:t>
      </w:r>
    </w:p>
    <w:p>
      <w:pPr>
        <w:numPr>
          <w:ilvl w:val="0"/>
          <w:numId w:val="17"/>
        </w:numPr>
        <w:spacing w:line="360" w:lineRule="auto"/>
        <w:ind w:left="1134"/>
        <w:rPr>
          <w:rFonts w:hint="eastAsia" w:ascii="宋体" w:hAnsi="宋体" w:eastAsia="宋体" w:cs="宋体"/>
          <w:sz w:val="24"/>
          <w:szCs w:val="22"/>
        </w:rPr>
      </w:pPr>
      <w:r>
        <w:rPr>
          <w:rFonts w:hint="eastAsia" w:ascii="宋体" w:hAnsi="宋体" w:eastAsia="宋体" w:cs="宋体"/>
          <w:sz w:val="24"/>
          <w:szCs w:val="22"/>
        </w:rPr>
        <w:t>有依法缴纳税收和社会保障资金的良好记录；</w:t>
      </w:r>
    </w:p>
    <w:p>
      <w:pPr>
        <w:numPr>
          <w:ilvl w:val="0"/>
          <w:numId w:val="17"/>
        </w:numPr>
        <w:spacing w:line="360" w:lineRule="auto"/>
        <w:ind w:left="1134"/>
        <w:rPr>
          <w:rFonts w:hint="eastAsia" w:ascii="宋体" w:hAnsi="宋体" w:eastAsia="宋体" w:cs="宋体"/>
          <w:sz w:val="24"/>
          <w:szCs w:val="22"/>
        </w:rPr>
      </w:pPr>
      <w:r>
        <w:rPr>
          <w:rFonts w:hint="eastAsia" w:ascii="宋体" w:hAnsi="宋体" w:eastAsia="宋体" w:cs="宋体"/>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numPr>
          <w:ilvl w:val="0"/>
          <w:numId w:val="17"/>
        </w:numPr>
        <w:spacing w:line="360" w:lineRule="auto"/>
        <w:ind w:left="1134"/>
        <w:rPr>
          <w:rFonts w:hint="eastAsia" w:ascii="宋体" w:hAnsi="宋体" w:eastAsia="宋体" w:cs="宋体"/>
          <w:sz w:val="24"/>
          <w:szCs w:val="22"/>
        </w:rPr>
      </w:pPr>
      <w:r>
        <w:rPr>
          <w:rFonts w:hint="eastAsia" w:ascii="宋体" w:hAnsi="宋体" w:eastAsia="宋体" w:cs="宋体"/>
          <w:sz w:val="24"/>
          <w:szCs w:val="22"/>
        </w:rPr>
        <w:t>我单位不属于政府采购法律、行政法规规定的公益一类事业单位、或使用事业编制且由财政拨款保障的群团组织（仅适用于政府购买服务项目）；</w:t>
      </w:r>
    </w:p>
    <w:p>
      <w:pPr>
        <w:numPr>
          <w:ilvl w:val="0"/>
          <w:numId w:val="17"/>
        </w:numPr>
        <w:spacing w:line="360" w:lineRule="auto"/>
        <w:ind w:left="1134"/>
        <w:rPr>
          <w:rFonts w:hint="eastAsia" w:ascii="宋体" w:hAnsi="宋体" w:eastAsia="宋体" w:cs="宋体"/>
          <w:sz w:val="24"/>
          <w:szCs w:val="22"/>
        </w:rPr>
      </w:pPr>
      <w:r>
        <w:rPr>
          <w:rFonts w:hint="eastAsia" w:ascii="宋体" w:hAnsi="宋体" w:eastAsia="宋体" w:cs="宋体"/>
          <w:sz w:val="24"/>
          <w:szCs w:val="22"/>
        </w:rPr>
        <w:t>我单位不存在为采购项目提供整体设计、规范编制或者项目管理、监理、检测等服务后，再参加该采购项目的其他采购活动的情形（单一来源采购项目除外）；</w:t>
      </w:r>
    </w:p>
    <w:p>
      <w:pPr>
        <w:numPr>
          <w:ilvl w:val="0"/>
          <w:numId w:val="17"/>
        </w:numPr>
        <w:spacing w:line="360" w:lineRule="auto"/>
        <w:ind w:left="1134"/>
        <w:rPr>
          <w:rFonts w:hint="eastAsia" w:ascii="宋体" w:hAnsi="宋体" w:eastAsia="宋体" w:cs="宋体"/>
          <w:sz w:val="24"/>
          <w:szCs w:val="22"/>
        </w:rPr>
      </w:pPr>
      <w:r>
        <w:rPr>
          <w:rFonts w:hint="eastAsia" w:ascii="宋体" w:hAnsi="宋体" w:eastAsia="宋体" w:cs="宋体"/>
          <w:sz w:val="24"/>
          <w:szCs w:val="22"/>
        </w:rPr>
        <w:t>与我单位存在“单位负责人为同一人或者存在直接控股、管理关系”的其他法人单位信息如下（如有，不论其是否参加同一合同项下的政府采购活动均须填写）：</w:t>
      </w:r>
    </w:p>
    <w:tbl>
      <w:tblPr>
        <w:tblStyle w:val="4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rFonts w:hint="eastAsia" w:ascii="宋体" w:hAnsi="宋体" w:eastAsia="宋体" w:cs="宋体"/>
                <w:sz w:val="24"/>
              </w:rPr>
            </w:pPr>
            <w:r>
              <w:rPr>
                <w:rFonts w:hint="eastAsia" w:ascii="宋体" w:hAnsi="宋体" w:eastAsia="宋体" w:cs="宋体"/>
                <w:sz w:val="24"/>
              </w:rPr>
              <w:t>序号</w:t>
            </w:r>
          </w:p>
        </w:tc>
        <w:tc>
          <w:tcPr>
            <w:tcW w:w="4574" w:type="dxa"/>
            <w:vAlign w:val="center"/>
          </w:tcPr>
          <w:p>
            <w:pPr>
              <w:jc w:val="center"/>
              <w:rPr>
                <w:rFonts w:hint="eastAsia" w:ascii="宋体" w:hAnsi="宋体" w:eastAsia="宋体" w:cs="宋体"/>
                <w:sz w:val="24"/>
              </w:rPr>
            </w:pPr>
            <w:r>
              <w:rPr>
                <w:rFonts w:hint="eastAsia" w:ascii="宋体" w:hAnsi="宋体" w:eastAsia="宋体" w:cs="宋体"/>
                <w:sz w:val="24"/>
              </w:rPr>
              <w:t>单位名称</w:t>
            </w:r>
          </w:p>
        </w:tc>
        <w:tc>
          <w:tcPr>
            <w:tcW w:w="2976" w:type="dxa"/>
            <w:vAlign w:val="center"/>
          </w:tcPr>
          <w:p>
            <w:pPr>
              <w:jc w:val="center"/>
              <w:rPr>
                <w:rFonts w:hint="eastAsia" w:ascii="宋体" w:hAnsi="宋体" w:eastAsia="宋体" w:cs="宋体"/>
                <w:sz w:val="24"/>
              </w:rPr>
            </w:pPr>
            <w:r>
              <w:rPr>
                <w:rFonts w:hint="eastAsia" w:ascii="宋体" w:hAnsi="宋体" w:eastAsia="宋体" w:cs="宋体"/>
                <w:sz w:val="24"/>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rFonts w:hint="eastAsia" w:ascii="宋体" w:hAnsi="宋体" w:eastAsia="宋体" w:cs="宋体"/>
                <w:sz w:val="24"/>
              </w:rPr>
            </w:pPr>
            <w:r>
              <w:rPr>
                <w:rFonts w:hint="eastAsia" w:ascii="宋体" w:hAnsi="宋体" w:eastAsia="宋体" w:cs="宋体"/>
                <w:sz w:val="24"/>
              </w:rPr>
              <w:t>1</w:t>
            </w:r>
          </w:p>
        </w:tc>
        <w:tc>
          <w:tcPr>
            <w:tcW w:w="4574" w:type="dxa"/>
            <w:vAlign w:val="center"/>
          </w:tcPr>
          <w:p>
            <w:pPr>
              <w:jc w:val="center"/>
              <w:rPr>
                <w:rFonts w:hint="eastAsia" w:ascii="宋体" w:hAnsi="宋体" w:eastAsia="宋体" w:cs="宋体"/>
                <w:sz w:val="24"/>
              </w:rPr>
            </w:pPr>
          </w:p>
        </w:tc>
        <w:tc>
          <w:tcPr>
            <w:tcW w:w="2976" w:type="dxa"/>
            <w:vAlign w:val="center"/>
          </w:tcPr>
          <w:p>
            <w:pPr>
              <w:jc w:val="center"/>
              <w:rPr>
                <w:rFonts w:hint="eastAsia" w:ascii="宋体" w:hAnsi="宋体" w:eastAsia="宋体" w:cs="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rFonts w:hint="eastAsia" w:ascii="宋体" w:hAnsi="宋体" w:eastAsia="宋体" w:cs="宋体"/>
                <w:sz w:val="24"/>
              </w:rPr>
            </w:pPr>
            <w:r>
              <w:rPr>
                <w:rFonts w:hint="eastAsia" w:ascii="宋体" w:hAnsi="宋体" w:eastAsia="宋体" w:cs="宋体"/>
                <w:sz w:val="24"/>
              </w:rPr>
              <w:t>2</w:t>
            </w:r>
          </w:p>
        </w:tc>
        <w:tc>
          <w:tcPr>
            <w:tcW w:w="4574" w:type="dxa"/>
            <w:vAlign w:val="center"/>
          </w:tcPr>
          <w:p>
            <w:pPr>
              <w:jc w:val="center"/>
              <w:rPr>
                <w:rFonts w:hint="eastAsia" w:ascii="宋体" w:hAnsi="宋体" w:eastAsia="宋体" w:cs="宋体"/>
                <w:sz w:val="24"/>
              </w:rPr>
            </w:pPr>
          </w:p>
        </w:tc>
        <w:tc>
          <w:tcPr>
            <w:tcW w:w="2976" w:type="dxa"/>
            <w:vAlign w:val="center"/>
          </w:tcPr>
          <w:p>
            <w:pPr>
              <w:jc w:val="center"/>
              <w:rPr>
                <w:rFonts w:hint="eastAsia" w:ascii="宋体" w:hAnsi="宋体" w:eastAsia="宋体" w:cs="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rFonts w:hint="eastAsia" w:ascii="宋体" w:hAnsi="宋体" w:eastAsia="宋体" w:cs="宋体"/>
                <w:sz w:val="24"/>
              </w:rPr>
            </w:pPr>
            <w:r>
              <w:rPr>
                <w:rFonts w:hint="eastAsia" w:ascii="宋体" w:hAnsi="宋体" w:eastAsia="宋体" w:cs="宋体"/>
                <w:sz w:val="24"/>
              </w:rPr>
              <w:t>…</w:t>
            </w:r>
          </w:p>
        </w:tc>
        <w:tc>
          <w:tcPr>
            <w:tcW w:w="4574" w:type="dxa"/>
            <w:vAlign w:val="center"/>
          </w:tcPr>
          <w:p>
            <w:pPr>
              <w:jc w:val="center"/>
              <w:rPr>
                <w:rFonts w:hint="eastAsia" w:ascii="宋体" w:hAnsi="宋体" w:eastAsia="宋体" w:cs="宋体"/>
                <w:sz w:val="24"/>
              </w:rPr>
            </w:pPr>
          </w:p>
        </w:tc>
        <w:tc>
          <w:tcPr>
            <w:tcW w:w="2976" w:type="dxa"/>
            <w:vAlign w:val="center"/>
          </w:tcPr>
          <w:p>
            <w:pPr>
              <w:jc w:val="center"/>
              <w:rPr>
                <w:rFonts w:hint="eastAsia" w:ascii="宋体" w:hAnsi="宋体" w:eastAsia="宋体" w:cs="宋体"/>
                <w:sz w:val="24"/>
              </w:rPr>
            </w:pPr>
          </w:p>
        </w:tc>
      </w:tr>
    </w:tbl>
    <w:p>
      <w:pPr>
        <w:rPr>
          <w:rFonts w:hint="eastAsia" w:ascii="宋体" w:hAnsi="宋体" w:eastAsia="宋体" w:cs="宋体"/>
        </w:rPr>
      </w:pPr>
    </w:p>
    <w:p>
      <w:pPr>
        <w:ind w:firstLine="480" w:firstLineChars="200"/>
        <w:rPr>
          <w:rFonts w:hint="eastAsia" w:ascii="宋体" w:hAnsi="宋体" w:eastAsia="宋体" w:cs="宋体"/>
          <w:sz w:val="24"/>
          <w:szCs w:val="22"/>
        </w:rPr>
      </w:pPr>
      <w:r>
        <w:rPr>
          <w:rFonts w:hint="eastAsia" w:ascii="宋体" w:hAnsi="宋体" w:eastAsia="宋体" w:cs="宋体"/>
          <w:sz w:val="24"/>
        </w:rPr>
        <w:t>上述声明真实有效，否则我方负全部责任。</w:t>
      </w:r>
    </w:p>
    <w:p>
      <w:pPr>
        <w:spacing w:line="360" w:lineRule="auto"/>
        <w:rPr>
          <w:rFonts w:hint="eastAsia" w:ascii="宋体" w:hAnsi="宋体" w:eastAsia="宋体" w:cs="宋体"/>
          <w:sz w:val="24"/>
        </w:rPr>
      </w:pPr>
    </w:p>
    <w:p>
      <w:pPr>
        <w:autoSpaceDE w:val="0"/>
        <w:autoSpaceDN w:val="0"/>
        <w:adjustRightInd w:val="0"/>
        <w:snapToGrid w:val="0"/>
        <w:spacing w:before="25" w:after="25" w:line="360" w:lineRule="auto"/>
        <w:ind w:right="360"/>
        <w:jc w:val="right"/>
        <w:rPr>
          <w:rFonts w:hint="eastAsia" w:ascii="宋体" w:hAnsi="宋体" w:eastAsia="宋体" w:cs="宋体"/>
          <w:color w:val="000000"/>
          <w:sz w:val="24"/>
          <w:lang w:val="zh-CN"/>
        </w:rPr>
      </w:pPr>
      <w:r>
        <w:rPr>
          <w:rFonts w:hint="eastAsia" w:ascii="宋体" w:hAnsi="宋体" w:eastAsia="宋体" w:cs="宋体"/>
          <w:color w:val="000000"/>
          <w:sz w:val="24"/>
        </w:rPr>
        <w:t>供应商名称（加盖公章）</w:t>
      </w:r>
      <w:r>
        <w:rPr>
          <w:rFonts w:hint="eastAsia" w:ascii="宋体" w:hAnsi="宋体" w:eastAsia="宋体" w:cs="宋体"/>
          <w:color w:val="000000"/>
          <w:sz w:val="24"/>
          <w:lang w:val="zh-CN"/>
        </w:rPr>
        <w:t>：</w:t>
      </w:r>
      <w:r>
        <w:rPr>
          <w:rFonts w:hint="eastAsia" w:ascii="宋体" w:hAnsi="宋体" w:eastAsia="宋体" w:cs="宋体"/>
          <w:sz w:val="24"/>
        </w:rPr>
        <w:t>______</w:t>
      </w:r>
    </w:p>
    <w:p>
      <w:pPr>
        <w:spacing w:line="360" w:lineRule="auto"/>
        <w:ind w:right="360" w:firstLine="480"/>
        <w:jc w:val="right"/>
        <w:rPr>
          <w:rFonts w:hint="eastAsia" w:ascii="宋体" w:hAnsi="宋体" w:eastAsia="宋体" w:cs="宋体"/>
          <w:sz w:val="24"/>
        </w:rPr>
      </w:pPr>
      <w:r>
        <w:rPr>
          <w:rFonts w:hint="eastAsia" w:ascii="宋体" w:hAnsi="宋体" w:eastAsia="宋体" w:cs="宋体"/>
          <w:color w:val="000000"/>
          <w:sz w:val="24"/>
          <w:szCs w:val="20"/>
        </w:rPr>
        <w:t xml:space="preserve">日期：____年____月____日   </w:t>
      </w:r>
    </w:p>
    <w:p>
      <w:pPr>
        <w:spacing w:line="360" w:lineRule="auto"/>
        <w:rPr>
          <w:rFonts w:hint="eastAsia" w:ascii="宋体" w:hAnsi="宋体" w:eastAsia="宋体" w:cs="宋体"/>
          <w:sz w:val="24"/>
        </w:rPr>
      </w:pPr>
      <w:r>
        <w:rPr>
          <w:rFonts w:hint="eastAsia" w:ascii="宋体" w:hAnsi="宋体" w:eastAsia="宋体" w:cs="宋体"/>
          <w:sz w:val="24"/>
        </w:rPr>
        <w:t>说明：供应商承诺不实的，依据《政府采购法》第七十七条“提供虚假材料谋取中标、成交的”有关规定予以处理。</w:t>
      </w:r>
    </w:p>
    <w:p>
      <w:pPr>
        <w:tabs>
          <w:tab w:val="left" w:pos="5580"/>
        </w:tabs>
        <w:spacing w:line="360" w:lineRule="auto"/>
        <w:rPr>
          <w:rFonts w:hint="eastAsia" w:ascii="宋体" w:hAnsi="宋体" w:eastAsia="宋体" w:cs="宋体"/>
          <w:sz w:val="24"/>
        </w:rPr>
        <w:sectPr>
          <w:pgSz w:w="11907" w:h="16840"/>
          <w:pgMar w:top="1418" w:right="1386" w:bottom="1418" w:left="1701" w:header="851" w:footer="851" w:gutter="0"/>
          <w:pgNumType w:fmt="decimal"/>
          <w:cols w:space="720" w:num="1"/>
          <w:docGrid w:linePitch="462" w:charSpace="0"/>
        </w:sectPr>
      </w:pPr>
    </w:p>
    <w:p>
      <w:pPr>
        <w:tabs>
          <w:tab w:val="left" w:pos="360"/>
        </w:tabs>
        <w:snapToGrid w:val="0"/>
        <w:spacing w:line="360" w:lineRule="auto"/>
        <w:outlineLvl w:val="1"/>
        <w:rPr>
          <w:rFonts w:hint="eastAsia" w:ascii="宋体" w:hAnsi="宋体" w:eastAsia="宋体" w:cs="宋体"/>
          <w:sz w:val="24"/>
        </w:rPr>
      </w:pPr>
      <w:r>
        <w:rPr>
          <w:rFonts w:hint="eastAsia" w:ascii="宋体" w:hAnsi="宋体" w:eastAsia="宋体" w:cs="宋体"/>
          <w:sz w:val="24"/>
        </w:rPr>
        <w:t>2 落实政府采购政策需满足的资格要求</w:t>
      </w:r>
    </w:p>
    <w:p>
      <w:pPr>
        <w:spacing w:line="360" w:lineRule="auto"/>
        <w:outlineLvl w:val="2"/>
        <w:rPr>
          <w:rFonts w:hint="default" w:ascii="宋体" w:hAnsi="宋体" w:eastAsia="宋体" w:cs="宋体"/>
          <w:color w:val="000000"/>
          <w:sz w:val="24"/>
          <w:szCs w:val="20"/>
          <w:lang w:val="en-US" w:eastAsia="zh-CN"/>
        </w:rPr>
      </w:pPr>
      <w:r>
        <w:rPr>
          <w:rFonts w:hint="eastAsia" w:ascii="宋体" w:hAnsi="宋体" w:eastAsia="宋体" w:cs="宋体"/>
          <w:color w:val="000000"/>
          <w:sz w:val="24"/>
          <w:szCs w:val="20"/>
        </w:rPr>
        <w:t>2-1中小企业</w:t>
      </w:r>
      <w:r>
        <w:rPr>
          <w:rFonts w:hint="eastAsia" w:ascii="宋体" w:hAnsi="宋体" w:cs="宋体"/>
          <w:color w:val="000000"/>
          <w:sz w:val="24"/>
          <w:szCs w:val="20"/>
          <w:lang w:val="en-US" w:eastAsia="zh-CN"/>
        </w:rPr>
        <w:t>证明文件</w:t>
      </w:r>
    </w:p>
    <w:p>
      <w:pPr>
        <w:tabs>
          <w:tab w:val="left" w:pos="900"/>
          <w:tab w:val="left" w:pos="1980"/>
        </w:tabs>
        <w:snapToGrid w:val="0"/>
        <w:spacing w:line="360" w:lineRule="auto"/>
        <w:ind w:left="142"/>
        <w:rPr>
          <w:rFonts w:hint="eastAsia" w:ascii="宋体" w:hAnsi="宋体" w:eastAsia="宋体" w:cs="宋体"/>
          <w:sz w:val="24"/>
        </w:rPr>
      </w:pPr>
      <w:r>
        <w:rPr>
          <w:rFonts w:hint="eastAsia" w:ascii="宋体" w:hAnsi="宋体" w:eastAsia="宋体" w:cs="宋体"/>
          <w:sz w:val="24"/>
        </w:rPr>
        <w:t>说明：</w:t>
      </w:r>
    </w:p>
    <w:p>
      <w:pPr>
        <w:tabs>
          <w:tab w:val="left" w:pos="900"/>
          <w:tab w:val="left" w:pos="1980"/>
        </w:tabs>
        <w:snapToGrid w:val="0"/>
        <w:spacing w:line="360" w:lineRule="auto"/>
        <w:ind w:left="142"/>
        <w:rPr>
          <w:rFonts w:hint="eastAsia" w:ascii="宋体" w:hAnsi="宋体" w:eastAsia="宋体" w:cs="宋体"/>
          <w:b/>
          <w:bCs/>
          <w:sz w:val="24"/>
        </w:rPr>
      </w:pPr>
      <w:r>
        <w:rPr>
          <w:rFonts w:hint="eastAsia" w:ascii="宋体" w:hAnsi="宋体" w:eastAsia="宋体" w:cs="宋体"/>
          <w:b/>
          <w:bCs/>
          <w:sz w:val="24"/>
        </w:rPr>
        <w:t>（1）如本项目</w:t>
      </w:r>
      <w:r>
        <w:rPr>
          <w:rFonts w:hint="eastAsia" w:ascii="宋体" w:hAnsi="宋体" w:cs="宋体"/>
          <w:b/>
          <w:bCs/>
          <w:sz w:val="24"/>
          <w:lang w:eastAsia="zh-CN"/>
        </w:rPr>
        <w:t>（</w:t>
      </w:r>
      <w:r>
        <w:rPr>
          <w:rFonts w:hint="eastAsia" w:ascii="宋体" w:hAnsi="宋体" w:cs="宋体"/>
          <w:b/>
          <w:bCs/>
          <w:sz w:val="24"/>
          <w:lang w:val="en-US" w:eastAsia="zh-CN"/>
        </w:rPr>
        <w:t>包</w:t>
      </w:r>
      <w:r>
        <w:rPr>
          <w:rFonts w:hint="eastAsia" w:ascii="宋体" w:hAnsi="宋体" w:cs="宋体"/>
          <w:b/>
          <w:bCs/>
          <w:sz w:val="24"/>
          <w:lang w:eastAsia="zh-CN"/>
        </w:rPr>
        <w:t>）</w:t>
      </w:r>
      <w:r>
        <w:rPr>
          <w:rFonts w:hint="eastAsia" w:ascii="宋体" w:hAnsi="宋体" w:eastAsia="宋体" w:cs="宋体"/>
          <w:b/>
          <w:bCs/>
          <w:sz w:val="24"/>
        </w:rPr>
        <w:t>不专门面向中小企业预留采购份额，供应商无须提供《中小企业声明函》或《残疾人福利性单位声明函》或由省级以上监狱管理局、戒毒管理局（含新疆生产建设兵团）出具的属于监狱企业的证明文件；当供应商拟享受中小企业扶持政策时，仍应提供上述证明文件，否则不享受相关中小企业扶持政策。</w:t>
      </w:r>
    </w:p>
    <w:p>
      <w:pPr>
        <w:tabs>
          <w:tab w:val="left" w:pos="900"/>
          <w:tab w:val="left" w:pos="1980"/>
        </w:tabs>
        <w:snapToGrid w:val="0"/>
        <w:spacing w:line="360" w:lineRule="auto"/>
        <w:ind w:left="142"/>
        <w:rPr>
          <w:rFonts w:hint="eastAsia" w:ascii="宋体" w:hAnsi="宋体" w:eastAsia="宋体" w:cs="宋体"/>
          <w:b/>
          <w:bCs/>
          <w:sz w:val="24"/>
        </w:rPr>
      </w:pPr>
      <w:r>
        <w:rPr>
          <w:rFonts w:hint="eastAsia" w:ascii="宋体" w:hAnsi="宋体" w:eastAsia="宋体" w:cs="宋体"/>
          <w:b/>
          <w:bCs/>
          <w:sz w:val="24"/>
        </w:rPr>
        <w:t>（2）如本项目</w:t>
      </w:r>
      <w:r>
        <w:rPr>
          <w:rFonts w:hint="eastAsia" w:ascii="宋体" w:hAnsi="宋体" w:cs="宋体"/>
          <w:b/>
          <w:bCs/>
          <w:sz w:val="24"/>
          <w:lang w:eastAsia="zh-CN"/>
        </w:rPr>
        <w:t>（</w:t>
      </w:r>
      <w:r>
        <w:rPr>
          <w:rFonts w:hint="eastAsia" w:ascii="宋体" w:hAnsi="宋体" w:cs="宋体"/>
          <w:b/>
          <w:bCs/>
          <w:sz w:val="24"/>
          <w:lang w:val="en-US" w:eastAsia="zh-CN"/>
        </w:rPr>
        <w:t>包</w:t>
      </w:r>
      <w:r>
        <w:rPr>
          <w:rFonts w:hint="eastAsia" w:ascii="宋体" w:hAnsi="宋体" w:cs="宋体"/>
          <w:b/>
          <w:bCs/>
          <w:sz w:val="24"/>
          <w:lang w:eastAsia="zh-CN"/>
        </w:rPr>
        <w:t>）</w:t>
      </w:r>
      <w:r>
        <w:rPr>
          <w:rFonts w:hint="eastAsia" w:ascii="宋体" w:hAnsi="宋体" w:eastAsia="宋体" w:cs="宋体"/>
          <w:b/>
          <w:bCs/>
          <w:sz w:val="24"/>
        </w:rPr>
        <w:t>专门面向中小/小微企业采购，响应文件中须</w:t>
      </w:r>
      <w:r>
        <w:rPr>
          <w:rFonts w:hint="eastAsia" w:ascii="宋体" w:hAnsi="宋体" w:eastAsia="宋体" w:cs="宋体"/>
          <w:b/>
          <w:bCs/>
          <w:sz w:val="24"/>
          <w:lang w:val="en-US" w:eastAsia="zh-CN"/>
        </w:rPr>
        <w:t>提</w:t>
      </w:r>
      <w:r>
        <w:rPr>
          <w:rFonts w:hint="eastAsia" w:ascii="宋体" w:hAnsi="宋体" w:eastAsia="宋体" w:cs="宋体"/>
          <w:b/>
          <w:bCs/>
          <w:sz w:val="24"/>
        </w:rPr>
        <w:t>供《中小企业声明函》或《残疾人福利性单位声明函》或由省级以上监狱管理局、戒毒管理局（含新疆生产建设兵团） 出具的属于监狱企业的证明文件。</w:t>
      </w:r>
    </w:p>
    <w:p>
      <w:pPr>
        <w:tabs>
          <w:tab w:val="left" w:pos="900"/>
          <w:tab w:val="left" w:pos="1980"/>
        </w:tabs>
        <w:snapToGrid w:val="0"/>
        <w:spacing w:line="360" w:lineRule="auto"/>
        <w:ind w:left="142"/>
        <w:rPr>
          <w:rFonts w:hint="eastAsia" w:ascii="宋体" w:hAnsi="宋体" w:eastAsia="宋体" w:cs="宋体"/>
          <w:sz w:val="24"/>
        </w:rPr>
      </w:pPr>
      <w:r>
        <w:rPr>
          <w:rFonts w:hint="eastAsia" w:ascii="宋体" w:hAnsi="宋体" w:eastAsia="宋体" w:cs="宋体"/>
          <w:sz w:val="24"/>
        </w:rPr>
        <w:t>（</w:t>
      </w:r>
      <w:r>
        <w:rPr>
          <w:rFonts w:hint="eastAsia" w:ascii="宋体" w:hAnsi="宋体" w:cs="宋体"/>
          <w:sz w:val="24"/>
          <w:lang w:val="en-US" w:eastAsia="zh-CN"/>
        </w:rPr>
        <w:t>3</w:t>
      </w:r>
      <w:r>
        <w:rPr>
          <w:rFonts w:hint="eastAsia" w:ascii="宋体" w:hAnsi="宋体" w:eastAsia="宋体" w:cs="宋体"/>
          <w:sz w:val="24"/>
        </w:rPr>
        <w:t xml:space="preserve">）中小企业声明函填写注意事项 </w:t>
      </w:r>
    </w:p>
    <w:p>
      <w:pPr>
        <w:tabs>
          <w:tab w:val="left" w:pos="900"/>
          <w:tab w:val="left" w:pos="1980"/>
        </w:tabs>
        <w:snapToGrid w:val="0"/>
        <w:spacing w:line="360" w:lineRule="auto"/>
        <w:ind w:left="142"/>
        <w:rPr>
          <w:rFonts w:hint="eastAsia" w:ascii="宋体" w:hAnsi="宋体" w:eastAsia="宋体" w:cs="宋体"/>
          <w:sz w:val="24"/>
        </w:rPr>
      </w:pPr>
      <w:r>
        <w:rPr>
          <w:rFonts w:hint="eastAsia" w:ascii="宋体" w:hAnsi="宋体" w:eastAsia="宋体" w:cs="宋体"/>
          <w:sz w:val="24"/>
        </w:rPr>
        <w:t>1）《中小企业声明函》由参加政府采购活动的供应商出具。联合体参与的</w:t>
      </w:r>
      <w:r>
        <w:rPr>
          <w:rFonts w:hint="eastAsia" w:ascii="宋体" w:hAnsi="宋体" w:eastAsia="宋体" w:cs="宋体"/>
          <w:sz w:val="24"/>
          <w:lang w:eastAsia="zh-CN"/>
        </w:rPr>
        <w:t>，</w:t>
      </w:r>
      <w:r>
        <w:rPr>
          <w:rFonts w:hint="eastAsia" w:ascii="宋体" w:hAnsi="宋体" w:eastAsia="宋体" w:cs="宋体"/>
          <w:sz w:val="24"/>
        </w:rPr>
        <w:t>《中小企业声明函》可由牵头人出具。</w:t>
      </w:r>
    </w:p>
    <w:p>
      <w:pPr>
        <w:tabs>
          <w:tab w:val="left" w:pos="900"/>
          <w:tab w:val="left" w:pos="1980"/>
        </w:tabs>
        <w:snapToGrid w:val="0"/>
        <w:spacing w:line="360" w:lineRule="auto"/>
        <w:ind w:left="142"/>
        <w:rPr>
          <w:rFonts w:hint="eastAsia" w:ascii="宋体" w:hAnsi="宋体" w:eastAsia="宋体" w:cs="宋体"/>
          <w:sz w:val="24"/>
        </w:rPr>
      </w:pPr>
      <w:r>
        <w:rPr>
          <w:rFonts w:hint="eastAsia" w:ascii="宋体" w:hAnsi="宋体" w:eastAsia="宋体" w:cs="宋体"/>
          <w:sz w:val="24"/>
        </w:rPr>
        <w:t>2）对于联合体中由中小企业承担的部分，或者分包给中小企业的部分，必须全部由中 小企业制造、承建或者承接。供应商应当在声明函</w:t>
      </w:r>
      <w:r>
        <w:rPr>
          <w:rFonts w:hint="eastAsia" w:ascii="宋体" w:hAnsi="宋体" w:eastAsia="宋体" w:cs="宋体"/>
          <w:sz w:val="24"/>
          <w:lang w:eastAsia="zh-CN"/>
        </w:rPr>
        <w:t>“</w:t>
      </w:r>
      <w:r>
        <w:rPr>
          <w:rFonts w:hint="eastAsia" w:ascii="宋体" w:hAnsi="宋体" w:eastAsia="宋体" w:cs="宋体"/>
          <w:sz w:val="24"/>
        </w:rPr>
        <w:t>标的名称</w:t>
      </w:r>
      <w:r>
        <w:rPr>
          <w:rFonts w:hint="eastAsia" w:ascii="宋体" w:hAnsi="宋体" w:eastAsia="宋体" w:cs="宋体"/>
          <w:sz w:val="24"/>
          <w:lang w:eastAsia="zh-CN"/>
        </w:rPr>
        <w:t>”</w:t>
      </w:r>
      <w:r>
        <w:rPr>
          <w:rFonts w:hint="eastAsia" w:ascii="宋体" w:hAnsi="宋体" w:eastAsia="宋体" w:cs="宋体"/>
          <w:sz w:val="24"/>
        </w:rPr>
        <w:t>部分标明联合体中中小企业承担的具体内容或者中小企业的具体分包内容。</w:t>
      </w:r>
    </w:p>
    <w:p>
      <w:pPr>
        <w:tabs>
          <w:tab w:val="left" w:pos="900"/>
          <w:tab w:val="left" w:pos="1980"/>
        </w:tabs>
        <w:snapToGrid w:val="0"/>
        <w:spacing w:line="360" w:lineRule="auto"/>
        <w:ind w:left="142"/>
        <w:rPr>
          <w:rFonts w:hint="eastAsia" w:ascii="宋体" w:hAnsi="宋体" w:eastAsia="宋体" w:cs="宋体"/>
          <w:sz w:val="24"/>
        </w:rPr>
      </w:pPr>
      <w:r>
        <w:rPr>
          <w:rFonts w:hint="eastAsia" w:ascii="宋体" w:hAnsi="宋体" w:eastAsia="宋体" w:cs="宋体"/>
          <w:sz w:val="24"/>
        </w:rPr>
        <w:t>3）对于多标的采购项目，供应商应充分、准确地了解所供货物的制造企业、</w:t>
      </w:r>
      <w:r>
        <w:rPr>
          <w:rFonts w:hint="eastAsia" w:ascii="宋体" w:hAnsi="宋体" w:eastAsia="宋体" w:cs="宋体"/>
          <w:sz w:val="24"/>
          <w:lang w:val="en-US" w:eastAsia="zh-CN"/>
        </w:rPr>
        <w:t>提</w:t>
      </w:r>
      <w:r>
        <w:rPr>
          <w:rFonts w:hint="eastAsia" w:ascii="宋体" w:hAnsi="宋体" w:eastAsia="宋体" w:cs="宋体"/>
          <w:sz w:val="24"/>
        </w:rPr>
        <w:t>供服</w:t>
      </w:r>
    </w:p>
    <w:p>
      <w:pPr>
        <w:tabs>
          <w:tab w:val="left" w:pos="900"/>
          <w:tab w:val="left" w:pos="1980"/>
        </w:tabs>
        <w:snapToGrid w:val="0"/>
        <w:spacing w:line="360" w:lineRule="auto"/>
        <w:ind w:left="142"/>
        <w:rPr>
          <w:rFonts w:hint="eastAsia" w:ascii="宋体" w:hAnsi="宋体" w:eastAsia="宋体" w:cs="宋体"/>
          <w:sz w:val="24"/>
        </w:rPr>
      </w:pPr>
      <w:r>
        <w:rPr>
          <w:rFonts w:hint="eastAsia" w:ascii="宋体" w:hAnsi="宋体" w:eastAsia="宋体" w:cs="宋体"/>
          <w:sz w:val="24"/>
        </w:rPr>
        <w:t>务的承接企业信息。对相关情况了解不清楚的，不建议填报本声明函。</w:t>
      </w:r>
    </w:p>
    <w:p>
      <w:pPr>
        <w:tabs>
          <w:tab w:val="left" w:pos="900"/>
          <w:tab w:val="left" w:pos="1980"/>
        </w:tabs>
        <w:snapToGrid w:val="0"/>
        <w:spacing w:line="360" w:lineRule="auto"/>
        <w:ind w:left="142"/>
        <w:rPr>
          <w:rFonts w:eastAsiaTheme="minorEastAsia"/>
          <w:b/>
          <w:bCs/>
          <w:color w:val="000000"/>
          <w:sz w:val="36"/>
          <w:szCs w:val="36"/>
        </w:rPr>
      </w:pPr>
      <w:r>
        <w:rPr>
          <w:rFonts w:hint="eastAsia" w:ascii="宋体" w:hAnsi="宋体" w:eastAsia="宋体" w:cs="宋体"/>
          <w:sz w:val="24"/>
        </w:rPr>
        <w:t>（</w:t>
      </w:r>
      <w:r>
        <w:rPr>
          <w:rFonts w:hint="eastAsia" w:ascii="宋体" w:hAnsi="宋体" w:cs="宋体"/>
          <w:sz w:val="24"/>
          <w:lang w:val="en-US" w:eastAsia="zh-CN"/>
        </w:rPr>
        <w:t>4</w:t>
      </w:r>
      <w:r>
        <w:rPr>
          <w:rFonts w:hint="eastAsia" w:ascii="宋体" w:hAnsi="宋体" w:eastAsia="宋体" w:cs="宋体"/>
          <w:sz w:val="24"/>
        </w:rPr>
        <w:t>）温馨</w:t>
      </w:r>
      <w:r>
        <w:rPr>
          <w:rFonts w:hint="eastAsia" w:ascii="宋体" w:hAnsi="宋体" w:eastAsia="宋体" w:cs="宋体"/>
          <w:sz w:val="24"/>
          <w:lang w:val="en-US" w:eastAsia="zh-CN"/>
        </w:rPr>
        <w:t>提</w:t>
      </w:r>
      <w:r>
        <w:rPr>
          <w:rFonts w:hint="eastAsia" w:ascii="宋体" w:hAnsi="宋体" w:eastAsia="宋体" w:cs="宋体"/>
          <w:sz w:val="24"/>
        </w:rPr>
        <w:t>示：为方便广大中小企业识别企业规模类型，工业和信息化部组织开发了中小企业规模类型自测小程序， 在国务院客户端和工业和信息化部网站上均有链接，供应商填写所属的行业和指标数据可自动生成企业规模类型测试结果。本项目中小企业划 分标准所属行业详见第二章《供应商须知资料表》，如在该程序中未找到本项目文件规 定的中小企业划分标准所属行业，则按照《关于印发中小企业划型标准规定的通知（工信部联企业﹝2011﹞300号）》及本项目文件规定的中小企业划分标准所属行业执行。</w:t>
      </w:r>
    </w:p>
    <w:p>
      <w:pPr>
        <w:pStyle w:val="82"/>
        <w:numPr>
          <w:ilvl w:val="0"/>
          <w:numId w:val="0"/>
        </w:numPr>
        <w:tabs>
          <w:tab w:val="left" w:pos="1360"/>
        </w:tabs>
        <w:spacing w:before="137" w:after="0" w:line="240" w:lineRule="auto"/>
        <w:ind w:right="0" w:rightChars="0"/>
        <w:jc w:val="left"/>
        <w:rPr>
          <w:rFonts w:hint="eastAsia" w:ascii="宋体" w:hAnsi="宋体" w:eastAsia="宋体" w:cs="宋体"/>
          <w:sz w:val="24"/>
          <w:szCs w:val="24"/>
          <w:lang w:val="en-US" w:eastAsia="zh-CN"/>
        </w:rPr>
      </w:pPr>
    </w:p>
    <w:p>
      <w:pPr>
        <w:pStyle w:val="82"/>
        <w:numPr>
          <w:ilvl w:val="0"/>
          <w:numId w:val="0"/>
        </w:numPr>
        <w:tabs>
          <w:tab w:val="left" w:pos="1360"/>
        </w:tabs>
        <w:spacing w:before="137" w:after="0" w:line="240" w:lineRule="auto"/>
        <w:ind w:right="0" w:rightChars="0"/>
        <w:jc w:val="left"/>
        <w:rPr>
          <w:rFonts w:hint="eastAsia" w:ascii="宋体" w:hAnsi="宋体" w:eastAsia="宋体" w:cs="宋体"/>
          <w:sz w:val="24"/>
          <w:szCs w:val="24"/>
          <w:lang w:val="en-US" w:eastAsia="zh-CN"/>
        </w:rPr>
      </w:pPr>
    </w:p>
    <w:p>
      <w:pPr>
        <w:pStyle w:val="82"/>
        <w:numPr>
          <w:ilvl w:val="0"/>
          <w:numId w:val="0"/>
        </w:numPr>
        <w:tabs>
          <w:tab w:val="left" w:pos="1360"/>
        </w:tabs>
        <w:spacing w:before="137" w:after="0" w:line="240" w:lineRule="auto"/>
        <w:ind w:right="0" w:rightChars="0"/>
        <w:jc w:val="left"/>
        <w:rPr>
          <w:rFonts w:hint="eastAsia" w:ascii="宋体" w:hAnsi="宋体" w:eastAsia="宋体" w:cs="宋体"/>
          <w:sz w:val="24"/>
          <w:szCs w:val="24"/>
          <w:lang w:val="en-US" w:eastAsia="zh-CN"/>
        </w:rPr>
      </w:pPr>
    </w:p>
    <w:p>
      <w:pPr>
        <w:pStyle w:val="82"/>
        <w:numPr>
          <w:ilvl w:val="0"/>
          <w:numId w:val="0"/>
        </w:numPr>
        <w:tabs>
          <w:tab w:val="left" w:pos="1360"/>
        </w:tabs>
        <w:spacing w:before="137" w:after="0" w:line="240" w:lineRule="auto"/>
        <w:ind w:right="0" w:rightChars="0"/>
        <w:jc w:val="left"/>
        <w:rPr>
          <w:rFonts w:hint="eastAsia" w:ascii="宋体" w:hAnsi="宋体" w:eastAsia="宋体" w:cs="宋体"/>
          <w:sz w:val="24"/>
          <w:szCs w:val="24"/>
          <w:lang w:val="en-US" w:eastAsia="zh-CN"/>
        </w:rPr>
      </w:pPr>
    </w:p>
    <w:p>
      <w:pPr>
        <w:pStyle w:val="82"/>
        <w:numPr>
          <w:ilvl w:val="0"/>
          <w:numId w:val="0"/>
        </w:numPr>
        <w:tabs>
          <w:tab w:val="left" w:pos="1360"/>
        </w:tabs>
        <w:spacing w:before="137" w:after="0" w:line="240" w:lineRule="auto"/>
        <w:ind w:right="0" w:rightChars="0"/>
        <w:jc w:val="left"/>
        <w:rPr>
          <w:rFonts w:hint="eastAsia" w:ascii="宋体" w:hAnsi="宋体" w:eastAsia="宋体" w:cs="宋体"/>
          <w:sz w:val="24"/>
          <w:szCs w:val="24"/>
          <w:lang w:val="en-US" w:eastAsia="zh-CN"/>
        </w:rPr>
      </w:pPr>
    </w:p>
    <w:p>
      <w:pPr>
        <w:pStyle w:val="82"/>
        <w:numPr>
          <w:ilvl w:val="0"/>
          <w:numId w:val="0"/>
        </w:numPr>
        <w:tabs>
          <w:tab w:val="left" w:pos="1360"/>
        </w:tabs>
        <w:spacing w:before="137" w:after="0" w:line="240" w:lineRule="auto"/>
        <w:ind w:right="0" w:rightChars="0"/>
        <w:jc w:val="left"/>
        <w:rPr>
          <w:rFonts w:ascii="Arial Narrow" w:eastAsia="Arial Narrow"/>
          <w:sz w:val="24"/>
        </w:rPr>
      </w:pPr>
      <w:r>
        <w:rPr>
          <w:rFonts w:hint="eastAsia" w:ascii="宋体" w:hAnsi="宋体" w:eastAsia="宋体" w:cs="宋体"/>
          <w:sz w:val="24"/>
          <w:szCs w:val="24"/>
          <w:lang w:val="en-US" w:eastAsia="zh-CN"/>
        </w:rPr>
        <w:t xml:space="preserve">2-1-1 </w:t>
      </w:r>
      <w:r>
        <w:rPr>
          <w:rFonts w:hint="eastAsia" w:ascii="宋体" w:hAnsi="宋体" w:eastAsia="宋体" w:cs="宋体"/>
          <w:sz w:val="24"/>
          <w:szCs w:val="24"/>
        </w:rPr>
        <w:t>中小企业声明函及残疾人福利性单位声明函格式</w:t>
      </w:r>
    </w:p>
    <w:p>
      <w:pPr>
        <w:shd w:val="clear" w:color="auto" w:fill="auto"/>
        <w:spacing w:before="240" w:beforeLines="100" w:after="0" w:line="360" w:lineRule="auto"/>
        <w:jc w:val="center"/>
        <w:rPr>
          <w:rFonts w:hint="eastAsia" w:ascii="宋体" w:hAnsi="宋体" w:eastAsia="宋体" w:cs="宋体"/>
          <w:b/>
          <w:bCs/>
          <w:color w:val="auto"/>
          <w:sz w:val="36"/>
          <w:szCs w:val="36"/>
        </w:rPr>
      </w:pPr>
      <w:r>
        <w:rPr>
          <w:rFonts w:hint="eastAsia" w:ascii="宋体" w:hAnsi="宋体" w:eastAsia="宋体" w:cs="宋体"/>
          <w:b/>
          <w:bCs/>
          <w:color w:val="auto"/>
          <w:sz w:val="36"/>
          <w:szCs w:val="36"/>
        </w:rPr>
        <w:t>中小企业声明函（</w:t>
      </w:r>
      <w:r>
        <w:rPr>
          <w:rFonts w:hint="eastAsia" w:ascii="宋体" w:hAnsi="宋体" w:eastAsia="宋体" w:cs="宋体"/>
          <w:b/>
          <w:bCs/>
          <w:color w:val="auto"/>
          <w:sz w:val="36"/>
          <w:szCs w:val="36"/>
          <w:lang w:val="en-US" w:eastAsia="zh-CN"/>
        </w:rPr>
        <w:t>工程、</w:t>
      </w:r>
      <w:r>
        <w:rPr>
          <w:rFonts w:hint="eastAsia" w:ascii="宋体" w:hAnsi="宋体" w:eastAsia="宋体" w:cs="宋体"/>
          <w:b/>
          <w:bCs/>
          <w:color w:val="auto"/>
          <w:sz w:val="36"/>
          <w:szCs w:val="36"/>
        </w:rPr>
        <w:t>服务）格式</w:t>
      </w:r>
    </w:p>
    <w:p>
      <w:pPr>
        <w:shd w:val="clear" w:color="auto" w:fill="auto"/>
        <w:spacing w:after="0" w:line="360" w:lineRule="auto"/>
        <w:ind w:firstLine="504"/>
        <w:rPr>
          <w:rFonts w:hint="eastAsia" w:ascii="宋体" w:hAnsi="宋体" w:eastAsia="宋体" w:cs="宋体"/>
          <w:color w:val="auto"/>
          <w:spacing w:val="6"/>
          <w:sz w:val="24"/>
        </w:rPr>
      </w:pPr>
      <w:r>
        <w:rPr>
          <w:rFonts w:hint="eastAsia" w:ascii="宋体" w:hAnsi="宋体" w:eastAsia="宋体" w:cs="宋体"/>
          <w:color w:val="auto"/>
          <w:spacing w:val="6"/>
          <w:sz w:val="24"/>
        </w:rPr>
        <w:t>本公司（联合体）郑重声明，根据《政府采购促进中小企业发展管理办法》（财库﹝2020﹞46号）的规定，本公司（联合体）参加（单位名称）的（项目名称）采购活动，服务全部由符合政策要求的中小企业承接。相关企业（含联合体中的中小企业、签订分包意向协议的中小企业）的具体情况如下：</w:t>
      </w:r>
    </w:p>
    <w:p>
      <w:pPr>
        <w:shd w:val="clear" w:color="auto" w:fill="auto"/>
        <w:spacing w:after="0" w:line="360" w:lineRule="auto"/>
        <w:ind w:firstLine="504"/>
        <w:rPr>
          <w:rFonts w:hint="eastAsia" w:ascii="宋体" w:hAnsi="宋体" w:eastAsia="宋体" w:cs="宋体"/>
          <w:color w:val="auto"/>
          <w:spacing w:val="6"/>
          <w:sz w:val="24"/>
        </w:rPr>
      </w:pPr>
      <w:r>
        <w:rPr>
          <w:rFonts w:hint="eastAsia" w:ascii="宋体" w:hAnsi="宋体" w:eastAsia="宋体" w:cs="宋体"/>
          <w:color w:val="auto"/>
          <w:spacing w:val="6"/>
          <w:sz w:val="24"/>
        </w:rPr>
        <w:t>1.</w:t>
      </w:r>
      <w:r>
        <w:rPr>
          <w:rFonts w:hint="eastAsia" w:ascii="宋体" w:hAnsi="宋体" w:eastAsia="宋体" w:cs="宋体"/>
          <w:color w:val="auto"/>
          <w:spacing w:val="6"/>
          <w:sz w:val="24"/>
          <w:u w:val="single"/>
        </w:rPr>
        <w:t>（标的名称）</w:t>
      </w:r>
      <w:r>
        <w:rPr>
          <w:rFonts w:hint="eastAsia" w:ascii="宋体" w:hAnsi="宋体" w:eastAsia="宋体" w:cs="宋体"/>
          <w:color w:val="auto"/>
          <w:spacing w:val="6"/>
          <w:sz w:val="24"/>
        </w:rPr>
        <w:t>，属于</w:t>
      </w:r>
      <w:r>
        <w:rPr>
          <w:rFonts w:hint="eastAsia" w:ascii="宋体" w:hAnsi="宋体" w:eastAsia="宋体" w:cs="宋体"/>
          <w:color w:val="auto"/>
          <w:spacing w:val="6"/>
          <w:sz w:val="24"/>
          <w:u w:val="single"/>
        </w:rPr>
        <w:t>（采购文件中明确的所属行业）</w:t>
      </w:r>
      <w:r>
        <w:rPr>
          <w:rFonts w:hint="eastAsia" w:ascii="宋体" w:hAnsi="宋体" w:eastAsia="宋体" w:cs="宋体"/>
          <w:color w:val="auto"/>
          <w:spacing w:val="6"/>
          <w:sz w:val="24"/>
        </w:rPr>
        <w:t>行业；承接企业为</w:t>
      </w:r>
      <w:r>
        <w:rPr>
          <w:rFonts w:hint="eastAsia" w:ascii="宋体" w:hAnsi="宋体" w:eastAsia="宋体" w:cs="宋体"/>
          <w:color w:val="auto"/>
          <w:spacing w:val="6"/>
          <w:sz w:val="24"/>
          <w:u w:val="single"/>
        </w:rPr>
        <w:t>（企业名称）</w:t>
      </w:r>
      <w:r>
        <w:rPr>
          <w:rFonts w:hint="eastAsia" w:ascii="宋体" w:hAnsi="宋体" w:eastAsia="宋体" w:cs="宋体"/>
          <w:color w:val="auto"/>
          <w:spacing w:val="6"/>
          <w:sz w:val="24"/>
        </w:rPr>
        <w:t>，从业人员___人，营业收入为___万元，资产总额为___万元，属于（中型企业、小型企业、微型企业）；</w:t>
      </w:r>
    </w:p>
    <w:p>
      <w:pPr>
        <w:shd w:val="clear" w:color="auto" w:fill="auto"/>
        <w:spacing w:after="0" w:line="360" w:lineRule="auto"/>
        <w:ind w:firstLine="504"/>
        <w:rPr>
          <w:rFonts w:hint="eastAsia" w:ascii="宋体" w:hAnsi="宋体" w:eastAsia="宋体" w:cs="宋体"/>
          <w:color w:val="auto"/>
          <w:spacing w:val="6"/>
          <w:sz w:val="24"/>
        </w:rPr>
      </w:pPr>
      <w:r>
        <w:rPr>
          <w:rFonts w:hint="eastAsia" w:ascii="宋体" w:hAnsi="宋体" w:eastAsia="宋体" w:cs="宋体"/>
          <w:color w:val="auto"/>
          <w:spacing w:val="6"/>
          <w:sz w:val="24"/>
        </w:rPr>
        <w:t>2.</w:t>
      </w:r>
      <w:r>
        <w:rPr>
          <w:rFonts w:hint="eastAsia" w:ascii="宋体" w:hAnsi="宋体" w:eastAsia="宋体" w:cs="宋体"/>
          <w:color w:val="auto"/>
          <w:spacing w:val="6"/>
          <w:sz w:val="24"/>
          <w:u w:val="single"/>
        </w:rPr>
        <w:t>（标的名称）</w:t>
      </w:r>
      <w:r>
        <w:rPr>
          <w:rFonts w:hint="eastAsia" w:ascii="宋体" w:hAnsi="宋体" w:eastAsia="宋体" w:cs="宋体"/>
          <w:color w:val="auto"/>
          <w:spacing w:val="6"/>
          <w:sz w:val="24"/>
        </w:rPr>
        <w:t>，属于</w:t>
      </w:r>
      <w:r>
        <w:rPr>
          <w:rFonts w:hint="eastAsia" w:ascii="宋体" w:hAnsi="宋体" w:eastAsia="宋体" w:cs="宋体"/>
          <w:color w:val="auto"/>
          <w:spacing w:val="6"/>
          <w:sz w:val="24"/>
          <w:u w:val="single"/>
        </w:rPr>
        <w:t>（采购文件中明确的所属行业）</w:t>
      </w:r>
      <w:r>
        <w:rPr>
          <w:rFonts w:hint="eastAsia" w:ascii="宋体" w:hAnsi="宋体" w:eastAsia="宋体" w:cs="宋体"/>
          <w:color w:val="auto"/>
          <w:spacing w:val="6"/>
          <w:sz w:val="24"/>
        </w:rPr>
        <w:t>行业；承接企业为</w:t>
      </w:r>
      <w:r>
        <w:rPr>
          <w:rFonts w:hint="eastAsia" w:ascii="宋体" w:hAnsi="宋体" w:eastAsia="宋体" w:cs="宋体"/>
          <w:color w:val="auto"/>
          <w:spacing w:val="6"/>
          <w:sz w:val="24"/>
          <w:u w:val="single"/>
        </w:rPr>
        <w:t>（企业名称）</w:t>
      </w:r>
      <w:r>
        <w:rPr>
          <w:rFonts w:hint="eastAsia" w:ascii="宋体" w:hAnsi="宋体" w:eastAsia="宋体" w:cs="宋体"/>
          <w:color w:val="auto"/>
          <w:spacing w:val="6"/>
          <w:sz w:val="24"/>
        </w:rPr>
        <w:t>，从业人员___人，营业收入为___万元，资产总额为___万元，属于</w:t>
      </w:r>
      <w:r>
        <w:rPr>
          <w:rFonts w:hint="eastAsia" w:ascii="宋体" w:hAnsi="宋体" w:eastAsia="宋体" w:cs="宋体"/>
          <w:color w:val="auto"/>
          <w:spacing w:val="6"/>
          <w:sz w:val="24"/>
          <w:u w:val="single"/>
        </w:rPr>
        <w:t>（中型企业、小型企业、微型企业）</w:t>
      </w:r>
      <w:r>
        <w:rPr>
          <w:rFonts w:hint="eastAsia" w:ascii="宋体" w:hAnsi="宋体" w:eastAsia="宋体" w:cs="宋体"/>
          <w:color w:val="auto"/>
          <w:spacing w:val="6"/>
          <w:sz w:val="24"/>
        </w:rPr>
        <w:t>；</w:t>
      </w:r>
    </w:p>
    <w:p>
      <w:pPr>
        <w:shd w:val="clear" w:color="auto" w:fill="auto"/>
        <w:spacing w:after="0" w:line="360" w:lineRule="auto"/>
        <w:ind w:firstLine="504"/>
        <w:rPr>
          <w:rFonts w:hint="eastAsia" w:ascii="宋体" w:hAnsi="宋体" w:eastAsia="宋体" w:cs="宋体"/>
          <w:color w:val="auto"/>
          <w:spacing w:val="6"/>
          <w:sz w:val="24"/>
        </w:rPr>
      </w:pPr>
    </w:p>
    <w:p>
      <w:pPr>
        <w:shd w:val="clear" w:color="auto" w:fill="auto"/>
        <w:spacing w:after="0" w:line="360" w:lineRule="auto"/>
        <w:ind w:firstLine="504"/>
        <w:rPr>
          <w:rFonts w:hint="eastAsia" w:ascii="宋体" w:hAnsi="宋体" w:eastAsia="宋体" w:cs="宋体"/>
          <w:color w:val="auto"/>
          <w:spacing w:val="6"/>
          <w:sz w:val="24"/>
        </w:rPr>
      </w:pPr>
      <w:r>
        <w:rPr>
          <w:rFonts w:hint="eastAsia" w:ascii="宋体" w:hAnsi="宋体" w:eastAsia="宋体" w:cs="宋体"/>
          <w:color w:val="auto"/>
          <w:spacing w:val="6"/>
          <w:sz w:val="24"/>
        </w:rPr>
        <w:t>……</w:t>
      </w:r>
    </w:p>
    <w:p>
      <w:pPr>
        <w:shd w:val="clear" w:color="auto" w:fill="auto"/>
        <w:spacing w:after="0" w:line="360" w:lineRule="auto"/>
        <w:ind w:firstLine="504"/>
        <w:rPr>
          <w:rFonts w:hint="eastAsia" w:ascii="宋体" w:hAnsi="宋体" w:eastAsia="宋体" w:cs="宋体"/>
          <w:color w:val="auto"/>
          <w:spacing w:val="6"/>
          <w:sz w:val="24"/>
        </w:rPr>
      </w:pPr>
      <w:r>
        <w:rPr>
          <w:rFonts w:hint="eastAsia" w:ascii="宋体" w:hAnsi="宋体" w:eastAsia="宋体" w:cs="宋体"/>
          <w:color w:val="auto"/>
          <w:spacing w:val="6"/>
          <w:sz w:val="24"/>
        </w:rPr>
        <w:t>以上企业，不属于大企业的分支机构，不存在控股股东为大企业的情形，也不存在与大企业的负责人为同一人的情形。</w:t>
      </w:r>
    </w:p>
    <w:p>
      <w:pPr>
        <w:shd w:val="clear" w:color="auto" w:fill="auto"/>
        <w:spacing w:after="0" w:line="360" w:lineRule="auto"/>
        <w:ind w:firstLine="504"/>
        <w:rPr>
          <w:rFonts w:hint="eastAsia" w:ascii="宋体" w:hAnsi="宋体" w:eastAsia="宋体" w:cs="宋体"/>
          <w:color w:val="auto"/>
          <w:spacing w:val="6"/>
          <w:sz w:val="24"/>
        </w:rPr>
      </w:pPr>
      <w:r>
        <w:rPr>
          <w:rFonts w:hint="eastAsia" w:ascii="宋体" w:hAnsi="宋体" w:eastAsia="宋体" w:cs="宋体"/>
          <w:color w:val="auto"/>
          <w:spacing w:val="6"/>
          <w:sz w:val="24"/>
        </w:rPr>
        <w:t>本企业对上述声明内容的真实性负责。如有虚假，将依法承担相应责任。</w:t>
      </w:r>
    </w:p>
    <w:p>
      <w:pPr>
        <w:shd w:val="clear" w:color="auto" w:fill="auto"/>
        <w:spacing w:after="0" w:line="360" w:lineRule="auto"/>
        <w:ind w:right="360" w:firstLine="480"/>
        <w:jc w:val="right"/>
        <w:rPr>
          <w:rFonts w:hint="eastAsia" w:ascii="宋体" w:hAnsi="宋体" w:eastAsia="宋体" w:cs="宋体"/>
          <w:color w:val="auto"/>
          <w:sz w:val="24"/>
        </w:rPr>
      </w:pPr>
    </w:p>
    <w:p>
      <w:pPr>
        <w:shd w:val="clear" w:color="auto" w:fill="auto"/>
        <w:spacing w:after="0" w:line="360" w:lineRule="auto"/>
        <w:ind w:right="360" w:firstLine="480"/>
        <w:jc w:val="right"/>
        <w:rPr>
          <w:rFonts w:hint="eastAsia" w:ascii="宋体" w:hAnsi="宋体" w:eastAsia="宋体" w:cs="宋体"/>
          <w:color w:val="auto"/>
          <w:sz w:val="24"/>
        </w:rPr>
      </w:pPr>
      <w:r>
        <w:rPr>
          <w:rFonts w:hint="eastAsia" w:ascii="宋体" w:hAnsi="宋体" w:eastAsia="宋体" w:cs="宋体"/>
          <w:color w:val="auto"/>
          <w:sz w:val="24"/>
        </w:rPr>
        <w:t>企业名称（盖章）：________</w:t>
      </w:r>
    </w:p>
    <w:p>
      <w:pPr>
        <w:shd w:val="clear" w:color="auto" w:fill="auto"/>
        <w:spacing w:after="0" w:line="360" w:lineRule="auto"/>
        <w:ind w:right="360" w:firstLine="480"/>
        <w:jc w:val="right"/>
        <w:rPr>
          <w:rFonts w:hint="eastAsia" w:ascii="宋体" w:hAnsi="宋体" w:eastAsia="宋体" w:cs="宋体"/>
          <w:color w:val="auto"/>
          <w:sz w:val="24"/>
        </w:rPr>
      </w:pPr>
      <w:r>
        <w:rPr>
          <w:rFonts w:hint="eastAsia" w:ascii="宋体" w:hAnsi="宋体" w:eastAsia="宋体" w:cs="宋体"/>
          <w:color w:val="auto"/>
          <w:sz w:val="24"/>
        </w:rPr>
        <w:t>日 期：________</w:t>
      </w:r>
    </w:p>
    <w:p>
      <w:pPr>
        <w:shd w:val="clear" w:color="auto" w:fill="auto"/>
        <w:adjustRightInd w:val="0"/>
        <w:snapToGrid w:val="0"/>
        <w:spacing w:after="0"/>
        <w:jc w:val="left"/>
        <w:rPr>
          <w:rFonts w:hint="eastAsia" w:ascii="宋体" w:hAnsi="宋体" w:eastAsia="宋体" w:cs="宋体"/>
          <w:color w:val="auto"/>
          <w:sz w:val="24"/>
          <w:szCs w:val="21"/>
        </w:rPr>
      </w:pPr>
    </w:p>
    <w:p>
      <w:pPr>
        <w:shd w:val="clear" w:color="auto" w:fill="auto"/>
        <w:adjustRightInd w:val="0"/>
        <w:snapToGrid w:val="0"/>
        <w:spacing w:after="0"/>
        <w:jc w:val="left"/>
        <w:rPr>
          <w:rFonts w:hint="eastAsia" w:ascii="宋体" w:hAnsi="宋体" w:eastAsia="宋体" w:cs="宋体"/>
          <w:color w:val="auto"/>
          <w:sz w:val="24"/>
          <w:szCs w:val="21"/>
        </w:rPr>
      </w:pPr>
    </w:p>
    <w:tbl>
      <w:tblPr>
        <w:tblStyle w:val="47"/>
        <w:tblW w:w="8946" w:type="dxa"/>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pPr>
              <w:shd w:val="clear" w:color="auto" w:fill="auto"/>
              <w:adjustRightInd w:val="0"/>
              <w:snapToGrid w:val="0"/>
              <w:spacing w:after="0"/>
              <w:jc w:val="left"/>
              <w:rPr>
                <w:rFonts w:hint="eastAsia" w:ascii="宋体" w:hAnsi="宋体" w:eastAsia="宋体" w:cs="宋体"/>
                <w:color w:val="auto"/>
                <w:szCs w:val="21"/>
              </w:rPr>
            </w:pPr>
            <w:r>
              <w:rPr>
                <w:rFonts w:hint="eastAsia" w:ascii="宋体" w:hAnsi="宋体" w:eastAsia="宋体" w:cs="宋体"/>
                <w:color w:val="auto"/>
                <w:szCs w:val="21"/>
                <w:vertAlign w:val="superscript"/>
              </w:rPr>
              <w:t>1</w:t>
            </w:r>
            <w:r>
              <w:rPr>
                <w:rFonts w:hint="eastAsia" w:ascii="宋体" w:hAnsi="宋体" w:eastAsia="宋体" w:cs="宋体"/>
                <w:color w:val="auto"/>
                <w:szCs w:val="21"/>
              </w:rPr>
              <w:t>从业人员、营业收入、资产总额填报上一年度数据，无上一年度数据的新成立企业可不填报。</w:t>
            </w:r>
          </w:p>
        </w:tc>
      </w:tr>
    </w:tbl>
    <w:p>
      <w:pPr>
        <w:autoSpaceDE w:val="0"/>
        <w:autoSpaceDN w:val="0"/>
        <w:adjustRightInd w:val="0"/>
        <w:ind w:firstLine="420"/>
        <w:jc w:val="left"/>
        <w:rPr>
          <w:rFonts w:eastAsiaTheme="minorEastAsia"/>
          <w:sz w:val="24"/>
        </w:rPr>
      </w:pPr>
    </w:p>
    <w:p>
      <w:pPr>
        <w:widowControl/>
        <w:jc w:val="left"/>
        <w:rPr>
          <w:rFonts w:hint="eastAsia" w:ascii="宋体" w:hAnsi="宋体" w:eastAsia="宋体" w:cs="宋体"/>
          <w:b/>
          <w:bCs/>
          <w:color w:val="000000"/>
          <w:sz w:val="36"/>
          <w:szCs w:val="36"/>
        </w:rPr>
      </w:pPr>
      <w:r>
        <w:rPr>
          <w:rFonts w:hint="eastAsia" w:ascii="宋体" w:hAnsi="宋体" w:eastAsia="宋体" w:cs="宋体"/>
          <w:sz w:val="24"/>
        </w:rPr>
        <w:br w:type="page"/>
      </w:r>
    </w:p>
    <w:p>
      <w:pPr>
        <w:spacing w:before="240" w:beforeLines="100" w:after="240" w:afterLines="100" w:line="360" w:lineRule="auto"/>
        <w:jc w:val="center"/>
        <w:rPr>
          <w:rFonts w:hint="eastAsia" w:ascii="宋体" w:hAnsi="宋体" w:eastAsia="宋体" w:cs="宋体"/>
          <w:b/>
          <w:bCs/>
          <w:color w:val="000000"/>
          <w:sz w:val="36"/>
          <w:szCs w:val="36"/>
        </w:rPr>
      </w:pPr>
    </w:p>
    <w:p>
      <w:pPr>
        <w:spacing w:before="240" w:beforeLines="100" w:after="240" w:afterLines="100" w:line="360" w:lineRule="auto"/>
        <w:jc w:val="center"/>
        <w:rPr>
          <w:rFonts w:hint="eastAsia" w:ascii="宋体" w:hAnsi="宋体" w:eastAsia="宋体" w:cs="宋体"/>
          <w:b/>
          <w:color w:val="000000"/>
          <w:sz w:val="36"/>
          <w:szCs w:val="36"/>
        </w:rPr>
      </w:pPr>
      <w:r>
        <w:rPr>
          <w:rFonts w:hint="eastAsia" w:ascii="宋体" w:hAnsi="宋体" w:eastAsia="宋体" w:cs="宋体"/>
          <w:b/>
          <w:bCs/>
          <w:color w:val="000000"/>
          <w:sz w:val="36"/>
          <w:szCs w:val="36"/>
        </w:rPr>
        <w:t>残疾人福利性单位声明函格式</w:t>
      </w:r>
    </w:p>
    <w:p>
      <w:pPr>
        <w:spacing w:line="588" w:lineRule="exact"/>
        <w:ind w:firstLine="504"/>
        <w:rPr>
          <w:rFonts w:hint="eastAsia" w:ascii="宋体" w:hAnsi="宋体" w:eastAsia="宋体" w:cs="宋体"/>
          <w:spacing w:val="6"/>
          <w:sz w:val="24"/>
        </w:rPr>
      </w:pPr>
      <w:r>
        <w:rPr>
          <w:rFonts w:hint="eastAsia" w:ascii="宋体" w:hAnsi="宋体" w:eastAsia="宋体" w:cs="宋体"/>
          <w:spacing w:val="6"/>
          <w:sz w:val="24"/>
        </w:rPr>
        <w:t>本单位郑重声明，根据《财政部 民政部 中国残疾人联合会关于促进残疾人就业政府采购政策的通知》（财库</w:t>
      </w:r>
      <w:r>
        <w:rPr>
          <w:rFonts w:hint="eastAsia" w:ascii="宋体" w:hAnsi="宋体" w:eastAsia="宋体" w:cs="宋体"/>
          <w:sz w:val="24"/>
        </w:rPr>
        <w:t>〔2017〕141</w:t>
      </w:r>
      <w:r>
        <w:rPr>
          <w:rFonts w:hint="eastAsia" w:ascii="宋体" w:hAnsi="宋体" w:eastAsia="宋体" w:cs="宋体"/>
          <w:spacing w:val="6"/>
          <w:sz w:val="24"/>
        </w:rPr>
        <w:t>号）的规定，本单位</w:t>
      </w:r>
      <w:r>
        <w:rPr>
          <w:rFonts w:hint="eastAsia" w:ascii="宋体" w:hAnsi="宋体" w:eastAsia="宋体" w:cs="宋体"/>
          <w:b/>
          <w:sz w:val="24"/>
        </w:rPr>
        <w:t>（请进行勾选）</w:t>
      </w:r>
      <w:r>
        <w:rPr>
          <w:rFonts w:hint="eastAsia" w:ascii="宋体" w:hAnsi="宋体" w:eastAsia="宋体" w:cs="宋体"/>
          <w:spacing w:val="6"/>
          <w:sz w:val="24"/>
        </w:rPr>
        <w:t>：</w:t>
      </w:r>
    </w:p>
    <w:p>
      <w:pPr>
        <w:spacing w:line="588" w:lineRule="exact"/>
        <w:ind w:firstLine="482"/>
        <w:rPr>
          <w:rFonts w:hint="eastAsia" w:ascii="宋体" w:hAnsi="宋体" w:eastAsia="宋体" w:cs="宋体"/>
          <w:b/>
          <w:spacing w:val="6"/>
          <w:sz w:val="24"/>
        </w:rPr>
      </w:pPr>
      <w:r>
        <w:rPr>
          <w:rFonts w:hint="eastAsia" w:ascii="宋体" w:hAnsi="宋体" w:eastAsia="宋体" w:cs="宋体"/>
          <w:b/>
          <w:sz w:val="24"/>
        </w:rPr>
        <w:t>□</w:t>
      </w:r>
      <w:r>
        <w:rPr>
          <w:rFonts w:hint="eastAsia" w:ascii="宋体" w:hAnsi="宋体" w:eastAsia="宋体" w:cs="宋体"/>
          <w:b/>
          <w:spacing w:val="6"/>
          <w:sz w:val="24"/>
        </w:rPr>
        <w:t>不属于符合条件的残疾人福利性单位。</w:t>
      </w:r>
    </w:p>
    <w:p>
      <w:pPr>
        <w:spacing w:line="588" w:lineRule="exact"/>
        <w:ind w:firstLine="482"/>
        <w:rPr>
          <w:rFonts w:hint="eastAsia" w:ascii="宋体" w:hAnsi="宋体" w:eastAsia="宋体" w:cs="宋体"/>
          <w:spacing w:val="6"/>
          <w:sz w:val="24"/>
        </w:rPr>
      </w:pPr>
      <w:r>
        <w:rPr>
          <w:rFonts w:hint="eastAsia" w:ascii="宋体" w:hAnsi="宋体" w:eastAsia="宋体" w:cs="宋体"/>
          <w:b/>
          <w:sz w:val="24"/>
        </w:rPr>
        <w:t>□</w:t>
      </w:r>
      <w:r>
        <w:rPr>
          <w:rFonts w:hint="eastAsia" w:ascii="宋体" w:hAnsi="宋体" w:eastAsia="宋体" w:cs="宋体"/>
          <w:b/>
          <w:spacing w:val="6"/>
          <w:sz w:val="24"/>
        </w:rPr>
        <w:t>属于符合条件的残疾人福利性单位，</w:t>
      </w:r>
      <w:r>
        <w:rPr>
          <w:rFonts w:hint="eastAsia" w:ascii="宋体" w:hAnsi="宋体" w:eastAsia="宋体" w:cs="宋体"/>
          <w:spacing w:val="6"/>
          <w:sz w:val="24"/>
        </w:rPr>
        <w:t>且本单位参加</w:t>
      </w:r>
      <w:r>
        <w:rPr>
          <w:rFonts w:hint="eastAsia" w:ascii="宋体" w:hAnsi="宋体" w:eastAsia="宋体" w:cs="宋体"/>
          <w:sz w:val="24"/>
        </w:rPr>
        <w:t>______</w:t>
      </w:r>
      <w:r>
        <w:rPr>
          <w:rFonts w:hint="eastAsia" w:ascii="宋体" w:hAnsi="宋体" w:eastAsia="宋体" w:cs="宋体"/>
          <w:spacing w:val="6"/>
          <w:sz w:val="24"/>
        </w:rPr>
        <w:t>单位的</w:t>
      </w:r>
      <w:r>
        <w:rPr>
          <w:rFonts w:hint="eastAsia" w:ascii="宋体" w:hAnsi="宋体" w:eastAsia="宋体" w:cs="宋体"/>
          <w:sz w:val="24"/>
        </w:rPr>
        <w:t>______</w:t>
      </w:r>
      <w:r>
        <w:rPr>
          <w:rFonts w:hint="eastAsia" w:ascii="宋体" w:hAnsi="宋体" w:eastAsia="宋体" w:cs="宋体"/>
          <w:spacing w:val="6"/>
          <w:sz w:val="24"/>
        </w:rPr>
        <w:t>项目采购活动提供本单位制造的货物（由本单位承担工程/提供服务），或者提供其他残疾人福利性单位制造的货物（不包括使用非残疾人福利性单位注册商标的货物）。</w:t>
      </w:r>
    </w:p>
    <w:p>
      <w:pPr>
        <w:spacing w:line="588" w:lineRule="exact"/>
        <w:ind w:firstLine="506" w:firstLineChars="200"/>
        <w:rPr>
          <w:rFonts w:hint="eastAsia" w:ascii="宋体" w:hAnsi="宋体" w:eastAsia="宋体" w:cs="宋体"/>
          <w:spacing w:val="6"/>
          <w:sz w:val="24"/>
        </w:rPr>
      </w:pPr>
      <w:r>
        <w:rPr>
          <w:rFonts w:hint="eastAsia" w:ascii="宋体" w:hAnsi="宋体" w:eastAsia="宋体" w:cs="宋体"/>
          <w:b/>
          <w:spacing w:val="6"/>
          <w:sz w:val="24"/>
        </w:rPr>
        <w:t>本单位对上述声明的真实性负责。如有虚假，将依法承担相应责任。</w:t>
      </w:r>
    </w:p>
    <w:p>
      <w:pPr>
        <w:spacing w:line="588" w:lineRule="exact"/>
        <w:ind w:firstLine="504" w:firstLineChars="200"/>
        <w:rPr>
          <w:rFonts w:hint="eastAsia" w:ascii="宋体" w:hAnsi="宋体" w:eastAsia="宋体" w:cs="宋体"/>
          <w:spacing w:val="6"/>
          <w:sz w:val="24"/>
        </w:rPr>
      </w:pPr>
    </w:p>
    <w:p>
      <w:pPr>
        <w:spacing w:line="588" w:lineRule="exact"/>
        <w:ind w:firstLine="504" w:firstLineChars="200"/>
        <w:rPr>
          <w:rFonts w:hint="eastAsia" w:ascii="宋体" w:hAnsi="宋体" w:eastAsia="宋体" w:cs="宋体"/>
          <w:spacing w:val="6"/>
          <w:sz w:val="24"/>
        </w:rPr>
      </w:pPr>
    </w:p>
    <w:p>
      <w:pPr>
        <w:tabs>
          <w:tab w:val="left" w:pos="4860"/>
        </w:tabs>
        <w:spacing w:line="588" w:lineRule="exact"/>
        <w:ind w:right="1560" w:firstLine="504" w:firstLineChars="200"/>
        <w:jc w:val="right"/>
        <w:rPr>
          <w:rFonts w:hint="eastAsia" w:ascii="宋体" w:hAnsi="宋体" w:eastAsia="宋体" w:cs="宋体"/>
          <w:spacing w:val="6"/>
          <w:sz w:val="24"/>
        </w:rPr>
      </w:pPr>
      <w:r>
        <w:rPr>
          <w:rFonts w:hint="eastAsia" w:ascii="宋体" w:hAnsi="宋体" w:eastAsia="宋体" w:cs="宋体"/>
          <w:spacing w:val="6"/>
          <w:sz w:val="24"/>
        </w:rPr>
        <w:t xml:space="preserve">          单位名称（盖章）：</w:t>
      </w:r>
      <w:r>
        <w:rPr>
          <w:rFonts w:hint="eastAsia" w:ascii="宋体" w:hAnsi="宋体" w:eastAsia="宋体" w:cs="宋体"/>
          <w:sz w:val="24"/>
        </w:rPr>
        <w:t>______</w:t>
      </w:r>
    </w:p>
    <w:p>
      <w:pPr>
        <w:tabs>
          <w:tab w:val="left" w:pos="4860"/>
        </w:tabs>
        <w:spacing w:line="588" w:lineRule="exact"/>
        <w:ind w:right="1560" w:firstLine="504" w:firstLineChars="200"/>
        <w:jc w:val="right"/>
        <w:rPr>
          <w:rFonts w:hint="eastAsia" w:ascii="宋体" w:hAnsi="宋体" w:eastAsia="宋体" w:cs="宋体"/>
          <w:spacing w:val="6"/>
          <w:sz w:val="24"/>
        </w:rPr>
      </w:pPr>
      <w:r>
        <w:rPr>
          <w:rFonts w:hint="eastAsia" w:ascii="宋体" w:hAnsi="宋体" w:eastAsia="宋体" w:cs="宋体"/>
          <w:spacing w:val="6"/>
          <w:sz w:val="24"/>
        </w:rPr>
        <w:t xml:space="preserve">       日  期：</w:t>
      </w:r>
      <w:r>
        <w:rPr>
          <w:rFonts w:hint="eastAsia" w:ascii="宋体" w:hAnsi="宋体" w:eastAsia="宋体" w:cs="宋体"/>
          <w:sz w:val="24"/>
        </w:rPr>
        <w:t>______</w:t>
      </w:r>
    </w:p>
    <w:p>
      <w:pPr>
        <w:widowControl/>
        <w:jc w:val="left"/>
        <w:rPr>
          <w:rFonts w:hint="eastAsia" w:ascii="宋体" w:hAnsi="宋体" w:eastAsia="宋体" w:cs="宋体"/>
          <w:color w:val="000000"/>
          <w:sz w:val="24"/>
          <w:szCs w:val="20"/>
        </w:rPr>
      </w:pPr>
      <w:r>
        <w:rPr>
          <w:rFonts w:hint="eastAsia" w:ascii="宋体" w:hAnsi="宋体" w:eastAsia="宋体" w:cs="宋体"/>
          <w:color w:val="000000"/>
          <w:sz w:val="24"/>
          <w:szCs w:val="20"/>
        </w:rPr>
        <w:br w:type="page"/>
      </w:r>
    </w:p>
    <w:p>
      <w:pPr>
        <w:pStyle w:val="17"/>
        <w:spacing w:before="78" w:line="219" w:lineRule="auto"/>
        <w:ind w:left="18"/>
        <w:rPr>
          <w:rFonts w:ascii="Arial" w:hAnsi="Arial" w:eastAsia="Arial" w:cs="Arial"/>
          <w:spacing w:val="2"/>
          <w:sz w:val="24"/>
          <w:szCs w:val="24"/>
        </w:rPr>
      </w:pPr>
    </w:p>
    <w:p>
      <w:pPr>
        <w:spacing w:line="360" w:lineRule="auto"/>
        <w:outlineLvl w:val="2"/>
        <w:rPr>
          <w:color w:val="auto"/>
          <w:sz w:val="24"/>
          <w:szCs w:val="20"/>
          <w:highlight w:val="none"/>
        </w:rPr>
      </w:pPr>
      <w:r>
        <w:rPr>
          <w:rFonts w:hint="eastAsia" w:ascii="宋体" w:hAnsi="宋体" w:eastAsia="宋体" w:cs="宋体"/>
          <w:spacing w:val="2"/>
          <w:sz w:val="24"/>
          <w:szCs w:val="24"/>
        </w:rPr>
        <w:t>2-1-2</w:t>
      </w:r>
      <w:r>
        <w:rPr>
          <w:rFonts w:hint="eastAsia" w:ascii="宋体" w:hAnsi="宋体" w:eastAsia="宋体" w:cs="宋体"/>
          <w:spacing w:val="68"/>
          <w:sz w:val="24"/>
          <w:szCs w:val="24"/>
        </w:rPr>
        <w:t xml:space="preserve"> </w:t>
      </w:r>
      <w:r>
        <w:rPr>
          <w:rFonts w:hint="eastAsia" w:ascii="宋体" w:hAnsi="宋体" w:eastAsia="宋体" w:cs="宋体"/>
          <w:spacing w:val="2"/>
          <w:sz w:val="24"/>
          <w:szCs w:val="24"/>
        </w:rPr>
        <w:t>拟分包情况说明及分包意向协议</w:t>
      </w:r>
      <w:r>
        <w:rPr>
          <w:rFonts w:hint="eastAsia"/>
          <w:color w:val="000000"/>
          <w:sz w:val="24"/>
          <w:szCs w:val="20"/>
        </w:rPr>
        <w:t>（本项目不适用）</w:t>
      </w:r>
    </w:p>
    <w:p>
      <w:pPr>
        <w:autoSpaceDE w:val="0"/>
        <w:autoSpaceDN w:val="0"/>
        <w:adjustRightInd w:val="0"/>
        <w:spacing w:line="360" w:lineRule="auto"/>
        <w:jc w:val="center"/>
        <w:rPr>
          <w:rFonts w:hint="eastAsia" w:ascii="宋体" w:hAnsi="宋体" w:eastAsia="宋体" w:cs="宋体"/>
          <w:b/>
          <w:color w:val="000000"/>
          <w:sz w:val="36"/>
          <w:szCs w:val="36"/>
        </w:rPr>
      </w:pPr>
      <w:r>
        <w:rPr>
          <w:rFonts w:hint="eastAsia" w:ascii="宋体" w:hAnsi="宋体" w:eastAsia="宋体" w:cs="宋体"/>
          <w:b/>
          <w:color w:val="000000"/>
          <w:sz w:val="36"/>
          <w:szCs w:val="36"/>
        </w:rPr>
        <w:t>拟分包情况说明</w:t>
      </w:r>
      <w:r>
        <w:rPr>
          <w:rFonts w:hint="eastAsia" w:ascii="宋体" w:hAnsi="宋体" w:eastAsia="宋体" w:cs="宋体"/>
          <w:color w:val="auto"/>
          <w:sz w:val="24"/>
          <w:szCs w:val="20"/>
        </w:rPr>
        <w:t>（实质性格式）</w:t>
      </w:r>
    </w:p>
    <w:p>
      <w:pPr>
        <w:tabs>
          <w:tab w:val="left" w:pos="5580"/>
        </w:tabs>
        <w:spacing w:line="360" w:lineRule="auto"/>
        <w:rPr>
          <w:rFonts w:hint="eastAsia" w:ascii="宋体" w:hAnsi="宋体" w:eastAsia="宋体" w:cs="宋体"/>
          <w:color w:val="000000"/>
          <w:sz w:val="24"/>
        </w:rPr>
      </w:pPr>
      <w:r>
        <w:rPr>
          <w:rFonts w:hint="eastAsia" w:ascii="宋体" w:hAnsi="宋体" w:eastAsia="宋体" w:cs="宋体"/>
          <w:color w:val="000000"/>
          <w:sz w:val="24"/>
        </w:rPr>
        <w:t>致：</w:t>
      </w:r>
      <w:r>
        <w:rPr>
          <w:rFonts w:hint="eastAsia" w:ascii="宋体" w:hAnsi="宋体" w:eastAsia="宋体" w:cs="宋体"/>
          <w:color w:val="000000"/>
          <w:sz w:val="24"/>
          <w:u w:val="single"/>
        </w:rPr>
        <w:t>（采购人或采购代理机构）</w:t>
      </w:r>
    </w:p>
    <w:p>
      <w:pPr>
        <w:adjustRightInd w:val="0"/>
        <w:snapToGrid w:val="0"/>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我单位参加贵单位组织采购的项目编号为______的______项目（填写采购项目名称）中______包（填写包号）的磋商。拟签订分包合同的单位情况如下表所示，我单位承诺一旦在该项目中获得采购合同将按下表所列情况进行分包，同时承诺分包承担主体不再次分包。</w:t>
      </w:r>
    </w:p>
    <w:tbl>
      <w:tblPr>
        <w:tblStyle w:val="257"/>
        <w:tblW w:w="90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7"/>
        <w:gridCol w:w="1286"/>
        <w:gridCol w:w="1512"/>
        <w:gridCol w:w="1125"/>
        <w:gridCol w:w="1560"/>
        <w:gridCol w:w="1497"/>
        <w:gridCol w:w="156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pPr>
              <w:pStyle w:val="256"/>
              <w:jc w:val="center"/>
              <w:rPr>
                <w:rFonts w:hint="eastAsia" w:ascii="宋体" w:hAnsi="宋体" w:eastAsia="宋体" w:cs="宋体"/>
                <w:sz w:val="24"/>
              </w:rPr>
            </w:pPr>
            <w:r>
              <w:rPr>
                <w:rFonts w:hint="eastAsia" w:ascii="宋体" w:hAnsi="宋体" w:eastAsia="宋体" w:cs="宋体"/>
                <w:sz w:val="24"/>
              </w:rPr>
              <w:t>序号</w:t>
            </w:r>
          </w:p>
        </w:tc>
        <w:tc>
          <w:tcPr>
            <w:tcW w:w="1287" w:type="dxa"/>
            <w:tcBorders>
              <w:top w:val="single" w:color="000000" w:sz="4" w:space="0"/>
              <w:left w:val="single" w:color="000000" w:sz="4" w:space="0"/>
              <w:bottom w:val="single" w:color="000000" w:sz="4" w:space="0"/>
              <w:right w:val="single" w:color="000000" w:sz="4" w:space="0"/>
            </w:tcBorders>
            <w:vAlign w:val="center"/>
          </w:tcPr>
          <w:p>
            <w:pPr>
              <w:pStyle w:val="256"/>
              <w:jc w:val="center"/>
              <w:rPr>
                <w:rFonts w:hint="eastAsia" w:ascii="宋体" w:hAnsi="宋体" w:eastAsia="宋体" w:cs="宋体"/>
                <w:sz w:val="24"/>
              </w:rPr>
            </w:pPr>
            <w:r>
              <w:rPr>
                <w:rFonts w:hint="eastAsia" w:ascii="宋体" w:hAnsi="宋体" w:eastAsia="宋体" w:cs="宋体"/>
                <w:sz w:val="24"/>
              </w:rPr>
              <w:t>分包承担</w:t>
            </w:r>
          </w:p>
          <w:p>
            <w:pPr>
              <w:pStyle w:val="256"/>
              <w:jc w:val="center"/>
              <w:rPr>
                <w:rFonts w:hint="eastAsia" w:ascii="宋体" w:hAnsi="宋体" w:eastAsia="宋体" w:cs="宋体"/>
                <w:sz w:val="24"/>
              </w:rPr>
            </w:pPr>
            <w:r>
              <w:rPr>
                <w:rFonts w:hint="eastAsia" w:ascii="宋体" w:hAnsi="宋体" w:eastAsia="宋体" w:cs="宋体"/>
                <w:sz w:val="24"/>
              </w:rPr>
              <w:t>主体名称</w:t>
            </w:r>
          </w:p>
        </w:tc>
        <w:tc>
          <w:tcPr>
            <w:tcW w:w="1513" w:type="dxa"/>
            <w:tcBorders>
              <w:top w:val="single" w:color="000000" w:sz="4" w:space="0"/>
              <w:left w:val="single" w:color="000000" w:sz="4" w:space="0"/>
              <w:bottom w:val="single" w:color="000000" w:sz="4" w:space="0"/>
              <w:right w:val="single" w:color="000000" w:sz="4" w:space="0"/>
            </w:tcBorders>
            <w:vAlign w:val="center"/>
          </w:tcPr>
          <w:p>
            <w:pPr>
              <w:pStyle w:val="256"/>
              <w:jc w:val="center"/>
              <w:rPr>
                <w:rFonts w:hint="eastAsia" w:ascii="宋体" w:hAnsi="宋体" w:eastAsia="宋体" w:cs="宋体"/>
                <w:sz w:val="24"/>
                <w:lang w:eastAsia="zh-CN"/>
              </w:rPr>
            </w:pPr>
            <w:r>
              <w:rPr>
                <w:rFonts w:hint="eastAsia" w:ascii="宋体" w:hAnsi="宋体" w:eastAsia="宋体" w:cs="宋体"/>
                <w:sz w:val="24"/>
                <w:lang w:eastAsia="zh-CN"/>
              </w:rPr>
              <w:t>分包承担</w:t>
            </w:r>
          </w:p>
          <w:p>
            <w:pPr>
              <w:pStyle w:val="256"/>
              <w:jc w:val="center"/>
              <w:rPr>
                <w:rFonts w:hint="eastAsia" w:ascii="宋体" w:hAnsi="宋体" w:eastAsia="宋体" w:cs="宋体"/>
                <w:sz w:val="24"/>
                <w:lang w:eastAsia="zh-CN"/>
              </w:rPr>
            </w:pPr>
            <w:r>
              <w:rPr>
                <w:rFonts w:hint="eastAsia" w:ascii="宋体" w:hAnsi="宋体" w:eastAsia="宋体" w:cs="宋体"/>
                <w:sz w:val="24"/>
                <w:lang w:eastAsia="zh-CN"/>
              </w:rPr>
              <w:t>主体类型</w:t>
            </w:r>
          </w:p>
          <w:p>
            <w:pPr>
              <w:pStyle w:val="256"/>
              <w:jc w:val="center"/>
              <w:rPr>
                <w:rFonts w:hint="eastAsia" w:ascii="宋体" w:hAnsi="宋体" w:eastAsia="宋体" w:cs="宋体"/>
                <w:sz w:val="24"/>
                <w:lang w:eastAsia="zh-CN"/>
              </w:rPr>
            </w:pPr>
            <w:r>
              <w:rPr>
                <w:rFonts w:hint="eastAsia" w:ascii="宋体" w:hAnsi="宋体" w:eastAsia="宋体" w:cs="宋体"/>
                <w:sz w:val="24"/>
                <w:lang w:eastAsia="zh-CN"/>
              </w:rPr>
              <w:t>（勾选）</w:t>
            </w:r>
          </w:p>
        </w:tc>
        <w:tc>
          <w:tcPr>
            <w:tcW w:w="1125" w:type="dxa"/>
            <w:tcBorders>
              <w:top w:val="single" w:color="000000" w:sz="4" w:space="0"/>
              <w:left w:val="single" w:color="000000" w:sz="4" w:space="0"/>
              <w:bottom w:val="single" w:color="000000" w:sz="4" w:space="0"/>
              <w:right w:val="single" w:color="000000" w:sz="4" w:space="0"/>
            </w:tcBorders>
            <w:vAlign w:val="center"/>
          </w:tcPr>
          <w:p>
            <w:pPr>
              <w:pStyle w:val="256"/>
              <w:jc w:val="center"/>
              <w:rPr>
                <w:rFonts w:hint="eastAsia" w:ascii="宋体" w:hAnsi="宋体" w:eastAsia="宋体" w:cs="宋体"/>
                <w:sz w:val="24"/>
              </w:rPr>
            </w:pPr>
            <w:r>
              <w:rPr>
                <w:rFonts w:hint="eastAsia" w:ascii="宋体" w:hAnsi="宋体" w:eastAsia="宋体" w:cs="宋体"/>
                <w:sz w:val="24"/>
              </w:rPr>
              <w:t>资质等级</w:t>
            </w:r>
          </w:p>
        </w:tc>
        <w:tc>
          <w:tcPr>
            <w:tcW w:w="1558" w:type="dxa"/>
            <w:tcBorders>
              <w:top w:val="single" w:color="000000" w:sz="4" w:space="0"/>
              <w:left w:val="single" w:color="000000" w:sz="4" w:space="0"/>
              <w:bottom w:val="single" w:color="000000" w:sz="4" w:space="0"/>
              <w:right w:val="single" w:color="000000" w:sz="4" w:space="0"/>
            </w:tcBorders>
            <w:vAlign w:val="center"/>
          </w:tcPr>
          <w:p>
            <w:pPr>
              <w:pStyle w:val="256"/>
              <w:jc w:val="center"/>
              <w:rPr>
                <w:rFonts w:hint="eastAsia" w:ascii="宋体" w:hAnsi="宋体" w:eastAsia="宋体" w:cs="宋体"/>
                <w:sz w:val="24"/>
              </w:rPr>
            </w:pPr>
            <w:r>
              <w:rPr>
                <w:rFonts w:hint="eastAsia" w:ascii="宋体" w:hAnsi="宋体" w:eastAsia="宋体" w:cs="宋体"/>
                <w:sz w:val="24"/>
              </w:rPr>
              <w:t>拟分包</w:t>
            </w:r>
          </w:p>
          <w:p>
            <w:pPr>
              <w:pStyle w:val="256"/>
              <w:jc w:val="center"/>
              <w:rPr>
                <w:rFonts w:hint="eastAsia" w:ascii="宋体" w:hAnsi="宋体" w:eastAsia="宋体" w:cs="宋体"/>
                <w:sz w:val="24"/>
              </w:rPr>
            </w:pPr>
            <w:r>
              <w:rPr>
                <w:rFonts w:hint="eastAsia" w:ascii="宋体" w:hAnsi="宋体" w:eastAsia="宋体" w:cs="宋体"/>
                <w:sz w:val="24"/>
              </w:rPr>
              <w:t>合同内容</w:t>
            </w:r>
          </w:p>
        </w:tc>
        <w:tc>
          <w:tcPr>
            <w:tcW w:w="1498" w:type="dxa"/>
            <w:tcBorders>
              <w:top w:val="single" w:color="000000" w:sz="4" w:space="0"/>
              <w:left w:val="single" w:color="000000" w:sz="4" w:space="0"/>
              <w:bottom w:val="single" w:color="000000" w:sz="4" w:space="0"/>
              <w:right w:val="single" w:color="000000" w:sz="4" w:space="0"/>
            </w:tcBorders>
            <w:vAlign w:val="center"/>
          </w:tcPr>
          <w:p>
            <w:pPr>
              <w:pStyle w:val="256"/>
              <w:jc w:val="center"/>
              <w:rPr>
                <w:rFonts w:hint="eastAsia" w:ascii="宋体" w:hAnsi="宋体" w:eastAsia="宋体" w:cs="宋体"/>
                <w:sz w:val="24"/>
                <w:lang w:eastAsia="zh-CN"/>
              </w:rPr>
            </w:pPr>
            <w:r>
              <w:rPr>
                <w:rFonts w:hint="eastAsia" w:ascii="宋体" w:hAnsi="宋体" w:eastAsia="宋体" w:cs="宋体"/>
                <w:sz w:val="24"/>
                <w:lang w:eastAsia="zh-CN"/>
              </w:rPr>
              <w:t>拟分包</w:t>
            </w:r>
          </w:p>
          <w:p>
            <w:pPr>
              <w:pStyle w:val="256"/>
              <w:jc w:val="center"/>
              <w:rPr>
                <w:rFonts w:hint="eastAsia" w:ascii="宋体" w:hAnsi="宋体" w:eastAsia="宋体" w:cs="宋体"/>
                <w:sz w:val="24"/>
                <w:lang w:eastAsia="zh-CN"/>
              </w:rPr>
            </w:pPr>
            <w:r>
              <w:rPr>
                <w:rFonts w:hint="eastAsia" w:ascii="宋体" w:hAnsi="宋体" w:eastAsia="宋体" w:cs="宋体"/>
                <w:sz w:val="24"/>
                <w:lang w:eastAsia="zh-CN"/>
              </w:rPr>
              <w:t>合同金额</w:t>
            </w:r>
          </w:p>
          <w:p>
            <w:pPr>
              <w:pStyle w:val="256"/>
              <w:jc w:val="center"/>
              <w:rPr>
                <w:rFonts w:hint="eastAsia" w:ascii="宋体" w:hAnsi="宋体" w:eastAsia="宋体" w:cs="宋体"/>
                <w:sz w:val="24"/>
                <w:lang w:eastAsia="zh-CN"/>
              </w:rPr>
            </w:pPr>
            <w:r>
              <w:rPr>
                <w:rFonts w:hint="eastAsia" w:ascii="宋体" w:hAnsi="宋体" w:eastAsia="宋体" w:cs="宋体"/>
                <w:sz w:val="24"/>
                <w:lang w:eastAsia="zh-CN"/>
              </w:rPr>
              <w:t>（人民币元）</w:t>
            </w:r>
          </w:p>
        </w:tc>
        <w:tc>
          <w:tcPr>
            <w:tcW w:w="1564" w:type="dxa"/>
            <w:tcBorders>
              <w:top w:val="single" w:color="000000" w:sz="4" w:space="0"/>
              <w:left w:val="single" w:color="000000" w:sz="4" w:space="0"/>
              <w:bottom w:val="single" w:color="000000" w:sz="4" w:space="0"/>
              <w:right w:val="single" w:color="000000" w:sz="4" w:space="0"/>
            </w:tcBorders>
            <w:vAlign w:val="center"/>
          </w:tcPr>
          <w:p>
            <w:pPr>
              <w:pStyle w:val="256"/>
              <w:jc w:val="center"/>
              <w:rPr>
                <w:rFonts w:hint="eastAsia" w:ascii="宋体" w:hAnsi="宋体" w:eastAsia="宋体" w:cs="宋体"/>
                <w:sz w:val="24"/>
                <w:lang w:eastAsia="zh-CN"/>
              </w:rPr>
            </w:pPr>
            <w:r>
              <w:rPr>
                <w:rFonts w:hint="eastAsia" w:ascii="宋体" w:hAnsi="宋体" w:eastAsia="宋体" w:cs="宋体"/>
                <w:sz w:val="24"/>
                <w:lang w:eastAsia="zh-CN"/>
              </w:rPr>
              <w:t>占该采购包</w:t>
            </w:r>
          </w:p>
          <w:p>
            <w:pPr>
              <w:pStyle w:val="256"/>
              <w:jc w:val="center"/>
              <w:rPr>
                <w:rFonts w:hint="eastAsia" w:ascii="宋体" w:hAnsi="宋体" w:eastAsia="宋体" w:cs="宋体"/>
                <w:b/>
                <w:sz w:val="24"/>
                <w:lang w:eastAsia="zh-CN"/>
              </w:rPr>
            </w:pPr>
            <w:r>
              <w:rPr>
                <w:rFonts w:hint="eastAsia" w:ascii="宋体" w:hAnsi="宋体" w:eastAsia="宋体" w:cs="宋体"/>
                <w:b/>
                <w:sz w:val="24"/>
                <w:lang w:eastAsia="zh-CN"/>
              </w:rPr>
              <w:t>预算金额的</w:t>
            </w:r>
          </w:p>
          <w:p>
            <w:pPr>
              <w:pStyle w:val="256"/>
              <w:jc w:val="center"/>
              <w:rPr>
                <w:rFonts w:hint="eastAsia" w:ascii="宋体" w:hAnsi="宋体" w:eastAsia="宋体" w:cs="宋体"/>
                <w:sz w:val="24"/>
                <w:lang w:eastAsia="zh-CN"/>
              </w:rPr>
            </w:pPr>
            <w:r>
              <w:rPr>
                <w:rFonts w:hint="eastAsia" w:ascii="宋体" w:hAnsi="宋体" w:eastAsia="宋体" w:cs="宋体"/>
                <w:sz w:val="24"/>
                <w:lang w:eastAsia="zh-CN"/>
              </w:rPr>
              <w:t>比例（%）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pPr>
              <w:pStyle w:val="256"/>
              <w:jc w:val="center"/>
              <w:rPr>
                <w:rFonts w:hint="eastAsia" w:ascii="宋体" w:hAnsi="宋体" w:eastAsia="宋体" w:cs="宋体"/>
                <w:sz w:val="24"/>
              </w:rPr>
            </w:pPr>
            <w:r>
              <w:rPr>
                <w:rFonts w:hint="eastAsia" w:ascii="宋体" w:hAnsi="宋体" w:eastAsia="宋体" w:cs="宋体"/>
                <w:sz w:val="24"/>
              </w:rPr>
              <w:t>1</w:t>
            </w:r>
          </w:p>
        </w:tc>
        <w:tc>
          <w:tcPr>
            <w:tcW w:w="1287" w:type="dxa"/>
            <w:tcBorders>
              <w:top w:val="single" w:color="000000" w:sz="4" w:space="0"/>
              <w:left w:val="single" w:color="000000" w:sz="4" w:space="0"/>
              <w:bottom w:val="single" w:color="000000" w:sz="4" w:space="0"/>
              <w:right w:val="single" w:color="000000" w:sz="4" w:space="0"/>
            </w:tcBorders>
            <w:vAlign w:val="center"/>
          </w:tcPr>
          <w:p>
            <w:pPr>
              <w:pStyle w:val="256"/>
              <w:jc w:val="center"/>
              <w:rPr>
                <w:rFonts w:hint="eastAsia" w:ascii="宋体" w:hAnsi="宋体" w:eastAsia="宋体" w:cs="宋体"/>
                <w:sz w:val="30"/>
              </w:rPr>
            </w:pPr>
          </w:p>
        </w:tc>
        <w:tc>
          <w:tcPr>
            <w:tcW w:w="1513" w:type="dxa"/>
            <w:tcBorders>
              <w:top w:val="single" w:color="000000" w:sz="4" w:space="0"/>
              <w:left w:val="single" w:color="000000" w:sz="4" w:space="0"/>
              <w:bottom w:val="single" w:color="000000" w:sz="4" w:space="0"/>
              <w:right w:val="single" w:color="000000" w:sz="4" w:space="0"/>
            </w:tcBorders>
            <w:vAlign w:val="center"/>
          </w:tcPr>
          <w:p>
            <w:pPr>
              <w:pStyle w:val="256"/>
              <w:tabs>
                <w:tab w:val="left" w:pos="235"/>
              </w:tabs>
              <w:ind w:left="1" w:leftChars="-43" w:hanging="91" w:hangingChars="38"/>
              <w:jc w:val="center"/>
              <w:rPr>
                <w:rFonts w:hint="eastAsia" w:ascii="宋体" w:hAnsi="宋体" w:eastAsia="宋体" w:cs="宋体"/>
                <w:sz w:val="24"/>
                <w:lang w:eastAsia="zh-CN"/>
              </w:rPr>
            </w:pPr>
            <w:r>
              <w:rPr>
                <w:rFonts w:hint="eastAsia" w:ascii="宋体" w:hAnsi="宋体" w:eastAsia="宋体" w:cs="宋体"/>
                <w:sz w:val="24"/>
                <w:lang w:eastAsia="zh-CN"/>
              </w:rPr>
              <w:t>□中型企业</w:t>
            </w:r>
          </w:p>
          <w:p>
            <w:pPr>
              <w:pStyle w:val="256"/>
              <w:tabs>
                <w:tab w:val="left" w:pos="235"/>
              </w:tabs>
              <w:ind w:left="1" w:leftChars="-43" w:hanging="91" w:hangingChars="38"/>
              <w:jc w:val="center"/>
              <w:rPr>
                <w:rFonts w:hint="eastAsia" w:ascii="宋体" w:hAnsi="宋体" w:eastAsia="宋体" w:cs="宋体"/>
                <w:sz w:val="24"/>
                <w:lang w:eastAsia="zh-CN"/>
              </w:rPr>
            </w:pPr>
            <w:r>
              <w:rPr>
                <w:rFonts w:hint="eastAsia" w:ascii="宋体" w:hAnsi="宋体" w:eastAsia="宋体" w:cs="宋体"/>
                <w:sz w:val="24"/>
                <w:lang w:eastAsia="zh-CN"/>
              </w:rPr>
              <w:t>□小微企业</w:t>
            </w:r>
          </w:p>
        </w:tc>
        <w:tc>
          <w:tcPr>
            <w:tcW w:w="1125" w:type="dxa"/>
            <w:tcBorders>
              <w:top w:val="single" w:color="000000" w:sz="4" w:space="0"/>
              <w:left w:val="single" w:color="000000" w:sz="4" w:space="0"/>
              <w:bottom w:val="single" w:color="000000" w:sz="4" w:space="0"/>
              <w:right w:val="single" w:color="000000" w:sz="4" w:space="0"/>
            </w:tcBorders>
            <w:vAlign w:val="center"/>
          </w:tcPr>
          <w:p>
            <w:pPr>
              <w:pStyle w:val="256"/>
              <w:jc w:val="center"/>
              <w:rPr>
                <w:rFonts w:hint="eastAsia" w:ascii="宋体" w:hAnsi="宋体" w:eastAsia="宋体" w:cs="宋体"/>
                <w:sz w:val="30"/>
                <w:lang w:eastAsia="zh-CN"/>
              </w:rPr>
            </w:pPr>
          </w:p>
        </w:tc>
        <w:tc>
          <w:tcPr>
            <w:tcW w:w="1558" w:type="dxa"/>
            <w:tcBorders>
              <w:top w:val="single" w:color="000000" w:sz="4" w:space="0"/>
              <w:left w:val="single" w:color="000000" w:sz="4" w:space="0"/>
              <w:bottom w:val="single" w:color="000000" w:sz="4" w:space="0"/>
              <w:right w:val="single" w:color="000000" w:sz="4" w:space="0"/>
            </w:tcBorders>
            <w:vAlign w:val="center"/>
          </w:tcPr>
          <w:p>
            <w:pPr>
              <w:pStyle w:val="256"/>
              <w:jc w:val="center"/>
              <w:rPr>
                <w:rFonts w:hint="eastAsia" w:ascii="宋体" w:hAnsi="宋体" w:eastAsia="宋体" w:cs="宋体"/>
                <w:sz w:val="30"/>
                <w:lang w:eastAsia="zh-CN"/>
              </w:rPr>
            </w:pPr>
          </w:p>
        </w:tc>
        <w:tc>
          <w:tcPr>
            <w:tcW w:w="1498" w:type="dxa"/>
            <w:tcBorders>
              <w:top w:val="single" w:color="000000" w:sz="4" w:space="0"/>
              <w:left w:val="single" w:color="000000" w:sz="4" w:space="0"/>
              <w:bottom w:val="single" w:color="000000" w:sz="4" w:space="0"/>
              <w:right w:val="single" w:color="000000" w:sz="4" w:space="0"/>
            </w:tcBorders>
            <w:vAlign w:val="center"/>
          </w:tcPr>
          <w:p>
            <w:pPr>
              <w:pStyle w:val="256"/>
              <w:jc w:val="center"/>
              <w:rPr>
                <w:rFonts w:hint="eastAsia" w:ascii="宋体" w:hAnsi="宋体" w:eastAsia="宋体" w:cs="宋体"/>
                <w:sz w:val="30"/>
                <w:lang w:eastAsia="zh-CN"/>
              </w:rPr>
            </w:pPr>
          </w:p>
        </w:tc>
        <w:tc>
          <w:tcPr>
            <w:tcW w:w="1564" w:type="dxa"/>
            <w:tcBorders>
              <w:top w:val="single" w:color="000000" w:sz="4" w:space="0"/>
              <w:left w:val="single" w:color="000000" w:sz="4" w:space="0"/>
              <w:bottom w:val="single" w:color="000000" w:sz="4" w:space="0"/>
              <w:right w:val="single" w:color="000000" w:sz="4" w:space="0"/>
            </w:tcBorders>
            <w:vAlign w:val="center"/>
          </w:tcPr>
          <w:p>
            <w:pPr>
              <w:pStyle w:val="256"/>
              <w:jc w:val="center"/>
              <w:rPr>
                <w:rFonts w:hint="eastAsia" w:ascii="宋体" w:hAnsi="宋体" w:eastAsia="宋体" w:cs="宋体"/>
                <w:sz w:val="30"/>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pPr>
              <w:pStyle w:val="256"/>
              <w:jc w:val="center"/>
              <w:rPr>
                <w:rFonts w:hint="eastAsia" w:ascii="宋体" w:hAnsi="宋体" w:eastAsia="宋体" w:cs="宋体"/>
                <w:sz w:val="24"/>
                <w:lang w:eastAsia="zh-CN"/>
              </w:rPr>
            </w:pPr>
            <w:r>
              <w:rPr>
                <w:rFonts w:hint="eastAsia" w:ascii="宋体" w:hAnsi="宋体" w:eastAsia="宋体" w:cs="宋体"/>
                <w:sz w:val="24"/>
                <w:lang w:eastAsia="zh-CN"/>
              </w:rPr>
              <w:t>2</w:t>
            </w:r>
          </w:p>
        </w:tc>
        <w:tc>
          <w:tcPr>
            <w:tcW w:w="1287" w:type="dxa"/>
            <w:tcBorders>
              <w:top w:val="single" w:color="000000" w:sz="4" w:space="0"/>
              <w:left w:val="single" w:color="000000" w:sz="4" w:space="0"/>
              <w:bottom w:val="single" w:color="000000" w:sz="4" w:space="0"/>
              <w:right w:val="single" w:color="000000" w:sz="4" w:space="0"/>
            </w:tcBorders>
            <w:vAlign w:val="center"/>
          </w:tcPr>
          <w:p>
            <w:pPr>
              <w:pStyle w:val="256"/>
              <w:jc w:val="center"/>
              <w:rPr>
                <w:rFonts w:hint="eastAsia" w:ascii="宋体" w:hAnsi="宋体" w:eastAsia="宋体" w:cs="宋体"/>
                <w:sz w:val="30"/>
              </w:rPr>
            </w:pPr>
          </w:p>
        </w:tc>
        <w:tc>
          <w:tcPr>
            <w:tcW w:w="1513" w:type="dxa"/>
            <w:tcBorders>
              <w:top w:val="single" w:color="000000" w:sz="4" w:space="0"/>
              <w:left w:val="single" w:color="000000" w:sz="4" w:space="0"/>
              <w:bottom w:val="single" w:color="000000" w:sz="4" w:space="0"/>
              <w:right w:val="single" w:color="000000" w:sz="4" w:space="0"/>
            </w:tcBorders>
            <w:vAlign w:val="center"/>
          </w:tcPr>
          <w:p>
            <w:pPr>
              <w:pStyle w:val="256"/>
              <w:tabs>
                <w:tab w:val="left" w:pos="235"/>
              </w:tabs>
              <w:ind w:left="1" w:leftChars="-43" w:hanging="91" w:hangingChars="38"/>
              <w:jc w:val="center"/>
              <w:rPr>
                <w:rFonts w:hint="eastAsia" w:ascii="宋体" w:hAnsi="宋体" w:eastAsia="宋体" w:cs="宋体"/>
                <w:sz w:val="24"/>
                <w:lang w:eastAsia="zh-CN"/>
              </w:rPr>
            </w:pPr>
            <w:r>
              <w:rPr>
                <w:rFonts w:hint="eastAsia" w:ascii="宋体" w:hAnsi="宋体" w:eastAsia="宋体" w:cs="宋体"/>
                <w:sz w:val="24"/>
                <w:lang w:eastAsia="zh-CN"/>
              </w:rPr>
              <w:t>□中型企业</w:t>
            </w:r>
          </w:p>
          <w:p>
            <w:pPr>
              <w:pStyle w:val="256"/>
              <w:tabs>
                <w:tab w:val="left" w:pos="235"/>
              </w:tabs>
              <w:ind w:left="1" w:leftChars="-43" w:hanging="91" w:hangingChars="38"/>
              <w:jc w:val="center"/>
              <w:rPr>
                <w:rFonts w:hint="eastAsia" w:ascii="宋体" w:hAnsi="宋体" w:eastAsia="宋体" w:cs="宋体"/>
                <w:sz w:val="24"/>
                <w:lang w:eastAsia="zh-CN"/>
              </w:rPr>
            </w:pPr>
            <w:r>
              <w:rPr>
                <w:rFonts w:hint="eastAsia" w:ascii="宋体" w:hAnsi="宋体" w:eastAsia="宋体" w:cs="宋体"/>
                <w:sz w:val="24"/>
                <w:lang w:eastAsia="zh-CN"/>
              </w:rPr>
              <w:t>□小微企业</w:t>
            </w:r>
          </w:p>
        </w:tc>
        <w:tc>
          <w:tcPr>
            <w:tcW w:w="1125" w:type="dxa"/>
            <w:tcBorders>
              <w:top w:val="single" w:color="000000" w:sz="4" w:space="0"/>
              <w:left w:val="single" w:color="000000" w:sz="4" w:space="0"/>
              <w:bottom w:val="single" w:color="000000" w:sz="4" w:space="0"/>
              <w:right w:val="single" w:color="000000" w:sz="4" w:space="0"/>
            </w:tcBorders>
            <w:vAlign w:val="center"/>
          </w:tcPr>
          <w:p>
            <w:pPr>
              <w:pStyle w:val="256"/>
              <w:jc w:val="center"/>
              <w:rPr>
                <w:rFonts w:hint="eastAsia" w:ascii="宋体" w:hAnsi="宋体" w:eastAsia="宋体" w:cs="宋体"/>
                <w:sz w:val="30"/>
                <w:lang w:eastAsia="zh-CN"/>
              </w:rPr>
            </w:pPr>
          </w:p>
        </w:tc>
        <w:tc>
          <w:tcPr>
            <w:tcW w:w="1558" w:type="dxa"/>
            <w:tcBorders>
              <w:top w:val="single" w:color="000000" w:sz="4" w:space="0"/>
              <w:left w:val="single" w:color="000000" w:sz="4" w:space="0"/>
              <w:bottom w:val="single" w:color="000000" w:sz="4" w:space="0"/>
              <w:right w:val="single" w:color="000000" w:sz="4" w:space="0"/>
            </w:tcBorders>
            <w:vAlign w:val="center"/>
          </w:tcPr>
          <w:p>
            <w:pPr>
              <w:pStyle w:val="256"/>
              <w:jc w:val="center"/>
              <w:rPr>
                <w:rFonts w:hint="eastAsia" w:ascii="宋体" w:hAnsi="宋体" w:eastAsia="宋体" w:cs="宋体"/>
                <w:sz w:val="30"/>
                <w:lang w:eastAsia="zh-CN"/>
              </w:rPr>
            </w:pPr>
          </w:p>
        </w:tc>
        <w:tc>
          <w:tcPr>
            <w:tcW w:w="1498" w:type="dxa"/>
            <w:tcBorders>
              <w:top w:val="single" w:color="000000" w:sz="4" w:space="0"/>
              <w:left w:val="single" w:color="000000" w:sz="4" w:space="0"/>
              <w:bottom w:val="single" w:color="000000" w:sz="4" w:space="0"/>
              <w:right w:val="single" w:color="000000" w:sz="4" w:space="0"/>
            </w:tcBorders>
            <w:vAlign w:val="center"/>
          </w:tcPr>
          <w:p>
            <w:pPr>
              <w:pStyle w:val="256"/>
              <w:jc w:val="center"/>
              <w:rPr>
                <w:rFonts w:hint="eastAsia" w:ascii="宋体" w:hAnsi="宋体" w:eastAsia="宋体" w:cs="宋体"/>
                <w:sz w:val="30"/>
                <w:lang w:eastAsia="zh-CN"/>
              </w:rPr>
            </w:pPr>
          </w:p>
        </w:tc>
        <w:tc>
          <w:tcPr>
            <w:tcW w:w="1564" w:type="dxa"/>
            <w:tcBorders>
              <w:top w:val="single" w:color="000000" w:sz="4" w:space="0"/>
              <w:left w:val="single" w:color="000000" w:sz="4" w:space="0"/>
              <w:bottom w:val="single" w:color="000000" w:sz="4" w:space="0"/>
              <w:right w:val="single" w:color="000000" w:sz="4" w:space="0"/>
            </w:tcBorders>
            <w:vAlign w:val="center"/>
          </w:tcPr>
          <w:p>
            <w:pPr>
              <w:pStyle w:val="256"/>
              <w:jc w:val="center"/>
              <w:rPr>
                <w:rFonts w:hint="eastAsia" w:ascii="宋体" w:hAnsi="宋体" w:eastAsia="宋体" w:cs="宋体"/>
                <w:sz w:val="30"/>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pPr>
              <w:pStyle w:val="256"/>
              <w:jc w:val="center"/>
              <w:rPr>
                <w:rFonts w:hint="eastAsia" w:ascii="宋体" w:hAnsi="宋体" w:eastAsia="宋体" w:cs="宋体"/>
                <w:sz w:val="24"/>
                <w:lang w:eastAsia="zh-CN"/>
              </w:rPr>
            </w:pPr>
            <w:r>
              <w:rPr>
                <w:rFonts w:hint="eastAsia" w:ascii="宋体" w:hAnsi="宋体" w:eastAsia="宋体" w:cs="宋体"/>
                <w:sz w:val="24"/>
                <w:lang w:eastAsia="zh-CN"/>
              </w:rPr>
              <w:t>…</w:t>
            </w:r>
          </w:p>
        </w:tc>
        <w:tc>
          <w:tcPr>
            <w:tcW w:w="1287" w:type="dxa"/>
            <w:tcBorders>
              <w:top w:val="single" w:color="000000" w:sz="4" w:space="0"/>
              <w:left w:val="single" w:color="000000" w:sz="4" w:space="0"/>
              <w:bottom w:val="single" w:color="000000" w:sz="4" w:space="0"/>
              <w:right w:val="single" w:color="000000" w:sz="4" w:space="0"/>
            </w:tcBorders>
            <w:vAlign w:val="center"/>
          </w:tcPr>
          <w:p>
            <w:pPr>
              <w:pStyle w:val="256"/>
              <w:jc w:val="center"/>
              <w:rPr>
                <w:rFonts w:hint="eastAsia" w:ascii="宋体" w:hAnsi="宋体" w:eastAsia="宋体" w:cs="宋体"/>
                <w:sz w:val="30"/>
              </w:rPr>
            </w:pPr>
          </w:p>
        </w:tc>
        <w:tc>
          <w:tcPr>
            <w:tcW w:w="1513" w:type="dxa"/>
            <w:tcBorders>
              <w:top w:val="single" w:color="000000" w:sz="4" w:space="0"/>
              <w:left w:val="single" w:color="000000" w:sz="4" w:space="0"/>
              <w:bottom w:val="single" w:color="000000" w:sz="4" w:space="0"/>
              <w:right w:val="single" w:color="000000" w:sz="4" w:space="0"/>
            </w:tcBorders>
            <w:vAlign w:val="center"/>
          </w:tcPr>
          <w:p>
            <w:pPr>
              <w:pStyle w:val="256"/>
              <w:tabs>
                <w:tab w:val="left" w:pos="235"/>
              </w:tabs>
              <w:jc w:val="center"/>
              <w:rPr>
                <w:rFonts w:hint="eastAsia" w:ascii="宋体" w:hAnsi="宋体" w:eastAsia="宋体" w:cs="宋体"/>
                <w:sz w:val="24"/>
              </w:rPr>
            </w:pPr>
          </w:p>
        </w:tc>
        <w:tc>
          <w:tcPr>
            <w:tcW w:w="1125" w:type="dxa"/>
            <w:tcBorders>
              <w:top w:val="single" w:color="000000" w:sz="4" w:space="0"/>
              <w:left w:val="single" w:color="000000" w:sz="4" w:space="0"/>
              <w:bottom w:val="single" w:color="000000" w:sz="4" w:space="0"/>
              <w:right w:val="single" w:color="000000" w:sz="4" w:space="0"/>
            </w:tcBorders>
            <w:vAlign w:val="center"/>
          </w:tcPr>
          <w:p>
            <w:pPr>
              <w:pStyle w:val="256"/>
              <w:jc w:val="center"/>
              <w:rPr>
                <w:rFonts w:hint="eastAsia" w:ascii="宋体" w:hAnsi="宋体" w:eastAsia="宋体" w:cs="宋体"/>
                <w:sz w:val="30"/>
              </w:rPr>
            </w:pPr>
          </w:p>
        </w:tc>
        <w:tc>
          <w:tcPr>
            <w:tcW w:w="1558" w:type="dxa"/>
            <w:tcBorders>
              <w:top w:val="single" w:color="000000" w:sz="4" w:space="0"/>
              <w:left w:val="single" w:color="000000" w:sz="4" w:space="0"/>
              <w:bottom w:val="single" w:color="000000" w:sz="4" w:space="0"/>
              <w:right w:val="single" w:color="000000" w:sz="4" w:space="0"/>
            </w:tcBorders>
            <w:vAlign w:val="center"/>
          </w:tcPr>
          <w:p>
            <w:pPr>
              <w:pStyle w:val="256"/>
              <w:jc w:val="center"/>
              <w:rPr>
                <w:rFonts w:hint="eastAsia" w:ascii="宋体" w:hAnsi="宋体" w:eastAsia="宋体" w:cs="宋体"/>
                <w:sz w:val="30"/>
              </w:rPr>
            </w:pPr>
          </w:p>
        </w:tc>
        <w:tc>
          <w:tcPr>
            <w:tcW w:w="1498" w:type="dxa"/>
            <w:tcBorders>
              <w:top w:val="single" w:color="000000" w:sz="4" w:space="0"/>
              <w:left w:val="single" w:color="000000" w:sz="4" w:space="0"/>
              <w:bottom w:val="single" w:color="000000" w:sz="4" w:space="0"/>
              <w:right w:val="single" w:color="000000" w:sz="4" w:space="0"/>
            </w:tcBorders>
            <w:vAlign w:val="center"/>
          </w:tcPr>
          <w:p>
            <w:pPr>
              <w:pStyle w:val="256"/>
              <w:jc w:val="center"/>
              <w:rPr>
                <w:rFonts w:hint="eastAsia" w:ascii="宋体" w:hAnsi="宋体" w:eastAsia="宋体" w:cs="宋体"/>
                <w:sz w:val="30"/>
              </w:rPr>
            </w:pPr>
          </w:p>
        </w:tc>
        <w:tc>
          <w:tcPr>
            <w:tcW w:w="1564" w:type="dxa"/>
            <w:tcBorders>
              <w:top w:val="single" w:color="000000" w:sz="4" w:space="0"/>
              <w:left w:val="single" w:color="000000" w:sz="4" w:space="0"/>
              <w:bottom w:val="single" w:color="000000" w:sz="4" w:space="0"/>
              <w:right w:val="single" w:color="000000" w:sz="4" w:space="0"/>
            </w:tcBorders>
            <w:vAlign w:val="center"/>
          </w:tcPr>
          <w:p>
            <w:pPr>
              <w:pStyle w:val="256"/>
              <w:jc w:val="center"/>
              <w:rPr>
                <w:rFonts w:hint="eastAsia" w:ascii="宋体" w:hAnsi="宋体" w:eastAsia="宋体" w:cs="宋体"/>
                <w:sz w:val="3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tcBorders>
              <w:top w:val="single" w:color="000000" w:sz="4" w:space="0"/>
              <w:left w:val="single" w:color="000000" w:sz="4" w:space="0"/>
              <w:bottom w:val="single" w:color="000000" w:sz="4" w:space="0"/>
              <w:right w:val="single" w:color="000000" w:sz="4" w:space="0"/>
            </w:tcBorders>
            <w:vAlign w:val="center"/>
          </w:tcPr>
          <w:p>
            <w:pPr>
              <w:pStyle w:val="256"/>
              <w:ind w:right="57" w:rightChars="27"/>
              <w:jc w:val="right"/>
              <w:rPr>
                <w:rFonts w:hint="eastAsia" w:ascii="宋体" w:hAnsi="宋体" w:eastAsia="宋体" w:cs="宋体"/>
                <w:sz w:val="24"/>
                <w:lang w:eastAsia="zh-CN"/>
              </w:rPr>
            </w:pPr>
            <w:r>
              <w:rPr>
                <w:rFonts w:hint="eastAsia" w:ascii="宋体" w:hAnsi="宋体" w:eastAsia="宋体" w:cs="宋体"/>
                <w:sz w:val="24"/>
                <w:lang w:eastAsia="zh-CN"/>
              </w:rPr>
              <w:t>合计：</w:t>
            </w:r>
          </w:p>
        </w:tc>
        <w:tc>
          <w:tcPr>
            <w:tcW w:w="1498" w:type="dxa"/>
            <w:tcBorders>
              <w:top w:val="single" w:color="000000" w:sz="4" w:space="0"/>
              <w:left w:val="single" w:color="000000" w:sz="4" w:space="0"/>
              <w:bottom w:val="single" w:color="000000" w:sz="4" w:space="0"/>
              <w:right w:val="single" w:color="000000" w:sz="4" w:space="0"/>
            </w:tcBorders>
            <w:vAlign w:val="center"/>
          </w:tcPr>
          <w:p>
            <w:pPr>
              <w:pStyle w:val="256"/>
              <w:jc w:val="center"/>
              <w:rPr>
                <w:rFonts w:hint="eastAsia" w:ascii="宋体" w:hAnsi="宋体" w:eastAsia="宋体" w:cs="宋体"/>
                <w:sz w:val="30"/>
              </w:rPr>
            </w:pPr>
          </w:p>
        </w:tc>
        <w:tc>
          <w:tcPr>
            <w:tcW w:w="1564" w:type="dxa"/>
            <w:tcBorders>
              <w:top w:val="single" w:color="000000" w:sz="4" w:space="0"/>
              <w:left w:val="single" w:color="000000" w:sz="4" w:space="0"/>
              <w:bottom w:val="single" w:color="000000" w:sz="4" w:space="0"/>
              <w:right w:val="single" w:color="000000" w:sz="4" w:space="0"/>
            </w:tcBorders>
            <w:vAlign w:val="center"/>
          </w:tcPr>
          <w:p>
            <w:pPr>
              <w:pStyle w:val="256"/>
              <w:jc w:val="center"/>
              <w:rPr>
                <w:rFonts w:hint="eastAsia" w:ascii="宋体" w:hAnsi="宋体" w:eastAsia="宋体" w:cs="宋体"/>
                <w:sz w:val="30"/>
              </w:rPr>
            </w:pPr>
          </w:p>
        </w:tc>
      </w:tr>
    </w:tbl>
    <w:p>
      <w:pPr>
        <w:adjustRightInd w:val="0"/>
        <w:snapToGrid w:val="0"/>
        <w:spacing w:line="360" w:lineRule="auto"/>
        <w:jc w:val="left"/>
        <w:rPr>
          <w:rFonts w:hint="eastAsia" w:ascii="宋体" w:hAnsi="宋体" w:eastAsia="宋体" w:cs="宋体"/>
          <w:sz w:val="24"/>
        </w:rPr>
      </w:pPr>
    </w:p>
    <w:p>
      <w:pPr>
        <w:autoSpaceDE w:val="0"/>
        <w:autoSpaceDN w:val="0"/>
        <w:adjustRightInd w:val="0"/>
        <w:snapToGrid w:val="0"/>
        <w:spacing w:before="25" w:after="25" w:line="360" w:lineRule="auto"/>
        <w:jc w:val="right"/>
        <w:rPr>
          <w:rFonts w:hint="eastAsia" w:ascii="宋体" w:hAnsi="宋体" w:eastAsia="宋体" w:cs="宋体"/>
          <w:color w:val="000000"/>
          <w:sz w:val="24"/>
          <w:lang w:val="zh-CN"/>
        </w:rPr>
      </w:pPr>
      <w:r>
        <w:rPr>
          <w:rFonts w:hint="eastAsia" w:ascii="宋体" w:hAnsi="宋体" w:eastAsia="宋体" w:cs="宋体"/>
          <w:color w:val="000000"/>
          <w:sz w:val="24"/>
        </w:rPr>
        <w:t>供应商名称（加盖公章）</w:t>
      </w:r>
      <w:r>
        <w:rPr>
          <w:rFonts w:hint="eastAsia" w:ascii="宋体" w:hAnsi="宋体" w:eastAsia="宋体" w:cs="宋体"/>
          <w:color w:val="000000"/>
          <w:sz w:val="24"/>
          <w:lang w:val="zh-CN"/>
        </w:rPr>
        <w:t>：</w:t>
      </w:r>
      <w:r>
        <w:rPr>
          <w:rFonts w:hint="eastAsia" w:ascii="宋体" w:hAnsi="宋体" w:eastAsia="宋体" w:cs="宋体"/>
          <w:sz w:val="24"/>
        </w:rPr>
        <w:t>______</w:t>
      </w:r>
    </w:p>
    <w:p>
      <w:pPr>
        <w:spacing w:line="360" w:lineRule="auto"/>
        <w:ind w:right="-57" w:firstLine="480"/>
        <w:jc w:val="right"/>
        <w:rPr>
          <w:rFonts w:hint="eastAsia" w:ascii="宋体" w:hAnsi="宋体" w:eastAsia="宋体" w:cs="宋体"/>
          <w:color w:val="000000"/>
          <w:sz w:val="24"/>
        </w:rPr>
      </w:pPr>
      <w:r>
        <w:rPr>
          <w:rFonts w:hint="eastAsia" w:ascii="宋体" w:hAnsi="宋体" w:eastAsia="宋体" w:cs="宋体"/>
          <w:color w:val="000000"/>
          <w:sz w:val="24"/>
          <w:szCs w:val="20"/>
        </w:rPr>
        <w:t>日期：</w:t>
      </w:r>
      <w:r>
        <w:rPr>
          <w:rFonts w:hint="eastAsia" w:ascii="宋体" w:hAnsi="宋体" w:eastAsia="宋体" w:cs="宋体"/>
          <w:sz w:val="24"/>
        </w:rPr>
        <w:t>___</w:t>
      </w:r>
      <w:r>
        <w:rPr>
          <w:rFonts w:hint="eastAsia" w:ascii="宋体" w:hAnsi="宋体" w:eastAsia="宋体" w:cs="宋体"/>
          <w:color w:val="000000"/>
          <w:sz w:val="24"/>
          <w:szCs w:val="20"/>
        </w:rPr>
        <w:t>年</w:t>
      </w:r>
      <w:r>
        <w:rPr>
          <w:rFonts w:hint="eastAsia" w:ascii="宋体" w:hAnsi="宋体" w:eastAsia="宋体" w:cs="宋体"/>
          <w:sz w:val="24"/>
        </w:rPr>
        <w:t>___</w:t>
      </w:r>
      <w:r>
        <w:rPr>
          <w:rFonts w:hint="eastAsia" w:ascii="宋体" w:hAnsi="宋体" w:eastAsia="宋体" w:cs="宋体"/>
          <w:color w:val="000000"/>
          <w:sz w:val="24"/>
          <w:szCs w:val="20"/>
        </w:rPr>
        <w:t>月</w:t>
      </w:r>
      <w:r>
        <w:rPr>
          <w:rFonts w:hint="eastAsia" w:ascii="宋体" w:hAnsi="宋体" w:eastAsia="宋体" w:cs="宋体"/>
          <w:sz w:val="24"/>
        </w:rPr>
        <w:t>___</w:t>
      </w:r>
      <w:r>
        <w:rPr>
          <w:rFonts w:hint="eastAsia" w:ascii="宋体" w:hAnsi="宋体" w:eastAsia="宋体" w:cs="宋体"/>
          <w:color w:val="000000"/>
          <w:sz w:val="24"/>
          <w:szCs w:val="20"/>
        </w:rPr>
        <w:t>日</w:t>
      </w:r>
    </w:p>
    <w:p>
      <w:pPr>
        <w:adjustRightInd w:val="0"/>
        <w:snapToGrid w:val="0"/>
        <w:spacing w:line="360" w:lineRule="auto"/>
        <w:jc w:val="left"/>
        <w:rPr>
          <w:rFonts w:hint="eastAsia" w:ascii="宋体" w:hAnsi="宋体" w:eastAsia="宋体" w:cs="宋体"/>
          <w:sz w:val="24"/>
        </w:rPr>
      </w:pPr>
    </w:p>
    <w:p>
      <w:pPr>
        <w:adjustRightInd w:val="0"/>
        <w:snapToGrid w:val="0"/>
        <w:spacing w:line="360" w:lineRule="auto"/>
        <w:jc w:val="left"/>
        <w:rPr>
          <w:rFonts w:hint="eastAsia" w:ascii="宋体" w:hAnsi="宋体" w:eastAsia="宋体" w:cs="宋体"/>
          <w:sz w:val="24"/>
        </w:rPr>
      </w:pPr>
      <w:r>
        <w:rPr>
          <w:rFonts w:hint="eastAsia" w:ascii="宋体" w:hAnsi="宋体" w:eastAsia="宋体" w:cs="宋体"/>
          <w:sz w:val="24"/>
        </w:rPr>
        <w:t>说明：</w:t>
      </w:r>
    </w:p>
    <w:p>
      <w:pPr>
        <w:adjustRightInd w:val="0"/>
        <w:snapToGrid w:val="0"/>
        <w:spacing w:line="360" w:lineRule="auto"/>
        <w:jc w:val="left"/>
        <w:rPr>
          <w:rFonts w:hint="eastAsia" w:ascii="宋体" w:hAnsi="宋体" w:eastAsia="宋体" w:cs="宋体"/>
          <w:sz w:val="24"/>
        </w:rPr>
      </w:pPr>
      <w:r>
        <w:rPr>
          <w:rFonts w:hint="eastAsia" w:ascii="宋体" w:hAnsi="宋体" w:eastAsia="宋体" w:cs="宋体"/>
          <w:sz w:val="24"/>
        </w:rPr>
        <w:t>（1）本表仅在供应商“为落实政府采购政策”而向中小企业分包时填写，非因“为落实政府采购政策”而进行的分包请按照《</w:t>
      </w:r>
      <w:r>
        <w:rPr>
          <w:rFonts w:hint="eastAsia" w:ascii="宋体" w:hAnsi="宋体" w:eastAsia="宋体" w:cs="宋体"/>
          <w:color w:val="000000"/>
          <w:sz w:val="24"/>
          <w:szCs w:val="20"/>
        </w:rPr>
        <w:t>拟分包情况说明（类型二）</w:t>
      </w:r>
      <w:r>
        <w:rPr>
          <w:rFonts w:hint="eastAsia" w:ascii="宋体" w:hAnsi="宋体" w:eastAsia="宋体" w:cs="宋体"/>
          <w:sz w:val="24"/>
        </w:rPr>
        <w:t>》要求填写。</w:t>
      </w:r>
    </w:p>
    <w:p>
      <w:pPr>
        <w:adjustRightInd w:val="0"/>
        <w:snapToGrid w:val="0"/>
        <w:spacing w:line="360" w:lineRule="auto"/>
        <w:jc w:val="left"/>
        <w:rPr>
          <w:rFonts w:hint="eastAsia" w:ascii="宋体" w:hAnsi="宋体" w:eastAsia="宋体" w:cs="宋体"/>
          <w:sz w:val="24"/>
        </w:rPr>
      </w:pPr>
      <w:r>
        <w:rPr>
          <w:rFonts w:hint="eastAsia" w:ascii="宋体" w:hAnsi="宋体" w:eastAsia="宋体" w:cs="宋体"/>
          <w:sz w:val="24"/>
        </w:rPr>
        <w:t>（2）如本竞争性磋商文件《供应商须知资料表》载明本项目分包承担主体应具备的相应资质条件，则供应商须在本表中列明分包承担主体的资质等级，并后附资质证书电子件，否则</w:t>
      </w:r>
      <w:r>
        <w:rPr>
          <w:rFonts w:hint="eastAsia" w:ascii="宋体" w:hAnsi="宋体" w:eastAsia="宋体" w:cs="宋体"/>
          <w:b/>
          <w:sz w:val="24"/>
        </w:rPr>
        <w:t>响应无效</w:t>
      </w:r>
      <w:r>
        <w:rPr>
          <w:rFonts w:hint="eastAsia" w:ascii="宋体" w:hAnsi="宋体" w:eastAsia="宋体" w:cs="宋体"/>
          <w:sz w:val="24"/>
        </w:rPr>
        <w:t>。</w:t>
      </w:r>
    </w:p>
    <w:p>
      <w:pPr>
        <w:adjustRightInd w:val="0"/>
        <w:snapToGrid w:val="0"/>
        <w:spacing w:line="360" w:lineRule="auto"/>
        <w:jc w:val="left"/>
        <w:rPr>
          <w:rFonts w:hint="eastAsia" w:ascii="宋体" w:hAnsi="宋体" w:eastAsia="宋体" w:cs="宋体"/>
          <w:color w:val="000000"/>
          <w:sz w:val="30"/>
          <w:szCs w:val="30"/>
        </w:rPr>
      </w:pPr>
      <w:r>
        <w:rPr>
          <w:rFonts w:hint="eastAsia" w:ascii="宋体" w:hAnsi="宋体" w:eastAsia="宋体" w:cs="宋体"/>
          <w:sz w:val="24"/>
        </w:rPr>
        <w:t>（3）供应商与上述拟分包承担主体签署的《分包意向协议》后附。</w:t>
      </w:r>
    </w:p>
    <w:p>
      <w:pPr>
        <w:autoSpaceDE w:val="0"/>
        <w:autoSpaceDN w:val="0"/>
        <w:adjustRightInd w:val="0"/>
        <w:spacing w:line="360" w:lineRule="auto"/>
        <w:jc w:val="center"/>
        <w:rPr>
          <w:rFonts w:hint="eastAsia" w:ascii="宋体" w:hAnsi="宋体" w:eastAsia="宋体" w:cs="宋体"/>
          <w:b/>
          <w:color w:val="000000"/>
          <w:sz w:val="36"/>
          <w:szCs w:val="36"/>
        </w:rPr>
      </w:pPr>
      <w:r>
        <w:rPr>
          <w:rFonts w:hint="eastAsia" w:ascii="宋体" w:hAnsi="宋体" w:eastAsia="宋体" w:cs="宋体"/>
          <w:color w:val="000000"/>
          <w:sz w:val="30"/>
          <w:szCs w:val="30"/>
        </w:rPr>
        <w:br w:type="page"/>
      </w:r>
      <w:r>
        <w:rPr>
          <w:rFonts w:hint="eastAsia" w:ascii="宋体" w:hAnsi="宋体" w:eastAsia="宋体" w:cs="宋体"/>
          <w:b/>
          <w:color w:val="000000"/>
          <w:sz w:val="36"/>
          <w:szCs w:val="36"/>
        </w:rPr>
        <w:t>附：分包意向协议</w:t>
      </w:r>
      <w:r>
        <w:rPr>
          <w:rFonts w:hint="eastAsia"/>
          <w:b/>
          <w:color w:val="auto"/>
          <w:sz w:val="36"/>
          <w:szCs w:val="36"/>
          <w:highlight w:val="none"/>
        </w:rPr>
        <w:t>（</w:t>
      </w:r>
      <w:r>
        <w:rPr>
          <w:rFonts w:hint="eastAsia"/>
          <w:b/>
          <w:color w:val="auto"/>
          <w:sz w:val="36"/>
          <w:szCs w:val="36"/>
          <w:highlight w:val="none"/>
          <w:lang w:val="en-US" w:eastAsia="zh-CN"/>
        </w:rPr>
        <w:t>不适用</w:t>
      </w:r>
      <w:r>
        <w:rPr>
          <w:rFonts w:hint="eastAsia"/>
          <w:b/>
          <w:color w:val="auto"/>
          <w:sz w:val="36"/>
          <w:szCs w:val="36"/>
          <w:highlight w:val="none"/>
        </w:rPr>
        <w:t>）</w:t>
      </w:r>
    </w:p>
    <w:p>
      <w:pPr>
        <w:adjustRightInd w:val="0"/>
        <w:snapToGrid w:val="0"/>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甲方（供应商）：______</w:t>
      </w:r>
    </w:p>
    <w:p>
      <w:pPr>
        <w:adjustRightInd w:val="0"/>
        <w:snapToGrid w:val="0"/>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乙方（拟分包单位）：______</w:t>
      </w:r>
    </w:p>
    <w:p>
      <w:pPr>
        <w:adjustRightInd w:val="0"/>
        <w:snapToGrid w:val="0"/>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甲方承诺，一旦在______（采购项目名称）（项目编号/包号为：______）采购项目中获得采购合同，将按照下述约定将合同项下部分内容分包给乙方：</w:t>
      </w:r>
    </w:p>
    <w:p>
      <w:pPr>
        <w:adjustRightInd w:val="0"/>
        <w:snapToGrid w:val="0"/>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1.分包内容：______。</w:t>
      </w:r>
    </w:p>
    <w:p>
      <w:pPr>
        <w:adjustRightInd w:val="0"/>
        <w:snapToGrid w:val="0"/>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2.分包金额：______，该金额占该采购包预算总金额的比例为______%。</w:t>
      </w:r>
    </w:p>
    <w:p>
      <w:pPr>
        <w:adjustRightInd w:val="0"/>
        <w:snapToGrid w:val="0"/>
        <w:spacing w:line="360" w:lineRule="auto"/>
        <w:ind w:firstLine="480" w:firstLineChars="200"/>
        <w:jc w:val="left"/>
        <w:rPr>
          <w:rFonts w:hint="eastAsia" w:ascii="宋体" w:hAnsi="宋体" w:eastAsia="宋体" w:cs="宋体"/>
          <w:bCs/>
          <w:color w:val="000000"/>
          <w:sz w:val="24"/>
        </w:rPr>
      </w:pPr>
      <w:r>
        <w:rPr>
          <w:rFonts w:hint="eastAsia" w:ascii="宋体" w:hAnsi="宋体" w:eastAsia="宋体" w:cs="宋体"/>
          <w:sz w:val="24"/>
        </w:rPr>
        <w:t>乙方承诺将在上述情况下与甲方签订分包合同。</w:t>
      </w:r>
    </w:p>
    <w:p>
      <w:pPr>
        <w:adjustRightInd w:val="0"/>
        <w:snapToGrid w:val="0"/>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本协议自各方盖章之日起生效，如甲方未在该项目（采购包）成交，本协议自动终止。</w:t>
      </w:r>
    </w:p>
    <w:p>
      <w:pPr>
        <w:spacing w:line="360" w:lineRule="auto"/>
        <w:ind w:firstLine="471"/>
        <w:rPr>
          <w:rFonts w:hint="eastAsia" w:ascii="宋体" w:hAnsi="宋体" w:eastAsia="宋体" w:cs="宋体"/>
          <w:b/>
          <w:color w:val="000000"/>
          <w:sz w:val="24"/>
        </w:rPr>
      </w:pPr>
    </w:p>
    <w:p>
      <w:pPr>
        <w:spacing w:line="360" w:lineRule="auto"/>
        <w:ind w:firstLine="471"/>
        <w:rPr>
          <w:rFonts w:hint="eastAsia" w:ascii="宋体" w:hAnsi="宋体" w:eastAsia="宋体" w:cs="宋体"/>
          <w:b/>
          <w:color w:val="000000"/>
          <w:sz w:val="24"/>
        </w:rPr>
      </w:pPr>
      <w:r>
        <w:rPr>
          <w:rFonts w:hint="eastAsia" w:ascii="宋体" w:hAnsi="宋体" w:eastAsia="宋体" w:cs="宋体"/>
          <w:color w:val="000000"/>
          <w:sz w:val="24"/>
        </w:rPr>
        <w:t>甲方（盖章）：</w:t>
      </w:r>
      <w:r>
        <w:rPr>
          <w:rFonts w:hint="eastAsia" w:ascii="宋体" w:hAnsi="宋体" w:eastAsia="宋体" w:cs="宋体"/>
          <w:sz w:val="24"/>
        </w:rPr>
        <w:t>______</w:t>
      </w:r>
      <w:r>
        <w:rPr>
          <w:rFonts w:hint="eastAsia" w:ascii="宋体" w:hAnsi="宋体" w:eastAsia="宋体" w:cs="宋体"/>
          <w:color w:val="000000"/>
          <w:sz w:val="24"/>
        </w:rPr>
        <w:t xml:space="preserve">                     乙方（盖章）：</w:t>
      </w:r>
      <w:r>
        <w:rPr>
          <w:rFonts w:hint="eastAsia" w:ascii="宋体" w:hAnsi="宋体" w:eastAsia="宋体" w:cs="宋体"/>
          <w:sz w:val="24"/>
        </w:rPr>
        <w:t>______</w:t>
      </w:r>
    </w:p>
    <w:p>
      <w:pPr>
        <w:spacing w:line="360" w:lineRule="auto"/>
        <w:ind w:left="480"/>
        <w:jc w:val="right"/>
        <w:rPr>
          <w:rFonts w:hint="eastAsia" w:ascii="宋体" w:hAnsi="宋体" w:eastAsia="宋体" w:cs="宋体"/>
          <w:color w:val="000000"/>
          <w:sz w:val="24"/>
        </w:rPr>
      </w:pPr>
    </w:p>
    <w:p>
      <w:pPr>
        <w:wordWrap w:val="0"/>
        <w:spacing w:line="360" w:lineRule="auto"/>
        <w:ind w:left="480"/>
        <w:jc w:val="right"/>
        <w:rPr>
          <w:rFonts w:hint="eastAsia" w:ascii="宋体" w:hAnsi="宋体" w:eastAsia="宋体" w:cs="宋体"/>
          <w:b/>
          <w:color w:val="000000"/>
          <w:sz w:val="24"/>
        </w:rPr>
      </w:pPr>
      <w:r>
        <w:rPr>
          <w:rFonts w:hint="eastAsia" w:ascii="宋体" w:hAnsi="宋体" w:eastAsia="宋体" w:cs="宋体"/>
          <w:color w:val="000000"/>
          <w:sz w:val="24"/>
          <w:szCs w:val="20"/>
        </w:rPr>
        <w:t>日期：</w:t>
      </w:r>
      <w:r>
        <w:rPr>
          <w:rFonts w:hint="eastAsia" w:ascii="宋体" w:hAnsi="宋体" w:eastAsia="宋体" w:cs="宋体"/>
          <w:sz w:val="24"/>
        </w:rPr>
        <w:t>______</w:t>
      </w:r>
      <w:r>
        <w:rPr>
          <w:rFonts w:hint="eastAsia" w:ascii="宋体" w:hAnsi="宋体" w:eastAsia="宋体" w:cs="宋体"/>
          <w:color w:val="000000"/>
          <w:sz w:val="24"/>
          <w:szCs w:val="20"/>
        </w:rPr>
        <w:t>年</w:t>
      </w:r>
      <w:r>
        <w:rPr>
          <w:rFonts w:hint="eastAsia" w:ascii="宋体" w:hAnsi="宋体" w:eastAsia="宋体" w:cs="宋体"/>
          <w:sz w:val="24"/>
        </w:rPr>
        <w:t>______</w:t>
      </w:r>
      <w:r>
        <w:rPr>
          <w:rFonts w:hint="eastAsia" w:ascii="宋体" w:hAnsi="宋体" w:eastAsia="宋体" w:cs="宋体"/>
          <w:color w:val="000000"/>
          <w:sz w:val="24"/>
          <w:szCs w:val="20"/>
        </w:rPr>
        <w:t>月</w:t>
      </w:r>
      <w:r>
        <w:rPr>
          <w:rFonts w:hint="eastAsia" w:ascii="宋体" w:hAnsi="宋体" w:eastAsia="宋体" w:cs="宋体"/>
          <w:sz w:val="24"/>
        </w:rPr>
        <w:t>______</w:t>
      </w:r>
      <w:r>
        <w:rPr>
          <w:rFonts w:hint="eastAsia" w:ascii="宋体" w:hAnsi="宋体" w:eastAsia="宋体" w:cs="宋体"/>
          <w:color w:val="000000"/>
          <w:sz w:val="24"/>
          <w:szCs w:val="20"/>
        </w:rPr>
        <w:t xml:space="preserve">日   </w:t>
      </w:r>
    </w:p>
    <w:p>
      <w:pPr>
        <w:tabs>
          <w:tab w:val="left" w:pos="8280"/>
        </w:tabs>
        <w:spacing w:line="360" w:lineRule="auto"/>
        <w:ind w:firstLine="480"/>
        <w:rPr>
          <w:rFonts w:hint="eastAsia" w:ascii="宋体" w:hAnsi="宋体" w:eastAsia="宋体" w:cs="宋体"/>
          <w:color w:val="000000"/>
          <w:sz w:val="24"/>
        </w:rPr>
      </w:pPr>
    </w:p>
    <w:p>
      <w:pPr>
        <w:tabs>
          <w:tab w:val="left" w:pos="8280"/>
        </w:tabs>
        <w:spacing w:line="360" w:lineRule="auto"/>
        <w:rPr>
          <w:rFonts w:hint="eastAsia" w:ascii="宋体" w:hAnsi="宋体" w:eastAsia="宋体" w:cs="宋体"/>
          <w:color w:val="000000"/>
          <w:sz w:val="24"/>
        </w:rPr>
        <w:sectPr>
          <w:headerReference r:id="rId19" w:type="first"/>
          <w:footerReference r:id="rId22" w:type="first"/>
          <w:headerReference r:id="rId17" w:type="default"/>
          <w:footerReference r:id="rId20" w:type="default"/>
          <w:headerReference r:id="rId18" w:type="even"/>
          <w:footerReference r:id="rId21" w:type="even"/>
          <w:pgSz w:w="11907" w:h="16840"/>
          <w:pgMar w:top="1418" w:right="1134" w:bottom="1418" w:left="1701" w:header="851" w:footer="851" w:gutter="0"/>
          <w:pgNumType w:fmt="decimal"/>
          <w:cols w:space="720" w:num="1"/>
          <w:docGrid w:linePitch="462" w:charSpace="0"/>
        </w:sectPr>
      </w:pPr>
      <w:r>
        <w:rPr>
          <w:rFonts w:hint="eastAsia" w:ascii="宋体" w:hAnsi="宋体" w:eastAsia="宋体" w:cs="宋体"/>
          <w:color w:val="000000"/>
          <w:sz w:val="24"/>
        </w:rPr>
        <w:t>说明：供应商须与所有拟分包单位分别签订《分包意向协议》，每单位签订一份，并在响应文件中提交全部协议原件的电子件，否则</w:t>
      </w:r>
      <w:r>
        <w:rPr>
          <w:rFonts w:hint="eastAsia" w:ascii="宋体" w:hAnsi="宋体" w:eastAsia="宋体" w:cs="宋体"/>
          <w:b/>
          <w:color w:val="000000"/>
          <w:sz w:val="24"/>
        </w:rPr>
        <w:t>响应无效</w:t>
      </w:r>
      <w:r>
        <w:rPr>
          <w:rFonts w:hint="eastAsia" w:ascii="宋体" w:hAnsi="宋体" w:eastAsia="宋体" w:cs="宋体"/>
          <w:color w:val="000000"/>
          <w:sz w:val="24"/>
        </w:rPr>
        <w:t>。</w:t>
      </w:r>
    </w:p>
    <w:p>
      <w:pPr>
        <w:spacing w:line="360" w:lineRule="auto"/>
        <w:outlineLvl w:val="2"/>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2-2 </w:t>
      </w:r>
      <w:r>
        <w:rPr>
          <w:rFonts w:hint="eastAsia" w:ascii="宋体" w:hAnsi="宋体" w:eastAsia="宋体" w:cs="宋体"/>
          <w:sz w:val="24"/>
        </w:rPr>
        <w:t>其它落实政府采购政策的资格要求</w:t>
      </w:r>
      <w:r>
        <w:rPr>
          <w:rFonts w:hint="eastAsia" w:ascii="宋体" w:hAnsi="宋体" w:eastAsia="宋体" w:cs="宋体"/>
          <w:color w:val="000000"/>
          <w:sz w:val="24"/>
          <w:szCs w:val="20"/>
        </w:rPr>
        <w:t>（如有）</w:t>
      </w:r>
    </w:p>
    <w:p>
      <w:pPr>
        <w:widowControl/>
        <w:jc w:val="left"/>
        <w:rPr>
          <w:rFonts w:hint="eastAsia" w:ascii="宋体" w:hAnsi="宋体" w:eastAsia="宋体" w:cs="宋体"/>
          <w:sz w:val="24"/>
        </w:rPr>
      </w:pPr>
    </w:p>
    <w:p>
      <w:pPr>
        <w:widowControl/>
        <w:jc w:val="left"/>
        <w:rPr>
          <w:rFonts w:hint="eastAsia" w:ascii="宋体" w:hAnsi="宋体" w:eastAsia="宋体" w:cs="宋体"/>
          <w:sz w:val="24"/>
        </w:rPr>
      </w:pPr>
      <w:r>
        <w:rPr>
          <w:rFonts w:hint="eastAsia" w:ascii="宋体" w:hAnsi="宋体" w:eastAsia="宋体" w:cs="宋体"/>
          <w:sz w:val="24"/>
        </w:rPr>
        <w:br w:type="page"/>
      </w:r>
    </w:p>
    <w:p>
      <w:pPr>
        <w:spacing w:line="360" w:lineRule="auto"/>
        <w:outlineLvl w:val="1"/>
        <w:rPr>
          <w:rFonts w:hint="eastAsia" w:ascii="宋体" w:hAnsi="宋体" w:eastAsia="宋体" w:cs="宋体"/>
          <w:sz w:val="24"/>
        </w:rPr>
      </w:pPr>
      <w:r>
        <w:rPr>
          <w:rFonts w:hint="eastAsia" w:ascii="宋体" w:hAnsi="宋体" w:eastAsia="宋体" w:cs="宋体"/>
          <w:sz w:val="24"/>
        </w:rPr>
        <w:t>3 本项目的特定资格要求</w:t>
      </w:r>
      <w:r>
        <w:rPr>
          <w:rFonts w:hint="eastAsia" w:ascii="宋体" w:hAnsi="宋体" w:eastAsia="宋体" w:cs="宋体"/>
          <w:b/>
          <w:bCs/>
          <w:color w:val="000000"/>
          <w:sz w:val="24"/>
          <w:szCs w:val="20"/>
          <w:lang w:eastAsia="zh-CN"/>
        </w:rPr>
        <w:t>（本项目不适用）</w:t>
      </w:r>
    </w:p>
    <w:p>
      <w:pPr>
        <w:spacing w:line="360" w:lineRule="auto"/>
        <w:outlineLvl w:val="2"/>
        <w:rPr>
          <w:rFonts w:hint="eastAsia" w:ascii="宋体" w:hAnsi="宋体" w:eastAsia="宋体" w:cs="宋体"/>
          <w:color w:val="000000"/>
          <w:sz w:val="24"/>
          <w:szCs w:val="20"/>
          <w:lang w:eastAsia="zh-CN"/>
        </w:rPr>
      </w:pPr>
      <w:r>
        <w:rPr>
          <w:rFonts w:hint="eastAsia" w:ascii="宋体" w:hAnsi="宋体" w:eastAsia="宋体" w:cs="宋体"/>
          <w:color w:val="000000"/>
          <w:sz w:val="24"/>
          <w:szCs w:val="20"/>
        </w:rPr>
        <w:t>3-1联合协议</w:t>
      </w:r>
    </w:p>
    <w:p>
      <w:pPr>
        <w:autoSpaceDE w:val="0"/>
        <w:autoSpaceDN w:val="0"/>
        <w:adjustRightInd w:val="0"/>
        <w:spacing w:line="360" w:lineRule="auto"/>
        <w:jc w:val="center"/>
        <w:rPr>
          <w:rFonts w:hint="eastAsia" w:ascii="宋体" w:hAnsi="宋体" w:eastAsia="宋体" w:cs="宋体"/>
          <w:b/>
          <w:color w:val="000000"/>
          <w:sz w:val="36"/>
          <w:szCs w:val="36"/>
        </w:rPr>
      </w:pPr>
      <w:r>
        <w:rPr>
          <w:rFonts w:hint="eastAsia" w:ascii="宋体" w:hAnsi="宋体" w:eastAsia="宋体" w:cs="宋体"/>
          <w:b/>
          <w:color w:val="000000"/>
          <w:sz w:val="36"/>
          <w:szCs w:val="36"/>
        </w:rPr>
        <w:t>联合协议</w:t>
      </w:r>
    </w:p>
    <w:p>
      <w:pPr>
        <w:spacing w:line="360" w:lineRule="auto"/>
        <w:ind w:firstLine="828" w:firstLineChars="345"/>
        <w:rPr>
          <w:rFonts w:hint="eastAsia" w:ascii="宋体" w:hAnsi="宋体" w:eastAsia="宋体" w:cs="宋体"/>
          <w:bCs/>
          <w:color w:val="000000"/>
        </w:rPr>
      </w:pPr>
      <w:r>
        <w:rPr>
          <w:rFonts w:hint="eastAsia" w:ascii="宋体" w:hAnsi="宋体" w:eastAsia="宋体" w:cs="宋体"/>
          <w:sz w:val="24"/>
        </w:rPr>
        <w:t>______</w:t>
      </w:r>
      <w:r>
        <w:rPr>
          <w:rFonts w:hint="eastAsia" w:ascii="宋体" w:hAnsi="宋体" w:eastAsia="宋体" w:cs="宋体"/>
          <w:bCs/>
          <w:color w:val="000000"/>
          <w:sz w:val="24"/>
        </w:rPr>
        <w:t xml:space="preserve"> 、</w:t>
      </w:r>
      <w:r>
        <w:rPr>
          <w:rFonts w:hint="eastAsia" w:ascii="宋体" w:hAnsi="宋体" w:eastAsia="宋体" w:cs="宋体"/>
          <w:sz w:val="24"/>
        </w:rPr>
        <w:t>______</w:t>
      </w:r>
      <w:r>
        <w:rPr>
          <w:rFonts w:hint="eastAsia" w:ascii="宋体" w:hAnsi="宋体" w:eastAsia="宋体" w:cs="宋体"/>
          <w:bCs/>
          <w:color w:val="000000"/>
          <w:sz w:val="24"/>
        </w:rPr>
        <w:t>及</w:t>
      </w:r>
      <w:r>
        <w:rPr>
          <w:rFonts w:hint="eastAsia" w:ascii="宋体" w:hAnsi="宋体" w:eastAsia="宋体" w:cs="宋体"/>
          <w:sz w:val="24"/>
        </w:rPr>
        <w:t>______</w:t>
      </w:r>
      <w:r>
        <w:rPr>
          <w:rFonts w:hint="eastAsia" w:ascii="宋体" w:hAnsi="宋体" w:eastAsia="宋体" w:cs="宋体"/>
          <w:bCs/>
          <w:color w:val="000000"/>
          <w:sz w:val="24"/>
        </w:rPr>
        <w:t>就“</w:t>
      </w:r>
      <w:r>
        <w:rPr>
          <w:rFonts w:hint="eastAsia" w:ascii="宋体" w:hAnsi="宋体" w:eastAsia="宋体" w:cs="宋体"/>
          <w:sz w:val="24"/>
        </w:rPr>
        <w:t>______</w:t>
      </w:r>
      <w:r>
        <w:rPr>
          <w:rFonts w:hint="eastAsia" w:ascii="宋体" w:hAnsi="宋体" w:eastAsia="宋体" w:cs="宋体"/>
          <w:bCs/>
          <w:color w:val="000000"/>
          <w:sz w:val="24"/>
        </w:rPr>
        <w:t>（项目名称）</w:t>
      </w:r>
      <w:r>
        <w:rPr>
          <w:rFonts w:hint="eastAsia" w:ascii="宋体" w:hAnsi="宋体" w:eastAsia="宋体" w:cs="宋体"/>
          <w:color w:val="000000"/>
          <w:sz w:val="24"/>
        </w:rPr>
        <w:t>”</w:t>
      </w:r>
      <w:r>
        <w:rPr>
          <w:rFonts w:hint="eastAsia" w:ascii="宋体" w:hAnsi="宋体" w:eastAsia="宋体" w:cs="宋体"/>
          <w:sz w:val="24"/>
        </w:rPr>
        <w:t xml:space="preserve"> ______</w:t>
      </w:r>
      <w:r>
        <w:rPr>
          <w:rFonts w:hint="eastAsia" w:ascii="宋体" w:hAnsi="宋体" w:eastAsia="宋体" w:cs="宋体"/>
          <w:color w:val="000000"/>
          <w:sz w:val="24"/>
        </w:rPr>
        <w:t>包</w:t>
      </w:r>
      <w:r>
        <w:rPr>
          <w:rFonts w:hint="eastAsia" w:ascii="宋体" w:hAnsi="宋体" w:eastAsia="宋体" w:cs="宋体"/>
          <w:bCs/>
          <w:color w:val="000000"/>
          <w:sz w:val="24"/>
        </w:rPr>
        <w:t>采购项目的磋商事宜，经各方充分协商一致，达成如下协议：</w:t>
      </w:r>
    </w:p>
    <w:p>
      <w:pPr>
        <w:numPr>
          <w:ilvl w:val="0"/>
          <w:numId w:val="18"/>
        </w:numPr>
        <w:spacing w:line="360" w:lineRule="auto"/>
        <w:rPr>
          <w:rFonts w:hint="eastAsia" w:ascii="宋体" w:hAnsi="宋体" w:eastAsia="宋体" w:cs="宋体"/>
          <w:bCs/>
          <w:color w:val="000000"/>
          <w:sz w:val="24"/>
        </w:rPr>
      </w:pPr>
      <w:r>
        <w:rPr>
          <w:rFonts w:hint="eastAsia" w:ascii="宋体" w:hAnsi="宋体" w:eastAsia="宋体" w:cs="宋体"/>
          <w:bCs/>
          <w:color w:val="000000"/>
          <w:sz w:val="24"/>
        </w:rPr>
        <w:t>由</w:t>
      </w:r>
      <w:r>
        <w:rPr>
          <w:rFonts w:hint="eastAsia" w:ascii="宋体" w:hAnsi="宋体" w:eastAsia="宋体" w:cs="宋体"/>
          <w:sz w:val="24"/>
        </w:rPr>
        <w:t>____</w:t>
      </w:r>
      <w:r>
        <w:rPr>
          <w:rFonts w:hint="eastAsia" w:ascii="宋体" w:hAnsi="宋体" w:eastAsia="宋体" w:cs="宋体"/>
          <w:bCs/>
          <w:color w:val="000000"/>
          <w:sz w:val="24"/>
        </w:rPr>
        <w:t>__</w:t>
      </w:r>
      <w:r>
        <w:rPr>
          <w:rFonts w:hint="eastAsia" w:ascii="宋体" w:hAnsi="宋体" w:eastAsia="宋体" w:cs="宋体"/>
          <w:sz w:val="24"/>
        </w:rPr>
        <w:t>__</w:t>
      </w:r>
      <w:r>
        <w:rPr>
          <w:rFonts w:hint="eastAsia" w:ascii="宋体" w:hAnsi="宋体" w:eastAsia="宋体" w:cs="宋体"/>
          <w:bCs/>
          <w:color w:val="000000"/>
          <w:sz w:val="24"/>
        </w:rPr>
        <w:t>牵头，</w:t>
      </w:r>
      <w:r>
        <w:rPr>
          <w:rFonts w:hint="eastAsia" w:ascii="宋体" w:hAnsi="宋体" w:eastAsia="宋体" w:cs="宋体"/>
          <w:sz w:val="24"/>
        </w:rPr>
        <w:t>___</w:t>
      </w:r>
      <w:r>
        <w:rPr>
          <w:rFonts w:hint="eastAsia" w:ascii="宋体" w:hAnsi="宋体" w:eastAsia="宋体" w:cs="宋体"/>
          <w:bCs/>
          <w:color w:val="000000"/>
          <w:sz w:val="24"/>
        </w:rPr>
        <w:t>__</w:t>
      </w:r>
      <w:r>
        <w:rPr>
          <w:rFonts w:hint="eastAsia" w:ascii="宋体" w:hAnsi="宋体" w:eastAsia="宋体" w:cs="宋体"/>
          <w:sz w:val="24"/>
        </w:rPr>
        <w:t>___</w:t>
      </w:r>
      <w:r>
        <w:rPr>
          <w:rFonts w:hint="eastAsia" w:ascii="宋体" w:hAnsi="宋体" w:eastAsia="宋体" w:cs="宋体"/>
          <w:bCs/>
          <w:color w:val="000000"/>
          <w:sz w:val="24"/>
        </w:rPr>
        <w:t>、</w:t>
      </w:r>
      <w:r>
        <w:rPr>
          <w:rFonts w:hint="eastAsia" w:ascii="宋体" w:hAnsi="宋体" w:eastAsia="宋体" w:cs="宋体"/>
          <w:sz w:val="24"/>
        </w:rPr>
        <w:t>___</w:t>
      </w:r>
      <w:r>
        <w:rPr>
          <w:rFonts w:hint="eastAsia" w:ascii="宋体" w:hAnsi="宋体" w:eastAsia="宋体" w:cs="宋体"/>
          <w:bCs/>
          <w:color w:val="000000"/>
          <w:sz w:val="24"/>
        </w:rPr>
        <w:t>__</w:t>
      </w:r>
      <w:r>
        <w:rPr>
          <w:rFonts w:hint="eastAsia" w:ascii="宋体" w:hAnsi="宋体" w:eastAsia="宋体" w:cs="宋体"/>
          <w:sz w:val="24"/>
        </w:rPr>
        <w:t>___</w:t>
      </w:r>
      <w:r>
        <w:rPr>
          <w:rFonts w:hint="eastAsia" w:ascii="宋体" w:hAnsi="宋体" w:eastAsia="宋体" w:cs="宋体"/>
          <w:bCs/>
          <w:color w:val="000000"/>
          <w:sz w:val="24"/>
        </w:rPr>
        <w:t>参加，组成联合体共同进行采购项目的磋商工作。</w:t>
      </w:r>
    </w:p>
    <w:p>
      <w:pPr>
        <w:numPr>
          <w:ilvl w:val="0"/>
          <w:numId w:val="18"/>
        </w:numPr>
        <w:spacing w:line="360" w:lineRule="auto"/>
        <w:rPr>
          <w:rFonts w:hint="eastAsia" w:ascii="宋体" w:hAnsi="宋体" w:eastAsia="宋体" w:cs="宋体"/>
          <w:bCs/>
          <w:color w:val="000000"/>
          <w:sz w:val="24"/>
        </w:rPr>
      </w:pPr>
      <w:r>
        <w:rPr>
          <w:rFonts w:hint="eastAsia" w:ascii="宋体" w:hAnsi="宋体" w:eastAsia="宋体" w:cs="宋体"/>
          <w:sz w:val="24"/>
        </w:rPr>
        <w:t>______</w:t>
      </w:r>
      <w:r>
        <w:rPr>
          <w:rFonts w:hint="eastAsia" w:ascii="宋体" w:hAnsi="宋体" w:eastAsia="宋体" w:cs="宋体"/>
          <w:bCs/>
          <w:color w:val="000000"/>
          <w:sz w:val="24"/>
        </w:rPr>
        <w:t>为本次磋商的牵头人，联合体以牵头人的名义参加磋商，联合体成交后，联合体各方共同与采购人签订合同，就</w:t>
      </w:r>
      <w:r>
        <w:rPr>
          <w:rFonts w:hint="eastAsia" w:ascii="宋体" w:hAnsi="宋体" w:eastAsia="宋体" w:cs="宋体"/>
          <w:color w:val="000000"/>
          <w:sz w:val="24"/>
          <w:szCs w:val="20"/>
        </w:rPr>
        <w:t>采购合同约定的事项</w:t>
      </w:r>
      <w:r>
        <w:rPr>
          <w:rFonts w:hint="eastAsia" w:ascii="宋体" w:hAnsi="宋体" w:eastAsia="宋体" w:cs="宋体"/>
          <w:bCs/>
          <w:color w:val="000000"/>
          <w:sz w:val="24"/>
        </w:rPr>
        <w:t>对采购人承担连带责任。</w:t>
      </w:r>
    </w:p>
    <w:p>
      <w:pPr>
        <w:numPr>
          <w:ilvl w:val="0"/>
          <w:numId w:val="18"/>
        </w:numPr>
        <w:spacing w:line="360" w:lineRule="auto"/>
        <w:rPr>
          <w:rFonts w:hint="eastAsia" w:ascii="宋体" w:hAnsi="宋体" w:eastAsia="宋体" w:cs="宋体"/>
          <w:bCs/>
          <w:color w:val="000000"/>
          <w:sz w:val="24"/>
        </w:rPr>
      </w:pPr>
      <w:r>
        <w:rPr>
          <w:rFonts w:hint="eastAsia" w:ascii="宋体" w:hAnsi="宋体" w:eastAsia="宋体" w:cs="宋体"/>
          <w:bCs/>
          <w:color w:val="000000"/>
          <w:sz w:val="24"/>
        </w:rPr>
        <w:t>联合体各方均同意由牵头人代表其他联合体成员单位按竞争性磋商文件要求出具《授权委托书》。</w:t>
      </w:r>
    </w:p>
    <w:p>
      <w:pPr>
        <w:numPr>
          <w:ilvl w:val="0"/>
          <w:numId w:val="18"/>
        </w:numPr>
        <w:spacing w:line="360" w:lineRule="auto"/>
        <w:rPr>
          <w:rFonts w:hint="eastAsia" w:ascii="宋体" w:hAnsi="宋体" w:eastAsia="宋体" w:cs="宋体"/>
          <w:bCs/>
          <w:color w:val="000000"/>
          <w:sz w:val="24"/>
        </w:rPr>
      </w:pPr>
      <w:r>
        <w:rPr>
          <w:rFonts w:hint="eastAsia" w:ascii="宋体" w:hAnsi="宋体" w:eastAsia="宋体" w:cs="宋体"/>
          <w:bCs/>
          <w:color w:val="000000"/>
          <w:sz w:val="24"/>
        </w:rPr>
        <w:t>牵头人为项目的总负责单位；组织各参加方进行项目实施工作。</w:t>
      </w:r>
    </w:p>
    <w:p>
      <w:pPr>
        <w:numPr>
          <w:ilvl w:val="0"/>
          <w:numId w:val="18"/>
        </w:numPr>
        <w:spacing w:line="360" w:lineRule="auto"/>
        <w:rPr>
          <w:rFonts w:hint="eastAsia" w:ascii="宋体" w:hAnsi="宋体" w:eastAsia="宋体" w:cs="宋体"/>
          <w:bCs/>
          <w:color w:val="000000"/>
          <w:sz w:val="24"/>
        </w:rPr>
      </w:pPr>
      <w:r>
        <w:rPr>
          <w:rFonts w:hint="eastAsia" w:ascii="宋体" w:hAnsi="宋体" w:eastAsia="宋体" w:cs="宋体"/>
          <w:sz w:val="24"/>
        </w:rPr>
        <w:t>______</w:t>
      </w:r>
      <w:r>
        <w:rPr>
          <w:rFonts w:hint="eastAsia" w:ascii="宋体" w:hAnsi="宋体" w:eastAsia="宋体" w:cs="宋体"/>
          <w:bCs/>
          <w:color w:val="000000"/>
          <w:sz w:val="24"/>
        </w:rPr>
        <w:t>负责</w:t>
      </w:r>
      <w:r>
        <w:rPr>
          <w:rFonts w:hint="eastAsia" w:ascii="宋体" w:hAnsi="宋体" w:eastAsia="宋体" w:cs="宋体"/>
          <w:sz w:val="24"/>
        </w:rPr>
        <w:t>______</w:t>
      </w:r>
      <w:r>
        <w:rPr>
          <w:rFonts w:hint="eastAsia" w:ascii="宋体" w:hAnsi="宋体" w:eastAsia="宋体" w:cs="宋体"/>
          <w:bCs/>
          <w:color w:val="000000"/>
          <w:sz w:val="24"/>
        </w:rPr>
        <w:t>，具体工作范围、内容以响应文件及合同为准。</w:t>
      </w:r>
    </w:p>
    <w:p>
      <w:pPr>
        <w:numPr>
          <w:ilvl w:val="0"/>
          <w:numId w:val="18"/>
        </w:numPr>
        <w:spacing w:line="360" w:lineRule="auto"/>
        <w:rPr>
          <w:rFonts w:hint="eastAsia" w:ascii="宋体" w:hAnsi="宋体" w:eastAsia="宋体" w:cs="宋体"/>
          <w:bCs/>
          <w:color w:val="000000"/>
          <w:sz w:val="24"/>
        </w:rPr>
      </w:pPr>
      <w:r>
        <w:rPr>
          <w:rFonts w:hint="eastAsia" w:ascii="宋体" w:hAnsi="宋体" w:eastAsia="宋体" w:cs="宋体"/>
          <w:sz w:val="24"/>
        </w:rPr>
        <w:t>______</w:t>
      </w:r>
      <w:r>
        <w:rPr>
          <w:rFonts w:hint="eastAsia" w:ascii="宋体" w:hAnsi="宋体" w:eastAsia="宋体" w:cs="宋体"/>
          <w:bCs/>
          <w:color w:val="000000"/>
          <w:sz w:val="24"/>
        </w:rPr>
        <w:t>负责</w:t>
      </w:r>
      <w:r>
        <w:rPr>
          <w:rFonts w:hint="eastAsia" w:ascii="宋体" w:hAnsi="宋体" w:eastAsia="宋体" w:cs="宋体"/>
          <w:sz w:val="24"/>
        </w:rPr>
        <w:t>______</w:t>
      </w:r>
      <w:r>
        <w:rPr>
          <w:rFonts w:hint="eastAsia" w:ascii="宋体" w:hAnsi="宋体" w:eastAsia="宋体" w:cs="宋体"/>
          <w:bCs/>
          <w:color w:val="000000"/>
          <w:sz w:val="24"/>
        </w:rPr>
        <w:t>，具体工作范围、内容以响应文件及合同为准。</w:t>
      </w:r>
    </w:p>
    <w:p>
      <w:pPr>
        <w:numPr>
          <w:ilvl w:val="0"/>
          <w:numId w:val="18"/>
        </w:numPr>
        <w:spacing w:line="360" w:lineRule="auto"/>
        <w:rPr>
          <w:rFonts w:hint="eastAsia" w:ascii="宋体" w:hAnsi="宋体" w:eastAsia="宋体" w:cs="宋体"/>
          <w:bCs/>
          <w:color w:val="000000"/>
          <w:sz w:val="24"/>
        </w:rPr>
      </w:pPr>
      <w:r>
        <w:rPr>
          <w:rFonts w:hint="eastAsia" w:ascii="宋体" w:hAnsi="宋体" w:eastAsia="宋体" w:cs="宋体"/>
          <w:sz w:val="24"/>
        </w:rPr>
        <w:t>______</w:t>
      </w:r>
      <w:r>
        <w:rPr>
          <w:rFonts w:hint="eastAsia" w:ascii="宋体" w:hAnsi="宋体" w:eastAsia="宋体" w:cs="宋体"/>
          <w:bCs/>
          <w:color w:val="000000"/>
          <w:sz w:val="24"/>
        </w:rPr>
        <w:t>负责</w:t>
      </w:r>
      <w:r>
        <w:rPr>
          <w:rFonts w:hint="eastAsia" w:ascii="宋体" w:hAnsi="宋体" w:eastAsia="宋体" w:cs="宋体"/>
          <w:sz w:val="24"/>
        </w:rPr>
        <w:t>______</w:t>
      </w:r>
      <w:r>
        <w:rPr>
          <w:rFonts w:hint="eastAsia" w:ascii="宋体" w:hAnsi="宋体" w:eastAsia="宋体" w:cs="宋体"/>
          <w:bCs/>
          <w:color w:val="000000"/>
          <w:sz w:val="24"/>
        </w:rPr>
        <w:t>（如有），具体工作范围、内容以响应文件及合同为准。</w:t>
      </w:r>
    </w:p>
    <w:p>
      <w:pPr>
        <w:numPr>
          <w:ilvl w:val="0"/>
          <w:numId w:val="18"/>
        </w:numPr>
        <w:spacing w:line="360" w:lineRule="auto"/>
        <w:rPr>
          <w:rFonts w:hint="eastAsia" w:ascii="宋体" w:hAnsi="宋体" w:eastAsia="宋体" w:cs="宋体"/>
          <w:sz w:val="24"/>
        </w:rPr>
      </w:pPr>
      <w:r>
        <w:rPr>
          <w:rFonts w:hint="eastAsia" w:ascii="宋体" w:hAnsi="宋体" w:eastAsia="宋体" w:cs="宋体"/>
          <w:sz w:val="24"/>
        </w:rPr>
        <w:t>本项目联合协议合同总额为______元，联合体各成员按照如下比例分摊（按联合体成员分别列明）：</w:t>
      </w:r>
    </w:p>
    <w:p>
      <w:pPr>
        <w:tabs>
          <w:tab w:val="left" w:pos="720"/>
          <w:tab w:val="left" w:pos="900"/>
        </w:tabs>
        <w:spacing w:line="360" w:lineRule="auto"/>
        <w:ind w:left="851"/>
        <w:rPr>
          <w:rFonts w:hint="eastAsia" w:ascii="宋体" w:hAnsi="宋体" w:eastAsia="宋体" w:cs="宋体"/>
          <w:color w:val="000000"/>
          <w:sz w:val="24"/>
          <w:szCs w:val="20"/>
        </w:rPr>
      </w:pPr>
      <w:r>
        <w:rPr>
          <w:rFonts w:hint="eastAsia" w:ascii="宋体" w:hAnsi="宋体" w:eastAsia="宋体" w:cs="宋体"/>
          <w:color w:val="000000"/>
          <w:sz w:val="24"/>
          <w:szCs w:val="20"/>
        </w:rPr>
        <w:t>（1）</w:t>
      </w:r>
      <w:r>
        <w:rPr>
          <w:rFonts w:hint="eastAsia" w:ascii="宋体" w:hAnsi="宋体" w:eastAsia="宋体" w:cs="宋体"/>
          <w:sz w:val="24"/>
        </w:rPr>
        <w:t>______</w:t>
      </w:r>
      <w:r>
        <w:rPr>
          <w:rFonts w:hint="eastAsia" w:ascii="宋体" w:hAnsi="宋体" w:eastAsia="宋体" w:cs="宋体"/>
          <w:color w:val="000000"/>
          <w:sz w:val="24"/>
          <w:szCs w:val="20"/>
        </w:rPr>
        <w:t>为□大型企业□中型企业、□小微企业（包含监狱企业、残疾人福利性单位）、□其他，合同金额为</w:t>
      </w:r>
      <w:r>
        <w:rPr>
          <w:rFonts w:hint="eastAsia" w:ascii="宋体" w:hAnsi="宋体" w:eastAsia="宋体" w:cs="宋体"/>
          <w:sz w:val="24"/>
        </w:rPr>
        <w:t>______</w:t>
      </w:r>
      <w:r>
        <w:rPr>
          <w:rFonts w:hint="eastAsia" w:ascii="宋体" w:hAnsi="宋体" w:eastAsia="宋体" w:cs="宋体"/>
          <w:color w:val="000000"/>
          <w:sz w:val="24"/>
          <w:szCs w:val="20"/>
        </w:rPr>
        <w:t>元；</w:t>
      </w:r>
    </w:p>
    <w:p>
      <w:pPr>
        <w:tabs>
          <w:tab w:val="left" w:pos="720"/>
          <w:tab w:val="left" w:pos="900"/>
        </w:tabs>
        <w:spacing w:line="360" w:lineRule="auto"/>
        <w:ind w:left="851"/>
        <w:rPr>
          <w:rFonts w:hint="eastAsia" w:ascii="宋体" w:hAnsi="宋体" w:eastAsia="宋体" w:cs="宋体"/>
          <w:color w:val="000000"/>
          <w:sz w:val="24"/>
          <w:szCs w:val="20"/>
        </w:rPr>
      </w:pPr>
      <w:r>
        <w:rPr>
          <w:rFonts w:hint="eastAsia" w:ascii="宋体" w:hAnsi="宋体" w:eastAsia="宋体" w:cs="宋体"/>
          <w:color w:val="000000"/>
          <w:sz w:val="24"/>
          <w:szCs w:val="20"/>
        </w:rPr>
        <w:t>（2）</w:t>
      </w:r>
      <w:r>
        <w:rPr>
          <w:rFonts w:hint="eastAsia" w:ascii="宋体" w:hAnsi="宋体" w:eastAsia="宋体" w:cs="宋体"/>
          <w:sz w:val="24"/>
        </w:rPr>
        <w:t>______</w:t>
      </w:r>
      <w:r>
        <w:rPr>
          <w:rFonts w:hint="eastAsia" w:ascii="宋体" w:hAnsi="宋体" w:eastAsia="宋体" w:cs="宋体"/>
          <w:color w:val="000000"/>
          <w:sz w:val="24"/>
          <w:szCs w:val="20"/>
        </w:rPr>
        <w:t>为□大型企业□中型企业、□小微企业（包含监狱企业、残疾人福利性单位）、□其他，合同金额为</w:t>
      </w:r>
      <w:r>
        <w:rPr>
          <w:rFonts w:hint="eastAsia" w:ascii="宋体" w:hAnsi="宋体" w:eastAsia="宋体" w:cs="宋体"/>
          <w:sz w:val="24"/>
        </w:rPr>
        <w:t>______</w:t>
      </w:r>
      <w:r>
        <w:rPr>
          <w:rFonts w:hint="eastAsia" w:ascii="宋体" w:hAnsi="宋体" w:eastAsia="宋体" w:cs="宋体"/>
          <w:color w:val="000000"/>
          <w:sz w:val="24"/>
          <w:szCs w:val="20"/>
        </w:rPr>
        <w:t>元；</w:t>
      </w:r>
    </w:p>
    <w:p>
      <w:pPr>
        <w:tabs>
          <w:tab w:val="left" w:pos="720"/>
          <w:tab w:val="left" w:pos="900"/>
        </w:tabs>
        <w:spacing w:line="360" w:lineRule="auto"/>
        <w:ind w:left="851"/>
        <w:rPr>
          <w:rFonts w:hint="eastAsia" w:ascii="宋体" w:hAnsi="宋体" w:eastAsia="宋体" w:cs="宋体"/>
          <w:color w:val="000000"/>
          <w:sz w:val="24"/>
          <w:szCs w:val="20"/>
        </w:rPr>
      </w:pPr>
      <w:r>
        <w:rPr>
          <w:rFonts w:hint="eastAsia" w:ascii="宋体" w:hAnsi="宋体" w:eastAsia="宋体" w:cs="宋体"/>
          <w:color w:val="000000"/>
          <w:sz w:val="24"/>
          <w:szCs w:val="20"/>
        </w:rPr>
        <w:t>（…）</w:t>
      </w:r>
      <w:r>
        <w:rPr>
          <w:rFonts w:hint="eastAsia" w:ascii="宋体" w:hAnsi="宋体" w:eastAsia="宋体" w:cs="宋体"/>
          <w:sz w:val="24"/>
        </w:rPr>
        <w:t>______</w:t>
      </w:r>
      <w:r>
        <w:rPr>
          <w:rFonts w:hint="eastAsia" w:ascii="宋体" w:hAnsi="宋体" w:eastAsia="宋体" w:cs="宋体"/>
          <w:color w:val="000000"/>
          <w:sz w:val="24"/>
          <w:szCs w:val="20"/>
        </w:rPr>
        <w:t>为□大型企业□中型企业、□小微企业（包含监狱企业、残疾人福利性单位）、□其他，合同金额为</w:t>
      </w:r>
      <w:r>
        <w:rPr>
          <w:rFonts w:hint="eastAsia" w:ascii="宋体" w:hAnsi="宋体" w:eastAsia="宋体" w:cs="宋体"/>
          <w:sz w:val="24"/>
        </w:rPr>
        <w:t>______</w:t>
      </w:r>
      <w:r>
        <w:rPr>
          <w:rFonts w:hint="eastAsia" w:ascii="宋体" w:hAnsi="宋体" w:eastAsia="宋体" w:cs="宋体"/>
          <w:color w:val="000000"/>
          <w:sz w:val="24"/>
          <w:szCs w:val="20"/>
        </w:rPr>
        <w:t>元。</w:t>
      </w:r>
    </w:p>
    <w:p>
      <w:pPr>
        <w:numPr>
          <w:ilvl w:val="0"/>
          <w:numId w:val="18"/>
        </w:numPr>
        <w:tabs>
          <w:tab w:val="left" w:pos="993"/>
        </w:tabs>
        <w:spacing w:line="360" w:lineRule="auto"/>
        <w:rPr>
          <w:rFonts w:hint="eastAsia" w:ascii="宋体" w:hAnsi="宋体" w:eastAsia="宋体" w:cs="宋体"/>
          <w:bCs/>
          <w:color w:val="000000"/>
          <w:sz w:val="24"/>
        </w:rPr>
      </w:pPr>
      <w:r>
        <w:rPr>
          <w:rFonts w:hint="eastAsia" w:ascii="宋体" w:hAnsi="宋体" w:eastAsia="宋体" w:cs="宋体"/>
          <w:color w:val="000000"/>
          <w:sz w:val="24"/>
          <w:szCs w:val="20"/>
        </w:rPr>
        <w:t>以联合体形式参加政府采购活动的，联合体各方不得再单独参加或者与其他供应商另外组成联合体参加同一合同项下的政府采购活动。</w:t>
      </w:r>
    </w:p>
    <w:p>
      <w:pPr>
        <w:numPr>
          <w:ilvl w:val="0"/>
          <w:numId w:val="18"/>
        </w:numPr>
        <w:spacing w:line="360" w:lineRule="auto"/>
        <w:rPr>
          <w:rFonts w:hint="eastAsia" w:ascii="宋体" w:hAnsi="宋体" w:eastAsia="宋体" w:cs="宋体"/>
          <w:bCs/>
          <w:color w:val="000000"/>
          <w:sz w:val="24"/>
        </w:rPr>
      </w:pPr>
      <w:r>
        <w:rPr>
          <w:rFonts w:hint="eastAsia" w:ascii="宋体" w:hAnsi="宋体" w:eastAsia="宋体" w:cs="宋体"/>
          <w:bCs/>
          <w:color w:val="000000"/>
          <w:sz w:val="24"/>
        </w:rPr>
        <w:t>其他约定（如有）：</w:t>
      </w:r>
      <w:r>
        <w:rPr>
          <w:rFonts w:hint="eastAsia" w:ascii="宋体" w:hAnsi="宋体" w:eastAsia="宋体" w:cs="宋体"/>
          <w:sz w:val="24"/>
        </w:rPr>
        <w:t>______。</w:t>
      </w:r>
    </w:p>
    <w:p>
      <w:pPr>
        <w:tabs>
          <w:tab w:val="left" w:pos="780"/>
        </w:tabs>
        <w:spacing w:line="360" w:lineRule="auto"/>
        <w:ind w:left="180" w:firstLine="480" w:firstLineChars="200"/>
        <w:rPr>
          <w:rFonts w:hint="eastAsia" w:ascii="宋体" w:hAnsi="宋体" w:eastAsia="宋体" w:cs="宋体"/>
          <w:b/>
          <w:color w:val="000000"/>
          <w:sz w:val="24"/>
        </w:rPr>
      </w:pPr>
      <w:r>
        <w:rPr>
          <w:rFonts w:hint="eastAsia" w:ascii="宋体" w:hAnsi="宋体" w:eastAsia="宋体" w:cs="宋体"/>
          <w:bCs/>
          <w:color w:val="000000"/>
          <w:sz w:val="24"/>
        </w:rPr>
        <w:t>本协议自各方盖章后生效，采购合同履行完毕后自动失效。如未成交，本协议自动终止。</w:t>
      </w:r>
    </w:p>
    <w:p>
      <w:pPr>
        <w:spacing w:line="360" w:lineRule="auto"/>
        <w:ind w:firstLine="471"/>
        <w:rPr>
          <w:rFonts w:hint="eastAsia" w:ascii="宋体" w:hAnsi="宋体" w:eastAsia="宋体" w:cs="宋体"/>
          <w:color w:val="000000"/>
          <w:sz w:val="24"/>
        </w:rPr>
      </w:pPr>
      <w:r>
        <w:rPr>
          <w:rFonts w:hint="eastAsia" w:ascii="宋体" w:hAnsi="宋体" w:eastAsia="宋体" w:cs="宋体"/>
          <w:color w:val="000000"/>
          <w:sz w:val="24"/>
        </w:rPr>
        <w:br w:type="page"/>
      </w:r>
    </w:p>
    <w:p>
      <w:pPr>
        <w:spacing w:line="360" w:lineRule="auto"/>
        <w:ind w:firstLine="471"/>
        <w:rPr>
          <w:rFonts w:hint="eastAsia" w:ascii="宋体" w:hAnsi="宋体" w:eastAsia="宋体" w:cs="宋体"/>
          <w:color w:val="000000"/>
          <w:sz w:val="24"/>
        </w:rPr>
      </w:pPr>
      <w:r>
        <w:rPr>
          <w:rFonts w:hint="eastAsia" w:ascii="宋体" w:hAnsi="宋体" w:eastAsia="宋体" w:cs="宋体"/>
          <w:color w:val="000000"/>
          <w:sz w:val="24"/>
        </w:rPr>
        <w:t>联合体牵头人名称：</w:t>
      </w:r>
      <w:r>
        <w:rPr>
          <w:rFonts w:hint="eastAsia" w:ascii="宋体" w:hAnsi="宋体" w:eastAsia="宋体" w:cs="宋体"/>
          <w:color w:val="000000"/>
          <w:sz w:val="24"/>
          <w:szCs w:val="20"/>
        </w:rPr>
        <w:t>______</w:t>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 xml:space="preserve"> 联合体成员名称：</w:t>
      </w:r>
      <w:r>
        <w:rPr>
          <w:rFonts w:hint="eastAsia" w:ascii="宋体" w:hAnsi="宋体" w:eastAsia="宋体" w:cs="宋体"/>
          <w:color w:val="000000"/>
          <w:sz w:val="24"/>
          <w:szCs w:val="20"/>
        </w:rPr>
        <w:t>______</w:t>
      </w:r>
    </w:p>
    <w:p>
      <w:pPr>
        <w:spacing w:line="360" w:lineRule="auto"/>
        <w:ind w:firstLine="471"/>
        <w:rPr>
          <w:rFonts w:hint="eastAsia" w:ascii="宋体" w:hAnsi="宋体" w:eastAsia="宋体" w:cs="宋体"/>
          <w:color w:val="000000"/>
          <w:sz w:val="24"/>
        </w:rPr>
      </w:pPr>
      <w:r>
        <w:rPr>
          <w:rFonts w:hint="eastAsia" w:ascii="宋体" w:hAnsi="宋体" w:eastAsia="宋体" w:cs="宋体"/>
          <w:color w:val="000000"/>
          <w:sz w:val="24"/>
        </w:rPr>
        <w:t>盖章：</w:t>
      </w:r>
      <w:r>
        <w:rPr>
          <w:rFonts w:hint="eastAsia" w:ascii="宋体" w:hAnsi="宋体" w:eastAsia="宋体" w:cs="宋体"/>
          <w:color w:val="000000"/>
          <w:sz w:val="24"/>
          <w:szCs w:val="20"/>
        </w:rPr>
        <w:t>______</w:t>
      </w:r>
      <w:r>
        <w:rPr>
          <w:rFonts w:hint="eastAsia" w:ascii="宋体" w:hAnsi="宋体" w:eastAsia="宋体" w:cs="宋体"/>
          <w:color w:val="000000"/>
          <w:sz w:val="24"/>
        </w:rPr>
        <w:t xml:space="preserve">                           盖章：</w:t>
      </w:r>
      <w:r>
        <w:rPr>
          <w:rFonts w:hint="eastAsia" w:ascii="宋体" w:hAnsi="宋体" w:eastAsia="宋体" w:cs="宋体"/>
          <w:color w:val="000000"/>
          <w:sz w:val="24"/>
          <w:szCs w:val="20"/>
        </w:rPr>
        <w:t>______</w:t>
      </w:r>
    </w:p>
    <w:p>
      <w:pPr>
        <w:spacing w:line="360" w:lineRule="auto"/>
        <w:ind w:firstLine="471"/>
        <w:rPr>
          <w:rFonts w:hint="eastAsia" w:ascii="宋体" w:hAnsi="宋体" w:eastAsia="宋体" w:cs="宋体"/>
          <w:color w:val="000000"/>
          <w:sz w:val="24"/>
        </w:rPr>
      </w:pPr>
    </w:p>
    <w:p>
      <w:pPr>
        <w:spacing w:line="360" w:lineRule="auto"/>
        <w:ind w:firstLine="471"/>
        <w:rPr>
          <w:rFonts w:hint="eastAsia" w:ascii="宋体" w:hAnsi="宋体" w:eastAsia="宋体" w:cs="宋体"/>
          <w:color w:val="000000"/>
          <w:sz w:val="24"/>
        </w:rPr>
      </w:pPr>
    </w:p>
    <w:p>
      <w:pPr>
        <w:spacing w:line="360" w:lineRule="auto"/>
        <w:ind w:firstLine="471"/>
        <w:rPr>
          <w:rFonts w:hint="eastAsia" w:ascii="宋体" w:hAnsi="宋体" w:eastAsia="宋体" w:cs="宋体"/>
          <w:color w:val="000000"/>
          <w:sz w:val="24"/>
        </w:rPr>
      </w:pPr>
      <w:r>
        <w:rPr>
          <w:rFonts w:hint="eastAsia" w:ascii="宋体" w:hAnsi="宋体" w:eastAsia="宋体" w:cs="宋体"/>
          <w:color w:val="000000"/>
          <w:sz w:val="24"/>
        </w:rPr>
        <w:t>联合体成员名称：</w:t>
      </w:r>
      <w:r>
        <w:rPr>
          <w:rFonts w:hint="eastAsia" w:ascii="宋体" w:hAnsi="宋体" w:eastAsia="宋体" w:cs="宋体"/>
          <w:color w:val="000000"/>
          <w:sz w:val="24"/>
          <w:szCs w:val="20"/>
        </w:rPr>
        <w:t>______</w:t>
      </w:r>
    </w:p>
    <w:p>
      <w:pPr>
        <w:widowControl/>
        <w:ind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盖章：</w:t>
      </w:r>
      <w:r>
        <w:rPr>
          <w:rFonts w:hint="eastAsia" w:ascii="宋体" w:hAnsi="宋体" w:eastAsia="宋体" w:cs="宋体"/>
          <w:color w:val="000000"/>
          <w:sz w:val="24"/>
          <w:szCs w:val="20"/>
        </w:rPr>
        <w:t>______</w:t>
      </w:r>
      <w:r>
        <w:rPr>
          <w:rFonts w:hint="eastAsia" w:ascii="宋体" w:hAnsi="宋体" w:eastAsia="宋体" w:cs="宋体"/>
          <w:color w:val="000000"/>
          <w:sz w:val="24"/>
        </w:rPr>
        <w:t xml:space="preserve">         </w:t>
      </w:r>
    </w:p>
    <w:p>
      <w:pPr>
        <w:spacing w:line="360" w:lineRule="auto"/>
        <w:ind w:left="480"/>
        <w:jc w:val="right"/>
        <w:rPr>
          <w:rFonts w:hint="eastAsia" w:ascii="宋体" w:hAnsi="宋体" w:eastAsia="宋体" w:cs="宋体"/>
          <w:color w:val="000000"/>
          <w:sz w:val="24"/>
        </w:rPr>
      </w:pPr>
    </w:p>
    <w:p>
      <w:pPr>
        <w:spacing w:line="360" w:lineRule="auto"/>
        <w:ind w:left="480"/>
        <w:jc w:val="right"/>
        <w:rPr>
          <w:rFonts w:hint="eastAsia" w:ascii="宋体" w:hAnsi="宋体" w:eastAsia="宋体" w:cs="宋体"/>
          <w:color w:val="000000"/>
          <w:sz w:val="24"/>
        </w:rPr>
      </w:pPr>
      <w:r>
        <w:rPr>
          <w:rFonts w:hint="eastAsia" w:ascii="宋体" w:hAnsi="宋体" w:eastAsia="宋体" w:cs="宋体"/>
          <w:color w:val="000000"/>
          <w:sz w:val="24"/>
          <w:szCs w:val="20"/>
        </w:rPr>
        <w:t>日期：</w:t>
      </w:r>
      <w:r>
        <w:rPr>
          <w:rFonts w:hint="eastAsia" w:ascii="宋体" w:hAnsi="宋体" w:eastAsia="宋体" w:cs="宋体"/>
          <w:sz w:val="24"/>
        </w:rPr>
        <w:t>______</w:t>
      </w:r>
      <w:r>
        <w:rPr>
          <w:rFonts w:hint="eastAsia" w:ascii="宋体" w:hAnsi="宋体" w:eastAsia="宋体" w:cs="宋体"/>
          <w:color w:val="000000"/>
          <w:sz w:val="24"/>
          <w:szCs w:val="20"/>
        </w:rPr>
        <w:t>年</w:t>
      </w:r>
      <w:r>
        <w:rPr>
          <w:rFonts w:hint="eastAsia" w:ascii="宋体" w:hAnsi="宋体" w:eastAsia="宋体" w:cs="宋体"/>
          <w:sz w:val="24"/>
        </w:rPr>
        <w:t>______</w:t>
      </w:r>
      <w:r>
        <w:rPr>
          <w:rFonts w:hint="eastAsia" w:ascii="宋体" w:hAnsi="宋体" w:eastAsia="宋体" w:cs="宋体"/>
          <w:color w:val="000000"/>
          <w:sz w:val="24"/>
          <w:szCs w:val="20"/>
        </w:rPr>
        <w:t>月</w:t>
      </w:r>
      <w:r>
        <w:rPr>
          <w:rFonts w:hint="eastAsia" w:ascii="宋体" w:hAnsi="宋体" w:eastAsia="宋体" w:cs="宋体"/>
          <w:sz w:val="24"/>
        </w:rPr>
        <w:t>______</w:t>
      </w:r>
      <w:r>
        <w:rPr>
          <w:rFonts w:hint="eastAsia" w:ascii="宋体" w:hAnsi="宋体" w:eastAsia="宋体" w:cs="宋体"/>
          <w:color w:val="000000"/>
          <w:sz w:val="24"/>
          <w:szCs w:val="20"/>
        </w:rPr>
        <w:t>日</w:t>
      </w:r>
    </w:p>
    <w:p>
      <w:pPr>
        <w:spacing w:line="360" w:lineRule="auto"/>
        <w:ind w:left="480"/>
        <w:jc w:val="right"/>
        <w:rPr>
          <w:rFonts w:hint="eastAsia" w:ascii="宋体" w:hAnsi="宋体" w:eastAsia="宋体" w:cs="宋体"/>
          <w:b/>
          <w:color w:val="000000"/>
          <w:sz w:val="24"/>
        </w:rPr>
      </w:pPr>
    </w:p>
    <w:p>
      <w:pPr>
        <w:tabs>
          <w:tab w:val="left" w:pos="8280"/>
        </w:tabs>
        <w:spacing w:line="360" w:lineRule="auto"/>
        <w:ind w:firstLine="480"/>
        <w:rPr>
          <w:rFonts w:hint="eastAsia" w:ascii="宋体" w:hAnsi="宋体" w:eastAsia="宋体" w:cs="宋体"/>
          <w:color w:val="000000"/>
          <w:sz w:val="24"/>
        </w:rPr>
      </w:pPr>
    </w:p>
    <w:p>
      <w:pPr>
        <w:tabs>
          <w:tab w:val="left" w:pos="8280"/>
        </w:tabs>
        <w:spacing w:line="360" w:lineRule="auto"/>
        <w:ind w:firstLine="480"/>
        <w:rPr>
          <w:rFonts w:hint="eastAsia" w:ascii="宋体" w:hAnsi="宋体" w:eastAsia="宋体" w:cs="宋体"/>
          <w:color w:val="000000"/>
          <w:sz w:val="24"/>
        </w:rPr>
      </w:pPr>
    </w:p>
    <w:p>
      <w:pPr>
        <w:spacing w:line="360" w:lineRule="auto"/>
        <w:ind w:left="719" w:leftChars="228" w:hanging="240" w:hangingChars="100"/>
        <w:rPr>
          <w:rFonts w:hint="eastAsia" w:ascii="宋体" w:hAnsi="宋体" w:eastAsia="宋体" w:cs="宋体"/>
          <w:color w:val="000000"/>
          <w:sz w:val="24"/>
        </w:rPr>
      </w:pPr>
      <w:r>
        <w:rPr>
          <w:rFonts w:hint="eastAsia" w:ascii="宋体" w:hAnsi="宋体" w:eastAsia="宋体" w:cs="宋体"/>
          <w:color w:val="000000"/>
          <w:sz w:val="24"/>
        </w:rPr>
        <w:t>注：联合体各方成员应在本协议上共同盖章，不得分别签署协议书。</w:t>
      </w:r>
    </w:p>
    <w:p>
      <w:pPr>
        <w:widowControl/>
        <w:jc w:val="left"/>
        <w:rPr>
          <w:rFonts w:hint="eastAsia" w:ascii="宋体" w:hAnsi="宋体" w:eastAsia="宋体" w:cs="宋体"/>
          <w:sz w:val="24"/>
        </w:rPr>
      </w:pPr>
      <w:r>
        <w:rPr>
          <w:rFonts w:hint="eastAsia" w:ascii="宋体" w:hAnsi="宋体" w:eastAsia="宋体" w:cs="宋体"/>
          <w:sz w:val="24"/>
        </w:rPr>
        <w:br w:type="page"/>
      </w:r>
    </w:p>
    <w:p>
      <w:pPr>
        <w:spacing w:line="360" w:lineRule="auto"/>
        <w:outlineLvl w:val="2"/>
        <w:rPr>
          <w:rFonts w:hint="eastAsia"/>
          <w:lang w:eastAsia="zh-CN"/>
        </w:rPr>
      </w:pPr>
      <w:r>
        <w:rPr>
          <w:rFonts w:hint="eastAsia" w:ascii="宋体" w:hAnsi="宋体" w:eastAsia="宋体" w:cs="宋体"/>
          <w:color w:val="000000"/>
          <w:sz w:val="24"/>
          <w:szCs w:val="20"/>
        </w:rPr>
        <w:t>3-2其他</w:t>
      </w:r>
      <w:r>
        <w:rPr>
          <w:rFonts w:hint="eastAsia" w:ascii="宋体" w:hAnsi="宋体" w:eastAsia="宋体" w:cs="宋体"/>
          <w:sz w:val="24"/>
          <w:szCs w:val="20"/>
        </w:rPr>
        <w:t>特定资格要求</w:t>
      </w:r>
    </w:p>
    <w:p>
      <w:pPr>
        <w:numPr>
          <w:ilvl w:val="0"/>
          <w:numId w:val="0"/>
        </w:numPr>
        <w:shd w:val="clear"/>
        <w:tabs>
          <w:tab w:val="left" w:pos="900"/>
          <w:tab w:val="left" w:pos="1134"/>
          <w:tab w:val="left" w:pos="1589"/>
          <w:tab w:val="left" w:pos="5521"/>
        </w:tabs>
        <w:snapToGrid w:val="0"/>
        <w:spacing w:line="360" w:lineRule="auto"/>
        <w:outlineLvl w:val="9"/>
        <w:rPr>
          <w:rFonts w:hint="eastAsia" w:ascii="宋体" w:hAnsi="宋体" w:eastAsia="宋体" w:cs="宋体"/>
          <w:color w:val="auto"/>
          <w:sz w:val="24"/>
        </w:rPr>
      </w:pPr>
      <w:r>
        <w:rPr>
          <w:rFonts w:hint="eastAsia" w:ascii="宋体" w:hAnsi="宋体" w:cs="宋体"/>
          <w:color w:val="auto"/>
          <w:sz w:val="24"/>
          <w:lang w:val="en-US" w:eastAsia="zh-CN"/>
        </w:rPr>
        <w:t>（1）</w:t>
      </w:r>
      <w:r>
        <w:rPr>
          <w:rFonts w:hint="eastAsia" w:ascii="宋体" w:hAnsi="宋体" w:eastAsia="宋体" w:cs="宋体"/>
          <w:color w:val="auto"/>
          <w:sz w:val="24"/>
          <w:lang w:val="en-US" w:eastAsia="zh-CN"/>
        </w:rPr>
        <w:t xml:space="preserve">具备建设行政主管部门颁发的建筑工程施工总承包叁级（含）以上资质，且具有有效的《安全生产许可证》； </w:t>
      </w:r>
    </w:p>
    <w:p>
      <w:pPr>
        <w:numPr>
          <w:ilvl w:val="0"/>
          <w:numId w:val="0"/>
        </w:numPr>
        <w:shd w:val="clear"/>
        <w:tabs>
          <w:tab w:val="left" w:pos="900"/>
          <w:tab w:val="left" w:pos="1134"/>
          <w:tab w:val="left" w:pos="1589"/>
          <w:tab w:val="left" w:pos="5521"/>
        </w:tabs>
        <w:snapToGrid w:val="0"/>
        <w:spacing w:line="360" w:lineRule="auto"/>
        <w:outlineLvl w:val="9"/>
        <w:rPr>
          <w:rFonts w:hint="eastAsia" w:ascii="宋体" w:hAnsi="宋体" w:eastAsia="宋体" w:cs="宋体"/>
          <w:color w:val="auto"/>
          <w:sz w:val="24"/>
          <w:lang w:val="en-US" w:eastAsia="zh-CN"/>
        </w:rPr>
        <w:sectPr>
          <w:headerReference r:id="rId23" w:type="default"/>
          <w:footerReference r:id="rId24" w:type="default"/>
          <w:pgSz w:w="11907" w:h="16840"/>
          <w:pgMar w:top="1117" w:right="1119" w:bottom="1060" w:left="1588" w:header="907" w:footer="964" w:gutter="0"/>
          <w:pgNumType w:fmt="decimal"/>
          <w:cols w:space="720" w:num="1"/>
        </w:sectPr>
      </w:pPr>
      <w:r>
        <w:rPr>
          <w:rFonts w:hint="eastAsia" w:ascii="宋体" w:hAnsi="宋体" w:cs="宋体"/>
          <w:color w:val="auto"/>
          <w:sz w:val="24"/>
          <w:lang w:val="en-US" w:eastAsia="zh-CN"/>
        </w:rPr>
        <w:t>（2）</w:t>
      </w:r>
      <w:r>
        <w:rPr>
          <w:rFonts w:hint="eastAsia" w:ascii="宋体" w:hAnsi="宋体" w:eastAsia="宋体" w:cs="宋体"/>
          <w:color w:val="auto"/>
          <w:sz w:val="24"/>
          <w:lang w:val="en-US" w:eastAsia="zh-CN"/>
        </w:rPr>
        <w:t>拟派项目经理须具备建筑工程专业贰级（含）以上注册建造师证书和安全考核合格证（B本），且在确定中标人时不得担任其他在施建设工程项目的项目经理。</w:t>
      </w:r>
    </w:p>
    <w:p>
      <w:pPr>
        <w:tabs>
          <w:tab w:val="left" w:pos="360"/>
        </w:tabs>
        <w:snapToGrid w:val="0"/>
        <w:spacing w:line="360" w:lineRule="auto"/>
        <w:outlineLvl w:val="1"/>
        <w:rPr>
          <w:color w:val="auto"/>
          <w:sz w:val="24"/>
          <w:highlight w:val="none"/>
        </w:rPr>
      </w:pPr>
      <w:r>
        <w:rPr>
          <w:color w:val="auto"/>
          <w:sz w:val="24"/>
          <w:highlight w:val="none"/>
        </w:rPr>
        <w:t>4 磋商保证金凭证/交款单据</w:t>
      </w:r>
      <w:r>
        <w:rPr>
          <w:rFonts w:hint="eastAsia"/>
          <w:color w:val="auto"/>
          <w:sz w:val="24"/>
          <w:highlight w:val="none"/>
        </w:rPr>
        <w:t>复印</w:t>
      </w:r>
      <w:r>
        <w:rPr>
          <w:color w:val="auto"/>
          <w:sz w:val="24"/>
          <w:highlight w:val="none"/>
        </w:rPr>
        <w:t>件</w:t>
      </w:r>
      <w:r>
        <w:rPr>
          <w:rFonts w:hint="eastAsia"/>
          <w:color w:val="auto"/>
          <w:sz w:val="24"/>
          <w:highlight w:val="none"/>
        </w:rPr>
        <w:t>并加盖公章（</w:t>
      </w:r>
      <w:r>
        <w:rPr>
          <w:rFonts w:hint="eastAsia"/>
          <w:color w:val="auto"/>
          <w:sz w:val="24"/>
          <w:highlight w:val="none"/>
          <w:lang w:val="en-US" w:eastAsia="zh-CN"/>
        </w:rPr>
        <w:t>本项目不适用</w:t>
      </w:r>
      <w:r>
        <w:rPr>
          <w:rFonts w:hint="eastAsia"/>
          <w:color w:val="auto"/>
          <w:sz w:val="24"/>
          <w:highlight w:val="none"/>
        </w:rPr>
        <w:t>）</w:t>
      </w:r>
    </w:p>
    <w:p>
      <w:pPr>
        <w:pStyle w:val="28"/>
        <w:rPr>
          <w:rFonts w:hint="eastAsia"/>
        </w:rPr>
        <w:sectPr>
          <w:pgSz w:w="11907" w:h="16840"/>
          <w:pgMar w:top="1117" w:right="1119" w:bottom="1060" w:left="1588" w:header="907" w:footer="964" w:gutter="0"/>
          <w:pgNumType w:fmt="decimal"/>
          <w:cols w:space="720" w:num="1"/>
        </w:sectPr>
      </w:pPr>
    </w:p>
    <w:p>
      <w:pPr>
        <w:outlineLvl w:val="1"/>
        <w:rPr>
          <w:rFonts w:hint="eastAsia" w:ascii="宋体" w:hAnsi="宋体" w:eastAsia="宋体" w:cs="宋体"/>
          <w:color w:val="000000"/>
          <w:sz w:val="24"/>
        </w:rPr>
      </w:pPr>
      <w:bookmarkStart w:id="670" w:name="_Toc480942349"/>
      <w:bookmarkStart w:id="671" w:name="_Ref467988698"/>
      <w:bookmarkStart w:id="672" w:name="_Toc226309800"/>
      <w:bookmarkStart w:id="673" w:name="_Toc150774761"/>
      <w:bookmarkStart w:id="674" w:name="_Toc226965746"/>
      <w:bookmarkStart w:id="675" w:name="_Toc142311058"/>
      <w:bookmarkStart w:id="676" w:name="_Toc226965829"/>
      <w:bookmarkStart w:id="677" w:name="_Toc150480794"/>
      <w:bookmarkStart w:id="678" w:name="_Toc226337252"/>
      <w:bookmarkStart w:id="679" w:name="_Toc520356217"/>
      <w:bookmarkStart w:id="680" w:name="_Toc127151556"/>
      <w:bookmarkStart w:id="681" w:name="_Toc195842921"/>
      <w:r>
        <w:rPr>
          <w:rFonts w:hint="eastAsia" w:ascii="宋体" w:hAnsi="宋体" w:eastAsia="宋体" w:cs="宋体"/>
          <w:sz w:val="24"/>
        </w:rPr>
        <w:t xml:space="preserve">5 </w:t>
      </w:r>
      <w:bookmarkEnd w:id="670"/>
      <w:bookmarkEnd w:id="671"/>
      <w:r>
        <w:rPr>
          <w:rFonts w:hint="eastAsia" w:ascii="宋体" w:hAnsi="宋体" w:eastAsia="宋体" w:cs="宋体"/>
          <w:sz w:val="24"/>
        </w:rPr>
        <w:t>响应书</w:t>
      </w:r>
      <w:bookmarkEnd w:id="672"/>
      <w:bookmarkEnd w:id="673"/>
      <w:bookmarkEnd w:id="674"/>
      <w:bookmarkEnd w:id="675"/>
      <w:bookmarkEnd w:id="676"/>
      <w:bookmarkEnd w:id="677"/>
      <w:bookmarkEnd w:id="678"/>
      <w:bookmarkEnd w:id="679"/>
      <w:bookmarkEnd w:id="680"/>
      <w:bookmarkEnd w:id="681"/>
    </w:p>
    <w:p>
      <w:pPr>
        <w:spacing w:line="360" w:lineRule="auto"/>
        <w:jc w:val="center"/>
        <w:rPr>
          <w:rFonts w:hint="eastAsia" w:ascii="宋体" w:hAnsi="宋体" w:eastAsia="宋体" w:cs="宋体"/>
          <w:b/>
          <w:color w:val="000000"/>
          <w:sz w:val="36"/>
          <w:szCs w:val="36"/>
        </w:rPr>
      </w:pPr>
      <w:r>
        <w:rPr>
          <w:rFonts w:hint="eastAsia" w:ascii="宋体" w:hAnsi="宋体" w:eastAsia="宋体" w:cs="宋体"/>
          <w:b/>
          <w:color w:val="000000"/>
          <w:sz w:val="36"/>
          <w:szCs w:val="36"/>
        </w:rPr>
        <w:t>响应书</w:t>
      </w:r>
    </w:p>
    <w:p>
      <w:pPr>
        <w:tabs>
          <w:tab w:val="left" w:pos="5580"/>
        </w:tabs>
        <w:spacing w:line="360" w:lineRule="auto"/>
        <w:rPr>
          <w:rFonts w:hint="eastAsia" w:ascii="宋体" w:hAnsi="宋体" w:eastAsia="宋体" w:cs="宋体"/>
          <w:color w:val="000000"/>
          <w:sz w:val="24"/>
        </w:rPr>
      </w:pPr>
      <w:r>
        <w:rPr>
          <w:rFonts w:hint="eastAsia" w:ascii="宋体" w:hAnsi="宋体" w:eastAsia="宋体" w:cs="宋体"/>
          <w:color w:val="000000"/>
          <w:sz w:val="24"/>
        </w:rPr>
        <w:t>致：</w:t>
      </w:r>
      <w:r>
        <w:rPr>
          <w:rFonts w:hint="eastAsia" w:ascii="宋体" w:hAnsi="宋体" w:eastAsia="宋体" w:cs="宋体"/>
          <w:color w:val="000000"/>
          <w:sz w:val="24"/>
          <w:u w:val="single"/>
        </w:rPr>
        <w:t>（采购人或采购代理机构）</w:t>
      </w:r>
    </w:p>
    <w:p>
      <w:pPr>
        <w:tabs>
          <w:tab w:val="left" w:pos="5580"/>
        </w:tabs>
        <w:spacing w:line="360" w:lineRule="auto"/>
        <w:rPr>
          <w:rFonts w:hint="eastAsia" w:ascii="宋体" w:hAnsi="宋体" w:eastAsia="宋体" w:cs="宋体"/>
          <w:color w:val="000000"/>
          <w:sz w:val="24"/>
          <w:szCs w:val="20"/>
        </w:rPr>
      </w:pPr>
    </w:p>
    <w:p>
      <w:pPr>
        <w:tabs>
          <w:tab w:val="left" w:pos="5580"/>
        </w:tabs>
        <w:spacing w:line="360" w:lineRule="auto"/>
        <w:ind w:firstLine="408"/>
        <w:rPr>
          <w:rFonts w:hint="eastAsia" w:ascii="宋体" w:hAnsi="宋体" w:eastAsia="宋体" w:cs="宋体"/>
          <w:color w:val="000000"/>
          <w:sz w:val="24"/>
          <w:szCs w:val="20"/>
        </w:rPr>
      </w:pPr>
      <w:r>
        <w:rPr>
          <w:rFonts w:hint="eastAsia" w:ascii="宋体" w:hAnsi="宋体" w:eastAsia="宋体" w:cs="宋体"/>
          <w:color w:val="000000"/>
          <w:sz w:val="24"/>
          <w:szCs w:val="20"/>
        </w:rPr>
        <w:t>我方参加你方就</w:t>
      </w:r>
      <w:r>
        <w:rPr>
          <w:rFonts w:hint="eastAsia" w:ascii="宋体" w:hAnsi="宋体" w:cs="宋体"/>
          <w:color w:val="000000"/>
          <w:sz w:val="24"/>
          <w:szCs w:val="20"/>
          <w:u w:val="single"/>
          <w:lang w:val="en-US" w:eastAsia="zh-CN"/>
        </w:rPr>
        <w:t xml:space="preserve">                      </w:t>
      </w:r>
      <w:r>
        <w:rPr>
          <w:rFonts w:hint="eastAsia" w:ascii="宋体" w:hAnsi="宋体" w:eastAsia="宋体" w:cs="宋体"/>
          <w:color w:val="000000"/>
          <w:sz w:val="24"/>
          <w:szCs w:val="20"/>
        </w:rPr>
        <w:t>（项目名称，项目编号）组织的采购活动，并对此项目进行磋商。</w:t>
      </w:r>
    </w:p>
    <w:p>
      <w:pPr>
        <w:tabs>
          <w:tab w:val="left" w:pos="5580"/>
        </w:tabs>
        <w:spacing w:line="360" w:lineRule="auto"/>
        <w:ind w:firstLine="408"/>
        <w:rPr>
          <w:rFonts w:hint="eastAsia" w:ascii="宋体" w:hAnsi="宋体" w:eastAsia="宋体" w:cs="宋体"/>
          <w:color w:val="000000"/>
          <w:sz w:val="24"/>
          <w:szCs w:val="20"/>
        </w:rPr>
      </w:pPr>
      <w:r>
        <w:rPr>
          <w:rFonts w:hint="eastAsia" w:ascii="宋体" w:hAnsi="宋体" w:eastAsia="宋体" w:cs="宋体"/>
          <w:color w:val="000000"/>
          <w:sz w:val="24"/>
          <w:szCs w:val="20"/>
        </w:rPr>
        <w:t>1. 我方</w:t>
      </w:r>
      <w:r>
        <w:rPr>
          <w:rFonts w:hint="eastAsia" w:ascii="宋体" w:hAnsi="宋体" w:eastAsia="宋体" w:cs="宋体"/>
          <w:color w:val="000000"/>
          <w:sz w:val="24"/>
        </w:rPr>
        <w:t>已详细审查全部竞争性磋商文件</w:t>
      </w:r>
      <w:r>
        <w:rPr>
          <w:rFonts w:hint="eastAsia" w:ascii="宋体" w:hAnsi="宋体" w:eastAsia="宋体" w:cs="宋体"/>
          <w:color w:val="000000"/>
          <w:sz w:val="24"/>
          <w:szCs w:val="20"/>
        </w:rPr>
        <w:t>，自愿参与磋商并承诺如下：</w:t>
      </w:r>
    </w:p>
    <w:p>
      <w:pPr>
        <w:tabs>
          <w:tab w:val="left" w:pos="720"/>
          <w:tab w:val="left" w:pos="900"/>
        </w:tabs>
        <w:spacing w:line="360" w:lineRule="auto"/>
        <w:ind w:left="360" w:firstLine="72" w:firstLineChars="30"/>
        <w:rPr>
          <w:rFonts w:hint="eastAsia" w:ascii="宋体" w:hAnsi="宋体" w:eastAsia="宋体" w:cs="宋体"/>
          <w:color w:val="000000"/>
          <w:sz w:val="24"/>
          <w:szCs w:val="20"/>
        </w:rPr>
      </w:pPr>
      <w:r>
        <w:rPr>
          <w:rFonts w:hint="eastAsia" w:ascii="宋体" w:hAnsi="宋体" w:eastAsia="宋体" w:cs="宋体"/>
          <w:color w:val="000000"/>
          <w:sz w:val="24"/>
          <w:szCs w:val="20"/>
        </w:rPr>
        <w:t>（1）本响应有效期为自提交响应文件的截止之日起</w:t>
      </w:r>
      <w:r>
        <w:rPr>
          <w:rFonts w:hint="eastAsia" w:ascii="宋体" w:hAnsi="宋体" w:eastAsia="宋体" w:cs="宋体"/>
          <w:sz w:val="24"/>
        </w:rPr>
        <w:t>______</w:t>
      </w:r>
      <w:r>
        <w:rPr>
          <w:rFonts w:hint="eastAsia" w:ascii="宋体" w:hAnsi="宋体" w:eastAsia="宋体" w:cs="宋体"/>
          <w:color w:val="000000"/>
          <w:sz w:val="24"/>
          <w:szCs w:val="20"/>
        </w:rPr>
        <w:t>个日历日。</w:t>
      </w:r>
    </w:p>
    <w:p>
      <w:pPr>
        <w:tabs>
          <w:tab w:val="left" w:pos="720"/>
          <w:tab w:val="left" w:pos="900"/>
        </w:tabs>
        <w:spacing w:line="360" w:lineRule="auto"/>
        <w:ind w:left="360" w:firstLine="72" w:firstLineChars="30"/>
        <w:rPr>
          <w:rFonts w:hint="eastAsia" w:ascii="宋体" w:hAnsi="宋体" w:eastAsia="宋体" w:cs="宋体"/>
          <w:color w:val="000000"/>
          <w:sz w:val="24"/>
          <w:szCs w:val="20"/>
        </w:rPr>
      </w:pPr>
      <w:r>
        <w:rPr>
          <w:rFonts w:hint="eastAsia" w:ascii="宋体" w:hAnsi="宋体" w:eastAsia="宋体" w:cs="宋体"/>
          <w:color w:val="000000"/>
          <w:sz w:val="24"/>
          <w:szCs w:val="20"/>
        </w:rPr>
        <w:t>（2）除合同条款及采购需求偏离表列出的偏离外，我方响应竞争性磋商文件的全部要求。</w:t>
      </w:r>
    </w:p>
    <w:p>
      <w:pPr>
        <w:tabs>
          <w:tab w:val="left" w:pos="5580"/>
        </w:tabs>
        <w:spacing w:line="360" w:lineRule="auto"/>
        <w:ind w:firstLine="420" w:firstLineChars="175"/>
        <w:rPr>
          <w:rFonts w:hint="eastAsia" w:ascii="宋体" w:hAnsi="宋体" w:eastAsia="宋体" w:cs="宋体"/>
          <w:color w:val="000000"/>
          <w:sz w:val="24"/>
          <w:szCs w:val="20"/>
        </w:rPr>
      </w:pPr>
      <w:r>
        <w:rPr>
          <w:rFonts w:hint="eastAsia" w:ascii="宋体" w:hAnsi="宋体" w:eastAsia="宋体" w:cs="宋体"/>
          <w:color w:val="000000"/>
          <w:sz w:val="24"/>
          <w:szCs w:val="20"/>
        </w:rPr>
        <w:t>（3）我方已提供的全部文件资料是真实、准确的，并对此承担一切法律后果。</w:t>
      </w:r>
    </w:p>
    <w:p>
      <w:pPr>
        <w:tabs>
          <w:tab w:val="left" w:pos="5580"/>
        </w:tabs>
        <w:spacing w:line="360" w:lineRule="auto"/>
        <w:ind w:firstLine="420" w:firstLineChars="175"/>
        <w:rPr>
          <w:rFonts w:hint="eastAsia" w:ascii="宋体" w:hAnsi="宋体" w:eastAsia="宋体" w:cs="宋体"/>
          <w:color w:val="000000"/>
          <w:sz w:val="24"/>
        </w:rPr>
      </w:pPr>
      <w:r>
        <w:rPr>
          <w:rFonts w:hint="eastAsia" w:ascii="宋体" w:hAnsi="宋体" w:eastAsia="宋体" w:cs="宋体"/>
          <w:color w:val="000000"/>
          <w:sz w:val="24"/>
          <w:szCs w:val="20"/>
        </w:rPr>
        <w:t>（4）如我方成交，我方将在法律规定的期限内与你方签订合同，按照竞争性磋商文件要求提交履约保证金，并在合同约定的期限内完成合同规定的全部义务。</w:t>
      </w:r>
    </w:p>
    <w:p>
      <w:pPr>
        <w:spacing w:line="360" w:lineRule="auto"/>
        <w:ind w:left="420"/>
        <w:rPr>
          <w:rFonts w:hint="eastAsia" w:ascii="宋体" w:hAnsi="宋体" w:eastAsia="宋体" w:cs="宋体"/>
          <w:color w:val="000000"/>
          <w:sz w:val="24"/>
        </w:rPr>
      </w:pPr>
      <w:r>
        <w:rPr>
          <w:rFonts w:hint="eastAsia" w:ascii="宋体" w:hAnsi="宋体" w:eastAsia="宋体" w:cs="宋体"/>
          <w:color w:val="000000"/>
          <w:sz w:val="24"/>
        </w:rPr>
        <w:t>2. 其他补充条款（如有）：</w:t>
      </w:r>
      <w:r>
        <w:rPr>
          <w:rFonts w:hint="eastAsia" w:ascii="宋体" w:hAnsi="宋体" w:eastAsia="宋体" w:cs="宋体"/>
          <w:sz w:val="24"/>
        </w:rPr>
        <w:t>______</w:t>
      </w:r>
      <w:r>
        <w:rPr>
          <w:rFonts w:hint="eastAsia" w:ascii="宋体" w:hAnsi="宋体" w:eastAsia="宋体" w:cs="宋体"/>
          <w:color w:val="000000"/>
          <w:sz w:val="24"/>
        </w:rPr>
        <w:t>。</w:t>
      </w:r>
    </w:p>
    <w:p>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与本磋商有关的一切正式往来信函请寄：</w:t>
      </w:r>
    </w:p>
    <w:p>
      <w:pPr>
        <w:tabs>
          <w:tab w:val="left" w:pos="5580"/>
        </w:tabs>
        <w:spacing w:line="360" w:lineRule="auto"/>
        <w:ind w:left="420"/>
        <w:rPr>
          <w:rFonts w:hint="eastAsia" w:ascii="宋体" w:hAnsi="宋体" w:eastAsia="宋体" w:cs="宋体"/>
          <w:color w:val="000000"/>
          <w:sz w:val="24"/>
          <w:szCs w:val="20"/>
        </w:rPr>
      </w:pPr>
    </w:p>
    <w:p>
      <w:pPr>
        <w:tabs>
          <w:tab w:val="left" w:pos="5580"/>
        </w:tabs>
        <w:spacing w:line="360" w:lineRule="auto"/>
        <w:ind w:left="420"/>
        <w:rPr>
          <w:rFonts w:hint="eastAsia" w:ascii="宋体" w:hAnsi="宋体" w:eastAsia="宋体" w:cs="宋体"/>
          <w:color w:val="000000"/>
          <w:sz w:val="24"/>
          <w:szCs w:val="20"/>
        </w:rPr>
      </w:pPr>
      <w:r>
        <w:rPr>
          <w:rFonts w:hint="eastAsia" w:ascii="宋体" w:hAnsi="宋体" w:eastAsia="宋体" w:cs="宋体"/>
          <w:color w:val="000000"/>
          <w:sz w:val="24"/>
          <w:szCs w:val="20"/>
        </w:rPr>
        <w:t>地址</w:t>
      </w:r>
      <w:r>
        <w:rPr>
          <w:rFonts w:hint="eastAsia" w:ascii="宋体" w:hAnsi="宋体" w:eastAsia="宋体" w:cs="宋体"/>
          <w:bCs/>
          <w:color w:val="000000"/>
          <w:sz w:val="24"/>
        </w:rPr>
        <w:t>_________________________</w:t>
      </w:r>
      <w:r>
        <w:rPr>
          <w:rFonts w:hint="eastAsia" w:ascii="宋体" w:hAnsi="宋体" w:eastAsia="宋体" w:cs="宋体"/>
          <w:color w:val="000000"/>
          <w:sz w:val="24"/>
          <w:szCs w:val="20"/>
        </w:rPr>
        <w:t xml:space="preserve">      传   真</w:t>
      </w:r>
      <w:r>
        <w:rPr>
          <w:rFonts w:hint="eastAsia" w:ascii="宋体" w:hAnsi="宋体" w:eastAsia="宋体" w:cs="宋体"/>
          <w:bCs/>
          <w:color w:val="000000"/>
          <w:sz w:val="24"/>
        </w:rPr>
        <w:t>_________________________</w:t>
      </w:r>
    </w:p>
    <w:p>
      <w:pPr>
        <w:tabs>
          <w:tab w:val="left" w:pos="5580"/>
        </w:tabs>
        <w:spacing w:line="360" w:lineRule="auto"/>
        <w:ind w:left="420"/>
        <w:rPr>
          <w:rFonts w:hint="eastAsia" w:ascii="宋体" w:hAnsi="宋体" w:eastAsia="宋体" w:cs="宋体"/>
          <w:color w:val="000000"/>
          <w:sz w:val="24"/>
          <w:szCs w:val="20"/>
        </w:rPr>
      </w:pPr>
      <w:r>
        <w:rPr>
          <w:rFonts w:hint="eastAsia" w:ascii="宋体" w:hAnsi="宋体" w:eastAsia="宋体" w:cs="宋体"/>
          <w:color w:val="000000"/>
          <w:sz w:val="24"/>
          <w:szCs w:val="20"/>
        </w:rPr>
        <w:t>电话</w:t>
      </w:r>
      <w:r>
        <w:rPr>
          <w:rFonts w:hint="eastAsia" w:ascii="宋体" w:hAnsi="宋体" w:eastAsia="宋体" w:cs="宋体"/>
          <w:bCs/>
          <w:color w:val="000000"/>
          <w:sz w:val="24"/>
        </w:rPr>
        <w:t>_________________________</w:t>
      </w:r>
      <w:r>
        <w:rPr>
          <w:rFonts w:hint="eastAsia" w:ascii="宋体" w:hAnsi="宋体" w:eastAsia="宋体" w:cs="宋体"/>
          <w:color w:val="000000"/>
          <w:sz w:val="24"/>
          <w:szCs w:val="20"/>
        </w:rPr>
        <w:t xml:space="preserve">      电子函件</w:t>
      </w:r>
      <w:r>
        <w:rPr>
          <w:rFonts w:hint="eastAsia" w:ascii="宋体" w:hAnsi="宋体" w:eastAsia="宋体" w:cs="宋体"/>
          <w:bCs/>
          <w:color w:val="000000"/>
          <w:sz w:val="24"/>
        </w:rPr>
        <w:t>_________________________</w:t>
      </w:r>
    </w:p>
    <w:p>
      <w:pPr>
        <w:tabs>
          <w:tab w:val="left" w:pos="5580"/>
        </w:tabs>
        <w:spacing w:line="360" w:lineRule="auto"/>
        <w:ind w:left="420"/>
        <w:rPr>
          <w:rFonts w:hint="eastAsia" w:ascii="宋体" w:hAnsi="宋体" w:eastAsia="宋体" w:cs="宋体"/>
          <w:color w:val="000000"/>
          <w:sz w:val="24"/>
          <w:szCs w:val="20"/>
        </w:rPr>
      </w:pPr>
    </w:p>
    <w:p>
      <w:pPr>
        <w:tabs>
          <w:tab w:val="left" w:pos="5580"/>
        </w:tabs>
        <w:spacing w:line="360" w:lineRule="auto"/>
        <w:ind w:left="420"/>
        <w:rPr>
          <w:rFonts w:hint="eastAsia" w:ascii="宋体" w:hAnsi="宋体" w:eastAsia="宋体" w:cs="宋体"/>
          <w:color w:val="000000"/>
          <w:sz w:val="24"/>
          <w:szCs w:val="20"/>
        </w:rPr>
      </w:pPr>
    </w:p>
    <w:p>
      <w:pPr>
        <w:tabs>
          <w:tab w:val="left" w:pos="5580"/>
        </w:tabs>
        <w:spacing w:line="360" w:lineRule="auto"/>
        <w:ind w:left="420"/>
        <w:rPr>
          <w:rFonts w:hint="eastAsia" w:ascii="宋体" w:hAnsi="宋体" w:eastAsia="宋体" w:cs="宋体"/>
          <w:color w:val="000000"/>
          <w:sz w:val="24"/>
          <w:szCs w:val="20"/>
        </w:rPr>
      </w:pPr>
    </w:p>
    <w:p>
      <w:pPr>
        <w:autoSpaceDE w:val="0"/>
        <w:autoSpaceDN w:val="0"/>
        <w:adjustRightInd w:val="0"/>
        <w:snapToGrid w:val="0"/>
        <w:spacing w:before="25" w:after="25" w:line="360" w:lineRule="auto"/>
        <w:ind w:right="360" w:firstLine="360" w:firstLineChars="150"/>
        <w:rPr>
          <w:rFonts w:hint="eastAsia" w:ascii="宋体" w:hAnsi="宋体" w:eastAsia="宋体" w:cs="宋体"/>
          <w:color w:val="000000"/>
          <w:sz w:val="24"/>
          <w:lang w:val="zh-CN"/>
        </w:rPr>
      </w:pPr>
      <w:r>
        <w:rPr>
          <w:rFonts w:hint="eastAsia" w:ascii="宋体" w:hAnsi="宋体" w:eastAsia="宋体" w:cs="宋体"/>
          <w:color w:val="000000"/>
          <w:sz w:val="24"/>
        </w:rPr>
        <w:t>供应商名称（加盖公章）</w:t>
      </w:r>
      <w:r>
        <w:rPr>
          <w:rFonts w:hint="eastAsia" w:ascii="宋体" w:hAnsi="宋体" w:eastAsia="宋体" w:cs="宋体"/>
          <w:color w:val="000000"/>
          <w:sz w:val="24"/>
          <w:lang w:val="zh-CN"/>
        </w:rPr>
        <w:t>：</w:t>
      </w:r>
      <w:r>
        <w:rPr>
          <w:rFonts w:hint="eastAsia" w:ascii="宋体" w:hAnsi="宋体" w:eastAsia="宋体" w:cs="宋体"/>
          <w:sz w:val="24"/>
        </w:rPr>
        <w:t>______</w:t>
      </w:r>
    </w:p>
    <w:p>
      <w:pPr>
        <w:tabs>
          <w:tab w:val="left" w:pos="5580"/>
        </w:tabs>
        <w:spacing w:line="360" w:lineRule="auto"/>
        <w:ind w:firstLine="360" w:firstLineChars="150"/>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日期：____年____月____日  </w:t>
      </w:r>
    </w:p>
    <w:p>
      <w:pPr>
        <w:tabs>
          <w:tab w:val="left" w:pos="5580"/>
        </w:tabs>
        <w:spacing w:line="360" w:lineRule="auto"/>
        <w:ind w:left="420"/>
        <w:jc w:val="left"/>
        <w:rPr>
          <w:rFonts w:hint="eastAsia" w:ascii="宋体" w:hAnsi="宋体" w:eastAsia="宋体" w:cs="宋体"/>
          <w:color w:val="000000"/>
          <w:sz w:val="24"/>
          <w:szCs w:val="20"/>
        </w:rPr>
      </w:pPr>
    </w:p>
    <w:p>
      <w:pPr>
        <w:widowControl/>
        <w:jc w:val="left"/>
        <w:rPr>
          <w:rFonts w:hint="eastAsia" w:ascii="宋体" w:hAnsi="宋体" w:eastAsia="宋体" w:cs="宋体"/>
          <w:b/>
          <w:color w:val="000000"/>
          <w:sz w:val="24"/>
          <w:szCs w:val="20"/>
        </w:rPr>
      </w:pPr>
      <w:r>
        <w:rPr>
          <w:rFonts w:hint="eastAsia" w:ascii="宋体" w:hAnsi="宋体" w:eastAsia="宋体" w:cs="宋体"/>
          <w:b/>
          <w:color w:val="000000"/>
          <w:sz w:val="24"/>
          <w:szCs w:val="20"/>
        </w:rPr>
        <w:br w:type="page"/>
      </w:r>
    </w:p>
    <w:p>
      <w:pPr>
        <w:tabs>
          <w:tab w:val="left" w:pos="360"/>
        </w:tabs>
        <w:snapToGrid w:val="0"/>
        <w:spacing w:line="360" w:lineRule="auto"/>
        <w:outlineLvl w:val="1"/>
        <w:rPr>
          <w:rFonts w:hint="eastAsia" w:ascii="宋体" w:hAnsi="宋体" w:eastAsia="宋体" w:cs="宋体"/>
          <w:sz w:val="24"/>
        </w:rPr>
      </w:pPr>
      <w:bookmarkStart w:id="682" w:name="_Hlt520356243"/>
      <w:bookmarkEnd w:id="682"/>
      <w:bookmarkStart w:id="683" w:name="_Hlt520355938"/>
      <w:bookmarkEnd w:id="683"/>
      <w:bookmarkStart w:id="684" w:name="_Toc150774762"/>
      <w:bookmarkStart w:id="685" w:name="_Toc305158899"/>
      <w:bookmarkStart w:id="686" w:name="_Toc264969247"/>
      <w:bookmarkStart w:id="687" w:name="_Toc127151557"/>
      <w:bookmarkStart w:id="688" w:name="_Toc142311059"/>
      <w:bookmarkStart w:id="689" w:name="_Toc195842922"/>
      <w:bookmarkStart w:id="690" w:name="_Toc226965747"/>
      <w:bookmarkStart w:id="691" w:name="_Toc226337253"/>
      <w:bookmarkStart w:id="692" w:name="_Ref467988705"/>
      <w:bookmarkStart w:id="693" w:name="_Toc150480795"/>
      <w:bookmarkStart w:id="694" w:name="_Toc520356218"/>
      <w:bookmarkStart w:id="695" w:name="_Toc226965830"/>
      <w:bookmarkStart w:id="696" w:name="_Toc480942350"/>
      <w:bookmarkStart w:id="697" w:name="_Toc265228395"/>
      <w:bookmarkStart w:id="698" w:name="_Toc226309801"/>
      <w:bookmarkStart w:id="699" w:name="_Toc305158825"/>
      <w:r>
        <w:rPr>
          <w:rFonts w:hint="eastAsia" w:ascii="宋体" w:hAnsi="宋体" w:eastAsia="宋体" w:cs="宋体"/>
          <w:sz w:val="24"/>
        </w:rPr>
        <w:t>6  授权委托书</w:t>
      </w:r>
    </w:p>
    <w:p>
      <w:pPr>
        <w:autoSpaceDE w:val="0"/>
        <w:autoSpaceDN w:val="0"/>
        <w:adjustRightInd w:val="0"/>
        <w:spacing w:line="360" w:lineRule="auto"/>
        <w:jc w:val="center"/>
        <w:rPr>
          <w:rFonts w:hint="eastAsia" w:ascii="宋体" w:hAnsi="宋体" w:eastAsia="宋体" w:cs="宋体"/>
          <w:b/>
          <w:color w:val="000000"/>
          <w:sz w:val="36"/>
          <w:szCs w:val="36"/>
        </w:rPr>
      </w:pPr>
      <w:r>
        <w:rPr>
          <w:rFonts w:hint="eastAsia" w:ascii="宋体" w:hAnsi="宋体" w:eastAsia="宋体" w:cs="宋体"/>
          <w:b/>
          <w:color w:val="000000"/>
          <w:sz w:val="36"/>
          <w:szCs w:val="36"/>
        </w:rPr>
        <w:t>授权委托书</w:t>
      </w:r>
    </w:p>
    <w:p>
      <w:pPr>
        <w:spacing w:line="360" w:lineRule="auto"/>
        <w:ind w:firstLine="420"/>
        <w:rPr>
          <w:rFonts w:hint="eastAsia" w:ascii="宋体" w:hAnsi="宋体" w:eastAsia="宋体" w:cs="宋体"/>
          <w:color w:val="000000"/>
          <w:sz w:val="24"/>
          <w:szCs w:val="20"/>
        </w:rPr>
      </w:pPr>
      <w:r>
        <w:rPr>
          <w:rFonts w:hint="eastAsia" w:ascii="宋体" w:hAnsi="宋体" w:eastAsia="宋体" w:cs="宋体"/>
          <w:color w:val="000000"/>
          <w:sz w:val="24"/>
          <w:szCs w:val="20"/>
        </w:rPr>
        <w:t>本人____（姓名）系____（供应商名称）的法定代表人（单位负责人），现委托_____ （姓名）为我方代理人。代理人根据授权，以我方名义签署、澄清确认、递交、撤回、修改____（项目名称）响应文件和处理有关事宜，其法律后果由我方承担。</w:t>
      </w:r>
    </w:p>
    <w:p>
      <w:pPr>
        <w:spacing w:line="360" w:lineRule="auto"/>
        <w:ind w:firstLine="420"/>
        <w:rPr>
          <w:rFonts w:hint="eastAsia" w:ascii="宋体" w:hAnsi="宋体" w:eastAsia="宋体" w:cs="宋体"/>
          <w:color w:val="000000"/>
          <w:sz w:val="24"/>
          <w:szCs w:val="20"/>
        </w:rPr>
      </w:pPr>
      <w:r>
        <w:rPr>
          <w:rFonts w:hint="eastAsia" w:ascii="宋体" w:hAnsi="宋体" w:eastAsia="宋体" w:cs="宋体"/>
          <w:color w:val="000000"/>
          <w:sz w:val="24"/>
          <w:szCs w:val="20"/>
        </w:rPr>
        <w:t>委托期限：自本授权委托书签署之日起至响应有效期届满之日止。</w:t>
      </w:r>
    </w:p>
    <w:p>
      <w:pPr>
        <w:spacing w:line="360" w:lineRule="auto"/>
        <w:ind w:firstLine="420"/>
        <w:rPr>
          <w:rFonts w:hint="eastAsia" w:ascii="宋体" w:hAnsi="宋体" w:eastAsia="宋体" w:cs="宋体"/>
          <w:color w:val="000000"/>
          <w:sz w:val="24"/>
          <w:szCs w:val="20"/>
        </w:rPr>
      </w:pPr>
      <w:r>
        <w:rPr>
          <w:rFonts w:hint="eastAsia" w:ascii="宋体" w:hAnsi="宋体" w:eastAsia="宋体" w:cs="宋体"/>
          <w:color w:val="000000"/>
          <w:sz w:val="24"/>
          <w:szCs w:val="20"/>
        </w:rPr>
        <w:t>代理人无转委托权。</w:t>
      </w:r>
      <w:r>
        <w:rPr>
          <w:rFonts w:hint="eastAsia" w:ascii="宋体" w:hAnsi="宋体" w:eastAsia="宋体" w:cs="宋体"/>
          <w:color w:val="000000"/>
          <w:sz w:val="24"/>
          <w:szCs w:val="20"/>
        </w:rPr>
        <w:cr/>
      </w:r>
    </w:p>
    <w:p>
      <w:pPr>
        <w:spacing w:line="360" w:lineRule="auto"/>
        <w:rPr>
          <w:rFonts w:hint="eastAsia" w:ascii="宋体" w:hAnsi="宋体" w:eastAsia="宋体" w:cs="宋体"/>
          <w:color w:val="000000"/>
          <w:sz w:val="24"/>
          <w:lang w:val="zh-CN"/>
        </w:rPr>
      </w:pPr>
      <w:r>
        <w:rPr>
          <w:rFonts w:hint="eastAsia" w:ascii="宋体" w:hAnsi="宋体" w:eastAsia="宋体" w:cs="宋体"/>
          <w:color w:val="000000"/>
          <w:sz w:val="24"/>
        </w:rPr>
        <w:t>供应商名称（加盖公章）</w:t>
      </w:r>
      <w:r>
        <w:rPr>
          <w:rFonts w:hint="eastAsia" w:ascii="宋体" w:hAnsi="宋体" w:eastAsia="宋体" w:cs="宋体"/>
          <w:color w:val="000000"/>
          <w:sz w:val="24"/>
          <w:lang w:val="zh-CN"/>
        </w:rPr>
        <w:t>：</w:t>
      </w:r>
      <w:r>
        <w:rPr>
          <w:rFonts w:hint="eastAsia" w:ascii="宋体" w:hAnsi="宋体" w:eastAsia="宋体" w:cs="宋体"/>
          <w:color w:val="000000"/>
          <w:sz w:val="24"/>
          <w:szCs w:val="20"/>
        </w:rPr>
        <w:t>______________</w:t>
      </w:r>
    </w:p>
    <w:p>
      <w:pPr>
        <w:spacing w:line="360" w:lineRule="auto"/>
        <w:rPr>
          <w:rFonts w:hint="eastAsia" w:ascii="宋体" w:hAnsi="宋体" w:eastAsia="宋体" w:cs="宋体"/>
          <w:color w:val="000000"/>
          <w:sz w:val="24"/>
          <w:szCs w:val="20"/>
        </w:rPr>
      </w:pPr>
      <w:r>
        <w:rPr>
          <w:rFonts w:hint="eastAsia" w:ascii="宋体" w:hAnsi="宋体" w:eastAsia="宋体" w:cs="宋体"/>
          <w:color w:val="000000"/>
          <w:sz w:val="24"/>
          <w:szCs w:val="20"/>
        </w:rPr>
        <w:t>法定代表人（单位负责人）（签字</w:t>
      </w:r>
      <w:r>
        <w:rPr>
          <w:rFonts w:hint="eastAsia" w:ascii="宋体" w:hAnsi="宋体" w:cs="宋体"/>
          <w:color w:val="000000"/>
          <w:sz w:val="24"/>
          <w:szCs w:val="20"/>
          <w:lang w:eastAsia="zh-CN"/>
        </w:rPr>
        <w:t>或</w:t>
      </w:r>
      <w:r>
        <w:rPr>
          <w:rFonts w:hint="eastAsia" w:ascii="宋体" w:hAnsi="宋体" w:eastAsia="宋体" w:cs="宋体"/>
          <w:color w:val="000000"/>
          <w:sz w:val="24"/>
          <w:szCs w:val="20"/>
        </w:rPr>
        <w:t>签章）：______________</w:t>
      </w:r>
    </w:p>
    <w:p>
      <w:pPr>
        <w:autoSpaceDE w:val="0"/>
        <w:autoSpaceDN w:val="0"/>
        <w:adjustRightInd w:val="0"/>
        <w:snapToGrid w:val="0"/>
        <w:spacing w:line="360" w:lineRule="auto"/>
        <w:rPr>
          <w:rFonts w:hint="eastAsia" w:ascii="宋体" w:hAnsi="宋体" w:eastAsia="宋体" w:cs="宋体"/>
          <w:color w:val="000000"/>
          <w:sz w:val="24"/>
          <w:lang w:val="zh-CN"/>
        </w:rPr>
      </w:pPr>
      <w:r>
        <w:rPr>
          <w:rFonts w:hint="eastAsia" w:ascii="宋体" w:hAnsi="宋体" w:eastAsia="宋体" w:cs="宋体"/>
          <w:color w:val="000000"/>
          <w:sz w:val="24"/>
        </w:rPr>
        <w:t>委托代理人（签字</w:t>
      </w:r>
      <w:r>
        <w:rPr>
          <w:rFonts w:hint="eastAsia" w:ascii="宋体" w:hAnsi="宋体" w:cs="宋体"/>
          <w:color w:val="000000"/>
          <w:sz w:val="24"/>
          <w:szCs w:val="20"/>
          <w:lang w:eastAsia="zh-CN"/>
        </w:rPr>
        <w:t>或</w:t>
      </w:r>
      <w:r>
        <w:rPr>
          <w:rFonts w:hint="eastAsia" w:ascii="宋体" w:hAnsi="宋体" w:eastAsia="宋体" w:cs="宋体"/>
          <w:color w:val="000000"/>
          <w:sz w:val="24"/>
          <w:szCs w:val="20"/>
        </w:rPr>
        <w:t>签章</w:t>
      </w:r>
      <w:r>
        <w:rPr>
          <w:rFonts w:hint="eastAsia" w:ascii="宋体" w:hAnsi="宋体" w:eastAsia="宋体" w:cs="宋体"/>
          <w:color w:val="000000"/>
          <w:sz w:val="24"/>
        </w:rPr>
        <w:t>）：</w:t>
      </w:r>
      <w:r>
        <w:rPr>
          <w:rFonts w:hint="eastAsia" w:ascii="宋体" w:hAnsi="宋体" w:eastAsia="宋体" w:cs="宋体"/>
          <w:color w:val="000000"/>
          <w:sz w:val="24"/>
          <w:szCs w:val="20"/>
        </w:rPr>
        <w:t>______________</w:t>
      </w:r>
      <w:r>
        <w:rPr>
          <w:rFonts w:hint="eastAsia" w:ascii="宋体" w:hAnsi="宋体" w:eastAsia="宋体" w:cs="宋体"/>
          <w:color w:val="000000"/>
          <w:sz w:val="24"/>
          <w:lang w:val="zh-CN"/>
        </w:rPr>
        <w:t xml:space="preserve">        </w:t>
      </w:r>
    </w:p>
    <w:p>
      <w:pPr>
        <w:autoSpaceDE w:val="0"/>
        <w:autoSpaceDN w:val="0"/>
        <w:adjustRightInd w:val="0"/>
        <w:snapToGrid w:val="0"/>
        <w:spacing w:line="360" w:lineRule="auto"/>
        <w:rPr>
          <w:rFonts w:hint="eastAsia" w:ascii="宋体" w:hAnsi="宋体" w:eastAsia="宋体" w:cs="宋体"/>
          <w:color w:val="000000"/>
          <w:sz w:val="24"/>
          <w:lang w:val="zh-CN"/>
        </w:rPr>
      </w:pPr>
      <w:r>
        <w:rPr>
          <w:rFonts w:hint="eastAsia" w:ascii="宋体" w:hAnsi="宋体" w:eastAsia="宋体" w:cs="宋体"/>
          <w:color w:val="000000"/>
          <w:sz w:val="24"/>
        </w:rPr>
        <w:t>日期：</w:t>
      </w:r>
      <w:r>
        <w:rPr>
          <w:rFonts w:hint="eastAsia" w:ascii="宋体" w:hAnsi="宋体" w:eastAsia="宋体" w:cs="宋体"/>
          <w:color w:val="000000"/>
          <w:sz w:val="24"/>
          <w:szCs w:val="20"/>
        </w:rPr>
        <w:t>____</w:t>
      </w:r>
      <w:r>
        <w:rPr>
          <w:rFonts w:hint="eastAsia" w:ascii="宋体" w:hAnsi="宋体" w:eastAsia="宋体" w:cs="宋体"/>
          <w:color w:val="000000"/>
          <w:sz w:val="24"/>
        </w:rPr>
        <w:t>年</w:t>
      </w:r>
      <w:r>
        <w:rPr>
          <w:rFonts w:hint="eastAsia" w:ascii="宋体" w:hAnsi="宋体" w:eastAsia="宋体" w:cs="宋体"/>
          <w:color w:val="000000"/>
          <w:sz w:val="24"/>
          <w:szCs w:val="20"/>
        </w:rPr>
        <w:t>____</w:t>
      </w:r>
      <w:r>
        <w:rPr>
          <w:rFonts w:hint="eastAsia" w:ascii="宋体" w:hAnsi="宋体" w:eastAsia="宋体" w:cs="宋体"/>
          <w:color w:val="000000"/>
          <w:sz w:val="24"/>
        </w:rPr>
        <w:t>月</w:t>
      </w:r>
      <w:r>
        <w:rPr>
          <w:rFonts w:hint="eastAsia" w:ascii="宋体" w:hAnsi="宋体" w:eastAsia="宋体" w:cs="宋体"/>
          <w:color w:val="000000"/>
          <w:sz w:val="24"/>
          <w:szCs w:val="20"/>
        </w:rPr>
        <w:t>____</w:t>
      </w:r>
      <w:r>
        <w:rPr>
          <w:rFonts w:hint="eastAsia" w:ascii="宋体" w:hAnsi="宋体" w:eastAsia="宋体" w:cs="宋体"/>
          <w:color w:val="000000"/>
          <w:sz w:val="24"/>
        </w:rPr>
        <w:t>日</w:t>
      </w:r>
    </w:p>
    <w:p>
      <w:pPr>
        <w:pStyle w:val="17"/>
        <w:spacing w:before="79" w:line="219" w:lineRule="auto"/>
        <w:ind w:left="141"/>
        <w:rPr>
          <w:sz w:val="24"/>
          <w:szCs w:val="24"/>
        </w:rPr>
      </w:pPr>
      <w:r>
        <w:rPr>
          <w:spacing w:val="-4"/>
          <w:sz w:val="24"/>
          <w:szCs w:val="24"/>
        </w:rPr>
        <w:t>附：法定代表人及委托代理人身份证明文件电子件：</w:t>
      </w:r>
    </w:p>
    <w:p>
      <w:pPr>
        <w:spacing w:before="146" w:line="2369" w:lineRule="exact"/>
      </w:pPr>
      <w:r>
        <w:rPr>
          <w:position w:val="-47"/>
        </w:rPr>
        <w:drawing>
          <wp:inline distT="0" distB="0" distL="0" distR="0">
            <wp:extent cx="5274310" cy="1503680"/>
            <wp:effectExtent l="0" t="0" r="0" b="0"/>
            <wp:docPr id="178" name="IM 178"/>
            <wp:cNvGraphicFramePr/>
            <a:graphic xmlns:a="http://schemas.openxmlformats.org/drawingml/2006/main">
              <a:graphicData uri="http://schemas.openxmlformats.org/drawingml/2006/picture">
                <pic:pic xmlns:pic="http://schemas.openxmlformats.org/drawingml/2006/picture">
                  <pic:nvPicPr>
                    <pic:cNvPr id="178" name="IM 178"/>
                    <pic:cNvPicPr/>
                  </pic:nvPicPr>
                  <pic:blipFill>
                    <a:blip r:embed="rId30"/>
                    <a:stretch>
                      <a:fillRect/>
                    </a:stretch>
                  </pic:blipFill>
                  <pic:spPr>
                    <a:xfrm>
                      <a:off x="0" y="0"/>
                      <a:ext cx="5274319" cy="1504046"/>
                    </a:xfrm>
                    <a:prstGeom prst="rect">
                      <a:avLst/>
                    </a:prstGeom>
                  </pic:spPr>
                </pic:pic>
              </a:graphicData>
            </a:graphic>
          </wp:inline>
        </w:drawing>
      </w:r>
    </w:p>
    <w:p>
      <w:pPr>
        <w:pStyle w:val="17"/>
        <w:spacing w:before="37" w:line="220" w:lineRule="auto"/>
        <w:ind w:left="0" w:leftChars="0" w:firstLine="0" w:firstLineChars="0"/>
        <w:rPr>
          <w:sz w:val="24"/>
          <w:szCs w:val="24"/>
        </w:rPr>
      </w:pPr>
      <w:r>
        <w:rPr>
          <w:spacing w:val="-15"/>
          <w:sz w:val="24"/>
          <w:szCs w:val="24"/>
        </w:rPr>
        <w:t>说明：</w:t>
      </w:r>
    </w:p>
    <w:p>
      <w:pPr>
        <w:pStyle w:val="17"/>
        <w:keepNext w:val="0"/>
        <w:keepLines w:val="0"/>
        <w:pageBreakBefore w:val="0"/>
        <w:widowControl w:val="0"/>
        <w:kinsoku/>
        <w:wordWrap/>
        <w:overflowPunct/>
        <w:topLinePunct w:val="0"/>
        <w:autoSpaceDE/>
        <w:autoSpaceDN/>
        <w:bidi w:val="0"/>
        <w:adjustRightInd/>
        <w:snapToGrid/>
        <w:spacing w:before="0" w:line="360" w:lineRule="auto"/>
        <w:ind w:left="0" w:right="0"/>
        <w:jc w:val="right"/>
        <w:textAlignment w:val="auto"/>
        <w:rPr>
          <w:rFonts w:hint="eastAsia" w:ascii="宋体" w:hAnsi="宋体" w:eastAsia="宋体" w:cs="宋体"/>
          <w:color w:val="000000"/>
          <w:kern w:val="2"/>
          <w:sz w:val="24"/>
          <w:szCs w:val="20"/>
          <w:lang w:val="en-US" w:eastAsia="zh-CN" w:bidi="ar-SA"/>
        </w:rPr>
      </w:pPr>
      <w:r>
        <w:rPr>
          <w:rFonts w:hint="eastAsia" w:ascii="宋体" w:hAnsi="宋体" w:eastAsia="宋体" w:cs="宋体"/>
          <w:color w:val="000000"/>
          <w:kern w:val="2"/>
          <w:sz w:val="24"/>
          <w:szCs w:val="20"/>
          <w:lang w:val="en-US" w:eastAsia="zh-CN" w:bidi="ar-SA"/>
        </w:rPr>
        <w:t>1.若供应商为事业单位或其他组织或分支机构，则法定代表人（单位负责人）处的签署</w:t>
      </w:r>
    </w:p>
    <w:p>
      <w:pPr>
        <w:pStyle w:val="17"/>
        <w:keepNext w:val="0"/>
        <w:keepLines w:val="0"/>
        <w:pageBreakBefore w:val="0"/>
        <w:widowControl w:val="0"/>
        <w:kinsoku/>
        <w:wordWrap/>
        <w:overflowPunct/>
        <w:topLinePunct w:val="0"/>
        <w:autoSpaceDE/>
        <w:autoSpaceDN/>
        <w:bidi w:val="0"/>
        <w:adjustRightInd/>
        <w:snapToGrid/>
        <w:spacing w:before="0" w:line="360" w:lineRule="auto"/>
        <w:ind w:left="0" w:right="0"/>
        <w:textAlignment w:val="auto"/>
        <w:rPr>
          <w:rFonts w:hint="eastAsia" w:ascii="宋体" w:hAnsi="宋体" w:eastAsia="宋体" w:cs="宋体"/>
          <w:color w:val="000000"/>
          <w:kern w:val="2"/>
          <w:sz w:val="24"/>
          <w:szCs w:val="20"/>
          <w:lang w:val="en-US" w:eastAsia="zh-CN" w:bidi="ar-SA"/>
        </w:rPr>
      </w:pPr>
      <w:r>
        <w:rPr>
          <w:rFonts w:hint="eastAsia" w:ascii="宋体" w:hAnsi="宋体" w:eastAsia="宋体" w:cs="宋体"/>
          <w:color w:val="000000"/>
          <w:kern w:val="2"/>
          <w:sz w:val="24"/>
          <w:szCs w:val="20"/>
          <w:lang w:val="en-US" w:eastAsia="zh-CN" w:bidi="ar-SA"/>
        </w:rPr>
        <w:t>人可为单位负责人。</w:t>
      </w:r>
    </w:p>
    <w:p>
      <w:pPr>
        <w:pStyle w:val="17"/>
        <w:keepNext w:val="0"/>
        <w:keepLines w:val="0"/>
        <w:pageBreakBefore w:val="0"/>
        <w:widowControl w:val="0"/>
        <w:kinsoku/>
        <w:wordWrap/>
        <w:overflowPunct/>
        <w:topLinePunct w:val="0"/>
        <w:autoSpaceDE/>
        <w:autoSpaceDN/>
        <w:bidi w:val="0"/>
        <w:adjustRightInd/>
        <w:snapToGrid/>
        <w:spacing w:before="0" w:line="360" w:lineRule="auto"/>
        <w:ind w:left="9" w:leftChars="0" w:right="0" w:hanging="9" w:firstLineChars="0"/>
        <w:jc w:val="both"/>
        <w:textAlignment w:val="auto"/>
        <w:rPr>
          <w:rFonts w:hint="eastAsia" w:ascii="宋体" w:hAnsi="宋体" w:eastAsia="宋体" w:cs="宋体"/>
          <w:color w:val="000000"/>
          <w:kern w:val="2"/>
          <w:sz w:val="24"/>
          <w:szCs w:val="20"/>
          <w:lang w:val="en-US" w:eastAsia="zh-CN" w:bidi="ar-SA"/>
        </w:rPr>
      </w:pPr>
      <w:r>
        <w:rPr>
          <w:rFonts w:hint="eastAsia" w:ascii="宋体" w:hAnsi="宋体" w:eastAsia="宋体" w:cs="宋体"/>
          <w:color w:val="000000"/>
          <w:kern w:val="2"/>
          <w:sz w:val="24"/>
          <w:szCs w:val="20"/>
          <w:lang w:val="en-US" w:eastAsia="zh-CN" w:bidi="ar-SA"/>
        </w:rPr>
        <w:t>2.若响应文件中签字之处均为法定代表人（单位负责人） 本人签署，则可不提供本《授权委托书》，但须提供《法定代表人（单位负责人）身份证明》；否则，不需要提供《法定代表人（单位负责人）身份证明》。</w:t>
      </w:r>
    </w:p>
    <w:p>
      <w:pPr>
        <w:pStyle w:val="17"/>
        <w:keepNext w:val="0"/>
        <w:keepLines w:val="0"/>
        <w:pageBreakBefore w:val="0"/>
        <w:widowControl w:val="0"/>
        <w:kinsoku/>
        <w:wordWrap/>
        <w:overflowPunct/>
        <w:topLinePunct w:val="0"/>
        <w:autoSpaceDE/>
        <w:autoSpaceDN/>
        <w:bidi w:val="0"/>
        <w:adjustRightInd/>
        <w:snapToGrid/>
        <w:spacing w:before="0" w:line="360" w:lineRule="auto"/>
        <w:ind w:left="0" w:right="0"/>
        <w:textAlignment w:val="auto"/>
        <w:rPr>
          <w:rFonts w:hint="eastAsia" w:ascii="宋体" w:hAnsi="宋体" w:eastAsia="宋体" w:cs="宋体"/>
          <w:color w:val="000000"/>
          <w:kern w:val="2"/>
          <w:sz w:val="24"/>
          <w:szCs w:val="20"/>
          <w:lang w:val="en-US" w:eastAsia="zh-CN" w:bidi="ar-SA"/>
        </w:rPr>
      </w:pPr>
      <w:r>
        <w:rPr>
          <w:rFonts w:hint="eastAsia" w:ascii="宋体" w:hAnsi="宋体" w:eastAsia="宋体" w:cs="宋体"/>
          <w:color w:val="000000"/>
          <w:kern w:val="2"/>
          <w:sz w:val="24"/>
          <w:szCs w:val="20"/>
          <w:lang w:val="en-US" w:eastAsia="zh-CN" w:bidi="ar-SA"/>
        </w:rPr>
        <w:t>3.供应商为自然人的情形，可不提供本《授权委托书》。</w:t>
      </w:r>
    </w:p>
    <w:p>
      <w:pPr>
        <w:pStyle w:val="17"/>
        <w:keepNext w:val="0"/>
        <w:keepLines w:val="0"/>
        <w:pageBreakBefore w:val="0"/>
        <w:widowControl w:val="0"/>
        <w:kinsoku/>
        <w:wordWrap/>
        <w:overflowPunct/>
        <w:topLinePunct w:val="0"/>
        <w:autoSpaceDE/>
        <w:autoSpaceDN/>
        <w:bidi w:val="0"/>
        <w:adjustRightInd/>
        <w:snapToGrid/>
        <w:spacing w:before="0" w:line="360" w:lineRule="auto"/>
        <w:ind w:left="0" w:right="0" w:hanging="3"/>
        <w:jc w:val="both"/>
        <w:textAlignment w:val="auto"/>
        <w:rPr>
          <w:rFonts w:hint="eastAsia" w:ascii="宋体" w:hAnsi="宋体" w:eastAsia="宋体" w:cs="宋体"/>
          <w:color w:val="000000"/>
          <w:kern w:val="2"/>
          <w:sz w:val="24"/>
          <w:szCs w:val="20"/>
          <w:lang w:val="en-US" w:eastAsia="zh-CN" w:bidi="ar-SA"/>
        </w:rPr>
      </w:pPr>
      <w:r>
        <w:rPr>
          <w:rFonts w:hint="eastAsia" w:ascii="宋体" w:hAnsi="宋体" w:eastAsia="宋体" w:cs="宋体"/>
          <w:color w:val="000000"/>
          <w:kern w:val="2"/>
          <w:sz w:val="24"/>
          <w:szCs w:val="20"/>
          <w:lang w:val="en-US" w:eastAsia="zh-CN" w:bidi="ar-SA"/>
        </w:rPr>
        <w:t>4.供应商应随本《授权委托书》同时提供法定代表人（单位负责人）及委托代理人的有效的身份证、护照等身份证明文件电子件。提供身份证的，应同时提供身份证双面电子件。</w:t>
      </w:r>
    </w:p>
    <w:p>
      <w:pPr>
        <w:spacing w:line="220" w:lineRule="auto"/>
        <w:rPr>
          <w:sz w:val="24"/>
          <w:szCs w:val="24"/>
        </w:rPr>
        <w:sectPr>
          <w:pgSz w:w="11907" w:h="16840"/>
          <w:pgMar w:top="1117" w:right="1119" w:bottom="1060" w:left="1588" w:header="907" w:footer="964" w:gutter="0"/>
          <w:pgNumType w:fmt="decimal"/>
          <w:cols w:space="720" w:num="1"/>
        </w:sectPr>
      </w:pPr>
    </w:p>
    <w:p>
      <w:pPr>
        <w:widowControl/>
        <w:jc w:val="center"/>
        <w:rPr>
          <w:rFonts w:hint="eastAsia" w:ascii="宋体" w:hAnsi="宋体" w:eastAsia="宋体" w:cs="宋体"/>
          <w:b/>
          <w:color w:val="000000"/>
          <w:sz w:val="36"/>
          <w:szCs w:val="36"/>
        </w:rPr>
      </w:pPr>
      <w:r>
        <w:rPr>
          <w:rFonts w:hint="eastAsia" w:ascii="宋体" w:hAnsi="宋体" w:eastAsia="宋体" w:cs="宋体"/>
          <w:b/>
          <w:color w:val="000000"/>
          <w:sz w:val="36"/>
          <w:szCs w:val="36"/>
        </w:rPr>
        <w:t>法定代表人（单位负责人）身份证明</w:t>
      </w:r>
    </w:p>
    <w:p>
      <w:pPr>
        <w:kinsoku w:val="0"/>
        <w:overflowPunct w:val="0"/>
        <w:spacing w:line="200" w:lineRule="exact"/>
        <w:rPr>
          <w:rFonts w:hint="eastAsia" w:ascii="宋体" w:hAnsi="宋体" w:eastAsia="宋体" w:cs="宋体"/>
          <w:sz w:val="20"/>
          <w:szCs w:val="20"/>
        </w:rPr>
      </w:pPr>
    </w:p>
    <w:p>
      <w:pPr>
        <w:tabs>
          <w:tab w:val="left" w:pos="5580"/>
        </w:tabs>
        <w:spacing w:line="360" w:lineRule="auto"/>
        <w:rPr>
          <w:rFonts w:hint="eastAsia" w:ascii="宋体" w:hAnsi="宋体" w:eastAsia="宋体" w:cs="宋体"/>
          <w:color w:val="000000"/>
          <w:sz w:val="24"/>
        </w:rPr>
      </w:pPr>
      <w:r>
        <w:rPr>
          <w:rFonts w:hint="eastAsia" w:ascii="宋体" w:hAnsi="宋体" w:eastAsia="宋体" w:cs="宋体"/>
          <w:color w:val="000000"/>
          <w:sz w:val="24"/>
        </w:rPr>
        <w:t>致：</w:t>
      </w:r>
      <w:r>
        <w:rPr>
          <w:rFonts w:hint="eastAsia" w:ascii="宋体" w:hAnsi="宋体" w:eastAsia="宋体" w:cs="宋体"/>
          <w:color w:val="000000"/>
          <w:sz w:val="24"/>
          <w:szCs w:val="20"/>
        </w:rPr>
        <w:t>____</w:t>
      </w:r>
      <w:r>
        <w:rPr>
          <w:rFonts w:hint="eastAsia" w:ascii="宋体" w:hAnsi="宋体" w:eastAsia="宋体" w:cs="宋体"/>
          <w:color w:val="000000"/>
          <w:sz w:val="24"/>
        </w:rPr>
        <w:t>（采购人或采购代理机构）</w:t>
      </w:r>
    </w:p>
    <w:p>
      <w:pPr>
        <w:pStyle w:val="17"/>
        <w:tabs>
          <w:tab w:val="left" w:pos="2412"/>
          <w:tab w:val="left" w:pos="3883"/>
          <w:tab w:val="left" w:pos="5352"/>
          <w:tab w:val="left" w:pos="6821"/>
        </w:tabs>
        <w:kinsoku w:val="0"/>
        <w:overflowPunct w:val="0"/>
        <w:spacing w:line="335" w:lineRule="exact"/>
        <w:ind w:firstLine="480" w:firstLineChars="200"/>
        <w:rPr>
          <w:rFonts w:hint="eastAsia" w:ascii="宋体" w:hAnsi="宋体" w:eastAsia="宋体" w:cs="宋体"/>
        </w:rPr>
      </w:pPr>
      <w:r>
        <w:rPr>
          <w:rFonts w:hint="eastAsia" w:ascii="宋体" w:hAnsi="宋体" w:eastAsia="宋体" w:cs="宋体"/>
        </w:rPr>
        <w:t>兹证明，</w:t>
      </w:r>
    </w:p>
    <w:p>
      <w:pPr>
        <w:pStyle w:val="17"/>
        <w:tabs>
          <w:tab w:val="left" w:pos="1690"/>
          <w:tab w:val="left" w:pos="3400"/>
          <w:tab w:val="left" w:pos="5110"/>
          <w:tab w:val="left" w:pos="6821"/>
        </w:tabs>
        <w:kinsoku w:val="0"/>
        <w:overflowPunct w:val="0"/>
        <w:spacing w:line="335" w:lineRule="exact"/>
        <w:rPr>
          <w:rFonts w:hint="eastAsia" w:ascii="宋体" w:hAnsi="宋体" w:eastAsia="宋体" w:cs="宋体"/>
        </w:rPr>
      </w:pPr>
      <w:r>
        <w:rPr>
          <w:rFonts w:hint="eastAsia" w:ascii="宋体" w:hAnsi="宋体" w:eastAsia="宋体" w:cs="宋体"/>
        </w:rPr>
        <w:t>姓名：</w:t>
      </w:r>
      <w:r>
        <w:rPr>
          <w:rFonts w:hint="eastAsia" w:ascii="宋体" w:hAnsi="宋体" w:eastAsia="宋体" w:cs="宋体"/>
          <w:color w:val="000000"/>
          <w:szCs w:val="20"/>
        </w:rPr>
        <w:t>____</w:t>
      </w:r>
      <w:r>
        <w:rPr>
          <w:rFonts w:hint="eastAsia" w:ascii="宋体" w:hAnsi="宋体" w:eastAsia="宋体" w:cs="宋体"/>
        </w:rPr>
        <w:t>性别：</w:t>
      </w:r>
      <w:r>
        <w:rPr>
          <w:rFonts w:hint="eastAsia" w:ascii="宋体" w:hAnsi="宋体" w:eastAsia="宋体" w:cs="宋体"/>
          <w:color w:val="000000"/>
          <w:szCs w:val="20"/>
        </w:rPr>
        <w:t>____</w:t>
      </w:r>
      <w:r>
        <w:rPr>
          <w:rFonts w:hint="eastAsia" w:ascii="宋体" w:hAnsi="宋体" w:eastAsia="宋体" w:cs="宋体"/>
        </w:rPr>
        <w:t>年龄：</w:t>
      </w:r>
      <w:r>
        <w:rPr>
          <w:rFonts w:hint="eastAsia" w:ascii="宋体" w:hAnsi="宋体" w:eastAsia="宋体" w:cs="宋体"/>
          <w:color w:val="000000"/>
          <w:szCs w:val="20"/>
        </w:rPr>
        <w:t>____</w:t>
      </w:r>
      <w:r>
        <w:rPr>
          <w:rFonts w:hint="eastAsia" w:ascii="宋体" w:hAnsi="宋体" w:eastAsia="宋体" w:cs="宋体"/>
        </w:rPr>
        <w:t>职务：</w:t>
      </w:r>
      <w:r>
        <w:rPr>
          <w:rFonts w:hint="eastAsia" w:ascii="宋体" w:hAnsi="宋体" w:eastAsia="宋体" w:cs="宋体"/>
          <w:color w:val="000000"/>
          <w:szCs w:val="20"/>
        </w:rPr>
        <w:t>____</w:t>
      </w:r>
    </w:p>
    <w:p>
      <w:pPr>
        <w:pStyle w:val="17"/>
        <w:tabs>
          <w:tab w:val="left" w:pos="2412"/>
          <w:tab w:val="left" w:pos="3883"/>
          <w:tab w:val="left" w:pos="5352"/>
          <w:tab w:val="left" w:pos="6821"/>
        </w:tabs>
        <w:kinsoku w:val="0"/>
        <w:overflowPunct w:val="0"/>
        <w:spacing w:line="335" w:lineRule="exact"/>
        <w:rPr>
          <w:rFonts w:hint="eastAsia" w:ascii="宋体" w:hAnsi="宋体" w:eastAsia="宋体" w:cs="宋体"/>
        </w:rPr>
      </w:pPr>
    </w:p>
    <w:p>
      <w:pPr>
        <w:pStyle w:val="17"/>
        <w:tabs>
          <w:tab w:val="left" w:pos="2250"/>
          <w:tab w:val="left" w:pos="2412"/>
          <w:tab w:val="left" w:pos="3883"/>
          <w:tab w:val="left" w:pos="5352"/>
          <w:tab w:val="left" w:pos="6821"/>
          <w:tab w:val="clear" w:pos="567"/>
        </w:tabs>
        <w:kinsoku w:val="0"/>
        <w:overflowPunct w:val="0"/>
        <w:spacing w:line="335" w:lineRule="exact"/>
        <w:rPr>
          <w:rFonts w:hint="eastAsia" w:ascii="宋体" w:hAnsi="宋体" w:eastAsia="宋体" w:cs="宋体"/>
        </w:rPr>
      </w:pPr>
      <w:r>
        <w:rPr>
          <w:rFonts w:hint="eastAsia" w:ascii="宋体" w:hAnsi="宋体" w:eastAsia="宋体" w:cs="宋体"/>
        </w:rPr>
        <w:t>系</w:t>
      </w:r>
      <w:r>
        <w:rPr>
          <w:rFonts w:hint="eastAsia" w:ascii="宋体" w:hAnsi="宋体" w:eastAsia="宋体" w:cs="宋体"/>
          <w:color w:val="000000"/>
          <w:szCs w:val="20"/>
        </w:rPr>
        <w:t>__________</w:t>
      </w:r>
      <w:r>
        <w:rPr>
          <w:rFonts w:hint="eastAsia" w:ascii="宋体" w:hAnsi="宋体" w:eastAsia="宋体" w:cs="宋体"/>
        </w:rPr>
        <w:t>（供应商名称）的法定代表人（单位负责人）。</w:t>
      </w:r>
    </w:p>
    <w:p>
      <w:pPr>
        <w:pStyle w:val="17"/>
        <w:tabs>
          <w:tab w:val="left" w:pos="2412"/>
          <w:tab w:val="left" w:pos="3883"/>
          <w:tab w:val="left" w:pos="5352"/>
          <w:tab w:val="left" w:pos="6821"/>
        </w:tabs>
        <w:kinsoku w:val="0"/>
        <w:overflowPunct w:val="0"/>
        <w:spacing w:line="335" w:lineRule="exact"/>
        <w:rPr>
          <w:rFonts w:hint="eastAsia" w:ascii="宋体" w:hAnsi="宋体" w:eastAsia="宋体" w:cs="宋体"/>
        </w:rPr>
      </w:pPr>
    </w:p>
    <w:p>
      <w:pPr>
        <w:pStyle w:val="17"/>
        <w:tabs>
          <w:tab w:val="left" w:pos="2412"/>
          <w:tab w:val="left" w:pos="3883"/>
          <w:tab w:val="left" w:pos="5352"/>
          <w:tab w:val="left" w:pos="6821"/>
        </w:tabs>
        <w:kinsoku w:val="0"/>
        <w:overflowPunct w:val="0"/>
        <w:spacing w:line="335" w:lineRule="exact"/>
        <w:rPr>
          <w:rFonts w:hint="eastAsia" w:ascii="宋体" w:hAnsi="宋体" w:eastAsia="宋体" w:cs="宋体"/>
        </w:rPr>
      </w:pPr>
    </w:p>
    <w:p>
      <w:pPr>
        <w:pStyle w:val="17"/>
        <w:tabs>
          <w:tab w:val="left" w:pos="2412"/>
          <w:tab w:val="left" w:pos="3883"/>
          <w:tab w:val="left" w:pos="5352"/>
          <w:tab w:val="left" w:pos="6821"/>
        </w:tabs>
        <w:kinsoku w:val="0"/>
        <w:overflowPunct w:val="0"/>
        <w:spacing w:line="335" w:lineRule="exact"/>
        <w:rPr>
          <w:rFonts w:hint="eastAsia" w:ascii="宋体" w:hAnsi="宋体" w:eastAsia="宋体" w:cs="宋体"/>
        </w:rPr>
      </w:pPr>
    </w:p>
    <w:p>
      <w:pPr>
        <w:pStyle w:val="17"/>
        <w:spacing w:before="78" w:line="219" w:lineRule="auto"/>
        <w:ind w:left="141"/>
        <w:rPr>
          <w:sz w:val="24"/>
          <w:szCs w:val="24"/>
        </w:rPr>
      </w:pPr>
      <w:r>
        <w:rPr>
          <w:spacing w:val="-3"/>
          <w:sz w:val="24"/>
          <w:szCs w:val="24"/>
        </w:rPr>
        <w:t>附：法定代表人（单位负责人）身份证电子件</w:t>
      </w:r>
      <w:r>
        <w:rPr>
          <w:rFonts w:hint="eastAsia" w:ascii="宋体" w:hAnsi="宋体" w:eastAsia="宋体" w:cs="宋体"/>
          <w:color w:val="auto"/>
          <w:spacing w:val="-3"/>
        </w:rPr>
        <w:t>。</w:t>
      </w:r>
    </w:p>
    <w:p>
      <w:pPr>
        <w:spacing w:line="432" w:lineRule="auto"/>
        <w:rPr>
          <w:rFonts w:ascii="Arial"/>
          <w:sz w:val="21"/>
        </w:rPr>
      </w:pPr>
    </w:p>
    <w:p>
      <w:pPr>
        <w:pStyle w:val="17"/>
        <w:kinsoku w:val="0"/>
        <w:overflowPunct w:val="0"/>
        <w:spacing w:line="583" w:lineRule="auto"/>
        <w:ind w:right="4305"/>
        <w:rPr>
          <w:rFonts w:hint="eastAsia" w:ascii="宋体" w:hAnsi="宋体" w:eastAsia="宋体" w:cs="宋体"/>
          <w:spacing w:val="-3"/>
        </w:rPr>
      </w:pPr>
      <w:r>
        <w:rPr>
          <w:position w:val="-45"/>
        </w:rPr>
        <w:drawing>
          <wp:inline distT="0" distB="0" distL="0" distR="0">
            <wp:extent cx="5760720" cy="1451610"/>
            <wp:effectExtent l="0" t="0" r="11430" b="15240"/>
            <wp:docPr id="182" name="IM 182"/>
            <wp:cNvGraphicFramePr/>
            <a:graphic xmlns:a="http://schemas.openxmlformats.org/drawingml/2006/main">
              <a:graphicData uri="http://schemas.openxmlformats.org/drawingml/2006/picture">
                <pic:pic xmlns:pic="http://schemas.openxmlformats.org/drawingml/2006/picture">
                  <pic:nvPicPr>
                    <pic:cNvPr id="182" name="IM 182"/>
                    <pic:cNvPicPr/>
                  </pic:nvPicPr>
                  <pic:blipFill>
                    <a:blip r:embed="rId31"/>
                    <a:stretch>
                      <a:fillRect/>
                    </a:stretch>
                  </pic:blipFill>
                  <pic:spPr>
                    <a:xfrm>
                      <a:off x="0" y="0"/>
                      <a:ext cx="5760754" cy="1451975"/>
                    </a:xfrm>
                    <a:prstGeom prst="rect">
                      <a:avLst/>
                    </a:prstGeom>
                  </pic:spPr>
                </pic:pic>
              </a:graphicData>
            </a:graphic>
          </wp:inline>
        </w:drawing>
      </w:r>
    </w:p>
    <w:p>
      <w:pPr>
        <w:pStyle w:val="17"/>
        <w:kinsoku w:val="0"/>
        <w:overflowPunct w:val="0"/>
        <w:spacing w:line="583" w:lineRule="auto"/>
        <w:ind w:right="4305"/>
        <w:rPr>
          <w:rFonts w:hint="eastAsia" w:ascii="宋体" w:hAnsi="宋体" w:eastAsia="宋体" w:cs="宋体"/>
          <w:spacing w:val="-3"/>
        </w:rPr>
      </w:pPr>
    </w:p>
    <w:p>
      <w:pPr>
        <w:pStyle w:val="17"/>
        <w:kinsoku w:val="0"/>
        <w:overflowPunct w:val="0"/>
        <w:spacing w:line="583" w:lineRule="auto"/>
        <w:ind w:right="4305"/>
        <w:rPr>
          <w:rFonts w:hint="eastAsia" w:ascii="宋体" w:hAnsi="宋体" w:eastAsia="宋体" w:cs="宋体"/>
          <w:spacing w:val="-3"/>
        </w:rPr>
      </w:pPr>
    </w:p>
    <w:p>
      <w:pPr>
        <w:autoSpaceDE w:val="0"/>
        <w:autoSpaceDN w:val="0"/>
        <w:adjustRightInd w:val="0"/>
        <w:snapToGrid w:val="0"/>
        <w:spacing w:line="360" w:lineRule="auto"/>
        <w:rPr>
          <w:rFonts w:hint="eastAsia" w:ascii="宋体" w:hAnsi="宋体" w:eastAsia="宋体" w:cs="宋体"/>
          <w:color w:val="000000"/>
          <w:sz w:val="24"/>
          <w:lang w:val="zh-CN"/>
        </w:rPr>
      </w:pPr>
      <w:r>
        <w:rPr>
          <w:rFonts w:hint="eastAsia" w:ascii="宋体" w:hAnsi="宋体" w:eastAsia="宋体" w:cs="宋体"/>
          <w:color w:val="000000"/>
          <w:sz w:val="24"/>
        </w:rPr>
        <w:t>供应商名称（加盖公章）</w:t>
      </w:r>
      <w:r>
        <w:rPr>
          <w:rFonts w:hint="eastAsia" w:ascii="宋体" w:hAnsi="宋体" w:eastAsia="宋体" w:cs="宋体"/>
          <w:color w:val="000000"/>
          <w:sz w:val="24"/>
          <w:lang w:val="zh-CN"/>
        </w:rPr>
        <w:t>：</w:t>
      </w:r>
      <w:r>
        <w:rPr>
          <w:rFonts w:hint="eastAsia" w:ascii="宋体" w:hAnsi="宋体" w:eastAsia="宋体" w:cs="宋体"/>
          <w:sz w:val="24"/>
        </w:rPr>
        <w:t>______</w:t>
      </w:r>
    </w:p>
    <w:p>
      <w:pPr>
        <w:autoSpaceDE w:val="0"/>
        <w:autoSpaceDN w:val="0"/>
        <w:adjustRightInd w:val="0"/>
        <w:snapToGrid w:val="0"/>
        <w:spacing w:line="360" w:lineRule="auto"/>
        <w:rPr>
          <w:rFonts w:hint="eastAsia" w:ascii="宋体" w:hAnsi="宋体" w:eastAsia="宋体" w:cs="宋体"/>
          <w:color w:val="000000"/>
          <w:sz w:val="24"/>
          <w:lang w:val="zh-CN"/>
        </w:rPr>
      </w:pPr>
      <w:r>
        <w:rPr>
          <w:rFonts w:hint="eastAsia" w:ascii="宋体" w:hAnsi="宋体" w:eastAsia="宋体" w:cs="宋体"/>
          <w:spacing w:val="-3"/>
          <w:sz w:val="24"/>
        </w:rPr>
        <w:t>法定代表人（</w:t>
      </w:r>
      <w:r>
        <w:rPr>
          <w:rFonts w:hint="eastAsia" w:ascii="宋体" w:hAnsi="宋体" w:eastAsia="宋体" w:cs="宋体"/>
          <w:sz w:val="24"/>
        </w:rPr>
        <w:t>单位负责人</w:t>
      </w:r>
      <w:r>
        <w:rPr>
          <w:rFonts w:hint="eastAsia" w:ascii="宋体" w:hAnsi="宋体" w:eastAsia="宋体" w:cs="宋体"/>
          <w:spacing w:val="-3"/>
          <w:sz w:val="24"/>
        </w:rPr>
        <w:t>）（签字</w:t>
      </w:r>
      <w:r>
        <w:rPr>
          <w:rFonts w:hint="eastAsia" w:ascii="宋体" w:hAnsi="宋体" w:cs="宋体"/>
          <w:color w:val="000000"/>
          <w:sz w:val="24"/>
          <w:szCs w:val="20"/>
          <w:lang w:eastAsia="zh-CN"/>
        </w:rPr>
        <w:t>或</w:t>
      </w:r>
      <w:r>
        <w:rPr>
          <w:rFonts w:hint="eastAsia" w:ascii="宋体" w:hAnsi="宋体" w:eastAsia="宋体" w:cs="宋体"/>
          <w:color w:val="000000"/>
          <w:sz w:val="24"/>
          <w:szCs w:val="20"/>
        </w:rPr>
        <w:t>签章</w:t>
      </w:r>
      <w:r>
        <w:rPr>
          <w:rFonts w:hint="eastAsia" w:ascii="宋体" w:hAnsi="宋体" w:eastAsia="宋体" w:cs="宋体"/>
          <w:spacing w:val="-3"/>
          <w:sz w:val="24"/>
        </w:rPr>
        <w:t>）：</w:t>
      </w:r>
      <w:r>
        <w:rPr>
          <w:rFonts w:hint="eastAsia" w:ascii="宋体" w:hAnsi="宋体" w:eastAsia="宋体" w:cs="宋体"/>
          <w:sz w:val="24"/>
        </w:rPr>
        <w:t>______</w:t>
      </w:r>
    </w:p>
    <w:p>
      <w:pPr>
        <w:autoSpaceDE w:val="0"/>
        <w:autoSpaceDN w:val="0"/>
        <w:adjustRightInd w:val="0"/>
        <w:snapToGrid w:val="0"/>
        <w:spacing w:line="360" w:lineRule="auto"/>
        <w:rPr>
          <w:rFonts w:hint="eastAsia" w:ascii="宋体" w:hAnsi="宋体" w:eastAsia="宋体" w:cs="宋体"/>
          <w:color w:val="000000"/>
          <w:sz w:val="24"/>
          <w:lang w:val="zh-CN"/>
        </w:rPr>
      </w:pPr>
      <w:r>
        <w:rPr>
          <w:rFonts w:hint="eastAsia" w:ascii="宋体" w:hAnsi="宋体" w:eastAsia="宋体" w:cs="宋体"/>
          <w:color w:val="000000"/>
          <w:sz w:val="24"/>
        </w:rPr>
        <w:t>日期：</w:t>
      </w:r>
      <w:r>
        <w:rPr>
          <w:rFonts w:hint="eastAsia" w:ascii="宋体" w:hAnsi="宋体" w:eastAsia="宋体" w:cs="宋体"/>
          <w:color w:val="000000"/>
          <w:sz w:val="24"/>
          <w:szCs w:val="20"/>
        </w:rPr>
        <w:t>____年____月____日</w:t>
      </w:r>
    </w:p>
    <w:p>
      <w:pPr>
        <w:widowControl/>
        <w:jc w:val="left"/>
        <w:rPr>
          <w:rFonts w:hint="eastAsia" w:ascii="宋体" w:hAnsi="宋体" w:eastAsia="宋体" w:cs="宋体"/>
          <w:i/>
          <w:color w:val="000000"/>
          <w:sz w:val="24"/>
          <w:szCs w:val="20"/>
          <w:u w:val="single"/>
        </w:rPr>
      </w:pPr>
    </w:p>
    <w:p>
      <w:pPr>
        <w:widowControl/>
        <w:jc w:val="left"/>
        <w:rPr>
          <w:rFonts w:hint="eastAsia" w:ascii="宋体" w:hAnsi="宋体" w:eastAsia="宋体" w:cs="宋体"/>
          <w:color w:val="000000"/>
          <w:sz w:val="24"/>
          <w:szCs w:val="20"/>
        </w:rPr>
      </w:pPr>
      <w:r>
        <w:rPr>
          <w:rFonts w:hint="eastAsia" w:ascii="宋体" w:hAnsi="宋体" w:eastAsia="宋体" w:cs="宋体"/>
          <w:color w:val="000000"/>
          <w:sz w:val="24"/>
          <w:szCs w:val="20"/>
        </w:rPr>
        <w:br w:type="page"/>
      </w:r>
    </w:p>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p>
      <w:pPr>
        <w:tabs>
          <w:tab w:val="left" w:pos="360"/>
        </w:tabs>
        <w:snapToGrid w:val="0"/>
        <w:spacing w:line="360" w:lineRule="auto"/>
        <w:outlineLvl w:val="1"/>
        <w:rPr>
          <w:rFonts w:hint="eastAsia" w:ascii="宋体" w:hAnsi="宋体" w:eastAsia="宋体" w:cs="宋体"/>
          <w:sz w:val="24"/>
        </w:rPr>
      </w:pPr>
      <w:bookmarkStart w:id="700" w:name="_Toc265228397"/>
      <w:bookmarkStart w:id="701" w:name="_Toc264969249"/>
      <w:bookmarkStart w:id="702" w:name="_Toc142311060"/>
      <w:bookmarkStart w:id="703" w:name="_Toc127151558"/>
      <w:bookmarkStart w:id="704" w:name="_Toc150480796"/>
      <w:bookmarkStart w:id="705" w:name="_Toc226309803"/>
      <w:bookmarkStart w:id="706" w:name="_Toc226965832"/>
      <w:bookmarkStart w:id="707" w:name="_Toc226965749"/>
      <w:bookmarkStart w:id="708" w:name="_Toc305158901"/>
      <w:bookmarkStart w:id="709" w:name="_Toc305158827"/>
      <w:bookmarkStart w:id="710" w:name="_Toc226337255"/>
      <w:bookmarkStart w:id="711" w:name="_Toc195842924"/>
      <w:bookmarkStart w:id="712" w:name="_Toc150774763"/>
      <w:r>
        <w:rPr>
          <w:rFonts w:hint="eastAsia" w:ascii="宋体" w:hAnsi="宋体" w:eastAsia="宋体" w:cs="宋体"/>
          <w:sz w:val="24"/>
        </w:rPr>
        <w:t>7  报价一览表</w:t>
      </w:r>
    </w:p>
    <w:p>
      <w:pPr>
        <w:spacing w:line="240" w:lineRule="auto"/>
        <w:jc w:val="center"/>
        <w:rPr>
          <w:rFonts w:hint="eastAsia" w:ascii="宋体" w:hAnsi="宋体" w:eastAsia="宋体" w:cs="宋体"/>
          <w:b/>
          <w:color w:val="000000"/>
          <w:sz w:val="36"/>
          <w:szCs w:val="36"/>
        </w:rPr>
      </w:pPr>
      <w:bookmarkStart w:id="713" w:name="_Toc305158826"/>
      <w:bookmarkStart w:id="714" w:name="_Toc226309802"/>
      <w:bookmarkStart w:id="715" w:name="_Toc305158900"/>
      <w:bookmarkStart w:id="716" w:name="_Toc226965748"/>
      <w:bookmarkStart w:id="717" w:name="_Toc226337254"/>
      <w:bookmarkStart w:id="718" w:name="_Toc164608827"/>
      <w:bookmarkStart w:id="719" w:name="_Toc226965831"/>
      <w:bookmarkStart w:id="720" w:name="_Toc195842923"/>
      <w:bookmarkStart w:id="721" w:name="_Toc264969248"/>
      <w:bookmarkStart w:id="722" w:name="_Toc164608672"/>
      <w:bookmarkStart w:id="723" w:name="_Toc265228396"/>
      <w:r>
        <w:rPr>
          <w:rFonts w:hint="eastAsia" w:ascii="宋体" w:hAnsi="宋体" w:eastAsia="宋体" w:cs="宋体"/>
          <w:b/>
          <w:color w:val="000000"/>
          <w:sz w:val="36"/>
          <w:szCs w:val="36"/>
        </w:rPr>
        <w:t>报价一览表</w:t>
      </w:r>
      <w:bookmarkEnd w:id="713"/>
      <w:bookmarkEnd w:id="714"/>
      <w:bookmarkEnd w:id="715"/>
      <w:bookmarkEnd w:id="716"/>
      <w:bookmarkEnd w:id="717"/>
      <w:bookmarkEnd w:id="718"/>
      <w:bookmarkEnd w:id="719"/>
      <w:bookmarkEnd w:id="720"/>
      <w:bookmarkEnd w:id="721"/>
      <w:bookmarkEnd w:id="722"/>
      <w:bookmarkEnd w:id="723"/>
    </w:p>
    <w:p>
      <w:pPr>
        <w:spacing w:line="360" w:lineRule="exact"/>
        <w:jc w:val="center"/>
        <w:rPr>
          <w:rFonts w:hint="eastAsia" w:ascii="宋体" w:hAnsi="宋体" w:eastAsia="宋体" w:cs="宋体"/>
          <w:b/>
          <w:color w:val="000000"/>
          <w:sz w:val="36"/>
          <w:szCs w:val="36"/>
        </w:rPr>
      </w:pPr>
    </w:p>
    <w:p>
      <w:pPr>
        <w:shd w:val="clear" w:color="auto" w:fill="auto"/>
        <w:tabs>
          <w:tab w:val="left" w:pos="1800"/>
          <w:tab w:val="left" w:pos="5580"/>
        </w:tabs>
        <w:spacing w:after="0" w:line="360" w:lineRule="auto"/>
        <w:ind w:left="-420" w:leftChars="-200" w:right="-386" w:rightChars="-184" w:firstLine="480" w:firstLineChars="200"/>
        <w:jc w:val="left"/>
        <w:rPr>
          <w:rFonts w:hint="eastAsia" w:ascii="宋体" w:hAnsi="宋体" w:cs="宋体"/>
          <w:color w:val="auto"/>
          <w:sz w:val="24"/>
          <w:u w:val="single"/>
          <w:lang w:val="en-US" w:eastAsia="zh-CN"/>
        </w:rPr>
      </w:pPr>
      <w:r>
        <w:rPr>
          <w:rFonts w:hint="eastAsia" w:ascii="宋体" w:hAnsi="宋体" w:eastAsia="宋体" w:cs="宋体"/>
          <w:color w:val="auto"/>
          <w:sz w:val="24"/>
        </w:rPr>
        <w:t>项目编号：</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rPr>
        <w:t xml:space="preserve"> 项目名称：</w:t>
      </w:r>
      <w:r>
        <w:rPr>
          <w:rFonts w:hint="eastAsia" w:ascii="宋体" w:hAnsi="宋体" w:cs="宋体"/>
          <w:color w:val="auto"/>
          <w:sz w:val="24"/>
          <w:u w:val="single"/>
          <w:lang w:val="en-US" w:eastAsia="zh-CN"/>
        </w:rPr>
        <w:t xml:space="preserve">             </w:t>
      </w:r>
    </w:p>
    <w:tbl>
      <w:tblPr>
        <w:tblStyle w:val="47"/>
        <w:tblW w:w="546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06"/>
        <w:gridCol w:w="2409"/>
        <w:gridCol w:w="1812"/>
        <w:gridCol w:w="1632"/>
        <w:gridCol w:w="1512"/>
        <w:gridCol w:w="11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91" w:hRule="atLeast"/>
          <w:jc w:val="center"/>
        </w:trPr>
        <w:tc>
          <w:tcPr>
            <w:tcW w:w="333" w:type="pct"/>
            <w:noWrap w:val="0"/>
            <w:vAlign w:val="center"/>
          </w:tcPr>
          <w:p>
            <w:pPr>
              <w:tabs>
                <w:tab w:val="left" w:pos="5580"/>
              </w:tabs>
              <w:jc w:val="center"/>
              <w:rPr>
                <w:rFonts w:hint="eastAsia" w:ascii="宋体" w:hAnsi="宋体" w:eastAsia="宋体" w:cs="宋体"/>
                <w:b/>
                <w:color w:val="auto"/>
                <w:sz w:val="24"/>
              </w:rPr>
            </w:pPr>
            <w:r>
              <w:rPr>
                <w:rFonts w:hint="eastAsia" w:ascii="宋体" w:hAnsi="宋体" w:eastAsia="宋体" w:cs="宋体"/>
                <w:b/>
                <w:color w:val="auto"/>
                <w:sz w:val="24"/>
              </w:rPr>
              <w:t>序号</w:t>
            </w:r>
          </w:p>
        </w:tc>
        <w:tc>
          <w:tcPr>
            <w:tcW w:w="1324" w:type="pct"/>
            <w:noWrap w:val="0"/>
            <w:vAlign w:val="center"/>
          </w:tcPr>
          <w:p>
            <w:pPr>
              <w:tabs>
                <w:tab w:val="left" w:pos="5580"/>
              </w:tabs>
              <w:jc w:val="center"/>
              <w:rPr>
                <w:rFonts w:hint="eastAsia" w:ascii="宋体" w:hAnsi="宋体" w:eastAsia="宋体" w:cs="宋体"/>
                <w:b/>
                <w:color w:val="auto"/>
                <w:sz w:val="24"/>
              </w:rPr>
            </w:pPr>
            <w:r>
              <w:rPr>
                <w:rFonts w:hint="eastAsia" w:ascii="宋体" w:hAnsi="宋体" w:cs="宋体"/>
                <w:b/>
                <w:color w:val="auto"/>
                <w:sz w:val="24"/>
                <w:lang w:eastAsia="zh-CN"/>
              </w:rPr>
              <w:t>供应商</w:t>
            </w:r>
            <w:r>
              <w:rPr>
                <w:rFonts w:hint="eastAsia" w:ascii="宋体" w:hAnsi="宋体" w:eastAsia="宋体" w:cs="宋体"/>
                <w:b/>
                <w:color w:val="auto"/>
                <w:sz w:val="24"/>
              </w:rPr>
              <w:t>名称</w:t>
            </w:r>
          </w:p>
        </w:tc>
        <w:tc>
          <w:tcPr>
            <w:tcW w:w="996" w:type="pct"/>
            <w:noWrap w:val="0"/>
            <w:vAlign w:val="center"/>
          </w:tcPr>
          <w:p>
            <w:pPr>
              <w:tabs>
                <w:tab w:val="left" w:pos="5580"/>
              </w:tabs>
              <w:jc w:val="center"/>
              <w:rPr>
                <w:rFonts w:hint="eastAsia" w:ascii="宋体" w:hAnsi="宋体" w:eastAsia="宋体" w:cs="宋体"/>
                <w:b/>
                <w:color w:val="auto"/>
                <w:sz w:val="24"/>
                <w:lang w:eastAsia="zh-CN"/>
              </w:rPr>
            </w:pPr>
            <w:r>
              <w:rPr>
                <w:rFonts w:hint="eastAsia" w:ascii="宋体" w:hAnsi="宋体" w:cs="宋体"/>
                <w:b/>
                <w:color w:val="auto"/>
                <w:sz w:val="24"/>
                <w:lang w:val="en-US" w:eastAsia="zh-CN"/>
              </w:rPr>
              <w:t>投标</w:t>
            </w:r>
            <w:r>
              <w:rPr>
                <w:rFonts w:hint="eastAsia" w:ascii="宋体" w:hAnsi="宋体" w:cs="宋体"/>
                <w:b/>
                <w:color w:val="auto"/>
                <w:sz w:val="24"/>
                <w:lang w:eastAsia="zh-CN"/>
              </w:rPr>
              <w:t>单价</w:t>
            </w:r>
          </w:p>
        </w:tc>
        <w:tc>
          <w:tcPr>
            <w:tcW w:w="897" w:type="pct"/>
            <w:noWrap w:val="0"/>
            <w:vAlign w:val="center"/>
          </w:tcPr>
          <w:p>
            <w:pPr>
              <w:tabs>
                <w:tab w:val="left" w:pos="5580"/>
              </w:tabs>
              <w:jc w:val="center"/>
              <w:rPr>
                <w:rFonts w:hint="eastAsia" w:ascii="宋体" w:hAnsi="宋体" w:eastAsia="宋体" w:cs="宋体"/>
                <w:b/>
                <w:color w:val="auto"/>
                <w:kern w:val="2"/>
                <w:sz w:val="24"/>
                <w:szCs w:val="24"/>
                <w:lang w:val="en-US" w:eastAsia="zh-CN" w:bidi="ar-SA"/>
              </w:rPr>
            </w:pPr>
            <w:r>
              <w:rPr>
                <w:rFonts w:hint="eastAsia" w:ascii="宋体" w:hAnsi="宋体" w:eastAsia="宋体" w:cs="宋体"/>
                <w:b/>
                <w:color w:val="auto"/>
                <w:sz w:val="24"/>
                <w:lang w:val="en-US" w:eastAsia="zh-CN"/>
              </w:rPr>
              <w:t>合同履行期限</w:t>
            </w:r>
          </w:p>
        </w:tc>
        <w:tc>
          <w:tcPr>
            <w:tcW w:w="831" w:type="pct"/>
            <w:noWrap w:val="0"/>
            <w:vAlign w:val="center"/>
          </w:tcPr>
          <w:p>
            <w:pPr>
              <w:tabs>
                <w:tab w:val="left" w:pos="5580"/>
              </w:tabs>
              <w:jc w:val="center"/>
              <w:rPr>
                <w:rFonts w:hint="default" w:ascii="宋体" w:hAnsi="宋体" w:eastAsia="宋体" w:cs="宋体"/>
                <w:b/>
                <w:color w:val="auto"/>
                <w:sz w:val="24"/>
                <w:lang w:val="en-US" w:eastAsia="zh-CN"/>
              </w:rPr>
            </w:pPr>
            <w:r>
              <w:rPr>
                <w:rFonts w:hint="eastAsia" w:ascii="宋体" w:hAnsi="宋体" w:cs="宋体"/>
                <w:b/>
                <w:color w:val="auto"/>
                <w:sz w:val="24"/>
                <w:lang w:val="en-US" w:eastAsia="zh-CN"/>
              </w:rPr>
              <w:t>服务地点</w:t>
            </w:r>
          </w:p>
        </w:tc>
        <w:tc>
          <w:tcPr>
            <w:tcW w:w="617" w:type="pct"/>
            <w:noWrap w:val="0"/>
            <w:vAlign w:val="center"/>
          </w:tcPr>
          <w:p>
            <w:pPr>
              <w:tabs>
                <w:tab w:val="left" w:pos="5580"/>
              </w:tabs>
              <w:jc w:val="center"/>
              <w:rPr>
                <w:rFonts w:hint="eastAsia" w:ascii="宋体" w:hAnsi="宋体" w:eastAsia="宋体" w:cs="宋体"/>
                <w:b/>
                <w:color w:val="auto"/>
                <w:sz w:val="24"/>
                <w:lang w:val="en-US" w:eastAsia="zh-CN"/>
              </w:rPr>
            </w:pPr>
            <w:r>
              <w:rPr>
                <w:rFonts w:hint="eastAsia" w:ascii="宋体" w:hAnsi="宋体" w:eastAsia="宋体" w:cs="宋体"/>
                <w:b/>
                <w:color w:val="auto"/>
                <w:sz w:val="24"/>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83" w:hRule="atLeast"/>
          <w:jc w:val="center"/>
        </w:trPr>
        <w:tc>
          <w:tcPr>
            <w:tcW w:w="333" w:type="pct"/>
            <w:noWrap w:val="0"/>
            <w:vAlign w:val="center"/>
          </w:tcPr>
          <w:p>
            <w:pPr>
              <w:tabs>
                <w:tab w:val="left" w:pos="5580"/>
              </w:tabs>
              <w:jc w:val="center"/>
              <w:rPr>
                <w:rFonts w:hint="eastAsia" w:ascii="宋体" w:hAnsi="宋体" w:eastAsia="宋体" w:cs="宋体"/>
                <w:color w:val="auto"/>
                <w:sz w:val="24"/>
              </w:rPr>
            </w:pPr>
          </w:p>
        </w:tc>
        <w:tc>
          <w:tcPr>
            <w:tcW w:w="1324" w:type="pct"/>
            <w:noWrap w:val="0"/>
            <w:vAlign w:val="center"/>
          </w:tcPr>
          <w:p>
            <w:pPr>
              <w:tabs>
                <w:tab w:val="left" w:pos="5580"/>
              </w:tabs>
              <w:jc w:val="center"/>
              <w:rPr>
                <w:rFonts w:hint="eastAsia" w:ascii="宋体" w:hAnsi="宋体" w:eastAsia="宋体" w:cs="宋体"/>
                <w:color w:val="auto"/>
                <w:sz w:val="24"/>
              </w:rPr>
            </w:pPr>
          </w:p>
        </w:tc>
        <w:tc>
          <w:tcPr>
            <w:tcW w:w="996" w:type="pct"/>
            <w:noWrap w:val="0"/>
            <w:vAlign w:val="center"/>
          </w:tcPr>
          <w:p>
            <w:pPr>
              <w:tabs>
                <w:tab w:val="left" w:pos="5580"/>
              </w:tabs>
              <w:jc w:val="center"/>
              <w:rPr>
                <w:rFonts w:hint="default" w:ascii="宋体" w:hAnsi="宋体" w:eastAsia="宋体" w:cs="宋体"/>
                <w:color w:val="auto"/>
                <w:sz w:val="24"/>
                <w:u w:val="single"/>
                <w:lang w:val="en-US" w:eastAsia="zh-CN"/>
              </w:rPr>
            </w:pPr>
            <w:r>
              <w:rPr>
                <w:rFonts w:hint="eastAsia" w:ascii="宋体" w:hAnsi="宋体" w:cs="宋体"/>
                <w:color w:val="auto"/>
                <w:sz w:val="24"/>
                <w:u w:val="single"/>
                <w:lang w:val="en-US" w:eastAsia="zh-CN"/>
              </w:rPr>
              <w:t xml:space="preserve">     </w:t>
            </w:r>
            <w:r>
              <w:rPr>
                <w:rFonts w:hint="eastAsia" w:ascii="宋体" w:hAnsi="宋体" w:cs="宋体"/>
                <w:color w:val="auto"/>
                <w:sz w:val="24"/>
                <w:u w:val="none"/>
                <w:lang w:val="en-US" w:eastAsia="zh-CN"/>
              </w:rPr>
              <w:t>元</w:t>
            </w:r>
          </w:p>
        </w:tc>
        <w:tc>
          <w:tcPr>
            <w:tcW w:w="897" w:type="pct"/>
            <w:noWrap w:val="0"/>
            <w:vAlign w:val="center"/>
          </w:tcPr>
          <w:p>
            <w:pPr>
              <w:tabs>
                <w:tab w:val="left" w:pos="5580"/>
              </w:tabs>
              <w:jc w:val="center"/>
              <w:rPr>
                <w:rFonts w:hint="eastAsia" w:ascii="宋体" w:hAnsi="宋体" w:eastAsia="宋体" w:cs="宋体"/>
                <w:color w:val="auto"/>
                <w:sz w:val="24"/>
              </w:rPr>
            </w:pPr>
          </w:p>
        </w:tc>
        <w:tc>
          <w:tcPr>
            <w:tcW w:w="831" w:type="pct"/>
            <w:noWrap w:val="0"/>
            <w:vAlign w:val="center"/>
          </w:tcPr>
          <w:p>
            <w:pPr>
              <w:tabs>
                <w:tab w:val="left" w:pos="5580"/>
              </w:tabs>
              <w:jc w:val="center"/>
              <w:rPr>
                <w:rFonts w:hint="eastAsia" w:ascii="宋体" w:hAnsi="宋体" w:eastAsia="宋体" w:cs="宋体"/>
                <w:color w:val="auto"/>
                <w:sz w:val="24"/>
              </w:rPr>
            </w:pPr>
          </w:p>
        </w:tc>
        <w:tc>
          <w:tcPr>
            <w:tcW w:w="617" w:type="pct"/>
            <w:noWrap w:val="0"/>
            <w:vAlign w:val="center"/>
          </w:tcPr>
          <w:p>
            <w:pPr>
              <w:tabs>
                <w:tab w:val="left" w:pos="5580"/>
              </w:tabs>
              <w:jc w:val="center"/>
              <w:rPr>
                <w:rFonts w:hint="eastAsia" w:ascii="宋体" w:hAnsi="宋体" w:eastAsia="宋体" w:cs="宋体"/>
                <w:color w:val="auto"/>
                <w:sz w:val="24"/>
              </w:rPr>
            </w:pPr>
          </w:p>
        </w:tc>
      </w:tr>
    </w:tbl>
    <w:p>
      <w:pPr>
        <w:shd w:val="clear" w:color="auto" w:fill="auto"/>
        <w:autoSpaceDE w:val="0"/>
        <w:autoSpaceDN w:val="0"/>
        <w:adjustRightInd w:val="0"/>
        <w:snapToGrid w:val="0"/>
        <w:spacing w:before="25" w:after="0" w:line="360" w:lineRule="auto"/>
        <w:rPr>
          <w:rFonts w:hint="eastAsia" w:ascii="宋体" w:hAnsi="宋体" w:eastAsia="宋体" w:cs="宋体"/>
          <w:color w:val="auto"/>
          <w:sz w:val="24"/>
          <w:lang w:val="zh-CN"/>
        </w:rPr>
      </w:pPr>
    </w:p>
    <w:p>
      <w:pPr>
        <w:shd w:val="clear" w:color="auto" w:fill="auto"/>
        <w:autoSpaceDE w:val="0"/>
        <w:autoSpaceDN w:val="0"/>
        <w:adjustRightInd w:val="0"/>
        <w:snapToGrid w:val="0"/>
        <w:spacing w:before="25" w:after="0" w:line="360" w:lineRule="auto"/>
        <w:rPr>
          <w:rFonts w:hint="eastAsia" w:ascii="宋体" w:hAnsi="宋体" w:eastAsia="宋体" w:cs="宋体"/>
          <w:color w:val="auto"/>
          <w:sz w:val="24"/>
          <w:lang w:val="zh-CN"/>
        </w:rPr>
      </w:pPr>
      <w:r>
        <w:rPr>
          <w:rFonts w:hint="eastAsia" w:ascii="宋体" w:hAnsi="宋体" w:eastAsia="宋体" w:cs="宋体"/>
          <w:color w:val="auto"/>
          <w:sz w:val="24"/>
          <w:lang w:val="zh-CN"/>
        </w:rPr>
        <w:t>注：1.此表中，每包的投标报价应和《投标分项报价表》中的总价相一致。</w:t>
      </w:r>
    </w:p>
    <w:p>
      <w:pPr>
        <w:shd w:val="clear" w:color="auto" w:fill="auto"/>
        <w:autoSpaceDE w:val="0"/>
        <w:autoSpaceDN w:val="0"/>
        <w:adjustRightInd w:val="0"/>
        <w:snapToGrid w:val="0"/>
        <w:spacing w:before="25" w:after="0" w:line="360" w:lineRule="auto"/>
        <w:ind w:left="-420" w:leftChars="-200" w:firstLine="480" w:firstLineChars="200"/>
        <w:rPr>
          <w:rFonts w:hint="eastAsia" w:ascii="宋体" w:hAnsi="宋体" w:eastAsia="宋体" w:cs="宋体"/>
          <w:color w:val="000000"/>
          <w:sz w:val="24"/>
          <w:lang w:val="zh-CN"/>
        </w:rPr>
      </w:pPr>
      <w:r>
        <w:rPr>
          <w:rFonts w:hint="eastAsia" w:ascii="宋体" w:hAnsi="宋体" w:eastAsia="宋体" w:cs="宋体"/>
          <w:color w:val="auto"/>
          <w:sz w:val="24"/>
          <w:lang w:val="en-US" w:eastAsia="zh-CN"/>
        </w:rPr>
        <w:t>2.</w:t>
      </w:r>
      <w:r>
        <w:rPr>
          <w:rFonts w:hint="eastAsia" w:ascii="宋体" w:hAnsi="宋体" w:eastAsia="宋体" w:cs="宋体"/>
          <w:color w:val="auto"/>
          <w:sz w:val="24"/>
          <w:lang w:val="zh-CN"/>
        </w:rPr>
        <w:t>本表必须按包分别填写。</w:t>
      </w:r>
    </w:p>
    <w:p>
      <w:pPr>
        <w:autoSpaceDE w:val="0"/>
        <w:autoSpaceDN w:val="0"/>
        <w:adjustRightInd w:val="0"/>
        <w:snapToGrid w:val="0"/>
        <w:spacing w:before="25" w:after="25" w:line="360" w:lineRule="auto"/>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   </w:t>
      </w:r>
    </w:p>
    <w:p>
      <w:pPr>
        <w:autoSpaceDE w:val="0"/>
        <w:autoSpaceDN w:val="0"/>
        <w:adjustRightInd w:val="0"/>
        <w:snapToGrid w:val="0"/>
        <w:spacing w:before="25" w:after="25" w:line="360" w:lineRule="auto"/>
        <w:rPr>
          <w:rFonts w:hint="eastAsia" w:ascii="宋体" w:hAnsi="宋体" w:eastAsia="宋体" w:cs="宋体"/>
          <w:color w:val="000000"/>
          <w:sz w:val="24"/>
          <w:lang w:val="zh-CN"/>
        </w:rPr>
      </w:pPr>
      <w:r>
        <w:rPr>
          <w:rFonts w:hint="eastAsia" w:ascii="宋体" w:hAnsi="宋体" w:eastAsia="宋体" w:cs="宋体"/>
          <w:color w:val="000000"/>
          <w:sz w:val="24"/>
        </w:rPr>
        <w:t>供应商名称（加盖公章）</w:t>
      </w:r>
      <w:r>
        <w:rPr>
          <w:rFonts w:hint="eastAsia" w:ascii="宋体" w:hAnsi="宋体" w:eastAsia="宋体" w:cs="宋体"/>
          <w:color w:val="000000"/>
          <w:sz w:val="24"/>
          <w:lang w:val="zh-CN"/>
        </w:rPr>
        <w:t>：</w:t>
      </w:r>
      <w:r>
        <w:rPr>
          <w:rFonts w:hint="eastAsia" w:ascii="宋体" w:hAnsi="宋体" w:eastAsia="宋体" w:cs="宋体"/>
          <w:sz w:val="24"/>
        </w:rPr>
        <w:t>___________</w:t>
      </w:r>
    </w:p>
    <w:p>
      <w:pPr>
        <w:autoSpaceDE w:val="0"/>
        <w:autoSpaceDN w:val="0"/>
        <w:adjustRightInd w:val="0"/>
        <w:snapToGrid w:val="0"/>
        <w:spacing w:line="360" w:lineRule="auto"/>
        <w:rPr>
          <w:rFonts w:hint="eastAsia" w:ascii="宋体" w:hAnsi="宋体" w:eastAsia="宋体" w:cs="宋体"/>
          <w:color w:val="000000"/>
          <w:sz w:val="24"/>
          <w:lang w:val="zh-CN"/>
        </w:rPr>
      </w:pPr>
      <w:r>
        <w:rPr>
          <w:rFonts w:hint="eastAsia" w:ascii="宋体" w:hAnsi="宋体" w:eastAsia="宋体" w:cs="宋体"/>
          <w:color w:val="000000"/>
          <w:sz w:val="24"/>
        </w:rPr>
        <w:t>日期：</w:t>
      </w:r>
      <w:r>
        <w:rPr>
          <w:rFonts w:hint="eastAsia" w:ascii="宋体" w:hAnsi="宋体" w:eastAsia="宋体" w:cs="宋体"/>
          <w:color w:val="000000"/>
          <w:sz w:val="24"/>
          <w:szCs w:val="20"/>
        </w:rPr>
        <w:t>____年____月____日</w:t>
      </w:r>
    </w:p>
    <w:p>
      <w:pPr>
        <w:autoSpaceDE w:val="0"/>
        <w:autoSpaceDN w:val="0"/>
        <w:adjustRightInd w:val="0"/>
        <w:snapToGrid w:val="0"/>
        <w:spacing w:before="25" w:after="25" w:line="360" w:lineRule="auto"/>
        <w:rPr>
          <w:rFonts w:hint="eastAsia" w:ascii="宋体" w:hAnsi="宋体" w:eastAsia="宋体" w:cs="宋体"/>
          <w:color w:val="000000"/>
          <w:sz w:val="24"/>
          <w:lang w:val="zh-CN"/>
        </w:rPr>
      </w:pPr>
      <w:r>
        <w:rPr>
          <w:rFonts w:hint="eastAsia" w:ascii="宋体" w:hAnsi="宋体" w:eastAsia="宋体" w:cs="宋体"/>
          <w:color w:val="000000"/>
          <w:sz w:val="24"/>
          <w:szCs w:val="20"/>
        </w:rPr>
        <w:t xml:space="preserve">  </w:t>
      </w:r>
    </w:p>
    <w:p>
      <w:pPr>
        <w:widowControl/>
        <w:jc w:val="left"/>
        <w:rPr>
          <w:rFonts w:hint="eastAsia" w:ascii="宋体" w:hAnsi="宋体" w:eastAsia="宋体" w:cs="宋体"/>
          <w:color w:val="000000"/>
          <w:sz w:val="24"/>
          <w:szCs w:val="20"/>
        </w:rPr>
      </w:pPr>
      <w:r>
        <w:rPr>
          <w:rFonts w:hint="eastAsia" w:ascii="宋体" w:hAnsi="宋体" w:eastAsia="宋体" w:cs="宋体"/>
          <w:color w:val="000000"/>
          <w:sz w:val="24"/>
          <w:szCs w:val="20"/>
        </w:rPr>
        <w:br w:type="page"/>
      </w:r>
    </w:p>
    <w:p>
      <w:pPr>
        <w:tabs>
          <w:tab w:val="left" w:pos="360"/>
        </w:tabs>
        <w:snapToGrid w:val="0"/>
        <w:spacing w:line="360" w:lineRule="auto"/>
        <w:outlineLvl w:val="1"/>
        <w:rPr>
          <w:rFonts w:hint="eastAsia" w:ascii="宋体" w:hAnsi="宋体" w:eastAsia="宋体" w:cs="宋体"/>
          <w:sz w:val="24"/>
        </w:rPr>
      </w:pPr>
      <w:r>
        <w:rPr>
          <w:rFonts w:hint="eastAsia" w:ascii="宋体" w:hAnsi="宋体" w:eastAsia="宋体" w:cs="宋体"/>
          <w:sz w:val="24"/>
        </w:rPr>
        <w:t>8  分项报价表</w:t>
      </w:r>
      <w:bookmarkEnd w:id="700"/>
      <w:bookmarkEnd w:id="701"/>
      <w:bookmarkEnd w:id="702"/>
      <w:bookmarkEnd w:id="703"/>
      <w:bookmarkEnd w:id="704"/>
      <w:bookmarkEnd w:id="705"/>
      <w:bookmarkEnd w:id="706"/>
      <w:bookmarkEnd w:id="707"/>
      <w:bookmarkEnd w:id="708"/>
      <w:bookmarkEnd w:id="709"/>
      <w:bookmarkEnd w:id="710"/>
      <w:bookmarkEnd w:id="711"/>
      <w:bookmarkEnd w:id="712"/>
    </w:p>
    <w:p>
      <w:pPr>
        <w:spacing w:line="240" w:lineRule="auto"/>
        <w:jc w:val="center"/>
        <w:rPr>
          <w:rFonts w:hint="eastAsia" w:ascii="宋体" w:hAnsi="宋体" w:eastAsia="宋体" w:cs="宋体"/>
          <w:b/>
          <w:color w:val="000000"/>
          <w:sz w:val="36"/>
          <w:szCs w:val="36"/>
        </w:rPr>
      </w:pPr>
      <w:r>
        <w:rPr>
          <w:rFonts w:hint="eastAsia" w:ascii="宋体" w:hAnsi="宋体" w:eastAsia="宋体" w:cs="宋体"/>
          <w:b/>
          <w:color w:val="000000"/>
          <w:sz w:val="36"/>
          <w:szCs w:val="36"/>
        </w:rPr>
        <w:t>分项报价表</w:t>
      </w:r>
    </w:p>
    <w:p>
      <w:pPr>
        <w:tabs>
          <w:tab w:val="left" w:pos="1800"/>
          <w:tab w:val="left" w:pos="5580"/>
        </w:tabs>
        <w:spacing w:line="360" w:lineRule="auto"/>
        <w:rPr>
          <w:rFonts w:eastAsiaTheme="minorEastAsia"/>
          <w:color w:val="auto"/>
          <w:sz w:val="24"/>
        </w:rPr>
      </w:pPr>
      <w:r>
        <w:rPr>
          <w:rFonts w:eastAsiaTheme="minorEastAsia"/>
          <w:color w:val="auto"/>
          <w:sz w:val="24"/>
        </w:rPr>
        <w:t>项目编号：</w:t>
      </w:r>
      <w:r>
        <w:rPr>
          <w:rFonts w:hint="eastAsia" w:eastAsiaTheme="minorEastAsia"/>
          <w:color w:val="auto"/>
          <w:sz w:val="24"/>
          <w:u w:val="single"/>
          <w:lang w:val="en-US" w:eastAsia="zh-CN"/>
        </w:rPr>
        <w:t xml:space="preserve">          </w:t>
      </w:r>
      <w:r>
        <w:rPr>
          <w:rFonts w:eastAsiaTheme="minorEastAsia"/>
          <w:color w:val="auto"/>
          <w:sz w:val="24"/>
        </w:rPr>
        <w:t xml:space="preserve"> </w:t>
      </w:r>
      <w:r>
        <w:rPr>
          <w:rFonts w:hint="eastAsia" w:eastAsiaTheme="minorEastAsia"/>
          <w:color w:val="auto"/>
          <w:sz w:val="24"/>
          <w:lang w:val="en-US" w:eastAsia="zh-CN"/>
        </w:rPr>
        <w:t xml:space="preserve">    </w:t>
      </w:r>
      <w:r>
        <w:rPr>
          <w:rFonts w:eastAsiaTheme="minorEastAsia"/>
          <w:color w:val="auto"/>
          <w:sz w:val="24"/>
        </w:rPr>
        <w:t>项目名称：</w:t>
      </w:r>
      <w:r>
        <w:rPr>
          <w:rFonts w:hint="eastAsia" w:eastAsiaTheme="minorEastAsia"/>
          <w:color w:val="auto"/>
          <w:sz w:val="24"/>
          <w:u w:val="single"/>
          <w:lang w:val="en-US" w:eastAsia="zh-CN"/>
        </w:rPr>
        <w:t xml:space="preserve">          </w:t>
      </w:r>
      <w:r>
        <w:rPr>
          <w:rFonts w:hint="eastAsia" w:eastAsiaTheme="minorEastAsia"/>
          <w:color w:val="auto"/>
          <w:sz w:val="24"/>
          <w:lang w:val="en-US" w:eastAsia="zh-CN"/>
        </w:rPr>
        <w:t xml:space="preserve">        </w:t>
      </w:r>
    </w:p>
    <w:tbl>
      <w:tblPr>
        <w:tblStyle w:val="47"/>
        <w:tblW w:w="5443"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489"/>
        <w:gridCol w:w="1339"/>
        <w:gridCol w:w="3821"/>
        <w:gridCol w:w="524"/>
        <w:gridCol w:w="494"/>
        <w:gridCol w:w="1018"/>
        <w:gridCol w:w="1027"/>
        <w:gridCol w:w="57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36" w:hRule="atLeast"/>
          <w:jc w:val="center"/>
        </w:trPr>
        <w:tc>
          <w:tcPr>
            <w:tcW w:w="264"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序号</w:t>
            </w:r>
          </w:p>
        </w:tc>
        <w:tc>
          <w:tcPr>
            <w:tcW w:w="721"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名称</w:t>
            </w:r>
          </w:p>
        </w:tc>
        <w:tc>
          <w:tcPr>
            <w:tcW w:w="2058"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清单内容</w:t>
            </w:r>
          </w:p>
        </w:tc>
        <w:tc>
          <w:tcPr>
            <w:tcW w:w="282"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单位</w:t>
            </w:r>
          </w:p>
        </w:tc>
        <w:tc>
          <w:tcPr>
            <w:tcW w:w="266"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工程量</w:t>
            </w:r>
          </w:p>
        </w:tc>
        <w:tc>
          <w:tcPr>
            <w:tcW w:w="548"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全费用单价（元）</w:t>
            </w:r>
          </w:p>
        </w:tc>
        <w:tc>
          <w:tcPr>
            <w:tcW w:w="553"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全费用合价（元）</w:t>
            </w:r>
          </w:p>
        </w:tc>
        <w:tc>
          <w:tcPr>
            <w:tcW w:w="304"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8" w:hRule="atLeast"/>
          <w:jc w:val="center"/>
        </w:trPr>
        <w:tc>
          <w:tcPr>
            <w:tcW w:w="264"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1</w:t>
            </w:r>
          </w:p>
        </w:tc>
        <w:tc>
          <w:tcPr>
            <w:tcW w:w="721"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现浇混凝土屋顶平房整体拆除(370厚砖墙)</w:t>
            </w:r>
          </w:p>
        </w:tc>
        <w:tc>
          <w:tcPr>
            <w:tcW w:w="2058"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lang w:val="en-US" w:eastAsia="zh-CN"/>
              </w:rPr>
            </w:pPr>
            <w:r>
              <w:rPr>
                <w:rFonts w:hint="eastAsia"/>
                <w:lang w:val="en-US" w:eastAsia="zh-CN"/>
              </w:rPr>
              <w:t>1.现浇混凝土屋顶的平房整体拆除</w:t>
            </w:r>
          </w:p>
          <w:p>
            <w:pPr>
              <w:rPr>
                <w:rFonts w:hint="eastAsia"/>
                <w:lang w:val="en-US" w:eastAsia="zh-CN"/>
              </w:rPr>
            </w:pPr>
            <w:r>
              <w:rPr>
                <w:rFonts w:hint="eastAsia"/>
                <w:lang w:val="en-US" w:eastAsia="zh-CN"/>
              </w:rPr>
              <w:t>2.拆除房屋墙体厚度370mm厚砖砌</w:t>
            </w:r>
          </w:p>
          <w:p>
            <w:pPr>
              <w:rPr>
                <w:rFonts w:hint="eastAsia"/>
                <w:lang w:val="en-US" w:eastAsia="zh-CN"/>
              </w:rPr>
            </w:pPr>
            <w:r>
              <w:rPr>
                <w:rFonts w:hint="eastAsia"/>
                <w:lang w:val="en-US" w:eastAsia="zh-CN"/>
              </w:rPr>
              <w:t>3.包含地上及地下所有需拆除物、包含但不限于地上建筑物、室内地面及地下基础等</w:t>
            </w:r>
          </w:p>
          <w:p>
            <w:pPr>
              <w:rPr>
                <w:rFonts w:hint="eastAsia"/>
                <w:lang w:val="en-US" w:eastAsia="zh-CN"/>
              </w:rPr>
            </w:pPr>
            <w:r>
              <w:rPr>
                <w:rFonts w:hint="eastAsia"/>
                <w:lang w:val="en-US" w:eastAsia="zh-CN"/>
              </w:rPr>
              <w:t>4.包含各种拆除方式的主体破碎、拆除、挖出，毗邻建筑物的保护，渣土原地清理、场内倒运、集中堆放、收方归堆、装车、场地平整、洒水、苫盖等</w:t>
            </w:r>
          </w:p>
          <w:p>
            <w:pPr>
              <w:rPr>
                <w:rFonts w:hint="eastAsia"/>
              </w:rPr>
            </w:pPr>
            <w:r>
              <w:rPr>
                <w:rFonts w:hint="eastAsia"/>
                <w:lang w:val="en-US" w:eastAsia="zh-CN"/>
              </w:rPr>
              <w:t>5.拆除后要求场清地平，无建筑垃圾及渣土残留，按照土地性质达到相应验收标准并验收合格。</w:t>
            </w:r>
          </w:p>
        </w:tc>
        <w:tc>
          <w:tcPr>
            <w:tcW w:w="282"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m²</w:t>
            </w:r>
          </w:p>
        </w:tc>
        <w:tc>
          <w:tcPr>
            <w:tcW w:w="266"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1</w:t>
            </w:r>
          </w:p>
        </w:tc>
        <w:tc>
          <w:tcPr>
            <w:tcW w:w="548"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p>
        </w:tc>
        <w:tc>
          <w:tcPr>
            <w:tcW w:w="553"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p>
        </w:tc>
        <w:tc>
          <w:tcPr>
            <w:tcW w:w="304" w:type="pct"/>
            <w:tcBorders>
              <w:top w:val="single" w:color="000000" w:sz="4" w:space="0"/>
              <w:left w:val="single" w:color="000000" w:sz="4" w:space="0"/>
              <w:bottom w:val="single" w:color="000000" w:sz="4" w:space="0"/>
              <w:right w:val="single" w:color="000000" w:sz="4" w:space="0"/>
            </w:tcBorders>
            <w:shd w:val="clear" w:color="auto" w:fill="auto"/>
            <w:vAlign w:val="top"/>
          </w:tcPr>
          <w:p>
            <w:pPr>
              <w:rPr>
                <w:rFonts w:hint="eastAsi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0" w:hRule="atLeast"/>
          <w:jc w:val="center"/>
        </w:trPr>
        <w:tc>
          <w:tcPr>
            <w:tcW w:w="264"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2</w:t>
            </w:r>
          </w:p>
        </w:tc>
        <w:tc>
          <w:tcPr>
            <w:tcW w:w="721"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现浇混凝土屋顶平房整体拆除(240厚砖墙)</w:t>
            </w:r>
          </w:p>
        </w:tc>
        <w:tc>
          <w:tcPr>
            <w:tcW w:w="2058"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lang w:val="en-US" w:eastAsia="zh-CN"/>
              </w:rPr>
            </w:pPr>
            <w:r>
              <w:rPr>
                <w:rFonts w:hint="eastAsia"/>
                <w:lang w:val="en-US" w:eastAsia="zh-CN"/>
              </w:rPr>
              <w:t>1.现浇混凝土屋顶的平房整体拆除</w:t>
            </w:r>
          </w:p>
          <w:p>
            <w:pPr>
              <w:rPr>
                <w:rFonts w:hint="eastAsia"/>
                <w:lang w:val="en-US" w:eastAsia="zh-CN"/>
              </w:rPr>
            </w:pPr>
            <w:r>
              <w:rPr>
                <w:rFonts w:hint="eastAsia"/>
                <w:lang w:val="en-US" w:eastAsia="zh-CN"/>
              </w:rPr>
              <w:t>2.拆除房屋墙体厚度240mm厚砖砌</w:t>
            </w:r>
          </w:p>
          <w:p>
            <w:pPr>
              <w:rPr>
                <w:rFonts w:hint="eastAsia"/>
                <w:lang w:val="en-US" w:eastAsia="zh-CN"/>
              </w:rPr>
            </w:pPr>
            <w:r>
              <w:rPr>
                <w:rFonts w:hint="eastAsia"/>
                <w:lang w:val="en-US" w:eastAsia="zh-CN"/>
              </w:rPr>
              <w:t>3.包含地上及地下所有需拆除物、包含但不限于地上建筑物、室内地面及地下基础等</w:t>
            </w:r>
          </w:p>
          <w:p>
            <w:pPr>
              <w:rPr>
                <w:rFonts w:hint="eastAsia"/>
                <w:lang w:val="en-US" w:eastAsia="zh-CN"/>
              </w:rPr>
            </w:pPr>
            <w:r>
              <w:rPr>
                <w:rFonts w:hint="eastAsia"/>
                <w:lang w:val="en-US" w:eastAsia="zh-CN"/>
              </w:rPr>
              <w:t>4.包含各种拆除方式的主体破碎、拆除、挖出，毗邻建筑物的保护，渣土原地清理、场内倒运、集中堆放、收方归堆、装车、场地平整、洒水、苫盖等</w:t>
            </w:r>
          </w:p>
          <w:p>
            <w:pPr>
              <w:rPr>
                <w:rFonts w:hint="eastAsia"/>
              </w:rPr>
            </w:pPr>
            <w:r>
              <w:rPr>
                <w:rFonts w:hint="eastAsia"/>
                <w:lang w:val="en-US" w:eastAsia="zh-CN"/>
              </w:rPr>
              <w:t>5.拆除后要求场清地平，无建筑垃圾及渣土残留，按照土地性质达到相应验收标准并验收合格。</w:t>
            </w:r>
          </w:p>
        </w:tc>
        <w:tc>
          <w:tcPr>
            <w:tcW w:w="282"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m²</w:t>
            </w:r>
          </w:p>
        </w:tc>
        <w:tc>
          <w:tcPr>
            <w:tcW w:w="266"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1</w:t>
            </w:r>
          </w:p>
        </w:tc>
        <w:tc>
          <w:tcPr>
            <w:tcW w:w="548"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p>
        </w:tc>
        <w:tc>
          <w:tcPr>
            <w:tcW w:w="553"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p>
        </w:tc>
        <w:tc>
          <w:tcPr>
            <w:tcW w:w="304" w:type="pct"/>
            <w:tcBorders>
              <w:top w:val="single" w:color="000000" w:sz="4" w:space="0"/>
              <w:left w:val="single" w:color="000000" w:sz="4" w:space="0"/>
              <w:bottom w:val="single" w:color="000000" w:sz="4" w:space="0"/>
              <w:right w:val="single" w:color="000000" w:sz="4" w:space="0"/>
            </w:tcBorders>
            <w:shd w:val="clear" w:color="auto" w:fill="auto"/>
            <w:vAlign w:val="top"/>
          </w:tcPr>
          <w:p>
            <w:pPr>
              <w:rPr>
                <w:rFonts w:hint="default"/>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20" w:hRule="atLeast"/>
          <w:jc w:val="center"/>
        </w:trPr>
        <w:tc>
          <w:tcPr>
            <w:tcW w:w="264"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3</w:t>
            </w:r>
          </w:p>
        </w:tc>
        <w:tc>
          <w:tcPr>
            <w:tcW w:w="721"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预制圆孔板顶整房拆除(370厚砖墙 )</w:t>
            </w:r>
          </w:p>
        </w:tc>
        <w:tc>
          <w:tcPr>
            <w:tcW w:w="2058"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lang w:val="en-US" w:eastAsia="zh-CN"/>
              </w:rPr>
            </w:pPr>
            <w:r>
              <w:rPr>
                <w:rFonts w:hint="eastAsia"/>
                <w:lang w:val="en-US" w:eastAsia="zh-CN"/>
              </w:rPr>
              <w:t>1.预制圆孔板顶整房拆除</w:t>
            </w:r>
          </w:p>
          <w:p>
            <w:pPr>
              <w:rPr>
                <w:rFonts w:hint="eastAsia"/>
                <w:lang w:val="en-US" w:eastAsia="zh-CN"/>
              </w:rPr>
            </w:pPr>
            <w:r>
              <w:rPr>
                <w:rFonts w:hint="eastAsia"/>
                <w:lang w:val="en-US" w:eastAsia="zh-CN"/>
              </w:rPr>
              <w:t>2.拆除房屋墙体厚度370mm厚砖砌</w:t>
            </w:r>
          </w:p>
          <w:p>
            <w:pPr>
              <w:rPr>
                <w:rFonts w:hint="eastAsia"/>
                <w:lang w:val="en-US" w:eastAsia="zh-CN"/>
              </w:rPr>
            </w:pPr>
            <w:r>
              <w:rPr>
                <w:rFonts w:hint="eastAsia"/>
                <w:lang w:val="en-US" w:eastAsia="zh-CN"/>
              </w:rPr>
              <w:t>3.包含地上及地下所有需拆除物、包含但不限于地上建筑物、室内地面及地下基础等</w:t>
            </w:r>
          </w:p>
          <w:p>
            <w:pPr>
              <w:rPr>
                <w:rFonts w:hint="eastAsia"/>
                <w:lang w:val="en-US" w:eastAsia="zh-CN"/>
              </w:rPr>
            </w:pPr>
            <w:r>
              <w:rPr>
                <w:rFonts w:hint="eastAsia"/>
                <w:lang w:val="en-US" w:eastAsia="zh-CN"/>
              </w:rPr>
              <w:t>4.包含各种拆除方式的主体破碎、拆除、挖出，毗邻建筑物的保护，渣土原地清理、场内倒运、集中堆放、收方归堆、装车、场地平整、洒水、苫盖等</w:t>
            </w:r>
          </w:p>
          <w:p>
            <w:pPr>
              <w:rPr>
                <w:rFonts w:hint="eastAsia"/>
              </w:rPr>
            </w:pPr>
            <w:r>
              <w:rPr>
                <w:rFonts w:hint="eastAsia"/>
                <w:lang w:val="en-US" w:eastAsia="zh-CN"/>
              </w:rPr>
              <w:t>5.拆除后要求场清地平，无建筑垃圾及渣土残留，按照土地性质达到相应验收标准并验收合格。</w:t>
            </w:r>
          </w:p>
        </w:tc>
        <w:tc>
          <w:tcPr>
            <w:tcW w:w="282"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m²</w:t>
            </w:r>
          </w:p>
        </w:tc>
        <w:tc>
          <w:tcPr>
            <w:tcW w:w="266"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 xml:space="preserve"> 1</w:t>
            </w:r>
          </w:p>
        </w:tc>
        <w:tc>
          <w:tcPr>
            <w:tcW w:w="548"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p>
        </w:tc>
        <w:tc>
          <w:tcPr>
            <w:tcW w:w="553"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p>
        </w:tc>
        <w:tc>
          <w:tcPr>
            <w:tcW w:w="304" w:type="pct"/>
            <w:tcBorders>
              <w:top w:val="single" w:color="000000" w:sz="4" w:space="0"/>
              <w:left w:val="single" w:color="000000" w:sz="4" w:space="0"/>
              <w:bottom w:val="single" w:color="000000" w:sz="4" w:space="0"/>
              <w:right w:val="single" w:color="000000" w:sz="4" w:space="0"/>
            </w:tcBorders>
            <w:shd w:val="clear" w:color="auto" w:fill="auto"/>
            <w:vAlign w:val="top"/>
          </w:tcPr>
          <w:p>
            <w:pPr>
              <w:rPr>
                <w:rFonts w:hint="default"/>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80" w:hRule="atLeast"/>
          <w:jc w:val="center"/>
        </w:trPr>
        <w:tc>
          <w:tcPr>
            <w:tcW w:w="264"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4</w:t>
            </w:r>
          </w:p>
        </w:tc>
        <w:tc>
          <w:tcPr>
            <w:tcW w:w="721"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预制圆孔板顶整房拆除(240厚砖墙 )</w:t>
            </w:r>
          </w:p>
        </w:tc>
        <w:tc>
          <w:tcPr>
            <w:tcW w:w="2058"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lang w:val="en-US" w:eastAsia="zh-CN"/>
              </w:rPr>
            </w:pPr>
            <w:r>
              <w:rPr>
                <w:rFonts w:hint="eastAsia"/>
                <w:lang w:val="en-US" w:eastAsia="zh-CN"/>
              </w:rPr>
              <w:t>1.预制圆孔板顶整房拆除</w:t>
            </w:r>
          </w:p>
          <w:p>
            <w:pPr>
              <w:rPr>
                <w:rFonts w:hint="eastAsia"/>
                <w:lang w:val="en-US" w:eastAsia="zh-CN"/>
              </w:rPr>
            </w:pPr>
            <w:r>
              <w:rPr>
                <w:rFonts w:hint="eastAsia"/>
                <w:lang w:val="en-US" w:eastAsia="zh-CN"/>
              </w:rPr>
              <w:t>2.拆除房屋墙体厚度240mm厚砖砌</w:t>
            </w:r>
          </w:p>
          <w:p>
            <w:pPr>
              <w:rPr>
                <w:rFonts w:hint="eastAsia"/>
                <w:lang w:val="en-US" w:eastAsia="zh-CN"/>
              </w:rPr>
            </w:pPr>
            <w:r>
              <w:rPr>
                <w:rFonts w:hint="eastAsia"/>
                <w:lang w:val="en-US" w:eastAsia="zh-CN"/>
              </w:rPr>
              <w:t>3.包含地上及地下所有需拆除物、包含但不限于地上建筑物、室内地面及地下基础等</w:t>
            </w:r>
          </w:p>
          <w:p>
            <w:pPr>
              <w:rPr>
                <w:rFonts w:hint="eastAsia"/>
                <w:lang w:val="en-US" w:eastAsia="zh-CN"/>
              </w:rPr>
            </w:pPr>
            <w:r>
              <w:rPr>
                <w:rFonts w:hint="eastAsia"/>
                <w:lang w:val="en-US" w:eastAsia="zh-CN"/>
              </w:rPr>
              <w:t>4.包含各种拆除方式的主体破碎、拆除、挖出，毗邻建筑物的保护，渣土原地清理、场内倒运、集中堆放、收方归堆、装车、场地平整、洒水、苫盖等</w:t>
            </w:r>
          </w:p>
          <w:p>
            <w:pPr>
              <w:rPr>
                <w:rFonts w:hint="eastAsia"/>
              </w:rPr>
            </w:pPr>
            <w:r>
              <w:rPr>
                <w:rFonts w:hint="eastAsia"/>
                <w:lang w:val="en-US" w:eastAsia="zh-CN"/>
              </w:rPr>
              <w:t>5.拆除后要求场清地平，无建筑垃圾及渣土残留，按照土地性质达到相应验收标准并验收合格。</w:t>
            </w:r>
          </w:p>
        </w:tc>
        <w:tc>
          <w:tcPr>
            <w:tcW w:w="282"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m²</w:t>
            </w:r>
          </w:p>
        </w:tc>
        <w:tc>
          <w:tcPr>
            <w:tcW w:w="266"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 xml:space="preserve"> 1</w:t>
            </w:r>
          </w:p>
        </w:tc>
        <w:tc>
          <w:tcPr>
            <w:tcW w:w="548"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p>
        </w:tc>
        <w:tc>
          <w:tcPr>
            <w:tcW w:w="553"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p>
        </w:tc>
        <w:tc>
          <w:tcPr>
            <w:tcW w:w="304" w:type="pct"/>
            <w:tcBorders>
              <w:top w:val="single" w:color="000000" w:sz="4" w:space="0"/>
              <w:left w:val="single" w:color="000000" w:sz="4" w:space="0"/>
              <w:bottom w:val="single" w:color="000000" w:sz="4" w:space="0"/>
              <w:right w:val="single" w:color="000000" w:sz="4" w:space="0"/>
            </w:tcBorders>
            <w:shd w:val="clear" w:color="auto" w:fill="auto"/>
            <w:vAlign w:val="top"/>
          </w:tcPr>
          <w:p>
            <w:pPr>
              <w:rPr>
                <w:rFonts w:hint="default"/>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0" w:hRule="atLeast"/>
          <w:jc w:val="center"/>
        </w:trPr>
        <w:tc>
          <w:tcPr>
            <w:tcW w:w="264"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5</w:t>
            </w:r>
          </w:p>
        </w:tc>
        <w:tc>
          <w:tcPr>
            <w:tcW w:w="721"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瓦屋顶平房整体拆除(370厚砖墙 )</w:t>
            </w:r>
          </w:p>
        </w:tc>
        <w:tc>
          <w:tcPr>
            <w:tcW w:w="2058"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lang w:val="en-US" w:eastAsia="zh-CN"/>
              </w:rPr>
            </w:pPr>
            <w:r>
              <w:rPr>
                <w:rFonts w:hint="eastAsia"/>
                <w:lang w:val="en-US" w:eastAsia="zh-CN"/>
              </w:rPr>
              <w:t>1.布瓦及泥瓦水泥瓦顶的平房整体拆除</w:t>
            </w:r>
          </w:p>
          <w:p>
            <w:pPr>
              <w:rPr>
                <w:rFonts w:hint="eastAsia"/>
                <w:lang w:val="en-US" w:eastAsia="zh-CN"/>
              </w:rPr>
            </w:pPr>
            <w:r>
              <w:rPr>
                <w:rFonts w:hint="eastAsia"/>
                <w:lang w:val="en-US" w:eastAsia="zh-CN"/>
              </w:rPr>
              <w:t>2.拆除房屋墙体厚度370mm厚砖砌</w:t>
            </w:r>
          </w:p>
          <w:p>
            <w:pPr>
              <w:rPr>
                <w:rFonts w:hint="eastAsia"/>
                <w:lang w:val="en-US" w:eastAsia="zh-CN"/>
              </w:rPr>
            </w:pPr>
            <w:r>
              <w:rPr>
                <w:rFonts w:hint="eastAsia"/>
                <w:lang w:val="en-US" w:eastAsia="zh-CN"/>
              </w:rPr>
              <w:t>3.包含地上及地下所有需拆除物、包含但不限于地上建筑物、室内地面及地下基础等</w:t>
            </w:r>
          </w:p>
          <w:p>
            <w:pPr>
              <w:rPr>
                <w:rFonts w:hint="eastAsia"/>
                <w:lang w:val="en-US" w:eastAsia="zh-CN"/>
              </w:rPr>
            </w:pPr>
            <w:r>
              <w:rPr>
                <w:rFonts w:hint="eastAsia"/>
                <w:lang w:val="en-US" w:eastAsia="zh-CN"/>
              </w:rPr>
              <w:t>4.包含各种拆除方式的主体破碎、拆除、挖出，毗邻建筑物的保护，渣土原地清理、场内倒运、集中堆放、收方归堆、装车、场地平整、洒水、苫盖等</w:t>
            </w:r>
          </w:p>
          <w:p>
            <w:pPr>
              <w:rPr>
                <w:rFonts w:hint="eastAsia"/>
              </w:rPr>
            </w:pPr>
            <w:r>
              <w:rPr>
                <w:rFonts w:hint="eastAsia"/>
                <w:lang w:val="en-US" w:eastAsia="zh-CN"/>
              </w:rPr>
              <w:t>5.拆除后要求场清地平，无建筑垃圾及渣土残留，按照土地性质达到相应验收标准并验收合格。</w:t>
            </w:r>
          </w:p>
        </w:tc>
        <w:tc>
          <w:tcPr>
            <w:tcW w:w="282"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m²</w:t>
            </w:r>
          </w:p>
        </w:tc>
        <w:tc>
          <w:tcPr>
            <w:tcW w:w="266"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1</w:t>
            </w:r>
          </w:p>
        </w:tc>
        <w:tc>
          <w:tcPr>
            <w:tcW w:w="548"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p>
        </w:tc>
        <w:tc>
          <w:tcPr>
            <w:tcW w:w="553"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p>
        </w:tc>
        <w:tc>
          <w:tcPr>
            <w:tcW w:w="304" w:type="pct"/>
            <w:tcBorders>
              <w:top w:val="single" w:color="000000" w:sz="4" w:space="0"/>
              <w:left w:val="single" w:color="000000" w:sz="4" w:space="0"/>
              <w:bottom w:val="single" w:color="000000" w:sz="4" w:space="0"/>
              <w:right w:val="single" w:color="000000" w:sz="4" w:space="0"/>
            </w:tcBorders>
            <w:shd w:val="clear" w:color="auto" w:fill="auto"/>
            <w:vAlign w:val="top"/>
          </w:tcPr>
          <w:p>
            <w:pPr>
              <w:rPr>
                <w:rFonts w:hint="default"/>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40" w:hRule="atLeast"/>
          <w:jc w:val="center"/>
        </w:trPr>
        <w:tc>
          <w:tcPr>
            <w:tcW w:w="264"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6</w:t>
            </w:r>
          </w:p>
        </w:tc>
        <w:tc>
          <w:tcPr>
            <w:tcW w:w="721"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瓦屋顶平房整体拆除(240厚砖墙 )</w:t>
            </w:r>
          </w:p>
        </w:tc>
        <w:tc>
          <w:tcPr>
            <w:tcW w:w="2058"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lang w:val="en-US" w:eastAsia="zh-CN"/>
              </w:rPr>
            </w:pPr>
            <w:r>
              <w:rPr>
                <w:rFonts w:hint="eastAsia"/>
                <w:lang w:val="en-US" w:eastAsia="zh-CN"/>
              </w:rPr>
              <w:t>1.布瓦及泥瓦水泥瓦顶的平房整体拆除</w:t>
            </w:r>
          </w:p>
          <w:p>
            <w:pPr>
              <w:rPr>
                <w:rFonts w:hint="eastAsia"/>
                <w:lang w:val="en-US" w:eastAsia="zh-CN"/>
              </w:rPr>
            </w:pPr>
            <w:r>
              <w:rPr>
                <w:rFonts w:hint="eastAsia"/>
                <w:lang w:val="en-US" w:eastAsia="zh-CN"/>
              </w:rPr>
              <w:t>2.拆除房屋墙体厚度240mm厚砖砌</w:t>
            </w:r>
          </w:p>
          <w:p>
            <w:pPr>
              <w:rPr>
                <w:rFonts w:hint="eastAsia"/>
                <w:lang w:val="en-US" w:eastAsia="zh-CN"/>
              </w:rPr>
            </w:pPr>
            <w:r>
              <w:rPr>
                <w:rFonts w:hint="eastAsia"/>
                <w:lang w:val="en-US" w:eastAsia="zh-CN"/>
              </w:rPr>
              <w:t>3.包含地上及地下所有需拆除物、包含但不限于地上建筑物、室内地面及地下基础等</w:t>
            </w:r>
          </w:p>
          <w:p>
            <w:pPr>
              <w:rPr>
                <w:rFonts w:hint="eastAsia"/>
                <w:lang w:val="en-US" w:eastAsia="zh-CN"/>
              </w:rPr>
            </w:pPr>
            <w:r>
              <w:rPr>
                <w:rFonts w:hint="eastAsia"/>
                <w:lang w:val="en-US" w:eastAsia="zh-CN"/>
              </w:rPr>
              <w:t>4.包含各种拆除方式的主体破碎、拆除、挖出，毗邻建筑物的保护，渣土原地清理、场内倒运、集中堆放、收方归堆、装车、场地平整、洒水、苫盖等</w:t>
            </w:r>
          </w:p>
          <w:p>
            <w:pPr>
              <w:rPr>
                <w:rFonts w:hint="eastAsia"/>
              </w:rPr>
            </w:pPr>
            <w:r>
              <w:rPr>
                <w:rFonts w:hint="eastAsia"/>
                <w:lang w:val="en-US" w:eastAsia="zh-CN"/>
              </w:rPr>
              <w:t>5.拆除后要求场清地平，无建筑垃圾及渣土残留，按照土地性质达到相应验收标准并验收合格。</w:t>
            </w:r>
          </w:p>
        </w:tc>
        <w:tc>
          <w:tcPr>
            <w:tcW w:w="282"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m²</w:t>
            </w:r>
          </w:p>
        </w:tc>
        <w:tc>
          <w:tcPr>
            <w:tcW w:w="266"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1</w:t>
            </w:r>
          </w:p>
        </w:tc>
        <w:tc>
          <w:tcPr>
            <w:tcW w:w="548"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p>
        </w:tc>
        <w:tc>
          <w:tcPr>
            <w:tcW w:w="553"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p>
        </w:tc>
        <w:tc>
          <w:tcPr>
            <w:tcW w:w="304" w:type="pct"/>
            <w:tcBorders>
              <w:top w:val="single" w:color="000000" w:sz="4" w:space="0"/>
              <w:left w:val="single" w:color="000000" w:sz="4" w:space="0"/>
              <w:bottom w:val="single" w:color="000000" w:sz="4" w:space="0"/>
              <w:right w:val="single" w:color="000000" w:sz="4" w:space="0"/>
            </w:tcBorders>
            <w:shd w:val="clear" w:color="auto" w:fill="auto"/>
            <w:vAlign w:val="top"/>
          </w:tcPr>
          <w:p>
            <w:pPr>
              <w:rPr>
                <w:rFonts w:hint="default"/>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0" w:hRule="atLeast"/>
          <w:jc w:val="center"/>
        </w:trPr>
        <w:tc>
          <w:tcPr>
            <w:tcW w:w="264"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7</w:t>
            </w:r>
          </w:p>
        </w:tc>
        <w:tc>
          <w:tcPr>
            <w:tcW w:w="721"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彩钢屋顶平房整体拆除(370厚砖墙 )</w:t>
            </w:r>
          </w:p>
        </w:tc>
        <w:tc>
          <w:tcPr>
            <w:tcW w:w="2058"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lang w:val="en-US" w:eastAsia="zh-CN"/>
              </w:rPr>
            </w:pPr>
            <w:r>
              <w:rPr>
                <w:rFonts w:hint="eastAsia"/>
                <w:lang w:val="en-US" w:eastAsia="zh-CN"/>
              </w:rPr>
              <w:t>1.彩钢屋顶的平房整体拆除</w:t>
            </w:r>
          </w:p>
          <w:p>
            <w:pPr>
              <w:rPr>
                <w:rFonts w:hint="eastAsia"/>
                <w:lang w:val="en-US" w:eastAsia="zh-CN"/>
              </w:rPr>
            </w:pPr>
            <w:r>
              <w:rPr>
                <w:rFonts w:hint="eastAsia"/>
                <w:lang w:val="en-US" w:eastAsia="zh-CN"/>
              </w:rPr>
              <w:t>2.拆除房屋墙体厚度370mm厚砖砌</w:t>
            </w:r>
          </w:p>
          <w:p>
            <w:pPr>
              <w:rPr>
                <w:rFonts w:hint="eastAsia"/>
                <w:lang w:val="en-US" w:eastAsia="zh-CN"/>
              </w:rPr>
            </w:pPr>
            <w:r>
              <w:rPr>
                <w:rFonts w:hint="eastAsia"/>
                <w:lang w:val="en-US" w:eastAsia="zh-CN"/>
              </w:rPr>
              <w:t>3.包含地上及地下所有需拆除物、包含但不限于地上建筑物、室内地面及地下基础等</w:t>
            </w:r>
          </w:p>
          <w:p>
            <w:pPr>
              <w:rPr>
                <w:rFonts w:hint="eastAsia"/>
                <w:lang w:val="en-US" w:eastAsia="zh-CN"/>
              </w:rPr>
            </w:pPr>
            <w:r>
              <w:rPr>
                <w:rFonts w:hint="eastAsia"/>
                <w:lang w:val="en-US" w:eastAsia="zh-CN"/>
              </w:rPr>
              <w:t>4.包含各种拆除方式的主体破碎、拆除、挖出，毗邻建筑物的保护，渣土原地清理、场内倒运、集中堆放、收方归堆、装车、场地平整、洒水、苫盖等</w:t>
            </w:r>
          </w:p>
          <w:p>
            <w:pPr>
              <w:rPr>
                <w:rFonts w:hint="eastAsia"/>
              </w:rPr>
            </w:pPr>
            <w:r>
              <w:rPr>
                <w:rFonts w:hint="eastAsia"/>
                <w:lang w:val="en-US" w:eastAsia="zh-CN"/>
              </w:rPr>
              <w:t>5.拆除后要求场清地平，无建筑垃圾及渣土残留，按照土地性质达到相应验收标准并验收合格。</w:t>
            </w:r>
          </w:p>
        </w:tc>
        <w:tc>
          <w:tcPr>
            <w:tcW w:w="282"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m²</w:t>
            </w:r>
          </w:p>
        </w:tc>
        <w:tc>
          <w:tcPr>
            <w:tcW w:w="266"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 xml:space="preserve"> 1</w:t>
            </w:r>
          </w:p>
        </w:tc>
        <w:tc>
          <w:tcPr>
            <w:tcW w:w="548"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p>
        </w:tc>
        <w:tc>
          <w:tcPr>
            <w:tcW w:w="553"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p>
        </w:tc>
        <w:tc>
          <w:tcPr>
            <w:tcW w:w="304" w:type="pct"/>
            <w:tcBorders>
              <w:top w:val="single" w:color="000000" w:sz="4" w:space="0"/>
              <w:left w:val="single" w:color="000000" w:sz="4" w:space="0"/>
              <w:bottom w:val="single" w:color="000000" w:sz="4" w:space="0"/>
              <w:right w:val="single" w:color="000000" w:sz="4" w:space="0"/>
            </w:tcBorders>
            <w:shd w:val="clear" w:color="auto" w:fill="auto"/>
            <w:vAlign w:val="top"/>
          </w:tcPr>
          <w:p>
            <w:pPr>
              <w:rPr>
                <w:rFonts w:hint="default"/>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0" w:hRule="atLeast"/>
          <w:jc w:val="center"/>
        </w:trPr>
        <w:tc>
          <w:tcPr>
            <w:tcW w:w="264"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8</w:t>
            </w:r>
          </w:p>
        </w:tc>
        <w:tc>
          <w:tcPr>
            <w:tcW w:w="721"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彩钢屋顶平房整体拆除(240厚砖墙 )</w:t>
            </w:r>
          </w:p>
        </w:tc>
        <w:tc>
          <w:tcPr>
            <w:tcW w:w="2058"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lang w:val="en-US" w:eastAsia="zh-CN"/>
              </w:rPr>
            </w:pPr>
            <w:r>
              <w:rPr>
                <w:rFonts w:hint="eastAsia"/>
                <w:lang w:val="en-US" w:eastAsia="zh-CN"/>
              </w:rPr>
              <w:t>1.彩钢屋顶的平房整体拆除</w:t>
            </w:r>
          </w:p>
          <w:p>
            <w:pPr>
              <w:rPr>
                <w:rFonts w:hint="eastAsia"/>
                <w:lang w:val="en-US" w:eastAsia="zh-CN"/>
              </w:rPr>
            </w:pPr>
            <w:r>
              <w:rPr>
                <w:rFonts w:hint="eastAsia"/>
                <w:lang w:val="en-US" w:eastAsia="zh-CN"/>
              </w:rPr>
              <w:t>2.拆除房屋墙体厚度240mm厚砖砌</w:t>
            </w:r>
          </w:p>
          <w:p>
            <w:pPr>
              <w:rPr>
                <w:rFonts w:hint="eastAsia"/>
                <w:lang w:val="en-US" w:eastAsia="zh-CN"/>
              </w:rPr>
            </w:pPr>
            <w:r>
              <w:rPr>
                <w:rFonts w:hint="eastAsia"/>
                <w:lang w:val="en-US" w:eastAsia="zh-CN"/>
              </w:rPr>
              <w:t>3.包含地上及地下所有需拆除物、包含但不限于地上建筑物、室内地面及地下基础等</w:t>
            </w:r>
          </w:p>
          <w:p>
            <w:pPr>
              <w:rPr>
                <w:rFonts w:hint="eastAsia"/>
                <w:lang w:val="en-US" w:eastAsia="zh-CN"/>
              </w:rPr>
            </w:pPr>
            <w:r>
              <w:rPr>
                <w:rFonts w:hint="eastAsia"/>
                <w:lang w:val="en-US" w:eastAsia="zh-CN"/>
              </w:rPr>
              <w:t>4.包含各种拆除方式的主体破碎、拆除、挖出，毗邻建筑物的保护，渣土原地清理、场内倒运、集中堆放、收方归堆、装车、场地平整、洒水、苫盖等</w:t>
            </w:r>
          </w:p>
          <w:p>
            <w:pPr>
              <w:rPr>
                <w:rFonts w:hint="eastAsia"/>
              </w:rPr>
            </w:pPr>
            <w:r>
              <w:rPr>
                <w:rFonts w:hint="eastAsia"/>
                <w:lang w:val="en-US" w:eastAsia="zh-CN"/>
              </w:rPr>
              <w:t>5.拆除后要求场清地平，无建筑垃圾及渣土残留，按照土地性质达到相应验收标准并验收合格。</w:t>
            </w:r>
          </w:p>
        </w:tc>
        <w:tc>
          <w:tcPr>
            <w:tcW w:w="282"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m²</w:t>
            </w:r>
          </w:p>
        </w:tc>
        <w:tc>
          <w:tcPr>
            <w:tcW w:w="266"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1</w:t>
            </w:r>
          </w:p>
        </w:tc>
        <w:tc>
          <w:tcPr>
            <w:tcW w:w="548"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p>
        </w:tc>
        <w:tc>
          <w:tcPr>
            <w:tcW w:w="553"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p>
        </w:tc>
        <w:tc>
          <w:tcPr>
            <w:tcW w:w="304" w:type="pct"/>
            <w:tcBorders>
              <w:top w:val="single" w:color="000000" w:sz="4" w:space="0"/>
              <w:left w:val="single" w:color="000000" w:sz="4" w:space="0"/>
              <w:bottom w:val="single" w:color="000000" w:sz="4" w:space="0"/>
              <w:right w:val="single" w:color="000000" w:sz="4" w:space="0"/>
            </w:tcBorders>
            <w:shd w:val="clear" w:color="auto" w:fill="auto"/>
            <w:vAlign w:val="top"/>
          </w:tcPr>
          <w:p>
            <w:pPr>
              <w:rPr>
                <w:rFonts w:hint="default"/>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20" w:hRule="atLeast"/>
          <w:jc w:val="center"/>
        </w:trPr>
        <w:tc>
          <w:tcPr>
            <w:tcW w:w="264"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9</w:t>
            </w:r>
          </w:p>
        </w:tc>
        <w:tc>
          <w:tcPr>
            <w:tcW w:w="721"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钢结构拆除</w:t>
            </w:r>
          </w:p>
        </w:tc>
        <w:tc>
          <w:tcPr>
            <w:tcW w:w="2058"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lang w:val="en-US" w:eastAsia="zh-CN"/>
              </w:rPr>
            </w:pPr>
            <w:r>
              <w:rPr>
                <w:rFonts w:hint="eastAsia"/>
                <w:lang w:val="en-US" w:eastAsia="zh-CN"/>
              </w:rPr>
              <w:t>1.钢结构房屋拆除</w:t>
            </w:r>
          </w:p>
          <w:p>
            <w:pPr>
              <w:rPr>
                <w:rFonts w:hint="eastAsia"/>
                <w:lang w:val="en-US" w:eastAsia="zh-CN"/>
              </w:rPr>
            </w:pPr>
            <w:r>
              <w:rPr>
                <w:rFonts w:hint="eastAsia"/>
                <w:lang w:val="en-US" w:eastAsia="zh-CN"/>
              </w:rPr>
              <w:t>2.屋架、钢梁、钢柱、钢檩条等拆除、分解、指定地点堆放整齐</w:t>
            </w:r>
          </w:p>
          <w:p>
            <w:pPr>
              <w:rPr>
                <w:rFonts w:hint="eastAsia"/>
                <w:lang w:val="en-US" w:eastAsia="zh-CN"/>
              </w:rPr>
            </w:pPr>
            <w:r>
              <w:rPr>
                <w:rFonts w:hint="eastAsia"/>
                <w:lang w:val="en-US" w:eastAsia="zh-CN"/>
              </w:rPr>
              <w:t>3.包含地上及地下所有需拆除物、包含但不限于地上建筑物、室内地面及地下基础等</w:t>
            </w:r>
          </w:p>
          <w:p>
            <w:pPr>
              <w:rPr>
                <w:rFonts w:hint="eastAsia"/>
                <w:lang w:val="en-US" w:eastAsia="zh-CN"/>
              </w:rPr>
            </w:pPr>
            <w:r>
              <w:rPr>
                <w:rFonts w:hint="eastAsia"/>
                <w:lang w:val="en-US" w:eastAsia="zh-CN"/>
              </w:rPr>
              <w:t>4.各种拆除方式的主体破碎、拆除、挖出，毗邻建筑物的保护，渣土原地清理、场内倒运、集中堆放、收方归堆、装车、场地平整、洒水、苫盖等</w:t>
            </w:r>
          </w:p>
          <w:p>
            <w:pPr>
              <w:rPr>
                <w:rFonts w:hint="eastAsia"/>
              </w:rPr>
            </w:pPr>
            <w:r>
              <w:rPr>
                <w:rFonts w:hint="eastAsia"/>
                <w:lang w:val="en-US" w:eastAsia="zh-CN"/>
              </w:rPr>
              <w:t>5.拆除后要求场清地平，无建筑垃圾及渣土残留，需要按照土地性质达到相应验收标准并验收合格。</w:t>
            </w:r>
          </w:p>
        </w:tc>
        <w:tc>
          <w:tcPr>
            <w:tcW w:w="282"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m²</w:t>
            </w:r>
          </w:p>
        </w:tc>
        <w:tc>
          <w:tcPr>
            <w:tcW w:w="266"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1</w:t>
            </w:r>
          </w:p>
        </w:tc>
        <w:tc>
          <w:tcPr>
            <w:tcW w:w="548"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p>
        </w:tc>
        <w:tc>
          <w:tcPr>
            <w:tcW w:w="553"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p>
        </w:tc>
        <w:tc>
          <w:tcPr>
            <w:tcW w:w="304" w:type="pct"/>
            <w:tcBorders>
              <w:top w:val="single" w:color="000000" w:sz="4" w:space="0"/>
              <w:left w:val="single" w:color="000000" w:sz="4" w:space="0"/>
              <w:bottom w:val="single" w:color="000000" w:sz="4" w:space="0"/>
              <w:right w:val="single" w:color="000000" w:sz="4" w:space="0"/>
            </w:tcBorders>
            <w:shd w:val="clear" w:color="auto" w:fill="auto"/>
            <w:vAlign w:val="top"/>
          </w:tcPr>
          <w:p>
            <w:pPr>
              <w:rPr>
                <w:rFonts w:hint="default"/>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0" w:hRule="atLeast"/>
          <w:jc w:val="center"/>
        </w:trPr>
        <w:tc>
          <w:tcPr>
            <w:tcW w:w="264"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10</w:t>
            </w:r>
          </w:p>
        </w:tc>
        <w:tc>
          <w:tcPr>
            <w:tcW w:w="721"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棚子拆除</w:t>
            </w:r>
          </w:p>
        </w:tc>
        <w:tc>
          <w:tcPr>
            <w:tcW w:w="2058"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lang w:val="en-US" w:eastAsia="zh-CN"/>
              </w:rPr>
            </w:pPr>
            <w:r>
              <w:rPr>
                <w:rFonts w:hint="eastAsia"/>
                <w:lang w:val="en-US" w:eastAsia="zh-CN"/>
              </w:rPr>
              <w:t>1.彩钢、石棉瓦等棚子拆除</w:t>
            </w:r>
          </w:p>
          <w:p>
            <w:pPr>
              <w:rPr>
                <w:rFonts w:hint="eastAsia"/>
                <w:lang w:val="en-US" w:eastAsia="zh-CN"/>
              </w:rPr>
            </w:pPr>
            <w:r>
              <w:rPr>
                <w:rFonts w:hint="eastAsia"/>
                <w:lang w:val="en-US" w:eastAsia="zh-CN"/>
              </w:rPr>
              <w:t>2.无维护结构，仅有立柱的棚子拆除</w:t>
            </w:r>
          </w:p>
          <w:p>
            <w:pPr>
              <w:rPr>
                <w:rFonts w:hint="eastAsia"/>
                <w:lang w:val="en-US" w:eastAsia="zh-CN"/>
              </w:rPr>
            </w:pPr>
            <w:r>
              <w:rPr>
                <w:rFonts w:hint="eastAsia"/>
                <w:lang w:val="en-US" w:eastAsia="zh-CN"/>
              </w:rPr>
              <w:t>3.包含地上及地下所有需拆除物、包含但不限于地上建筑物、室内地面及地下基础等</w:t>
            </w:r>
          </w:p>
          <w:p>
            <w:pPr>
              <w:rPr>
                <w:rFonts w:hint="eastAsia"/>
                <w:lang w:val="en-US" w:eastAsia="zh-CN"/>
              </w:rPr>
            </w:pPr>
            <w:r>
              <w:rPr>
                <w:rFonts w:hint="eastAsia"/>
                <w:lang w:val="en-US" w:eastAsia="zh-CN"/>
              </w:rPr>
              <w:t>4.包含各种拆除方式的主体破碎、拆除、挖出，毗邻建筑物的保护，渣土原地清理、场内倒运、集中堆放、收方归堆、装车、场地平整、洒水、苫盖等</w:t>
            </w:r>
          </w:p>
          <w:p>
            <w:pPr>
              <w:rPr>
                <w:rFonts w:hint="eastAsia"/>
              </w:rPr>
            </w:pPr>
            <w:r>
              <w:rPr>
                <w:rFonts w:hint="eastAsia"/>
                <w:lang w:val="en-US" w:eastAsia="zh-CN"/>
              </w:rPr>
              <w:t>5.拆除后要求场清地平，无建筑垃圾及渣土残留，按照土地性质达到相应验收标准并验收合格。</w:t>
            </w:r>
          </w:p>
        </w:tc>
        <w:tc>
          <w:tcPr>
            <w:tcW w:w="282"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m²</w:t>
            </w:r>
          </w:p>
        </w:tc>
        <w:tc>
          <w:tcPr>
            <w:tcW w:w="266"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 xml:space="preserve"> 1</w:t>
            </w:r>
          </w:p>
        </w:tc>
        <w:tc>
          <w:tcPr>
            <w:tcW w:w="548"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p>
        </w:tc>
        <w:tc>
          <w:tcPr>
            <w:tcW w:w="553"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p>
        </w:tc>
        <w:tc>
          <w:tcPr>
            <w:tcW w:w="304" w:type="pct"/>
            <w:tcBorders>
              <w:top w:val="single" w:color="000000" w:sz="4" w:space="0"/>
              <w:left w:val="single" w:color="000000" w:sz="4" w:space="0"/>
              <w:bottom w:val="single" w:color="000000" w:sz="4" w:space="0"/>
              <w:right w:val="single" w:color="000000" w:sz="4" w:space="0"/>
            </w:tcBorders>
            <w:shd w:val="clear" w:color="auto" w:fill="auto"/>
            <w:vAlign w:val="top"/>
          </w:tcPr>
          <w:p>
            <w:pPr>
              <w:rPr>
                <w:rFonts w:hint="default"/>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20" w:hRule="atLeast"/>
          <w:jc w:val="center"/>
        </w:trPr>
        <w:tc>
          <w:tcPr>
            <w:tcW w:w="264"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11</w:t>
            </w:r>
          </w:p>
        </w:tc>
        <w:tc>
          <w:tcPr>
            <w:tcW w:w="721"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彩钢板房拆除</w:t>
            </w:r>
          </w:p>
        </w:tc>
        <w:tc>
          <w:tcPr>
            <w:tcW w:w="2058"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lang w:val="en-US" w:eastAsia="zh-CN"/>
              </w:rPr>
            </w:pPr>
            <w:r>
              <w:rPr>
                <w:rFonts w:hint="eastAsia"/>
                <w:lang w:val="en-US" w:eastAsia="zh-CN"/>
              </w:rPr>
              <w:t>1.彩钢板房拆除</w:t>
            </w:r>
          </w:p>
          <w:p>
            <w:pPr>
              <w:rPr>
                <w:rFonts w:hint="eastAsia"/>
                <w:lang w:val="en-US" w:eastAsia="zh-CN"/>
              </w:rPr>
            </w:pPr>
            <w:r>
              <w:rPr>
                <w:rFonts w:hint="eastAsia"/>
                <w:lang w:val="en-US" w:eastAsia="zh-CN"/>
              </w:rPr>
              <w:t>2.墙体为彩钢板</w:t>
            </w:r>
          </w:p>
          <w:p>
            <w:pPr>
              <w:rPr>
                <w:rFonts w:hint="eastAsia"/>
                <w:lang w:val="en-US" w:eastAsia="zh-CN"/>
              </w:rPr>
            </w:pPr>
            <w:r>
              <w:rPr>
                <w:rFonts w:hint="eastAsia"/>
                <w:lang w:val="en-US" w:eastAsia="zh-CN"/>
              </w:rPr>
              <w:t>3.包含地上及地下所有需拆除物、包含但不限于地上建筑物、室内地面及地下基础等</w:t>
            </w:r>
          </w:p>
          <w:p>
            <w:pPr>
              <w:rPr>
                <w:rFonts w:hint="eastAsia"/>
                <w:lang w:val="en-US" w:eastAsia="zh-CN"/>
              </w:rPr>
            </w:pPr>
            <w:r>
              <w:rPr>
                <w:rFonts w:hint="eastAsia"/>
                <w:lang w:val="en-US" w:eastAsia="zh-CN"/>
              </w:rPr>
              <w:t>4.包含各种拆除方式的主体破碎、拆除、挖出，毗邻建筑物的保护，渣土原地清理、场内倒运、集中堆放、收方归堆、装车、场地平整、洒水、苫盖等</w:t>
            </w:r>
          </w:p>
          <w:p>
            <w:pPr>
              <w:rPr>
                <w:rFonts w:hint="eastAsia"/>
              </w:rPr>
            </w:pPr>
            <w:r>
              <w:rPr>
                <w:rFonts w:hint="eastAsia"/>
                <w:lang w:val="en-US" w:eastAsia="zh-CN"/>
              </w:rPr>
              <w:t>5.拆除后要求场清地平，无建筑垃圾及渣土残留，按照土地性质达到相应验收标准并验收合格。</w:t>
            </w:r>
          </w:p>
        </w:tc>
        <w:tc>
          <w:tcPr>
            <w:tcW w:w="282"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m²</w:t>
            </w:r>
          </w:p>
        </w:tc>
        <w:tc>
          <w:tcPr>
            <w:tcW w:w="266"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1</w:t>
            </w:r>
          </w:p>
        </w:tc>
        <w:tc>
          <w:tcPr>
            <w:tcW w:w="548"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p>
        </w:tc>
        <w:tc>
          <w:tcPr>
            <w:tcW w:w="553"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p>
        </w:tc>
        <w:tc>
          <w:tcPr>
            <w:tcW w:w="304" w:type="pct"/>
            <w:tcBorders>
              <w:top w:val="single" w:color="000000" w:sz="4" w:space="0"/>
              <w:left w:val="single" w:color="000000" w:sz="4" w:space="0"/>
              <w:bottom w:val="single" w:color="000000" w:sz="4" w:space="0"/>
              <w:right w:val="single" w:color="000000" w:sz="4" w:space="0"/>
            </w:tcBorders>
            <w:shd w:val="clear" w:color="auto" w:fill="auto"/>
            <w:vAlign w:val="top"/>
          </w:tcPr>
          <w:p>
            <w:pPr>
              <w:rPr>
                <w:rFonts w:hint="default"/>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20" w:hRule="atLeast"/>
          <w:jc w:val="center"/>
        </w:trPr>
        <w:tc>
          <w:tcPr>
            <w:tcW w:w="264"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12</w:t>
            </w:r>
          </w:p>
        </w:tc>
        <w:tc>
          <w:tcPr>
            <w:tcW w:w="721"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沥青、混凝土等硬化道路拆除(200mm厚以内)</w:t>
            </w:r>
          </w:p>
        </w:tc>
        <w:tc>
          <w:tcPr>
            <w:tcW w:w="2058"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lang w:val="en-US" w:eastAsia="zh-CN"/>
              </w:rPr>
            </w:pPr>
            <w:r>
              <w:rPr>
                <w:rFonts w:hint="eastAsia"/>
                <w:lang w:val="en-US" w:eastAsia="zh-CN"/>
              </w:rPr>
              <w:t>1.沥青、混凝土等硬化道路拆除，包含拆除基层及面层等</w:t>
            </w:r>
          </w:p>
          <w:p>
            <w:pPr>
              <w:rPr>
                <w:rFonts w:hint="eastAsia"/>
                <w:lang w:val="en-US" w:eastAsia="zh-CN"/>
              </w:rPr>
            </w:pPr>
            <w:r>
              <w:rPr>
                <w:rFonts w:hint="eastAsia"/>
                <w:lang w:val="en-US" w:eastAsia="zh-CN"/>
              </w:rPr>
              <w:t>2.拆除厚度200mm以内</w:t>
            </w:r>
          </w:p>
          <w:p>
            <w:pPr>
              <w:rPr>
                <w:rFonts w:hint="eastAsia"/>
                <w:lang w:val="en-US" w:eastAsia="zh-CN"/>
              </w:rPr>
            </w:pPr>
            <w:r>
              <w:rPr>
                <w:rFonts w:hint="eastAsia"/>
                <w:lang w:val="en-US" w:eastAsia="zh-CN"/>
              </w:rPr>
              <w:t>3.包含所有需拆除物、包含但不限于地面及地下基础等</w:t>
            </w:r>
          </w:p>
          <w:p>
            <w:pPr>
              <w:rPr>
                <w:rFonts w:hint="eastAsia"/>
                <w:lang w:val="en-US" w:eastAsia="zh-CN"/>
              </w:rPr>
            </w:pPr>
            <w:r>
              <w:rPr>
                <w:rFonts w:hint="eastAsia"/>
                <w:lang w:val="en-US" w:eastAsia="zh-CN"/>
              </w:rPr>
              <w:t>4.各种拆除方式的主体破碎、拆除、挖出，毗邻建筑物的保护，渣土原地清理、场内倒运、集中堆放、收方归堆、装车、场地平整、洒水、苫盖等</w:t>
            </w:r>
          </w:p>
          <w:p>
            <w:pPr>
              <w:rPr>
                <w:rFonts w:hint="eastAsia"/>
              </w:rPr>
            </w:pPr>
            <w:r>
              <w:rPr>
                <w:rFonts w:hint="eastAsia"/>
                <w:lang w:val="en-US" w:eastAsia="zh-CN"/>
              </w:rPr>
              <w:t>5.拆除后要求场清地平，无建筑垃圾及渣土残留，需要按照土地性质达到相应验收标准并验收合格。</w:t>
            </w:r>
          </w:p>
        </w:tc>
        <w:tc>
          <w:tcPr>
            <w:tcW w:w="282"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m²</w:t>
            </w:r>
          </w:p>
        </w:tc>
        <w:tc>
          <w:tcPr>
            <w:tcW w:w="266"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1</w:t>
            </w:r>
          </w:p>
        </w:tc>
        <w:tc>
          <w:tcPr>
            <w:tcW w:w="548"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p>
        </w:tc>
        <w:tc>
          <w:tcPr>
            <w:tcW w:w="553"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p>
        </w:tc>
        <w:tc>
          <w:tcPr>
            <w:tcW w:w="304" w:type="pct"/>
            <w:tcBorders>
              <w:top w:val="single" w:color="000000" w:sz="4" w:space="0"/>
              <w:left w:val="single" w:color="000000" w:sz="4" w:space="0"/>
              <w:bottom w:val="single" w:color="000000" w:sz="4" w:space="0"/>
              <w:right w:val="single" w:color="000000" w:sz="4" w:space="0"/>
            </w:tcBorders>
            <w:shd w:val="clear" w:color="auto" w:fill="auto"/>
            <w:vAlign w:val="top"/>
          </w:tcPr>
          <w:p>
            <w:pPr>
              <w:rPr>
                <w:rFonts w:hint="default"/>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20" w:hRule="atLeast"/>
          <w:jc w:val="center"/>
        </w:trPr>
        <w:tc>
          <w:tcPr>
            <w:tcW w:w="264"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13</w:t>
            </w:r>
          </w:p>
        </w:tc>
        <w:tc>
          <w:tcPr>
            <w:tcW w:w="721"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沥青、混凝土等硬化道路拆除(200mm厚以上)</w:t>
            </w:r>
          </w:p>
        </w:tc>
        <w:tc>
          <w:tcPr>
            <w:tcW w:w="2058"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lang w:val="en-US" w:eastAsia="zh-CN"/>
              </w:rPr>
            </w:pPr>
            <w:r>
              <w:rPr>
                <w:rFonts w:hint="eastAsia"/>
                <w:lang w:val="en-US" w:eastAsia="zh-CN"/>
              </w:rPr>
              <w:t>1.沥青、混凝土等硬化道路机械拆除旧路结构</w:t>
            </w:r>
          </w:p>
          <w:p>
            <w:pPr>
              <w:rPr>
                <w:rFonts w:hint="eastAsia"/>
                <w:lang w:val="en-US" w:eastAsia="zh-CN"/>
              </w:rPr>
            </w:pPr>
            <w:r>
              <w:rPr>
                <w:rFonts w:hint="eastAsia"/>
                <w:lang w:val="en-US" w:eastAsia="zh-CN"/>
              </w:rPr>
              <w:t>2.拆除厚度200mm以上</w:t>
            </w:r>
          </w:p>
          <w:p>
            <w:pPr>
              <w:rPr>
                <w:rFonts w:hint="eastAsia"/>
                <w:lang w:val="en-US" w:eastAsia="zh-CN"/>
              </w:rPr>
            </w:pPr>
            <w:r>
              <w:rPr>
                <w:rFonts w:hint="eastAsia"/>
                <w:lang w:val="en-US" w:eastAsia="zh-CN"/>
              </w:rPr>
              <w:t>3.所有需拆除物、包含但不限于地面及地下基础等</w:t>
            </w:r>
          </w:p>
          <w:p>
            <w:pPr>
              <w:rPr>
                <w:rFonts w:hint="eastAsia"/>
                <w:lang w:val="en-US" w:eastAsia="zh-CN"/>
              </w:rPr>
            </w:pPr>
            <w:r>
              <w:rPr>
                <w:rFonts w:hint="eastAsia"/>
                <w:lang w:val="en-US" w:eastAsia="zh-CN"/>
              </w:rPr>
              <w:t>4.各种拆除方式的主体破碎、拆除、挖出，毗邻建筑物的保护，渣土原地清理、场内倒运、集中堆放、收方归堆、装车、场地平整、洒水、苫盖等</w:t>
            </w:r>
          </w:p>
          <w:p>
            <w:pPr>
              <w:rPr>
                <w:rFonts w:hint="eastAsia"/>
              </w:rPr>
            </w:pPr>
            <w:r>
              <w:rPr>
                <w:rFonts w:hint="eastAsia"/>
                <w:lang w:val="en-US" w:eastAsia="zh-CN"/>
              </w:rPr>
              <w:t>5.拆除后要求场清地平，无建筑垃圾及渣土残留，需要按照土地性质达到相应验收标准并验收合格。</w:t>
            </w:r>
          </w:p>
        </w:tc>
        <w:tc>
          <w:tcPr>
            <w:tcW w:w="282"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m²</w:t>
            </w:r>
          </w:p>
        </w:tc>
        <w:tc>
          <w:tcPr>
            <w:tcW w:w="266"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1</w:t>
            </w:r>
          </w:p>
        </w:tc>
        <w:tc>
          <w:tcPr>
            <w:tcW w:w="548"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p>
        </w:tc>
        <w:tc>
          <w:tcPr>
            <w:tcW w:w="553"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p>
        </w:tc>
        <w:tc>
          <w:tcPr>
            <w:tcW w:w="304" w:type="pct"/>
            <w:tcBorders>
              <w:top w:val="single" w:color="000000" w:sz="4" w:space="0"/>
              <w:left w:val="single" w:color="000000" w:sz="4" w:space="0"/>
              <w:bottom w:val="single" w:color="000000" w:sz="4" w:space="0"/>
              <w:right w:val="single" w:color="000000" w:sz="4" w:space="0"/>
            </w:tcBorders>
            <w:shd w:val="clear" w:color="auto" w:fill="auto"/>
            <w:vAlign w:val="top"/>
          </w:tcPr>
          <w:p>
            <w:pPr>
              <w:rPr>
                <w:rFonts w:hint="default"/>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60" w:hRule="atLeast"/>
          <w:jc w:val="center"/>
        </w:trPr>
        <w:tc>
          <w:tcPr>
            <w:tcW w:w="264"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14</w:t>
            </w:r>
          </w:p>
        </w:tc>
        <w:tc>
          <w:tcPr>
            <w:tcW w:w="721"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焦渣、石子等铺设道路拆除(200mm厚以内)</w:t>
            </w:r>
          </w:p>
        </w:tc>
        <w:tc>
          <w:tcPr>
            <w:tcW w:w="2058"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lang w:val="en-US" w:eastAsia="zh-CN"/>
              </w:rPr>
            </w:pPr>
            <w:r>
              <w:rPr>
                <w:rFonts w:hint="eastAsia"/>
                <w:lang w:val="en-US" w:eastAsia="zh-CN"/>
              </w:rPr>
              <w:t>1.焦渣、石子等铺设道路拆除</w:t>
            </w:r>
          </w:p>
          <w:p>
            <w:pPr>
              <w:rPr>
                <w:rFonts w:hint="eastAsia"/>
                <w:lang w:val="en-US" w:eastAsia="zh-CN"/>
              </w:rPr>
            </w:pPr>
            <w:r>
              <w:rPr>
                <w:rFonts w:hint="eastAsia"/>
                <w:lang w:val="en-US" w:eastAsia="zh-CN"/>
              </w:rPr>
              <w:t>2.拆除厚度200mm以内</w:t>
            </w:r>
          </w:p>
          <w:p>
            <w:pPr>
              <w:rPr>
                <w:rFonts w:hint="eastAsia"/>
                <w:lang w:val="en-US" w:eastAsia="zh-CN"/>
              </w:rPr>
            </w:pPr>
            <w:r>
              <w:rPr>
                <w:rFonts w:hint="eastAsia"/>
                <w:lang w:val="en-US" w:eastAsia="zh-CN"/>
              </w:rPr>
              <w:t>3.所有需拆除物、包含但不限于地面及地下基础等</w:t>
            </w:r>
          </w:p>
          <w:p>
            <w:pPr>
              <w:rPr>
                <w:rFonts w:hint="eastAsia"/>
                <w:lang w:val="en-US" w:eastAsia="zh-CN"/>
              </w:rPr>
            </w:pPr>
            <w:r>
              <w:rPr>
                <w:rFonts w:hint="eastAsia"/>
                <w:lang w:val="en-US" w:eastAsia="zh-CN"/>
              </w:rPr>
              <w:t>4.各种拆除方式的主体破碎、拆除、挖出，毗邻建筑物的保护，渣土原地清理、场内倒运、集中堆放、收方归堆、装车、场地平整、洒水、苫盖等</w:t>
            </w:r>
          </w:p>
          <w:p>
            <w:pPr>
              <w:rPr>
                <w:rFonts w:hint="eastAsia"/>
              </w:rPr>
            </w:pPr>
            <w:r>
              <w:rPr>
                <w:rFonts w:hint="eastAsia"/>
                <w:lang w:val="en-US" w:eastAsia="zh-CN"/>
              </w:rPr>
              <w:t>5.拆除后要求场清地平，无建筑垃圾及渣土残留，需要按照土地性质达到相应验收标准并验收合格。</w:t>
            </w:r>
          </w:p>
        </w:tc>
        <w:tc>
          <w:tcPr>
            <w:tcW w:w="282"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m²</w:t>
            </w:r>
          </w:p>
        </w:tc>
        <w:tc>
          <w:tcPr>
            <w:tcW w:w="266"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1</w:t>
            </w:r>
          </w:p>
        </w:tc>
        <w:tc>
          <w:tcPr>
            <w:tcW w:w="548"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p>
        </w:tc>
        <w:tc>
          <w:tcPr>
            <w:tcW w:w="553"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p>
        </w:tc>
        <w:tc>
          <w:tcPr>
            <w:tcW w:w="304" w:type="pct"/>
            <w:tcBorders>
              <w:top w:val="single" w:color="000000" w:sz="4" w:space="0"/>
              <w:left w:val="single" w:color="000000" w:sz="4" w:space="0"/>
              <w:bottom w:val="single" w:color="000000" w:sz="4" w:space="0"/>
              <w:right w:val="single" w:color="000000" w:sz="4" w:space="0"/>
            </w:tcBorders>
            <w:shd w:val="clear" w:color="auto" w:fill="auto"/>
            <w:vAlign w:val="top"/>
          </w:tcPr>
          <w:p>
            <w:pPr>
              <w:rPr>
                <w:rFonts w:hint="default"/>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0" w:hRule="atLeast"/>
          <w:jc w:val="center"/>
        </w:trPr>
        <w:tc>
          <w:tcPr>
            <w:tcW w:w="264"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15</w:t>
            </w:r>
          </w:p>
        </w:tc>
        <w:tc>
          <w:tcPr>
            <w:tcW w:w="721"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焦渣、石子等铺设道路拆除(200mm厚以上)</w:t>
            </w:r>
          </w:p>
        </w:tc>
        <w:tc>
          <w:tcPr>
            <w:tcW w:w="2058"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lang w:val="en-US" w:eastAsia="zh-CN"/>
              </w:rPr>
            </w:pPr>
            <w:r>
              <w:rPr>
                <w:rFonts w:hint="eastAsia"/>
                <w:lang w:val="en-US" w:eastAsia="zh-CN"/>
              </w:rPr>
              <w:t>1.焦渣、石子等铺设道路拆除</w:t>
            </w:r>
          </w:p>
          <w:p>
            <w:pPr>
              <w:rPr>
                <w:rFonts w:hint="eastAsia"/>
                <w:lang w:val="en-US" w:eastAsia="zh-CN"/>
              </w:rPr>
            </w:pPr>
            <w:r>
              <w:rPr>
                <w:rFonts w:hint="eastAsia"/>
                <w:lang w:val="en-US" w:eastAsia="zh-CN"/>
              </w:rPr>
              <w:t>2.拆除厚度200mm以上</w:t>
            </w:r>
          </w:p>
          <w:p>
            <w:pPr>
              <w:rPr>
                <w:rFonts w:hint="eastAsia"/>
                <w:lang w:val="en-US" w:eastAsia="zh-CN"/>
              </w:rPr>
            </w:pPr>
            <w:r>
              <w:rPr>
                <w:rFonts w:hint="eastAsia"/>
                <w:lang w:val="en-US" w:eastAsia="zh-CN"/>
              </w:rPr>
              <w:t>3.所有需拆除物、包含但不限于地面及地下基础等</w:t>
            </w:r>
          </w:p>
          <w:p>
            <w:pPr>
              <w:rPr>
                <w:rFonts w:hint="eastAsia"/>
                <w:lang w:val="en-US" w:eastAsia="zh-CN"/>
              </w:rPr>
            </w:pPr>
            <w:r>
              <w:rPr>
                <w:rFonts w:hint="eastAsia"/>
                <w:lang w:val="en-US" w:eastAsia="zh-CN"/>
              </w:rPr>
              <w:t>4.各种拆除方式的主体破碎、拆除、挖出，毗邻建筑物的保护，渣土原地清理、场内倒运、集中堆放、收方归堆、装车、场地平整、洒水、苫盖等</w:t>
            </w:r>
          </w:p>
          <w:p>
            <w:pPr>
              <w:rPr>
                <w:rFonts w:hint="eastAsia"/>
              </w:rPr>
            </w:pPr>
            <w:r>
              <w:rPr>
                <w:rFonts w:hint="eastAsia"/>
                <w:lang w:val="en-US" w:eastAsia="zh-CN"/>
              </w:rPr>
              <w:t>5.拆除后要求场清地平，无建筑垃圾及渣土残留，需要按照土地性质达到相应验收标准并验收合格。</w:t>
            </w:r>
          </w:p>
        </w:tc>
        <w:tc>
          <w:tcPr>
            <w:tcW w:w="282"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m²</w:t>
            </w:r>
          </w:p>
        </w:tc>
        <w:tc>
          <w:tcPr>
            <w:tcW w:w="266"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1</w:t>
            </w:r>
          </w:p>
        </w:tc>
        <w:tc>
          <w:tcPr>
            <w:tcW w:w="548"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p>
        </w:tc>
        <w:tc>
          <w:tcPr>
            <w:tcW w:w="553"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p>
        </w:tc>
        <w:tc>
          <w:tcPr>
            <w:tcW w:w="304" w:type="pct"/>
            <w:tcBorders>
              <w:top w:val="single" w:color="000000" w:sz="4" w:space="0"/>
              <w:left w:val="single" w:color="000000" w:sz="4" w:space="0"/>
              <w:bottom w:val="single" w:color="000000" w:sz="4" w:space="0"/>
              <w:right w:val="single" w:color="000000" w:sz="4" w:space="0"/>
            </w:tcBorders>
            <w:shd w:val="clear" w:color="auto" w:fill="auto"/>
            <w:vAlign w:val="top"/>
          </w:tcPr>
          <w:p>
            <w:pPr>
              <w:rPr>
                <w:rFonts w:hint="default"/>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0" w:hRule="atLeast"/>
          <w:jc w:val="center"/>
        </w:trPr>
        <w:tc>
          <w:tcPr>
            <w:tcW w:w="264"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16</w:t>
            </w:r>
          </w:p>
        </w:tc>
        <w:tc>
          <w:tcPr>
            <w:tcW w:w="721"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围墙拆除</w:t>
            </w:r>
          </w:p>
        </w:tc>
        <w:tc>
          <w:tcPr>
            <w:tcW w:w="2058"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lang w:val="en-US" w:eastAsia="zh-CN"/>
              </w:rPr>
            </w:pPr>
            <w:r>
              <w:rPr>
                <w:rFonts w:hint="eastAsia"/>
                <w:lang w:val="en-US" w:eastAsia="zh-CN"/>
              </w:rPr>
              <w:t>1.围墙拆除</w:t>
            </w:r>
          </w:p>
          <w:p>
            <w:pPr>
              <w:rPr>
                <w:rFonts w:hint="eastAsia"/>
                <w:lang w:val="en-US" w:eastAsia="zh-CN"/>
              </w:rPr>
            </w:pPr>
            <w:r>
              <w:rPr>
                <w:rFonts w:hint="eastAsia"/>
                <w:lang w:val="en-US" w:eastAsia="zh-CN"/>
              </w:rPr>
              <w:t>2.围墙材质、厚度及高度等综合考虑</w:t>
            </w:r>
          </w:p>
          <w:p>
            <w:pPr>
              <w:rPr>
                <w:rFonts w:hint="eastAsia"/>
                <w:lang w:val="en-US" w:eastAsia="zh-CN"/>
              </w:rPr>
            </w:pPr>
            <w:r>
              <w:rPr>
                <w:rFonts w:hint="eastAsia"/>
                <w:lang w:val="en-US" w:eastAsia="zh-CN"/>
              </w:rPr>
              <w:t>3.包含地上及地下所有需拆除物、包含但不限于地上建筑物及地下基础等</w:t>
            </w:r>
          </w:p>
          <w:p>
            <w:pPr>
              <w:rPr>
                <w:rFonts w:hint="eastAsia"/>
                <w:lang w:val="en-US" w:eastAsia="zh-CN"/>
              </w:rPr>
            </w:pPr>
            <w:r>
              <w:rPr>
                <w:rFonts w:hint="eastAsia"/>
                <w:lang w:val="en-US" w:eastAsia="zh-CN"/>
              </w:rPr>
              <w:t>4.各种拆除方式的主体破碎、拆除、挖出，毗邻建筑物的保护，渣土原地清理、场内倒运、集中堆放、收方归堆、装车、场地平整、洒水、苫盖等</w:t>
            </w:r>
          </w:p>
          <w:p>
            <w:pPr>
              <w:rPr>
                <w:rFonts w:hint="eastAsia"/>
              </w:rPr>
            </w:pPr>
            <w:r>
              <w:rPr>
                <w:rFonts w:hint="eastAsia"/>
                <w:lang w:val="en-US" w:eastAsia="zh-CN"/>
              </w:rPr>
              <w:t>5.拆除后要求场清地平，无建筑垃圾及渣土残留，需要按照土地性质达到相应验收标准并验收合格。</w:t>
            </w:r>
          </w:p>
        </w:tc>
        <w:tc>
          <w:tcPr>
            <w:tcW w:w="282"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m³</w:t>
            </w:r>
          </w:p>
        </w:tc>
        <w:tc>
          <w:tcPr>
            <w:tcW w:w="266"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1</w:t>
            </w:r>
          </w:p>
        </w:tc>
        <w:tc>
          <w:tcPr>
            <w:tcW w:w="548"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p>
        </w:tc>
        <w:tc>
          <w:tcPr>
            <w:tcW w:w="553"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p>
        </w:tc>
        <w:tc>
          <w:tcPr>
            <w:tcW w:w="304"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0" w:hRule="atLeast"/>
          <w:jc w:val="center"/>
        </w:trPr>
        <w:tc>
          <w:tcPr>
            <w:tcW w:w="264"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17</w:t>
            </w:r>
          </w:p>
        </w:tc>
        <w:tc>
          <w:tcPr>
            <w:tcW w:w="721"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钢筋混凝土构件(独立基础等)拆除</w:t>
            </w:r>
          </w:p>
        </w:tc>
        <w:tc>
          <w:tcPr>
            <w:tcW w:w="2058"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lang w:val="en-US" w:eastAsia="zh-CN"/>
              </w:rPr>
            </w:pPr>
            <w:r>
              <w:rPr>
                <w:rFonts w:hint="eastAsia"/>
                <w:lang w:val="en-US" w:eastAsia="zh-CN"/>
              </w:rPr>
              <w:t>1.单独的钢筋混凝土构件(独立基础等)拆除</w:t>
            </w:r>
          </w:p>
          <w:p>
            <w:pPr>
              <w:rPr>
                <w:rFonts w:hint="eastAsia"/>
                <w:lang w:val="en-US" w:eastAsia="zh-CN"/>
              </w:rPr>
            </w:pPr>
            <w:r>
              <w:rPr>
                <w:rFonts w:hint="eastAsia"/>
                <w:lang w:val="en-US" w:eastAsia="zh-CN"/>
              </w:rPr>
              <w:t>2.包含开挖、破除，回填等</w:t>
            </w:r>
          </w:p>
          <w:p>
            <w:pPr>
              <w:rPr>
                <w:rFonts w:hint="eastAsia"/>
                <w:lang w:val="en-US" w:eastAsia="zh-CN"/>
              </w:rPr>
            </w:pPr>
            <w:r>
              <w:rPr>
                <w:rFonts w:hint="eastAsia"/>
                <w:lang w:val="en-US" w:eastAsia="zh-CN"/>
              </w:rPr>
              <w:t>3.包含所有需拆除物、包含但不限于地面以上及地下混凝土构件基础等</w:t>
            </w:r>
          </w:p>
          <w:p>
            <w:pPr>
              <w:rPr>
                <w:rFonts w:hint="eastAsia"/>
                <w:lang w:val="en-US" w:eastAsia="zh-CN"/>
              </w:rPr>
            </w:pPr>
            <w:r>
              <w:rPr>
                <w:rFonts w:hint="eastAsia"/>
                <w:lang w:val="en-US" w:eastAsia="zh-CN"/>
              </w:rPr>
              <w:t>4.各种拆除方式的主体破碎、拆除、挖出，毗邻建筑物的保护，渣土原地清理、场内倒运、集中堆放、收方归堆、装车、场地平整、洒水、苫盖等</w:t>
            </w:r>
          </w:p>
          <w:p>
            <w:pPr>
              <w:rPr>
                <w:rFonts w:hint="eastAsia"/>
              </w:rPr>
            </w:pPr>
            <w:r>
              <w:rPr>
                <w:rFonts w:hint="eastAsia"/>
                <w:lang w:val="en-US" w:eastAsia="zh-CN"/>
              </w:rPr>
              <w:t>5.拆除后要求场清地平，无建筑垃圾及渣土残留，需要按照土地性质达到相应验收标准并验收合格。</w:t>
            </w:r>
          </w:p>
        </w:tc>
        <w:tc>
          <w:tcPr>
            <w:tcW w:w="282"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m³</w:t>
            </w:r>
          </w:p>
        </w:tc>
        <w:tc>
          <w:tcPr>
            <w:tcW w:w="266"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1</w:t>
            </w:r>
          </w:p>
        </w:tc>
        <w:tc>
          <w:tcPr>
            <w:tcW w:w="548"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p>
        </w:tc>
        <w:tc>
          <w:tcPr>
            <w:tcW w:w="553"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p>
        </w:tc>
        <w:tc>
          <w:tcPr>
            <w:tcW w:w="304"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40" w:hRule="atLeast"/>
          <w:jc w:val="center"/>
        </w:trPr>
        <w:tc>
          <w:tcPr>
            <w:tcW w:w="264"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18</w:t>
            </w:r>
          </w:p>
        </w:tc>
        <w:tc>
          <w:tcPr>
            <w:tcW w:w="721"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门拆除</w:t>
            </w:r>
          </w:p>
        </w:tc>
        <w:tc>
          <w:tcPr>
            <w:tcW w:w="2058"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lang w:val="en-US" w:eastAsia="zh-CN"/>
              </w:rPr>
            </w:pPr>
            <w:r>
              <w:rPr>
                <w:rFonts w:hint="eastAsia"/>
                <w:lang w:val="en-US" w:eastAsia="zh-CN"/>
              </w:rPr>
              <w:t>1.整樘各类型门拆除</w:t>
            </w:r>
          </w:p>
          <w:p>
            <w:pPr>
              <w:rPr>
                <w:rFonts w:hint="eastAsia"/>
                <w:lang w:val="en-US" w:eastAsia="zh-CN"/>
              </w:rPr>
            </w:pPr>
            <w:r>
              <w:rPr>
                <w:rFonts w:hint="eastAsia"/>
                <w:lang w:val="en-US" w:eastAsia="zh-CN"/>
              </w:rPr>
              <w:t>2.拆除包含：框、扇、五金件等，包含场内倒运、集中堆放、码放整齐、苫盖等</w:t>
            </w:r>
          </w:p>
          <w:p>
            <w:pPr>
              <w:rPr>
                <w:rFonts w:hint="eastAsia"/>
              </w:rPr>
            </w:pPr>
            <w:r>
              <w:rPr>
                <w:rFonts w:hint="eastAsia"/>
                <w:lang w:val="en-US" w:eastAsia="zh-CN"/>
              </w:rPr>
              <w:t>3.拆除文明施工及拆除后场地清理等。</w:t>
            </w:r>
          </w:p>
        </w:tc>
        <w:tc>
          <w:tcPr>
            <w:tcW w:w="282"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樘</w:t>
            </w:r>
          </w:p>
        </w:tc>
        <w:tc>
          <w:tcPr>
            <w:tcW w:w="266"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1</w:t>
            </w:r>
          </w:p>
        </w:tc>
        <w:tc>
          <w:tcPr>
            <w:tcW w:w="548"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p>
        </w:tc>
        <w:tc>
          <w:tcPr>
            <w:tcW w:w="553"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p>
        </w:tc>
        <w:tc>
          <w:tcPr>
            <w:tcW w:w="304"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0" w:hRule="atLeast"/>
          <w:jc w:val="center"/>
        </w:trPr>
        <w:tc>
          <w:tcPr>
            <w:tcW w:w="264"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19</w:t>
            </w:r>
          </w:p>
        </w:tc>
        <w:tc>
          <w:tcPr>
            <w:tcW w:w="721"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窗拆除</w:t>
            </w:r>
          </w:p>
        </w:tc>
        <w:tc>
          <w:tcPr>
            <w:tcW w:w="2058"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lang w:val="en-US" w:eastAsia="zh-CN"/>
              </w:rPr>
            </w:pPr>
            <w:r>
              <w:rPr>
                <w:rFonts w:hint="eastAsia"/>
                <w:lang w:val="en-US" w:eastAsia="zh-CN"/>
              </w:rPr>
              <w:t>1.整樘各类型窗拆除</w:t>
            </w:r>
          </w:p>
          <w:p>
            <w:pPr>
              <w:rPr>
                <w:rFonts w:hint="eastAsia"/>
                <w:lang w:val="en-US" w:eastAsia="zh-CN"/>
              </w:rPr>
            </w:pPr>
            <w:r>
              <w:rPr>
                <w:rFonts w:hint="eastAsia"/>
                <w:lang w:val="en-US" w:eastAsia="zh-CN"/>
              </w:rPr>
              <w:t>2.拆除包含：框、扇、五金件等，包含场内倒运、集中堆放、码放整齐、苫盖等</w:t>
            </w:r>
          </w:p>
          <w:p>
            <w:pPr>
              <w:rPr>
                <w:rFonts w:hint="eastAsia"/>
              </w:rPr>
            </w:pPr>
            <w:r>
              <w:rPr>
                <w:rFonts w:hint="eastAsia"/>
                <w:lang w:val="en-US" w:eastAsia="zh-CN"/>
              </w:rPr>
              <w:t>3.拆除文明施工及拆除后场地清理等。</w:t>
            </w:r>
          </w:p>
        </w:tc>
        <w:tc>
          <w:tcPr>
            <w:tcW w:w="282"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樘</w:t>
            </w:r>
          </w:p>
        </w:tc>
        <w:tc>
          <w:tcPr>
            <w:tcW w:w="266"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1</w:t>
            </w:r>
          </w:p>
        </w:tc>
        <w:tc>
          <w:tcPr>
            <w:tcW w:w="548"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p>
        </w:tc>
        <w:tc>
          <w:tcPr>
            <w:tcW w:w="553"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p>
        </w:tc>
        <w:tc>
          <w:tcPr>
            <w:tcW w:w="304"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0" w:hRule="atLeast"/>
          <w:jc w:val="center"/>
        </w:trPr>
        <w:tc>
          <w:tcPr>
            <w:tcW w:w="264"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20</w:t>
            </w:r>
          </w:p>
        </w:tc>
        <w:tc>
          <w:tcPr>
            <w:tcW w:w="721"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镇域外渣土清运</w:t>
            </w:r>
          </w:p>
        </w:tc>
        <w:tc>
          <w:tcPr>
            <w:tcW w:w="2058"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1.镇域外渣土清运，依据国家规范执行，渣土外运至镇域外正规消纳场所，包含车辆等手续办理的相关费用，不含渣土处置费。</w:t>
            </w:r>
          </w:p>
        </w:tc>
        <w:tc>
          <w:tcPr>
            <w:tcW w:w="282"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m³</w:t>
            </w:r>
          </w:p>
        </w:tc>
        <w:tc>
          <w:tcPr>
            <w:tcW w:w="266"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1</w:t>
            </w:r>
          </w:p>
        </w:tc>
        <w:tc>
          <w:tcPr>
            <w:tcW w:w="548"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p>
        </w:tc>
        <w:tc>
          <w:tcPr>
            <w:tcW w:w="553"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p>
        </w:tc>
        <w:tc>
          <w:tcPr>
            <w:tcW w:w="304" w:type="pct"/>
            <w:tcBorders>
              <w:top w:val="single" w:color="000000" w:sz="4" w:space="0"/>
              <w:left w:val="single" w:color="000000" w:sz="4" w:space="0"/>
              <w:bottom w:val="single" w:color="000000" w:sz="4" w:space="0"/>
              <w:right w:val="single" w:color="000000" w:sz="4" w:space="0"/>
            </w:tcBorders>
            <w:shd w:val="clear" w:color="auto" w:fill="auto"/>
            <w:vAlign w:val="top"/>
          </w:tcPr>
          <w:p>
            <w:pPr>
              <w:rPr>
                <w:rFonts w:hint="default"/>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0" w:hRule="atLeast"/>
          <w:jc w:val="center"/>
        </w:trPr>
        <w:tc>
          <w:tcPr>
            <w:tcW w:w="264"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21</w:t>
            </w:r>
          </w:p>
        </w:tc>
        <w:tc>
          <w:tcPr>
            <w:tcW w:w="721"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镇域外渣土处置</w:t>
            </w:r>
          </w:p>
        </w:tc>
        <w:tc>
          <w:tcPr>
            <w:tcW w:w="2058"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1.渣土处置依据国家规范执行，包含手续办理等相关费用。</w:t>
            </w:r>
          </w:p>
        </w:tc>
        <w:tc>
          <w:tcPr>
            <w:tcW w:w="282"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吨</w:t>
            </w:r>
          </w:p>
        </w:tc>
        <w:tc>
          <w:tcPr>
            <w:tcW w:w="266"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1</w:t>
            </w:r>
          </w:p>
        </w:tc>
        <w:tc>
          <w:tcPr>
            <w:tcW w:w="548"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p>
        </w:tc>
        <w:tc>
          <w:tcPr>
            <w:tcW w:w="553"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p>
        </w:tc>
        <w:tc>
          <w:tcPr>
            <w:tcW w:w="304" w:type="pct"/>
            <w:tcBorders>
              <w:top w:val="single" w:color="000000" w:sz="4" w:space="0"/>
              <w:left w:val="single" w:color="000000" w:sz="4" w:space="0"/>
              <w:bottom w:val="single" w:color="000000" w:sz="4" w:space="0"/>
              <w:right w:val="single" w:color="000000" w:sz="4" w:space="0"/>
            </w:tcBorders>
            <w:shd w:val="clear" w:color="auto" w:fill="auto"/>
            <w:vAlign w:val="top"/>
          </w:tcPr>
          <w:p>
            <w:pPr>
              <w:rPr>
                <w:rFonts w:hint="default"/>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0" w:hRule="atLeast"/>
          <w:jc w:val="center"/>
        </w:trPr>
        <w:tc>
          <w:tcPr>
            <w:tcW w:w="264"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22</w:t>
            </w:r>
          </w:p>
        </w:tc>
        <w:tc>
          <w:tcPr>
            <w:tcW w:w="721"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镇域内渣土清运、处置</w:t>
            </w:r>
          </w:p>
        </w:tc>
        <w:tc>
          <w:tcPr>
            <w:tcW w:w="2058"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1.镇域内渣土清运，依据国家规范执行，渣土外运至镇域内正规消纳场所，包含车辆等手续办理的相关费用，2.渣土处置依据国家规范执行，包含手续办理等相关费用。</w:t>
            </w:r>
          </w:p>
        </w:tc>
        <w:tc>
          <w:tcPr>
            <w:tcW w:w="282"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m³</w:t>
            </w:r>
          </w:p>
        </w:tc>
        <w:tc>
          <w:tcPr>
            <w:tcW w:w="266"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1</w:t>
            </w:r>
          </w:p>
        </w:tc>
        <w:tc>
          <w:tcPr>
            <w:tcW w:w="548"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p>
        </w:tc>
        <w:tc>
          <w:tcPr>
            <w:tcW w:w="553"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p>
        </w:tc>
        <w:tc>
          <w:tcPr>
            <w:tcW w:w="304" w:type="pct"/>
            <w:tcBorders>
              <w:top w:val="single" w:color="000000" w:sz="4" w:space="0"/>
              <w:left w:val="single" w:color="000000" w:sz="4" w:space="0"/>
              <w:bottom w:val="single" w:color="000000" w:sz="4" w:space="0"/>
              <w:right w:val="single" w:color="000000" w:sz="4" w:space="0"/>
            </w:tcBorders>
            <w:shd w:val="clear" w:color="auto" w:fill="auto"/>
            <w:vAlign w:val="top"/>
          </w:tcPr>
          <w:p>
            <w:pPr>
              <w:rPr>
                <w:rFonts w:hint="default"/>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0" w:hRule="atLeast"/>
          <w:jc w:val="center"/>
        </w:trPr>
        <w:tc>
          <w:tcPr>
            <w:tcW w:w="264"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23</w:t>
            </w:r>
          </w:p>
        </w:tc>
        <w:tc>
          <w:tcPr>
            <w:tcW w:w="721"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平整场地</w:t>
            </w:r>
          </w:p>
        </w:tc>
        <w:tc>
          <w:tcPr>
            <w:tcW w:w="2058"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lang w:val="en-US" w:eastAsia="zh-CN"/>
              </w:rPr>
            </w:pPr>
            <w:r>
              <w:rPr>
                <w:rFonts w:hint="eastAsia"/>
                <w:lang w:val="en-US" w:eastAsia="zh-CN"/>
              </w:rPr>
              <w:t>1.平均厚度：±30cm挖填找平</w:t>
            </w:r>
          </w:p>
          <w:p>
            <w:pPr>
              <w:rPr>
                <w:rFonts w:hint="eastAsia"/>
              </w:rPr>
            </w:pPr>
            <w:r>
              <w:rPr>
                <w:rFonts w:hint="eastAsia"/>
                <w:lang w:val="en-US" w:eastAsia="zh-CN"/>
              </w:rPr>
              <w:t>2.按照土地性质达到相应验收标准并验收合格。</w:t>
            </w:r>
          </w:p>
        </w:tc>
        <w:tc>
          <w:tcPr>
            <w:tcW w:w="282"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m³</w:t>
            </w:r>
          </w:p>
        </w:tc>
        <w:tc>
          <w:tcPr>
            <w:tcW w:w="266"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1</w:t>
            </w:r>
          </w:p>
        </w:tc>
        <w:tc>
          <w:tcPr>
            <w:tcW w:w="548"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p>
        </w:tc>
        <w:tc>
          <w:tcPr>
            <w:tcW w:w="553"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p>
        </w:tc>
        <w:tc>
          <w:tcPr>
            <w:tcW w:w="304"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0" w:hRule="atLeast"/>
          <w:jc w:val="center"/>
        </w:trPr>
        <w:tc>
          <w:tcPr>
            <w:tcW w:w="264"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24</w:t>
            </w:r>
          </w:p>
        </w:tc>
        <w:tc>
          <w:tcPr>
            <w:tcW w:w="721" w:type="pct"/>
            <w:tcBorders>
              <w:top w:val="single" w:color="000000" w:sz="4" w:space="0"/>
              <w:left w:val="single" w:color="000000" w:sz="4" w:space="0"/>
              <w:bottom w:val="nil"/>
              <w:right w:val="single" w:color="000000" w:sz="4" w:space="0"/>
            </w:tcBorders>
            <w:shd w:val="clear" w:color="auto" w:fill="auto"/>
            <w:vAlign w:val="center"/>
          </w:tcPr>
          <w:p>
            <w:pPr>
              <w:rPr>
                <w:rFonts w:hint="eastAsia"/>
              </w:rPr>
            </w:pPr>
            <w:r>
              <w:rPr>
                <w:rFonts w:hint="eastAsia"/>
                <w:lang w:val="en-US" w:eastAsia="zh-CN"/>
              </w:rPr>
              <w:t>回填方</w:t>
            </w:r>
          </w:p>
        </w:tc>
        <w:tc>
          <w:tcPr>
            <w:tcW w:w="2058" w:type="pct"/>
            <w:tcBorders>
              <w:top w:val="single" w:color="000000" w:sz="4" w:space="0"/>
              <w:left w:val="single" w:color="000000" w:sz="4" w:space="0"/>
              <w:bottom w:val="nil"/>
              <w:right w:val="single" w:color="000000" w:sz="4" w:space="0"/>
            </w:tcBorders>
            <w:shd w:val="clear" w:color="auto" w:fill="auto"/>
            <w:vAlign w:val="center"/>
          </w:tcPr>
          <w:p>
            <w:pPr>
              <w:rPr>
                <w:rFonts w:hint="eastAsia"/>
                <w:lang w:val="en-US" w:eastAsia="zh-CN"/>
              </w:rPr>
            </w:pPr>
            <w:r>
              <w:rPr>
                <w:rFonts w:hint="eastAsia"/>
                <w:lang w:val="en-US" w:eastAsia="zh-CN"/>
              </w:rPr>
              <w:t>1.包含购土及回填、平整</w:t>
            </w:r>
          </w:p>
          <w:p>
            <w:pPr>
              <w:rPr>
                <w:rFonts w:hint="eastAsia"/>
                <w:lang w:val="en-US" w:eastAsia="zh-CN"/>
              </w:rPr>
            </w:pPr>
            <w:r>
              <w:rPr>
                <w:rFonts w:hint="eastAsia"/>
                <w:lang w:val="en-US" w:eastAsia="zh-CN"/>
              </w:rPr>
              <w:t>2.取土运距；自行考虑</w:t>
            </w:r>
          </w:p>
          <w:p>
            <w:pPr>
              <w:rPr>
                <w:rFonts w:hint="eastAsia"/>
              </w:rPr>
            </w:pPr>
            <w:r>
              <w:rPr>
                <w:rFonts w:hint="eastAsia"/>
                <w:lang w:val="en-US" w:eastAsia="zh-CN"/>
              </w:rPr>
              <w:t>3.按照土地性质达到相应验收标准并验收合格。</w:t>
            </w:r>
          </w:p>
        </w:tc>
        <w:tc>
          <w:tcPr>
            <w:tcW w:w="282" w:type="pct"/>
            <w:tcBorders>
              <w:top w:val="single" w:color="000000" w:sz="4" w:space="0"/>
              <w:left w:val="single" w:color="000000" w:sz="4" w:space="0"/>
              <w:bottom w:val="nil"/>
              <w:right w:val="single" w:color="000000" w:sz="4" w:space="0"/>
            </w:tcBorders>
            <w:shd w:val="clear" w:color="auto" w:fill="auto"/>
            <w:vAlign w:val="center"/>
          </w:tcPr>
          <w:p>
            <w:pPr>
              <w:rPr>
                <w:rFonts w:hint="eastAsia"/>
              </w:rPr>
            </w:pPr>
            <w:r>
              <w:rPr>
                <w:rFonts w:hint="eastAsia"/>
                <w:lang w:val="en-US" w:eastAsia="zh-CN"/>
              </w:rPr>
              <w:t>m³</w:t>
            </w:r>
          </w:p>
        </w:tc>
        <w:tc>
          <w:tcPr>
            <w:tcW w:w="266" w:type="pct"/>
            <w:tcBorders>
              <w:top w:val="single" w:color="000000" w:sz="4" w:space="0"/>
              <w:left w:val="single" w:color="000000" w:sz="4" w:space="0"/>
              <w:bottom w:val="nil"/>
              <w:right w:val="single" w:color="000000" w:sz="4" w:space="0"/>
            </w:tcBorders>
            <w:shd w:val="clear" w:color="auto" w:fill="auto"/>
            <w:vAlign w:val="center"/>
          </w:tcPr>
          <w:p>
            <w:pPr>
              <w:rPr>
                <w:rFonts w:hint="eastAsia"/>
              </w:rPr>
            </w:pPr>
            <w:r>
              <w:rPr>
                <w:rFonts w:hint="eastAsia"/>
                <w:lang w:val="en-US" w:eastAsia="zh-CN"/>
              </w:rPr>
              <w:t>1</w:t>
            </w:r>
          </w:p>
        </w:tc>
        <w:tc>
          <w:tcPr>
            <w:tcW w:w="548" w:type="pct"/>
            <w:tcBorders>
              <w:top w:val="single" w:color="000000" w:sz="4" w:space="0"/>
              <w:left w:val="single" w:color="000000" w:sz="4" w:space="0"/>
              <w:bottom w:val="nil"/>
              <w:right w:val="single" w:color="000000" w:sz="4" w:space="0"/>
            </w:tcBorders>
            <w:shd w:val="clear" w:color="auto" w:fill="auto"/>
            <w:vAlign w:val="center"/>
          </w:tcPr>
          <w:p>
            <w:pPr>
              <w:rPr>
                <w:rFonts w:hint="eastAsia"/>
              </w:rPr>
            </w:pPr>
          </w:p>
        </w:tc>
        <w:tc>
          <w:tcPr>
            <w:tcW w:w="553" w:type="pct"/>
            <w:tcBorders>
              <w:top w:val="single" w:color="000000" w:sz="4" w:space="0"/>
              <w:left w:val="single" w:color="000000" w:sz="4" w:space="0"/>
              <w:bottom w:val="nil"/>
              <w:right w:val="single" w:color="000000" w:sz="4" w:space="0"/>
            </w:tcBorders>
            <w:shd w:val="clear" w:color="auto" w:fill="auto"/>
            <w:vAlign w:val="center"/>
          </w:tcPr>
          <w:p>
            <w:pPr>
              <w:rPr>
                <w:rFonts w:hint="eastAsia"/>
              </w:rPr>
            </w:pPr>
          </w:p>
        </w:tc>
        <w:tc>
          <w:tcPr>
            <w:tcW w:w="304" w:type="pct"/>
            <w:tcBorders>
              <w:top w:val="single" w:color="000000" w:sz="4" w:space="0"/>
              <w:left w:val="single" w:color="000000" w:sz="4" w:space="0"/>
              <w:bottom w:val="nil"/>
              <w:right w:val="single" w:color="000000" w:sz="4" w:space="0"/>
            </w:tcBorders>
            <w:shd w:val="clear" w:color="auto" w:fill="auto"/>
            <w:vAlign w:val="top"/>
          </w:tcPr>
          <w:p>
            <w:pPr>
              <w:rPr>
                <w:rFonts w:hint="default"/>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jc w:val="center"/>
        </w:trPr>
        <w:tc>
          <w:tcPr>
            <w:tcW w:w="264" w:type="pct"/>
            <w:tcBorders>
              <w:top w:val="single" w:color="000000" w:sz="4" w:space="0"/>
              <w:left w:val="single" w:color="000000" w:sz="4" w:space="0"/>
              <w:bottom w:val="single" w:color="000000" w:sz="4" w:space="0"/>
              <w:right w:val="single" w:color="000000" w:sz="4" w:space="0"/>
            </w:tcBorders>
            <w:shd w:val="clear" w:color="auto" w:fill="auto"/>
            <w:vAlign w:val="top"/>
          </w:tcPr>
          <w:p>
            <w:pPr>
              <w:rPr>
                <w:rFonts w:hint="eastAsia"/>
              </w:rPr>
            </w:pPr>
          </w:p>
        </w:tc>
        <w:tc>
          <w:tcPr>
            <w:tcW w:w="721"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合计</w:t>
            </w:r>
          </w:p>
        </w:tc>
        <w:tc>
          <w:tcPr>
            <w:tcW w:w="2058" w:type="pct"/>
            <w:tcBorders>
              <w:top w:val="single" w:color="000000" w:sz="4" w:space="0"/>
              <w:left w:val="single" w:color="000000" w:sz="4" w:space="0"/>
              <w:bottom w:val="single" w:color="000000" w:sz="4" w:space="0"/>
              <w:right w:val="single" w:color="000000" w:sz="4" w:space="0"/>
            </w:tcBorders>
            <w:shd w:val="clear" w:color="auto" w:fill="auto"/>
            <w:vAlign w:val="top"/>
          </w:tcPr>
          <w:p>
            <w:pPr>
              <w:rPr>
                <w:rFonts w:hint="eastAsia"/>
              </w:rPr>
            </w:pPr>
          </w:p>
        </w:tc>
        <w:tc>
          <w:tcPr>
            <w:tcW w:w="282"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p>
        </w:tc>
        <w:tc>
          <w:tcPr>
            <w:tcW w:w="266"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p>
        </w:tc>
        <w:tc>
          <w:tcPr>
            <w:tcW w:w="548"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p>
        </w:tc>
        <w:tc>
          <w:tcPr>
            <w:tcW w:w="553"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p>
        </w:tc>
        <w:tc>
          <w:tcPr>
            <w:tcW w:w="304" w:type="pct"/>
            <w:tcBorders>
              <w:top w:val="single" w:color="000000" w:sz="4" w:space="0"/>
              <w:left w:val="single" w:color="000000" w:sz="4" w:space="0"/>
              <w:bottom w:val="single" w:color="000000" w:sz="4" w:space="0"/>
              <w:right w:val="single" w:color="000000" w:sz="4" w:space="0"/>
            </w:tcBorders>
            <w:shd w:val="clear" w:color="auto" w:fill="auto"/>
            <w:vAlign w:val="top"/>
          </w:tcPr>
          <w:p>
            <w:pPr>
              <w:rPr>
                <w:rFonts w:hint="default"/>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20" w:hRule="atLeast"/>
          <w:jc w:val="center"/>
        </w:trPr>
        <w:tc>
          <w:tcPr>
            <w:tcW w:w="5000" w:type="pct"/>
            <w:gridSpan w:val="8"/>
            <w:tcBorders>
              <w:top w:val="nil"/>
              <w:left w:val="nil"/>
              <w:bottom w:val="nil"/>
              <w:right w:val="nil"/>
            </w:tcBorders>
            <w:shd w:val="clear" w:color="auto" w:fill="auto"/>
            <w:vAlign w:val="top"/>
          </w:tcPr>
          <w:p>
            <w:pPr>
              <w:rPr>
                <w:rFonts w:hint="eastAsia"/>
                <w:lang w:val="en-US" w:eastAsia="zh-CN"/>
              </w:rPr>
            </w:pPr>
            <w:r>
              <w:rPr>
                <w:rFonts w:hint="eastAsia"/>
                <w:lang w:val="en-US" w:eastAsia="zh-CN"/>
              </w:rPr>
              <w:t>相关说明：</w:t>
            </w:r>
          </w:p>
          <w:p>
            <w:pPr>
              <w:rPr>
                <w:rFonts w:hint="eastAsia"/>
              </w:rPr>
            </w:pPr>
            <w:r>
              <w:rPr>
                <w:rFonts w:hint="eastAsia"/>
                <w:lang w:val="en-US" w:eastAsia="zh-CN"/>
              </w:rPr>
              <w:t xml:space="preserve">     以上价格为全费用完全价，已包含建筑物内搬运零星杂物等情况。包含但不限于办理相关正规手续的费用、人工费、材料费、机械费、措施费、管理费、安全文明施工费（达标）、风险费、利润、规费及税金等。</w:t>
            </w:r>
          </w:p>
        </w:tc>
      </w:tr>
    </w:tbl>
    <w:p>
      <w:pPr>
        <w:pStyle w:val="28"/>
        <w:rPr>
          <w:rFonts w:eastAsiaTheme="minorEastAsia"/>
          <w:color w:val="auto"/>
          <w:sz w:val="24"/>
        </w:rPr>
      </w:pPr>
    </w:p>
    <w:p>
      <w:pPr>
        <w:tabs>
          <w:tab w:val="left" w:pos="5580"/>
        </w:tabs>
        <w:spacing w:line="360" w:lineRule="auto"/>
        <w:outlineLvl w:val="9"/>
        <w:rPr>
          <w:rFonts w:hint="eastAsia" w:ascii="宋体" w:hAnsi="宋体" w:eastAsia="宋体" w:cs="宋体"/>
          <w:color w:val="auto"/>
          <w:sz w:val="24"/>
          <w:szCs w:val="20"/>
        </w:rPr>
      </w:pPr>
      <w:r>
        <w:rPr>
          <w:rFonts w:hint="eastAsia" w:ascii="宋体" w:hAnsi="宋体" w:eastAsia="宋体" w:cs="宋体"/>
          <w:color w:val="auto"/>
          <w:sz w:val="24"/>
          <w:szCs w:val="20"/>
        </w:rPr>
        <w:t>注：1.本表应按包分别填写。</w:t>
      </w:r>
    </w:p>
    <w:p>
      <w:pPr>
        <w:tabs>
          <w:tab w:val="left" w:pos="5580"/>
        </w:tabs>
        <w:spacing w:line="360" w:lineRule="auto"/>
        <w:ind w:firstLine="480" w:firstLineChars="200"/>
        <w:outlineLvl w:val="9"/>
        <w:rPr>
          <w:rFonts w:hint="eastAsia"/>
        </w:rPr>
      </w:pPr>
      <w:r>
        <w:rPr>
          <w:rFonts w:hint="eastAsia" w:ascii="宋体" w:hAnsi="宋体" w:eastAsia="宋体" w:cs="宋体"/>
          <w:color w:val="auto"/>
          <w:sz w:val="24"/>
          <w:szCs w:val="20"/>
        </w:rPr>
        <w:t>2.如果不提供分项报价将视为没有实质性响应竞争性磋商文件。</w:t>
      </w:r>
    </w:p>
    <w:p>
      <w:pPr>
        <w:tabs>
          <w:tab w:val="left" w:pos="5580"/>
        </w:tabs>
        <w:spacing w:line="360" w:lineRule="auto"/>
        <w:ind w:firstLine="480" w:firstLineChars="200"/>
        <w:outlineLvl w:val="9"/>
        <w:rPr>
          <w:rFonts w:hint="eastAsia" w:ascii="宋体" w:hAnsi="宋体" w:eastAsia="宋体" w:cs="宋体"/>
          <w:color w:val="auto"/>
          <w:sz w:val="24"/>
          <w:szCs w:val="20"/>
          <w:lang w:val="en-US" w:eastAsia="zh-CN"/>
        </w:rPr>
      </w:pPr>
      <w:r>
        <w:rPr>
          <w:rFonts w:hint="eastAsia" w:ascii="宋体" w:hAnsi="宋体" w:eastAsia="宋体" w:cs="宋体"/>
          <w:color w:val="auto"/>
          <w:sz w:val="24"/>
          <w:szCs w:val="20"/>
          <w:lang w:val="en-US" w:eastAsia="zh-CN"/>
        </w:rPr>
        <w:t>3</w:t>
      </w:r>
      <w:r>
        <w:rPr>
          <w:rFonts w:hint="eastAsia" w:ascii="宋体" w:hAnsi="宋体" w:eastAsia="宋体" w:cs="宋体"/>
          <w:color w:val="auto"/>
          <w:sz w:val="24"/>
          <w:szCs w:val="20"/>
        </w:rPr>
        <w:t>.</w:t>
      </w:r>
      <w:r>
        <w:rPr>
          <w:rFonts w:hint="eastAsia" w:ascii="宋体" w:hAnsi="宋体" w:eastAsia="宋体" w:cs="宋体"/>
          <w:color w:val="auto"/>
          <w:sz w:val="24"/>
          <w:szCs w:val="20"/>
          <w:lang w:val="en-US" w:eastAsia="zh-CN"/>
        </w:rPr>
        <w:t>参考</w:t>
      </w:r>
      <w:r>
        <w:rPr>
          <w:rFonts w:hint="eastAsia" w:ascii="宋体" w:hAnsi="宋体" w:eastAsia="宋体" w:cs="宋体"/>
          <w:color w:val="auto"/>
          <w:sz w:val="24"/>
          <w:szCs w:val="20"/>
        </w:rPr>
        <w:t>第四章采购需求</w:t>
      </w:r>
      <w:r>
        <w:rPr>
          <w:rFonts w:hint="eastAsia" w:ascii="宋体" w:hAnsi="宋体" w:eastAsia="宋体" w:cs="宋体"/>
          <w:color w:val="auto"/>
          <w:sz w:val="24"/>
          <w:szCs w:val="20"/>
          <w:lang w:val="en-US" w:eastAsia="zh-CN"/>
        </w:rPr>
        <w:t>中分包划分明细表。</w:t>
      </w:r>
    </w:p>
    <w:p>
      <w:pPr>
        <w:tabs>
          <w:tab w:val="left" w:pos="5580"/>
        </w:tabs>
        <w:spacing w:line="360" w:lineRule="auto"/>
        <w:ind w:firstLine="482" w:firstLineChars="200"/>
        <w:outlineLvl w:val="9"/>
        <w:rPr>
          <w:rFonts w:hint="eastAsia" w:ascii="宋体" w:hAnsi="宋体" w:eastAsia="宋体" w:cs="宋体"/>
          <w:b/>
          <w:bCs/>
          <w:color w:val="auto"/>
          <w:sz w:val="24"/>
          <w:szCs w:val="20"/>
        </w:rPr>
      </w:pPr>
      <w:r>
        <w:rPr>
          <w:rFonts w:hint="eastAsia" w:ascii="宋体" w:hAnsi="宋体" w:cs="宋体"/>
          <w:b/>
          <w:bCs/>
          <w:color w:val="auto"/>
          <w:sz w:val="24"/>
          <w:szCs w:val="20"/>
          <w:lang w:val="en-US" w:eastAsia="zh-CN"/>
        </w:rPr>
        <w:t>4.</w:t>
      </w:r>
      <w:r>
        <w:rPr>
          <w:rFonts w:hint="eastAsia"/>
          <w:b/>
          <w:bCs/>
          <w:sz w:val="24"/>
        </w:rPr>
        <w:t>本项目实行分项控制，投标人各分项投标单价均不得超过招标人给定的各分项综合单价。</w:t>
      </w:r>
    </w:p>
    <w:p>
      <w:pPr>
        <w:autoSpaceDE w:val="0"/>
        <w:autoSpaceDN w:val="0"/>
        <w:adjustRightInd w:val="0"/>
        <w:snapToGrid w:val="0"/>
        <w:spacing w:before="25" w:after="25" w:line="360" w:lineRule="auto"/>
        <w:rPr>
          <w:rFonts w:eastAsiaTheme="minorEastAsia"/>
          <w:color w:val="auto"/>
          <w:sz w:val="24"/>
        </w:rPr>
      </w:pPr>
    </w:p>
    <w:p>
      <w:pPr>
        <w:pStyle w:val="28"/>
        <w:rPr>
          <w:rFonts w:eastAsiaTheme="minorEastAsia"/>
          <w:color w:val="auto"/>
          <w:sz w:val="24"/>
        </w:rPr>
      </w:pPr>
    </w:p>
    <w:p>
      <w:pPr>
        <w:rPr>
          <w:rFonts w:eastAsiaTheme="minorEastAsia"/>
          <w:color w:val="auto"/>
          <w:sz w:val="24"/>
        </w:rPr>
      </w:pPr>
    </w:p>
    <w:p>
      <w:pPr>
        <w:pStyle w:val="28"/>
        <w:rPr>
          <w:rFonts w:eastAsiaTheme="minorEastAsia"/>
          <w:color w:val="auto"/>
          <w:sz w:val="24"/>
        </w:rPr>
      </w:pPr>
    </w:p>
    <w:p/>
    <w:p>
      <w:pPr>
        <w:autoSpaceDE w:val="0"/>
        <w:autoSpaceDN w:val="0"/>
        <w:adjustRightInd w:val="0"/>
        <w:snapToGrid w:val="0"/>
        <w:spacing w:before="25" w:after="25" w:line="360" w:lineRule="auto"/>
        <w:ind w:right="360"/>
        <w:jc w:val="left"/>
        <w:rPr>
          <w:rFonts w:eastAsiaTheme="minorEastAsia"/>
          <w:color w:val="auto"/>
          <w:sz w:val="24"/>
          <w:lang w:val="zh-CN"/>
        </w:rPr>
      </w:pPr>
      <w:r>
        <w:rPr>
          <w:rFonts w:eastAsiaTheme="minorEastAsia"/>
          <w:color w:val="auto"/>
          <w:sz w:val="24"/>
        </w:rPr>
        <w:t>供应商名称（加盖公章）</w:t>
      </w:r>
      <w:r>
        <w:rPr>
          <w:rFonts w:eastAsiaTheme="minorEastAsia"/>
          <w:color w:val="auto"/>
          <w:sz w:val="24"/>
          <w:lang w:val="zh-CN"/>
        </w:rPr>
        <w:t>：</w:t>
      </w:r>
      <w:r>
        <w:rPr>
          <w:rFonts w:eastAsiaTheme="minorEastAsia"/>
          <w:color w:val="auto"/>
          <w:sz w:val="24"/>
        </w:rPr>
        <w:t>______</w:t>
      </w:r>
    </w:p>
    <w:p>
      <w:pPr>
        <w:tabs>
          <w:tab w:val="left" w:pos="360"/>
        </w:tabs>
        <w:snapToGrid w:val="0"/>
        <w:spacing w:line="360" w:lineRule="auto"/>
        <w:outlineLvl w:val="9"/>
        <w:rPr>
          <w:rFonts w:hint="eastAsia" w:ascii="宋体" w:hAnsi="宋体" w:eastAsia="宋体" w:cs="宋体"/>
          <w:color w:val="auto"/>
          <w:sz w:val="24"/>
          <w:szCs w:val="24"/>
          <w:lang w:val="en-US" w:eastAsia="zh-CN"/>
        </w:rPr>
      </w:pPr>
      <w:r>
        <w:rPr>
          <w:rFonts w:eastAsiaTheme="minorEastAsia"/>
          <w:color w:val="auto"/>
          <w:sz w:val="24"/>
          <w:szCs w:val="20"/>
        </w:rPr>
        <w:t xml:space="preserve">日期：____年____月____日 </w:t>
      </w:r>
    </w:p>
    <w:p>
      <w:pPr>
        <w:pStyle w:val="17"/>
        <w:rPr>
          <w:rFonts w:hint="default" w:cs="宋体"/>
          <w:color w:val="auto"/>
          <w:sz w:val="24"/>
          <w:lang w:val="en-US" w:eastAsia="zh-CN"/>
        </w:rPr>
      </w:pPr>
    </w:p>
    <w:p>
      <w:pPr>
        <w:pStyle w:val="38"/>
        <w:rPr>
          <w:rFonts w:hint="eastAsia" w:ascii="宋体" w:hAnsi="宋体" w:eastAsia="宋体" w:cs="宋体"/>
          <w:color w:val="auto"/>
          <w:sz w:val="24"/>
        </w:rPr>
      </w:pPr>
    </w:p>
    <w:p>
      <w:pPr>
        <w:keepNext w:val="0"/>
        <w:keepLines w:val="0"/>
        <w:pageBreakBefore w:val="0"/>
        <w:widowControl w:val="0"/>
        <w:numPr>
          <w:ilvl w:val="0"/>
          <w:numId w:val="0"/>
        </w:numPr>
        <w:tabs>
          <w:tab w:val="left" w:pos="1800"/>
          <w:tab w:val="left" w:pos="5580"/>
        </w:tabs>
        <w:kinsoku/>
        <w:wordWrap/>
        <w:overflowPunct/>
        <w:topLinePunct w:val="0"/>
        <w:bidi w:val="0"/>
        <w:spacing w:line="360" w:lineRule="auto"/>
        <w:ind w:firstLine="480" w:firstLineChars="200"/>
        <w:jc w:val="left"/>
        <w:textAlignment w:val="auto"/>
        <w:rPr>
          <w:rFonts w:hint="eastAsia" w:ascii="宋体" w:hAnsi="宋体" w:eastAsia="宋体" w:cs="宋体"/>
          <w:color w:val="000000"/>
          <w:sz w:val="24"/>
        </w:rPr>
      </w:pPr>
    </w:p>
    <w:p>
      <w:pPr>
        <w:pStyle w:val="62"/>
        <w:rPr>
          <w:rFonts w:hint="eastAsia" w:ascii="宋体" w:hAnsi="宋体" w:eastAsia="宋体" w:cs="宋体"/>
          <w:color w:val="000000"/>
          <w:sz w:val="24"/>
        </w:rPr>
      </w:pPr>
    </w:p>
    <w:p>
      <w:pPr>
        <w:rPr>
          <w:rFonts w:hint="eastAsia" w:ascii="宋体" w:hAnsi="宋体" w:eastAsia="宋体" w:cs="宋体"/>
          <w:color w:val="000000"/>
          <w:sz w:val="24"/>
        </w:rPr>
      </w:pPr>
    </w:p>
    <w:p>
      <w:pPr>
        <w:pStyle w:val="62"/>
        <w:rPr>
          <w:rFonts w:hint="eastAsia" w:ascii="宋体" w:hAnsi="宋体" w:eastAsia="宋体" w:cs="宋体"/>
          <w:color w:val="000000"/>
          <w:sz w:val="24"/>
        </w:rPr>
      </w:pPr>
    </w:p>
    <w:p>
      <w:pPr>
        <w:rPr>
          <w:rFonts w:hint="eastAsia" w:ascii="宋体" w:hAnsi="宋体" w:eastAsia="宋体" w:cs="宋体"/>
          <w:color w:val="000000"/>
          <w:sz w:val="24"/>
        </w:rPr>
        <w:sectPr>
          <w:pgSz w:w="11906" w:h="16838"/>
          <w:pgMar w:top="1440" w:right="1797" w:bottom="1440" w:left="1797" w:header="851" w:footer="992" w:gutter="0"/>
          <w:pgNumType w:fmt="decimal"/>
          <w:cols w:space="720" w:num="1"/>
          <w:docGrid w:linePitch="312" w:charSpace="0"/>
        </w:sectPr>
      </w:pPr>
    </w:p>
    <w:p>
      <w:pPr>
        <w:tabs>
          <w:tab w:val="left" w:pos="360"/>
        </w:tabs>
        <w:snapToGrid w:val="0"/>
        <w:spacing w:line="360" w:lineRule="auto"/>
        <w:outlineLvl w:val="1"/>
        <w:rPr>
          <w:rFonts w:hint="eastAsia" w:ascii="宋体" w:hAnsi="宋体" w:eastAsia="宋体" w:cs="宋体"/>
          <w:color w:val="000000"/>
          <w:sz w:val="24"/>
          <w:szCs w:val="20"/>
        </w:rPr>
      </w:pPr>
      <w:bookmarkStart w:id="724" w:name="_Toc226309806"/>
      <w:bookmarkStart w:id="725" w:name="_Toc305158904"/>
      <w:bookmarkStart w:id="726" w:name="_Toc226965752"/>
      <w:bookmarkStart w:id="727" w:name="_Toc264969252"/>
      <w:bookmarkStart w:id="728" w:name="_Toc142311062"/>
      <w:bookmarkStart w:id="729" w:name="_Toc195842927"/>
      <w:bookmarkStart w:id="730" w:name="_Toc150774765"/>
      <w:bookmarkStart w:id="731" w:name="_Toc305158830"/>
      <w:bookmarkStart w:id="732" w:name="_Toc127151562"/>
      <w:bookmarkStart w:id="733" w:name="_Toc226337258"/>
      <w:bookmarkStart w:id="734" w:name="_Toc150480798"/>
      <w:bookmarkStart w:id="735" w:name="_Toc226965835"/>
      <w:bookmarkStart w:id="736" w:name="_Toc265228400"/>
      <w:bookmarkStart w:id="737" w:name="_Toc226309805"/>
      <w:bookmarkStart w:id="738" w:name="_Toc150774764"/>
      <w:bookmarkStart w:id="739" w:name="_Toc226965751"/>
      <w:bookmarkStart w:id="740" w:name="_Toc127151561"/>
      <w:bookmarkStart w:id="741" w:name="_Toc305158903"/>
      <w:bookmarkStart w:id="742" w:name="_Toc264969251"/>
      <w:bookmarkStart w:id="743" w:name="_Toc150480797"/>
      <w:bookmarkStart w:id="744" w:name="_Toc226965834"/>
      <w:bookmarkStart w:id="745" w:name="_Toc142311061"/>
      <w:bookmarkStart w:id="746" w:name="_Toc195842926"/>
      <w:bookmarkStart w:id="747" w:name="_Toc265228399"/>
      <w:bookmarkStart w:id="748" w:name="_Toc305158829"/>
      <w:bookmarkStart w:id="749" w:name="_Toc226337257"/>
      <w:r>
        <w:rPr>
          <w:rFonts w:hint="eastAsia" w:ascii="宋体" w:hAnsi="宋体" w:eastAsia="宋体" w:cs="宋体"/>
          <w:sz w:val="24"/>
        </w:rPr>
        <w:t>9  合同条款偏离表</w:t>
      </w:r>
      <w:bookmarkEnd w:id="724"/>
      <w:bookmarkEnd w:id="725"/>
      <w:bookmarkEnd w:id="726"/>
      <w:bookmarkEnd w:id="727"/>
      <w:bookmarkEnd w:id="728"/>
      <w:bookmarkEnd w:id="729"/>
      <w:bookmarkEnd w:id="730"/>
      <w:bookmarkEnd w:id="731"/>
      <w:bookmarkEnd w:id="732"/>
      <w:bookmarkEnd w:id="733"/>
      <w:bookmarkEnd w:id="734"/>
      <w:bookmarkEnd w:id="735"/>
      <w:bookmarkEnd w:id="736"/>
      <w:r>
        <w:rPr>
          <w:sz w:val="24"/>
        </w:rPr>
        <w:t>（实质性格式）</w:t>
      </w:r>
    </w:p>
    <w:p>
      <w:pPr>
        <w:tabs>
          <w:tab w:val="left" w:pos="2775"/>
          <w:tab w:val="center" w:pos="4153"/>
        </w:tabs>
        <w:autoSpaceDE w:val="0"/>
        <w:autoSpaceDN w:val="0"/>
        <w:adjustRightInd w:val="0"/>
        <w:spacing w:line="360" w:lineRule="auto"/>
        <w:jc w:val="center"/>
        <w:rPr>
          <w:rFonts w:hint="eastAsia" w:ascii="宋体" w:hAnsi="宋体" w:eastAsia="宋体" w:cs="宋体"/>
          <w:b/>
          <w:color w:val="000000"/>
          <w:sz w:val="36"/>
          <w:szCs w:val="36"/>
        </w:rPr>
      </w:pPr>
      <w:r>
        <w:rPr>
          <w:rFonts w:hint="eastAsia" w:ascii="宋体" w:hAnsi="宋体" w:eastAsia="宋体" w:cs="宋体"/>
          <w:b/>
          <w:color w:val="000000"/>
          <w:sz w:val="36"/>
          <w:szCs w:val="36"/>
        </w:rPr>
        <w:t>合同条款偏离表</w:t>
      </w:r>
    </w:p>
    <w:p>
      <w:pPr>
        <w:tabs>
          <w:tab w:val="left" w:pos="1800"/>
          <w:tab w:val="left" w:pos="5580"/>
        </w:tabs>
        <w:spacing w:line="360" w:lineRule="auto"/>
        <w:ind w:left="0" w:leftChars="0" w:firstLine="0" w:firstLineChars="0"/>
        <w:jc w:val="left"/>
        <w:rPr>
          <w:rFonts w:hint="eastAsia" w:ascii="宋体" w:hAnsi="宋体" w:eastAsia="宋体" w:cs="宋体"/>
          <w:color w:val="000000"/>
          <w:sz w:val="24"/>
        </w:rPr>
      </w:pPr>
      <w:r>
        <w:rPr>
          <w:rFonts w:hint="eastAsia" w:ascii="宋体" w:hAnsi="宋体" w:eastAsia="宋体" w:cs="宋体"/>
          <w:color w:val="000000"/>
          <w:sz w:val="24"/>
        </w:rPr>
        <w:t xml:space="preserve">项目编号：_______________     </w:t>
      </w:r>
      <w:r>
        <w:rPr>
          <w:rFonts w:hint="eastAsia" w:ascii="宋体" w:hAnsi="宋体" w:cs="宋体"/>
          <w:color w:val="000000"/>
          <w:sz w:val="24"/>
          <w:lang w:val="en-US" w:eastAsia="zh-CN"/>
        </w:rPr>
        <w:t xml:space="preserve">      </w:t>
      </w:r>
      <w:r>
        <w:rPr>
          <w:rFonts w:hint="eastAsia" w:ascii="宋体" w:hAnsi="宋体" w:eastAsia="宋体" w:cs="宋体"/>
          <w:color w:val="000000"/>
          <w:sz w:val="24"/>
        </w:rPr>
        <w:t>项目名称：_______________</w:t>
      </w:r>
    </w:p>
    <w:tbl>
      <w:tblPr>
        <w:tblStyle w:val="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6"/>
        <w:gridCol w:w="2900"/>
        <w:gridCol w:w="1923"/>
        <w:gridCol w:w="1418"/>
        <w:gridCol w:w="1555"/>
        <w:gridCol w:w="7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0" w:type="auto"/>
            <w:vAlign w:val="center"/>
          </w:tcPr>
          <w:p>
            <w:pPr>
              <w:adjustRightInd w:val="0"/>
              <w:snapToGrid w:val="0"/>
              <w:jc w:val="center"/>
              <w:rPr>
                <w:rFonts w:hint="eastAsia" w:ascii="宋体" w:hAnsi="宋体" w:eastAsia="宋体" w:cs="宋体"/>
                <w:color w:val="000000"/>
                <w:sz w:val="24"/>
              </w:rPr>
            </w:pPr>
            <w:r>
              <w:rPr>
                <w:rFonts w:hint="eastAsia" w:ascii="宋体" w:hAnsi="宋体" w:eastAsia="宋体" w:cs="宋体"/>
                <w:color w:val="000000"/>
                <w:sz w:val="24"/>
              </w:rPr>
              <w:t>序号</w:t>
            </w:r>
          </w:p>
        </w:tc>
        <w:tc>
          <w:tcPr>
            <w:tcW w:w="0" w:type="auto"/>
            <w:vAlign w:val="center"/>
          </w:tcPr>
          <w:p>
            <w:pPr>
              <w:adjustRightInd w:val="0"/>
              <w:snapToGrid w:val="0"/>
              <w:jc w:val="center"/>
              <w:rPr>
                <w:rFonts w:hint="eastAsia" w:ascii="宋体" w:hAnsi="宋体" w:eastAsia="宋体" w:cs="宋体"/>
                <w:color w:val="000000"/>
                <w:sz w:val="24"/>
              </w:rPr>
            </w:pPr>
            <w:r>
              <w:rPr>
                <w:rFonts w:hint="eastAsia" w:ascii="宋体" w:hAnsi="宋体" w:eastAsia="宋体" w:cs="宋体"/>
                <w:color w:val="000000"/>
                <w:sz w:val="24"/>
                <w:szCs w:val="21"/>
              </w:rPr>
              <w:t>竞争性磋商文件</w:t>
            </w:r>
            <w:r>
              <w:rPr>
                <w:rFonts w:hint="eastAsia" w:ascii="宋体" w:hAnsi="宋体" w:eastAsia="宋体" w:cs="宋体"/>
                <w:color w:val="000000"/>
                <w:sz w:val="24"/>
              </w:rPr>
              <w:t>条目号（页码）</w:t>
            </w:r>
          </w:p>
        </w:tc>
        <w:tc>
          <w:tcPr>
            <w:tcW w:w="0" w:type="auto"/>
            <w:vAlign w:val="center"/>
          </w:tcPr>
          <w:p>
            <w:pPr>
              <w:adjustRightInd w:val="0"/>
              <w:snapToGrid w:val="0"/>
              <w:jc w:val="center"/>
              <w:rPr>
                <w:rFonts w:hint="eastAsia" w:ascii="宋体" w:hAnsi="宋体" w:eastAsia="宋体" w:cs="宋体"/>
                <w:color w:val="000000"/>
                <w:sz w:val="24"/>
              </w:rPr>
            </w:pPr>
            <w:r>
              <w:rPr>
                <w:rFonts w:hint="eastAsia" w:ascii="宋体" w:hAnsi="宋体" w:eastAsia="宋体" w:cs="宋体"/>
                <w:color w:val="000000"/>
                <w:sz w:val="24"/>
                <w:szCs w:val="21"/>
              </w:rPr>
              <w:t>竞争性磋商文件</w:t>
            </w:r>
            <w:r>
              <w:rPr>
                <w:rFonts w:hint="eastAsia" w:ascii="宋体" w:hAnsi="宋体" w:eastAsia="宋体" w:cs="宋体"/>
                <w:color w:val="000000"/>
                <w:sz w:val="24"/>
              </w:rPr>
              <w:t>要求</w:t>
            </w:r>
          </w:p>
        </w:tc>
        <w:tc>
          <w:tcPr>
            <w:tcW w:w="0" w:type="auto"/>
            <w:vAlign w:val="center"/>
          </w:tcPr>
          <w:p>
            <w:pPr>
              <w:adjustRightInd w:val="0"/>
              <w:snapToGrid w:val="0"/>
              <w:jc w:val="center"/>
              <w:rPr>
                <w:rFonts w:hint="eastAsia" w:ascii="宋体" w:hAnsi="宋体" w:eastAsia="宋体" w:cs="宋体"/>
                <w:color w:val="000000"/>
                <w:sz w:val="24"/>
              </w:rPr>
            </w:pPr>
            <w:r>
              <w:rPr>
                <w:rFonts w:hint="eastAsia" w:ascii="宋体" w:hAnsi="宋体" w:eastAsia="宋体" w:cs="宋体"/>
                <w:color w:val="000000"/>
                <w:sz w:val="24"/>
              </w:rPr>
              <w:t>响应文件内容</w:t>
            </w:r>
          </w:p>
        </w:tc>
        <w:tc>
          <w:tcPr>
            <w:tcW w:w="0" w:type="auto"/>
            <w:vAlign w:val="center"/>
          </w:tcPr>
          <w:p>
            <w:pPr>
              <w:adjustRightInd w:val="0"/>
              <w:snapToGrid w:val="0"/>
              <w:jc w:val="center"/>
              <w:rPr>
                <w:rFonts w:hint="eastAsia" w:ascii="宋体" w:hAnsi="宋体" w:eastAsia="宋体" w:cs="宋体"/>
                <w:color w:val="000000"/>
                <w:sz w:val="24"/>
              </w:rPr>
            </w:pPr>
            <w:r>
              <w:rPr>
                <w:rFonts w:hint="eastAsia" w:ascii="宋体" w:hAnsi="宋体" w:eastAsia="宋体" w:cs="宋体"/>
                <w:color w:val="000000"/>
                <w:sz w:val="24"/>
              </w:rPr>
              <w:t>偏离情况</w:t>
            </w:r>
          </w:p>
          <w:p>
            <w:pPr>
              <w:adjustRightInd w:val="0"/>
              <w:snapToGrid w:val="0"/>
              <w:jc w:val="center"/>
              <w:rPr>
                <w:rFonts w:hint="eastAsia" w:ascii="宋体" w:hAnsi="宋体" w:eastAsia="宋体" w:cs="宋体"/>
                <w:color w:val="000000"/>
                <w:sz w:val="24"/>
              </w:rPr>
            </w:pPr>
            <w:r>
              <w:rPr>
                <w:rFonts w:hint="eastAsia" w:ascii="宋体" w:hAnsi="宋体" w:eastAsia="宋体" w:cs="宋体"/>
                <w:color w:val="000000"/>
                <w:sz w:val="24"/>
              </w:rPr>
              <w:t>（据实填写）</w:t>
            </w:r>
          </w:p>
        </w:tc>
        <w:tc>
          <w:tcPr>
            <w:tcW w:w="0" w:type="auto"/>
            <w:vAlign w:val="center"/>
          </w:tcPr>
          <w:p>
            <w:pPr>
              <w:adjustRightInd w:val="0"/>
              <w:snapToGrid w:val="0"/>
              <w:jc w:val="center"/>
              <w:rPr>
                <w:rFonts w:hint="eastAsia" w:ascii="宋体" w:hAnsi="宋体" w:eastAsia="宋体" w:cs="宋体"/>
                <w:color w:val="000000"/>
                <w:sz w:val="24"/>
              </w:rPr>
            </w:pPr>
            <w:r>
              <w:rPr>
                <w:rFonts w:hint="eastAsia" w:ascii="宋体" w:hAnsi="宋体" w:eastAsia="宋体" w:cs="宋体"/>
                <w:color w:val="000000"/>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6" w:hRule="atLeast"/>
          <w:jc w:val="center"/>
        </w:trPr>
        <w:tc>
          <w:tcPr>
            <w:tcW w:w="0" w:type="auto"/>
            <w:gridSpan w:val="6"/>
            <w:vAlign w:val="center"/>
          </w:tcPr>
          <w:p>
            <w:pPr>
              <w:adjustRightInd w:val="0"/>
              <w:snapToGrid w:val="0"/>
              <w:jc w:val="left"/>
              <w:rPr>
                <w:rFonts w:hint="eastAsia" w:ascii="宋体" w:hAnsi="宋体" w:eastAsia="宋体" w:cs="宋体"/>
                <w:color w:val="000000"/>
                <w:sz w:val="24"/>
                <w:lang w:eastAsia="zh-CN"/>
              </w:rPr>
            </w:pPr>
            <w:r>
              <w:rPr>
                <w:rFonts w:hint="eastAsia" w:ascii="宋体" w:hAnsi="宋体" w:eastAsia="宋体" w:cs="宋体"/>
                <w:color w:val="000000"/>
                <w:sz w:val="24"/>
              </w:rPr>
              <w:t>对本项目合同条款的偏离情况（应进行选择，未选择响应无效</w:t>
            </w:r>
            <w:r>
              <w:rPr>
                <w:rFonts w:hint="eastAsia" w:ascii="宋体" w:hAnsi="宋体" w:eastAsia="宋体" w:cs="宋体"/>
                <w:color w:val="000000"/>
                <w:sz w:val="24"/>
                <w:lang w:eastAsia="zh-CN"/>
              </w:rPr>
              <w:t>；）</w:t>
            </w:r>
          </w:p>
          <w:p>
            <w:pPr>
              <w:adjustRightInd w:val="0"/>
              <w:snapToGrid w:val="0"/>
              <w:jc w:val="left"/>
              <w:rPr>
                <w:rFonts w:hint="eastAsia" w:ascii="宋体" w:hAnsi="宋体" w:eastAsia="宋体" w:cs="宋体"/>
                <w:color w:val="000000"/>
                <w:sz w:val="24"/>
              </w:rPr>
            </w:pPr>
            <w:r>
              <w:rPr>
                <w:rFonts w:hint="eastAsia" w:ascii="宋体" w:hAnsi="宋体" w:eastAsia="宋体" w:cs="宋体"/>
                <w:color w:val="000000"/>
                <w:sz w:val="24"/>
              </w:rPr>
              <w:sym w:font="Wingdings 2" w:char="00A3"/>
            </w:r>
            <w:r>
              <w:rPr>
                <w:rFonts w:hint="eastAsia" w:ascii="宋体" w:hAnsi="宋体" w:eastAsia="宋体" w:cs="宋体"/>
                <w:color w:val="000000"/>
                <w:sz w:val="24"/>
              </w:rPr>
              <w:t>无偏离（如无偏离，仅选择无偏离即可；无偏离即为对合同条款中的所有要求，均视作供应商已对之理解和响应</w:t>
            </w:r>
            <w:r>
              <w:rPr>
                <w:rFonts w:hint="eastAsia" w:ascii="宋体" w:hAnsi="宋体" w:eastAsia="宋体" w:cs="宋体"/>
                <w:color w:val="000000"/>
                <w:sz w:val="24"/>
                <w:lang w:eastAsia="zh-CN"/>
              </w:rPr>
              <w:t>。</w:t>
            </w:r>
            <w:r>
              <w:rPr>
                <w:rFonts w:hint="eastAsia" w:ascii="宋体" w:hAnsi="宋体" w:eastAsia="宋体" w:cs="宋体"/>
                <w:color w:val="000000"/>
                <w:sz w:val="24"/>
              </w:rPr>
              <w:t>）</w:t>
            </w:r>
          </w:p>
          <w:p>
            <w:pPr>
              <w:adjustRightInd w:val="0"/>
              <w:snapToGrid w:val="0"/>
              <w:jc w:val="left"/>
              <w:rPr>
                <w:rFonts w:hint="eastAsia" w:ascii="宋体" w:hAnsi="宋体" w:eastAsia="宋体" w:cs="宋体"/>
                <w:color w:val="000000"/>
                <w:sz w:val="24"/>
              </w:rPr>
            </w:pPr>
            <w:r>
              <w:rPr>
                <w:rFonts w:hint="eastAsia" w:ascii="宋体" w:hAnsi="宋体" w:eastAsia="宋体" w:cs="宋体"/>
                <w:color w:val="000000"/>
                <w:sz w:val="24"/>
              </w:rPr>
              <w:sym w:font="Wingdings 2" w:char="00A3"/>
            </w:r>
            <w:r>
              <w:rPr>
                <w:rFonts w:hint="eastAsia" w:ascii="宋体" w:hAnsi="宋体" w:eastAsia="宋体" w:cs="宋体"/>
                <w:color w:val="000000"/>
                <w:sz w:val="24"/>
              </w:rPr>
              <w:t>有偏离（如有偏离，则应在本表中对负偏离项逐一列明，否则响应无效；对合同条款中的所有要求，除本表列明的偏离外，均视作供应商已对之理解和响应。</w:t>
            </w:r>
            <w:r>
              <w:rPr>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0" w:type="auto"/>
            <w:vAlign w:val="center"/>
          </w:tcPr>
          <w:p>
            <w:pPr>
              <w:adjustRightInd w:val="0"/>
              <w:snapToGrid w:val="0"/>
              <w:jc w:val="center"/>
              <w:rPr>
                <w:rFonts w:hint="eastAsia" w:ascii="宋体" w:hAnsi="宋体" w:eastAsia="宋体" w:cs="宋体"/>
                <w:color w:val="000000"/>
                <w:sz w:val="24"/>
              </w:rPr>
            </w:pPr>
          </w:p>
        </w:tc>
        <w:tc>
          <w:tcPr>
            <w:tcW w:w="0" w:type="auto"/>
            <w:vAlign w:val="center"/>
          </w:tcPr>
          <w:p>
            <w:pPr>
              <w:adjustRightInd w:val="0"/>
              <w:snapToGrid w:val="0"/>
              <w:jc w:val="center"/>
              <w:rPr>
                <w:rFonts w:hint="eastAsia" w:ascii="宋体" w:hAnsi="宋体" w:eastAsia="宋体" w:cs="宋体"/>
                <w:color w:val="000000"/>
                <w:sz w:val="24"/>
              </w:rPr>
            </w:pPr>
          </w:p>
        </w:tc>
        <w:tc>
          <w:tcPr>
            <w:tcW w:w="0" w:type="auto"/>
            <w:vAlign w:val="center"/>
          </w:tcPr>
          <w:p>
            <w:pPr>
              <w:adjustRightInd w:val="0"/>
              <w:snapToGrid w:val="0"/>
              <w:jc w:val="center"/>
              <w:rPr>
                <w:rFonts w:hint="eastAsia" w:ascii="宋体" w:hAnsi="宋体" w:eastAsia="宋体" w:cs="宋体"/>
                <w:color w:val="000000"/>
                <w:sz w:val="24"/>
              </w:rPr>
            </w:pPr>
          </w:p>
        </w:tc>
        <w:tc>
          <w:tcPr>
            <w:tcW w:w="0" w:type="auto"/>
            <w:vAlign w:val="center"/>
          </w:tcPr>
          <w:p>
            <w:pPr>
              <w:adjustRightInd w:val="0"/>
              <w:snapToGrid w:val="0"/>
              <w:jc w:val="center"/>
              <w:rPr>
                <w:rFonts w:hint="eastAsia" w:ascii="宋体" w:hAnsi="宋体" w:eastAsia="宋体" w:cs="宋体"/>
                <w:color w:val="000000"/>
                <w:sz w:val="24"/>
              </w:rPr>
            </w:pPr>
          </w:p>
        </w:tc>
        <w:tc>
          <w:tcPr>
            <w:tcW w:w="0" w:type="auto"/>
            <w:vAlign w:val="center"/>
          </w:tcPr>
          <w:p>
            <w:pPr>
              <w:adjustRightInd w:val="0"/>
              <w:snapToGrid w:val="0"/>
              <w:jc w:val="center"/>
              <w:rPr>
                <w:rFonts w:hint="eastAsia" w:ascii="宋体" w:hAnsi="宋体" w:eastAsia="宋体" w:cs="宋体"/>
                <w:color w:val="000000"/>
                <w:sz w:val="24"/>
              </w:rPr>
            </w:pPr>
          </w:p>
        </w:tc>
        <w:tc>
          <w:tcPr>
            <w:tcW w:w="0" w:type="auto"/>
            <w:vAlign w:val="center"/>
          </w:tcPr>
          <w:p>
            <w:pPr>
              <w:adjustRightInd w:val="0"/>
              <w:snapToGrid w:val="0"/>
              <w:jc w:val="center"/>
              <w:rPr>
                <w:rFonts w:hint="eastAsia" w:ascii="宋体" w:hAnsi="宋体" w:eastAsia="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0" w:type="auto"/>
            <w:vAlign w:val="center"/>
          </w:tcPr>
          <w:p>
            <w:pPr>
              <w:adjustRightInd w:val="0"/>
              <w:snapToGrid w:val="0"/>
              <w:jc w:val="center"/>
              <w:rPr>
                <w:rFonts w:hint="eastAsia" w:ascii="宋体" w:hAnsi="宋体" w:eastAsia="宋体" w:cs="宋体"/>
                <w:color w:val="000000"/>
                <w:sz w:val="24"/>
              </w:rPr>
            </w:pPr>
          </w:p>
        </w:tc>
        <w:tc>
          <w:tcPr>
            <w:tcW w:w="0" w:type="auto"/>
            <w:vAlign w:val="center"/>
          </w:tcPr>
          <w:p>
            <w:pPr>
              <w:adjustRightInd w:val="0"/>
              <w:snapToGrid w:val="0"/>
              <w:jc w:val="center"/>
              <w:rPr>
                <w:rFonts w:hint="eastAsia" w:ascii="宋体" w:hAnsi="宋体" w:eastAsia="宋体" w:cs="宋体"/>
                <w:color w:val="000000"/>
                <w:sz w:val="24"/>
              </w:rPr>
            </w:pPr>
          </w:p>
        </w:tc>
        <w:tc>
          <w:tcPr>
            <w:tcW w:w="0" w:type="auto"/>
            <w:vAlign w:val="center"/>
          </w:tcPr>
          <w:p>
            <w:pPr>
              <w:adjustRightInd w:val="0"/>
              <w:snapToGrid w:val="0"/>
              <w:jc w:val="center"/>
              <w:rPr>
                <w:rFonts w:hint="eastAsia" w:ascii="宋体" w:hAnsi="宋体" w:eastAsia="宋体" w:cs="宋体"/>
                <w:color w:val="000000"/>
                <w:sz w:val="24"/>
              </w:rPr>
            </w:pPr>
          </w:p>
        </w:tc>
        <w:tc>
          <w:tcPr>
            <w:tcW w:w="0" w:type="auto"/>
            <w:vAlign w:val="center"/>
          </w:tcPr>
          <w:p>
            <w:pPr>
              <w:adjustRightInd w:val="0"/>
              <w:snapToGrid w:val="0"/>
              <w:jc w:val="center"/>
              <w:rPr>
                <w:rFonts w:hint="eastAsia" w:ascii="宋体" w:hAnsi="宋体" w:eastAsia="宋体" w:cs="宋体"/>
                <w:color w:val="000000"/>
                <w:sz w:val="24"/>
              </w:rPr>
            </w:pPr>
          </w:p>
        </w:tc>
        <w:tc>
          <w:tcPr>
            <w:tcW w:w="0" w:type="auto"/>
            <w:vAlign w:val="center"/>
          </w:tcPr>
          <w:p>
            <w:pPr>
              <w:adjustRightInd w:val="0"/>
              <w:snapToGrid w:val="0"/>
              <w:jc w:val="center"/>
              <w:rPr>
                <w:rFonts w:hint="eastAsia" w:ascii="宋体" w:hAnsi="宋体" w:eastAsia="宋体" w:cs="宋体"/>
                <w:color w:val="000000"/>
                <w:sz w:val="24"/>
              </w:rPr>
            </w:pPr>
          </w:p>
        </w:tc>
        <w:tc>
          <w:tcPr>
            <w:tcW w:w="0" w:type="auto"/>
            <w:vAlign w:val="center"/>
          </w:tcPr>
          <w:p>
            <w:pPr>
              <w:adjustRightInd w:val="0"/>
              <w:snapToGrid w:val="0"/>
              <w:jc w:val="center"/>
              <w:rPr>
                <w:rFonts w:hint="eastAsia" w:ascii="宋体" w:hAnsi="宋体" w:eastAsia="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0" w:type="auto"/>
            <w:vAlign w:val="center"/>
          </w:tcPr>
          <w:p>
            <w:pPr>
              <w:adjustRightInd w:val="0"/>
              <w:snapToGrid w:val="0"/>
              <w:jc w:val="center"/>
              <w:rPr>
                <w:rFonts w:hint="eastAsia" w:ascii="宋体" w:hAnsi="宋体" w:eastAsia="宋体" w:cs="宋体"/>
                <w:color w:val="000000"/>
                <w:sz w:val="24"/>
              </w:rPr>
            </w:pPr>
          </w:p>
        </w:tc>
        <w:tc>
          <w:tcPr>
            <w:tcW w:w="0" w:type="auto"/>
            <w:vAlign w:val="center"/>
          </w:tcPr>
          <w:p>
            <w:pPr>
              <w:adjustRightInd w:val="0"/>
              <w:snapToGrid w:val="0"/>
              <w:jc w:val="center"/>
              <w:rPr>
                <w:rFonts w:hint="eastAsia" w:ascii="宋体" w:hAnsi="宋体" w:eastAsia="宋体" w:cs="宋体"/>
                <w:color w:val="000000"/>
                <w:sz w:val="24"/>
              </w:rPr>
            </w:pPr>
          </w:p>
        </w:tc>
        <w:tc>
          <w:tcPr>
            <w:tcW w:w="0" w:type="auto"/>
            <w:vAlign w:val="center"/>
          </w:tcPr>
          <w:p>
            <w:pPr>
              <w:adjustRightInd w:val="0"/>
              <w:snapToGrid w:val="0"/>
              <w:jc w:val="center"/>
              <w:rPr>
                <w:rFonts w:hint="eastAsia" w:ascii="宋体" w:hAnsi="宋体" w:eastAsia="宋体" w:cs="宋体"/>
                <w:color w:val="000000"/>
                <w:sz w:val="24"/>
              </w:rPr>
            </w:pPr>
          </w:p>
        </w:tc>
        <w:tc>
          <w:tcPr>
            <w:tcW w:w="0" w:type="auto"/>
            <w:vAlign w:val="center"/>
          </w:tcPr>
          <w:p>
            <w:pPr>
              <w:adjustRightInd w:val="0"/>
              <w:snapToGrid w:val="0"/>
              <w:jc w:val="center"/>
              <w:rPr>
                <w:rFonts w:hint="eastAsia" w:ascii="宋体" w:hAnsi="宋体" w:eastAsia="宋体" w:cs="宋体"/>
                <w:color w:val="000000"/>
                <w:sz w:val="24"/>
              </w:rPr>
            </w:pPr>
          </w:p>
        </w:tc>
        <w:tc>
          <w:tcPr>
            <w:tcW w:w="0" w:type="auto"/>
            <w:vAlign w:val="center"/>
          </w:tcPr>
          <w:p>
            <w:pPr>
              <w:adjustRightInd w:val="0"/>
              <w:snapToGrid w:val="0"/>
              <w:jc w:val="center"/>
              <w:rPr>
                <w:rFonts w:hint="eastAsia" w:ascii="宋体" w:hAnsi="宋体" w:eastAsia="宋体" w:cs="宋体"/>
                <w:color w:val="000000"/>
                <w:sz w:val="24"/>
              </w:rPr>
            </w:pPr>
          </w:p>
        </w:tc>
        <w:tc>
          <w:tcPr>
            <w:tcW w:w="0" w:type="auto"/>
            <w:vAlign w:val="center"/>
          </w:tcPr>
          <w:p>
            <w:pPr>
              <w:adjustRightInd w:val="0"/>
              <w:snapToGrid w:val="0"/>
              <w:jc w:val="center"/>
              <w:rPr>
                <w:rFonts w:hint="eastAsia" w:ascii="宋体" w:hAnsi="宋体" w:eastAsia="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0" w:type="auto"/>
            <w:vAlign w:val="center"/>
          </w:tcPr>
          <w:p>
            <w:pPr>
              <w:adjustRightInd w:val="0"/>
              <w:snapToGrid w:val="0"/>
              <w:jc w:val="center"/>
              <w:rPr>
                <w:rFonts w:hint="eastAsia" w:ascii="宋体" w:hAnsi="宋体" w:eastAsia="宋体" w:cs="宋体"/>
                <w:color w:val="000000"/>
                <w:sz w:val="24"/>
              </w:rPr>
            </w:pPr>
          </w:p>
        </w:tc>
        <w:tc>
          <w:tcPr>
            <w:tcW w:w="0" w:type="auto"/>
            <w:vAlign w:val="center"/>
          </w:tcPr>
          <w:p>
            <w:pPr>
              <w:adjustRightInd w:val="0"/>
              <w:snapToGrid w:val="0"/>
              <w:jc w:val="center"/>
              <w:rPr>
                <w:rFonts w:hint="eastAsia" w:ascii="宋体" w:hAnsi="宋体" w:eastAsia="宋体" w:cs="宋体"/>
                <w:color w:val="000000"/>
                <w:sz w:val="24"/>
              </w:rPr>
            </w:pPr>
          </w:p>
        </w:tc>
        <w:tc>
          <w:tcPr>
            <w:tcW w:w="0" w:type="auto"/>
            <w:vAlign w:val="center"/>
          </w:tcPr>
          <w:p>
            <w:pPr>
              <w:adjustRightInd w:val="0"/>
              <w:snapToGrid w:val="0"/>
              <w:jc w:val="center"/>
              <w:rPr>
                <w:rFonts w:hint="eastAsia" w:ascii="宋体" w:hAnsi="宋体" w:eastAsia="宋体" w:cs="宋体"/>
                <w:color w:val="000000"/>
                <w:sz w:val="24"/>
              </w:rPr>
            </w:pPr>
          </w:p>
        </w:tc>
        <w:tc>
          <w:tcPr>
            <w:tcW w:w="0" w:type="auto"/>
            <w:vAlign w:val="center"/>
          </w:tcPr>
          <w:p>
            <w:pPr>
              <w:adjustRightInd w:val="0"/>
              <w:snapToGrid w:val="0"/>
              <w:jc w:val="center"/>
              <w:rPr>
                <w:rFonts w:hint="eastAsia" w:ascii="宋体" w:hAnsi="宋体" w:eastAsia="宋体" w:cs="宋体"/>
                <w:color w:val="000000"/>
                <w:sz w:val="24"/>
              </w:rPr>
            </w:pPr>
          </w:p>
        </w:tc>
        <w:tc>
          <w:tcPr>
            <w:tcW w:w="0" w:type="auto"/>
            <w:vAlign w:val="center"/>
          </w:tcPr>
          <w:p>
            <w:pPr>
              <w:adjustRightInd w:val="0"/>
              <w:snapToGrid w:val="0"/>
              <w:jc w:val="center"/>
              <w:rPr>
                <w:rFonts w:hint="eastAsia" w:ascii="宋体" w:hAnsi="宋体" w:eastAsia="宋体" w:cs="宋体"/>
                <w:color w:val="000000"/>
                <w:sz w:val="24"/>
              </w:rPr>
            </w:pPr>
          </w:p>
        </w:tc>
        <w:tc>
          <w:tcPr>
            <w:tcW w:w="0" w:type="auto"/>
            <w:vAlign w:val="center"/>
          </w:tcPr>
          <w:p>
            <w:pPr>
              <w:adjustRightInd w:val="0"/>
              <w:snapToGrid w:val="0"/>
              <w:jc w:val="center"/>
              <w:rPr>
                <w:rFonts w:hint="eastAsia" w:ascii="宋体" w:hAnsi="宋体" w:eastAsia="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0" w:type="auto"/>
            <w:vAlign w:val="center"/>
          </w:tcPr>
          <w:p>
            <w:pPr>
              <w:adjustRightInd w:val="0"/>
              <w:snapToGrid w:val="0"/>
              <w:jc w:val="center"/>
              <w:rPr>
                <w:rFonts w:hint="eastAsia" w:ascii="宋体" w:hAnsi="宋体" w:eastAsia="宋体" w:cs="宋体"/>
                <w:color w:val="000000"/>
                <w:sz w:val="24"/>
              </w:rPr>
            </w:pPr>
          </w:p>
        </w:tc>
        <w:tc>
          <w:tcPr>
            <w:tcW w:w="0" w:type="auto"/>
            <w:vAlign w:val="center"/>
          </w:tcPr>
          <w:p>
            <w:pPr>
              <w:adjustRightInd w:val="0"/>
              <w:snapToGrid w:val="0"/>
              <w:jc w:val="center"/>
              <w:rPr>
                <w:rFonts w:hint="eastAsia" w:ascii="宋体" w:hAnsi="宋体" w:eastAsia="宋体" w:cs="宋体"/>
                <w:color w:val="000000"/>
                <w:sz w:val="24"/>
              </w:rPr>
            </w:pPr>
          </w:p>
        </w:tc>
        <w:tc>
          <w:tcPr>
            <w:tcW w:w="0" w:type="auto"/>
            <w:vAlign w:val="center"/>
          </w:tcPr>
          <w:p>
            <w:pPr>
              <w:adjustRightInd w:val="0"/>
              <w:snapToGrid w:val="0"/>
              <w:jc w:val="center"/>
              <w:rPr>
                <w:rFonts w:hint="eastAsia" w:ascii="宋体" w:hAnsi="宋体" w:eastAsia="宋体" w:cs="宋体"/>
                <w:color w:val="000000"/>
                <w:sz w:val="24"/>
              </w:rPr>
            </w:pPr>
          </w:p>
        </w:tc>
        <w:tc>
          <w:tcPr>
            <w:tcW w:w="0" w:type="auto"/>
            <w:vAlign w:val="center"/>
          </w:tcPr>
          <w:p>
            <w:pPr>
              <w:adjustRightInd w:val="0"/>
              <w:snapToGrid w:val="0"/>
              <w:jc w:val="center"/>
              <w:rPr>
                <w:rFonts w:hint="eastAsia" w:ascii="宋体" w:hAnsi="宋体" w:eastAsia="宋体" w:cs="宋体"/>
                <w:color w:val="000000"/>
                <w:sz w:val="24"/>
              </w:rPr>
            </w:pPr>
          </w:p>
        </w:tc>
        <w:tc>
          <w:tcPr>
            <w:tcW w:w="0" w:type="auto"/>
            <w:vAlign w:val="center"/>
          </w:tcPr>
          <w:p>
            <w:pPr>
              <w:adjustRightInd w:val="0"/>
              <w:snapToGrid w:val="0"/>
              <w:jc w:val="center"/>
              <w:rPr>
                <w:rFonts w:hint="eastAsia" w:ascii="宋体" w:hAnsi="宋体" w:eastAsia="宋体" w:cs="宋体"/>
                <w:color w:val="000000"/>
                <w:sz w:val="24"/>
              </w:rPr>
            </w:pPr>
          </w:p>
        </w:tc>
        <w:tc>
          <w:tcPr>
            <w:tcW w:w="0" w:type="auto"/>
            <w:vAlign w:val="center"/>
          </w:tcPr>
          <w:p>
            <w:pPr>
              <w:adjustRightInd w:val="0"/>
              <w:snapToGrid w:val="0"/>
              <w:jc w:val="center"/>
              <w:rPr>
                <w:rFonts w:hint="eastAsia" w:ascii="宋体" w:hAnsi="宋体" w:eastAsia="宋体" w:cs="宋体"/>
                <w:color w:val="000000"/>
                <w:sz w:val="24"/>
              </w:rPr>
            </w:pPr>
          </w:p>
        </w:tc>
      </w:tr>
    </w:tbl>
    <w:p>
      <w:pPr>
        <w:tabs>
          <w:tab w:val="left" w:pos="1800"/>
          <w:tab w:val="left" w:pos="5580"/>
        </w:tabs>
        <w:jc w:val="left"/>
        <w:rPr>
          <w:rFonts w:hint="eastAsia" w:ascii="宋体" w:hAnsi="宋体" w:eastAsia="宋体" w:cs="宋体"/>
          <w:color w:val="000000"/>
          <w:sz w:val="24"/>
        </w:rPr>
      </w:pPr>
    </w:p>
    <w:p>
      <w:pPr>
        <w:tabs>
          <w:tab w:val="left" w:pos="1800"/>
          <w:tab w:val="left" w:pos="5580"/>
        </w:tabs>
        <w:jc w:val="left"/>
        <w:rPr>
          <w:rFonts w:hint="eastAsia" w:ascii="宋体" w:hAnsi="宋体" w:eastAsia="宋体" w:cs="宋体"/>
          <w:color w:val="000000"/>
          <w:sz w:val="24"/>
        </w:rPr>
      </w:pPr>
      <w:r>
        <w:rPr>
          <w:rFonts w:hint="eastAsia" w:ascii="宋体" w:hAnsi="宋体" w:eastAsia="宋体" w:cs="宋体"/>
          <w:color w:val="000000"/>
          <w:sz w:val="24"/>
        </w:rPr>
        <w:t>注：</w:t>
      </w:r>
      <w:r>
        <w:rPr>
          <w:rFonts w:hint="eastAsia" w:ascii="宋体" w:hAnsi="宋体" w:eastAsia="宋体" w:cs="宋体"/>
          <w:sz w:val="24"/>
        </w:rPr>
        <w:t>“偏离情况”列应</w:t>
      </w:r>
      <w:r>
        <w:rPr>
          <w:rFonts w:hint="eastAsia" w:ascii="宋体" w:hAnsi="宋体" w:eastAsia="宋体" w:cs="宋体"/>
          <w:color w:val="000000"/>
          <w:sz w:val="24"/>
        </w:rPr>
        <w:t>据实</w:t>
      </w:r>
      <w:r>
        <w:rPr>
          <w:rFonts w:hint="eastAsia" w:ascii="宋体" w:hAnsi="宋体" w:eastAsia="宋体" w:cs="宋体"/>
          <w:sz w:val="24"/>
        </w:rPr>
        <w:t>填写“正偏离”或“负偏离”。</w:t>
      </w:r>
    </w:p>
    <w:p>
      <w:pPr>
        <w:spacing w:line="360" w:lineRule="auto"/>
        <w:rPr>
          <w:rFonts w:hint="eastAsia" w:ascii="宋体" w:hAnsi="宋体" w:eastAsia="宋体" w:cs="宋体"/>
          <w:color w:val="000000"/>
          <w:sz w:val="24"/>
          <w:szCs w:val="20"/>
        </w:rPr>
      </w:pPr>
    </w:p>
    <w:p>
      <w:pPr>
        <w:autoSpaceDE w:val="0"/>
        <w:autoSpaceDN w:val="0"/>
        <w:adjustRightInd w:val="0"/>
        <w:snapToGrid w:val="0"/>
        <w:spacing w:before="25" w:after="25" w:line="360" w:lineRule="auto"/>
        <w:rPr>
          <w:rFonts w:hint="eastAsia" w:ascii="宋体" w:hAnsi="宋体" w:eastAsia="宋体" w:cs="宋体"/>
          <w:color w:val="000000"/>
          <w:sz w:val="24"/>
          <w:lang w:val="zh-CN"/>
        </w:rPr>
      </w:pPr>
      <w:r>
        <w:rPr>
          <w:rFonts w:hint="eastAsia" w:ascii="宋体" w:hAnsi="宋体" w:eastAsia="宋体" w:cs="宋体"/>
          <w:color w:val="000000"/>
          <w:sz w:val="24"/>
        </w:rPr>
        <w:t>供应商名称（加盖公章）</w:t>
      </w:r>
      <w:r>
        <w:rPr>
          <w:rFonts w:hint="eastAsia" w:ascii="宋体" w:hAnsi="宋体" w:eastAsia="宋体" w:cs="宋体"/>
          <w:color w:val="000000"/>
          <w:sz w:val="24"/>
          <w:lang w:val="zh-CN"/>
        </w:rPr>
        <w:t>：</w:t>
      </w:r>
      <w:r>
        <w:rPr>
          <w:rFonts w:hint="eastAsia" w:ascii="宋体" w:hAnsi="宋体" w:eastAsia="宋体" w:cs="宋体"/>
          <w:color w:val="000000"/>
          <w:sz w:val="24"/>
        </w:rPr>
        <w:t>_______________</w:t>
      </w:r>
    </w:p>
    <w:p>
      <w:pPr>
        <w:autoSpaceDE w:val="0"/>
        <w:autoSpaceDN w:val="0"/>
        <w:adjustRightInd w:val="0"/>
        <w:snapToGrid w:val="0"/>
        <w:spacing w:before="25" w:after="25" w:line="360" w:lineRule="auto"/>
        <w:rPr>
          <w:rFonts w:hint="eastAsia" w:ascii="宋体" w:hAnsi="宋体" w:eastAsia="宋体" w:cs="宋体"/>
          <w:color w:val="000000"/>
          <w:sz w:val="24"/>
          <w:lang w:val="zh-CN"/>
        </w:rPr>
      </w:pPr>
      <w:r>
        <w:rPr>
          <w:rFonts w:hint="eastAsia" w:ascii="宋体" w:hAnsi="宋体" w:eastAsia="宋体" w:cs="宋体"/>
          <w:color w:val="000000"/>
          <w:sz w:val="24"/>
          <w:szCs w:val="20"/>
        </w:rPr>
        <w:t xml:space="preserve">日期：____年____月____日    </w:t>
      </w:r>
    </w:p>
    <w:p>
      <w:pPr>
        <w:tabs>
          <w:tab w:val="left" w:pos="360"/>
        </w:tabs>
        <w:snapToGrid w:val="0"/>
        <w:spacing w:line="360" w:lineRule="auto"/>
        <w:outlineLvl w:val="1"/>
        <w:rPr>
          <w:rFonts w:hint="eastAsia" w:ascii="宋体" w:hAnsi="宋体" w:eastAsia="宋体" w:cs="宋体"/>
          <w:color w:val="000000"/>
          <w:sz w:val="24"/>
          <w:szCs w:val="20"/>
        </w:rPr>
      </w:pPr>
      <w:r>
        <w:rPr>
          <w:rFonts w:hint="eastAsia" w:ascii="宋体" w:hAnsi="宋体" w:eastAsia="宋体" w:cs="宋体"/>
          <w:color w:val="000000"/>
          <w:sz w:val="24"/>
          <w:szCs w:val="20"/>
        </w:rPr>
        <w:br w:type="page"/>
      </w:r>
      <w:r>
        <w:rPr>
          <w:rFonts w:hint="eastAsia" w:ascii="宋体" w:hAnsi="宋体" w:eastAsia="宋体" w:cs="宋体"/>
          <w:sz w:val="24"/>
        </w:rPr>
        <w:t xml:space="preserve">10  </w:t>
      </w:r>
      <w:bookmarkEnd w:id="737"/>
      <w:bookmarkEnd w:id="738"/>
      <w:bookmarkEnd w:id="739"/>
      <w:bookmarkEnd w:id="740"/>
      <w:bookmarkEnd w:id="741"/>
      <w:bookmarkEnd w:id="742"/>
      <w:bookmarkEnd w:id="743"/>
      <w:bookmarkEnd w:id="744"/>
      <w:bookmarkEnd w:id="745"/>
      <w:bookmarkEnd w:id="746"/>
      <w:bookmarkEnd w:id="747"/>
      <w:bookmarkEnd w:id="748"/>
      <w:bookmarkEnd w:id="749"/>
      <w:r>
        <w:rPr>
          <w:rFonts w:hint="eastAsia" w:ascii="宋体" w:hAnsi="宋体" w:eastAsia="宋体" w:cs="宋体"/>
          <w:sz w:val="24"/>
        </w:rPr>
        <w:t>采购需求偏离表</w:t>
      </w:r>
      <w:r>
        <w:rPr>
          <w:sz w:val="24"/>
        </w:rPr>
        <w:t>（实质性格式）</w:t>
      </w:r>
    </w:p>
    <w:p>
      <w:pPr>
        <w:autoSpaceDE w:val="0"/>
        <w:autoSpaceDN w:val="0"/>
        <w:adjustRightInd w:val="0"/>
        <w:spacing w:line="360" w:lineRule="auto"/>
        <w:jc w:val="center"/>
        <w:rPr>
          <w:rFonts w:hint="eastAsia" w:ascii="宋体" w:hAnsi="宋体" w:eastAsia="宋体" w:cs="宋体"/>
          <w:b/>
          <w:color w:val="000000"/>
          <w:sz w:val="36"/>
          <w:szCs w:val="36"/>
        </w:rPr>
      </w:pPr>
      <w:r>
        <w:rPr>
          <w:rFonts w:hint="eastAsia" w:ascii="宋体" w:hAnsi="宋体" w:eastAsia="宋体" w:cs="宋体"/>
          <w:b/>
          <w:color w:val="000000"/>
          <w:sz w:val="36"/>
          <w:szCs w:val="36"/>
        </w:rPr>
        <w:t>采购需求偏离表</w:t>
      </w:r>
    </w:p>
    <w:p>
      <w:pPr>
        <w:tabs>
          <w:tab w:val="left" w:pos="1800"/>
          <w:tab w:val="left" w:pos="5580"/>
        </w:tabs>
        <w:spacing w:line="360" w:lineRule="auto"/>
        <w:ind w:left="-199" w:leftChars="-95" w:firstLine="0" w:firstLineChars="0"/>
        <w:jc w:val="left"/>
        <w:rPr>
          <w:rFonts w:hint="eastAsia" w:ascii="宋体" w:hAnsi="宋体" w:eastAsia="宋体" w:cs="宋体"/>
          <w:color w:val="000000"/>
          <w:sz w:val="24"/>
        </w:rPr>
      </w:pPr>
      <w:r>
        <w:rPr>
          <w:rFonts w:hint="eastAsia" w:ascii="宋体" w:hAnsi="宋体" w:eastAsia="宋体" w:cs="宋体"/>
          <w:color w:val="000000"/>
          <w:sz w:val="24"/>
        </w:rPr>
        <w:t xml:space="preserve">项目编号：_______________     </w:t>
      </w:r>
      <w:r>
        <w:rPr>
          <w:rFonts w:hint="eastAsia" w:ascii="宋体" w:hAnsi="宋体" w:cs="宋体"/>
          <w:color w:val="000000"/>
          <w:sz w:val="24"/>
          <w:lang w:val="en-US" w:eastAsia="zh-CN"/>
        </w:rPr>
        <w:t xml:space="preserve">        </w:t>
      </w:r>
      <w:r>
        <w:rPr>
          <w:rFonts w:hint="eastAsia" w:ascii="宋体" w:hAnsi="宋体" w:eastAsia="宋体" w:cs="宋体"/>
          <w:color w:val="000000"/>
          <w:sz w:val="24"/>
        </w:rPr>
        <w:t>项目名称：_______________</w:t>
      </w:r>
    </w:p>
    <w:tbl>
      <w:tblPr>
        <w:tblStyle w:val="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3"/>
        <w:gridCol w:w="3075"/>
        <w:gridCol w:w="2194"/>
        <w:gridCol w:w="1108"/>
        <w:gridCol w:w="1565"/>
        <w:gridCol w:w="6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0" w:type="auto"/>
            <w:vAlign w:val="center"/>
          </w:tcPr>
          <w:p>
            <w:pPr>
              <w:adjustRightInd w:val="0"/>
              <w:snapToGrid w:val="0"/>
              <w:jc w:val="center"/>
              <w:rPr>
                <w:rFonts w:hint="eastAsia" w:ascii="宋体" w:hAnsi="宋体" w:eastAsia="宋体" w:cs="宋体"/>
                <w:color w:val="000000"/>
                <w:sz w:val="24"/>
              </w:rPr>
            </w:pPr>
            <w:r>
              <w:rPr>
                <w:rFonts w:hint="eastAsia" w:ascii="宋体" w:hAnsi="宋体" w:eastAsia="宋体" w:cs="宋体"/>
                <w:color w:val="000000"/>
                <w:sz w:val="24"/>
              </w:rPr>
              <w:t>序号</w:t>
            </w:r>
          </w:p>
        </w:tc>
        <w:tc>
          <w:tcPr>
            <w:tcW w:w="0" w:type="auto"/>
            <w:vAlign w:val="center"/>
          </w:tcPr>
          <w:p>
            <w:pPr>
              <w:adjustRightInd w:val="0"/>
              <w:snapToGrid w:val="0"/>
              <w:jc w:val="center"/>
              <w:rPr>
                <w:rFonts w:hint="eastAsia" w:ascii="宋体" w:hAnsi="宋体" w:eastAsia="宋体" w:cs="宋体"/>
                <w:color w:val="000000"/>
                <w:sz w:val="24"/>
              </w:rPr>
            </w:pPr>
            <w:r>
              <w:rPr>
                <w:rFonts w:hint="eastAsia" w:ascii="宋体" w:hAnsi="宋体" w:eastAsia="宋体" w:cs="宋体"/>
                <w:color w:val="000000"/>
                <w:sz w:val="24"/>
              </w:rPr>
              <w:t>竞争性磋商文件条目号(页码)</w:t>
            </w:r>
          </w:p>
        </w:tc>
        <w:tc>
          <w:tcPr>
            <w:tcW w:w="0" w:type="auto"/>
            <w:vAlign w:val="center"/>
          </w:tcPr>
          <w:p>
            <w:pPr>
              <w:adjustRightInd w:val="0"/>
              <w:snapToGrid w:val="0"/>
              <w:jc w:val="center"/>
              <w:rPr>
                <w:rFonts w:hint="eastAsia" w:ascii="宋体" w:hAnsi="宋体" w:eastAsia="宋体" w:cs="宋体"/>
                <w:color w:val="000000"/>
                <w:sz w:val="24"/>
              </w:rPr>
            </w:pPr>
            <w:r>
              <w:rPr>
                <w:rFonts w:hint="eastAsia" w:ascii="宋体" w:hAnsi="宋体" w:eastAsia="宋体" w:cs="宋体"/>
                <w:color w:val="000000"/>
                <w:sz w:val="24"/>
              </w:rPr>
              <w:t>竞争性磋商文件要求</w:t>
            </w:r>
          </w:p>
        </w:tc>
        <w:tc>
          <w:tcPr>
            <w:tcW w:w="0" w:type="auto"/>
            <w:vAlign w:val="center"/>
          </w:tcPr>
          <w:p>
            <w:pPr>
              <w:adjustRightInd w:val="0"/>
              <w:snapToGrid w:val="0"/>
              <w:jc w:val="center"/>
              <w:rPr>
                <w:rFonts w:hint="eastAsia" w:ascii="宋体" w:hAnsi="宋体" w:eastAsia="宋体" w:cs="宋体"/>
                <w:color w:val="000000"/>
                <w:sz w:val="24"/>
              </w:rPr>
            </w:pPr>
            <w:r>
              <w:rPr>
                <w:rFonts w:hint="eastAsia" w:ascii="宋体" w:hAnsi="宋体" w:eastAsia="宋体" w:cs="宋体"/>
                <w:color w:val="000000"/>
                <w:sz w:val="24"/>
              </w:rPr>
              <w:t>响应内容</w:t>
            </w:r>
          </w:p>
        </w:tc>
        <w:tc>
          <w:tcPr>
            <w:tcW w:w="0" w:type="auto"/>
            <w:vAlign w:val="center"/>
          </w:tcPr>
          <w:p>
            <w:pPr>
              <w:adjustRightInd w:val="0"/>
              <w:snapToGrid w:val="0"/>
              <w:jc w:val="center"/>
              <w:rPr>
                <w:rFonts w:hint="eastAsia" w:ascii="宋体" w:hAnsi="宋体" w:eastAsia="宋体" w:cs="宋体"/>
                <w:color w:val="000000"/>
                <w:sz w:val="24"/>
              </w:rPr>
            </w:pPr>
            <w:r>
              <w:rPr>
                <w:rFonts w:hint="eastAsia" w:ascii="宋体" w:hAnsi="宋体" w:eastAsia="宋体" w:cs="宋体"/>
                <w:color w:val="000000"/>
                <w:sz w:val="24"/>
              </w:rPr>
              <w:t>偏离情况</w:t>
            </w:r>
          </w:p>
          <w:p>
            <w:pPr>
              <w:adjustRightInd w:val="0"/>
              <w:snapToGrid w:val="0"/>
              <w:jc w:val="center"/>
              <w:rPr>
                <w:rFonts w:hint="eastAsia" w:ascii="宋体" w:hAnsi="宋体" w:eastAsia="宋体" w:cs="宋体"/>
                <w:color w:val="000000"/>
                <w:sz w:val="24"/>
              </w:rPr>
            </w:pPr>
            <w:r>
              <w:rPr>
                <w:rFonts w:hint="eastAsia" w:ascii="宋体" w:hAnsi="宋体" w:eastAsia="宋体" w:cs="宋体"/>
                <w:color w:val="000000"/>
                <w:sz w:val="24"/>
                <w:szCs w:val="21"/>
              </w:rPr>
              <w:t>（据实填写）</w:t>
            </w:r>
          </w:p>
        </w:tc>
        <w:tc>
          <w:tcPr>
            <w:tcW w:w="0" w:type="auto"/>
            <w:vAlign w:val="center"/>
          </w:tcPr>
          <w:p>
            <w:pPr>
              <w:adjustRightInd w:val="0"/>
              <w:snapToGrid w:val="0"/>
              <w:jc w:val="center"/>
              <w:rPr>
                <w:rFonts w:hint="eastAsia" w:ascii="宋体" w:hAnsi="宋体" w:eastAsia="宋体" w:cs="宋体"/>
                <w:color w:val="000000"/>
                <w:sz w:val="24"/>
              </w:rPr>
            </w:pPr>
            <w:r>
              <w:rPr>
                <w:rFonts w:hint="eastAsia" w:ascii="宋体" w:hAnsi="宋体" w:eastAsia="宋体" w:cs="宋体"/>
                <w:color w:val="000000"/>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0" w:type="auto"/>
            <w:vAlign w:val="center"/>
          </w:tcPr>
          <w:p>
            <w:pPr>
              <w:adjustRightInd w:val="0"/>
              <w:snapToGrid w:val="0"/>
              <w:jc w:val="center"/>
              <w:rPr>
                <w:rFonts w:hint="eastAsia" w:ascii="宋体" w:hAnsi="宋体" w:eastAsia="宋体" w:cs="宋体"/>
                <w:color w:val="000000"/>
                <w:sz w:val="24"/>
              </w:rPr>
            </w:pPr>
          </w:p>
        </w:tc>
        <w:tc>
          <w:tcPr>
            <w:tcW w:w="0" w:type="auto"/>
            <w:vAlign w:val="center"/>
          </w:tcPr>
          <w:p>
            <w:pPr>
              <w:adjustRightInd w:val="0"/>
              <w:snapToGrid w:val="0"/>
              <w:jc w:val="center"/>
              <w:rPr>
                <w:rFonts w:hint="eastAsia" w:ascii="宋体" w:hAnsi="宋体" w:eastAsia="宋体" w:cs="宋体"/>
                <w:color w:val="000000"/>
                <w:sz w:val="24"/>
              </w:rPr>
            </w:pPr>
          </w:p>
        </w:tc>
        <w:tc>
          <w:tcPr>
            <w:tcW w:w="0" w:type="auto"/>
            <w:vAlign w:val="center"/>
          </w:tcPr>
          <w:p>
            <w:pPr>
              <w:adjustRightInd w:val="0"/>
              <w:snapToGrid w:val="0"/>
              <w:jc w:val="center"/>
              <w:rPr>
                <w:rFonts w:hint="eastAsia" w:ascii="宋体" w:hAnsi="宋体" w:eastAsia="宋体" w:cs="宋体"/>
                <w:color w:val="000000"/>
                <w:sz w:val="24"/>
              </w:rPr>
            </w:pPr>
          </w:p>
        </w:tc>
        <w:tc>
          <w:tcPr>
            <w:tcW w:w="0" w:type="auto"/>
            <w:vAlign w:val="center"/>
          </w:tcPr>
          <w:p>
            <w:pPr>
              <w:adjustRightInd w:val="0"/>
              <w:snapToGrid w:val="0"/>
              <w:jc w:val="center"/>
              <w:rPr>
                <w:rFonts w:hint="eastAsia" w:ascii="宋体" w:hAnsi="宋体" w:eastAsia="宋体" w:cs="宋体"/>
                <w:color w:val="000000"/>
                <w:sz w:val="24"/>
              </w:rPr>
            </w:pPr>
          </w:p>
        </w:tc>
        <w:tc>
          <w:tcPr>
            <w:tcW w:w="0" w:type="auto"/>
            <w:vAlign w:val="center"/>
          </w:tcPr>
          <w:p>
            <w:pPr>
              <w:adjustRightInd w:val="0"/>
              <w:snapToGrid w:val="0"/>
              <w:jc w:val="center"/>
              <w:rPr>
                <w:rFonts w:hint="eastAsia" w:ascii="宋体" w:hAnsi="宋体" w:eastAsia="宋体" w:cs="宋体"/>
                <w:color w:val="000000"/>
                <w:sz w:val="24"/>
              </w:rPr>
            </w:pPr>
          </w:p>
        </w:tc>
        <w:tc>
          <w:tcPr>
            <w:tcW w:w="0" w:type="auto"/>
            <w:vAlign w:val="center"/>
          </w:tcPr>
          <w:p>
            <w:pPr>
              <w:adjustRightInd w:val="0"/>
              <w:snapToGrid w:val="0"/>
              <w:jc w:val="center"/>
              <w:rPr>
                <w:rFonts w:hint="eastAsia" w:ascii="宋体" w:hAnsi="宋体" w:eastAsia="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0" w:type="auto"/>
            <w:vAlign w:val="center"/>
          </w:tcPr>
          <w:p>
            <w:pPr>
              <w:adjustRightInd w:val="0"/>
              <w:snapToGrid w:val="0"/>
              <w:jc w:val="center"/>
              <w:rPr>
                <w:rFonts w:hint="eastAsia" w:ascii="宋体" w:hAnsi="宋体" w:eastAsia="宋体" w:cs="宋体"/>
                <w:color w:val="000000"/>
                <w:sz w:val="24"/>
              </w:rPr>
            </w:pPr>
          </w:p>
        </w:tc>
        <w:tc>
          <w:tcPr>
            <w:tcW w:w="0" w:type="auto"/>
            <w:vAlign w:val="center"/>
          </w:tcPr>
          <w:p>
            <w:pPr>
              <w:adjustRightInd w:val="0"/>
              <w:snapToGrid w:val="0"/>
              <w:jc w:val="center"/>
              <w:rPr>
                <w:rFonts w:hint="eastAsia" w:ascii="宋体" w:hAnsi="宋体" w:eastAsia="宋体" w:cs="宋体"/>
                <w:color w:val="000000"/>
                <w:sz w:val="24"/>
              </w:rPr>
            </w:pPr>
          </w:p>
        </w:tc>
        <w:tc>
          <w:tcPr>
            <w:tcW w:w="0" w:type="auto"/>
            <w:vAlign w:val="center"/>
          </w:tcPr>
          <w:p>
            <w:pPr>
              <w:adjustRightInd w:val="0"/>
              <w:snapToGrid w:val="0"/>
              <w:jc w:val="center"/>
              <w:rPr>
                <w:rFonts w:hint="eastAsia" w:ascii="宋体" w:hAnsi="宋体" w:eastAsia="宋体" w:cs="宋体"/>
                <w:color w:val="000000"/>
                <w:sz w:val="24"/>
              </w:rPr>
            </w:pPr>
          </w:p>
        </w:tc>
        <w:tc>
          <w:tcPr>
            <w:tcW w:w="0" w:type="auto"/>
            <w:vAlign w:val="center"/>
          </w:tcPr>
          <w:p>
            <w:pPr>
              <w:adjustRightInd w:val="0"/>
              <w:snapToGrid w:val="0"/>
              <w:jc w:val="center"/>
              <w:rPr>
                <w:rFonts w:hint="eastAsia" w:ascii="宋体" w:hAnsi="宋体" w:eastAsia="宋体" w:cs="宋体"/>
                <w:color w:val="000000"/>
                <w:sz w:val="24"/>
              </w:rPr>
            </w:pPr>
          </w:p>
        </w:tc>
        <w:tc>
          <w:tcPr>
            <w:tcW w:w="0" w:type="auto"/>
            <w:vAlign w:val="center"/>
          </w:tcPr>
          <w:p>
            <w:pPr>
              <w:adjustRightInd w:val="0"/>
              <w:snapToGrid w:val="0"/>
              <w:jc w:val="center"/>
              <w:rPr>
                <w:rFonts w:hint="eastAsia" w:ascii="宋体" w:hAnsi="宋体" w:eastAsia="宋体" w:cs="宋体"/>
                <w:color w:val="000000"/>
                <w:sz w:val="24"/>
              </w:rPr>
            </w:pPr>
          </w:p>
        </w:tc>
        <w:tc>
          <w:tcPr>
            <w:tcW w:w="0" w:type="auto"/>
            <w:vAlign w:val="center"/>
          </w:tcPr>
          <w:p>
            <w:pPr>
              <w:adjustRightInd w:val="0"/>
              <w:snapToGrid w:val="0"/>
              <w:jc w:val="center"/>
              <w:rPr>
                <w:rFonts w:hint="eastAsia" w:ascii="宋体" w:hAnsi="宋体" w:eastAsia="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0" w:type="auto"/>
            <w:vAlign w:val="center"/>
          </w:tcPr>
          <w:p>
            <w:pPr>
              <w:adjustRightInd w:val="0"/>
              <w:snapToGrid w:val="0"/>
              <w:jc w:val="center"/>
              <w:rPr>
                <w:rFonts w:hint="eastAsia" w:ascii="宋体" w:hAnsi="宋体" w:eastAsia="宋体" w:cs="宋体"/>
                <w:color w:val="000000"/>
                <w:sz w:val="24"/>
              </w:rPr>
            </w:pPr>
          </w:p>
        </w:tc>
        <w:tc>
          <w:tcPr>
            <w:tcW w:w="0" w:type="auto"/>
            <w:vAlign w:val="center"/>
          </w:tcPr>
          <w:p>
            <w:pPr>
              <w:adjustRightInd w:val="0"/>
              <w:snapToGrid w:val="0"/>
              <w:jc w:val="center"/>
              <w:rPr>
                <w:rFonts w:hint="eastAsia" w:ascii="宋体" w:hAnsi="宋体" w:eastAsia="宋体" w:cs="宋体"/>
                <w:color w:val="000000"/>
                <w:sz w:val="24"/>
              </w:rPr>
            </w:pPr>
          </w:p>
        </w:tc>
        <w:tc>
          <w:tcPr>
            <w:tcW w:w="0" w:type="auto"/>
            <w:vAlign w:val="center"/>
          </w:tcPr>
          <w:p>
            <w:pPr>
              <w:adjustRightInd w:val="0"/>
              <w:snapToGrid w:val="0"/>
              <w:jc w:val="center"/>
              <w:rPr>
                <w:rFonts w:hint="eastAsia" w:ascii="宋体" w:hAnsi="宋体" w:eastAsia="宋体" w:cs="宋体"/>
                <w:color w:val="000000"/>
                <w:sz w:val="24"/>
              </w:rPr>
            </w:pPr>
          </w:p>
        </w:tc>
        <w:tc>
          <w:tcPr>
            <w:tcW w:w="0" w:type="auto"/>
            <w:vAlign w:val="center"/>
          </w:tcPr>
          <w:p>
            <w:pPr>
              <w:adjustRightInd w:val="0"/>
              <w:snapToGrid w:val="0"/>
              <w:jc w:val="center"/>
              <w:rPr>
                <w:rFonts w:hint="eastAsia" w:ascii="宋体" w:hAnsi="宋体" w:eastAsia="宋体" w:cs="宋体"/>
                <w:color w:val="000000"/>
                <w:sz w:val="24"/>
              </w:rPr>
            </w:pPr>
          </w:p>
        </w:tc>
        <w:tc>
          <w:tcPr>
            <w:tcW w:w="0" w:type="auto"/>
            <w:vAlign w:val="center"/>
          </w:tcPr>
          <w:p>
            <w:pPr>
              <w:adjustRightInd w:val="0"/>
              <w:snapToGrid w:val="0"/>
              <w:jc w:val="center"/>
              <w:rPr>
                <w:rFonts w:hint="eastAsia" w:ascii="宋体" w:hAnsi="宋体" w:eastAsia="宋体" w:cs="宋体"/>
                <w:color w:val="000000"/>
                <w:sz w:val="24"/>
              </w:rPr>
            </w:pPr>
          </w:p>
        </w:tc>
        <w:tc>
          <w:tcPr>
            <w:tcW w:w="0" w:type="auto"/>
            <w:vAlign w:val="center"/>
          </w:tcPr>
          <w:p>
            <w:pPr>
              <w:adjustRightInd w:val="0"/>
              <w:snapToGrid w:val="0"/>
              <w:jc w:val="center"/>
              <w:rPr>
                <w:rFonts w:hint="eastAsia" w:ascii="宋体" w:hAnsi="宋体" w:eastAsia="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0" w:type="auto"/>
            <w:vAlign w:val="center"/>
          </w:tcPr>
          <w:p>
            <w:pPr>
              <w:adjustRightInd w:val="0"/>
              <w:snapToGrid w:val="0"/>
              <w:jc w:val="center"/>
              <w:rPr>
                <w:rFonts w:hint="eastAsia" w:ascii="宋体" w:hAnsi="宋体" w:eastAsia="宋体" w:cs="宋体"/>
                <w:color w:val="000000"/>
                <w:sz w:val="24"/>
              </w:rPr>
            </w:pPr>
          </w:p>
        </w:tc>
        <w:tc>
          <w:tcPr>
            <w:tcW w:w="0" w:type="auto"/>
            <w:vAlign w:val="center"/>
          </w:tcPr>
          <w:p>
            <w:pPr>
              <w:adjustRightInd w:val="0"/>
              <w:snapToGrid w:val="0"/>
              <w:jc w:val="center"/>
              <w:rPr>
                <w:rFonts w:hint="eastAsia" w:ascii="宋体" w:hAnsi="宋体" w:eastAsia="宋体" w:cs="宋体"/>
                <w:color w:val="000000"/>
                <w:sz w:val="24"/>
              </w:rPr>
            </w:pPr>
          </w:p>
        </w:tc>
        <w:tc>
          <w:tcPr>
            <w:tcW w:w="0" w:type="auto"/>
            <w:vAlign w:val="center"/>
          </w:tcPr>
          <w:p>
            <w:pPr>
              <w:adjustRightInd w:val="0"/>
              <w:snapToGrid w:val="0"/>
              <w:jc w:val="center"/>
              <w:rPr>
                <w:rFonts w:hint="eastAsia" w:ascii="宋体" w:hAnsi="宋体" w:eastAsia="宋体" w:cs="宋体"/>
                <w:color w:val="000000"/>
                <w:sz w:val="24"/>
              </w:rPr>
            </w:pPr>
          </w:p>
        </w:tc>
        <w:tc>
          <w:tcPr>
            <w:tcW w:w="0" w:type="auto"/>
            <w:vAlign w:val="center"/>
          </w:tcPr>
          <w:p>
            <w:pPr>
              <w:adjustRightInd w:val="0"/>
              <w:snapToGrid w:val="0"/>
              <w:jc w:val="center"/>
              <w:rPr>
                <w:rFonts w:hint="eastAsia" w:ascii="宋体" w:hAnsi="宋体" w:eastAsia="宋体" w:cs="宋体"/>
                <w:color w:val="000000"/>
                <w:sz w:val="24"/>
              </w:rPr>
            </w:pPr>
          </w:p>
        </w:tc>
        <w:tc>
          <w:tcPr>
            <w:tcW w:w="0" w:type="auto"/>
            <w:vAlign w:val="center"/>
          </w:tcPr>
          <w:p>
            <w:pPr>
              <w:adjustRightInd w:val="0"/>
              <w:snapToGrid w:val="0"/>
              <w:jc w:val="center"/>
              <w:rPr>
                <w:rFonts w:hint="eastAsia" w:ascii="宋体" w:hAnsi="宋体" w:eastAsia="宋体" w:cs="宋体"/>
                <w:color w:val="000000"/>
                <w:sz w:val="24"/>
              </w:rPr>
            </w:pPr>
          </w:p>
        </w:tc>
        <w:tc>
          <w:tcPr>
            <w:tcW w:w="0" w:type="auto"/>
            <w:vAlign w:val="center"/>
          </w:tcPr>
          <w:p>
            <w:pPr>
              <w:adjustRightInd w:val="0"/>
              <w:snapToGrid w:val="0"/>
              <w:jc w:val="center"/>
              <w:rPr>
                <w:rFonts w:hint="eastAsia" w:ascii="宋体" w:hAnsi="宋体" w:eastAsia="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0" w:type="auto"/>
            <w:vAlign w:val="center"/>
          </w:tcPr>
          <w:p>
            <w:pPr>
              <w:adjustRightInd w:val="0"/>
              <w:snapToGrid w:val="0"/>
              <w:jc w:val="center"/>
              <w:rPr>
                <w:rFonts w:hint="eastAsia" w:ascii="宋体" w:hAnsi="宋体" w:eastAsia="宋体" w:cs="宋体"/>
                <w:color w:val="000000"/>
                <w:sz w:val="24"/>
              </w:rPr>
            </w:pPr>
          </w:p>
        </w:tc>
        <w:tc>
          <w:tcPr>
            <w:tcW w:w="0" w:type="auto"/>
            <w:vAlign w:val="center"/>
          </w:tcPr>
          <w:p>
            <w:pPr>
              <w:adjustRightInd w:val="0"/>
              <w:snapToGrid w:val="0"/>
              <w:jc w:val="center"/>
              <w:rPr>
                <w:rFonts w:hint="eastAsia" w:ascii="宋体" w:hAnsi="宋体" w:eastAsia="宋体" w:cs="宋体"/>
                <w:color w:val="000000"/>
                <w:sz w:val="24"/>
              </w:rPr>
            </w:pPr>
          </w:p>
        </w:tc>
        <w:tc>
          <w:tcPr>
            <w:tcW w:w="0" w:type="auto"/>
            <w:vAlign w:val="center"/>
          </w:tcPr>
          <w:p>
            <w:pPr>
              <w:adjustRightInd w:val="0"/>
              <w:snapToGrid w:val="0"/>
              <w:jc w:val="center"/>
              <w:rPr>
                <w:rFonts w:hint="eastAsia" w:ascii="宋体" w:hAnsi="宋体" w:eastAsia="宋体" w:cs="宋体"/>
                <w:color w:val="000000"/>
                <w:sz w:val="24"/>
              </w:rPr>
            </w:pPr>
          </w:p>
        </w:tc>
        <w:tc>
          <w:tcPr>
            <w:tcW w:w="0" w:type="auto"/>
            <w:vAlign w:val="center"/>
          </w:tcPr>
          <w:p>
            <w:pPr>
              <w:adjustRightInd w:val="0"/>
              <w:snapToGrid w:val="0"/>
              <w:jc w:val="center"/>
              <w:rPr>
                <w:rFonts w:hint="eastAsia" w:ascii="宋体" w:hAnsi="宋体" w:eastAsia="宋体" w:cs="宋体"/>
                <w:color w:val="000000"/>
                <w:sz w:val="24"/>
              </w:rPr>
            </w:pPr>
          </w:p>
        </w:tc>
        <w:tc>
          <w:tcPr>
            <w:tcW w:w="0" w:type="auto"/>
            <w:vAlign w:val="center"/>
          </w:tcPr>
          <w:p>
            <w:pPr>
              <w:adjustRightInd w:val="0"/>
              <w:snapToGrid w:val="0"/>
              <w:jc w:val="center"/>
              <w:rPr>
                <w:rFonts w:hint="eastAsia" w:ascii="宋体" w:hAnsi="宋体" w:eastAsia="宋体" w:cs="宋体"/>
                <w:color w:val="000000"/>
                <w:sz w:val="24"/>
              </w:rPr>
            </w:pPr>
          </w:p>
        </w:tc>
        <w:tc>
          <w:tcPr>
            <w:tcW w:w="0" w:type="auto"/>
            <w:vAlign w:val="center"/>
          </w:tcPr>
          <w:p>
            <w:pPr>
              <w:adjustRightInd w:val="0"/>
              <w:snapToGrid w:val="0"/>
              <w:jc w:val="center"/>
              <w:rPr>
                <w:rFonts w:hint="eastAsia" w:ascii="宋体" w:hAnsi="宋体" w:eastAsia="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0" w:type="auto"/>
            <w:vAlign w:val="center"/>
          </w:tcPr>
          <w:p>
            <w:pPr>
              <w:adjustRightInd w:val="0"/>
              <w:snapToGrid w:val="0"/>
              <w:jc w:val="center"/>
              <w:rPr>
                <w:rFonts w:hint="eastAsia" w:ascii="宋体" w:hAnsi="宋体" w:eastAsia="宋体" w:cs="宋体"/>
                <w:color w:val="000000"/>
                <w:sz w:val="24"/>
              </w:rPr>
            </w:pPr>
          </w:p>
        </w:tc>
        <w:tc>
          <w:tcPr>
            <w:tcW w:w="0" w:type="auto"/>
            <w:vAlign w:val="center"/>
          </w:tcPr>
          <w:p>
            <w:pPr>
              <w:adjustRightInd w:val="0"/>
              <w:snapToGrid w:val="0"/>
              <w:jc w:val="center"/>
              <w:rPr>
                <w:rFonts w:hint="eastAsia" w:ascii="宋体" w:hAnsi="宋体" w:eastAsia="宋体" w:cs="宋体"/>
                <w:color w:val="000000"/>
                <w:sz w:val="24"/>
              </w:rPr>
            </w:pPr>
          </w:p>
        </w:tc>
        <w:tc>
          <w:tcPr>
            <w:tcW w:w="0" w:type="auto"/>
            <w:vAlign w:val="center"/>
          </w:tcPr>
          <w:p>
            <w:pPr>
              <w:adjustRightInd w:val="0"/>
              <w:snapToGrid w:val="0"/>
              <w:jc w:val="center"/>
              <w:rPr>
                <w:rFonts w:hint="eastAsia" w:ascii="宋体" w:hAnsi="宋体" w:eastAsia="宋体" w:cs="宋体"/>
                <w:color w:val="000000"/>
                <w:sz w:val="24"/>
              </w:rPr>
            </w:pPr>
          </w:p>
        </w:tc>
        <w:tc>
          <w:tcPr>
            <w:tcW w:w="0" w:type="auto"/>
            <w:vAlign w:val="center"/>
          </w:tcPr>
          <w:p>
            <w:pPr>
              <w:adjustRightInd w:val="0"/>
              <w:snapToGrid w:val="0"/>
              <w:jc w:val="center"/>
              <w:rPr>
                <w:rFonts w:hint="eastAsia" w:ascii="宋体" w:hAnsi="宋体" w:eastAsia="宋体" w:cs="宋体"/>
                <w:color w:val="000000"/>
                <w:sz w:val="24"/>
              </w:rPr>
            </w:pPr>
          </w:p>
        </w:tc>
        <w:tc>
          <w:tcPr>
            <w:tcW w:w="0" w:type="auto"/>
            <w:vAlign w:val="center"/>
          </w:tcPr>
          <w:p>
            <w:pPr>
              <w:adjustRightInd w:val="0"/>
              <w:snapToGrid w:val="0"/>
              <w:jc w:val="center"/>
              <w:rPr>
                <w:rFonts w:hint="eastAsia" w:ascii="宋体" w:hAnsi="宋体" w:eastAsia="宋体" w:cs="宋体"/>
                <w:color w:val="000000"/>
                <w:sz w:val="24"/>
              </w:rPr>
            </w:pPr>
          </w:p>
        </w:tc>
        <w:tc>
          <w:tcPr>
            <w:tcW w:w="0" w:type="auto"/>
            <w:vAlign w:val="center"/>
          </w:tcPr>
          <w:p>
            <w:pPr>
              <w:adjustRightInd w:val="0"/>
              <w:snapToGrid w:val="0"/>
              <w:jc w:val="center"/>
              <w:rPr>
                <w:rFonts w:hint="eastAsia" w:ascii="宋体" w:hAnsi="宋体" w:eastAsia="宋体" w:cs="宋体"/>
                <w:color w:val="000000"/>
                <w:sz w:val="24"/>
              </w:rPr>
            </w:pPr>
          </w:p>
        </w:tc>
      </w:tr>
    </w:tbl>
    <w:p>
      <w:pPr>
        <w:tabs>
          <w:tab w:val="left" w:pos="1800"/>
          <w:tab w:val="left" w:pos="5580"/>
        </w:tabs>
        <w:jc w:val="left"/>
        <w:rPr>
          <w:rFonts w:hint="eastAsia" w:ascii="宋体" w:hAnsi="宋体" w:eastAsia="宋体" w:cs="宋体"/>
          <w:color w:val="000000"/>
          <w:sz w:val="24"/>
        </w:rPr>
      </w:pPr>
    </w:p>
    <w:p>
      <w:pPr>
        <w:tabs>
          <w:tab w:val="left" w:pos="1800"/>
          <w:tab w:val="left" w:pos="5580"/>
        </w:tabs>
        <w:spacing w:line="360" w:lineRule="auto"/>
        <w:jc w:val="left"/>
        <w:rPr>
          <w:rFonts w:hint="eastAsia" w:ascii="宋体" w:hAnsi="宋体" w:eastAsia="宋体" w:cs="宋体"/>
          <w:color w:val="000000"/>
          <w:sz w:val="24"/>
        </w:rPr>
      </w:pPr>
      <w:r>
        <w:rPr>
          <w:rFonts w:hint="eastAsia" w:ascii="宋体" w:hAnsi="宋体" w:eastAsia="宋体" w:cs="宋体"/>
          <w:color w:val="000000"/>
          <w:sz w:val="24"/>
        </w:rPr>
        <w:t>注：</w:t>
      </w:r>
    </w:p>
    <w:p>
      <w:pPr>
        <w:tabs>
          <w:tab w:val="left" w:pos="1800"/>
          <w:tab w:val="left" w:pos="5580"/>
        </w:tabs>
        <w:spacing w:line="360" w:lineRule="auto"/>
        <w:ind w:right="-506" w:rightChars="-241"/>
        <w:jc w:val="left"/>
        <w:rPr>
          <w:rFonts w:hint="eastAsia" w:ascii="宋体" w:hAnsi="宋体" w:eastAsia="宋体" w:cs="宋体"/>
          <w:sz w:val="24"/>
        </w:rPr>
      </w:pPr>
      <w:r>
        <w:rPr>
          <w:rFonts w:hint="eastAsia" w:ascii="宋体" w:hAnsi="宋体" w:eastAsia="宋体" w:cs="宋体"/>
          <w:color w:val="000000"/>
          <w:sz w:val="24"/>
        </w:rPr>
        <w:t>1.</w:t>
      </w:r>
      <w:r>
        <w:rPr>
          <w:rFonts w:hint="eastAsia" w:ascii="宋体" w:hAnsi="宋体" w:eastAsia="宋体" w:cs="宋体"/>
          <w:sz w:val="24"/>
        </w:rPr>
        <w:t>对竞争性磋商文件中的所有商务、技术要求，除本表所列明的所有偏离外，均视作供应商已对之理解和响应。此表中若无任何文字说明，内容为空白的</w:t>
      </w:r>
      <w:r>
        <w:rPr>
          <w:rFonts w:hint="eastAsia" w:ascii="宋体" w:hAnsi="宋体" w:eastAsia="宋体" w:cs="宋体"/>
          <w:b/>
          <w:sz w:val="24"/>
        </w:rPr>
        <w:t>响应无效</w:t>
      </w:r>
      <w:r>
        <w:rPr>
          <w:rFonts w:hint="eastAsia" w:ascii="宋体" w:hAnsi="宋体" w:eastAsia="宋体" w:cs="宋体"/>
          <w:sz w:val="24"/>
        </w:rPr>
        <w:t>。</w:t>
      </w:r>
    </w:p>
    <w:p>
      <w:pPr>
        <w:tabs>
          <w:tab w:val="left" w:pos="1800"/>
          <w:tab w:val="left" w:pos="5580"/>
        </w:tabs>
        <w:spacing w:line="360" w:lineRule="auto"/>
        <w:jc w:val="left"/>
        <w:rPr>
          <w:rFonts w:hint="eastAsia" w:ascii="宋体" w:hAnsi="宋体" w:eastAsia="宋体" w:cs="宋体"/>
          <w:color w:val="000000"/>
          <w:sz w:val="24"/>
        </w:rPr>
      </w:pPr>
      <w:r>
        <w:rPr>
          <w:rFonts w:hint="eastAsia" w:ascii="宋体" w:hAnsi="宋体" w:eastAsia="宋体" w:cs="宋体"/>
          <w:sz w:val="24"/>
        </w:rPr>
        <w:t>2.“偏离情况”列应</w:t>
      </w:r>
      <w:r>
        <w:rPr>
          <w:rFonts w:hint="eastAsia" w:ascii="宋体" w:hAnsi="宋体" w:eastAsia="宋体" w:cs="宋体"/>
          <w:color w:val="000000"/>
          <w:sz w:val="24"/>
        </w:rPr>
        <w:t>据实</w:t>
      </w:r>
      <w:r>
        <w:rPr>
          <w:rFonts w:hint="eastAsia" w:ascii="宋体" w:hAnsi="宋体" w:eastAsia="宋体" w:cs="宋体"/>
          <w:sz w:val="24"/>
        </w:rPr>
        <w:t>填写</w:t>
      </w:r>
      <w:r>
        <w:rPr>
          <w:rFonts w:hint="eastAsia" w:ascii="宋体" w:hAnsi="宋体" w:cs="宋体"/>
          <w:sz w:val="24"/>
          <w:lang w:eastAsia="zh-CN"/>
        </w:rPr>
        <w:t>“无偏离”、</w:t>
      </w:r>
      <w:r>
        <w:rPr>
          <w:rFonts w:hint="eastAsia" w:ascii="宋体" w:hAnsi="宋体" w:eastAsia="宋体" w:cs="宋体"/>
          <w:sz w:val="24"/>
        </w:rPr>
        <w:t>“正偏离”或“负偏离”。</w:t>
      </w:r>
    </w:p>
    <w:p>
      <w:pPr>
        <w:tabs>
          <w:tab w:val="left" w:pos="1800"/>
          <w:tab w:val="left" w:pos="5580"/>
        </w:tabs>
        <w:jc w:val="left"/>
        <w:rPr>
          <w:rFonts w:hint="eastAsia" w:ascii="宋体" w:hAnsi="宋体" w:eastAsia="宋体" w:cs="宋体"/>
          <w:color w:val="000000"/>
          <w:sz w:val="24"/>
        </w:rPr>
      </w:pPr>
    </w:p>
    <w:p>
      <w:pPr>
        <w:pStyle w:val="28"/>
        <w:rPr>
          <w:rFonts w:hint="eastAsia" w:ascii="宋体" w:hAnsi="宋体" w:eastAsia="宋体" w:cs="宋体"/>
          <w:color w:val="000000"/>
          <w:sz w:val="24"/>
        </w:rPr>
      </w:pPr>
    </w:p>
    <w:p>
      <w:pPr>
        <w:rPr>
          <w:rFonts w:hint="eastAsia" w:ascii="宋体" w:hAnsi="宋体" w:eastAsia="宋体" w:cs="宋体"/>
          <w:color w:val="000000"/>
          <w:sz w:val="24"/>
        </w:rPr>
      </w:pPr>
    </w:p>
    <w:p>
      <w:pPr>
        <w:pStyle w:val="28"/>
        <w:rPr>
          <w:rFonts w:hint="eastAsia"/>
        </w:rPr>
      </w:pPr>
    </w:p>
    <w:p>
      <w:pPr>
        <w:rPr>
          <w:rFonts w:hint="eastAsia" w:ascii="宋体" w:hAnsi="宋体" w:eastAsia="宋体" w:cs="宋体"/>
          <w:color w:val="000000"/>
          <w:sz w:val="24"/>
          <w:szCs w:val="20"/>
        </w:rPr>
      </w:pPr>
    </w:p>
    <w:p>
      <w:pPr>
        <w:autoSpaceDE w:val="0"/>
        <w:autoSpaceDN w:val="0"/>
        <w:adjustRightInd w:val="0"/>
        <w:snapToGrid w:val="0"/>
        <w:spacing w:before="25" w:after="25" w:line="360" w:lineRule="auto"/>
        <w:ind w:right="360"/>
        <w:jc w:val="left"/>
        <w:rPr>
          <w:rFonts w:hint="eastAsia" w:ascii="宋体" w:hAnsi="宋体" w:eastAsia="宋体" w:cs="宋体"/>
          <w:color w:val="000000"/>
          <w:sz w:val="24"/>
          <w:lang w:val="zh-CN"/>
        </w:rPr>
      </w:pPr>
      <w:r>
        <w:rPr>
          <w:rFonts w:hint="eastAsia" w:ascii="宋体" w:hAnsi="宋体" w:eastAsia="宋体" w:cs="宋体"/>
          <w:color w:val="000000"/>
          <w:sz w:val="24"/>
        </w:rPr>
        <w:t>供应商名称（加盖公章）</w:t>
      </w:r>
      <w:r>
        <w:rPr>
          <w:rFonts w:hint="eastAsia" w:ascii="宋体" w:hAnsi="宋体" w:eastAsia="宋体" w:cs="宋体"/>
          <w:color w:val="000000"/>
          <w:sz w:val="24"/>
          <w:lang w:val="zh-CN"/>
        </w:rPr>
        <w:t>：</w:t>
      </w:r>
      <w:r>
        <w:rPr>
          <w:rFonts w:hint="eastAsia" w:ascii="宋体" w:hAnsi="宋体" w:eastAsia="宋体" w:cs="宋体"/>
          <w:sz w:val="24"/>
        </w:rPr>
        <w:t>______</w:t>
      </w:r>
    </w:p>
    <w:p>
      <w:pPr>
        <w:autoSpaceDE w:val="0"/>
        <w:autoSpaceDN w:val="0"/>
        <w:adjustRightInd w:val="0"/>
        <w:snapToGrid w:val="0"/>
        <w:spacing w:before="25" w:after="25" w:line="360" w:lineRule="auto"/>
        <w:ind w:right="360"/>
        <w:jc w:val="left"/>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日期：____年____月____日 </w:t>
      </w:r>
    </w:p>
    <w:p>
      <w:pPr>
        <w:pStyle w:val="28"/>
        <w:rPr>
          <w:rFonts w:hint="eastAsia" w:ascii="宋体" w:hAnsi="宋体" w:eastAsia="宋体" w:cs="宋体"/>
          <w:color w:val="000000"/>
          <w:sz w:val="24"/>
          <w:szCs w:val="20"/>
        </w:rPr>
      </w:pPr>
    </w:p>
    <w:p>
      <w:pPr>
        <w:tabs>
          <w:tab w:val="left" w:pos="360"/>
        </w:tabs>
        <w:snapToGrid w:val="0"/>
        <w:spacing w:line="360" w:lineRule="auto"/>
        <w:outlineLvl w:val="9"/>
        <w:rPr>
          <w:rFonts w:hint="eastAsia" w:ascii="宋体" w:hAnsi="宋体" w:eastAsia="宋体" w:cs="宋体"/>
          <w:sz w:val="24"/>
        </w:rPr>
      </w:pPr>
    </w:p>
    <w:p>
      <w:pPr>
        <w:pStyle w:val="62"/>
        <w:ind w:left="0" w:leftChars="0" w:firstLine="0" w:firstLineChars="0"/>
        <w:outlineLvl w:val="1"/>
        <w:rPr>
          <w:rFonts w:hint="eastAsia" w:ascii="宋体" w:hAnsi="宋体" w:eastAsia="宋体" w:cs="宋体"/>
          <w:b w:val="0"/>
          <w:bCs/>
          <w:sz w:val="24"/>
          <w:szCs w:val="24"/>
          <w:lang w:val="en-US" w:eastAsia="zh-CN"/>
        </w:rPr>
      </w:pPr>
      <w:r>
        <w:rPr>
          <w:rFonts w:hint="eastAsia" w:ascii="宋体" w:hAnsi="宋体" w:cs="宋体"/>
          <w:sz w:val="24"/>
          <w:lang w:val="en-US" w:eastAsia="zh-CN"/>
        </w:rPr>
        <w:t>11</w:t>
      </w:r>
      <w:r>
        <w:rPr>
          <w:rFonts w:hint="eastAsia" w:ascii="宋体" w:hAnsi="宋体" w:eastAsia="宋体" w:cs="宋体"/>
          <w:sz w:val="24"/>
        </w:rPr>
        <w:t xml:space="preserve">  </w:t>
      </w:r>
      <w:r>
        <w:rPr>
          <w:rFonts w:hint="eastAsia" w:ascii="宋体" w:hAnsi="宋体" w:eastAsia="宋体" w:cs="宋体"/>
          <w:b/>
          <w:bCs w:val="0"/>
          <w:sz w:val="24"/>
          <w:szCs w:val="24"/>
          <w:lang w:val="en-US" w:eastAsia="zh-CN"/>
        </w:rPr>
        <w:t>业绩证明材料</w:t>
      </w:r>
    </w:p>
    <w:tbl>
      <w:tblPr>
        <w:tblStyle w:val="257"/>
        <w:tblW w:w="9015" w:type="dxa"/>
        <w:tblInd w:w="-35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68"/>
        <w:gridCol w:w="2827"/>
        <w:gridCol w:w="2520"/>
        <w:gridCol w:w="1785"/>
        <w:gridCol w:w="1215"/>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4" w:hRule="atLeast"/>
        </w:trPr>
        <w:tc>
          <w:tcPr>
            <w:tcW w:w="668" w:type="dxa"/>
            <w:vAlign w:val="center"/>
          </w:tcPr>
          <w:p>
            <w:pPr>
              <w:autoSpaceDE w:val="0"/>
              <w:autoSpaceDN w:val="0"/>
              <w:jc w:val="center"/>
              <w:rPr>
                <w:rFonts w:hint="eastAsia" w:ascii="宋体" w:hAnsi="宋体" w:eastAsia="宋体" w:cs="宋体"/>
                <w:b/>
                <w:bCs/>
                <w:sz w:val="24"/>
                <w:szCs w:val="24"/>
              </w:rPr>
            </w:pPr>
            <w:r>
              <w:rPr>
                <w:rFonts w:hint="eastAsia" w:ascii="宋体" w:hAnsi="宋体" w:eastAsia="宋体" w:cs="宋体"/>
                <w:b/>
                <w:bCs/>
                <w:sz w:val="24"/>
                <w:szCs w:val="24"/>
              </w:rPr>
              <w:t>序号</w:t>
            </w:r>
          </w:p>
        </w:tc>
        <w:tc>
          <w:tcPr>
            <w:tcW w:w="2827" w:type="dxa"/>
            <w:vAlign w:val="center"/>
          </w:tcPr>
          <w:p>
            <w:pPr>
              <w:autoSpaceDE w:val="0"/>
              <w:autoSpaceDN w:val="0"/>
              <w:jc w:val="center"/>
              <w:rPr>
                <w:rFonts w:hint="eastAsia" w:ascii="宋体" w:hAnsi="宋体" w:eastAsia="宋体" w:cs="宋体"/>
                <w:b/>
                <w:bCs/>
                <w:sz w:val="24"/>
                <w:szCs w:val="24"/>
              </w:rPr>
            </w:pPr>
            <w:r>
              <w:rPr>
                <w:rFonts w:hint="eastAsia" w:ascii="宋体" w:hAnsi="宋体" w:eastAsia="宋体" w:cs="宋体"/>
                <w:b/>
                <w:bCs/>
                <w:sz w:val="24"/>
                <w:szCs w:val="24"/>
              </w:rPr>
              <w:t>项目名称</w:t>
            </w:r>
          </w:p>
        </w:tc>
        <w:tc>
          <w:tcPr>
            <w:tcW w:w="2520" w:type="dxa"/>
            <w:vAlign w:val="center"/>
          </w:tcPr>
          <w:p>
            <w:pPr>
              <w:autoSpaceDE w:val="0"/>
              <w:autoSpaceDN w:val="0"/>
              <w:jc w:val="center"/>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业主单位</w:t>
            </w:r>
          </w:p>
        </w:tc>
        <w:tc>
          <w:tcPr>
            <w:tcW w:w="1785" w:type="dxa"/>
            <w:vAlign w:val="center"/>
          </w:tcPr>
          <w:p>
            <w:pPr>
              <w:autoSpaceDE w:val="0"/>
              <w:autoSpaceDN w:val="0"/>
              <w:jc w:val="center"/>
              <w:rPr>
                <w:rFonts w:hint="eastAsia" w:ascii="宋体" w:hAnsi="宋体" w:eastAsia="宋体" w:cs="宋体"/>
                <w:b/>
                <w:bCs/>
                <w:sz w:val="24"/>
                <w:szCs w:val="24"/>
                <w:lang w:eastAsia="zh-CN"/>
              </w:rPr>
            </w:pPr>
            <w:r>
              <w:rPr>
                <w:rFonts w:hint="eastAsia" w:ascii="宋体" w:hAnsi="宋体" w:cs="宋体"/>
                <w:b/>
                <w:bCs/>
                <w:sz w:val="24"/>
                <w:szCs w:val="24"/>
                <w:lang w:eastAsia="zh-CN"/>
              </w:rPr>
              <w:t>工作内容</w:t>
            </w:r>
          </w:p>
        </w:tc>
        <w:tc>
          <w:tcPr>
            <w:tcW w:w="1215" w:type="dxa"/>
            <w:vAlign w:val="center"/>
          </w:tcPr>
          <w:p>
            <w:pPr>
              <w:autoSpaceDE w:val="0"/>
              <w:autoSpaceDN w:val="0"/>
              <w:jc w:val="center"/>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备注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8" w:hRule="atLeast"/>
        </w:trPr>
        <w:tc>
          <w:tcPr>
            <w:tcW w:w="668" w:type="dxa"/>
            <w:vAlign w:val="center"/>
          </w:tcPr>
          <w:p>
            <w:pPr>
              <w:autoSpaceDE w:val="0"/>
              <w:autoSpaceDN w:val="0"/>
              <w:jc w:val="center"/>
              <w:rPr>
                <w:rFonts w:hint="eastAsia" w:ascii="宋体" w:hAnsi="宋体" w:eastAsia="宋体" w:cs="宋体"/>
                <w:sz w:val="24"/>
                <w:szCs w:val="24"/>
              </w:rPr>
            </w:pPr>
          </w:p>
        </w:tc>
        <w:tc>
          <w:tcPr>
            <w:tcW w:w="2827" w:type="dxa"/>
            <w:vAlign w:val="center"/>
          </w:tcPr>
          <w:p>
            <w:pPr>
              <w:autoSpaceDE w:val="0"/>
              <w:autoSpaceDN w:val="0"/>
              <w:jc w:val="center"/>
              <w:rPr>
                <w:rFonts w:hint="eastAsia" w:ascii="宋体" w:hAnsi="宋体" w:eastAsia="宋体" w:cs="宋体"/>
                <w:sz w:val="24"/>
                <w:szCs w:val="24"/>
              </w:rPr>
            </w:pPr>
          </w:p>
        </w:tc>
        <w:tc>
          <w:tcPr>
            <w:tcW w:w="2520" w:type="dxa"/>
            <w:vAlign w:val="center"/>
          </w:tcPr>
          <w:p>
            <w:pPr>
              <w:autoSpaceDE w:val="0"/>
              <w:autoSpaceDN w:val="0"/>
              <w:jc w:val="center"/>
              <w:rPr>
                <w:rFonts w:hint="eastAsia" w:ascii="宋体" w:hAnsi="宋体" w:eastAsia="宋体" w:cs="宋体"/>
                <w:sz w:val="24"/>
                <w:szCs w:val="24"/>
              </w:rPr>
            </w:pPr>
          </w:p>
        </w:tc>
        <w:tc>
          <w:tcPr>
            <w:tcW w:w="1785" w:type="dxa"/>
            <w:vAlign w:val="center"/>
          </w:tcPr>
          <w:p>
            <w:pPr>
              <w:autoSpaceDE w:val="0"/>
              <w:autoSpaceDN w:val="0"/>
              <w:jc w:val="center"/>
              <w:rPr>
                <w:rFonts w:hint="eastAsia" w:ascii="宋体" w:hAnsi="宋体" w:eastAsia="宋体" w:cs="宋体"/>
                <w:sz w:val="24"/>
                <w:szCs w:val="24"/>
              </w:rPr>
            </w:pPr>
          </w:p>
        </w:tc>
        <w:tc>
          <w:tcPr>
            <w:tcW w:w="1215" w:type="dxa"/>
            <w:vAlign w:val="center"/>
          </w:tcPr>
          <w:p>
            <w:pPr>
              <w:autoSpaceDE w:val="0"/>
              <w:autoSpaceDN w:val="0"/>
              <w:jc w:val="center"/>
              <w:rPr>
                <w:rFonts w:hint="eastAsia" w:ascii="宋体" w:hAnsi="宋体" w:eastAsia="宋体" w:cs="宋体"/>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9" w:hRule="atLeast"/>
        </w:trPr>
        <w:tc>
          <w:tcPr>
            <w:tcW w:w="668" w:type="dxa"/>
            <w:vAlign w:val="center"/>
          </w:tcPr>
          <w:p>
            <w:pPr>
              <w:autoSpaceDE w:val="0"/>
              <w:autoSpaceDN w:val="0"/>
              <w:jc w:val="center"/>
              <w:rPr>
                <w:rFonts w:hint="eastAsia" w:ascii="宋体" w:hAnsi="宋体" w:eastAsia="宋体" w:cs="宋体"/>
                <w:sz w:val="24"/>
                <w:szCs w:val="24"/>
              </w:rPr>
            </w:pPr>
          </w:p>
        </w:tc>
        <w:tc>
          <w:tcPr>
            <w:tcW w:w="2827" w:type="dxa"/>
            <w:vAlign w:val="center"/>
          </w:tcPr>
          <w:p>
            <w:pPr>
              <w:autoSpaceDE w:val="0"/>
              <w:autoSpaceDN w:val="0"/>
              <w:jc w:val="center"/>
              <w:rPr>
                <w:rFonts w:hint="eastAsia" w:ascii="宋体" w:hAnsi="宋体" w:eastAsia="宋体" w:cs="宋体"/>
                <w:sz w:val="24"/>
                <w:szCs w:val="24"/>
              </w:rPr>
            </w:pPr>
          </w:p>
        </w:tc>
        <w:tc>
          <w:tcPr>
            <w:tcW w:w="2520" w:type="dxa"/>
            <w:vAlign w:val="center"/>
          </w:tcPr>
          <w:p>
            <w:pPr>
              <w:autoSpaceDE w:val="0"/>
              <w:autoSpaceDN w:val="0"/>
              <w:jc w:val="center"/>
              <w:rPr>
                <w:rFonts w:hint="eastAsia" w:ascii="宋体" w:hAnsi="宋体" w:eastAsia="宋体" w:cs="宋体"/>
                <w:sz w:val="24"/>
                <w:szCs w:val="24"/>
              </w:rPr>
            </w:pPr>
          </w:p>
        </w:tc>
        <w:tc>
          <w:tcPr>
            <w:tcW w:w="1785" w:type="dxa"/>
            <w:vAlign w:val="center"/>
          </w:tcPr>
          <w:p>
            <w:pPr>
              <w:autoSpaceDE w:val="0"/>
              <w:autoSpaceDN w:val="0"/>
              <w:jc w:val="center"/>
              <w:rPr>
                <w:rFonts w:hint="eastAsia" w:ascii="宋体" w:hAnsi="宋体" w:eastAsia="宋体" w:cs="宋体"/>
                <w:sz w:val="24"/>
                <w:szCs w:val="24"/>
              </w:rPr>
            </w:pPr>
          </w:p>
        </w:tc>
        <w:tc>
          <w:tcPr>
            <w:tcW w:w="1215" w:type="dxa"/>
            <w:vAlign w:val="center"/>
          </w:tcPr>
          <w:p>
            <w:pPr>
              <w:autoSpaceDE w:val="0"/>
              <w:autoSpaceDN w:val="0"/>
              <w:jc w:val="center"/>
              <w:rPr>
                <w:rFonts w:hint="eastAsia" w:ascii="宋体" w:hAnsi="宋体" w:eastAsia="宋体" w:cs="宋体"/>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8" w:hRule="atLeast"/>
        </w:trPr>
        <w:tc>
          <w:tcPr>
            <w:tcW w:w="668" w:type="dxa"/>
            <w:vAlign w:val="center"/>
          </w:tcPr>
          <w:p>
            <w:pPr>
              <w:autoSpaceDE w:val="0"/>
              <w:autoSpaceDN w:val="0"/>
              <w:jc w:val="center"/>
              <w:rPr>
                <w:rFonts w:hint="eastAsia" w:ascii="宋体" w:hAnsi="宋体" w:eastAsia="宋体" w:cs="宋体"/>
                <w:sz w:val="24"/>
                <w:szCs w:val="24"/>
              </w:rPr>
            </w:pPr>
          </w:p>
        </w:tc>
        <w:tc>
          <w:tcPr>
            <w:tcW w:w="2827" w:type="dxa"/>
            <w:vAlign w:val="center"/>
          </w:tcPr>
          <w:p>
            <w:pPr>
              <w:autoSpaceDE w:val="0"/>
              <w:autoSpaceDN w:val="0"/>
              <w:jc w:val="center"/>
              <w:rPr>
                <w:rFonts w:hint="eastAsia" w:ascii="宋体" w:hAnsi="宋体" w:eastAsia="宋体" w:cs="宋体"/>
                <w:sz w:val="24"/>
                <w:szCs w:val="24"/>
              </w:rPr>
            </w:pPr>
          </w:p>
        </w:tc>
        <w:tc>
          <w:tcPr>
            <w:tcW w:w="2520" w:type="dxa"/>
            <w:vAlign w:val="center"/>
          </w:tcPr>
          <w:p>
            <w:pPr>
              <w:autoSpaceDE w:val="0"/>
              <w:autoSpaceDN w:val="0"/>
              <w:jc w:val="center"/>
              <w:rPr>
                <w:rFonts w:hint="eastAsia" w:ascii="宋体" w:hAnsi="宋体" w:eastAsia="宋体" w:cs="宋体"/>
                <w:sz w:val="24"/>
                <w:szCs w:val="24"/>
              </w:rPr>
            </w:pPr>
          </w:p>
        </w:tc>
        <w:tc>
          <w:tcPr>
            <w:tcW w:w="1785" w:type="dxa"/>
            <w:vAlign w:val="center"/>
          </w:tcPr>
          <w:p>
            <w:pPr>
              <w:autoSpaceDE w:val="0"/>
              <w:autoSpaceDN w:val="0"/>
              <w:jc w:val="center"/>
              <w:rPr>
                <w:rFonts w:hint="eastAsia" w:ascii="宋体" w:hAnsi="宋体" w:eastAsia="宋体" w:cs="宋体"/>
                <w:sz w:val="24"/>
                <w:szCs w:val="24"/>
              </w:rPr>
            </w:pPr>
          </w:p>
        </w:tc>
        <w:tc>
          <w:tcPr>
            <w:tcW w:w="1215" w:type="dxa"/>
            <w:vAlign w:val="center"/>
          </w:tcPr>
          <w:p>
            <w:pPr>
              <w:autoSpaceDE w:val="0"/>
              <w:autoSpaceDN w:val="0"/>
              <w:jc w:val="center"/>
              <w:rPr>
                <w:rFonts w:hint="eastAsia" w:ascii="宋体" w:hAnsi="宋体" w:eastAsia="宋体" w:cs="宋体"/>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668" w:type="dxa"/>
            <w:vAlign w:val="center"/>
          </w:tcPr>
          <w:p>
            <w:pPr>
              <w:autoSpaceDE w:val="0"/>
              <w:autoSpaceDN w:val="0"/>
              <w:jc w:val="center"/>
              <w:rPr>
                <w:rFonts w:hint="eastAsia" w:ascii="宋体" w:hAnsi="宋体" w:eastAsia="宋体" w:cs="宋体"/>
                <w:sz w:val="24"/>
                <w:szCs w:val="24"/>
              </w:rPr>
            </w:pPr>
          </w:p>
        </w:tc>
        <w:tc>
          <w:tcPr>
            <w:tcW w:w="2827" w:type="dxa"/>
            <w:vAlign w:val="center"/>
          </w:tcPr>
          <w:p>
            <w:pPr>
              <w:autoSpaceDE w:val="0"/>
              <w:autoSpaceDN w:val="0"/>
              <w:jc w:val="center"/>
              <w:rPr>
                <w:rFonts w:hint="eastAsia" w:ascii="宋体" w:hAnsi="宋体" w:eastAsia="宋体" w:cs="宋体"/>
                <w:sz w:val="24"/>
                <w:szCs w:val="24"/>
              </w:rPr>
            </w:pPr>
          </w:p>
        </w:tc>
        <w:tc>
          <w:tcPr>
            <w:tcW w:w="2520" w:type="dxa"/>
            <w:vAlign w:val="center"/>
          </w:tcPr>
          <w:p>
            <w:pPr>
              <w:autoSpaceDE w:val="0"/>
              <w:autoSpaceDN w:val="0"/>
              <w:jc w:val="center"/>
              <w:rPr>
                <w:rFonts w:hint="eastAsia" w:ascii="宋体" w:hAnsi="宋体" w:eastAsia="宋体" w:cs="宋体"/>
                <w:sz w:val="24"/>
                <w:szCs w:val="24"/>
              </w:rPr>
            </w:pPr>
          </w:p>
        </w:tc>
        <w:tc>
          <w:tcPr>
            <w:tcW w:w="1785" w:type="dxa"/>
            <w:vAlign w:val="center"/>
          </w:tcPr>
          <w:p>
            <w:pPr>
              <w:autoSpaceDE w:val="0"/>
              <w:autoSpaceDN w:val="0"/>
              <w:jc w:val="center"/>
              <w:rPr>
                <w:rFonts w:hint="eastAsia" w:ascii="宋体" w:hAnsi="宋体" w:eastAsia="宋体" w:cs="宋体"/>
                <w:sz w:val="24"/>
                <w:szCs w:val="24"/>
              </w:rPr>
            </w:pPr>
          </w:p>
        </w:tc>
        <w:tc>
          <w:tcPr>
            <w:tcW w:w="1215" w:type="dxa"/>
            <w:vAlign w:val="center"/>
          </w:tcPr>
          <w:p>
            <w:pPr>
              <w:autoSpaceDE w:val="0"/>
              <w:autoSpaceDN w:val="0"/>
              <w:jc w:val="center"/>
              <w:rPr>
                <w:rFonts w:hint="eastAsia" w:ascii="宋体" w:hAnsi="宋体" w:eastAsia="宋体" w:cs="宋体"/>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9" w:hRule="atLeast"/>
        </w:trPr>
        <w:tc>
          <w:tcPr>
            <w:tcW w:w="668" w:type="dxa"/>
            <w:vAlign w:val="center"/>
          </w:tcPr>
          <w:p>
            <w:pPr>
              <w:autoSpaceDE w:val="0"/>
              <w:autoSpaceDN w:val="0"/>
              <w:jc w:val="center"/>
              <w:rPr>
                <w:rFonts w:hint="eastAsia" w:ascii="宋体" w:hAnsi="宋体" w:eastAsia="宋体" w:cs="宋体"/>
                <w:sz w:val="24"/>
                <w:szCs w:val="24"/>
              </w:rPr>
            </w:pPr>
          </w:p>
        </w:tc>
        <w:tc>
          <w:tcPr>
            <w:tcW w:w="2827" w:type="dxa"/>
            <w:vAlign w:val="center"/>
          </w:tcPr>
          <w:p>
            <w:pPr>
              <w:autoSpaceDE w:val="0"/>
              <w:autoSpaceDN w:val="0"/>
              <w:jc w:val="center"/>
              <w:rPr>
                <w:rFonts w:hint="eastAsia" w:ascii="宋体" w:hAnsi="宋体" w:eastAsia="宋体" w:cs="宋体"/>
                <w:sz w:val="24"/>
                <w:szCs w:val="24"/>
              </w:rPr>
            </w:pPr>
          </w:p>
        </w:tc>
        <w:tc>
          <w:tcPr>
            <w:tcW w:w="2520" w:type="dxa"/>
            <w:vAlign w:val="center"/>
          </w:tcPr>
          <w:p>
            <w:pPr>
              <w:autoSpaceDE w:val="0"/>
              <w:autoSpaceDN w:val="0"/>
              <w:jc w:val="center"/>
              <w:rPr>
                <w:rFonts w:hint="eastAsia" w:ascii="宋体" w:hAnsi="宋体" w:eastAsia="宋体" w:cs="宋体"/>
                <w:sz w:val="24"/>
                <w:szCs w:val="24"/>
              </w:rPr>
            </w:pPr>
          </w:p>
        </w:tc>
        <w:tc>
          <w:tcPr>
            <w:tcW w:w="1785" w:type="dxa"/>
            <w:vAlign w:val="center"/>
          </w:tcPr>
          <w:p>
            <w:pPr>
              <w:autoSpaceDE w:val="0"/>
              <w:autoSpaceDN w:val="0"/>
              <w:jc w:val="center"/>
              <w:rPr>
                <w:rFonts w:hint="eastAsia" w:ascii="宋体" w:hAnsi="宋体" w:eastAsia="宋体" w:cs="宋体"/>
                <w:sz w:val="24"/>
                <w:szCs w:val="24"/>
              </w:rPr>
            </w:pPr>
          </w:p>
        </w:tc>
        <w:tc>
          <w:tcPr>
            <w:tcW w:w="1215" w:type="dxa"/>
            <w:vAlign w:val="center"/>
          </w:tcPr>
          <w:p>
            <w:pPr>
              <w:autoSpaceDE w:val="0"/>
              <w:autoSpaceDN w:val="0"/>
              <w:jc w:val="center"/>
              <w:rPr>
                <w:rFonts w:hint="eastAsia" w:ascii="宋体" w:hAnsi="宋体" w:eastAsia="宋体" w:cs="宋体"/>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8" w:hRule="atLeast"/>
        </w:trPr>
        <w:tc>
          <w:tcPr>
            <w:tcW w:w="668" w:type="dxa"/>
            <w:vAlign w:val="center"/>
          </w:tcPr>
          <w:p>
            <w:pPr>
              <w:autoSpaceDE w:val="0"/>
              <w:autoSpaceDN w:val="0"/>
              <w:jc w:val="center"/>
              <w:rPr>
                <w:rFonts w:hint="eastAsia" w:ascii="宋体" w:hAnsi="宋体" w:eastAsia="宋体" w:cs="宋体"/>
                <w:sz w:val="24"/>
                <w:szCs w:val="24"/>
              </w:rPr>
            </w:pPr>
          </w:p>
        </w:tc>
        <w:tc>
          <w:tcPr>
            <w:tcW w:w="2827" w:type="dxa"/>
            <w:vAlign w:val="center"/>
          </w:tcPr>
          <w:p>
            <w:pPr>
              <w:autoSpaceDE w:val="0"/>
              <w:autoSpaceDN w:val="0"/>
              <w:jc w:val="center"/>
              <w:rPr>
                <w:rFonts w:hint="eastAsia" w:ascii="宋体" w:hAnsi="宋体" w:eastAsia="宋体" w:cs="宋体"/>
                <w:sz w:val="24"/>
                <w:szCs w:val="24"/>
              </w:rPr>
            </w:pPr>
          </w:p>
        </w:tc>
        <w:tc>
          <w:tcPr>
            <w:tcW w:w="2520" w:type="dxa"/>
            <w:vAlign w:val="center"/>
          </w:tcPr>
          <w:p>
            <w:pPr>
              <w:autoSpaceDE w:val="0"/>
              <w:autoSpaceDN w:val="0"/>
              <w:jc w:val="center"/>
              <w:rPr>
                <w:rFonts w:hint="eastAsia" w:ascii="宋体" w:hAnsi="宋体" w:eastAsia="宋体" w:cs="宋体"/>
                <w:sz w:val="24"/>
                <w:szCs w:val="24"/>
              </w:rPr>
            </w:pPr>
          </w:p>
        </w:tc>
        <w:tc>
          <w:tcPr>
            <w:tcW w:w="1785" w:type="dxa"/>
            <w:vAlign w:val="center"/>
          </w:tcPr>
          <w:p>
            <w:pPr>
              <w:autoSpaceDE w:val="0"/>
              <w:autoSpaceDN w:val="0"/>
              <w:jc w:val="center"/>
              <w:rPr>
                <w:rFonts w:hint="eastAsia" w:ascii="宋体" w:hAnsi="宋体" w:eastAsia="宋体" w:cs="宋体"/>
                <w:sz w:val="24"/>
                <w:szCs w:val="24"/>
              </w:rPr>
            </w:pPr>
          </w:p>
        </w:tc>
        <w:tc>
          <w:tcPr>
            <w:tcW w:w="1215" w:type="dxa"/>
            <w:vAlign w:val="center"/>
          </w:tcPr>
          <w:p>
            <w:pPr>
              <w:autoSpaceDE w:val="0"/>
              <w:autoSpaceDN w:val="0"/>
              <w:jc w:val="center"/>
              <w:rPr>
                <w:rFonts w:hint="eastAsia" w:ascii="宋体" w:hAnsi="宋体" w:eastAsia="宋体" w:cs="宋体"/>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9" w:hRule="atLeast"/>
        </w:trPr>
        <w:tc>
          <w:tcPr>
            <w:tcW w:w="668" w:type="dxa"/>
            <w:vAlign w:val="center"/>
          </w:tcPr>
          <w:p>
            <w:pPr>
              <w:autoSpaceDE w:val="0"/>
              <w:autoSpaceDN w:val="0"/>
              <w:jc w:val="center"/>
              <w:rPr>
                <w:rFonts w:hint="eastAsia" w:ascii="宋体" w:hAnsi="宋体" w:eastAsia="宋体" w:cs="宋体"/>
                <w:sz w:val="24"/>
                <w:szCs w:val="24"/>
              </w:rPr>
            </w:pPr>
          </w:p>
        </w:tc>
        <w:tc>
          <w:tcPr>
            <w:tcW w:w="2827" w:type="dxa"/>
            <w:vAlign w:val="center"/>
          </w:tcPr>
          <w:p>
            <w:pPr>
              <w:autoSpaceDE w:val="0"/>
              <w:autoSpaceDN w:val="0"/>
              <w:jc w:val="center"/>
              <w:rPr>
                <w:rFonts w:hint="eastAsia" w:ascii="宋体" w:hAnsi="宋体" w:eastAsia="宋体" w:cs="宋体"/>
                <w:sz w:val="24"/>
                <w:szCs w:val="24"/>
              </w:rPr>
            </w:pPr>
          </w:p>
        </w:tc>
        <w:tc>
          <w:tcPr>
            <w:tcW w:w="2520" w:type="dxa"/>
            <w:vAlign w:val="center"/>
          </w:tcPr>
          <w:p>
            <w:pPr>
              <w:autoSpaceDE w:val="0"/>
              <w:autoSpaceDN w:val="0"/>
              <w:jc w:val="center"/>
              <w:rPr>
                <w:rFonts w:hint="eastAsia" w:ascii="宋体" w:hAnsi="宋体" w:eastAsia="宋体" w:cs="宋体"/>
                <w:sz w:val="24"/>
                <w:szCs w:val="24"/>
              </w:rPr>
            </w:pPr>
          </w:p>
        </w:tc>
        <w:tc>
          <w:tcPr>
            <w:tcW w:w="1785" w:type="dxa"/>
            <w:vAlign w:val="center"/>
          </w:tcPr>
          <w:p>
            <w:pPr>
              <w:autoSpaceDE w:val="0"/>
              <w:autoSpaceDN w:val="0"/>
              <w:jc w:val="center"/>
              <w:rPr>
                <w:rFonts w:hint="eastAsia" w:ascii="宋体" w:hAnsi="宋体" w:eastAsia="宋体" w:cs="宋体"/>
                <w:sz w:val="24"/>
                <w:szCs w:val="24"/>
              </w:rPr>
            </w:pPr>
          </w:p>
        </w:tc>
        <w:tc>
          <w:tcPr>
            <w:tcW w:w="1215" w:type="dxa"/>
            <w:vAlign w:val="center"/>
          </w:tcPr>
          <w:p>
            <w:pPr>
              <w:autoSpaceDE w:val="0"/>
              <w:autoSpaceDN w:val="0"/>
              <w:jc w:val="center"/>
              <w:rPr>
                <w:rFonts w:hint="eastAsia" w:ascii="宋体" w:hAnsi="宋体" w:eastAsia="宋体" w:cs="宋体"/>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3" w:hRule="atLeast"/>
        </w:trPr>
        <w:tc>
          <w:tcPr>
            <w:tcW w:w="668" w:type="dxa"/>
            <w:vAlign w:val="center"/>
          </w:tcPr>
          <w:p>
            <w:pPr>
              <w:autoSpaceDE w:val="0"/>
              <w:autoSpaceDN w:val="0"/>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w:t>
            </w:r>
          </w:p>
        </w:tc>
        <w:tc>
          <w:tcPr>
            <w:tcW w:w="2827" w:type="dxa"/>
            <w:vAlign w:val="center"/>
          </w:tcPr>
          <w:p>
            <w:pPr>
              <w:autoSpaceDE w:val="0"/>
              <w:autoSpaceDN w:val="0"/>
              <w:jc w:val="center"/>
              <w:rPr>
                <w:rFonts w:hint="eastAsia" w:ascii="宋体" w:hAnsi="宋体" w:eastAsia="宋体" w:cs="宋体"/>
                <w:sz w:val="24"/>
                <w:szCs w:val="24"/>
              </w:rPr>
            </w:pPr>
          </w:p>
        </w:tc>
        <w:tc>
          <w:tcPr>
            <w:tcW w:w="2520" w:type="dxa"/>
            <w:vAlign w:val="center"/>
          </w:tcPr>
          <w:p>
            <w:pPr>
              <w:autoSpaceDE w:val="0"/>
              <w:autoSpaceDN w:val="0"/>
              <w:jc w:val="center"/>
              <w:rPr>
                <w:rFonts w:hint="eastAsia" w:ascii="宋体" w:hAnsi="宋体" w:eastAsia="宋体" w:cs="宋体"/>
                <w:sz w:val="24"/>
                <w:szCs w:val="24"/>
              </w:rPr>
            </w:pPr>
          </w:p>
        </w:tc>
        <w:tc>
          <w:tcPr>
            <w:tcW w:w="1785" w:type="dxa"/>
            <w:vAlign w:val="center"/>
          </w:tcPr>
          <w:p>
            <w:pPr>
              <w:autoSpaceDE w:val="0"/>
              <w:autoSpaceDN w:val="0"/>
              <w:jc w:val="center"/>
              <w:rPr>
                <w:rFonts w:hint="eastAsia" w:ascii="宋体" w:hAnsi="宋体" w:eastAsia="宋体" w:cs="宋体"/>
                <w:sz w:val="24"/>
                <w:szCs w:val="24"/>
              </w:rPr>
            </w:pPr>
          </w:p>
        </w:tc>
        <w:tc>
          <w:tcPr>
            <w:tcW w:w="1215" w:type="dxa"/>
            <w:vAlign w:val="center"/>
          </w:tcPr>
          <w:p>
            <w:pPr>
              <w:autoSpaceDE w:val="0"/>
              <w:autoSpaceDN w:val="0"/>
              <w:jc w:val="center"/>
              <w:rPr>
                <w:rFonts w:hint="eastAsia" w:ascii="宋体" w:hAnsi="宋体" w:eastAsia="宋体" w:cs="宋体"/>
                <w:sz w:val="24"/>
                <w:szCs w:val="24"/>
              </w:rPr>
            </w:pPr>
          </w:p>
        </w:tc>
      </w:tr>
    </w:tbl>
    <w:p>
      <w:pPr>
        <w:keepNext w:val="0"/>
        <w:keepLines w:val="0"/>
        <w:pageBreakBefore w:val="0"/>
        <w:widowControl w:val="0"/>
        <w:kinsoku/>
        <w:wordWrap/>
        <w:overflowPunct/>
        <w:topLinePunct w:val="0"/>
        <w:autoSpaceDE/>
        <w:autoSpaceDN/>
        <w:bidi w:val="0"/>
        <w:adjustRightInd/>
        <w:snapToGrid/>
        <w:spacing w:line="360" w:lineRule="auto"/>
        <w:ind w:left="-420" w:leftChars="-200" w:right="-506" w:rightChars="-241" w:firstLine="0" w:firstLineChars="0"/>
        <w:textAlignment w:val="auto"/>
        <w:rPr>
          <w:rFonts w:hint="eastAsia" w:ascii="宋体" w:hAnsi="宋体" w:eastAsia="宋体" w:cs="宋体"/>
          <w:sz w:val="24"/>
          <w:szCs w:val="24"/>
        </w:rPr>
      </w:pPr>
    </w:p>
    <w:p>
      <w:pPr>
        <w:keepNext w:val="0"/>
        <w:keepLines w:val="0"/>
        <w:pageBreakBefore w:val="0"/>
        <w:widowControl w:val="0"/>
        <w:kinsoku/>
        <w:wordWrap/>
        <w:overflowPunct/>
        <w:topLinePunct w:val="0"/>
        <w:autoSpaceDE/>
        <w:autoSpaceDN/>
        <w:bidi w:val="0"/>
        <w:adjustRightInd/>
        <w:snapToGrid/>
        <w:spacing w:line="360" w:lineRule="auto"/>
        <w:ind w:left="-420" w:leftChars="-200" w:right="-506" w:rightChars="-241"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注：1</w:t>
      </w:r>
      <w:r>
        <w:rPr>
          <w:rFonts w:hint="eastAsia" w:ascii="宋体" w:hAnsi="宋体" w:eastAsia="宋体" w:cs="宋体"/>
          <w:sz w:val="24"/>
          <w:szCs w:val="24"/>
          <w:lang w:eastAsia="zh-CN"/>
        </w:rPr>
        <w:t>、</w:t>
      </w:r>
      <w:r>
        <w:rPr>
          <w:rFonts w:hint="eastAsia" w:ascii="宋体" w:hAnsi="宋体" w:eastAsia="宋体" w:cs="宋体"/>
          <w:sz w:val="24"/>
          <w:szCs w:val="24"/>
        </w:rPr>
        <w:t>须提供近三年内合同关键页(首页、金额页、双方签字盖章页)复印件，并加盖供应商公章。</w:t>
      </w:r>
    </w:p>
    <w:p>
      <w:pPr>
        <w:keepNext w:val="0"/>
        <w:keepLines w:val="0"/>
        <w:pageBreakBefore w:val="0"/>
        <w:widowControl w:val="0"/>
        <w:kinsoku/>
        <w:wordWrap/>
        <w:overflowPunct/>
        <w:topLinePunct w:val="0"/>
        <w:autoSpaceDE/>
        <w:autoSpaceDN/>
        <w:bidi w:val="0"/>
        <w:adjustRightInd/>
        <w:snapToGrid/>
        <w:spacing w:line="360" w:lineRule="auto"/>
        <w:ind w:left="-420" w:leftChars="-200" w:right="-506" w:rightChars="-241"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cs="宋体"/>
          <w:sz w:val="24"/>
          <w:szCs w:val="24"/>
          <w:lang w:val="en-US" w:eastAsia="zh-CN"/>
        </w:rPr>
        <w:t>2、</w:t>
      </w:r>
      <w:r>
        <w:rPr>
          <w:rFonts w:hint="eastAsia" w:ascii="宋体" w:hAnsi="宋体" w:eastAsia="宋体" w:cs="宋体"/>
          <w:sz w:val="24"/>
          <w:szCs w:val="24"/>
        </w:rPr>
        <w:t>如有必要，磋商时评审委员会将对此表进行信息核实，如提供虚假材料，有可能导致废标</w:t>
      </w:r>
      <w:r>
        <w:rPr>
          <w:rFonts w:hint="eastAsia" w:ascii="宋体" w:hAnsi="宋体" w:eastAsia="宋体" w:cs="宋体"/>
          <w:color w:val="auto"/>
          <w:sz w:val="24"/>
          <w:szCs w:val="24"/>
          <w:highlight w:val="none"/>
          <w:lang w:eastAsia="zh-CN"/>
        </w:rPr>
        <w:t>。</w:t>
      </w:r>
    </w:p>
    <w:p>
      <w:pPr>
        <w:pStyle w:val="31"/>
        <w:rPr>
          <w:rFonts w:hint="eastAsia" w:ascii="宋体" w:hAnsi="宋体" w:eastAsia="宋体" w:cs="宋体"/>
          <w:b w:val="0"/>
          <w:bCs/>
          <w:sz w:val="24"/>
          <w:szCs w:val="24"/>
          <w:lang w:val="en-US" w:eastAsia="zh-CN"/>
        </w:rPr>
      </w:pPr>
    </w:p>
    <w:p>
      <w:pPr>
        <w:rPr>
          <w:rFonts w:hint="eastAsia" w:ascii="宋体" w:hAnsi="宋体" w:eastAsia="宋体" w:cs="宋体"/>
          <w:b w:val="0"/>
          <w:bCs/>
          <w:sz w:val="24"/>
          <w:szCs w:val="24"/>
          <w:lang w:val="en-US" w:eastAsia="zh-CN"/>
        </w:rPr>
      </w:pPr>
    </w:p>
    <w:p>
      <w:pPr>
        <w:tabs>
          <w:tab w:val="left" w:pos="360"/>
        </w:tabs>
        <w:snapToGrid w:val="0"/>
        <w:spacing w:line="360" w:lineRule="auto"/>
        <w:outlineLvl w:val="9"/>
        <w:rPr>
          <w:rFonts w:hint="eastAsia" w:ascii="宋体" w:hAnsi="宋体" w:eastAsia="宋体" w:cs="宋体"/>
          <w:sz w:val="24"/>
          <w:lang w:val="en-US" w:eastAsia="zh-CN"/>
        </w:rPr>
      </w:pPr>
    </w:p>
    <w:p>
      <w:pPr>
        <w:autoSpaceDE w:val="0"/>
        <w:autoSpaceDN w:val="0"/>
        <w:adjustRightInd w:val="0"/>
        <w:snapToGrid w:val="0"/>
        <w:spacing w:before="25" w:after="25" w:line="360" w:lineRule="auto"/>
        <w:ind w:right="360"/>
        <w:jc w:val="left"/>
        <w:rPr>
          <w:rFonts w:hint="eastAsia" w:ascii="宋体" w:hAnsi="宋体" w:eastAsia="宋体" w:cs="宋体"/>
          <w:color w:val="000000"/>
          <w:sz w:val="24"/>
          <w:lang w:val="zh-CN"/>
        </w:rPr>
      </w:pPr>
      <w:r>
        <w:rPr>
          <w:rFonts w:hint="eastAsia" w:ascii="宋体" w:hAnsi="宋体" w:eastAsia="宋体" w:cs="宋体"/>
          <w:color w:val="000000"/>
          <w:sz w:val="24"/>
        </w:rPr>
        <w:t>供应商名称（加盖公章）</w:t>
      </w:r>
      <w:r>
        <w:rPr>
          <w:rFonts w:hint="eastAsia" w:ascii="宋体" w:hAnsi="宋体" w:eastAsia="宋体" w:cs="宋体"/>
          <w:color w:val="000000"/>
          <w:sz w:val="24"/>
          <w:lang w:val="zh-CN"/>
        </w:rPr>
        <w:t>：</w:t>
      </w:r>
      <w:r>
        <w:rPr>
          <w:rFonts w:hint="eastAsia" w:ascii="宋体" w:hAnsi="宋体" w:eastAsia="宋体" w:cs="宋体"/>
          <w:sz w:val="24"/>
        </w:rPr>
        <w:t>______</w:t>
      </w:r>
    </w:p>
    <w:p>
      <w:pPr>
        <w:pStyle w:val="62"/>
        <w:ind w:left="0" w:leftChars="0" w:firstLine="0" w:firstLineChars="0"/>
        <w:rPr>
          <w:rFonts w:hint="eastAsia"/>
        </w:rPr>
      </w:pPr>
      <w:r>
        <w:rPr>
          <w:rFonts w:hint="eastAsia" w:ascii="宋体" w:hAnsi="宋体" w:eastAsia="宋体" w:cs="宋体"/>
          <w:color w:val="000000"/>
          <w:sz w:val="24"/>
          <w:szCs w:val="20"/>
        </w:rPr>
        <w:t>日期：____年____月____日</w:t>
      </w:r>
    </w:p>
    <w:p>
      <w:pPr>
        <w:pStyle w:val="62"/>
        <w:rPr>
          <w:rFonts w:hint="eastAsia" w:ascii="宋体" w:hAnsi="宋体" w:eastAsia="宋体" w:cs="宋体"/>
          <w:sz w:val="24"/>
          <w:lang w:val="en-US" w:eastAsia="zh-CN"/>
        </w:rPr>
      </w:pPr>
    </w:p>
    <w:p>
      <w:pPr>
        <w:rPr>
          <w:rFonts w:hint="eastAsia" w:ascii="宋体" w:hAnsi="宋体" w:eastAsia="宋体" w:cs="宋体"/>
          <w:sz w:val="24"/>
          <w:lang w:val="en-US" w:eastAsia="zh-CN"/>
        </w:rPr>
      </w:pPr>
    </w:p>
    <w:p>
      <w:pPr>
        <w:pStyle w:val="62"/>
        <w:rPr>
          <w:rFonts w:hint="eastAsia" w:ascii="宋体" w:hAnsi="宋体" w:eastAsia="宋体" w:cs="宋体"/>
          <w:sz w:val="24"/>
          <w:lang w:val="en-US" w:eastAsia="zh-CN"/>
        </w:rPr>
      </w:pPr>
    </w:p>
    <w:p>
      <w:pPr>
        <w:rPr>
          <w:rFonts w:hint="eastAsia" w:ascii="宋体" w:hAnsi="宋体" w:eastAsia="宋体" w:cs="宋体"/>
          <w:sz w:val="24"/>
          <w:lang w:val="en-US" w:eastAsia="zh-CN"/>
        </w:rPr>
      </w:pPr>
    </w:p>
    <w:p>
      <w:pPr>
        <w:pStyle w:val="62"/>
        <w:rPr>
          <w:rFonts w:hint="eastAsia" w:ascii="宋体" w:hAnsi="宋体" w:eastAsia="宋体" w:cs="宋体"/>
          <w:sz w:val="24"/>
          <w:lang w:val="en-US" w:eastAsia="zh-CN"/>
        </w:rPr>
      </w:pPr>
    </w:p>
    <w:p>
      <w:pPr>
        <w:rPr>
          <w:rFonts w:hint="eastAsia" w:ascii="宋体" w:hAnsi="宋体" w:eastAsia="宋体" w:cs="宋体"/>
          <w:sz w:val="24"/>
          <w:lang w:val="en-US" w:eastAsia="zh-CN"/>
        </w:rPr>
      </w:pPr>
    </w:p>
    <w:p>
      <w:pPr>
        <w:pStyle w:val="62"/>
        <w:rPr>
          <w:rFonts w:hint="eastAsia" w:ascii="宋体" w:hAnsi="宋体" w:eastAsia="宋体" w:cs="宋体"/>
          <w:sz w:val="24"/>
          <w:lang w:val="en-US" w:eastAsia="zh-CN"/>
        </w:rPr>
      </w:pPr>
    </w:p>
    <w:p>
      <w:pPr>
        <w:rPr>
          <w:rFonts w:hint="eastAsia" w:ascii="宋体" w:hAnsi="宋体" w:eastAsia="宋体" w:cs="宋体"/>
          <w:sz w:val="24"/>
          <w:lang w:val="en-US" w:eastAsia="zh-CN"/>
        </w:rPr>
      </w:pPr>
    </w:p>
    <w:p>
      <w:pPr>
        <w:pStyle w:val="62"/>
        <w:rPr>
          <w:rFonts w:hint="eastAsia" w:ascii="宋体" w:hAnsi="宋体" w:eastAsia="宋体" w:cs="宋体"/>
          <w:sz w:val="24"/>
          <w:lang w:val="en-US" w:eastAsia="zh-CN"/>
        </w:rPr>
      </w:pPr>
    </w:p>
    <w:p>
      <w:pPr>
        <w:rPr>
          <w:rFonts w:hint="eastAsia" w:ascii="宋体" w:hAnsi="宋体" w:eastAsia="宋体" w:cs="宋体"/>
          <w:sz w:val="24"/>
          <w:lang w:val="en-US" w:eastAsia="zh-CN"/>
        </w:rPr>
      </w:pPr>
    </w:p>
    <w:p>
      <w:pPr>
        <w:pStyle w:val="62"/>
        <w:rPr>
          <w:rFonts w:hint="eastAsia" w:ascii="宋体" w:hAnsi="宋体" w:eastAsia="宋体" w:cs="宋体"/>
          <w:sz w:val="24"/>
          <w:lang w:val="en-US" w:eastAsia="zh-CN"/>
        </w:rPr>
      </w:pPr>
    </w:p>
    <w:p>
      <w:pPr>
        <w:tabs>
          <w:tab w:val="left" w:pos="360"/>
        </w:tabs>
        <w:snapToGrid w:val="0"/>
        <w:spacing w:line="360" w:lineRule="auto"/>
        <w:outlineLvl w:val="9"/>
        <w:rPr>
          <w:rFonts w:hint="eastAsia" w:ascii="宋体" w:hAnsi="宋体" w:cs="宋体"/>
          <w:b/>
          <w:bCs/>
          <w:sz w:val="24"/>
          <w:lang w:val="en-US" w:eastAsia="zh-CN"/>
        </w:rPr>
      </w:pPr>
    </w:p>
    <w:p>
      <w:pPr>
        <w:tabs>
          <w:tab w:val="left" w:pos="360"/>
        </w:tabs>
        <w:snapToGrid w:val="0"/>
        <w:spacing w:line="360" w:lineRule="auto"/>
        <w:outlineLvl w:val="1"/>
        <w:rPr>
          <w:rFonts w:hint="eastAsia" w:ascii="宋体" w:hAnsi="宋体" w:eastAsia="宋体" w:cs="宋体"/>
          <w:b/>
          <w:bCs/>
          <w:sz w:val="24"/>
          <w:lang w:val="en-US" w:eastAsia="zh-CN"/>
        </w:rPr>
      </w:pPr>
      <w:r>
        <w:rPr>
          <w:rFonts w:hint="eastAsia" w:ascii="宋体" w:hAnsi="宋体" w:cs="宋体"/>
          <w:b/>
          <w:bCs/>
          <w:sz w:val="24"/>
          <w:lang w:val="en-US" w:eastAsia="zh-CN"/>
        </w:rPr>
        <w:t xml:space="preserve">12 </w:t>
      </w:r>
      <w:r>
        <w:rPr>
          <w:rFonts w:hint="eastAsia" w:ascii="宋体" w:hAnsi="宋体" w:eastAsia="宋体" w:cs="宋体"/>
          <w:b/>
          <w:bCs/>
          <w:sz w:val="24"/>
          <w:lang w:val="en-US" w:eastAsia="zh-CN"/>
        </w:rPr>
        <w:t>供应商认为应附的其他材料</w:t>
      </w:r>
    </w:p>
    <w:p>
      <w:pPr>
        <w:shd w:val="clear"/>
        <w:spacing w:line="360" w:lineRule="auto"/>
        <w:outlineLvl w:val="2"/>
        <w:rPr>
          <w:rFonts w:hint="eastAsia" w:ascii="宋体" w:hAnsi="宋体" w:cs="宋体"/>
          <w:b/>
          <w:bCs w:val="0"/>
          <w:sz w:val="24"/>
          <w:szCs w:val="24"/>
          <w:lang w:val="en-US" w:eastAsia="zh-CN"/>
        </w:rPr>
        <w:sectPr>
          <w:headerReference r:id="rId26" w:type="first"/>
          <w:footerReference r:id="rId28" w:type="first"/>
          <w:headerReference r:id="rId25" w:type="even"/>
          <w:footerReference r:id="rId27" w:type="even"/>
          <w:pgSz w:w="11907" w:h="16840"/>
          <w:pgMar w:top="1418" w:right="1134" w:bottom="1418" w:left="1701" w:header="851" w:footer="851" w:gutter="0"/>
          <w:pgNumType w:fmt="decimal"/>
          <w:cols w:space="720" w:num="1"/>
          <w:docGrid w:linePitch="462" w:charSpace="0"/>
        </w:sectPr>
      </w:pPr>
    </w:p>
    <w:p>
      <w:pPr>
        <w:shd w:val="clear"/>
        <w:spacing w:line="360" w:lineRule="auto"/>
        <w:outlineLvl w:val="1"/>
        <w:rPr>
          <w:rFonts w:hint="eastAsia" w:ascii="宋体" w:hAnsi="宋体" w:eastAsia="宋体" w:cs="宋体"/>
          <w:b/>
          <w:bCs w:val="0"/>
          <w:color w:val="auto"/>
          <w:sz w:val="24"/>
          <w:szCs w:val="20"/>
          <w:lang w:val="en-US" w:eastAsia="zh-CN"/>
        </w:rPr>
      </w:pPr>
      <w:r>
        <w:rPr>
          <w:rFonts w:hint="eastAsia" w:ascii="宋体" w:hAnsi="宋体" w:cs="宋体"/>
          <w:b/>
          <w:bCs w:val="0"/>
          <w:sz w:val="24"/>
          <w:szCs w:val="24"/>
          <w:lang w:val="en-US" w:eastAsia="zh-CN"/>
        </w:rPr>
        <w:t>13</w:t>
      </w:r>
      <w:r>
        <w:rPr>
          <w:rFonts w:hint="eastAsia" w:ascii="宋体" w:hAnsi="宋体" w:eastAsia="宋体" w:cs="宋体"/>
          <w:b/>
          <w:bCs w:val="0"/>
          <w:color w:val="auto"/>
          <w:sz w:val="24"/>
          <w:szCs w:val="20"/>
          <w:lang w:val="en-US" w:eastAsia="zh-CN"/>
        </w:rPr>
        <w:t>技术部分</w:t>
      </w:r>
    </w:p>
    <w:p>
      <w:pPr>
        <w:rPr>
          <w:rFonts w:hint="eastAsia" w:ascii="宋体" w:hAnsi="宋体" w:eastAsia="宋体" w:cs="宋体"/>
          <w:lang w:val="en-US" w:eastAsia="zh-CN"/>
        </w:rPr>
      </w:pPr>
    </w:p>
    <w:p>
      <w:pPr>
        <w:shd w:val="clear" w:color="auto" w:fill="auto"/>
        <w:spacing w:after="0" w:line="480" w:lineRule="exact"/>
        <w:ind w:left="899" w:hanging="899"/>
        <w:jc w:val="center"/>
        <w:outlineLvl w:val="9"/>
        <w:rPr>
          <w:rFonts w:hint="eastAsia" w:ascii="宋体" w:hAnsi="宋体" w:eastAsia="宋体" w:cs="宋体"/>
          <w:b/>
          <w:bCs/>
          <w:color w:val="auto"/>
          <w:sz w:val="32"/>
          <w:szCs w:val="32"/>
          <w:u w:val="none"/>
          <w:lang w:eastAsia="zh-CN"/>
        </w:rPr>
      </w:pPr>
      <w:r>
        <w:rPr>
          <w:rFonts w:hint="eastAsia" w:ascii="宋体" w:hAnsi="宋体" w:cs="宋体"/>
          <w:b/>
          <w:bCs/>
          <w:color w:val="auto"/>
          <w:sz w:val="32"/>
          <w:szCs w:val="32"/>
          <w:u w:val="none"/>
          <w:lang w:eastAsia="zh-CN"/>
        </w:rPr>
        <w:t>技术</w:t>
      </w:r>
      <w:r>
        <w:rPr>
          <w:rFonts w:hint="eastAsia" w:ascii="宋体" w:hAnsi="宋体" w:eastAsia="宋体" w:cs="宋体"/>
          <w:b/>
          <w:bCs/>
          <w:color w:val="auto"/>
          <w:sz w:val="32"/>
          <w:szCs w:val="32"/>
          <w:u w:val="none"/>
        </w:rPr>
        <w:t>方案</w:t>
      </w:r>
    </w:p>
    <w:p>
      <w:pPr>
        <w:pStyle w:val="31"/>
        <w:jc w:val="center"/>
        <w:rPr>
          <w:rFonts w:hint="eastAsia" w:ascii="宋体" w:hAnsi="宋体" w:eastAsia="宋体" w:cs="宋体"/>
          <w:b w:val="0"/>
          <w:bCs/>
          <w:lang w:val="en-US" w:eastAsia="zh-CN"/>
        </w:rPr>
      </w:pPr>
    </w:p>
    <w:p>
      <w:pPr>
        <w:pStyle w:val="31"/>
        <w:jc w:val="center"/>
        <w:rPr>
          <w:rFonts w:hint="eastAsia" w:ascii="宋体" w:hAnsi="宋体" w:eastAsia="宋体" w:cs="宋体"/>
          <w:b w:val="0"/>
          <w:bCs/>
          <w:lang w:val="en-US" w:eastAsia="zh-CN"/>
        </w:rPr>
      </w:pPr>
      <w:r>
        <w:rPr>
          <w:rFonts w:hint="eastAsia" w:ascii="宋体" w:hAnsi="宋体" w:eastAsia="宋体" w:cs="宋体"/>
          <w:b w:val="0"/>
          <w:bCs/>
          <w:lang w:val="en-US" w:eastAsia="zh-CN"/>
        </w:rPr>
        <w:t>（供应商根据评审标准自行编制）</w:t>
      </w:r>
    </w:p>
    <w:p>
      <w:pPr>
        <w:rPr>
          <w:rFonts w:hint="eastAsia" w:ascii="宋体" w:hAnsi="宋体" w:eastAsia="宋体" w:cs="宋体"/>
          <w:b w:val="0"/>
          <w:bCs/>
          <w:lang w:val="en-US" w:eastAsia="zh-CN"/>
        </w:rPr>
      </w:pPr>
    </w:p>
    <w:p>
      <w:pPr>
        <w:pStyle w:val="31"/>
        <w:rPr>
          <w:rFonts w:hint="eastAsia" w:ascii="宋体" w:hAnsi="宋体" w:eastAsia="宋体" w:cs="宋体"/>
          <w:b w:val="0"/>
          <w:bCs/>
          <w:lang w:val="en-US" w:eastAsia="zh-CN"/>
        </w:rPr>
      </w:pPr>
    </w:p>
    <w:p>
      <w:pPr>
        <w:rPr>
          <w:rFonts w:hint="eastAsia" w:ascii="宋体" w:hAnsi="宋体" w:eastAsia="宋体" w:cs="宋体"/>
          <w:b w:val="0"/>
          <w:bCs/>
          <w:lang w:val="en-US" w:eastAsia="zh-CN"/>
        </w:rPr>
      </w:pPr>
    </w:p>
    <w:p>
      <w:pPr>
        <w:pStyle w:val="31"/>
        <w:rPr>
          <w:rFonts w:hint="eastAsia" w:ascii="宋体" w:hAnsi="宋体" w:eastAsia="宋体" w:cs="宋体"/>
          <w:b w:val="0"/>
          <w:bCs/>
          <w:lang w:val="en-US" w:eastAsia="zh-CN"/>
        </w:rPr>
      </w:pPr>
    </w:p>
    <w:p>
      <w:pPr>
        <w:rPr>
          <w:rFonts w:hint="eastAsia" w:ascii="宋体" w:hAnsi="宋体" w:eastAsia="宋体" w:cs="宋体"/>
          <w:b w:val="0"/>
          <w:bCs/>
          <w:lang w:val="en-US" w:eastAsia="zh-CN"/>
        </w:rPr>
      </w:pPr>
    </w:p>
    <w:p>
      <w:pPr>
        <w:pStyle w:val="31"/>
        <w:rPr>
          <w:rFonts w:hint="eastAsia" w:ascii="宋体" w:hAnsi="宋体" w:eastAsia="宋体" w:cs="宋体"/>
          <w:b w:val="0"/>
          <w:bCs/>
          <w:lang w:val="en-US" w:eastAsia="zh-CN"/>
        </w:rPr>
      </w:pPr>
    </w:p>
    <w:p>
      <w:pPr>
        <w:rPr>
          <w:rFonts w:hint="eastAsia" w:ascii="宋体" w:hAnsi="宋体" w:eastAsia="宋体" w:cs="宋体"/>
          <w:b w:val="0"/>
          <w:bCs/>
          <w:lang w:val="en-US" w:eastAsia="zh-CN"/>
        </w:rPr>
      </w:pPr>
    </w:p>
    <w:p>
      <w:pPr>
        <w:pStyle w:val="31"/>
        <w:rPr>
          <w:rFonts w:hint="eastAsia" w:ascii="宋体" w:hAnsi="宋体" w:eastAsia="宋体" w:cs="宋体"/>
          <w:b w:val="0"/>
          <w:bCs/>
          <w:lang w:val="en-US" w:eastAsia="zh-CN"/>
        </w:rPr>
      </w:pPr>
    </w:p>
    <w:p>
      <w:pPr>
        <w:rPr>
          <w:rFonts w:hint="eastAsia" w:ascii="宋体" w:hAnsi="宋体" w:eastAsia="宋体" w:cs="宋体"/>
          <w:b w:val="0"/>
          <w:bCs/>
          <w:lang w:val="en-US" w:eastAsia="zh-CN"/>
        </w:rPr>
      </w:pPr>
    </w:p>
    <w:p>
      <w:pPr>
        <w:pStyle w:val="31"/>
        <w:rPr>
          <w:rFonts w:hint="eastAsia" w:ascii="宋体" w:hAnsi="宋体" w:eastAsia="宋体" w:cs="宋体"/>
          <w:b w:val="0"/>
          <w:bCs/>
          <w:lang w:val="en-US" w:eastAsia="zh-CN"/>
        </w:rPr>
      </w:pPr>
    </w:p>
    <w:p>
      <w:pPr>
        <w:rPr>
          <w:rFonts w:hint="eastAsia" w:ascii="宋体" w:hAnsi="宋体" w:eastAsia="宋体" w:cs="宋体"/>
          <w:b w:val="0"/>
          <w:bCs/>
          <w:lang w:val="en-US" w:eastAsia="zh-CN"/>
        </w:rPr>
      </w:pPr>
    </w:p>
    <w:p>
      <w:pPr>
        <w:pStyle w:val="31"/>
        <w:rPr>
          <w:rFonts w:hint="eastAsia" w:ascii="宋体" w:hAnsi="宋体" w:eastAsia="宋体" w:cs="宋体"/>
          <w:b w:val="0"/>
          <w:bCs/>
          <w:lang w:val="en-US" w:eastAsia="zh-CN"/>
        </w:rPr>
      </w:pPr>
    </w:p>
    <w:p>
      <w:pPr>
        <w:rPr>
          <w:rFonts w:hint="eastAsia" w:ascii="宋体" w:hAnsi="宋体" w:eastAsia="宋体" w:cs="宋体"/>
          <w:b w:val="0"/>
          <w:bCs/>
          <w:lang w:val="en-US" w:eastAsia="zh-CN"/>
        </w:rPr>
      </w:pPr>
    </w:p>
    <w:p>
      <w:pPr>
        <w:pStyle w:val="31"/>
        <w:rPr>
          <w:rFonts w:hint="eastAsia" w:ascii="宋体" w:hAnsi="宋体" w:eastAsia="宋体" w:cs="宋体"/>
          <w:b w:val="0"/>
          <w:bCs/>
          <w:lang w:val="en-US" w:eastAsia="zh-CN"/>
        </w:rPr>
      </w:pPr>
    </w:p>
    <w:p>
      <w:pPr>
        <w:rPr>
          <w:rFonts w:hint="eastAsia" w:ascii="宋体" w:hAnsi="宋体" w:eastAsia="宋体" w:cs="宋体"/>
          <w:b w:val="0"/>
          <w:bCs/>
          <w:lang w:val="en-US" w:eastAsia="zh-CN"/>
        </w:rPr>
      </w:pPr>
    </w:p>
    <w:p>
      <w:pPr>
        <w:pStyle w:val="31"/>
        <w:rPr>
          <w:rFonts w:hint="eastAsia" w:ascii="宋体" w:hAnsi="宋体" w:eastAsia="宋体" w:cs="宋体"/>
          <w:b w:val="0"/>
          <w:bCs/>
          <w:lang w:val="en-US" w:eastAsia="zh-CN"/>
        </w:rPr>
      </w:pPr>
    </w:p>
    <w:p>
      <w:pPr>
        <w:rPr>
          <w:rFonts w:hint="eastAsia" w:ascii="宋体" w:hAnsi="宋体" w:eastAsia="宋体" w:cs="宋体"/>
          <w:b w:val="0"/>
          <w:bCs/>
          <w:lang w:val="en-US" w:eastAsia="zh-CN"/>
        </w:rPr>
      </w:pPr>
    </w:p>
    <w:p>
      <w:pPr>
        <w:pStyle w:val="31"/>
        <w:rPr>
          <w:rFonts w:hint="eastAsia" w:ascii="宋体" w:hAnsi="宋体" w:eastAsia="宋体" w:cs="宋体"/>
          <w:b w:val="0"/>
          <w:bCs/>
          <w:lang w:val="en-US" w:eastAsia="zh-CN"/>
        </w:rPr>
      </w:pPr>
    </w:p>
    <w:p>
      <w:pPr>
        <w:rPr>
          <w:rFonts w:hint="eastAsia" w:ascii="宋体" w:hAnsi="宋体" w:eastAsia="宋体" w:cs="宋体"/>
          <w:b w:val="0"/>
          <w:bCs/>
          <w:lang w:val="en-US" w:eastAsia="zh-CN"/>
        </w:rPr>
      </w:pPr>
    </w:p>
    <w:p>
      <w:pPr>
        <w:pStyle w:val="31"/>
        <w:rPr>
          <w:rFonts w:hint="eastAsia" w:ascii="宋体" w:hAnsi="宋体" w:eastAsia="宋体" w:cs="宋体"/>
          <w:b w:val="0"/>
          <w:bCs/>
          <w:lang w:val="en-US" w:eastAsia="zh-CN"/>
        </w:rPr>
      </w:pPr>
    </w:p>
    <w:p>
      <w:pPr>
        <w:rPr>
          <w:rFonts w:hint="eastAsia" w:ascii="宋体" w:hAnsi="宋体" w:eastAsia="宋体" w:cs="宋体"/>
          <w:b w:val="0"/>
          <w:bCs/>
          <w:lang w:val="en-US" w:eastAsia="zh-CN"/>
        </w:rPr>
      </w:pPr>
    </w:p>
    <w:p>
      <w:pPr>
        <w:pStyle w:val="31"/>
        <w:rPr>
          <w:rFonts w:hint="eastAsia" w:ascii="宋体" w:hAnsi="宋体" w:eastAsia="宋体" w:cs="宋体"/>
          <w:b w:val="0"/>
          <w:bCs/>
          <w:lang w:val="en-US" w:eastAsia="zh-CN"/>
        </w:rPr>
      </w:pPr>
    </w:p>
    <w:p>
      <w:pPr>
        <w:rPr>
          <w:rFonts w:hint="eastAsia" w:ascii="宋体" w:hAnsi="宋体" w:eastAsia="宋体" w:cs="宋体"/>
          <w:b w:val="0"/>
          <w:bCs/>
          <w:lang w:val="en-US" w:eastAsia="zh-CN"/>
        </w:rPr>
      </w:pPr>
    </w:p>
    <w:p>
      <w:pPr>
        <w:pStyle w:val="31"/>
        <w:rPr>
          <w:rFonts w:hint="eastAsia" w:ascii="宋体" w:hAnsi="宋体" w:eastAsia="宋体" w:cs="宋体"/>
          <w:b w:val="0"/>
          <w:bCs/>
          <w:lang w:val="en-US" w:eastAsia="zh-CN"/>
        </w:rPr>
      </w:pPr>
    </w:p>
    <w:p>
      <w:pPr>
        <w:rPr>
          <w:rFonts w:hint="eastAsia" w:ascii="宋体" w:hAnsi="宋体" w:eastAsia="宋体" w:cs="宋体"/>
          <w:b w:val="0"/>
          <w:bCs/>
          <w:lang w:val="en-US" w:eastAsia="zh-CN"/>
        </w:rPr>
      </w:pPr>
    </w:p>
    <w:p>
      <w:pPr>
        <w:pStyle w:val="31"/>
        <w:rPr>
          <w:rFonts w:hint="eastAsia" w:ascii="宋体" w:hAnsi="宋体" w:eastAsia="宋体" w:cs="宋体"/>
          <w:b w:val="0"/>
          <w:bCs/>
          <w:lang w:val="en-US" w:eastAsia="zh-CN"/>
        </w:rPr>
      </w:pPr>
    </w:p>
    <w:p>
      <w:pPr>
        <w:rPr>
          <w:rFonts w:hint="eastAsia" w:ascii="宋体" w:hAnsi="宋体" w:eastAsia="宋体" w:cs="宋体"/>
          <w:b w:val="0"/>
          <w:bCs/>
          <w:lang w:val="en-US" w:eastAsia="zh-CN"/>
        </w:rPr>
      </w:pPr>
    </w:p>
    <w:p>
      <w:pPr>
        <w:pStyle w:val="31"/>
        <w:rPr>
          <w:rFonts w:hint="eastAsia" w:ascii="宋体" w:hAnsi="宋体" w:eastAsia="宋体" w:cs="宋体"/>
          <w:b w:val="0"/>
          <w:bCs/>
          <w:lang w:val="en-US" w:eastAsia="zh-CN"/>
        </w:rPr>
      </w:pPr>
    </w:p>
    <w:p>
      <w:pPr>
        <w:rPr>
          <w:rFonts w:hint="eastAsia" w:ascii="宋体" w:hAnsi="宋体" w:eastAsia="宋体" w:cs="宋体"/>
          <w:b w:val="0"/>
          <w:bCs/>
          <w:lang w:val="en-US" w:eastAsia="zh-CN"/>
        </w:rPr>
      </w:pPr>
    </w:p>
    <w:p>
      <w:pPr>
        <w:pStyle w:val="31"/>
        <w:rPr>
          <w:rFonts w:hint="eastAsia" w:ascii="宋体" w:hAnsi="宋体" w:eastAsia="宋体" w:cs="宋体"/>
          <w:b w:val="0"/>
          <w:bCs/>
          <w:lang w:val="en-US" w:eastAsia="zh-CN"/>
        </w:rPr>
      </w:pPr>
    </w:p>
    <w:p>
      <w:pPr>
        <w:rPr>
          <w:rFonts w:hint="eastAsia" w:ascii="宋体" w:hAnsi="宋体" w:eastAsia="宋体" w:cs="宋体"/>
          <w:b w:val="0"/>
          <w:bCs/>
          <w:lang w:val="en-US" w:eastAsia="zh-CN"/>
        </w:rPr>
      </w:pPr>
    </w:p>
    <w:p>
      <w:pPr>
        <w:pStyle w:val="31"/>
        <w:rPr>
          <w:rFonts w:hint="eastAsia" w:ascii="宋体" w:hAnsi="宋体" w:eastAsia="宋体" w:cs="宋体"/>
          <w:b w:val="0"/>
          <w:bCs/>
          <w:lang w:val="en-US" w:eastAsia="zh-CN"/>
        </w:rPr>
      </w:pPr>
    </w:p>
    <w:p>
      <w:pPr>
        <w:rPr>
          <w:rFonts w:hint="eastAsia" w:ascii="宋体" w:hAnsi="宋体" w:eastAsia="宋体" w:cs="宋体"/>
          <w:b w:val="0"/>
          <w:bCs/>
          <w:lang w:val="en-US" w:eastAsia="zh-CN"/>
        </w:rPr>
      </w:pPr>
    </w:p>
    <w:p>
      <w:pPr>
        <w:pStyle w:val="31"/>
        <w:rPr>
          <w:rFonts w:hint="eastAsia" w:ascii="宋体" w:hAnsi="宋体" w:eastAsia="宋体" w:cs="宋体"/>
          <w:b w:val="0"/>
          <w:bCs/>
          <w:lang w:val="en-US" w:eastAsia="zh-CN"/>
        </w:rPr>
      </w:pPr>
    </w:p>
    <w:p>
      <w:pPr>
        <w:rPr>
          <w:rFonts w:hint="eastAsia" w:ascii="宋体" w:hAnsi="宋体" w:eastAsia="宋体" w:cs="宋体"/>
          <w:b w:val="0"/>
          <w:bCs/>
          <w:lang w:val="en-US" w:eastAsia="zh-CN"/>
        </w:rPr>
      </w:pPr>
    </w:p>
    <w:p>
      <w:pPr>
        <w:pStyle w:val="31"/>
        <w:rPr>
          <w:rFonts w:hint="eastAsia" w:ascii="宋体" w:hAnsi="宋体" w:eastAsia="宋体" w:cs="宋体"/>
          <w:b w:val="0"/>
          <w:bCs/>
          <w:lang w:val="en-US" w:eastAsia="zh-CN"/>
        </w:rPr>
      </w:pPr>
    </w:p>
    <w:p>
      <w:pPr>
        <w:tabs>
          <w:tab w:val="left" w:pos="360"/>
        </w:tabs>
        <w:snapToGrid w:val="0"/>
        <w:spacing w:line="360" w:lineRule="auto"/>
        <w:outlineLvl w:val="1"/>
        <w:rPr>
          <w:rFonts w:hint="eastAsia" w:ascii="宋体" w:hAnsi="宋体" w:eastAsia="宋体" w:cs="宋体"/>
          <w:sz w:val="24"/>
        </w:rPr>
      </w:pPr>
      <w:r>
        <w:rPr>
          <w:rFonts w:hint="eastAsia" w:ascii="宋体" w:hAnsi="宋体" w:cs="宋体"/>
          <w:sz w:val="24"/>
          <w:lang w:val="en-US" w:eastAsia="zh-CN"/>
        </w:rPr>
        <w:t>14</w:t>
      </w:r>
      <w:r>
        <w:rPr>
          <w:rFonts w:hint="eastAsia" w:ascii="宋体" w:hAnsi="宋体" w:eastAsia="宋体" w:cs="宋体"/>
          <w:sz w:val="24"/>
        </w:rPr>
        <w:t xml:space="preserve">  最后报价一览表（实质性格式，磋商后提交）</w:t>
      </w:r>
    </w:p>
    <w:p>
      <w:pPr>
        <w:widowControl/>
        <w:jc w:val="left"/>
        <w:rPr>
          <w:rFonts w:hint="eastAsia" w:ascii="宋体" w:hAnsi="宋体" w:eastAsia="宋体" w:cs="宋体"/>
          <w:kern w:val="0"/>
          <w:sz w:val="24"/>
          <w:szCs w:val="20"/>
        </w:rPr>
      </w:pPr>
    </w:p>
    <w:p>
      <w:pPr>
        <w:spacing w:line="240" w:lineRule="auto"/>
        <w:ind w:left="0" w:leftChars="0" w:firstLine="0" w:firstLineChars="0"/>
        <w:jc w:val="center"/>
        <w:rPr>
          <w:rFonts w:hint="eastAsia" w:ascii="宋体" w:hAnsi="宋体" w:eastAsia="宋体" w:cs="宋体"/>
          <w:b/>
          <w:color w:val="000000"/>
          <w:sz w:val="36"/>
          <w:szCs w:val="36"/>
        </w:rPr>
      </w:pPr>
      <w:r>
        <w:rPr>
          <w:rFonts w:hint="eastAsia" w:ascii="宋体" w:hAnsi="宋体" w:eastAsia="宋体" w:cs="宋体"/>
          <w:b/>
          <w:color w:val="000000"/>
          <w:sz w:val="36"/>
          <w:szCs w:val="36"/>
        </w:rPr>
        <w:t>最后报价一览表</w:t>
      </w:r>
    </w:p>
    <w:p>
      <w:pPr>
        <w:tabs>
          <w:tab w:val="left" w:pos="1800"/>
          <w:tab w:val="left" w:pos="5580"/>
        </w:tabs>
        <w:spacing w:line="360" w:lineRule="auto"/>
        <w:jc w:val="left"/>
        <w:rPr>
          <w:rFonts w:hint="eastAsia" w:ascii="宋体" w:hAnsi="宋体" w:eastAsia="宋体" w:cs="宋体"/>
          <w:color w:val="000000"/>
          <w:sz w:val="24"/>
        </w:rPr>
      </w:pPr>
    </w:p>
    <w:p>
      <w:pPr>
        <w:tabs>
          <w:tab w:val="left" w:pos="1800"/>
          <w:tab w:val="left" w:pos="5580"/>
        </w:tabs>
        <w:spacing w:line="360" w:lineRule="auto"/>
        <w:ind w:firstLine="360" w:firstLineChars="150"/>
        <w:jc w:val="left"/>
        <w:rPr>
          <w:rFonts w:hint="default" w:ascii="宋体" w:hAnsi="宋体" w:eastAsia="宋体" w:cs="宋体"/>
          <w:color w:val="000000"/>
          <w:sz w:val="24"/>
          <w:u w:val="single"/>
          <w:lang w:val="en-US" w:eastAsia="zh-CN"/>
        </w:rPr>
      </w:pPr>
      <w:r>
        <w:rPr>
          <w:rFonts w:hint="eastAsia" w:ascii="宋体" w:hAnsi="宋体" w:eastAsia="宋体" w:cs="宋体"/>
          <w:color w:val="000000"/>
          <w:sz w:val="24"/>
        </w:rPr>
        <w:t>项目编号：</w:t>
      </w:r>
      <w:r>
        <w:rPr>
          <w:rFonts w:hint="eastAsia" w:ascii="宋体" w:hAnsi="宋体" w:cs="宋体"/>
          <w:color w:val="000000"/>
          <w:sz w:val="24"/>
          <w:u w:val="single"/>
          <w:lang w:val="en-US" w:eastAsia="zh-CN"/>
        </w:rPr>
        <w:t xml:space="preserve">             </w:t>
      </w:r>
      <w:r>
        <w:rPr>
          <w:rFonts w:hint="eastAsia" w:ascii="宋体" w:hAnsi="宋体" w:eastAsia="宋体" w:cs="宋体"/>
          <w:color w:val="000000"/>
          <w:sz w:val="24"/>
        </w:rPr>
        <w:t xml:space="preserve">  </w:t>
      </w:r>
      <w:r>
        <w:rPr>
          <w:rFonts w:hint="eastAsia" w:ascii="宋体" w:hAnsi="宋体" w:cs="宋体"/>
          <w:color w:val="000000"/>
          <w:sz w:val="24"/>
          <w:lang w:val="en-US" w:eastAsia="zh-CN"/>
        </w:rPr>
        <w:t xml:space="preserve">   </w:t>
      </w:r>
      <w:r>
        <w:rPr>
          <w:rFonts w:hint="eastAsia" w:ascii="宋体" w:hAnsi="宋体" w:eastAsia="宋体" w:cs="宋体"/>
          <w:color w:val="000000"/>
          <w:sz w:val="24"/>
        </w:rPr>
        <w:t>项目名称：</w:t>
      </w:r>
      <w:r>
        <w:rPr>
          <w:rFonts w:hint="eastAsia" w:ascii="宋体" w:hAnsi="宋体" w:cs="宋体"/>
          <w:color w:val="000000"/>
          <w:sz w:val="24"/>
          <w:u w:val="single"/>
          <w:lang w:val="en-US" w:eastAsia="zh-CN"/>
        </w:rPr>
        <w:t xml:space="preserve">                    </w:t>
      </w:r>
    </w:p>
    <w:tbl>
      <w:tblPr>
        <w:tblStyle w:val="47"/>
        <w:tblW w:w="513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70"/>
        <w:gridCol w:w="2210"/>
        <w:gridCol w:w="1982"/>
        <w:gridCol w:w="1784"/>
        <w:gridCol w:w="1654"/>
        <w:gridCol w:w="12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91" w:hRule="atLeast"/>
          <w:jc w:val="center"/>
        </w:trPr>
        <w:tc>
          <w:tcPr>
            <w:tcW w:w="252" w:type="pct"/>
            <w:noWrap w:val="0"/>
            <w:vAlign w:val="center"/>
          </w:tcPr>
          <w:p>
            <w:pPr>
              <w:tabs>
                <w:tab w:val="left" w:pos="5580"/>
              </w:tabs>
              <w:jc w:val="center"/>
              <w:rPr>
                <w:rFonts w:hint="eastAsia" w:ascii="宋体" w:hAnsi="宋体" w:eastAsia="宋体" w:cs="宋体"/>
                <w:b/>
                <w:color w:val="auto"/>
                <w:sz w:val="24"/>
              </w:rPr>
            </w:pPr>
            <w:r>
              <w:rPr>
                <w:rFonts w:hint="eastAsia" w:ascii="宋体" w:hAnsi="宋体" w:eastAsia="宋体" w:cs="宋体"/>
                <w:b/>
                <w:color w:val="auto"/>
                <w:sz w:val="24"/>
              </w:rPr>
              <w:t>序号</w:t>
            </w:r>
          </w:p>
        </w:tc>
        <w:tc>
          <w:tcPr>
            <w:tcW w:w="1184" w:type="pct"/>
            <w:noWrap w:val="0"/>
            <w:vAlign w:val="center"/>
          </w:tcPr>
          <w:p>
            <w:pPr>
              <w:tabs>
                <w:tab w:val="left" w:pos="5580"/>
              </w:tabs>
              <w:jc w:val="center"/>
              <w:rPr>
                <w:rFonts w:hint="eastAsia" w:ascii="宋体" w:hAnsi="宋体" w:eastAsia="宋体" w:cs="宋体"/>
                <w:b/>
                <w:color w:val="auto"/>
                <w:sz w:val="24"/>
              </w:rPr>
            </w:pPr>
            <w:r>
              <w:rPr>
                <w:rFonts w:hint="eastAsia" w:ascii="宋体" w:hAnsi="宋体" w:cs="宋体"/>
                <w:b/>
                <w:color w:val="auto"/>
                <w:sz w:val="24"/>
                <w:lang w:eastAsia="zh-CN"/>
              </w:rPr>
              <w:t>供应商</w:t>
            </w:r>
            <w:r>
              <w:rPr>
                <w:rFonts w:hint="eastAsia" w:ascii="宋体" w:hAnsi="宋体" w:eastAsia="宋体" w:cs="宋体"/>
                <w:b/>
                <w:color w:val="auto"/>
                <w:sz w:val="24"/>
              </w:rPr>
              <w:t>名称</w:t>
            </w:r>
          </w:p>
        </w:tc>
        <w:tc>
          <w:tcPr>
            <w:tcW w:w="1062" w:type="pct"/>
            <w:noWrap w:val="0"/>
            <w:vAlign w:val="center"/>
          </w:tcPr>
          <w:p>
            <w:pPr>
              <w:tabs>
                <w:tab w:val="left" w:pos="5580"/>
              </w:tabs>
              <w:jc w:val="center"/>
              <w:rPr>
                <w:rFonts w:hint="eastAsia" w:ascii="宋体" w:hAnsi="宋体" w:eastAsia="宋体" w:cs="宋体"/>
                <w:b/>
                <w:color w:val="auto"/>
                <w:sz w:val="24"/>
                <w:lang w:eastAsia="zh-CN"/>
              </w:rPr>
            </w:pPr>
            <w:r>
              <w:rPr>
                <w:rFonts w:hint="eastAsia" w:ascii="宋体" w:hAnsi="宋体" w:cs="宋体"/>
                <w:b/>
                <w:color w:val="auto"/>
                <w:sz w:val="24"/>
                <w:lang w:val="en-US" w:eastAsia="zh-CN"/>
              </w:rPr>
              <w:t>投标</w:t>
            </w:r>
            <w:r>
              <w:rPr>
                <w:rFonts w:hint="eastAsia" w:ascii="宋体" w:hAnsi="宋体" w:cs="宋体"/>
                <w:b/>
                <w:color w:val="auto"/>
                <w:sz w:val="24"/>
                <w:lang w:eastAsia="zh-CN"/>
              </w:rPr>
              <w:t>单价</w:t>
            </w:r>
          </w:p>
        </w:tc>
        <w:tc>
          <w:tcPr>
            <w:tcW w:w="956" w:type="pct"/>
            <w:noWrap w:val="0"/>
            <w:vAlign w:val="center"/>
          </w:tcPr>
          <w:p>
            <w:pPr>
              <w:tabs>
                <w:tab w:val="left" w:pos="5580"/>
              </w:tabs>
              <w:jc w:val="center"/>
              <w:rPr>
                <w:rFonts w:hint="eastAsia" w:ascii="宋体" w:hAnsi="宋体" w:eastAsia="宋体" w:cs="宋体"/>
                <w:b/>
                <w:color w:val="auto"/>
                <w:kern w:val="2"/>
                <w:sz w:val="24"/>
                <w:szCs w:val="24"/>
                <w:lang w:val="en-US" w:eastAsia="zh-CN" w:bidi="ar-SA"/>
              </w:rPr>
            </w:pPr>
            <w:r>
              <w:rPr>
                <w:rFonts w:hint="eastAsia" w:ascii="宋体" w:hAnsi="宋体" w:eastAsia="宋体" w:cs="宋体"/>
                <w:b/>
                <w:color w:val="auto"/>
                <w:sz w:val="24"/>
                <w:lang w:val="en-US" w:eastAsia="zh-CN"/>
              </w:rPr>
              <w:t>合同履行期限</w:t>
            </w:r>
          </w:p>
        </w:tc>
        <w:tc>
          <w:tcPr>
            <w:tcW w:w="886" w:type="pct"/>
            <w:noWrap w:val="0"/>
            <w:vAlign w:val="center"/>
          </w:tcPr>
          <w:p>
            <w:pPr>
              <w:tabs>
                <w:tab w:val="left" w:pos="5580"/>
              </w:tabs>
              <w:jc w:val="center"/>
              <w:rPr>
                <w:rFonts w:hint="default" w:ascii="宋体" w:hAnsi="宋体" w:eastAsia="宋体" w:cs="宋体"/>
                <w:b/>
                <w:color w:val="auto"/>
                <w:sz w:val="24"/>
                <w:lang w:val="en-US" w:eastAsia="zh-CN"/>
              </w:rPr>
            </w:pPr>
            <w:r>
              <w:rPr>
                <w:rFonts w:hint="eastAsia" w:ascii="宋体" w:hAnsi="宋体" w:cs="宋体"/>
                <w:b/>
                <w:color w:val="auto"/>
                <w:sz w:val="24"/>
                <w:lang w:val="en-US" w:eastAsia="zh-CN"/>
              </w:rPr>
              <w:t>服务地点</w:t>
            </w:r>
          </w:p>
        </w:tc>
        <w:tc>
          <w:tcPr>
            <w:tcW w:w="658" w:type="pct"/>
            <w:noWrap w:val="0"/>
            <w:vAlign w:val="center"/>
          </w:tcPr>
          <w:p>
            <w:pPr>
              <w:tabs>
                <w:tab w:val="left" w:pos="5580"/>
              </w:tabs>
              <w:jc w:val="center"/>
              <w:rPr>
                <w:rFonts w:hint="eastAsia" w:ascii="宋体" w:hAnsi="宋体" w:eastAsia="宋体" w:cs="宋体"/>
                <w:b/>
                <w:color w:val="auto"/>
                <w:sz w:val="24"/>
                <w:lang w:val="en-US" w:eastAsia="zh-CN"/>
              </w:rPr>
            </w:pPr>
            <w:r>
              <w:rPr>
                <w:rFonts w:hint="eastAsia" w:ascii="宋体" w:hAnsi="宋体" w:eastAsia="宋体" w:cs="宋体"/>
                <w:b/>
                <w:color w:val="auto"/>
                <w:sz w:val="24"/>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83" w:hRule="atLeast"/>
          <w:jc w:val="center"/>
        </w:trPr>
        <w:tc>
          <w:tcPr>
            <w:tcW w:w="252" w:type="pct"/>
            <w:noWrap w:val="0"/>
            <w:vAlign w:val="center"/>
          </w:tcPr>
          <w:p>
            <w:pPr>
              <w:tabs>
                <w:tab w:val="left" w:pos="5580"/>
              </w:tabs>
              <w:jc w:val="center"/>
              <w:rPr>
                <w:rFonts w:hint="eastAsia" w:ascii="宋体" w:hAnsi="宋体" w:eastAsia="宋体" w:cs="宋体"/>
                <w:color w:val="auto"/>
                <w:sz w:val="24"/>
              </w:rPr>
            </w:pPr>
          </w:p>
        </w:tc>
        <w:tc>
          <w:tcPr>
            <w:tcW w:w="1184" w:type="pct"/>
            <w:noWrap w:val="0"/>
            <w:vAlign w:val="center"/>
          </w:tcPr>
          <w:p>
            <w:pPr>
              <w:tabs>
                <w:tab w:val="left" w:pos="5580"/>
              </w:tabs>
              <w:jc w:val="center"/>
              <w:rPr>
                <w:rFonts w:hint="eastAsia" w:ascii="宋体" w:hAnsi="宋体" w:eastAsia="宋体" w:cs="宋体"/>
                <w:color w:val="auto"/>
                <w:sz w:val="24"/>
              </w:rPr>
            </w:pPr>
          </w:p>
        </w:tc>
        <w:tc>
          <w:tcPr>
            <w:tcW w:w="1062" w:type="pct"/>
            <w:noWrap w:val="0"/>
            <w:vAlign w:val="center"/>
          </w:tcPr>
          <w:p>
            <w:pPr>
              <w:tabs>
                <w:tab w:val="left" w:pos="5580"/>
              </w:tabs>
              <w:jc w:val="center"/>
              <w:rPr>
                <w:rFonts w:hint="default" w:ascii="宋体" w:hAnsi="宋体" w:eastAsia="宋体" w:cs="宋体"/>
                <w:color w:val="auto"/>
                <w:sz w:val="24"/>
                <w:u w:val="single"/>
                <w:lang w:val="en-US" w:eastAsia="zh-CN"/>
              </w:rPr>
            </w:pPr>
            <w:r>
              <w:rPr>
                <w:rFonts w:hint="eastAsia" w:ascii="宋体" w:hAnsi="宋体" w:cs="宋体"/>
                <w:color w:val="auto"/>
                <w:sz w:val="24"/>
                <w:u w:val="single"/>
                <w:lang w:val="en-US" w:eastAsia="zh-CN"/>
              </w:rPr>
              <w:t xml:space="preserve">      </w:t>
            </w:r>
            <w:r>
              <w:rPr>
                <w:rFonts w:hint="eastAsia" w:ascii="宋体" w:hAnsi="宋体" w:cs="宋体"/>
                <w:color w:val="auto"/>
                <w:sz w:val="24"/>
                <w:u w:val="none"/>
                <w:lang w:val="en-US" w:eastAsia="zh-CN"/>
              </w:rPr>
              <w:t>元</w:t>
            </w:r>
          </w:p>
        </w:tc>
        <w:tc>
          <w:tcPr>
            <w:tcW w:w="956" w:type="pct"/>
            <w:noWrap w:val="0"/>
            <w:vAlign w:val="center"/>
          </w:tcPr>
          <w:p>
            <w:pPr>
              <w:tabs>
                <w:tab w:val="left" w:pos="5580"/>
              </w:tabs>
              <w:jc w:val="center"/>
              <w:rPr>
                <w:rFonts w:hint="eastAsia" w:ascii="宋体" w:hAnsi="宋体" w:eastAsia="宋体" w:cs="宋体"/>
                <w:color w:val="auto"/>
                <w:sz w:val="24"/>
              </w:rPr>
            </w:pPr>
          </w:p>
        </w:tc>
        <w:tc>
          <w:tcPr>
            <w:tcW w:w="886" w:type="pct"/>
            <w:noWrap w:val="0"/>
            <w:vAlign w:val="center"/>
          </w:tcPr>
          <w:p>
            <w:pPr>
              <w:tabs>
                <w:tab w:val="left" w:pos="5580"/>
              </w:tabs>
              <w:jc w:val="center"/>
              <w:rPr>
                <w:rFonts w:hint="eastAsia" w:ascii="宋体" w:hAnsi="宋体" w:eastAsia="宋体" w:cs="宋体"/>
                <w:color w:val="auto"/>
                <w:sz w:val="24"/>
              </w:rPr>
            </w:pPr>
          </w:p>
        </w:tc>
        <w:tc>
          <w:tcPr>
            <w:tcW w:w="658" w:type="pct"/>
            <w:noWrap w:val="0"/>
            <w:vAlign w:val="center"/>
          </w:tcPr>
          <w:p>
            <w:pPr>
              <w:tabs>
                <w:tab w:val="left" w:pos="5580"/>
              </w:tabs>
              <w:jc w:val="center"/>
              <w:rPr>
                <w:rFonts w:hint="eastAsia" w:ascii="宋体" w:hAnsi="宋体" w:eastAsia="宋体" w:cs="宋体"/>
                <w:color w:val="auto"/>
                <w:sz w:val="24"/>
              </w:rPr>
            </w:pPr>
          </w:p>
        </w:tc>
      </w:tr>
    </w:tbl>
    <w:p>
      <w:pPr>
        <w:autoSpaceDE w:val="0"/>
        <w:autoSpaceDN w:val="0"/>
        <w:adjustRightInd w:val="0"/>
        <w:jc w:val="left"/>
        <w:rPr>
          <w:rFonts w:hint="eastAsia" w:ascii="宋体" w:hAnsi="宋体" w:eastAsia="宋体" w:cs="宋体"/>
          <w:color w:val="000000"/>
          <w:kern w:val="0"/>
          <w:sz w:val="24"/>
        </w:rPr>
      </w:pPr>
    </w:p>
    <w:p>
      <w:pPr>
        <w:topLinePunct/>
        <w:spacing w:line="440" w:lineRule="exact"/>
        <w:ind w:left="906" w:leftChars="100" w:right="-307" w:rightChars="-146" w:hanging="696" w:hangingChars="300"/>
        <w:rPr>
          <w:rFonts w:hint="eastAsia" w:ascii="宋体" w:hAnsi="宋体" w:eastAsia="宋体" w:cs="宋体"/>
          <w:sz w:val="24"/>
          <w:szCs w:val="24"/>
          <w:highlight w:val="none"/>
        </w:rPr>
      </w:pPr>
      <w:r>
        <w:rPr>
          <w:spacing w:val="-4"/>
          <w:sz w:val="24"/>
          <w:szCs w:val="24"/>
        </w:rPr>
        <w:t>注：</w:t>
      </w:r>
      <w:r>
        <w:rPr>
          <w:rFonts w:hint="eastAsia" w:ascii="宋体" w:hAnsi="宋体" w:eastAsia="宋体" w:cs="宋体"/>
          <w:sz w:val="24"/>
          <w:szCs w:val="24"/>
          <w:highlight w:val="none"/>
        </w:rPr>
        <w:t xml:space="preserve">1.此表中，每包的最后报价应和《最后分项报价表》中的总价相一致。 </w:t>
      </w:r>
    </w:p>
    <w:p>
      <w:pPr>
        <w:topLinePunct/>
        <w:spacing w:line="440" w:lineRule="exact"/>
        <w:ind w:right="-307" w:rightChars="-146" w:firstLine="720" w:firstLineChars="300"/>
        <w:rPr>
          <w:rFonts w:hint="eastAsia" w:ascii="宋体" w:hAnsi="宋体" w:eastAsia="宋体" w:cs="宋体"/>
          <w:sz w:val="24"/>
          <w:szCs w:val="24"/>
          <w:highlight w:val="none"/>
        </w:rPr>
      </w:pPr>
      <w:r>
        <w:rPr>
          <w:rFonts w:hint="eastAsia" w:ascii="宋体" w:hAnsi="宋体" w:eastAsia="宋体" w:cs="宋体"/>
          <w:sz w:val="24"/>
          <w:szCs w:val="24"/>
          <w:highlight w:val="none"/>
        </w:rPr>
        <w:t>2.本表必须按包分别填写。</w:t>
      </w:r>
    </w:p>
    <w:p>
      <w:pPr>
        <w:topLinePunct/>
        <w:spacing w:line="440" w:lineRule="exact"/>
        <w:ind w:right="-307" w:rightChars="-146" w:firstLine="720" w:firstLineChars="300"/>
        <w:rPr>
          <w:rFonts w:ascii="Arial Unicode MS" w:hAnsi="Arial Unicode MS" w:eastAsia="Arial Unicode MS" w:cs="Arial Unicode MS"/>
          <w:sz w:val="24"/>
          <w:szCs w:val="24"/>
        </w:rPr>
      </w:pPr>
      <w:r>
        <w:rPr>
          <w:rFonts w:hint="eastAsia" w:ascii="宋体" w:hAnsi="宋体" w:eastAsia="宋体" w:cs="宋体"/>
          <w:sz w:val="24"/>
          <w:szCs w:val="24"/>
          <w:highlight w:val="none"/>
        </w:rPr>
        <w:t>3.此表无需在响应文件中</w:t>
      </w:r>
      <w:r>
        <w:rPr>
          <w:rFonts w:hint="eastAsia" w:ascii="宋体" w:hAnsi="宋体" w:eastAsia="宋体" w:cs="宋体"/>
          <w:sz w:val="24"/>
          <w:szCs w:val="24"/>
          <w:highlight w:val="none"/>
          <w:lang w:val="en-US" w:eastAsia="zh-CN"/>
        </w:rPr>
        <w:t>提</w:t>
      </w:r>
      <w:r>
        <w:rPr>
          <w:rFonts w:hint="eastAsia" w:ascii="宋体" w:hAnsi="宋体" w:eastAsia="宋体" w:cs="宋体"/>
          <w:sz w:val="24"/>
          <w:szCs w:val="24"/>
          <w:highlight w:val="none"/>
        </w:rPr>
        <w:t>交，磋商后供应商按磋商小组要求</w:t>
      </w:r>
      <w:r>
        <w:rPr>
          <w:rFonts w:hint="eastAsia" w:ascii="宋体" w:hAnsi="宋体" w:eastAsia="宋体" w:cs="宋体"/>
          <w:sz w:val="24"/>
          <w:szCs w:val="24"/>
          <w:highlight w:val="none"/>
          <w:lang w:val="en-US" w:eastAsia="zh-CN"/>
        </w:rPr>
        <w:t>提</w:t>
      </w:r>
      <w:r>
        <w:rPr>
          <w:rFonts w:hint="eastAsia" w:ascii="宋体" w:hAnsi="宋体" w:eastAsia="宋体" w:cs="宋体"/>
          <w:sz w:val="24"/>
          <w:szCs w:val="24"/>
          <w:highlight w:val="none"/>
        </w:rPr>
        <w:t>交</w:t>
      </w:r>
      <w:r>
        <w:rPr>
          <w:rFonts w:hint="eastAsia" w:ascii="宋体" w:hAnsi="宋体" w:cs="宋体"/>
          <w:sz w:val="24"/>
          <w:szCs w:val="24"/>
          <w:highlight w:val="none"/>
          <w:lang w:eastAsia="zh-CN"/>
        </w:rPr>
        <w:t>。</w:t>
      </w:r>
    </w:p>
    <w:p>
      <w:pPr>
        <w:autoSpaceDE w:val="0"/>
        <w:autoSpaceDN w:val="0"/>
        <w:adjustRightInd w:val="0"/>
        <w:snapToGrid w:val="0"/>
        <w:spacing w:before="25" w:after="25" w:line="360" w:lineRule="auto"/>
        <w:rPr>
          <w:rFonts w:hint="eastAsia" w:ascii="宋体" w:hAnsi="宋体" w:eastAsia="宋体" w:cs="宋体"/>
          <w:color w:val="000000"/>
          <w:sz w:val="24"/>
          <w:lang w:val="en-US" w:eastAsia="zh-CN"/>
        </w:rPr>
      </w:pPr>
      <w:r>
        <w:rPr>
          <w:rFonts w:hint="eastAsia" w:ascii="宋体" w:hAnsi="宋体" w:cs="宋体"/>
          <w:color w:val="000000"/>
          <w:sz w:val="24"/>
          <w:lang w:val="en-US" w:eastAsia="zh-CN"/>
        </w:rPr>
        <w:t xml:space="preserve"> </w:t>
      </w:r>
    </w:p>
    <w:p>
      <w:pPr>
        <w:autoSpaceDE w:val="0"/>
        <w:autoSpaceDN w:val="0"/>
        <w:adjustRightInd w:val="0"/>
        <w:snapToGrid w:val="0"/>
        <w:spacing w:before="25" w:after="25" w:line="360" w:lineRule="auto"/>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      </w:t>
      </w:r>
    </w:p>
    <w:p>
      <w:pPr>
        <w:autoSpaceDE w:val="0"/>
        <w:autoSpaceDN w:val="0"/>
        <w:adjustRightInd w:val="0"/>
        <w:snapToGrid w:val="0"/>
        <w:spacing w:before="25" w:after="25" w:line="360" w:lineRule="auto"/>
        <w:ind w:firstLine="240" w:firstLineChars="100"/>
        <w:rPr>
          <w:rFonts w:hint="eastAsia" w:ascii="宋体" w:hAnsi="宋体" w:eastAsia="宋体" w:cs="宋体"/>
          <w:color w:val="000000"/>
          <w:sz w:val="24"/>
          <w:lang w:val="zh-CN"/>
        </w:rPr>
      </w:pPr>
      <w:r>
        <w:rPr>
          <w:rFonts w:hint="eastAsia" w:ascii="宋体" w:hAnsi="宋体" w:eastAsia="宋体" w:cs="宋体"/>
          <w:sz w:val="24"/>
        </w:rPr>
        <w:t>供应商名称（盖章）</w:t>
      </w:r>
      <w:r>
        <w:rPr>
          <w:rFonts w:hint="eastAsia" w:ascii="宋体" w:hAnsi="宋体" w:eastAsia="宋体" w:cs="宋体"/>
          <w:color w:val="000000"/>
          <w:sz w:val="24"/>
          <w:lang w:val="zh-CN"/>
        </w:rPr>
        <w:t xml:space="preserve">：___________ </w:t>
      </w:r>
    </w:p>
    <w:p>
      <w:pPr>
        <w:widowControl/>
        <w:ind w:firstLine="240" w:firstLineChars="100"/>
        <w:jc w:val="left"/>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日期：____年____月____日   </w:t>
      </w:r>
    </w:p>
    <w:p>
      <w:pPr>
        <w:widowControl/>
        <w:jc w:val="left"/>
        <w:rPr>
          <w:rFonts w:hint="eastAsia" w:ascii="宋体" w:hAnsi="宋体" w:eastAsia="宋体" w:cs="宋体"/>
          <w:color w:val="000000"/>
          <w:sz w:val="24"/>
          <w:szCs w:val="20"/>
        </w:rPr>
      </w:pPr>
      <w:r>
        <w:rPr>
          <w:rFonts w:hint="eastAsia" w:ascii="宋体" w:hAnsi="宋体" w:eastAsia="宋体" w:cs="宋体"/>
          <w:color w:val="000000"/>
          <w:sz w:val="24"/>
          <w:szCs w:val="20"/>
        </w:rPr>
        <w:br w:type="page"/>
      </w:r>
    </w:p>
    <w:p>
      <w:pPr>
        <w:tabs>
          <w:tab w:val="left" w:pos="360"/>
        </w:tabs>
        <w:snapToGrid w:val="0"/>
        <w:spacing w:line="360" w:lineRule="auto"/>
        <w:outlineLvl w:val="1"/>
        <w:rPr>
          <w:rFonts w:hint="eastAsia" w:ascii="宋体" w:hAnsi="宋体" w:eastAsia="宋体" w:cs="宋体"/>
          <w:sz w:val="24"/>
        </w:rPr>
      </w:pPr>
      <w:r>
        <w:rPr>
          <w:rFonts w:hint="eastAsia" w:ascii="宋体" w:hAnsi="宋体" w:cs="宋体"/>
          <w:sz w:val="24"/>
          <w:lang w:val="en-US" w:eastAsia="zh-CN"/>
        </w:rPr>
        <w:t>15</w:t>
      </w:r>
      <w:r>
        <w:rPr>
          <w:rFonts w:hint="eastAsia" w:ascii="宋体" w:hAnsi="宋体" w:eastAsia="宋体" w:cs="宋体"/>
          <w:sz w:val="24"/>
        </w:rPr>
        <w:t xml:space="preserve"> </w:t>
      </w:r>
      <w:r>
        <w:rPr>
          <w:rFonts w:hint="eastAsia" w:ascii="宋体" w:hAnsi="宋体" w:cs="宋体"/>
          <w:sz w:val="24"/>
          <w:lang w:val="en-US" w:eastAsia="zh-CN"/>
        </w:rPr>
        <w:t xml:space="preserve"> </w:t>
      </w:r>
      <w:r>
        <w:rPr>
          <w:rFonts w:hint="eastAsia" w:ascii="宋体" w:hAnsi="宋体" w:eastAsia="宋体" w:cs="宋体"/>
          <w:sz w:val="24"/>
        </w:rPr>
        <w:t>最后分项报价表（实质性格式，磋商后提交）</w:t>
      </w:r>
    </w:p>
    <w:p>
      <w:pPr>
        <w:spacing w:line="360" w:lineRule="auto"/>
        <w:jc w:val="center"/>
        <w:rPr>
          <w:rFonts w:hint="eastAsia" w:ascii="宋体" w:hAnsi="宋体" w:eastAsia="宋体" w:cs="宋体"/>
          <w:b/>
          <w:bCs/>
          <w:color w:val="000000"/>
          <w:sz w:val="36"/>
          <w:szCs w:val="36"/>
        </w:rPr>
      </w:pPr>
      <w:r>
        <w:rPr>
          <w:rFonts w:hint="eastAsia" w:ascii="宋体" w:hAnsi="宋体" w:eastAsia="宋体" w:cs="宋体"/>
          <w:b/>
          <w:bCs/>
          <w:color w:val="000000"/>
          <w:sz w:val="36"/>
          <w:szCs w:val="36"/>
        </w:rPr>
        <w:t>最后分项报价表</w:t>
      </w:r>
    </w:p>
    <w:p>
      <w:pPr>
        <w:tabs>
          <w:tab w:val="left" w:pos="1800"/>
          <w:tab w:val="left" w:pos="5580"/>
        </w:tabs>
        <w:spacing w:line="360" w:lineRule="auto"/>
        <w:ind w:firstLine="240" w:firstLineChars="100"/>
        <w:jc w:val="both"/>
        <w:rPr>
          <w:rFonts w:hint="eastAsia" w:ascii="宋体" w:hAnsi="宋体" w:eastAsia="宋体" w:cs="宋体"/>
        </w:rPr>
      </w:pPr>
      <w:r>
        <w:rPr>
          <w:rFonts w:hint="eastAsia" w:ascii="宋体" w:hAnsi="宋体" w:eastAsia="宋体" w:cs="宋体"/>
          <w:color w:val="000000"/>
          <w:sz w:val="24"/>
        </w:rPr>
        <w:t xml:space="preserve">项目编号：_________ </w:t>
      </w:r>
      <w:r>
        <w:rPr>
          <w:rFonts w:hint="eastAsia" w:ascii="宋体" w:hAnsi="宋体" w:cs="宋体"/>
          <w:color w:val="000000"/>
          <w:sz w:val="24"/>
          <w:lang w:val="en-US" w:eastAsia="zh-CN"/>
        </w:rPr>
        <w:t xml:space="preserve">      </w:t>
      </w:r>
      <w:r>
        <w:rPr>
          <w:rFonts w:hint="eastAsia" w:ascii="宋体" w:hAnsi="宋体" w:eastAsia="宋体" w:cs="宋体"/>
          <w:color w:val="000000"/>
          <w:sz w:val="24"/>
        </w:rPr>
        <w:t>项目名称：</w:t>
      </w:r>
      <w:r>
        <w:rPr>
          <w:rFonts w:hint="eastAsia" w:ascii="宋体" w:hAnsi="宋体" w:cs="宋体"/>
          <w:color w:val="000000"/>
          <w:sz w:val="24"/>
          <w:u w:val="single"/>
          <w:lang w:val="en-US" w:eastAsia="zh-CN"/>
        </w:rPr>
        <w:t xml:space="preserve">           </w:t>
      </w:r>
      <w:r>
        <w:rPr>
          <w:rFonts w:hint="eastAsia" w:ascii="宋体" w:hAnsi="宋体" w:cs="宋体"/>
          <w:color w:val="000000"/>
          <w:sz w:val="24"/>
          <w:u w:val="none"/>
          <w:lang w:val="en-US" w:eastAsia="zh-CN"/>
        </w:rPr>
        <w:t xml:space="preserve"> </w:t>
      </w:r>
    </w:p>
    <w:tbl>
      <w:tblPr>
        <w:tblStyle w:val="47"/>
        <w:tblW w:w="4998"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494"/>
        <w:gridCol w:w="1344"/>
        <w:gridCol w:w="3825"/>
        <w:gridCol w:w="527"/>
        <w:gridCol w:w="494"/>
        <w:gridCol w:w="1019"/>
        <w:gridCol w:w="1019"/>
        <w:gridCol w:w="56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36" w:hRule="atLeast"/>
          <w:jc w:val="center"/>
        </w:trPr>
        <w:tc>
          <w:tcPr>
            <w:tcW w:w="266"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序号</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名称</w:t>
            </w:r>
          </w:p>
        </w:tc>
        <w:tc>
          <w:tcPr>
            <w:tcW w:w="2060"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清单内容</w:t>
            </w:r>
          </w:p>
        </w:tc>
        <w:tc>
          <w:tcPr>
            <w:tcW w:w="284"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单位</w:t>
            </w:r>
          </w:p>
        </w:tc>
        <w:tc>
          <w:tcPr>
            <w:tcW w:w="266"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工程量</w:t>
            </w:r>
          </w:p>
        </w:tc>
        <w:tc>
          <w:tcPr>
            <w:tcW w:w="549"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全费用单价（元）</w:t>
            </w:r>
          </w:p>
        </w:tc>
        <w:tc>
          <w:tcPr>
            <w:tcW w:w="549"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全费用合价（元）</w:t>
            </w:r>
          </w:p>
        </w:tc>
        <w:tc>
          <w:tcPr>
            <w:tcW w:w="297"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8" w:hRule="atLeast"/>
          <w:jc w:val="center"/>
        </w:trPr>
        <w:tc>
          <w:tcPr>
            <w:tcW w:w="266"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1</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现浇混凝土屋顶平房整体拆除(370厚砖墙)</w:t>
            </w:r>
          </w:p>
        </w:tc>
        <w:tc>
          <w:tcPr>
            <w:tcW w:w="2060"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lang w:val="en-US" w:eastAsia="zh-CN"/>
              </w:rPr>
            </w:pPr>
            <w:r>
              <w:rPr>
                <w:rFonts w:hint="eastAsia"/>
                <w:lang w:val="en-US" w:eastAsia="zh-CN"/>
              </w:rPr>
              <w:t>1.现浇混凝土屋顶的平房整体拆除</w:t>
            </w:r>
          </w:p>
          <w:p>
            <w:pPr>
              <w:rPr>
                <w:rFonts w:hint="eastAsia"/>
                <w:lang w:val="en-US" w:eastAsia="zh-CN"/>
              </w:rPr>
            </w:pPr>
            <w:r>
              <w:rPr>
                <w:rFonts w:hint="eastAsia"/>
                <w:lang w:val="en-US" w:eastAsia="zh-CN"/>
              </w:rPr>
              <w:t>2.拆除房屋墙体厚度370mm厚砖砌</w:t>
            </w:r>
          </w:p>
          <w:p>
            <w:pPr>
              <w:rPr>
                <w:rFonts w:hint="eastAsia"/>
                <w:lang w:val="en-US" w:eastAsia="zh-CN"/>
              </w:rPr>
            </w:pPr>
            <w:r>
              <w:rPr>
                <w:rFonts w:hint="eastAsia"/>
                <w:lang w:val="en-US" w:eastAsia="zh-CN"/>
              </w:rPr>
              <w:t>3.包含地上及地下所有需拆除物、包含但不限于地上建筑物、室内地面及地下基础等</w:t>
            </w:r>
          </w:p>
          <w:p>
            <w:pPr>
              <w:rPr>
                <w:rFonts w:hint="eastAsia"/>
                <w:lang w:val="en-US" w:eastAsia="zh-CN"/>
              </w:rPr>
            </w:pPr>
            <w:r>
              <w:rPr>
                <w:rFonts w:hint="eastAsia"/>
                <w:lang w:val="en-US" w:eastAsia="zh-CN"/>
              </w:rPr>
              <w:t>4.包含各种拆除方式的主体破碎、拆除、挖出，毗邻建筑物的保护，渣土原地清理、场内倒运、集中堆放、收方归堆、装车、场地平整、洒水、苫盖等</w:t>
            </w:r>
          </w:p>
          <w:p>
            <w:pPr>
              <w:rPr>
                <w:rFonts w:hint="eastAsia"/>
              </w:rPr>
            </w:pPr>
            <w:r>
              <w:rPr>
                <w:rFonts w:hint="eastAsia"/>
                <w:lang w:val="en-US" w:eastAsia="zh-CN"/>
              </w:rPr>
              <w:t>5.拆除后要求场清地平，无建筑垃圾及渣土残留，按照土地性质达到相应验收标准并验收合格。</w:t>
            </w:r>
          </w:p>
        </w:tc>
        <w:tc>
          <w:tcPr>
            <w:tcW w:w="284"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m²</w:t>
            </w:r>
          </w:p>
        </w:tc>
        <w:tc>
          <w:tcPr>
            <w:tcW w:w="266"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1</w:t>
            </w:r>
          </w:p>
        </w:tc>
        <w:tc>
          <w:tcPr>
            <w:tcW w:w="549"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p>
        </w:tc>
        <w:tc>
          <w:tcPr>
            <w:tcW w:w="549"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p>
        </w:tc>
        <w:tc>
          <w:tcPr>
            <w:tcW w:w="297" w:type="pct"/>
            <w:tcBorders>
              <w:top w:val="single" w:color="000000" w:sz="4" w:space="0"/>
              <w:left w:val="single" w:color="000000" w:sz="4" w:space="0"/>
              <w:bottom w:val="single" w:color="000000" w:sz="4" w:space="0"/>
              <w:right w:val="single" w:color="000000" w:sz="4" w:space="0"/>
            </w:tcBorders>
            <w:shd w:val="clear" w:color="auto" w:fill="auto"/>
            <w:vAlign w:val="top"/>
          </w:tcPr>
          <w:p>
            <w:pPr>
              <w:rPr>
                <w:rFonts w:hint="eastAsi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0" w:hRule="atLeast"/>
          <w:jc w:val="center"/>
        </w:trPr>
        <w:tc>
          <w:tcPr>
            <w:tcW w:w="266"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2</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现浇混凝土屋顶平房整体拆除(240厚砖墙)</w:t>
            </w:r>
          </w:p>
        </w:tc>
        <w:tc>
          <w:tcPr>
            <w:tcW w:w="2060"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lang w:val="en-US" w:eastAsia="zh-CN"/>
              </w:rPr>
            </w:pPr>
            <w:r>
              <w:rPr>
                <w:rFonts w:hint="eastAsia"/>
                <w:lang w:val="en-US" w:eastAsia="zh-CN"/>
              </w:rPr>
              <w:t>1.现浇混凝土屋顶的平房整体拆除</w:t>
            </w:r>
          </w:p>
          <w:p>
            <w:pPr>
              <w:rPr>
                <w:rFonts w:hint="eastAsia"/>
                <w:lang w:val="en-US" w:eastAsia="zh-CN"/>
              </w:rPr>
            </w:pPr>
            <w:r>
              <w:rPr>
                <w:rFonts w:hint="eastAsia"/>
                <w:lang w:val="en-US" w:eastAsia="zh-CN"/>
              </w:rPr>
              <w:t>2.拆除房屋墙体厚度240mm厚砖砌</w:t>
            </w:r>
          </w:p>
          <w:p>
            <w:pPr>
              <w:rPr>
                <w:rFonts w:hint="eastAsia"/>
                <w:lang w:val="en-US" w:eastAsia="zh-CN"/>
              </w:rPr>
            </w:pPr>
            <w:r>
              <w:rPr>
                <w:rFonts w:hint="eastAsia"/>
                <w:lang w:val="en-US" w:eastAsia="zh-CN"/>
              </w:rPr>
              <w:t>3.包含地上及地下所有需拆除物、包含但不限于地上建筑物、室内地面及地下基础等</w:t>
            </w:r>
          </w:p>
          <w:p>
            <w:pPr>
              <w:rPr>
                <w:rFonts w:hint="eastAsia"/>
                <w:lang w:val="en-US" w:eastAsia="zh-CN"/>
              </w:rPr>
            </w:pPr>
            <w:r>
              <w:rPr>
                <w:rFonts w:hint="eastAsia"/>
                <w:lang w:val="en-US" w:eastAsia="zh-CN"/>
              </w:rPr>
              <w:t>4.包含各种拆除方式的主体破碎、拆除、挖出，毗邻建筑物的保护，渣土原地清理、场内倒运、集中堆放、收方归堆、装车、场地平整、洒水、苫盖等</w:t>
            </w:r>
          </w:p>
          <w:p>
            <w:pPr>
              <w:rPr>
                <w:rFonts w:hint="eastAsia"/>
              </w:rPr>
            </w:pPr>
            <w:r>
              <w:rPr>
                <w:rFonts w:hint="eastAsia"/>
                <w:lang w:val="en-US" w:eastAsia="zh-CN"/>
              </w:rPr>
              <w:t>5.拆除后要求场清地平，无建筑垃圾及渣土残留，按照土地性质达到相应验收标准并验收合格。</w:t>
            </w:r>
          </w:p>
        </w:tc>
        <w:tc>
          <w:tcPr>
            <w:tcW w:w="284"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m²</w:t>
            </w:r>
          </w:p>
        </w:tc>
        <w:tc>
          <w:tcPr>
            <w:tcW w:w="266"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1</w:t>
            </w:r>
          </w:p>
        </w:tc>
        <w:tc>
          <w:tcPr>
            <w:tcW w:w="549"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p>
        </w:tc>
        <w:tc>
          <w:tcPr>
            <w:tcW w:w="549"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p>
        </w:tc>
        <w:tc>
          <w:tcPr>
            <w:tcW w:w="297" w:type="pct"/>
            <w:tcBorders>
              <w:top w:val="single" w:color="000000" w:sz="4" w:space="0"/>
              <w:left w:val="single" w:color="000000" w:sz="4" w:space="0"/>
              <w:bottom w:val="single" w:color="000000" w:sz="4" w:space="0"/>
              <w:right w:val="single" w:color="000000" w:sz="4" w:space="0"/>
            </w:tcBorders>
            <w:shd w:val="clear" w:color="auto" w:fill="auto"/>
            <w:vAlign w:val="top"/>
          </w:tcPr>
          <w:p>
            <w:pPr>
              <w:rPr>
                <w:rFonts w:hint="default"/>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20" w:hRule="atLeast"/>
          <w:jc w:val="center"/>
        </w:trPr>
        <w:tc>
          <w:tcPr>
            <w:tcW w:w="266"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3</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预制圆孔板顶整房拆除(370厚砖墙 )</w:t>
            </w:r>
          </w:p>
        </w:tc>
        <w:tc>
          <w:tcPr>
            <w:tcW w:w="2060"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lang w:val="en-US" w:eastAsia="zh-CN"/>
              </w:rPr>
            </w:pPr>
            <w:r>
              <w:rPr>
                <w:rFonts w:hint="eastAsia"/>
                <w:lang w:val="en-US" w:eastAsia="zh-CN"/>
              </w:rPr>
              <w:t>1.预制圆孔板顶整房拆除</w:t>
            </w:r>
          </w:p>
          <w:p>
            <w:pPr>
              <w:rPr>
                <w:rFonts w:hint="eastAsia"/>
                <w:lang w:val="en-US" w:eastAsia="zh-CN"/>
              </w:rPr>
            </w:pPr>
            <w:r>
              <w:rPr>
                <w:rFonts w:hint="eastAsia"/>
                <w:lang w:val="en-US" w:eastAsia="zh-CN"/>
              </w:rPr>
              <w:t>2.拆除房屋墙体厚度370mm厚砖砌</w:t>
            </w:r>
          </w:p>
          <w:p>
            <w:pPr>
              <w:rPr>
                <w:rFonts w:hint="eastAsia"/>
                <w:lang w:val="en-US" w:eastAsia="zh-CN"/>
              </w:rPr>
            </w:pPr>
            <w:r>
              <w:rPr>
                <w:rFonts w:hint="eastAsia"/>
                <w:lang w:val="en-US" w:eastAsia="zh-CN"/>
              </w:rPr>
              <w:t>3.包含地上及地下所有需拆除物、包含但不限于地上建筑物、室内地面及地下基础等</w:t>
            </w:r>
          </w:p>
          <w:p>
            <w:pPr>
              <w:rPr>
                <w:rFonts w:hint="eastAsia"/>
                <w:lang w:val="en-US" w:eastAsia="zh-CN"/>
              </w:rPr>
            </w:pPr>
            <w:r>
              <w:rPr>
                <w:rFonts w:hint="eastAsia"/>
                <w:lang w:val="en-US" w:eastAsia="zh-CN"/>
              </w:rPr>
              <w:t>4.包含各种拆除方式的主体破碎、拆除、挖出，毗邻建筑物的保护，渣土原地清理、场内倒运、集中堆放、收方归堆、装车、场地平整、洒水、苫盖等</w:t>
            </w:r>
          </w:p>
          <w:p>
            <w:pPr>
              <w:rPr>
                <w:rFonts w:hint="eastAsia"/>
              </w:rPr>
            </w:pPr>
            <w:r>
              <w:rPr>
                <w:rFonts w:hint="eastAsia"/>
                <w:lang w:val="en-US" w:eastAsia="zh-CN"/>
              </w:rPr>
              <w:t>5.拆除后要求场清地平，无建筑垃圾及渣土残留，按照土地性质达到相应验收标准并验收合格。</w:t>
            </w:r>
          </w:p>
        </w:tc>
        <w:tc>
          <w:tcPr>
            <w:tcW w:w="284"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m²</w:t>
            </w:r>
          </w:p>
        </w:tc>
        <w:tc>
          <w:tcPr>
            <w:tcW w:w="266"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 xml:space="preserve"> 1</w:t>
            </w:r>
          </w:p>
        </w:tc>
        <w:tc>
          <w:tcPr>
            <w:tcW w:w="549"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p>
        </w:tc>
        <w:tc>
          <w:tcPr>
            <w:tcW w:w="549"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p>
        </w:tc>
        <w:tc>
          <w:tcPr>
            <w:tcW w:w="297" w:type="pct"/>
            <w:tcBorders>
              <w:top w:val="single" w:color="000000" w:sz="4" w:space="0"/>
              <w:left w:val="single" w:color="000000" w:sz="4" w:space="0"/>
              <w:bottom w:val="single" w:color="000000" w:sz="4" w:space="0"/>
              <w:right w:val="single" w:color="000000" w:sz="4" w:space="0"/>
            </w:tcBorders>
            <w:shd w:val="clear" w:color="auto" w:fill="auto"/>
            <w:vAlign w:val="top"/>
          </w:tcPr>
          <w:p>
            <w:pPr>
              <w:rPr>
                <w:rFonts w:hint="default"/>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80" w:hRule="atLeast"/>
          <w:jc w:val="center"/>
        </w:trPr>
        <w:tc>
          <w:tcPr>
            <w:tcW w:w="266"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4</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预制圆孔板顶整房拆除(240厚砖墙 )</w:t>
            </w:r>
          </w:p>
        </w:tc>
        <w:tc>
          <w:tcPr>
            <w:tcW w:w="2060"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lang w:val="en-US" w:eastAsia="zh-CN"/>
              </w:rPr>
            </w:pPr>
            <w:r>
              <w:rPr>
                <w:rFonts w:hint="eastAsia"/>
                <w:lang w:val="en-US" w:eastAsia="zh-CN"/>
              </w:rPr>
              <w:t>1.预制圆孔板顶整房拆除</w:t>
            </w:r>
          </w:p>
          <w:p>
            <w:pPr>
              <w:rPr>
                <w:rFonts w:hint="eastAsia"/>
                <w:lang w:val="en-US" w:eastAsia="zh-CN"/>
              </w:rPr>
            </w:pPr>
            <w:r>
              <w:rPr>
                <w:rFonts w:hint="eastAsia"/>
                <w:lang w:val="en-US" w:eastAsia="zh-CN"/>
              </w:rPr>
              <w:t>2.拆除房屋墙体厚度240mm厚砖砌</w:t>
            </w:r>
          </w:p>
          <w:p>
            <w:pPr>
              <w:rPr>
                <w:rFonts w:hint="eastAsia"/>
                <w:lang w:val="en-US" w:eastAsia="zh-CN"/>
              </w:rPr>
            </w:pPr>
            <w:r>
              <w:rPr>
                <w:rFonts w:hint="eastAsia"/>
                <w:lang w:val="en-US" w:eastAsia="zh-CN"/>
              </w:rPr>
              <w:t>3.包含地上及地下所有需拆除物、包含但不限于地上建筑物、室内地面及地下基础等</w:t>
            </w:r>
          </w:p>
          <w:p>
            <w:pPr>
              <w:rPr>
                <w:rFonts w:hint="eastAsia"/>
                <w:lang w:val="en-US" w:eastAsia="zh-CN"/>
              </w:rPr>
            </w:pPr>
            <w:r>
              <w:rPr>
                <w:rFonts w:hint="eastAsia"/>
                <w:lang w:val="en-US" w:eastAsia="zh-CN"/>
              </w:rPr>
              <w:t>4.包含各种拆除方式的主体破碎、拆除、挖出，毗邻建筑物的保护，渣土原地清理、场内倒运、集中堆放、收方归堆、装车、场地平整、洒水、苫盖等</w:t>
            </w:r>
          </w:p>
          <w:p>
            <w:pPr>
              <w:rPr>
                <w:rFonts w:hint="eastAsia"/>
              </w:rPr>
            </w:pPr>
            <w:r>
              <w:rPr>
                <w:rFonts w:hint="eastAsia"/>
                <w:lang w:val="en-US" w:eastAsia="zh-CN"/>
              </w:rPr>
              <w:t>5.拆除后要求场清地平，无建筑垃圾及渣土残留，按照土地性质达到相应验收标准并验收合格。</w:t>
            </w:r>
          </w:p>
        </w:tc>
        <w:tc>
          <w:tcPr>
            <w:tcW w:w="284"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m²</w:t>
            </w:r>
          </w:p>
        </w:tc>
        <w:tc>
          <w:tcPr>
            <w:tcW w:w="266"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 xml:space="preserve"> 1</w:t>
            </w:r>
          </w:p>
        </w:tc>
        <w:tc>
          <w:tcPr>
            <w:tcW w:w="549"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p>
        </w:tc>
        <w:tc>
          <w:tcPr>
            <w:tcW w:w="549"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p>
        </w:tc>
        <w:tc>
          <w:tcPr>
            <w:tcW w:w="297" w:type="pct"/>
            <w:tcBorders>
              <w:top w:val="single" w:color="000000" w:sz="4" w:space="0"/>
              <w:left w:val="single" w:color="000000" w:sz="4" w:space="0"/>
              <w:bottom w:val="single" w:color="000000" w:sz="4" w:space="0"/>
              <w:right w:val="single" w:color="000000" w:sz="4" w:space="0"/>
            </w:tcBorders>
            <w:shd w:val="clear" w:color="auto" w:fill="auto"/>
            <w:vAlign w:val="top"/>
          </w:tcPr>
          <w:p>
            <w:pPr>
              <w:rPr>
                <w:rFonts w:hint="default"/>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0" w:hRule="atLeast"/>
          <w:jc w:val="center"/>
        </w:trPr>
        <w:tc>
          <w:tcPr>
            <w:tcW w:w="266"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5</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瓦屋顶平房整体拆除(370厚砖墙 )</w:t>
            </w:r>
          </w:p>
        </w:tc>
        <w:tc>
          <w:tcPr>
            <w:tcW w:w="2060"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lang w:val="en-US" w:eastAsia="zh-CN"/>
              </w:rPr>
            </w:pPr>
            <w:r>
              <w:rPr>
                <w:rFonts w:hint="eastAsia"/>
                <w:lang w:val="en-US" w:eastAsia="zh-CN"/>
              </w:rPr>
              <w:t>1.布瓦及泥瓦水泥瓦顶的平房整体拆除</w:t>
            </w:r>
          </w:p>
          <w:p>
            <w:pPr>
              <w:rPr>
                <w:rFonts w:hint="eastAsia"/>
                <w:lang w:val="en-US" w:eastAsia="zh-CN"/>
              </w:rPr>
            </w:pPr>
            <w:r>
              <w:rPr>
                <w:rFonts w:hint="eastAsia"/>
                <w:lang w:val="en-US" w:eastAsia="zh-CN"/>
              </w:rPr>
              <w:t>2.拆除房屋墙体厚度370mm厚砖砌</w:t>
            </w:r>
          </w:p>
          <w:p>
            <w:pPr>
              <w:rPr>
                <w:rFonts w:hint="eastAsia"/>
                <w:lang w:val="en-US" w:eastAsia="zh-CN"/>
              </w:rPr>
            </w:pPr>
            <w:r>
              <w:rPr>
                <w:rFonts w:hint="eastAsia"/>
                <w:lang w:val="en-US" w:eastAsia="zh-CN"/>
              </w:rPr>
              <w:t>3.包含地上及地下所有需拆除物、包含但不限于地上建筑物、室内地面及地下基础等</w:t>
            </w:r>
          </w:p>
          <w:p>
            <w:pPr>
              <w:rPr>
                <w:rFonts w:hint="eastAsia"/>
                <w:lang w:val="en-US" w:eastAsia="zh-CN"/>
              </w:rPr>
            </w:pPr>
            <w:r>
              <w:rPr>
                <w:rFonts w:hint="eastAsia"/>
                <w:lang w:val="en-US" w:eastAsia="zh-CN"/>
              </w:rPr>
              <w:t>4.包含各种拆除方式的主体破碎、拆除、挖出，毗邻建筑物的保护，渣土原地清理、场内倒运、集中堆放、收方归堆、装车、场地平整、洒水、苫盖等</w:t>
            </w:r>
          </w:p>
          <w:p>
            <w:pPr>
              <w:rPr>
                <w:rFonts w:hint="eastAsia"/>
              </w:rPr>
            </w:pPr>
            <w:r>
              <w:rPr>
                <w:rFonts w:hint="eastAsia"/>
                <w:lang w:val="en-US" w:eastAsia="zh-CN"/>
              </w:rPr>
              <w:t>5.拆除后要求场清地平，无建筑垃圾及渣土残留，按照土地性质达到相应验收标准并验收合格。</w:t>
            </w:r>
          </w:p>
        </w:tc>
        <w:tc>
          <w:tcPr>
            <w:tcW w:w="284"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m²</w:t>
            </w:r>
          </w:p>
        </w:tc>
        <w:tc>
          <w:tcPr>
            <w:tcW w:w="266"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1</w:t>
            </w:r>
          </w:p>
        </w:tc>
        <w:tc>
          <w:tcPr>
            <w:tcW w:w="549"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p>
        </w:tc>
        <w:tc>
          <w:tcPr>
            <w:tcW w:w="549"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p>
        </w:tc>
        <w:tc>
          <w:tcPr>
            <w:tcW w:w="297" w:type="pct"/>
            <w:tcBorders>
              <w:top w:val="single" w:color="000000" w:sz="4" w:space="0"/>
              <w:left w:val="single" w:color="000000" w:sz="4" w:space="0"/>
              <w:bottom w:val="single" w:color="000000" w:sz="4" w:space="0"/>
              <w:right w:val="single" w:color="000000" w:sz="4" w:space="0"/>
            </w:tcBorders>
            <w:shd w:val="clear" w:color="auto" w:fill="auto"/>
            <w:vAlign w:val="top"/>
          </w:tcPr>
          <w:p>
            <w:pPr>
              <w:rPr>
                <w:rFonts w:hint="default"/>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40" w:hRule="atLeast"/>
          <w:jc w:val="center"/>
        </w:trPr>
        <w:tc>
          <w:tcPr>
            <w:tcW w:w="266"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6</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瓦屋顶平房整体拆除(240厚砖墙 )</w:t>
            </w:r>
          </w:p>
        </w:tc>
        <w:tc>
          <w:tcPr>
            <w:tcW w:w="2060"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lang w:val="en-US" w:eastAsia="zh-CN"/>
              </w:rPr>
            </w:pPr>
            <w:r>
              <w:rPr>
                <w:rFonts w:hint="eastAsia"/>
                <w:lang w:val="en-US" w:eastAsia="zh-CN"/>
              </w:rPr>
              <w:t>1.布瓦及泥瓦水泥瓦顶的平房整体拆除</w:t>
            </w:r>
          </w:p>
          <w:p>
            <w:pPr>
              <w:rPr>
                <w:rFonts w:hint="eastAsia"/>
                <w:lang w:val="en-US" w:eastAsia="zh-CN"/>
              </w:rPr>
            </w:pPr>
            <w:r>
              <w:rPr>
                <w:rFonts w:hint="eastAsia"/>
                <w:lang w:val="en-US" w:eastAsia="zh-CN"/>
              </w:rPr>
              <w:t>2.拆除房屋墙体厚度240mm厚砖砌</w:t>
            </w:r>
          </w:p>
          <w:p>
            <w:pPr>
              <w:rPr>
                <w:rFonts w:hint="eastAsia"/>
                <w:lang w:val="en-US" w:eastAsia="zh-CN"/>
              </w:rPr>
            </w:pPr>
            <w:r>
              <w:rPr>
                <w:rFonts w:hint="eastAsia"/>
                <w:lang w:val="en-US" w:eastAsia="zh-CN"/>
              </w:rPr>
              <w:t>3.包含地上及地下所有需拆除物、包含但不限于地上建筑物、室内地面及地下基础等</w:t>
            </w:r>
          </w:p>
          <w:p>
            <w:pPr>
              <w:rPr>
                <w:rFonts w:hint="eastAsia"/>
                <w:lang w:val="en-US" w:eastAsia="zh-CN"/>
              </w:rPr>
            </w:pPr>
            <w:r>
              <w:rPr>
                <w:rFonts w:hint="eastAsia"/>
                <w:lang w:val="en-US" w:eastAsia="zh-CN"/>
              </w:rPr>
              <w:t>4.包含各种拆除方式的主体破碎、拆除、挖出，毗邻建筑物的保护，渣土原地清理、场内倒运、集中堆放、收方归堆、装车、场地平整、洒水、苫盖等</w:t>
            </w:r>
          </w:p>
          <w:p>
            <w:pPr>
              <w:rPr>
                <w:rFonts w:hint="eastAsia"/>
              </w:rPr>
            </w:pPr>
            <w:r>
              <w:rPr>
                <w:rFonts w:hint="eastAsia"/>
                <w:lang w:val="en-US" w:eastAsia="zh-CN"/>
              </w:rPr>
              <w:t>5.拆除后要求场清地平，无建筑垃圾及渣土残留，按照土地性质达到相应验收标准并验收合格。</w:t>
            </w:r>
          </w:p>
        </w:tc>
        <w:tc>
          <w:tcPr>
            <w:tcW w:w="284"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m²</w:t>
            </w:r>
          </w:p>
        </w:tc>
        <w:tc>
          <w:tcPr>
            <w:tcW w:w="266"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1</w:t>
            </w:r>
          </w:p>
        </w:tc>
        <w:tc>
          <w:tcPr>
            <w:tcW w:w="549"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p>
        </w:tc>
        <w:tc>
          <w:tcPr>
            <w:tcW w:w="549"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p>
        </w:tc>
        <w:tc>
          <w:tcPr>
            <w:tcW w:w="297" w:type="pct"/>
            <w:tcBorders>
              <w:top w:val="single" w:color="000000" w:sz="4" w:space="0"/>
              <w:left w:val="single" w:color="000000" w:sz="4" w:space="0"/>
              <w:bottom w:val="single" w:color="000000" w:sz="4" w:space="0"/>
              <w:right w:val="single" w:color="000000" w:sz="4" w:space="0"/>
            </w:tcBorders>
            <w:shd w:val="clear" w:color="auto" w:fill="auto"/>
            <w:vAlign w:val="top"/>
          </w:tcPr>
          <w:p>
            <w:pPr>
              <w:rPr>
                <w:rFonts w:hint="default"/>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60" w:hRule="atLeast"/>
          <w:jc w:val="center"/>
        </w:trPr>
        <w:tc>
          <w:tcPr>
            <w:tcW w:w="266"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7</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彩钢屋顶平房整体拆除(370厚砖墙 )</w:t>
            </w:r>
          </w:p>
        </w:tc>
        <w:tc>
          <w:tcPr>
            <w:tcW w:w="2060"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lang w:val="en-US" w:eastAsia="zh-CN"/>
              </w:rPr>
            </w:pPr>
            <w:r>
              <w:rPr>
                <w:rFonts w:hint="eastAsia"/>
                <w:lang w:val="en-US" w:eastAsia="zh-CN"/>
              </w:rPr>
              <w:t>1.彩钢屋顶的平房整体拆除</w:t>
            </w:r>
          </w:p>
          <w:p>
            <w:pPr>
              <w:rPr>
                <w:rFonts w:hint="eastAsia"/>
                <w:lang w:val="en-US" w:eastAsia="zh-CN"/>
              </w:rPr>
            </w:pPr>
            <w:r>
              <w:rPr>
                <w:rFonts w:hint="eastAsia"/>
                <w:lang w:val="en-US" w:eastAsia="zh-CN"/>
              </w:rPr>
              <w:t>2.拆除房屋墙体厚度370mm厚砖砌</w:t>
            </w:r>
          </w:p>
          <w:p>
            <w:pPr>
              <w:rPr>
                <w:rFonts w:hint="eastAsia"/>
                <w:lang w:val="en-US" w:eastAsia="zh-CN"/>
              </w:rPr>
            </w:pPr>
            <w:r>
              <w:rPr>
                <w:rFonts w:hint="eastAsia"/>
                <w:lang w:val="en-US" w:eastAsia="zh-CN"/>
              </w:rPr>
              <w:t>3.包含地上及地下所有需拆除物、包含但不限于地上建筑物、室内地面及地下基础等</w:t>
            </w:r>
          </w:p>
          <w:p>
            <w:pPr>
              <w:rPr>
                <w:rFonts w:hint="eastAsia"/>
                <w:lang w:val="en-US" w:eastAsia="zh-CN"/>
              </w:rPr>
            </w:pPr>
            <w:r>
              <w:rPr>
                <w:rFonts w:hint="eastAsia"/>
                <w:lang w:val="en-US" w:eastAsia="zh-CN"/>
              </w:rPr>
              <w:t>4.包含各种拆除方式的主体破碎、拆除、挖出，毗邻建筑物的保护，渣土原地清理、场内倒运、集中堆放、收方归堆、装车、场地平整、洒水、苫盖等</w:t>
            </w:r>
          </w:p>
          <w:p>
            <w:pPr>
              <w:rPr>
                <w:rFonts w:hint="eastAsia"/>
              </w:rPr>
            </w:pPr>
            <w:r>
              <w:rPr>
                <w:rFonts w:hint="eastAsia"/>
                <w:lang w:val="en-US" w:eastAsia="zh-CN"/>
              </w:rPr>
              <w:t>5.拆除后要求场清地平，无建筑垃圾及渣土残留，按照土地性质达到相应验收标准并验收合格。</w:t>
            </w:r>
          </w:p>
        </w:tc>
        <w:tc>
          <w:tcPr>
            <w:tcW w:w="284"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m²</w:t>
            </w:r>
          </w:p>
        </w:tc>
        <w:tc>
          <w:tcPr>
            <w:tcW w:w="266"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 xml:space="preserve"> 1</w:t>
            </w:r>
          </w:p>
        </w:tc>
        <w:tc>
          <w:tcPr>
            <w:tcW w:w="549"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p>
        </w:tc>
        <w:tc>
          <w:tcPr>
            <w:tcW w:w="549"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p>
        </w:tc>
        <w:tc>
          <w:tcPr>
            <w:tcW w:w="297" w:type="pct"/>
            <w:tcBorders>
              <w:top w:val="single" w:color="000000" w:sz="4" w:space="0"/>
              <w:left w:val="single" w:color="000000" w:sz="4" w:space="0"/>
              <w:bottom w:val="single" w:color="000000" w:sz="4" w:space="0"/>
              <w:right w:val="single" w:color="000000" w:sz="4" w:space="0"/>
            </w:tcBorders>
            <w:shd w:val="clear" w:color="auto" w:fill="auto"/>
            <w:vAlign w:val="top"/>
          </w:tcPr>
          <w:p>
            <w:pPr>
              <w:rPr>
                <w:rFonts w:hint="default"/>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3480" w:hRule="atLeast"/>
          <w:jc w:val="center"/>
        </w:trPr>
        <w:tc>
          <w:tcPr>
            <w:tcW w:w="266"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8</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彩钢屋顶平房整体拆除(240厚砖墙 )</w:t>
            </w:r>
          </w:p>
        </w:tc>
        <w:tc>
          <w:tcPr>
            <w:tcW w:w="2060"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lang w:val="en-US" w:eastAsia="zh-CN"/>
              </w:rPr>
            </w:pPr>
            <w:r>
              <w:rPr>
                <w:rFonts w:hint="eastAsia"/>
                <w:lang w:val="en-US" w:eastAsia="zh-CN"/>
              </w:rPr>
              <w:t>1.彩钢屋顶的平房整体拆除</w:t>
            </w:r>
          </w:p>
          <w:p>
            <w:pPr>
              <w:rPr>
                <w:rFonts w:hint="eastAsia"/>
                <w:lang w:val="en-US" w:eastAsia="zh-CN"/>
              </w:rPr>
            </w:pPr>
            <w:r>
              <w:rPr>
                <w:rFonts w:hint="eastAsia"/>
                <w:lang w:val="en-US" w:eastAsia="zh-CN"/>
              </w:rPr>
              <w:t>2.拆除房屋墙体厚度240mm厚砖砌</w:t>
            </w:r>
          </w:p>
          <w:p>
            <w:pPr>
              <w:rPr>
                <w:rFonts w:hint="eastAsia"/>
                <w:lang w:val="en-US" w:eastAsia="zh-CN"/>
              </w:rPr>
            </w:pPr>
            <w:r>
              <w:rPr>
                <w:rFonts w:hint="eastAsia"/>
                <w:lang w:val="en-US" w:eastAsia="zh-CN"/>
              </w:rPr>
              <w:t>3.包含地上及地下所有需拆除物、包含但不限于地上建筑物、室内地面及地下基础等</w:t>
            </w:r>
          </w:p>
          <w:p>
            <w:pPr>
              <w:rPr>
                <w:rFonts w:hint="eastAsia"/>
                <w:lang w:val="en-US" w:eastAsia="zh-CN"/>
              </w:rPr>
            </w:pPr>
            <w:r>
              <w:rPr>
                <w:rFonts w:hint="eastAsia"/>
                <w:lang w:val="en-US" w:eastAsia="zh-CN"/>
              </w:rPr>
              <w:t>4.包含各种拆除方式的主体破碎、拆除、挖出，毗邻建筑物的保护，渣土原地清理、场内倒运、集中堆放、收方归堆、装车、场地平整、洒水、苫盖等</w:t>
            </w:r>
          </w:p>
          <w:p>
            <w:pPr>
              <w:rPr>
                <w:rFonts w:hint="eastAsia"/>
              </w:rPr>
            </w:pPr>
            <w:r>
              <w:rPr>
                <w:rFonts w:hint="eastAsia"/>
                <w:lang w:val="en-US" w:eastAsia="zh-CN"/>
              </w:rPr>
              <w:t>5.拆除后要求场清地平，无建筑垃圾及渣土残留，按照土地性质达到相应验收标准并验收合格。</w:t>
            </w:r>
          </w:p>
        </w:tc>
        <w:tc>
          <w:tcPr>
            <w:tcW w:w="284"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m²</w:t>
            </w:r>
          </w:p>
        </w:tc>
        <w:tc>
          <w:tcPr>
            <w:tcW w:w="266"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1</w:t>
            </w:r>
          </w:p>
        </w:tc>
        <w:tc>
          <w:tcPr>
            <w:tcW w:w="549"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p>
        </w:tc>
        <w:tc>
          <w:tcPr>
            <w:tcW w:w="549"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p>
        </w:tc>
        <w:tc>
          <w:tcPr>
            <w:tcW w:w="297" w:type="pct"/>
            <w:tcBorders>
              <w:top w:val="single" w:color="000000" w:sz="4" w:space="0"/>
              <w:left w:val="single" w:color="000000" w:sz="4" w:space="0"/>
              <w:bottom w:val="single" w:color="000000" w:sz="4" w:space="0"/>
              <w:right w:val="single" w:color="000000" w:sz="4" w:space="0"/>
            </w:tcBorders>
            <w:shd w:val="clear" w:color="auto" w:fill="auto"/>
            <w:vAlign w:val="top"/>
          </w:tcPr>
          <w:p>
            <w:pPr>
              <w:rPr>
                <w:rFonts w:hint="default"/>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20" w:hRule="atLeast"/>
          <w:jc w:val="center"/>
        </w:trPr>
        <w:tc>
          <w:tcPr>
            <w:tcW w:w="266"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9</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钢结构拆除</w:t>
            </w:r>
          </w:p>
        </w:tc>
        <w:tc>
          <w:tcPr>
            <w:tcW w:w="2060"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lang w:val="en-US" w:eastAsia="zh-CN"/>
              </w:rPr>
            </w:pPr>
            <w:r>
              <w:rPr>
                <w:rFonts w:hint="eastAsia"/>
                <w:lang w:val="en-US" w:eastAsia="zh-CN"/>
              </w:rPr>
              <w:t>1.钢结构房屋拆除</w:t>
            </w:r>
          </w:p>
          <w:p>
            <w:pPr>
              <w:rPr>
                <w:rFonts w:hint="eastAsia"/>
                <w:lang w:val="en-US" w:eastAsia="zh-CN"/>
              </w:rPr>
            </w:pPr>
            <w:r>
              <w:rPr>
                <w:rFonts w:hint="eastAsia"/>
                <w:lang w:val="en-US" w:eastAsia="zh-CN"/>
              </w:rPr>
              <w:t>2.屋架、钢梁、钢柱、钢檩条等拆除、分解、指定地点堆放整齐</w:t>
            </w:r>
          </w:p>
          <w:p>
            <w:pPr>
              <w:rPr>
                <w:rFonts w:hint="eastAsia"/>
                <w:lang w:val="en-US" w:eastAsia="zh-CN"/>
              </w:rPr>
            </w:pPr>
            <w:r>
              <w:rPr>
                <w:rFonts w:hint="eastAsia"/>
                <w:lang w:val="en-US" w:eastAsia="zh-CN"/>
              </w:rPr>
              <w:t>3.包含地上及地下所有需拆除物、包含但不限于地上建筑物、室内地面及地下基础等</w:t>
            </w:r>
          </w:p>
          <w:p>
            <w:pPr>
              <w:rPr>
                <w:rFonts w:hint="eastAsia"/>
                <w:lang w:val="en-US" w:eastAsia="zh-CN"/>
              </w:rPr>
            </w:pPr>
            <w:r>
              <w:rPr>
                <w:rFonts w:hint="eastAsia"/>
                <w:lang w:val="en-US" w:eastAsia="zh-CN"/>
              </w:rPr>
              <w:t>4.各种拆除方式的主体破碎、拆除、挖出，毗邻建筑物的保护，渣土原地清理、场内倒运、集中堆放、收方归堆、装车、场地平整、洒水、苫盖等</w:t>
            </w:r>
          </w:p>
          <w:p>
            <w:pPr>
              <w:rPr>
                <w:rFonts w:hint="eastAsia"/>
              </w:rPr>
            </w:pPr>
            <w:r>
              <w:rPr>
                <w:rFonts w:hint="eastAsia"/>
                <w:lang w:val="en-US" w:eastAsia="zh-CN"/>
              </w:rPr>
              <w:t>5.拆除后要求场清地平，无建筑垃圾及渣土残留，需要按照土地性质达到相应验收标准并验收合格。</w:t>
            </w:r>
          </w:p>
        </w:tc>
        <w:tc>
          <w:tcPr>
            <w:tcW w:w="284"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m²</w:t>
            </w:r>
          </w:p>
        </w:tc>
        <w:tc>
          <w:tcPr>
            <w:tcW w:w="266"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1</w:t>
            </w:r>
          </w:p>
        </w:tc>
        <w:tc>
          <w:tcPr>
            <w:tcW w:w="549"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p>
        </w:tc>
        <w:tc>
          <w:tcPr>
            <w:tcW w:w="549"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p>
        </w:tc>
        <w:tc>
          <w:tcPr>
            <w:tcW w:w="297" w:type="pct"/>
            <w:tcBorders>
              <w:top w:val="single" w:color="000000" w:sz="4" w:space="0"/>
              <w:left w:val="single" w:color="000000" w:sz="4" w:space="0"/>
              <w:bottom w:val="single" w:color="000000" w:sz="4" w:space="0"/>
              <w:right w:val="single" w:color="000000" w:sz="4" w:space="0"/>
            </w:tcBorders>
            <w:shd w:val="clear" w:color="auto" w:fill="auto"/>
            <w:vAlign w:val="top"/>
          </w:tcPr>
          <w:p>
            <w:pPr>
              <w:rPr>
                <w:rFonts w:hint="default"/>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0" w:hRule="atLeast"/>
          <w:jc w:val="center"/>
        </w:trPr>
        <w:tc>
          <w:tcPr>
            <w:tcW w:w="266"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10</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棚子拆除</w:t>
            </w:r>
          </w:p>
        </w:tc>
        <w:tc>
          <w:tcPr>
            <w:tcW w:w="2060"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lang w:val="en-US" w:eastAsia="zh-CN"/>
              </w:rPr>
            </w:pPr>
            <w:r>
              <w:rPr>
                <w:rFonts w:hint="eastAsia"/>
                <w:lang w:val="en-US" w:eastAsia="zh-CN"/>
              </w:rPr>
              <w:t>1.彩钢、石棉瓦等棚子拆除</w:t>
            </w:r>
          </w:p>
          <w:p>
            <w:pPr>
              <w:rPr>
                <w:rFonts w:hint="eastAsia"/>
                <w:lang w:val="en-US" w:eastAsia="zh-CN"/>
              </w:rPr>
            </w:pPr>
            <w:r>
              <w:rPr>
                <w:rFonts w:hint="eastAsia"/>
                <w:lang w:val="en-US" w:eastAsia="zh-CN"/>
              </w:rPr>
              <w:t>2.无维护结构，仅有立柱的棚子拆除</w:t>
            </w:r>
          </w:p>
          <w:p>
            <w:pPr>
              <w:rPr>
                <w:rFonts w:hint="eastAsia"/>
                <w:lang w:val="en-US" w:eastAsia="zh-CN"/>
              </w:rPr>
            </w:pPr>
            <w:r>
              <w:rPr>
                <w:rFonts w:hint="eastAsia"/>
                <w:lang w:val="en-US" w:eastAsia="zh-CN"/>
              </w:rPr>
              <w:t>3.包含地上及地下所有需拆除物、包含但不限于地上建筑物、室内地面及地下基础等</w:t>
            </w:r>
          </w:p>
          <w:p>
            <w:pPr>
              <w:rPr>
                <w:rFonts w:hint="eastAsia"/>
                <w:lang w:val="en-US" w:eastAsia="zh-CN"/>
              </w:rPr>
            </w:pPr>
            <w:r>
              <w:rPr>
                <w:rFonts w:hint="eastAsia"/>
                <w:lang w:val="en-US" w:eastAsia="zh-CN"/>
              </w:rPr>
              <w:t>4.包含各种拆除方式的主体破碎、拆除、挖出，毗邻建筑物的保护，渣土原地清理、场内倒运、集中堆放、收方归堆、装车、场地平整、洒水、苫盖等</w:t>
            </w:r>
          </w:p>
          <w:p>
            <w:pPr>
              <w:rPr>
                <w:rFonts w:hint="eastAsia"/>
              </w:rPr>
            </w:pPr>
            <w:r>
              <w:rPr>
                <w:rFonts w:hint="eastAsia"/>
                <w:lang w:val="en-US" w:eastAsia="zh-CN"/>
              </w:rPr>
              <w:t>5.拆除后要求场清地平，无建筑垃圾及渣土残留，按照土地性质达到相应验收标准并验收合格。</w:t>
            </w:r>
          </w:p>
        </w:tc>
        <w:tc>
          <w:tcPr>
            <w:tcW w:w="284"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m²</w:t>
            </w:r>
          </w:p>
        </w:tc>
        <w:tc>
          <w:tcPr>
            <w:tcW w:w="266"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 xml:space="preserve"> 1</w:t>
            </w:r>
          </w:p>
        </w:tc>
        <w:tc>
          <w:tcPr>
            <w:tcW w:w="549"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p>
        </w:tc>
        <w:tc>
          <w:tcPr>
            <w:tcW w:w="549"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p>
        </w:tc>
        <w:tc>
          <w:tcPr>
            <w:tcW w:w="297" w:type="pct"/>
            <w:tcBorders>
              <w:top w:val="single" w:color="000000" w:sz="4" w:space="0"/>
              <w:left w:val="single" w:color="000000" w:sz="4" w:space="0"/>
              <w:bottom w:val="single" w:color="000000" w:sz="4" w:space="0"/>
              <w:right w:val="single" w:color="000000" w:sz="4" w:space="0"/>
            </w:tcBorders>
            <w:shd w:val="clear" w:color="auto" w:fill="auto"/>
            <w:vAlign w:val="top"/>
          </w:tcPr>
          <w:p>
            <w:pPr>
              <w:rPr>
                <w:rFonts w:hint="default"/>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20" w:hRule="atLeast"/>
          <w:jc w:val="center"/>
        </w:trPr>
        <w:tc>
          <w:tcPr>
            <w:tcW w:w="266"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11</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彩钢板房拆除</w:t>
            </w:r>
          </w:p>
        </w:tc>
        <w:tc>
          <w:tcPr>
            <w:tcW w:w="2060"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lang w:val="en-US" w:eastAsia="zh-CN"/>
              </w:rPr>
            </w:pPr>
            <w:r>
              <w:rPr>
                <w:rFonts w:hint="eastAsia"/>
                <w:lang w:val="en-US" w:eastAsia="zh-CN"/>
              </w:rPr>
              <w:t>1.彩钢板房拆除</w:t>
            </w:r>
          </w:p>
          <w:p>
            <w:pPr>
              <w:rPr>
                <w:rFonts w:hint="eastAsia"/>
                <w:lang w:val="en-US" w:eastAsia="zh-CN"/>
              </w:rPr>
            </w:pPr>
            <w:r>
              <w:rPr>
                <w:rFonts w:hint="eastAsia"/>
                <w:lang w:val="en-US" w:eastAsia="zh-CN"/>
              </w:rPr>
              <w:t>2.墙体为彩钢板</w:t>
            </w:r>
          </w:p>
          <w:p>
            <w:pPr>
              <w:rPr>
                <w:rFonts w:hint="eastAsia"/>
                <w:lang w:val="en-US" w:eastAsia="zh-CN"/>
              </w:rPr>
            </w:pPr>
            <w:r>
              <w:rPr>
                <w:rFonts w:hint="eastAsia"/>
                <w:lang w:val="en-US" w:eastAsia="zh-CN"/>
              </w:rPr>
              <w:t>3.包含地上及地下所有需拆除物、包含但不限于地上建筑物、室内地面及地下基础等</w:t>
            </w:r>
          </w:p>
          <w:p>
            <w:pPr>
              <w:rPr>
                <w:rFonts w:hint="eastAsia"/>
                <w:lang w:val="en-US" w:eastAsia="zh-CN"/>
              </w:rPr>
            </w:pPr>
            <w:r>
              <w:rPr>
                <w:rFonts w:hint="eastAsia"/>
                <w:lang w:val="en-US" w:eastAsia="zh-CN"/>
              </w:rPr>
              <w:t>4.包含各种拆除方式的主体破碎、拆除、挖出，毗邻建筑物的保护，渣土原地清理、场内倒运、集中堆放、收方归堆、装车、场地平整、洒水、苫盖等</w:t>
            </w:r>
          </w:p>
          <w:p>
            <w:pPr>
              <w:rPr>
                <w:rFonts w:hint="eastAsia"/>
              </w:rPr>
            </w:pPr>
            <w:r>
              <w:rPr>
                <w:rFonts w:hint="eastAsia"/>
                <w:lang w:val="en-US" w:eastAsia="zh-CN"/>
              </w:rPr>
              <w:t>5.拆除后要求场清地平，无建筑垃圾及渣土残留，按照土地性质达到相应验收标准并验收合格。</w:t>
            </w:r>
          </w:p>
        </w:tc>
        <w:tc>
          <w:tcPr>
            <w:tcW w:w="284"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m²</w:t>
            </w:r>
          </w:p>
        </w:tc>
        <w:tc>
          <w:tcPr>
            <w:tcW w:w="266"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1</w:t>
            </w:r>
          </w:p>
        </w:tc>
        <w:tc>
          <w:tcPr>
            <w:tcW w:w="549"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p>
        </w:tc>
        <w:tc>
          <w:tcPr>
            <w:tcW w:w="549"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p>
        </w:tc>
        <w:tc>
          <w:tcPr>
            <w:tcW w:w="297" w:type="pct"/>
            <w:tcBorders>
              <w:top w:val="single" w:color="000000" w:sz="4" w:space="0"/>
              <w:left w:val="single" w:color="000000" w:sz="4" w:space="0"/>
              <w:bottom w:val="single" w:color="000000" w:sz="4" w:space="0"/>
              <w:right w:val="single" w:color="000000" w:sz="4" w:space="0"/>
            </w:tcBorders>
            <w:shd w:val="clear" w:color="auto" w:fill="auto"/>
            <w:vAlign w:val="top"/>
          </w:tcPr>
          <w:p>
            <w:pPr>
              <w:rPr>
                <w:rFonts w:hint="default"/>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20" w:hRule="atLeast"/>
          <w:jc w:val="center"/>
        </w:trPr>
        <w:tc>
          <w:tcPr>
            <w:tcW w:w="266"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12</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沥青、混凝土等硬化道路拆除(200mm厚以内)</w:t>
            </w:r>
          </w:p>
        </w:tc>
        <w:tc>
          <w:tcPr>
            <w:tcW w:w="2060"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lang w:val="en-US" w:eastAsia="zh-CN"/>
              </w:rPr>
            </w:pPr>
            <w:r>
              <w:rPr>
                <w:rFonts w:hint="eastAsia"/>
                <w:lang w:val="en-US" w:eastAsia="zh-CN"/>
              </w:rPr>
              <w:t>1.沥青、混凝土等硬化道路拆除，包含拆除基层及面层等</w:t>
            </w:r>
          </w:p>
          <w:p>
            <w:pPr>
              <w:rPr>
                <w:rFonts w:hint="eastAsia"/>
                <w:lang w:val="en-US" w:eastAsia="zh-CN"/>
              </w:rPr>
            </w:pPr>
            <w:r>
              <w:rPr>
                <w:rFonts w:hint="eastAsia"/>
                <w:lang w:val="en-US" w:eastAsia="zh-CN"/>
              </w:rPr>
              <w:t>2.拆除厚度200mm以内</w:t>
            </w:r>
          </w:p>
          <w:p>
            <w:pPr>
              <w:rPr>
                <w:rFonts w:hint="eastAsia"/>
                <w:lang w:val="en-US" w:eastAsia="zh-CN"/>
              </w:rPr>
            </w:pPr>
            <w:r>
              <w:rPr>
                <w:rFonts w:hint="eastAsia"/>
                <w:lang w:val="en-US" w:eastAsia="zh-CN"/>
              </w:rPr>
              <w:t>3.包含所有需拆除物、包含但不限于地面及地下基础等</w:t>
            </w:r>
          </w:p>
          <w:p>
            <w:pPr>
              <w:rPr>
                <w:rFonts w:hint="eastAsia"/>
                <w:lang w:val="en-US" w:eastAsia="zh-CN"/>
              </w:rPr>
            </w:pPr>
            <w:r>
              <w:rPr>
                <w:rFonts w:hint="eastAsia"/>
                <w:lang w:val="en-US" w:eastAsia="zh-CN"/>
              </w:rPr>
              <w:t>4.各种拆除方式的主体破碎、拆除、挖出，毗邻建筑物的保护，渣土原地清理、场内倒运、集中堆放、收方归堆、装车、场地平整、洒水、苫盖等</w:t>
            </w:r>
          </w:p>
          <w:p>
            <w:pPr>
              <w:rPr>
                <w:rFonts w:hint="eastAsia"/>
              </w:rPr>
            </w:pPr>
            <w:r>
              <w:rPr>
                <w:rFonts w:hint="eastAsia"/>
                <w:lang w:val="en-US" w:eastAsia="zh-CN"/>
              </w:rPr>
              <w:t>5.拆除后要求场清地平，无建筑垃圾及渣土残留，需要按照土地性质达到相应验收标准并验收合格。</w:t>
            </w:r>
          </w:p>
        </w:tc>
        <w:tc>
          <w:tcPr>
            <w:tcW w:w="284"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m²</w:t>
            </w:r>
          </w:p>
        </w:tc>
        <w:tc>
          <w:tcPr>
            <w:tcW w:w="266"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1</w:t>
            </w:r>
          </w:p>
        </w:tc>
        <w:tc>
          <w:tcPr>
            <w:tcW w:w="549"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p>
        </w:tc>
        <w:tc>
          <w:tcPr>
            <w:tcW w:w="549"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p>
        </w:tc>
        <w:tc>
          <w:tcPr>
            <w:tcW w:w="297" w:type="pct"/>
            <w:tcBorders>
              <w:top w:val="single" w:color="000000" w:sz="4" w:space="0"/>
              <w:left w:val="single" w:color="000000" w:sz="4" w:space="0"/>
              <w:bottom w:val="single" w:color="000000" w:sz="4" w:space="0"/>
              <w:right w:val="single" w:color="000000" w:sz="4" w:space="0"/>
            </w:tcBorders>
            <w:shd w:val="clear" w:color="auto" w:fill="auto"/>
            <w:vAlign w:val="top"/>
          </w:tcPr>
          <w:p>
            <w:pPr>
              <w:rPr>
                <w:rFonts w:hint="default"/>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20" w:hRule="atLeast"/>
          <w:jc w:val="center"/>
        </w:trPr>
        <w:tc>
          <w:tcPr>
            <w:tcW w:w="266"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13</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沥青、混凝土等硬化道路拆除(200mm厚以上)</w:t>
            </w:r>
          </w:p>
        </w:tc>
        <w:tc>
          <w:tcPr>
            <w:tcW w:w="2060"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lang w:val="en-US" w:eastAsia="zh-CN"/>
              </w:rPr>
            </w:pPr>
            <w:r>
              <w:rPr>
                <w:rFonts w:hint="eastAsia"/>
                <w:lang w:val="en-US" w:eastAsia="zh-CN"/>
              </w:rPr>
              <w:t>1.沥青、混凝土等硬化道路机械拆除旧路结构</w:t>
            </w:r>
          </w:p>
          <w:p>
            <w:pPr>
              <w:rPr>
                <w:rFonts w:hint="eastAsia"/>
                <w:lang w:val="en-US" w:eastAsia="zh-CN"/>
              </w:rPr>
            </w:pPr>
            <w:r>
              <w:rPr>
                <w:rFonts w:hint="eastAsia"/>
                <w:lang w:val="en-US" w:eastAsia="zh-CN"/>
              </w:rPr>
              <w:t>2.拆除厚度200mm以上</w:t>
            </w:r>
          </w:p>
          <w:p>
            <w:pPr>
              <w:rPr>
                <w:rFonts w:hint="eastAsia"/>
                <w:lang w:val="en-US" w:eastAsia="zh-CN"/>
              </w:rPr>
            </w:pPr>
            <w:r>
              <w:rPr>
                <w:rFonts w:hint="eastAsia"/>
                <w:lang w:val="en-US" w:eastAsia="zh-CN"/>
              </w:rPr>
              <w:t>3.所有需拆除物、包含但不限于地面及地下基础等</w:t>
            </w:r>
          </w:p>
          <w:p>
            <w:pPr>
              <w:rPr>
                <w:rFonts w:hint="eastAsia"/>
                <w:lang w:val="en-US" w:eastAsia="zh-CN"/>
              </w:rPr>
            </w:pPr>
            <w:r>
              <w:rPr>
                <w:rFonts w:hint="eastAsia"/>
                <w:lang w:val="en-US" w:eastAsia="zh-CN"/>
              </w:rPr>
              <w:t>4.各种拆除方式的主体破碎、拆除、挖出，毗邻建筑物的保护，渣土原地清理、场内倒运、集中堆放、收方归堆、装车、场地平整、洒水、苫盖等</w:t>
            </w:r>
          </w:p>
          <w:p>
            <w:pPr>
              <w:rPr>
                <w:rFonts w:hint="eastAsia"/>
              </w:rPr>
            </w:pPr>
            <w:r>
              <w:rPr>
                <w:rFonts w:hint="eastAsia"/>
                <w:lang w:val="en-US" w:eastAsia="zh-CN"/>
              </w:rPr>
              <w:t>5.拆除后要求场清地平，无建筑垃圾及渣土残留，需要按照土地性质达到相应验收标准并验收合格。</w:t>
            </w:r>
          </w:p>
        </w:tc>
        <w:tc>
          <w:tcPr>
            <w:tcW w:w="284"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m²</w:t>
            </w:r>
          </w:p>
        </w:tc>
        <w:tc>
          <w:tcPr>
            <w:tcW w:w="266"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1</w:t>
            </w:r>
          </w:p>
        </w:tc>
        <w:tc>
          <w:tcPr>
            <w:tcW w:w="549"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p>
        </w:tc>
        <w:tc>
          <w:tcPr>
            <w:tcW w:w="549"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p>
        </w:tc>
        <w:tc>
          <w:tcPr>
            <w:tcW w:w="297" w:type="pct"/>
            <w:tcBorders>
              <w:top w:val="single" w:color="000000" w:sz="4" w:space="0"/>
              <w:left w:val="single" w:color="000000" w:sz="4" w:space="0"/>
              <w:bottom w:val="single" w:color="000000" w:sz="4" w:space="0"/>
              <w:right w:val="single" w:color="000000" w:sz="4" w:space="0"/>
            </w:tcBorders>
            <w:shd w:val="clear" w:color="auto" w:fill="auto"/>
            <w:vAlign w:val="top"/>
          </w:tcPr>
          <w:p>
            <w:pPr>
              <w:rPr>
                <w:rFonts w:hint="default"/>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60" w:hRule="atLeast"/>
          <w:jc w:val="center"/>
        </w:trPr>
        <w:tc>
          <w:tcPr>
            <w:tcW w:w="266"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14</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焦渣、石子等铺设道路拆除(200mm厚以内)</w:t>
            </w:r>
          </w:p>
        </w:tc>
        <w:tc>
          <w:tcPr>
            <w:tcW w:w="2060"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lang w:val="en-US" w:eastAsia="zh-CN"/>
              </w:rPr>
            </w:pPr>
            <w:r>
              <w:rPr>
                <w:rFonts w:hint="eastAsia"/>
                <w:lang w:val="en-US" w:eastAsia="zh-CN"/>
              </w:rPr>
              <w:t>1.焦渣、石子等铺设道路拆除</w:t>
            </w:r>
          </w:p>
          <w:p>
            <w:pPr>
              <w:rPr>
                <w:rFonts w:hint="eastAsia"/>
                <w:lang w:val="en-US" w:eastAsia="zh-CN"/>
              </w:rPr>
            </w:pPr>
            <w:r>
              <w:rPr>
                <w:rFonts w:hint="eastAsia"/>
                <w:lang w:val="en-US" w:eastAsia="zh-CN"/>
              </w:rPr>
              <w:t>2.拆除厚度200mm以内</w:t>
            </w:r>
          </w:p>
          <w:p>
            <w:pPr>
              <w:rPr>
                <w:rFonts w:hint="eastAsia"/>
                <w:lang w:val="en-US" w:eastAsia="zh-CN"/>
              </w:rPr>
            </w:pPr>
            <w:r>
              <w:rPr>
                <w:rFonts w:hint="eastAsia"/>
                <w:lang w:val="en-US" w:eastAsia="zh-CN"/>
              </w:rPr>
              <w:t>3.所有需拆除物、包含但不限于地面及地下基础等</w:t>
            </w:r>
          </w:p>
          <w:p>
            <w:pPr>
              <w:rPr>
                <w:rFonts w:hint="eastAsia"/>
                <w:lang w:val="en-US" w:eastAsia="zh-CN"/>
              </w:rPr>
            </w:pPr>
            <w:r>
              <w:rPr>
                <w:rFonts w:hint="eastAsia"/>
                <w:lang w:val="en-US" w:eastAsia="zh-CN"/>
              </w:rPr>
              <w:t>4.各种拆除方式的主体破碎、拆除、挖出，毗邻建筑物的保护，渣土原地清理、场内倒运、集中堆放、收方归堆、装车、场地平整、洒水、苫盖等</w:t>
            </w:r>
          </w:p>
          <w:p>
            <w:pPr>
              <w:rPr>
                <w:rFonts w:hint="eastAsia"/>
              </w:rPr>
            </w:pPr>
            <w:r>
              <w:rPr>
                <w:rFonts w:hint="eastAsia"/>
                <w:lang w:val="en-US" w:eastAsia="zh-CN"/>
              </w:rPr>
              <w:t>5.拆除后要求场清地平，无建筑垃圾及渣土残留，需要按照土地性质达到相应验收标准并验收合格。</w:t>
            </w:r>
          </w:p>
        </w:tc>
        <w:tc>
          <w:tcPr>
            <w:tcW w:w="284"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m²</w:t>
            </w:r>
          </w:p>
        </w:tc>
        <w:tc>
          <w:tcPr>
            <w:tcW w:w="266"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1</w:t>
            </w:r>
          </w:p>
        </w:tc>
        <w:tc>
          <w:tcPr>
            <w:tcW w:w="549"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p>
        </w:tc>
        <w:tc>
          <w:tcPr>
            <w:tcW w:w="549"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p>
        </w:tc>
        <w:tc>
          <w:tcPr>
            <w:tcW w:w="297" w:type="pct"/>
            <w:tcBorders>
              <w:top w:val="single" w:color="000000" w:sz="4" w:space="0"/>
              <w:left w:val="single" w:color="000000" w:sz="4" w:space="0"/>
              <w:bottom w:val="single" w:color="000000" w:sz="4" w:space="0"/>
              <w:right w:val="single" w:color="000000" w:sz="4" w:space="0"/>
            </w:tcBorders>
            <w:shd w:val="clear" w:color="auto" w:fill="auto"/>
            <w:vAlign w:val="top"/>
          </w:tcPr>
          <w:p>
            <w:pPr>
              <w:rPr>
                <w:rFonts w:hint="default"/>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880" w:hRule="atLeast"/>
          <w:jc w:val="center"/>
        </w:trPr>
        <w:tc>
          <w:tcPr>
            <w:tcW w:w="266"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15</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焦渣、石子等铺设道路拆除(200mm厚以上)</w:t>
            </w:r>
          </w:p>
        </w:tc>
        <w:tc>
          <w:tcPr>
            <w:tcW w:w="2060"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lang w:val="en-US" w:eastAsia="zh-CN"/>
              </w:rPr>
            </w:pPr>
            <w:r>
              <w:rPr>
                <w:rFonts w:hint="eastAsia"/>
                <w:lang w:val="en-US" w:eastAsia="zh-CN"/>
              </w:rPr>
              <w:t>1.焦渣、石子等铺设道路拆除</w:t>
            </w:r>
          </w:p>
          <w:p>
            <w:pPr>
              <w:rPr>
                <w:rFonts w:hint="eastAsia"/>
                <w:lang w:val="en-US" w:eastAsia="zh-CN"/>
              </w:rPr>
            </w:pPr>
            <w:r>
              <w:rPr>
                <w:rFonts w:hint="eastAsia"/>
                <w:lang w:val="en-US" w:eastAsia="zh-CN"/>
              </w:rPr>
              <w:t>2.拆除厚度200mm以上</w:t>
            </w:r>
          </w:p>
          <w:p>
            <w:pPr>
              <w:rPr>
                <w:rFonts w:hint="eastAsia"/>
                <w:lang w:val="en-US" w:eastAsia="zh-CN"/>
              </w:rPr>
            </w:pPr>
            <w:r>
              <w:rPr>
                <w:rFonts w:hint="eastAsia"/>
                <w:lang w:val="en-US" w:eastAsia="zh-CN"/>
              </w:rPr>
              <w:t>3.所有需拆除物、包含但不限于地面及地下基础等</w:t>
            </w:r>
          </w:p>
          <w:p>
            <w:pPr>
              <w:rPr>
                <w:rFonts w:hint="eastAsia"/>
                <w:lang w:val="en-US" w:eastAsia="zh-CN"/>
              </w:rPr>
            </w:pPr>
            <w:r>
              <w:rPr>
                <w:rFonts w:hint="eastAsia"/>
                <w:lang w:val="en-US" w:eastAsia="zh-CN"/>
              </w:rPr>
              <w:t>4.各种拆除方式的主体破碎、拆除、挖出，毗邻建筑物的保护，渣土原地清理、场内倒运、集中堆放、收方归堆、装车、场地平整、洒水、苫盖等</w:t>
            </w:r>
          </w:p>
          <w:p>
            <w:pPr>
              <w:rPr>
                <w:rFonts w:hint="eastAsia"/>
              </w:rPr>
            </w:pPr>
            <w:r>
              <w:rPr>
                <w:rFonts w:hint="eastAsia"/>
                <w:lang w:val="en-US" w:eastAsia="zh-CN"/>
              </w:rPr>
              <w:t>5.拆除后要求场清地平，无建筑垃圾及渣土残留，需要按照土地性质达到相应验收标准并验收合格。</w:t>
            </w:r>
          </w:p>
        </w:tc>
        <w:tc>
          <w:tcPr>
            <w:tcW w:w="284"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m²</w:t>
            </w:r>
          </w:p>
        </w:tc>
        <w:tc>
          <w:tcPr>
            <w:tcW w:w="266"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1</w:t>
            </w:r>
          </w:p>
        </w:tc>
        <w:tc>
          <w:tcPr>
            <w:tcW w:w="549"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p>
        </w:tc>
        <w:tc>
          <w:tcPr>
            <w:tcW w:w="549"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p>
        </w:tc>
        <w:tc>
          <w:tcPr>
            <w:tcW w:w="297" w:type="pct"/>
            <w:tcBorders>
              <w:top w:val="single" w:color="000000" w:sz="4" w:space="0"/>
              <w:left w:val="single" w:color="000000" w:sz="4" w:space="0"/>
              <w:bottom w:val="single" w:color="000000" w:sz="4" w:space="0"/>
              <w:right w:val="single" w:color="000000" w:sz="4" w:space="0"/>
            </w:tcBorders>
            <w:shd w:val="clear" w:color="auto" w:fill="auto"/>
            <w:vAlign w:val="top"/>
          </w:tcPr>
          <w:p>
            <w:pPr>
              <w:rPr>
                <w:rFonts w:hint="default"/>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0" w:hRule="atLeast"/>
          <w:jc w:val="center"/>
        </w:trPr>
        <w:tc>
          <w:tcPr>
            <w:tcW w:w="266"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16</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围墙拆除</w:t>
            </w:r>
          </w:p>
        </w:tc>
        <w:tc>
          <w:tcPr>
            <w:tcW w:w="2060"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lang w:val="en-US" w:eastAsia="zh-CN"/>
              </w:rPr>
            </w:pPr>
            <w:r>
              <w:rPr>
                <w:rFonts w:hint="eastAsia"/>
                <w:lang w:val="en-US" w:eastAsia="zh-CN"/>
              </w:rPr>
              <w:t>1.围墙拆除</w:t>
            </w:r>
          </w:p>
          <w:p>
            <w:pPr>
              <w:rPr>
                <w:rFonts w:hint="eastAsia"/>
                <w:lang w:val="en-US" w:eastAsia="zh-CN"/>
              </w:rPr>
            </w:pPr>
            <w:r>
              <w:rPr>
                <w:rFonts w:hint="eastAsia"/>
                <w:lang w:val="en-US" w:eastAsia="zh-CN"/>
              </w:rPr>
              <w:t>2.围墙材质、厚度及高度等综合考虑</w:t>
            </w:r>
          </w:p>
          <w:p>
            <w:pPr>
              <w:rPr>
                <w:rFonts w:hint="eastAsia"/>
                <w:lang w:val="en-US" w:eastAsia="zh-CN"/>
              </w:rPr>
            </w:pPr>
            <w:r>
              <w:rPr>
                <w:rFonts w:hint="eastAsia"/>
                <w:lang w:val="en-US" w:eastAsia="zh-CN"/>
              </w:rPr>
              <w:t>3.包含地上及地下所有需拆除物、包含但不限于地上建筑物及地下基础等</w:t>
            </w:r>
          </w:p>
          <w:p>
            <w:pPr>
              <w:rPr>
                <w:rFonts w:hint="eastAsia"/>
                <w:lang w:val="en-US" w:eastAsia="zh-CN"/>
              </w:rPr>
            </w:pPr>
            <w:r>
              <w:rPr>
                <w:rFonts w:hint="eastAsia"/>
                <w:lang w:val="en-US" w:eastAsia="zh-CN"/>
              </w:rPr>
              <w:t>4.各种拆除方式的主体破碎、拆除、挖出，毗邻建筑物的保护，渣土原地清理、场内倒运、集中堆放、收方归堆、装车、场地平整、洒水、苫盖等</w:t>
            </w:r>
          </w:p>
          <w:p>
            <w:pPr>
              <w:rPr>
                <w:rFonts w:hint="eastAsia"/>
              </w:rPr>
            </w:pPr>
            <w:r>
              <w:rPr>
                <w:rFonts w:hint="eastAsia"/>
                <w:lang w:val="en-US" w:eastAsia="zh-CN"/>
              </w:rPr>
              <w:t>5.拆除后要求场清地平，无建筑垃圾及渣土残留，需要按照土地性质达到相应验收标准并验收合格。</w:t>
            </w:r>
          </w:p>
        </w:tc>
        <w:tc>
          <w:tcPr>
            <w:tcW w:w="284"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m³</w:t>
            </w:r>
          </w:p>
        </w:tc>
        <w:tc>
          <w:tcPr>
            <w:tcW w:w="266"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1</w:t>
            </w:r>
          </w:p>
        </w:tc>
        <w:tc>
          <w:tcPr>
            <w:tcW w:w="549"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p>
        </w:tc>
        <w:tc>
          <w:tcPr>
            <w:tcW w:w="549"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p>
        </w:tc>
        <w:tc>
          <w:tcPr>
            <w:tcW w:w="297"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3380" w:hRule="atLeast"/>
          <w:jc w:val="center"/>
        </w:trPr>
        <w:tc>
          <w:tcPr>
            <w:tcW w:w="266"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17</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钢筋混凝土构件(独立基础等)拆除</w:t>
            </w:r>
          </w:p>
        </w:tc>
        <w:tc>
          <w:tcPr>
            <w:tcW w:w="2060"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lang w:val="en-US" w:eastAsia="zh-CN"/>
              </w:rPr>
            </w:pPr>
            <w:r>
              <w:rPr>
                <w:rFonts w:hint="eastAsia"/>
                <w:lang w:val="en-US" w:eastAsia="zh-CN"/>
              </w:rPr>
              <w:t>1.单独的钢筋混凝土构件(独立基础等)拆除</w:t>
            </w:r>
          </w:p>
          <w:p>
            <w:pPr>
              <w:rPr>
                <w:rFonts w:hint="eastAsia"/>
                <w:lang w:val="en-US" w:eastAsia="zh-CN"/>
              </w:rPr>
            </w:pPr>
            <w:r>
              <w:rPr>
                <w:rFonts w:hint="eastAsia"/>
                <w:lang w:val="en-US" w:eastAsia="zh-CN"/>
              </w:rPr>
              <w:t>2.包含开挖、破除，回填等</w:t>
            </w:r>
          </w:p>
          <w:p>
            <w:pPr>
              <w:rPr>
                <w:rFonts w:hint="eastAsia"/>
                <w:lang w:val="en-US" w:eastAsia="zh-CN"/>
              </w:rPr>
            </w:pPr>
            <w:r>
              <w:rPr>
                <w:rFonts w:hint="eastAsia"/>
                <w:lang w:val="en-US" w:eastAsia="zh-CN"/>
              </w:rPr>
              <w:t>3.包含所有需拆除物、包含但不限于地面以上及地下混凝土构件基础等</w:t>
            </w:r>
          </w:p>
          <w:p>
            <w:pPr>
              <w:rPr>
                <w:rFonts w:hint="eastAsia"/>
                <w:lang w:val="en-US" w:eastAsia="zh-CN"/>
              </w:rPr>
            </w:pPr>
            <w:r>
              <w:rPr>
                <w:rFonts w:hint="eastAsia"/>
                <w:lang w:val="en-US" w:eastAsia="zh-CN"/>
              </w:rPr>
              <w:t>4.各种拆除方式的主体破碎、拆除、挖出，毗邻建筑物的保护，渣土原地清理、场内倒运、集中堆放、收方归堆、装车、场地平整、洒水、苫盖等</w:t>
            </w:r>
          </w:p>
          <w:p>
            <w:pPr>
              <w:rPr>
                <w:rFonts w:hint="eastAsia"/>
              </w:rPr>
            </w:pPr>
            <w:r>
              <w:rPr>
                <w:rFonts w:hint="eastAsia"/>
                <w:lang w:val="en-US" w:eastAsia="zh-CN"/>
              </w:rPr>
              <w:t>5.拆除后要求场清地平，无建筑垃圾及渣土残留，需要按照土地性质达到相应验收标准并验收合格。</w:t>
            </w:r>
          </w:p>
        </w:tc>
        <w:tc>
          <w:tcPr>
            <w:tcW w:w="284"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m³</w:t>
            </w:r>
          </w:p>
        </w:tc>
        <w:tc>
          <w:tcPr>
            <w:tcW w:w="266"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1</w:t>
            </w:r>
          </w:p>
        </w:tc>
        <w:tc>
          <w:tcPr>
            <w:tcW w:w="549"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p>
        </w:tc>
        <w:tc>
          <w:tcPr>
            <w:tcW w:w="549"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p>
        </w:tc>
        <w:tc>
          <w:tcPr>
            <w:tcW w:w="297"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40" w:hRule="atLeast"/>
          <w:jc w:val="center"/>
        </w:trPr>
        <w:tc>
          <w:tcPr>
            <w:tcW w:w="266"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18</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门拆除</w:t>
            </w:r>
          </w:p>
        </w:tc>
        <w:tc>
          <w:tcPr>
            <w:tcW w:w="2060"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lang w:val="en-US" w:eastAsia="zh-CN"/>
              </w:rPr>
            </w:pPr>
            <w:r>
              <w:rPr>
                <w:rFonts w:hint="eastAsia"/>
                <w:lang w:val="en-US" w:eastAsia="zh-CN"/>
              </w:rPr>
              <w:t>1.整樘各类型门拆除</w:t>
            </w:r>
          </w:p>
          <w:p>
            <w:pPr>
              <w:rPr>
                <w:rFonts w:hint="eastAsia"/>
                <w:lang w:val="en-US" w:eastAsia="zh-CN"/>
              </w:rPr>
            </w:pPr>
            <w:r>
              <w:rPr>
                <w:rFonts w:hint="eastAsia"/>
                <w:lang w:val="en-US" w:eastAsia="zh-CN"/>
              </w:rPr>
              <w:t>2.拆除包含：框、扇、五金件等，包含场内倒运、集中堆放、码放整齐、苫盖等</w:t>
            </w:r>
          </w:p>
          <w:p>
            <w:pPr>
              <w:rPr>
                <w:rFonts w:hint="eastAsia"/>
              </w:rPr>
            </w:pPr>
            <w:r>
              <w:rPr>
                <w:rFonts w:hint="eastAsia"/>
                <w:lang w:val="en-US" w:eastAsia="zh-CN"/>
              </w:rPr>
              <w:t>3.拆除文明施工及拆除后场地清理等。</w:t>
            </w:r>
          </w:p>
        </w:tc>
        <w:tc>
          <w:tcPr>
            <w:tcW w:w="284"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樘</w:t>
            </w:r>
          </w:p>
        </w:tc>
        <w:tc>
          <w:tcPr>
            <w:tcW w:w="266"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1</w:t>
            </w:r>
          </w:p>
        </w:tc>
        <w:tc>
          <w:tcPr>
            <w:tcW w:w="549"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p>
        </w:tc>
        <w:tc>
          <w:tcPr>
            <w:tcW w:w="549"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p>
        </w:tc>
        <w:tc>
          <w:tcPr>
            <w:tcW w:w="297"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0" w:hRule="atLeast"/>
          <w:jc w:val="center"/>
        </w:trPr>
        <w:tc>
          <w:tcPr>
            <w:tcW w:w="266"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19</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窗拆除</w:t>
            </w:r>
          </w:p>
        </w:tc>
        <w:tc>
          <w:tcPr>
            <w:tcW w:w="2060"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lang w:val="en-US" w:eastAsia="zh-CN"/>
              </w:rPr>
            </w:pPr>
            <w:r>
              <w:rPr>
                <w:rFonts w:hint="eastAsia"/>
                <w:lang w:val="en-US" w:eastAsia="zh-CN"/>
              </w:rPr>
              <w:t>1.整樘各类型窗拆除</w:t>
            </w:r>
          </w:p>
          <w:p>
            <w:pPr>
              <w:rPr>
                <w:rFonts w:hint="eastAsia"/>
                <w:lang w:val="en-US" w:eastAsia="zh-CN"/>
              </w:rPr>
            </w:pPr>
            <w:r>
              <w:rPr>
                <w:rFonts w:hint="eastAsia"/>
                <w:lang w:val="en-US" w:eastAsia="zh-CN"/>
              </w:rPr>
              <w:t>2.拆除包含：框、扇、五金件等，包含场内倒运、集中堆放、码放整齐、苫盖等</w:t>
            </w:r>
          </w:p>
          <w:p>
            <w:pPr>
              <w:rPr>
                <w:rFonts w:hint="eastAsia"/>
              </w:rPr>
            </w:pPr>
            <w:r>
              <w:rPr>
                <w:rFonts w:hint="eastAsia"/>
                <w:lang w:val="en-US" w:eastAsia="zh-CN"/>
              </w:rPr>
              <w:t>3.拆除文明施工及拆除后场地清理等。</w:t>
            </w:r>
          </w:p>
        </w:tc>
        <w:tc>
          <w:tcPr>
            <w:tcW w:w="284"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樘</w:t>
            </w:r>
          </w:p>
        </w:tc>
        <w:tc>
          <w:tcPr>
            <w:tcW w:w="266"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1</w:t>
            </w:r>
          </w:p>
        </w:tc>
        <w:tc>
          <w:tcPr>
            <w:tcW w:w="549"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p>
        </w:tc>
        <w:tc>
          <w:tcPr>
            <w:tcW w:w="549"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p>
        </w:tc>
        <w:tc>
          <w:tcPr>
            <w:tcW w:w="297"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40" w:hRule="atLeast"/>
          <w:jc w:val="center"/>
        </w:trPr>
        <w:tc>
          <w:tcPr>
            <w:tcW w:w="266"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20</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镇域外渣土清运</w:t>
            </w:r>
          </w:p>
        </w:tc>
        <w:tc>
          <w:tcPr>
            <w:tcW w:w="2060"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1.镇域外渣土清运，依据国家规范执行，渣土外运至镇域外正规消纳场所，包含车辆等手续办理的相关费用，不含渣土处置费。</w:t>
            </w:r>
          </w:p>
        </w:tc>
        <w:tc>
          <w:tcPr>
            <w:tcW w:w="284"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m³</w:t>
            </w:r>
          </w:p>
        </w:tc>
        <w:tc>
          <w:tcPr>
            <w:tcW w:w="266"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1</w:t>
            </w:r>
          </w:p>
        </w:tc>
        <w:tc>
          <w:tcPr>
            <w:tcW w:w="549"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p>
        </w:tc>
        <w:tc>
          <w:tcPr>
            <w:tcW w:w="549"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p>
        </w:tc>
        <w:tc>
          <w:tcPr>
            <w:tcW w:w="297" w:type="pct"/>
            <w:tcBorders>
              <w:top w:val="single" w:color="000000" w:sz="4" w:space="0"/>
              <w:left w:val="single" w:color="000000" w:sz="4" w:space="0"/>
              <w:bottom w:val="single" w:color="000000" w:sz="4" w:space="0"/>
              <w:right w:val="single" w:color="000000" w:sz="4" w:space="0"/>
            </w:tcBorders>
            <w:shd w:val="clear" w:color="auto" w:fill="auto"/>
            <w:vAlign w:val="top"/>
          </w:tcPr>
          <w:p>
            <w:pPr>
              <w:rPr>
                <w:rFonts w:hint="default"/>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0" w:hRule="atLeast"/>
          <w:jc w:val="center"/>
        </w:trPr>
        <w:tc>
          <w:tcPr>
            <w:tcW w:w="266"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21</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镇域外渣土处置</w:t>
            </w:r>
          </w:p>
        </w:tc>
        <w:tc>
          <w:tcPr>
            <w:tcW w:w="2060"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1.渣土处置依据国家规范执行，包含手续办理等相关费用。</w:t>
            </w:r>
          </w:p>
        </w:tc>
        <w:tc>
          <w:tcPr>
            <w:tcW w:w="284"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吨</w:t>
            </w:r>
          </w:p>
        </w:tc>
        <w:tc>
          <w:tcPr>
            <w:tcW w:w="266"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1</w:t>
            </w:r>
          </w:p>
        </w:tc>
        <w:tc>
          <w:tcPr>
            <w:tcW w:w="549"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p>
        </w:tc>
        <w:tc>
          <w:tcPr>
            <w:tcW w:w="549"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p>
        </w:tc>
        <w:tc>
          <w:tcPr>
            <w:tcW w:w="297" w:type="pct"/>
            <w:tcBorders>
              <w:top w:val="single" w:color="000000" w:sz="4" w:space="0"/>
              <w:left w:val="single" w:color="000000" w:sz="4" w:space="0"/>
              <w:bottom w:val="single" w:color="000000" w:sz="4" w:space="0"/>
              <w:right w:val="single" w:color="000000" w:sz="4" w:space="0"/>
            </w:tcBorders>
            <w:shd w:val="clear" w:color="auto" w:fill="auto"/>
            <w:vAlign w:val="top"/>
          </w:tcPr>
          <w:p>
            <w:pPr>
              <w:rPr>
                <w:rFonts w:hint="default"/>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0" w:hRule="atLeast"/>
          <w:jc w:val="center"/>
        </w:trPr>
        <w:tc>
          <w:tcPr>
            <w:tcW w:w="266"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22</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镇域内渣土清运、处置</w:t>
            </w:r>
          </w:p>
        </w:tc>
        <w:tc>
          <w:tcPr>
            <w:tcW w:w="2060"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1.镇域内渣土清运，依据国家规范执行，渣土外运至镇域内正规消纳场所，包含车辆等手续办理的相关费用，2.渣土处置依据国家规范执行，包含手续办理等相关费用。</w:t>
            </w:r>
          </w:p>
        </w:tc>
        <w:tc>
          <w:tcPr>
            <w:tcW w:w="284"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m³</w:t>
            </w:r>
          </w:p>
        </w:tc>
        <w:tc>
          <w:tcPr>
            <w:tcW w:w="266"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1</w:t>
            </w:r>
          </w:p>
        </w:tc>
        <w:tc>
          <w:tcPr>
            <w:tcW w:w="549"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p>
        </w:tc>
        <w:tc>
          <w:tcPr>
            <w:tcW w:w="549"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p>
        </w:tc>
        <w:tc>
          <w:tcPr>
            <w:tcW w:w="297" w:type="pct"/>
            <w:tcBorders>
              <w:top w:val="single" w:color="000000" w:sz="4" w:space="0"/>
              <w:left w:val="single" w:color="000000" w:sz="4" w:space="0"/>
              <w:bottom w:val="single" w:color="000000" w:sz="4" w:space="0"/>
              <w:right w:val="single" w:color="000000" w:sz="4" w:space="0"/>
            </w:tcBorders>
            <w:shd w:val="clear" w:color="auto" w:fill="auto"/>
            <w:vAlign w:val="top"/>
          </w:tcPr>
          <w:p>
            <w:pPr>
              <w:rPr>
                <w:rFonts w:hint="default"/>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0" w:hRule="atLeast"/>
          <w:jc w:val="center"/>
        </w:trPr>
        <w:tc>
          <w:tcPr>
            <w:tcW w:w="266"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23</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平整场地</w:t>
            </w:r>
          </w:p>
        </w:tc>
        <w:tc>
          <w:tcPr>
            <w:tcW w:w="2060"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lang w:val="en-US" w:eastAsia="zh-CN"/>
              </w:rPr>
            </w:pPr>
            <w:r>
              <w:rPr>
                <w:rFonts w:hint="eastAsia"/>
                <w:lang w:val="en-US" w:eastAsia="zh-CN"/>
              </w:rPr>
              <w:t>1.平均厚度：±30cm挖填找平</w:t>
            </w:r>
          </w:p>
          <w:p>
            <w:pPr>
              <w:rPr>
                <w:rFonts w:hint="eastAsia"/>
              </w:rPr>
            </w:pPr>
            <w:r>
              <w:rPr>
                <w:rFonts w:hint="eastAsia"/>
                <w:lang w:val="en-US" w:eastAsia="zh-CN"/>
              </w:rPr>
              <w:t>2.按照土地性质达到相应验收标准并验收合格。</w:t>
            </w:r>
          </w:p>
        </w:tc>
        <w:tc>
          <w:tcPr>
            <w:tcW w:w="284"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m³</w:t>
            </w:r>
          </w:p>
        </w:tc>
        <w:tc>
          <w:tcPr>
            <w:tcW w:w="266"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1</w:t>
            </w:r>
          </w:p>
        </w:tc>
        <w:tc>
          <w:tcPr>
            <w:tcW w:w="549"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p>
        </w:tc>
        <w:tc>
          <w:tcPr>
            <w:tcW w:w="549"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p>
        </w:tc>
        <w:tc>
          <w:tcPr>
            <w:tcW w:w="297"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0" w:hRule="atLeast"/>
          <w:jc w:val="center"/>
        </w:trPr>
        <w:tc>
          <w:tcPr>
            <w:tcW w:w="266"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24</w:t>
            </w:r>
          </w:p>
        </w:tc>
        <w:tc>
          <w:tcPr>
            <w:tcW w:w="724" w:type="pct"/>
            <w:tcBorders>
              <w:top w:val="single" w:color="000000" w:sz="4" w:space="0"/>
              <w:left w:val="single" w:color="000000" w:sz="4" w:space="0"/>
              <w:bottom w:val="nil"/>
              <w:right w:val="single" w:color="000000" w:sz="4" w:space="0"/>
            </w:tcBorders>
            <w:shd w:val="clear" w:color="auto" w:fill="auto"/>
            <w:vAlign w:val="center"/>
          </w:tcPr>
          <w:p>
            <w:pPr>
              <w:rPr>
                <w:rFonts w:hint="eastAsia"/>
              </w:rPr>
            </w:pPr>
            <w:r>
              <w:rPr>
                <w:rFonts w:hint="eastAsia"/>
                <w:lang w:val="en-US" w:eastAsia="zh-CN"/>
              </w:rPr>
              <w:t>回填方</w:t>
            </w:r>
          </w:p>
        </w:tc>
        <w:tc>
          <w:tcPr>
            <w:tcW w:w="2060" w:type="pct"/>
            <w:tcBorders>
              <w:top w:val="single" w:color="000000" w:sz="4" w:space="0"/>
              <w:left w:val="single" w:color="000000" w:sz="4" w:space="0"/>
              <w:bottom w:val="nil"/>
              <w:right w:val="single" w:color="000000" w:sz="4" w:space="0"/>
            </w:tcBorders>
            <w:shd w:val="clear" w:color="auto" w:fill="auto"/>
            <w:vAlign w:val="center"/>
          </w:tcPr>
          <w:p>
            <w:pPr>
              <w:rPr>
                <w:rFonts w:hint="eastAsia"/>
                <w:lang w:val="en-US" w:eastAsia="zh-CN"/>
              </w:rPr>
            </w:pPr>
            <w:r>
              <w:rPr>
                <w:rFonts w:hint="eastAsia"/>
                <w:lang w:val="en-US" w:eastAsia="zh-CN"/>
              </w:rPr>
              <w:t>1.包含购土及回填、平整</w:t>
            </w:r>
          </w:p>
          <w:p>
            <w:pPr>
              <w:rPr>
                <w:rFonts w:hint="eastAsia"/>
                <w:lang w:val="en-US" w:eastAsia="zh-CN"/>
              </w:rPr>
            </w:pPr>
            <w:r>
              <w:rPr>
                <w:rFonts w:hint="eastAsia"/>
                <w:lang w:val="en-US" w:eastAsia="zh-CN"/>
              </w:rPr>
              <w:t>2.取土运距；自行考虑</w:t>
            </w:r>
          </w:p>
          <w:p>
            <w:pPr>
              <w:rPr>
                <w:rFonts w:hint="eastAsia"/>
              </w:rPr>
            </w:pPr>
            <w:r>
              <w:rPr>
                <w:rFonts w:hint="eastAsia"/>
                <w:lang w:val="en-US" w:eastAsia="zh-CN"/>
              </w:rPr>
              <w:t>3.按照土地性质达到相应验收标准并验收合格。</w:t>
            </w:r>
          </w:p>
        </w:tc>
        <w:tc>
          <w:tcPr>
            <w:tcW w:w="284" w:type="pct"/>
            <w:tcBorders>
              <w:top w:val="single" w:color="000000" w:sz="4" w:space="0"/>
              <w:left w:val="single" w:color="000000" w:sz="4" w:space="0"/>
              <w:bottom w:val="nil"/>
              <w:right w:val="single" w:color="000000" w:sz="4" w:space="0"/>
            </w:tcBorders>
            <w:shd w:val="clear" w:color="auto" w:fill="auto"/>
            <w:vAlign w:val="center"/>
          </w:tcPr>
          <w:p>
            <w:pPr>
              <w:rPr>
                <w:rFonts w:hint="eastAsia"/>
              </w:rPr>
            </w:pPr>
            <w:r>
              <w:rPr>
                <w:rFonts w:hint="eastAsia"/>
                <w:lang w:val="en-US" w:eastAsia="zh-CN"/>
              </w:rPr>
              <w:t>m³</w:t>
            </w:r>
          </w:p>
        </w:tc>
        <w:tc>
          <w:tcPr>
            <w:tcW w:w="266" w:type="pct"/>
            <w:tcBorders>
              <w:top w:val="single" w:color="000000" w:sz="4" w:space="0"/>
              <w:left w:val="single" w:color="000000" w:sz="4" w:space="0"/>
              <w:bottom w:val="nil"/>
              <w:right w:val="single" w:color="000000" w:sz="4" w:space="0"/>
            </w:tcBorders>
            <w:shd w:val="clear" w:color="auto" w:fill="auto"/>
            <w:vAlign w:val="center"/>
          </w:tcPr>
          <w:p>
            <w:pPr>
              <w:rPr>
                <w:rFonts w:hint="eastAsia"/>
              </w:rPr>
            </w:pPr>
            <w:r>
              <w:rPr>
                <w:rFonts w:hint="eastAsia"/>
                <w:lang w:val="en-US" w:eastAsia="zh-CN"/>
              </w:rPr>
              <w:t>1</w:t>
            </w:r>
          </w:p>
        </w:tc>
        <w:tc>
          <w:tcPr>
            <w:tcW w:w="549" w:type="pct"/>
            <w:tcBorders>
              <w:top w:val="single" w:color="000000" w:sz="4" w:space="0"/>
              <w:left w:val="single" w:color="000000" w:sz="4" w:space="0"/>
              <w:bottom w:val="nil"/>
              <w:right w:val="single" w:color="000000" w:sz="4" w:space="0"/>
            </w:tcBorders>
            <w:shd w:val="clear" w:color="auto" w:fill="auto"/>
            <w:vAlign w:val="center"/>
          </w:tcPr>
          <w:p>
            <w:pPr>
              <w:rPr>
                <w:rFonts w:hint="eastAsia"/>
              </w:rPr>
            </w:pPr>
          </w:p>
        </w:tc>
        <w:tc>
          <w:tcPr>
            <w:tcW w:w="549" w:type="pct"/>
            <w:tcBorders>
              <w:top w:val="single" w:color="000000" w:sz="4" w:space="0"/>
              <w:left w:val="single" w:color="000000" w:sz="4" w:space="0"/>
              <w:bottom w:val="nil"/>
              <w:right w:val="single" w:color="000000" w:sz="4" w:space="0"/>
            </w:tcBorders>
            <w:shd w:val="clear" w:color="auto" w:fill="auto"/>
            <w:vAlign w:val="center"/>
          </w:tcPr>
          <w:p>
            <w:pPr>
              <w:rPr>
                <w:rFonts w:hint="eastAsia"/>
              </w:rPr>
            </w:pPr>
          </w:p>
        </w:tc>
        <w:tc>
          <w:tcPr>
            <w:tcW w:w="297" w:type="pct"/>
            <w:tcBorders>
              <w:top w:val="single" w:color="000000" w:sz="4" w:space="0"/>
              <w:left w:val="single" w:color="000000" w:sz="4" w:space="0"/>
              <w:bottom w:val="nil"/>
              <w:right w:val="single" w:color="000000" w:sz="4" w:space="0"/>
            </w:tcBorders>
            <w:shd w:val="clear" w:color="auto" w:fill="auto"/>
            <w:vAlign w:val="top"/>
          </w:tcPr>
          <w:p>
            <w:pPr>
              <w:rPr>
                <w:rFonts w:hint="default"/>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0" w:hRule="atLeast"/>
          <w:jc w:val="center"/>
        </w:trPr>
        <w:tc>
          <w:tcPr>
            <w:tcW w:w="266" w:type="pct"/>
            <w:tcBorders>
              <w:top w:val="single" w:color="000000" w:sz="4" w:space="0"/>
              <w:left w:val="single" w:color="000000" w:sz="4" w:space="0"/>
              <w:bottom w:val="single" w:color="000000" w:sz="4" w:space="0"/>
              <w:right w:val="single" w:color="000000" w:sz="4" w:space="0"/>
            </w:tcBorders>
            <w:shd w:val="clear" w:color="auto" w:fill="auto"/>
            <w:vAlign w:val="top"/>
          </w:tcPr>
          <w:p>
            <w:pPr>
              <w:rPr>
                <w:rFonts w:hint="eastAsia"/>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r>
              <w:rPr>
                <w:rFonts w:hint="eastAsia"/>
                <w:lang w:val="en-US" w:eastAsia="zh-CN"/>
              </w:rPr>
              <w:t>合计</w:t>
            </w:r>
          </w:p>
        </w:tc>
        <w:tc>
          <w:tcPr>
            <w:tcW w:w="2060" w:type="pct"/>
            <w:tcBorders>
              <w:top w:val="single" w:color="000000" w:sz="4" w:space="0"/>
              <w:left w:val="single" w:color="000000" w:sz="4" w:space="0"/>
              <w:bottom w:val="single" w:color="000000" w:sz="4" w:space="0"/>
              <w:right w:val="single" w:color="000000" w:sz="4" w:space="0"/>
            </w:tcBorders>
            <w:shd w:val="clear" w:color="auto" w:fill="auto"/>
            <w:vAlign w:val="top"/>
          </w:tcPr>
          <w:p>
            <w:pPr>
              <w:rPr>
                <w:rFonts w:hint="eastAsia"/>
              </w:rPr>
            </w:pPr>
          </w:p>
        </w:tc>
        <w:tc>
          <w:tcPr>
            <w:tcW w:w="284"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p>
        </w:tc>
        <w:tc>
          <w:tcPr>
            <w:tcW w:w="266"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p>
        </w:tc>
        <w:tc>
          <w:tcPr>
            <w:tcW w:w="549"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p>
        </w:tc>
        <w:tc>
          <w:tcPr>
            <w:tcW w:w="549"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rPr>
            </w:pPr>
          </w:p>
        </w:tc>
        <w:tc>
          <w:tcPr>
            <w:tcW w:w="297" w:type="pct"/>
            <w:tcBorders>
              <w:top w:val="single" w:color="000000" w:sz="4" w:space="0"/>
              <w:left w:val="single" w:color="000000" w:sz="4" w:space="0"/>
              <w:bottom w:val="single" w:color="000000" w:sz="4" w:space="0"/>
              <w:right w:val="single" w:color="000000" w:sz="4" w:space="0"/>
            </w:tcBorders>
            <w:shd w:val="clear" w:color="auto" w:fill="auto"/>
            <w:vAlign w:val="top"/>
          </w:tcPr>
          <w:p>
            <w:pPr>
              <w:rPr>
                <w:rFonts w:hint="default"/>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20" w:hRule="atLeast"/>
          <w:jc w:val="center"/>
        </w:trPr>
        <w:tc>
          <w:tcPr>
            <w:tcW w:w="5000" w:type="pct"/>
            <w:gridSpan w:val="8"/>
            <w:tcBorders>
              <w:top w:val="nil"/>
              <w:left w:val="nil"/>
              <w:bottom w:val="nil"/>
              <w:right w:val="nil"/>
            </w:tcBorders>
            <w:shd w:val="clear" w:color="auto" w:fill="auto"/>
            <w:vAlign w:val="top"/>
          </w:tcPr>
          <w:p>
            <w:pPr>
              <w:rPr>
                <w:rFonts w:hint="eastAsia"/>
                <w:lang w:val="en-US" w:eastAsia="zh-CN"/>
              </w:rPr>
            </w:pPr>
            <w:r>
              <w:rPr>
                <w:rFonts w:hint="eastAsia"/>
                <w:lang w:val="en-US" w:eastAsia="zh-CN"/>
              </w:rPr>
              <w:t>相关说明：</w:t>
            </w:r>
          </w:p>
          <w:p>
            <w:pPr>
              <w:rPr>
                <w:rFonts w:hint="eastAsia"/>
              </w:rPr>
            </w:pPr>
            <w:r>
              <w:rPr>
                <w:rFonts w:hint="eastAsia"/>
                <w:lang w:val="en-US" w:eastAsia="zh-CN"/>
              </w:rPr>
              <w:t xml:space="preserve">     以上价格为全费用完全价，已包含建筑物内搬运零星杂物等情况。包含但不限于办理相关正规手续的费用、人工费、材料费、机械费、措施费、管理费、安全文明施工费（达标）、风险费、利润、规费及税金等。</w:t>
            </w:r>
          </w:p>
        </w:tc>
      </w:tr>
    </w:tbl>
    <w:p>
      <w:pPr>
        <w:topLinePunct/>
        <w:spacing w:line="440" w:lineRule="exact"/>
        <w:ind w:left="928" w:leftChars="0" w:right="-307" w:rightChars="-146" w:hanging="928" w:hangingChars="400"/>
        <w:rPr>
          <w:rFonts w:hint="eastAsia" w:ascii="宋体" w:hAnsi="宋体" w:eastAsia="宋体" w:cs="宋体"/>
          <w:spacing w:val="-4"/>
          <w:sz w:val="24"/>
          <w:szCs w:val="24"/>
        </w:rPr>
      </w:pPr>
      <w:r>
        <w:rPr>
          <w:rFonts w:eastAsia="宋体"/>
          <w:spacing w:val="-4"/>
          <w:sz w:val="24"/>
          <w:szCs w:val="24"/>
        </w:rPr>
        <w:t>注：</w:t>
      </w:r>
      <w:r>
        <w:rPr>
          <w:rFonts w:hint="eastAsia" w:ascii="宋体" w:hAnsi="宋体" w:eastAsia="宋体" w:cs="宋体"/>
          <w:spacing w:val="-4"/>
          <w:sz w:val="24"/>
          <w:szCs w:val="24"/>
        </w:rPr>
        <w:t>1.本表应按包分别填写。</w:t>
      </w:r>
    </w:p>
    <w:p>
      <w:pPr>
        <w:topLinePunct/>
        <w:spacing w:line="440" w:lineRule="exact"/>
        <w:ind w:right="-307" w:rightChars="-146" w:firstLine="464" w:firstLineChars="200"/>
        <w:rPr>
          <w:rFonts w:hint="eastAsia" w:ascii="宋体" w:hAnsi="宋体" w:eastAsia="宋体" w:cs="宋体"/>
          <w:spacing w:val="-4"/>
          <w:sz w:val="24"/>
          <w:szCs w:val="24"/>
        </w:rPr>
      </w:pPr>
      <w:r>
        <w:rPr>
          <w:rFonts w:hint="eastAsia" w:ascii="宋体" w:hAnsi="宋体" w:eastAsia="宋体" w:cs="宋体"/>
          <w:spacing w:val="-4"/>
          <w:sz w:val="24"/>
          <w:szCs w:val="24"/>
        </w:rPr>
        <w:t>2.上述各项的详细规格（如有），可另页</w:t>
      </w:r>
      <w:r>
        <w:rPr>
          <w:rFonts w:hint="eastAsia" w:ascii="宋体" w:hAnsi="宋体" w:eastAsia="宋体" w:cs="宋体"/>
          <w:spacing w:val="-4"/>
          <w:sz w:val="24"/>
          <w:szCs w:val="24"/>
          <w:lang w:val="en-US" w:eastAsia="zh-CN"/>
        </w:rPr>
        <w:t>描</w:t>
      </w:r>
      <w:r>
        <w:rPr>
          <w:rFonts w:hint="eastAsia" w:ascii="宋体" w:hAnsi="宋体" w:eastAsia="宋体" w:cs="宋体"/>
          <w:spacing w:val="-4"/>
          <w:sz w:val="24"/>
          <w:szCs w:val="24"/>
        </w:rPr>
        <w:t>述。</w:t>
      </w:r>
    </w:p>
    <w:p>
      <w:pPr>
        <w:topLinePunct/>
        <w:spacing w:line="440" w:lineRule="exact"/>
        <w:ind w:left="913" w:leftChars="214" w:right="-307" w:rightChars="-146" w:hanging="464" w:hangingChars="200"/>
        <w:rPr>
          <w:rFonts w:hint="eastAsia" w:ascii="宋体" w:hAnsi="宋体" w:eastAsia="宋体" w:cs="宋体"/>
          <w:b w:val="0"/>
          <w:bCs/>
          <w:color w:val="000000"/>
          <w:sz w:val="24"/>
          <w:lang w:val="en-US" w:eastAsia="zh-CN"/>
        </w:rPr>
      </w:pPr>
      <w:r>
        <w:rPr>
          <w:rFonts w:hint="eastAsia" w:ascii="宋体" w:hAnsi="宋体" w:eastAsia="宋体" w:cs="宋体"/>
          <w:spacing w:val="-4"/>
          <w:sz w:val="24"/>
          <w:szCs w:val="24"/>
        </w:rPr>
        <w:t>3.此表无需在响应文件中</w:t>
      </w:r>
      <w:r>
        <w:rPr>
          <w:rFonts w:hint="eastAsia" w:ascii="宋体" w:hAnsi="宋体" w:eastAsia="宋体" w:cs="宋体"/>
          <w:spacing w:val="-4"/>
          <w:sz w:val="24"/>
          <w:szCs w:val="24"/>
          <w:lang w:val="en-US" w:eastAsia="zh-CN"/>
        </w:rPr>
        <w:t>提</w:t>
      </w:r>
      <w:r>
        <w:rPr>
          <w:rFonts w:hint="eastAsia" w:ascii="宋体" w:hAnsi="宋体" w:eastAsia="宋体" w:cs="宋体"/>
          <w:spacing w:val="-4"/>
          <w:sz w:val="24"/>
          <w:szCs w:val="24"/>
        </w:rPr>
        <w:t>交，磋商后供应商按磋商小组要求</w:t>
      </w:r>
      <w:r>
        <w:rPr>
          <w:rFonts w:hint="eastAsia" w:ascii="宋体" w:hAnsi="宋体" w:eastAsia="宋体" w:cs="宋体"/>
          <w:spacing w:val="-4"/>
          <w:sz w:val="24"/>
          <w:szCs w:val="24"/>
          <w:lang w:val="en-US" w:eastAsia="zh-CN"/>
        </w:rPr>
        <w:t>提</w:t>
      </w:r>
      <w:r>
        <w:rPr>
          <w:rFonts w:hint="eastAsia" w:ascii="宋体" w:hAnsi="宋体" w:eastAsia="宋体" w:cs="宋体"/>
          <w:spacing w:val="-4"/>
          <w:sz w:val="24"/>
          <w:szCs w:val="24"/>
        </w:rPr>
        <w:t>交</w:t>
      </w:r>
      <w:r>
        <w:rPr>
          <w:rFonts w:hint="eastAsia" w:ascii="宋体" w:hAnsi="宋体" w:cs="宋体"/>
          <w:sz w:val="24"/>
          <w:szCs w:val="24"/>
          <w:highlight w:val="none"/>
          <w:lang w:eastAsia="zh-CN"/>
        </w:rPr>
        <w:t>。</w:t>
      </w:r>
    </w:p>
    <w:p>
      <w:pPr>
        <w:autoSpaceDE w:val="0"/>
        <w:autoSpaceDN w:val="0"/>
        <w:adjustRightInd w:val="0"/>
        <w:snapToGrid w:val="0"/>
        <w:spacing w:before="25" w:after="25" w:line="360" w:lineRule="auto"/>
        <w:ind w:firstLine="240" w:firstLineChars="100"/>
        <w:rPr>
          <w:rFonts w:hint="eastAsia" w:ascii="宋体" w:hAnsi="宋体" w:eastAsia="宋体" w:cs="宋体"/>
          <w:sz w:val="24"/>
        </w:rPr>
      </w:pPr>
    </w:p>
    <w:p>
      <w:pPr>
        <w:autoSpaceDE w:val="0"/>
        <w:autoSpaceDN w:val="0"/>
        <w:adjustRightInd w:val="0"/>
        <w:snapToGrid w:val="0"/>
        <w:spacing w:before="25" w:after="25" w:line="360" w:lineRule="auto"/>
        <w:ind w:firstLine="240" w:firstLineChars="100"/>
        <w:rPr>
          <w:rFonts w:hint="eastAsia" w:ascii="宋体" w:hAnsi="宋体" w:eastAsia="宋体" w:cs="宋体"/>
          <w:color w:val="000000"/>
          <w:sz w:val="24"/>
          <w:lang w:val="zh-CN"/>
        </w:rPr>
      </w:pPr>
      <w:r>
        <w:rPr>
          <w:rFonts w:hint="eastAsia" w:ascii="宋体" w:hAnsi="宋体" w:eastAsia="宋体" w:cs="宋体"/>
          <w:sz w:val="24"/>
        </w:rPr>
        <w:t>供应商名称（盖章）</w:t>
      </w:r>
      <w:r>
        <w:rPr>
          <w:rFonts w:hint="eastAsia" w:ascii="宋体" w:hAnsi="宋体" w:eastAsia="宋体" w:cs="宋体"/>
          <w:color w:val="000000"/>
          <w:sz w:val="24"/>
          <w:lang w:val="zh-CN"/>
        </w:rPr>
        <w:t>：___________</w:t>
      </w:r>
    </w:p>
    <w:p>
      <w:pPr>
        <w:autoSpaceDE w:val="0"/>
        <w:autoSpaceDN w:val="0"/>
        <w:adjustRightInd w:val="0"/>
        <w:snapToGrid w:val="0"/>
        <w:spacing w:before="25" w:after="25" w:line="360" w:lineRule="auto"/>
        <w:ind w:firstLine="240" w:firstLineChars="100"/>
        <w:rPr>
          <w:rFonts w:hint="eastAsia" w:ascii="宋体" w:hAnsi="宋体" w:eastAsia="宋体" w:cs="宋体"/>
          <w:color w:val="000000"/>
          <w:sz w:val="24"/>
          <w:szCs w:val="20"/>
          <w:lang w:val="en-US" w:eastAsia="zh-CN"/>
        </w:rPr>
      </w:pPr>
      <w:r>
        <w:rPr>
          <w:rFonts w:hint="eastAsia" w:ascii="宋体" w:hAnsi="宋体" w:eastAsia="宋体" w:cs="宋体"/>
          <w:color w:val="000000"/>
          <w:sz w:val="24"/>
          <w:szCs w:val="20"/>
        </w:rPr>
        <w:t>日期：____年____月____日</w:t>
      </w:r>
    </w:p>
    <w:sectPr>
      <w:pgSz w:w="11907" w:h="16840"/>
      <w:pgMar w:top="1418" w:right="1134" w:bottom="1418" w:left="1701" w:header="851" w:footer="851" w:gutter="0"/>
      <w:pgNumType w:fmt="decimal"/>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72E0B322-5F06-42E2-A837-CD10BC5EF66E}"/>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embedRegular r:id="rId2" w:fontKey="{894491E4-51C1-4877-A0AC-3ACDF732F9DB}"/>
  </w:font>
  <w:font w:name="ˎ̥">
    <w:altName w:val="微软雅黑"/>
    <w:panose1 w:val="00000000000000000000"/>
    <w:charset w:val="00"/>
    <w:family w:val="roman"/>
    <w:pitch w:val="default"/>
    <w:sig w:usb0="00000000" w:usb1="00000000" w:usb2="00000000" w:usb3="00000000" w:csb0="00040001" w:csb1="00000000"/>
  </w:font>
  <w:font w:name="Arial Unicode MS">
    <w:altName w:val="宋体"/>
    <w:panose1 w:val="020B0604020202020204"/>
    <w:charset w:val="86"/>
    <w:family w:val="swiss"/>
    <w:pitch w:val="default"/>
    <w:sig w:usb0="00000000" w:usb1="00000000" w:usb2="0000003F" w:usb3="00000000" w:csb0="003F01FF" w:csb1="00000000"/>
    <w:embedRegular r:id="rId3" w:fontKey="{835BDBAE-CD95-4AB3-8EA3-914DC3B1C107}"/>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Century Gothic">
    <w:panose1 w:val="020B0502020202020204"/>
    <w:charset w:val="00"/>
    <w:family w:val="swiss"/>
    <w:pitch w:val="default"/>
    <w:sig w:usb0="00000287" w:usb1="00000000" w:usb2="00000000" w:usb3="00000000" w:csb0="2000009F" w:csb1="DFD70000"/>
  </w:font>
  <w:font w:name="Wingdings 2">
    <w:panose1 w:val="05020102010507070707"/>
    <w:charset w:val="00"/>
    <w:family w:val="auto"/>
    <w:pitch w:val="default"/>
    <w:sig w:usb0="00000000" w:usb1="00000000" w:usb2="00000000" w:usb3="00000000" w:csb0="80000000" w:csb1="00000000"/>
    <w:embedRegular r:id="rId4" w:fontKey="{AEC5197F-65CD-4D91-AEB3-1537C94ECE90}"/>
  </w:font>
  <w:font w:name="Segoe UI Symbol">
    <w:panose1 w:val="020B0502040204020203"/>
    <w:charset w:val="00"/>
    <w:family w:val="swiss"/>
    <w:pitch w:val="default"/>
    <w:sig w:usb0="800001E3" w:usb1="1200FFEF" w:usb2="00040000" w:usb3="04000000" w:csb0="00000001" w:csb1="40000000"/>
    <w:embedRegular r:id="rId5" w:fontKey="{07518F2A-CFF1-4807-9F55-EA76F24FE25D}"/>
  </w:font>
  <w:font w:name="仿宋">
    <w:panose1 w:val="02010609060101010101"/>
    <w:charset w:val="86"/>
    <w:family w:val="auto"/>
    <w:pitch w:val="default"/>
    <w:sig w:usb0="800002BF" w:usb1="38CF7CFA" w:usb2="00000016" w:usb3="00000000" w:csb0="00040001" w:csb1="00000000"/>
    <w:embedRegular r:id="rId6" w:fontKey="{8AE44E53-C1C4-4BB4-B156-83D7DA927E5F}"/>
  </w:font>
  <w:font w:name="Arial Narrow">
    <w:panose1 w:val="020B0606020202030204"/>
    <w:charset w:val="00"/>
    <w:family w:val="swiss"/>
    <w:pitch w:val="default"/>
    <w:sig w:usb0="00000287" w:usb1="00000800" w:usb2="00000000" w:usb3="00000000" w:csb0="2000009F" w:csb1="DFD70000"/>
    <w:embedRegular r:id="rId7" w:fontKey="{AC426ABA-27B4-4F0A-BFAF-3A482037D694}"/>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2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CzSVju0AAAAAUBAAAPAAAAAAAAAAEAIAAAACIAAABkcnMvZG93bnJldi54bWxQSwECFAAU&#10;AAAACACHTuJAPRhHJN0CAAAkBgAADgAAAAAAAAABACAAAAAfAQAAZHJzL2Uyb0RvYy54bWxQSwUG&#10;AAAAAAYABgBZAQAAbgYAAAAA&#10;">
              <v:fill on="f" focussize="0,0"/>
              <v:stroke on="f" weight="0.5pt"/>
              <v:imagedata o:title=""/>
              <o:lock v:ext="edit" aspectratio="f"/>
              <v:textbox inset="0mm,0mm,0mm,0mm" style="mso-fit-shape-to-text:t;">
                <w:txbxContent>
                  <w:p>
                    <w:pPr>
                      <w:pStyle w:val="2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jc w:val="center"/>
      <w:rPr>
        <w:rFonts w:ascii="Times New Roman"/>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5" name="文本框 5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J74X8zAgAAYw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OKdFMoeKXH98v&#10;P39ffn0jOINAtfVzxO0sIkPzzjRom+Hc4zDybgqn4heMCPyQ93yVVzSB8HhpNpnNUrg4fMMG+MnT&#10;det8eC+MItHIqEP9WlnZaetDFzqExGzabCop2xpKTeqM3ryd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PJ74X8zAgAAYwQAAA4AAAAAAAAAAQAgAAAAHwEAAGRycy9lMm9Eb2MueG1sUEsF&#10;BgAAAAAGAAYAWQEAAMQFAAAAAA==&#10;">
              <v:fill on="f" focussize="0,0"/>
              <v:stroke on="f" weight="0.5pt"/>
              <v:imagedata o:title=""/>
              <o:lock v:ext="edit" aspectratio="f"/>
              <v:textbox inset="0mm,0mm,0mm,0mm" style="mso-fit-shape-to-text:t;">
                <w:txbxContent>
                  <w:p>
                    <w:pPr>
                      <w:pStyle w:val="2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framePr w:wrap="around" w:vAnchor="text" w:hAnchor="margin" w:xAlign="center" w:y="1"/>
      <w:rPr>
        <w:rStyle w:val="52"/>
      </w:rPr>
    </w:pPr>
    <w:r>
      <w:fldChar w:fldCharType="begin"/>
    </w:r>
    <w:r>
      <w:rPr>
        <w:rStyle w:val="52"/>
      </w:rPr>
      <w:instrText xml:space="preserve">PAGE  </w:instrText>
    </w:r>
    <w:r>
      <w:fldChar w:fldCharType="end"/>
    </w:r>
  </w:p>
  <w:p>
    <w:pPr>
      <w:pStyle w:val="28"/>
      <w:ind w:right="360"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6" name="文本框 5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HWFKJQzAgAAYwQAAA4AAAAAAAAAAQAgAAAAHwEAAGRycy9lMm9Eb2MueG1sUEsF&#10;BgAAAAAGAAYAWQEAAMQFAAAAAA==&#10;">
              <v:fill on="f" focussize="0,0"/>
              <v:stroke on="f" weight="0.5pt"/>
              <v:imagedata o:title=""/>
              <o:lock v:ext="edit" aspectratio="f"/>
              <v:textbox inset="0mm,0mm,0mm,0mm" style="mso-fit-shape-to-text:t;">
                <w:txbxContent>
                  <w:p>
                    <w:pPr>
                      <w:pStyle w:val="2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jc w:val="center"/>
      <w:rPr>
        <w:rFonts w:ascii="Times New Roman"/>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7" name="文本框 5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8"/>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tv3szAgAAYwQAAA4AAABkcnMvZTJvRG9jLnhtbK1UzY7TMBC+I/EO&#10;lu80adEu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69oUQzhYqfvn87&#10;/fh1+vmV4AwCtdbPEPdgERm6t6ZD2wznHoeRd1c5Fb9gROCHvMeLvKILhMdL08l0msPF4Rs2wM8e&#10;r1vnwzthFIlGQR3ql2Rlh40PfegQErNps26kTDWUmrQFvX59la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Dctv3szAgAAYwQAAA4AAAAAAAAAAQAgAAAAHwEAAGRycy9lMm9Eb2MueG1sUEsF&#10;BgAAAAAGAAYAWQEAAMQFAAAAAA==&#10;">
              <v:fill on="f" focussize="0,0"/>
              <v:stroke on="f" weight="0.5pt"/>
              <v:imagedata o:title=""/>
              <o:lock v:ext="edit" aspectratio="f"/>
              <v:textbox inset="0mm,0mm,0mm,0mm" style="mso-fit-shape-to-text:t;">
                <w:txbxContent>
                  <w:p>
                    <w:pPr>
                      <w:pStyle w:val="28"/>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jc w:val="cente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8" name="文本框 5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8"/>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4ls4k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C4ls4kzAgAAYwQAAA4AAAAAAAAAAQAgAAAAHwEAAGRycy9lMm9Eb2MueG1sUEsF&#10;BgAAAAAGAAYAWQEAAMQFAAAAAA==&#10;">
              <v:fill on="f" focussize="0,0"/>
              <v:stroke on="f" weight="0.5pt"/>
              <v:imagedata o:title=""/>
              <o:lock v:ext="edit" aspectratio="f"/>
              <v:textbox inset="0mm,0mm,0mm,0mm" style="mso-fit-shape-to-text:t;">
                <w:txbxContent>
                  <w:p>
                    <w:pPr>
                      <w:pStyle w:val="28"/>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jc w:val="center"/>
      <w:rPr>
        <w:rFonts w:ascii="宋体"/>
        <w:sz w:val="28"/>
        <w:szCs w:val="28"/>
      </w:rPr>
    </w:pPr>
    <w:r>
      <w:rPr>
        <w:sz w:val="2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4" name="文本框 6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0MQeM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OoNJYZpVPz04/vp&#10;58Pp1zeCMwjUuDBD3L1DZGzf2RZtM5wHHCbebeV1+oIRgR/yHi/yijYSni5NJ9NpDheHb9gAP3u8&#10;7nyI74XVJBkF9ahfJys7bELsQ4eQlM3YtVSqq6EypAGJ12/z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M0MQeMzAgAAYwQAAA4AAAAAAAAAAQAgAAAAHwEAAGRycy9lMm9Eb2MueG1sUEsF&#10;BgAAAAAGAAYAWQEAAMQFAAAAAA==&#10;">
              <v:fill on="f" focussize="0,0"/>
              <v:stroke on="f" weight="0.5pt"/>
              <v:imagedata o:title=""/>
              <o:lock v:ext="edit" aspectratio="f"/>
              <v:textbox inset="0mm,0mm,0mm,0mm" style="mso-fit-shape-to-text:t;">
                <w:txbxContent>
                  <w:p>
                    <w:pPr>
                      <w:pStyle w:val="2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40" w:lineRule="exact"/>
      <w:jc w:val="center"/>
    </w:pPr>
    <w:r>
      <w:rPr>
        <w:sz w:val="21"/>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28"/>
                          </w:pPr>
                          <w:r>
                            <w:fldChar w:fldCharType="begin"/>
                          </w:r>
                          <w:r>
                            <w:instrText xml:space="preserve"> PAGE  \* MERGEFORMAT </w:instrText>
                          </w:r>
                          <w:r>
                            <w:fldChar w:fldCharType="separate"/>
                          </w:r>
                          <w:r>
                            <w:t>23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AqZhe+3AIAACQGAAAOAAAAAAAAAAEAIAAAAB8BAABkcnMvZTJvRG9jLnhtbFBLBQYA&#10;AAAABgAGAFkBAABtBgAAAAA=&#10;">
              <v:fill on="f" focussize="0,0"/>
              <v:stroke on="f" weight="0.5pt"/>
              <v:imagedata o:title=""/>
              <o:lock v:ext="edit" aspectratio="f"/>
              <v:textbox inset="0mm,0mm,0mm,0mm" style="mso-fit-shape-to-text:t;">
                <w:txbxContent>
                  <w:p>
                    <w:pPr>
                      <w:pStyle w:val="28"/>
                    </w:pPr>
                    <w:r>
                      <w:fldChar w:fldCharType="begin"/>
                    </w:r>
                    <w:r>
                      <w:instrText xml:space="preserve"> PAGE  \* MERGEFORMAT </w:instrText>
                    </w:r>
                    <w:r>
                      <w:fldChar w:fldCharType="separate"/>
                    </w:r>
                    <w:r>
                      <w:t>23</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20" w:lineRule="exact"/>
      <w:jc w:val="center"/>
    </w:pPr>
    <w:r>
      <w:rPr>
        <w:sz w:val="21"/>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28"/>
                          </w:pPr>
                          <w:r>
                            <w:fldChar w:fldCharType="begin"/>
                          </w:r>
                          <w:r>
                            <w:instrText xml:space="preserve"> PAGE  \* MERGEFORMAT </w:instrText>
                          </w:r>
                          <w:r>
                            <w:fldChar w:fldCharType="separate"/>
                          </w:r>
                          <w:r>
                            <w:t>56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CzSVju0AAAAAUBAAAPAAAAAAAAAAEAIAAAACIAAABkcnMvZG93bnJldi54bWxQSwECFAAU&#10;AAAACACHTuJAJ0wnyN0CAAAkBgAADgAAAAAAAAABACAAAAAfAQAAZHJzL2Uyb0RvYy54bWxQSwUG&#10;AAAAAAYABgBZAQAAbgYAAAAA&#10;">
              <v:fill on="f" focussize="0,0"/>
              <v:stroke on="f" weight="0.5pt"/>
              <v:imagedata o:title=""/>
              <o:lock v:ext="edit" aspectratio="f"/>
              <v:textbox inset="0mm,0mm,0mm,0mm" style="mso-fit-shape-to-text:t;">
                <w:txbxContent>
                  <w:p>
                    <w:pPr>
                      <w:pStyle w:val="28"/>
                    </w:pPr>
                    <w:r>
                      <w:fldChar w:fldCharType="begin"/>
                    </w:r>
                    <w:r>
                      <w:instrText xml:space="preserve"> PAGE  \* MERGEFORMAT </w:instrText>
                    </w:r>
                    <w:r>
                      <w:fldChar w:fldCharType="separate"/>
                    </w:r>
                    <w:r>
                      <w:t>56</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40" w:lineRule="exact"/>
      <w:jc w:val="center"/>
    </w:pPr>
    <w:r>
      <w:rPr>
        <w:sz w:val="21"/>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28"/>
                          </w:pPr>
                          <w:r>
                            <w:fldChar w:fldCharType="begin"/>
                          </w:r>
                          <w:r>
                            <w:instrText xml:space="preserve"> PAGE  \* MERGEFORMAT </w:instrText>
                          </w:r>
                          <w:r>
                            <w:fldChar w:fldCharType="separate"/>
                          </w:r>
                          <w:r>
                            <w:t>57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CvwKVW3AIAACQGAAAOAAAAAAAAAAEAIAAAAB8BAABkcnMvZTJvRG9jLnhtbFBLBQYA&#10;AAAABgAGAFkBAABtBgAAAAA=&#10;">
              <v:fill on="f" focussize="0,0"/>
              <v:stroke on="f" weight="0.5pt"/>
              <v:imagedata o:title=""/>
              <o:lock v:ext="edit" aspectratio="f"/>
              <v:textbox inset="0mm,0mm,0mm,0mm" style="mso-fit-shape-to-text:t;">
                <w:txbxContent>
                  <w:p>
                    <w:pPr>
                      <w:pStyle w:val="28"/>
                    </w:pPr>
                    <w:r>
                      <w:fldChar w:fldCharType="begin"/>
                    </w:r>
                    <w:r>
                      <w:instrText xml:space="preserve"> PAGE  \* MERGEFORMAT </w:instrText>
                    </w:r>
                    <w:r>
                      <w:fldChar w:fldCharType="separate"/>
                    </w:r>
                    <w:r>
                      <w:t>57</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7" w:lineRule="auto"/>
      <w:ind w:left="4430"/>
      <w:rPr>
        <w:rFonts w:ascii="Arial" w:hAnsi="Arial" w:eastAsia="Arial" w:cs="Arial"/>
        <w:sz w:val="18"/>
        <w:szCs w:val="18"/>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65" name="文本框 6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8"/>
                          </w:pPr>
                          <w:r>
                            <w:fldChar w:fldCharType="begin"/>
                          </w:r>
                          <w:r>
                            <w:instrText xml:space="preserve"> PAGE  \* MERGEFORMAT </w:instrText>
                          </w:r>
                          <w:r>
                            <w:fldChar w:fldCharType="separate"/>
                          </w:r>
                          <w:r>
                            <w:t>113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1gw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1gwzAgAAYwQAAA4AAAAAAAAAAQAgAAAAHwEAAGRycy9lMm9Eb2MueG1sUEsF&#10;BgAAAAAGAAYAWQEAAMQFAAAAAA==&#10;">
              <v:fill on="f" focussize="0,0"/>
              <v:stroke on="f" weight="0.5pt"/>
              <v:imagedata o:title=""/>
              <o:lock v:ext="edit" aspectratio="f"/>
              <v:textbox inset="0mm,0mm,0mm,0mm" style="mso-fit-shape-to-text:t;">
                <w:txbxContent>
                  <w:p>
                    <w:pPr>
                      <w:pStyle w:val="28"/>
                    </w:pPr>
                    <w:r>
                      <w:fldChar w:fldCharType="begin"/>
                    </w:r>
                    <w:r>
                      <w:instrText xml:space="preserve"> PAGE  \* MERGEFORMAT </w:instrText>
                    </w:r>
                    <w:r>
                      <w:fldChar w:fldCharType="separate"/>
                    </w:r>
                    <w:r>
                      <w:t>113</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framePr w:wrap="around" w:vAnchor="text" w:hAnchor="margin" w:xAlign="right" w:y="1"/>
      <w:rPr>
        <w:rStyle w:val="52"/>
      </w:rPr>
    </w:pPr>
    <w:r>
      <w:rPr>
        <w:rStyle w:val="52"/>
      </w:rPr>
      <w:fldChar w:fldCharType="begin"/>
    </w:r>
    <w:r>
      <w:rPr>
        <w:rStyle w:val="52"/>
      </w:rPr>
      <w:instrText xml:space="preserve">PAGE  </w:instrText>
    </w:r>
    <w:r>
      <w:rPr>
        <w:rStyle w:val="52"/>
      </w:rPr>
      <w:fldChar w:fldCharType="end"/>
    </w:r>
  </w:p>
  <w:p>
    <w:pPr>
      <w:pStyle w:val="28"/>
      <w:ind w:right="360"/>
    </w:pPr>
  </w:p>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4548"/>
      <w:rPr>
        <w:rFonts w:ascii="Arial" w:hAnsi="Arial" w:eastAsia="Arial" w:cs="Arial"/>
        <w:sz w:val="18"/>
        <w:szCs w:val="18"/>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66" name="文本框 6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8"/>
                          </w:pPr>
                          <w:r>
                            <w:fldChar w:fldCharType="begin"/>
                          </w:r>
                          <w:r>
                            <w:instrText xml:space="preserve"> PAGE  \* MERGEFORMAT </w:instrText>
                          </w:r>
                          <w:r>
                            <w:fldChar w:fldCharType="separate"/>
                          </w:r>
                          <w:r>
                            <w:t>119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haH+c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CFof5zICAABjBAAADgAAAAAAAAABACAAAAAfAQAAZHJzL2Uyb0RvYy54bWxQSwUG&#10;AAAAAAYABgBZAQAAwwUAAAAA&#10;">
              <v:fill on="f" focussize="0,0"/>
              <v:stroke on="f" weight="0.5pt"/>
              <v:imagedata o:title=""/>
              <o:lock v:ext="edit" aspectratio="f"/>
              <v:textbox inset="0mm,0mm,0mm,0mm" style="mso-fit-shape-to-text:t;">
                <w:txbxContent>
                  <w:p>
                    <w:pPr>
                      <w:pStyle w:val="28"/>
                    </w:pPr>
                    <w:r>
                      <w:fldChar w:fldCharType="begin"/>
                    </w:r>
                    <w:r>
                      <w:instrText xml:space="preserve"> PAGE  \* MERGEFORMAT </w:instrText>
                    </w:r>
                    <w:r>
                      <w:fldChar w:fldCharType="separate"/>
                    </w:r>
                    <w:r>
                      <w:t>119</w:t>
                    </w:r>
                    <w:r>
                      <w:fldChar w:fldCharType="end"/>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framePr w:wrap="around" w:vAnchor="text" w:hAnchor="margin" w:xAlign="right" w:y="1"/>
      <w:rPr>
        <w:rStyle w:val="52"/>
      </w:rPr>
    </w:pPr>
    <w:r>
      <w:rPr>
        <w:rStyle w:val="52"/>
      </w:rPr>
      <w:fldChar w:fldCharType="begin"/>
    </w:r>
    <w:r>
      <w:rPr>
        <w:rStyle w:val="52"/>
      </w:rPr>
      <w:instrText xml:space="preserve">PAGE  </w:instrText>
    </w:r>
    <w:r>
      <w:rPr>
        <w:rStyle w:val="52"/>
      </w:rPr>
      <w:fldChar w:fldCharType="end"/>
    </w:r>
  </w:p>
  <w:p>
    <w:pPr>
      <w:pStyle w:val="28"/>
      <w:ind w:right="360"/>
    </w:pPr>
  </w:p>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right"/>
    </w:pPr>
    <w:r>
      <w:rPr>
        <w:rFonts w:hint="eastAsia"/>
      </w:rPr>
      <w:t xml:space="preserve">北京市政府采购项目竞争性磋商文件示范文本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Bdr>
        <w:bottom w:val="none" w:color="auto" w:sz="0" w:space="1"/>
      </w:pBdr>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spacing w:line="219" w:lineRule="auto"/>
      <w:jc w:val="right"/>
      <w:rPr>
        <w:sz w:val="18"/>
        <w:szCs w:val="18"/>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left="42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spacing w:line="219" w:lineRule="auto"/>
      <w:jc w:val="right"/>
      <w:rPr>
        <w:sz w:val="18"/>
        <w:szCs w:val="18"/>
      </w:rPr>
    </w:pPr>
    <w:r>
      <w:drawing>
        <wp:anchor distT="0" distB="0" distL="0" distR="0" simplePos="0" relativeHeight="251659264" behindDoc="0" locked="0" layoutInCell="0" allowOverlap="1">
          <wp:simplePos x="0" y="0"/>
          <wp:positionH relativeFrom="page">
            <wp:posOffset>1060450</wp:posOffset>
          </wp:positionH>
          <wp:positionV relativeFrom="page">
            <wp:posOffset>777240</wp:posOffset>
          </wp:positionV>
          <wp:extent cx="5760720" cy="8255"/>
          <wp:effectExtent l="0" t="0" r="0" b="0"/>
          <wp:wrapNone/>
          <wp:docPr id="162" name="IM 162"/>
          <wp:cNvGraphicFramePr/>
          <a:graphic xmlns:a="http://schemas.openxmlformats.org/drawingml/2006/main">
            <a:graphicData uri="http://schemas.openxmlformats.org/drawingml/2006/picture">
              <pic:pic xmlns:pic="http://schemas.openxmlformats.org/drawingml/2006/picture">
                <pic:nvPicPr>
                  <pic:cNvPr id="162" name="IM 162"/>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rPr>
      <w:t>北京市政府采购项目竞争性磋商文件示范文本</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spacing w:line="219" w:lineRule="auto"/>
      <w:ind w:right="13"/>
      <w:jc w:val="right"/>
      <w:rPr>
        <w:sz w:val="18"/>
        <w:szCs w:val="18"/>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DF26A3A"/>
    <w:multiLevelType w:val="singleLevel"/>
    <w:tmpl w:val="ADF26A3A"/>
    <w:lvl w:ilvl="0" w:tentative="0">
      <w:start w:val="1"/>
      <w:numFmt w:val="chineseCounting"/>
      <w:suff w:val="nothing"/>
      <w:lvlText w:val="%1、"/>
      <w:lvlJc w:val="left"/>
      <w:rPr>
        <w:rFonts w:hint="eastAsia"/>
      </w:rPr>
    </w:lvl>
  </w:abstractNum>
  <w:abstractNum w:abstractNumId="1">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2">
    <w:nsid w:val="0000000A"/>
    <w:multiLevelType w:val="multilevel"/>
    <w:tmpl w:val="0000000A"/>
    <w:lvl w:ilvl="0" w:tentative="0">
      <w:start w:val="1"/>
      <w:numFmt w:val="decimal"/>
      <w:pStyle w:val="97"/>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0000000D"/>
    <w:multiLevelType w:val="multilevel"/>
    <w:tmpl w:val="0000000D"/>
    <w:lvl w:ilvl="0" w:tentative="0">
      <w:start w:val="1"/>
      <w:numFmt w:val="lowerLetter"/>
      <w:pStyle w:val="172"/>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4">
    <w:nsid w:val="00000013"/>
    <w:multiLevelType w:val="singleLevel"/>
    <w:tmpl w:val="00000013"/>
    <w:lvl w:ilvl="0" w:tentative="0">
      <w:start w:val="1"/>
      <w:numFmt w:val="decimal"/>
      <w:pStyle w:val="142"/>
      <w:lvlText w:val="%1."/>
      <w:lvlJc w:val="left"/>
      <w:pPr>
        <w:tabs>
          <w:tab w:val="left" w:pos="360"/>
        </w:tabs>
        <w:ind w:left="360" w:hanging="360"/>
      </w:pPr>
      <w:rPr>
        <w:rFonts w:hint="default"/>
      </w:rPr>
    </w:lvl>
  </w:abstractNum>
  <w:abstractNum w:abstractNumId="5">
    <w:nsid w:val="00000026"/>
    <w:multiLevelType w:val="multilevel"/>
    <w:tmpl w:val="00000026"/>
    <w:lvl w:ilvl="0" w:tentative="0">
      <w:start w:val="1"/>
      <w:numFmt w:val="decimal"/>
      <w:pStyle w:val="91"/>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90"/>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27"/>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26"/>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35"/>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48"/>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11"/>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6">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29"/>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7">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宋体" w:hAnsi="宋体" w:eastAsia="宋体" w:cstheme="majorEastAsia"/>
        <w:b w:val="0"/>
        <w:bCs w:val="0"/>
        <w:sz w:val="24"/>
        <w:szCs w:val="24"/>
      </w:rPr>
    </w:lvl>
    <w:lvl w:ilvl="2" w:tentative="0">
      <w:start w:val="1"/>
      <w:numFmt w:val="decimal"/>
      <w:lvlText w:val="%1.%2.%3"/>
      <w:lvlJc w:val="left"/>
      <w:pPr>
        <w:tabs>
          <w:tab w:val="left" w:pos="1980"/>
        </w:tabs>
        <w:ind w:left="1980" w:hanging="900"/>
      </w:pPr>
      <w:rPr>
        <w:rFonts w:hint="default" w:ascii="宋体" w:hAnsi="宋体" w:eastAsia="宋体" w:cstheme="minorEastAsia"/>
        <w:sz w:val="24"/>
        <w:szCs w:val="24"/>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8">
    <w:nsid w:val="0000002F"/>
    <w:multiLevelType w:val="multilevel"/>
    <w:tmpl w:val="0000002F"/>
    <w:lvl w:ilvl="0" w:tentative="0">
      <w:start w:val="1"/>
      <w:numFmt w:val="decimal"/>
      <w:pStyle w:val="96"/>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1338592"/>
    <w:multiLevelType w:val="singleLevel"/>
    <w:tmpl w:val="01338592"/>
    <w:lvl w:ilvl="0" w:tentative="0">
      <w:start w:val="1"/>
      <w:numFmt w:val="decimal"/>
      <w:suff w:val="nothing"/>
      <w:lvlText w:val="%1、"/>
      <w:lvlJc w:val="left"/>
    </w:lvl>
  </w:abstractNum>
  <w:abstractNum w:abstractNumId="10">
    <w:nsid w:val="0E230849"/>
    <w:multiLevelType w:val="multilevel"/>
    <w:tmpl w:val="0E230849"/>
    <w:lvl w:ilvl="0" w:tentative="0">
      <w:start w:val="1"/>
      <w:numFmt w:val="decimal"/>
      <w:pStyle w:val="200"/>
      <w:lvlText w:val="%1"/>
      <w:lvlJc w:val="left"/>
      <w:pPr>
        <w:ind w:left="680" w:hanging="680"/>
      </w:pPr>
      <w:rPr>
        <w:rFonts w:hint="eastAsia" w:ascii="宋体" w:hAnsi="宋体" w:eastAsia="宋体"/>
      </w:rPr>
    </w:lvl>
    <w:lvl w:ilvl="1" w:tentative="0">
      <w:start w:val="1"/>
      <w:numFmt w:val="decimal"/>
      <w:pStyle w:val="201"/>
      <w:lvlText w:val="%1.%2"/>
      <w:lvlJc w:val="left"/>
      <w:pPr>
        <w:ind w:left="851" w:hanging="851"/>
      </w:pPr>
      <w:rPr>
        <w:rFonts w:hint="eastAsia" w:ascii="宋体" w:hAnsi="宋体" w:eastAsia="宋体"/>
        <w:color w:val="auto"/>
      </w:rPr>
    </w:lvl>
    <w:lvl w:ilvl="2" w:tentative="0">
      <w:start w:val="1"/>
      <w:numFmt w:val="decimal"/>
      <w:pStyle w:val="202"/>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1">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宋体" w:hAnsi="宋体" w:eastAsia="宋体" w:cs="宋体"/>
        <w:b w:val="0"/>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2">
    <w:nsid w:val="13851098"/>
    <w:multiLevelType w:val="multilevel"/>
    <w:tmpl w:val="13851098"/>
    <w:lvl w:ilvl="0" w:tentative="0">
      <w:start w:val="1"/>
      <w:numFmt w:val="japaneseCounting"/>
      <w:lvlText w:val="%1、"/>
      <w:lvlJc w:val="left"/>
      <w:pPr>
        <w:ind w:left="500" w:hanging="50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1B64F664"/>
    <w:multiLevelType w:val="singleLevel"/>
    <w:tmpl w:val="1B64F664"/>
    <w:lvl w:ilvl="0" w:tentative="0">
      <w:start w:val="2"/>
      <w:numFmt w:val="decimal"/>
      <w:suff w:val="space"/>
      <w:lvlText w:val="%1."/>
      <w:lvlJc w:val="left"/>
    </w:lvl>
  </w:abstractNum>
  <w:abstractNum w:abstractNumId="14">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5">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abstractNum w:abstractNumId="16">
    <w:nsid w:val="6125E5C9"/>
    <w:multiLevelType w:val="singleLevel"/>
    <w:tmpl w:val="6125E5C9"/>
    <w:lvl w:ilvl="0" w:tentative="0">
      <w:start w:val="1"/>
      <w:numFmt w:val="decimal"/>
      <w:suff w:val="nothing"/>
      <w:lvlText w:val="%1、"/>
      <w:lvlJc w:val="left"/>
    </w:lvl>
  </w:abstractNum>
  <w:abstractNum w:abstractNumId="17">
    <w:nsid w:val="701F51EC"/>
    <w:multiLevelType w:val="singleLevel"/>
    <w:tmpl w:val="701F51EC"/>
    <w:lvl w:ilvl="0" w:tentative="0">
      <w:start w:val="2"/>
      <w:numFmt w:val="chineseCounting"/>
      <w:suff w:val="nothing"/>
      <w:lvlText w:val="%1、"/>
      <w:lvlJc w:val="left"/>
      <w:rPr>
        <w:rFonts w:hint="eastAsia"/>
      </w:rPr>
    </w:lvl>
  </w:abstractNum>
  <w:num w:numId="1">
    <w:abstractNumId w:val="5"/>
  </w:num>
  <w:num w:numId="2">
    <w:abstractNumId w:val="8"/>
  </w:num>
  <w:num w:numId="3">
    <w:abstractNumId w:val="2"/>
  </w:num>
  <w:num w:numId="4">
    <w:abstractNumId w:val="6"/>
  </w:num>
  <w:num w:numId="5">
    <w:abstractNumId w:val="4"/>
  </w:num>
  <w:num w:numId="6">
    <w:abstractNumId w:val="3"/>
  </w:num>
  <w:num w:numId="7">
    <w:abstractNumId w:val="10"/>
  </w:num>
  <w:num w:numId="8">
    <w:abstractNumId w:val="7"/>
  </w:num>
  <w:num w:numId="9">
    <w:abstractNumId w:val="1"/>
  </w:num>
  <w:num w:numId="10">
    <w:abstractNumId w:val="11"/>
  </w:num>
  <w:num w:numId="11">
    <w:abstractNumId w:val="17"/>
  </w:num>
  <w:num w:numId="12">
    <w:abstractNumId w:val="12"/>
  </w:num>
  <w:num w:numId="13">
    <w:abstractNumId w:val="13"/>
  </w:num>
  <w:num w:numId="14">
    <w:abstractNumId w:val="0"/>
  </w:num>
  <w:num w:numId="15">
    <w:abstractNumId w:val="9"/>
  </w:num>
  <w:num w:numId="16">
    <w:abstractNumId w:val="16"/>
  </w:num>
  <w:num w:numId="17">
    <w:abstractNumId w:val="14"/>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commondata" w:val="eyJoZGlkIjoiODQ1NTU0Y2UwZTY1MzNiMmQxNThiNGY0ZjdjZTVlYzQifQ=="/>
    <w:docVar w:name="KSO_WPS_MARK_KEY" w:val="24446753-1535-45bb-852a-27be13132d82"/>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0CF"/>
    <w:rsid w:val="00001711"/>
    <w:rsid w:val="00001895"/>
    <w:rsid w:val="00001948"/>
    <w:rsid w:val="00001F9C"/>
    <w:rsid w:val="000020BD"/>
    <w:rsid w:val="0000218D"/>
    <w:rsid w:val="00002358"/>
    <w:rsid w:val="0000240B"/>
    <w:rsid w:val="000026F7"/>
    <w:rsid w:val="0000279B"/>
    <w:rsid w:val="000027EB"/>
    <w:rsid w:val="00002944"/>
    <w:rsid w:val="00002D16"/>
    <w:rsid w:val="00002F3D"/>
    <w:rsid w:val="00002FE1"/>
    <w:rsid w:val="000031CE"/>
    <w:rsid w:val="00003279"/>
    <w:rsid w:val="00003711"/>
    <w:rsid w:val="00003804"/>
    <w:rsid w:val="000039FD"/>
    <w:rsid w:val="00003A41"/>
    <w:rsid w:val="00003D6A"/>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31"/>
    <w:rsid w:val="00005AF1"/>
    <w:rsid w:val="00005DF0"/>
    <w:rsid w:val="00005EC8"/>
    <w:rsid w:val="000060A7"/>
    <w:rsid w:val="000064B2"/>
    <w:rsid w:val="00006923"/>
    <w:rsid w:val="00006BD5"/>
    <w:rsid w:val="00006CD1"/>
    <w:rsid w:val="00006CD3"/>
    <w:rsid w:val="000073B1"/>
    <w:rsid w:val="000073E8"/>
    <w:rsid w:val="0000781A"/>
    <w:rsid w:val="00007A5A"/>
    <w:rsid w:val="00007DA4"/>
    <w:rsid w:val="00007F7A"/>
    <w:rsid w:val="00010010"/>
    <w:rsid w:val="000100A2"/>
    <w:rsid w:val="000100B6"/>
    <w:rsid w:val="000104BA"/>
    <w:rsid w:val="000106FC"/>
    <w:rsid w:val="00010763"/>
    <w:rsid w:val="00010962"/>
    <w:rsid w:val="00010DB9"/>
    <w:rsid w:val="00010E8F"/>
    <w:rsid w:val="0001121F"/>
    <w:rsid w:val="0001127B"/>
    <w:rsid w:val="000112A5"/>
    <w:rsid w:val="0001156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21"/>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8B"/>
    <w:rsid w:val="000151D7"/>
    <w:rsid w:val="00015316"/>
    <w:rsid w:val="000154B9"/>
    <w:rsid w:val="00015645"/>
    <w:rsid w:val="000156A3"/>
    <w:rsid w:val="0001576D"/>
    <w:rsid w:val="000157C2"/>
    <w:rsid w:val="00015C1D"/>
    <w:rsid w:val="00015D20"/>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1F"/>
    <w:rsid w:val="00021F66"/>
    <w:rsid w:val="0002210E"/>
    <w:rsid w:val="0002216A"/>
    <w:rsid w:val="0002217C"/>
    <w:rsid w:val="0002226B"/>
    <w:rsid w:val="000222D0"/>
    <w:rsid w:val="00022354"/>
    <w:rsid w:val="000223C3"/>
    <w:rsid w:val="00022526"/>
    <w:rsid w:val="00022562"/>
    <w:rsid w:val="000227DC"/>
    <w:rsid w:val="000227F5"/>
    <w:rsid w:val="00022BE1"/>
    <w:rsid w:val="00022C7A"/>
    <w:rsid w:val="00022D53"/>
    <w:rsid w:val="00022F7D"/>
    <w:rsid w:val="0002328F"/>
    <w:rsid w:val="00023458"/>
    <w:rsid w:val="000234AD"/>
    <w:rsid w:val="00023CAF"/>
    <w:rsid w:val="00023D59"/>
    <w:rsid w:val="000241D9"/>
    <w:rsid w:val="00024343"/>
    <w:rsid w:val="00024427"/>
    <w:rsid w:val="00024446"/>
    <w:rsid w:val="0002455F"/>
    <w:rsid w:val="000246FD"/>
    <w:rsid w:val="000249B1"/>
    <w:rsid w:val="000249FA"/>
    <w:rsid w:val="00024B4F"/>
    <w:rsid w:val="00024BB5"/>
    <w:rsid w:val="00024D50"/>
    <w:rsid w:val="00024D59"/>
    <w:rsid w:val="00024FD8"/>
    <w:rsid w:val="00025050"/>
    <w:rsid w:val="00025279"/>
    <w:rsid w:val="00025543"/>
    <w:rsid w:val="00025545"/>
    <w:rsid w:val="0002559A"/>
    <w:rsid w:val="00025BF3"/>
    <w:rsid w:val="00025DA9"/>
    <w:rsid w:val="00026353"/>
    <w:rsid w:val="000265E5"/>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993"/>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AFA"/>
    <w:rsid w:val="00032B14"/>
    <w:rsid w:val="00032C55"/>
    <w:rsid w:val="00032E71"/>
    <w:rsid w:val="00033034"/>
    <w:rsid w:val="00033192"/>
    <w:rsid w:val="00033263"/>
    <w:rsid w:val="00033483"/>
    <w:rsid w:val="00033665"/>
    <w:rsid w:val="000337D2"/>
    <w:rsid w:val="00033A69"/>
    <w:rsid w:val="0003416B"/>
    <w:rsid w:val="00034376"/>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0D67"/>
    <w:rsid w:val="00041026"/>
    <w:rsid w:val="00041129"/>
    <w:rsid w:val="00041142"/>
    <w:rsid w:val="00041243"/>
    <w:rsid w:val="0004148E"/>
    <w:rsid w:val="000415CF"/>
    <w:rsid w:val="00041993"/>
    <w:rsid w:val="00041A0A"/>
    <w:rsid w:val="00041BE6"/>
    <w:rsid w:val="00041C8A"/>
    <w:rsid w:val="00041D94"/>
    <w:rsid w:val="00041DA9"/>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88D"/>
    <w:rsid w:val="0004597F"/>
    <w:rsid w:val="00045A76"/>
    <w:rsid w:val="00045BF7"/>
    <w:rsid w:val="00046001"/>
    <w:rsid w:val="000460A7"/>
    <w:rsid w:val="0004611A"/>
    <w:rsid w:val="000461DC"/>
    <w:rsid w:val="00046309"/>
    <w:rsid w:val="0004639F"/>
    <w:rsid w:val="00046737"/>
    <w:rsid w:val="0004680B"/>
    <w:rsid w:val="00046872"/>
    <w:rsid w:val="00046939"/>
    <w:rsid w:val="00046963"/>
    <w:rsid w:val="00046C5C"/>
    <w:rsid w:val="000470D5"/>
    <w:rsid w:val="00047207"/>
    <w:rsid w:val="00047479"/>
    <w:rsid w:val="000476F9"/>
    <w:rsid w:val="00047889"/>
    <w:rsid w:val="00047AB3"/>
    <w:rsid w:val="00047ADA"/>
    <w:rsid w:val="00047BBA"/>
    <w:rsid w:val="00047E61"/>
    <w:rsid w:val="000500A2"/>
    <w:rsid w:val="000502FD"/>
    <w:rsid w:val="00050351"/>
    <w:rsid w:val="00050606"/>
    <w:rsid w:val="00050747"/>
    <w:rsid w:val="00050899"/>
    <w:rsid w:val="000508C4"/>
    <w:rsid w:val="00050A3F"/>
    <w:rsid w:val="00050AEA"/>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9CC"/>
    <w:rsid w:val="00053AC5"/>
    <w:rsid w:val="00053B80"/>
    <w:rsid w:val="00054265"/>
    <w:rsid w:val="0005434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B14"/>
    <w:rsid w:val="00055DD7"/>
    <w:rsid w:val="00055F08"/>
    <w:rsid w:val="00055F19"/>
    <w:rsid w:val="00056003"/>
    <w:rsid w:val="000560E2"/>
    <w:rsid w:val="0005626D"/>
    <w:rsid w:val="000562AB"/>
    <w:rsid w:val="00056476"/>
    <w:rsid w:val="00056502"/>
    <w:rsid w:val="0005682F"/>
    <w:rsid w:val="000568DE"/>
    <w:rsid w:val="00056B27"/>
    <w:rsid w:val="00056E70"/>
    <w:rsid w:val="0005707E"/>
    <w:rsid w:val="000570D7"/>
    <w:rsid w:val="0005717B"/>
    <w:rsid w:val="000571B5"/>
    <w:rsid w:val="00057274"/>
    <w:rsid w:val="0005763B"/>
    <w:rsid w:val="00057B08"/>
    <w:rsid w:val="000600AF"/>
    <w:rsid w:val="000600DF"/>
    <w:rsid w:val="00060210"/>
    <w:rsid w:val="000602E6"/>
    <w:rsid w:val="00060333"/>
    <w:rsid w:val="00060350"/>
    <w:rsid w:val="000605F1"/>
    <w:rsid w:val="00060615"/>
    <w:rsid w:val="00060784"/>
    <w:rsid w:val="00060C6B"/>
    <w:rsid w:val="00060D4C"/>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741"/>
    <w:rsid w:val="00063AB9"/>
    <w:rsid w:val="00063C49"/>
    <w:rsid w:val="000640A5"/>
    <w:rsid w:val="00064564"/>
    <w:rsid w:val="000645FE"/>
    <w:rsid w:val="000649EC"/>
    <w:rsid w:val="00064E78"/>
    <w:rsid w:val="00065020"/>
    <w:rsid w:val="00065240"/>
    <w:rsid w:val="00065259"/>
    <w:rsid w:val="0006564E"/>
    <w:rsid w:val="000659A7"/>
    <w:rsid w:val="00065B6B"/>
    <w:rsid w:val="00065C44"/>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02"/>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4D7"/>
    <w:rsid w:val="000725F4"/>
    <w:rsid w:val="00072698"/>
    <w:rsid w:val="000726DA"/>
    <w:rsid w:val="00072873"/>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670"/>
    <w:rsid w:val="00074780"/>
    <w:rsid w:val="00074786"/>
    <w:rsid w:val="00074C28"/>
    <w:rsid w:val="00074FC7"/>
    <w:rsid w:val="000752FF"/>
    <w:rsid w:val="000756AC"/>
    <w:rsid w:val="00075879"/>
    <w:rsid w:val="00075941"/>
    <w:rsid w:val="00075AFF"/>
    <w:rsid w:val="00075BC6"/>
    <w:rsid w:val="00075C77"/>
    <w:rsid w:val="00076259"/>
    <w:rsid w:val="0007662D"/>
    <w:rsid w:val="000768C5"/>
    <w:rsid w:val="00076D3D"/>
    <w:rsid w:val="00076E3C"/>
    <w:rsid w:val="00076E8A"/>
    <w:rsid w:val="00076EFF"/>
    <w:rsid w:val="00076F9C"/>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030"/>
    <w:rsid w:val="00081713"/>
    <w:rsid w:val="000817A1"/>
    <w:rsid w:val="00081948"/>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6D"/>
    <w:rsid w:val="000851B1"/>
    <w:rsid w:val="00085227"/>
    <w:rsid w:val="000852B5"/>
    <w:rsid w:val="00085AF9"/>
    <w:rsid w:val="00085B15"/>
    <w:rsid w:val="00085C48"/>
    <w:rsid w:val="00085D2A"/>
    <w:rsid w:val="00085D4B"/>
    <w:rsid w:val="00085D71"/>
    <w:rsid w:val="00085F6D"/>
    <w:rsid w:val="0008601C"/>
    <w:rsid w:val="00086020"/>
    <w:rsid w:val="000861B9"/>
    <w:rsid w:val="000861C0"/>
    <w:rsid w:val="0008620D"/>
    <w:rsid w:val="0008626C"/>
    <w:rsid w:val="00086927"/>
    <w:rsid w:val="00086998"/>
    <w:rsid w:val="00086C03"/>
    <w:rsid w:val="00086EFE"/>
    <w:rsid w:val="00087001"/>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B6D"/>
    <w:rsid w:val="00093DF7"/>
    <w:rsid w:val="00093EE8"/>
    <w:rsid w:val="00093F6E"/>
    <w:rsid w:val="0009426B"/>
    <w:rsid w:val="000944DB"/>
    <w:rsid w:val="000945AA"/>
    <w:rsid w:val="00094A82"/>
    <w:rsid w:val="00094BE8"/>
    <w:rsid w:val="00094C51"/>
    <w:rsid w:val="00094C99"/>
    <w:rsid w:val="00094CC8"/>
    <w:rsid w:val="00094CE8"/>
    <w:rsid w:val="000950F5"/>
    <w:rsid w:val="00095312"/>
    <w:rsid w:val="00095435"/>
    <w:rsid w:val="0009559F"/>
    <w:rsid w:val="000956AB"/>
    <w:rsid w:val="00095B18"/>
    <w:rsid w:val="00095B23"/>
    <w:rsid w:val="00095BE5"/>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B5"/>
    <w:rsid w:val="000975C7"/>
    <w:rsid w:val="000976D2"/>
    <w:rsid w:val="000979E2"/>
    <w:rsid w:val="00097DD0"/>
    <w:rsid w:val="00097FB5"/>
    <w:rsid w:val="000A0203"/>
    <w:rsid w:val="000A022B"/>
    <w:rsid w:val="000A08FB"/>
    <w:rsid w:val="000A0C74"/>
    <w:rsid w:val="000A0CC1"/>
    <w:rsid w:val="000A0CE8"/>
    <w:rsid w:val="000A0D6C"/>
    <w:rsid w:val="000A0F92"/>
    <w:rsid w:val="000A1016"/>
    <w:rsid w:val="000A1125"/>
    <w:rsid w:val="000A1172"/>
    <w:rsid w:val="000A1189"/>
    <w:rsid w:val="000A127C"/>
    <w:rsid w:val="000A13AE"/>
    <w:rsid w:val="000A1480"/>
    <w:rsid w:val="000A173F"/>
    <w:rsid w:val="000A1897"/>
    <w:rsid w:val="000A1902"/>
    <w:rsid w:val="000A1A1F"/>
    <w:rsid w:val="000A1A94"/>
    <w:rsid w:val="000A1C46"/>
    <w:rsid w:val="000A1EC2"/>
    <w:rsid w:val="000A1F58"/>
    <w:rsid w:val="000A2051"/>
    <w:rsid w:val="000A2497"/>
    <w:rsid w:val="000A2766"/>
    <w:rsid w:val="000A2DA2"/>
    <w:rsid w:val="000A2DAE"/>
    <w:rsid w:val="000A2E01"/>
    <w:rsid w:val="000A311C"/>
    <w:rsid w:val="000A32EB"/>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27"/>
    <w:rsid w:val="000A6F72"/>
    <w:rsid w:val="000A6F99"/>
    <w:rsid w:val="000A6FE6"/>
    <w:rsid w:val="000A721F"/>
    <w:rsid w:val="000A72B1"/>
    <w:rsid w:val="000A77E9"/>
    <w:rsid w:val="000A79A7"/>
    <w:rsid w:val="000A7ACC"/>
    <w:rsid w:val="000A7D7F"/>
    <w:rsid w:val="000B0123"/>
    <w:rsid w:val="000B0141"/>
    <w:rsid w:val="000B0529"/>
    <w:rsid w:val="000B07B3"/>
    <w:rsid w:val="000B086E"/>
    <w:rsid w:val="000B09B0"/>
    <w:rsid w:val="000B09FF"/>
    <w:rsid w:val="000B0BBF"/>
    <w:rsid w:val="000B0C83"/>
    <w:rsid w:val="000B0D2B"/>
    <w:rsid w:val="000B0E8D"/>
    <w:rsid w:val="000B0F08"/>
    <w:rsid w:val="000B0FDB"/>
    <w:rsid w:val="000B1128"/>
    <w:rsid w:val="000B1135"/>
    <w:rsid w:val="000B1156"/>
    <w:rsid w:val="000B1513"/>
    <w:rsid w:val="000B15B4"/>
    <w:rsid w:val="000B1772"/>
    <w:rsid w:val="000B1A73"/>
    <w:rsid w:val="000B1B49"/>
    <w:rsid w:val="000B1CAA"/>
    <w:rsid w:val="000B2097"/>
    <w:rsid w:val="000B21DC"/>
    <w:rsid w:val="000B224F"/>
    <w:rsid w:val="000B2473"/>
    <w:rsid w:val="000B2535"/>
    <w:rsid w:val="000B2E06"/>
    <w:rsid w:val="000B2E78"/>
    <w:rsid w:val="000B2F43"/>
    <w:rsid w:val="000B330A"/>
    <w:rsid w:val="000B3874"/>
    <w:rsid w:val="000B394D"/>
    <w:rsid w:val="000B3B3B"/>
    <w:rsid w:val="000B3FFC"/>
    <w:rsid w:val="000B3FFE"/>
    <w:rsid w:val="000B43F5"/>
    <w:rsid w:val="000B43FB"/>
    <w:rsid w:val="000B4569"/>
    <w:rsid w:val="000B45D7"/>
    <w:rsid w:val="000B4721"/>
    <w:rsid w:val="000B4993"/>
    <w:rsid w:val="000B4A43"/>
    <w:rsid w:val="000B4C17"/>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0D9E"/>
    <w:rsid w:val="000C1275"/>
    <w:rsid w:val="000C15B8"/>
    <w:rsid w:val="000C1698"/>
    <w:rsid w:val="000C1890"/>
    <w:rsid w:val="000C196B"/>
    <w:rsid w:val="000C1B49"/>
    <w:rsid w:val="000C1E46"/>
    <w:rsid w:val="000C1F62"/>
    <w:rsid w:val="000C206A"/>
    <w:rsid w:val="000C2090"/>
    <w:rsid w:val="000C2095"/>
    <w:rsid w:val="000C210C"/>
    <w:rsid w:val="000C219A"/>
    <w:rsid w:val="000C24A8"/>
    <w:rsid w:val="000C2612"/>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953"/>
    <w:rsid w:val="000C5ED7"/>
    <w:rsid w:val="000C5F12"/>
    <w:rsid w:val="000C5FA7"/>
    <w:rsid w:val="000C6043"/>
    <w:rsid w:val="000C6211"/>
    <w:rsid w:val="000C6255"/>
    <w:rsid w:val="000C627A"/>
    <w:rsid w:val="000C655D"/>
    <w:rsid w:val="000C692E"/>
    <w:rsid w:val="000C69D5"/>
    <w:rsid w:val="000C6D78"/>
    <w:rsid w:val="000C6EBF"/>
    <w:rsid w:val="000C6F06"/>
    <w:rsid w:val="000C70D6"/>
    <w:rsid w:val="000C7581"/>
    <w:rsid w:val="000C76DD"/>
    <w:rsid w:val="000C7E46"/>
    <w:rsid w:val="000C7EAD"/>
    <w:rsid w:val="000D02EB"/>
    <w:rsid w:val="000D0723"/>
    <w:rsid w:val="000D07F4"/>
    <w:rsid w:val="000D0953"/>
    <w:rsid w:val="000D0D09"/>
    <w:rsid w:val="000D0E8B"/>
    <w:rsid w:val="000D0F36"/>
    <w:rsid w:val="000D0F46"/>
    <w:rsid w:val="000D10B3"/>
    <w:rsid w:val="000D11FA"/>
    <w:rsid w:val="000D144A"/>
    <w:rsid w:val="000D16DF"/>
    <w:rsid w:val="000D1A8A"/>
    <w:rsid w:val="000D1AC6"/>
    <w:rsid w:val="000D1B3E"/>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2EA"/>
    <w:rsid w:val="000D3324"/>
    <w:rsid w:val="000D3332"/>
    <w:rsid w:val="000D335B"/>
    <w:rsid w:val="000D3397"/>
    <w:rsid w:val="000D33BE"/>
    <w:rsid w:val="000D38C3"/>
    <w:rsid w:val="000D398B"/>
    <w:rsid w:val="000D3C54"/>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1C0"/>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0B1"/>
    <w:rsid w:val="000E0249"/>
    <w:rsid w:val="000E0865"/>
    <w:rsid w:val="000E0994"/>
    <w:rsid w:val="000E09FF"/>
    <w:rsid w:val="000E103A"/>
    <w:rsid w:val="000E10BC"/>
    <w:rsid w:val="000E11BF"/>
    <w:rsid w:val="000E1232"/>
    <w:rsid w:val="000E1253"/>
    <w:rsid w:val="000E12D6"/>
    <w:rsid w:val="000E1859"/>
    <w:rsid w:val="000E1C30"/>
    <w:rsid w:val="000E1CCF"/>
    <w:rsid w:val="000E1F55"/>
    <w:rsid w:val="000E208B"/>
    <w:rsid w:val="000E2595"/>
    <w:rsid w:val="000E2961"/>
    <w:rsid w:val="000E2A71"/>
    <w:rsid w:val="000E2C27"/>
    <w:rsid w:val="000E2D24"/>
    <w:rsid w:val="000E2F58"/>
    <w:rsid w:val="000E2F7A"/>
    <w:rsid w:val="000E321B"/>
    <w:rsid w:val="000E3359"/>
    <w:rsid w:val="000E371C"/>
    <w:rsid w:val="000E37B4"/>
    <w:rsid w:val="000E3A1B"/>
    <w:rsid w:val="000E3C86"/>
    <w:rsid w:val="000E3D59"/>
    <w:rsid w:val="000E3DAC"/>
    <w:rsid w:val="000E401D"/>
    <w:rsid w:val="000E41A7"/>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393"/>
    <w:rsid w:val="000E678B"/>
    <w:rsid w:val="000E6A44"/>
    <w:rsid w:val="000E6EA3"/>
    <w:rsid w:val="000E7231"/>
    <w:rsid w:val="000E7316"/>
    <w:rsid w:val="000E74CA"/>
    <w:rsid w:val="000E77B6"/>
    <w:rsid w:val="000E7838"/>
    <w:rsid w:val="000E7901"/>
    <w:rsid w:val="000E7910"/>
    <w:rsid w:val="000E795C"/>
    <w:rsid w:val="000E7A0C"/>
    <w:rsid w:val="000E7AF9"/>
    <w:rsid w:val="000E7C99"/>
    <w:rsid w:val="000E7EFD"/>
    <w:rsid w:val="000F0028"/>
    <w:rsid w:val="000F01E6"/>
    <w:rsid w:val="000F0397"/>
    <w:rsid w:val="000F0873"/>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7A3"/>
    <w:rsid w:val="000F3843"/>
    <w:rsid w:val="000F385E"/>
    <w:rsid w:val="000F3C91"/>
    <w:rsid w:val="000F3D72"/>
    <w:rsid w:val="000F42A6"/>
    <w:rsid w:val="000F4378"/>
    <w:rsid w:val="000F43EF"/>
    <w:rsid w:val="000F44ED"/>
    <w:rsid w:val="000F470E"/>
    <w:rsid w:val="000F4813"/>
    <w:rsid w:val="000F4DBC"/>
    <w:rsid w:val="000F4F02"/>
    <w:rsid w:val="000F4F39"/>
    <w:rsid w:val="000F4FC2"/>
    <w:rsid w:val="000F4FF0"/>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6DDD"/>
    <w:rsid w:val="000F72E1"/>
    <w:rsid w:val="000F72FF"/>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A6E"/>
    <w:rsid w:val="00100CF1"/>
    <w:rsid w:val="00100EF3"/>
    <w:rsid w:val="00100FA0"/>
    <w:rsid w:val="001011B1"/>
    <w:rsid w:val="00101254"/>
    <w:rsid w:val="0010166A"/>
    <w:rsid w:val="00101C2D"/>
    <w:rsid w:val="00101CD7"/>
    <w:rsid w:val="00101E70"/>
    <w:rsid w:val="0010209B"/>
    <w:rsid w:val="00102313"/>
    <w:rsid w:val="0010234F"/>
    <w:rsid w:val="00102653"/>
    <w:rsid w:val="0010270C"/>
    <w:rsid w:val="00102833"/>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86"/>
    <w:rsid w:val="00104823"/>
    <w:rsid w:val="001048BF"/>
    <w:rsid w:val="001049C9"/>
    <w:rsid w:val="00104AC6"/>
    <w:rsid w:val="00104C7F"/>
    <w:rsid w:val="00104E4C"/>
    <w:rsid w:val="00104EA1"/>
    <w:rsid w:val="001051DA"/>
    <w:rsid w:val="00105422"/>
    <w:rsid w:val="00105502"/>
    <w:rsid w:val="00106284"/>
    <w:rsid w:val="0010635B"/>
    <w:rsid w:val="00106636"/>
    <w:rsid w:val="00106A5A"/>
    <w:rsid w:val="00106D64"/>
    <w:rsid w:val="00106E02"/>
    <w:rsid w:val="00107187"/>
    <w:rsid w:val="001073A4"/>
    <w:rsid w:val="0010780D"/>
    <w:rsid w:val="0010782F"/>
    <w:rsid w:val="00107862"/>
    <w:rsid w:val="001078AC"/>
    <w:rsid w:val="0010791C"/>
    <w:rsid w:val="001079D8"/>
    <w:rsid w:val="00107B30"/>
    <w:rsid w:val="00107B44"/>
    <w:rsid w:val="00107C2C"/>
    <w:rsid w:val="00107C4E"/>
    <w:rsid w:val="00107C9C"/>
    <w:rsid w:val="00107D1D"/>
    <w:rsid w:val="001104BE"/>
    <w:rsid w:val="00110517"/>
    <w:rsid w:val="00110754"/>
    <w:rsid w:val="00110A92"/>
    <w:rsid w:val="00110AF8"/>
    <w:rsid w:val="00110B0A"/>
    <w:rsid w:val="00110C17"/>
    <w:rsid w:val="00110C8D"/>
    <w:rsid w:val="00110D04"/>
    <w:rsid w:val="00110F91"/>
    <w:rsid w:val="0011139D"/>
    <w:rsid w:val="0011174B"/>
    <w:rsid w:val="0011199A"/>
    <w:rsid w:val="00111AB0"/>
    <w:rsid w:val="00111B72"/>
    <w:rsid w:val="00111BB5"/>
    <w:rsid w:val="00111C2B"/>
    <w:rsid w:val="00111D5C"/>
    <w:rsid w:val="00111DD5"/>
    <w:rsid w:val="0011204B"/>
    <w:rsid w:val="00112212"/>
    <w:rsid w:val="001125D6"/>
    <w:rsid w:val="0011261B"/>
    <w:rsid w:val="00112659"/>
    <w:rsid w:val="0011279B"/>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AEF"/>
    <w:rsid w:val="00113C06"/>
    <w:rsid w:val="001140D4"/>
    <w:rsid w:val="001141CF"/>
    <w:rsid w:val="00114447"/>
    <w:rsid w:val="001146A0"/>
    <w:rsid w:val="0011490F"/>
    <w:rsid w:val="00114978"/>
    <w:rsid w:val="00114A55"/>
    <w:rsid w:val="00114A83"/>
    <w:rsid w:val="00114D97"/>
    <w:rsid w:val="00114FDE"/>
    <w:rsid w:val="001151F2"/>
    <w:rsid w:val="00115203"/>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CF7"/>
    <w:rsid w:val="00116D7F"/>
    <w:rsid w:val="00116EC4"/>
    <w:rsid w:val="00117108"/>
    <w:rsid w:val="00117175"/>
    <w:rsid w:val="00117253"/>
    <w:rsid w:val="00117358"/>
    <w:rsid w:val="001174DD"/>
    <w:rsid w:val="00117562"/>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75A"/>
    <w:rsid w:val="001218AD"/>
    <w:rsid w:val="00121CCD"/>
    <w:rsid w:val="00121D83"/>
    <w:rsid w:val="00122567"/>
    <w:rsid w:val="001226E3"/>
    <w:rsid w:val="0012282D"/>
    <w:rsid w:val="001229F8"/>
    <w:rsid w:val="00122A53"/>
    <w:rsid w:val="00122A5B"/>
    <w:rsid w:val="00122DB8"/>
    <w:rsid w:val="00122E2E"/>
    <w:rsid w:val="00122EC6"/>
    <w:rsid w:val="00122EF1"/>
    <w:rsid w:val="00122F50"/>
    <w:rsid w:val="0012309F"/>
    <w:rsid w:val="001233F3"/>
    <w:rsid w:val="0012341B"/>
    <w:rsid w:val="00123451"/>
    <w:rsid w:val="0012354D"/>
    <w:rsid w:val="0012358D"/>
    <w:rsid w:val="0012386D"/>
    <w:rsid w:val="00123C6B"/>
    <w:rsid w:val="00123C87"/>
    <w:rsid w:val="00123CD1"/>
    <w:rsid w:val="00123E00"/>
    <w:rsid w:val="00123FDC"/>
    <w:rsid w:val="00124151"/>
    <w:rsid w:val="001241ED"/>
    <w:rsid w:val="00124210"/>
    <w:rsid w:val="00124248"/>
    <w:rsid w:val="00124732"/>
    <w:rsid w:val="001248A3"/>
    <w:rsid w:val="001248FD"/>
    <w:rsid w:val="00124C8B"/>
    <w:rsid w:val="00124D00"/>
    <w:rsid w:val="00124E36"/>
    <w:rsid w:val="00124EAB"/>
    <w:rsid w:val="001251E2"/>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6F"/>
    <w:rsid w:val="001275B2"/>
    <w:rsid w:val="001278ED"/>
    <w:rsid w:val="00127B9E"/>
    <w:rsid w:val="00127CA5"/>
    <w:rsid w:val="00127D7F"/>
    <w:rsid w:val="00127EBF"/>
    <w:rsid w:val="00127FC5"/>
    <w:rsid w:val="00130315"/>
    <w:rsid w:val="0013043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2024"/>
    <w:rsid w:val="00132696"/>
    <w:rsid w:val="001328EB"/>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8D1"/>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1FEF"/>
    <w:rsid w:val="00142005"/>
    <w:rsid w:val="001421FC"/>
    <w:rsid w:val="001423BC"/>
    <w:rsid w:val="0014257F"/>
    <w:rsid w:val="001426BC"/>
    <w:rsid w:val="00142714"/>
    <w:rsid w:val="00142776"/>
    <w:rsid w:val="00142876"/>
    <w:rsid w:val="00142EA5"/>
    <w:rsid w:val="00142F2B"/>
    <w:rsid w:val="00143045"/>
    <w:rsid w:val="001436C2"/>
    <w:rsid w:val="001436DC"/>
    <w:rsid w:val="00143844"/>
    <w:rsid w:val="00143A06"/>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05"/>
    <w:rsid w:val="0014676D"/>
    <w:rsid w:val="00146782"/>
    <w:rsid w:val="00146993"/>
    <w:rsid w:val="00146C9F"/>
    <w:rsid w:val="00146CFB"/>
    <w:rsid w:val="00146F6C"/>
    <w:rsid w:val="00146FDE"/>
    <w:rsid w:val="00147261"/>
    <w:rsid w:val="00147382"/>
    <w:rsid w:val="001473A6"/>
    <w:rsid w:val="001473C3"/>
    <w:rsid w:val="00147723"/>
    <w:rsid w:val="00147A05"/>
    <w:rsid w:val="00147FCF"/>
    <w:rsid w:val="00147FEA"/>
    <w:rsid w:val="001501D5"/>
    <w:rsid w:val="00150506"/>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EA"/>
    <w:rsid w:val="001547F6"/>
    <w:rsid w:val="00154E2A"/>
    <w:rsid w:val="00154E60"/>
    <w:rsid w:val="00155202"/>
    <w:rsid w:val="0015538F"/>
    <w:rsid w:val="00155434"/>
    <w:rsid w:val="00155982"/>
    <w:rsid w:val="001564FC"/>
    <w:rsid w:val="00156D28"/>
    <w:rsid w:val="00156D64"/>
    <w:rsid w:val="00156EF9"/>
    <w:rsid w:val="001570D9"/>
    <w:rsid w:val="00157375"/>
    <w:rsid w:val="00157500"/>
    <w:rsid w:val="00157721"/>
    <w:rsid w:val="00157952"/>
    <w:rsid w:val="00157A47"/>
    <w:rsid w:val="001602B3"/>
    <w:rsid w:val="0016040C"/>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16F"/>
    <w:rsid w:val="0016223A"/>
    <w:rsid w:val="001623B5"/>
    <w:rsid w:val="001624B5"/>
    <w:rsid w:val="001627F3"/>
    <w:rsid w:val="001629D3"/>
    <w:rsid w:val="00162A50"/>
    <w:rsid w:val="00162D12"/>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0B0"/>
    <w:rsid w:val="001655BB"/>
    <w:rsid w:val="001657CC"/>
    <w:rsid w:val="00165B61"/>
    <w:rsid w:val="00165F07"/>
    <w:rsid w:val="001664DB"/>
    <w:rsid w:val="0016655E"/>
    <w:rsid w:val="00166A93"/>
    <w:rsid w:val="00166C93"/>
    <w:rsid w:val="00166E60"/>
    <w:rsid w:val="00166EBE"/>
    <w:rsid w:val="00166F3F"/>
    <w:rsid w:val="001670EA"/>
    <w:rsid w:val="001674A5"/>
    <w:rsid w:val="0016784B"/>
    <w:rsid w:val="001679B2"/>
    <w:rsid w:val="00167A55"/>
    <w:rsid w:val="00167AB6"/>
    <w:rsid w:val="00167EBA"/>
    <w:rsid w:val="00167FB2"/>
    <w:rsid w:val="00167FD9"/>
    <w:rsid w:val="001700A5"/>
    <w:rsid w:val="001703B4"/>
    <w:rsid w:val="001705E4"/>
    <w:rsid w:val="00170D89"/>
    <w:rsid w:val="00170FF3"/>
    <w:rsid w:val="0017116A"/>
    <w:rsid w:val="001711DB"/>
    <w:rsid w:val="001712A1"/>
    <w:rsid w:val="001712C4"/>
    <w:rsid w:val="00171325"/>
    <w:rsid w:val="00171451"/>
    <w:rsid w:val="00171482"/>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B73"/>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149"/>
    <w:rsid w:val="0017622F"/>
    <w:rsid w:val="0017623A"/>
    <w:rsid w:val="00176250"/>
    <w:rsid w:val="00176399"/>
    <w:rsid w:val="00176768"/>
    <w:rsid w:val="00176794"/>
    <w:rsid w:val="001767E0"/>
    <w:rsid w:val="0017690B"/>
    <w:rsid w:val="001769DC"/>
    <w:rsid w:val="00176DE2"/>
    <w:rsid w:val="00176E48"/>
    <w:rsid w:val="001770BF"/>
    <w:rsid w:val="001770D4"/>
    <w:rsid w:val="0017712C"/>
    <w:rsid w:val="00177148"/>
    <w:rsid w:val="0017727A"/>
    <w:rsid w:val="001772BB"/>
    <w:rsid w:val="00177385"/>
    <w:rsid w:val="001776C7"/>
    <w:rsid w:val="00177707"/>
    <w:rsid w:val="00177873"/>
    <w:rsid w:val="00177B45"/>
    <w:rsid w:val="00177F9F"/>
    <w:rsid w:val="00180172"/>
    <w:rsid w:val="001801F4"/>
    <w:rsid w:val="001802CA"/>
    <w:rsid w:val="00180664"/>
    <w:rsid w:val="00180775"/>
    <w:rsid w:val="00180829"/>
    <w:rsid w:val="0018083E"/>
    <w:rsid w:val="0018085E"/>
    <w:rsid w:val="00180954"/>
    <w:rsid w:val="00180975"/>
    <w:rsid w:val="001809C7"/>
    <w:rsid w:val="00180D52"/>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2DE9"/>
    <w:rsid w:val="00183026"/>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5367"/>
    <w:rsid w:val="0018542F"/>
    <w:rsid w:val="0018557B"/>
    <w:rsid w:val="00185A00"/>
    <w:rsid w:val="00185BBA"/>
    <w:rsid w:val="0018614B"/>
    <w:rsid w:val="001862B1"/>
    <w:rsid w:val="001862ED"/>
    <w:rsid w:val="00186763"/>
    <w:rsid w:val="0018676E"/>
    <w:rsid w:val="0018693D"/>
    <w:rsid w:val="00186AEB"/>
    <w:rsid w:val="00186BD5"/>
    <w:rsid w:val="00186C6E"/>
    <w:rsid w:val="00186CE3"/>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935"/>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4D42"/>
    <w:rsid w:val="00194D65"/>
    <w:rsid w:val="001950C6"/>
    <w:rsid w:val="0019525E"/>
    <w:rsid w:val="00195427"/>
    <w:rsid w:val="001954DF"/>
    <w:rsid w:val="00195515"/>
    <w:rsid w:val="0019580B"/>
    <w:rsid w:val="001958C9"/>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B7A"/>
    <w:rsid w:val="001A0FE8"/>
    <w:rsid w:val="001A106A"/>
    <w:rsid w:val="001A1224"/>
    <w:rsid w:val="001A13A8"/>
    <w:rsid w:val="001A1606"/>
    <w:rsid w:val="001A168B"/>
    <w:rsid w:val="001A1914"/>
    <w:rsid w:val="001A19C5"/>
    <w:rsid w:val="001A1ABE"/>
    <w:rsid w:val="001A1B50"/>
    <w:rsid w:val="001A1B54"/>
    <w:rsid w:val="001A1B78"/>
    <w:rsid w:val="001A1BA3"/>
    <w:rsid w:val="001A1CEC"/>
    <w:rsid w:val="001A1F0B"/>
    <w:rsid w:val="001A1F70"/>
    <w:rsid w:val="001A229A"/>
    <w:rsid w:val="001A2347"/>
    <w:rsid w:val="001A2415"/>
    <w:rsid w:val="001A25C9"/>
    <w:rsid w:val="001A27B9"/>
    <w:rsid w:val="001A27E8"/>
    <w:rsid w:val="001A287C"/>
    <w:rsid w:val="001A29C1"/>
    <w:rsid w:val="001A2AFE"/>
    <w:rsid w:val="001A3094"/>
    <w:rsid w:val="001A35AC"/>
    <w:rsid w:val="001A390C"/>
    <w:rsid w:val="001A3985"/>
    <w:rsid w:val="001A399C"/>
    <w:rsid w:val="001A3B4D"/>
    <w:rsid w:val="001A3B68"/>
    <w:rsid w:val="001A3CCC"/>
    <w:rsid w:val="001A4045"/>
    <w:rsid w:val="001A40CF"/>
    <w:rsid w:val="001A4877"/>
    <w:rsid w:val="001A4A0B"/>
    <w:rsid w:val="001A4EBF"/>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B40"/>
    <w:rsid w:val="001B0D86"/>
    <w:rsid w:val="001B0F08"/>
    <w:rsid w:val="001B0FC5"/>
    <w:rsid w:val="001B106C"/>
    <w:rsid w:val="001B1142"/>
    <w:rsid w:val="001B11B3"/>
    <w:rsid w:val="001B11C4"/>
    <w:rsid w:val="001B1C0B"/>
    <w:rsid w:val="001B1D06"/>
    <w:rsid w:val="001B1F85"/>
    <w:rsid w:val="001B2015"/>
    <w:rsid w:val="001B2049"/>
    <w:rsid w:val="001B2067"/>
    <w:rsid w:val="001B2322"/>
    <w:rsid w:val="001B28F9"/>
    <w:rsid w:val="001B2A06"/>
    <w:rsid w:val="001B2D3E"/>
    <w:rsid w:val="001B2EB9"/>
    <w:rsid w:val="001B2FD0"/>
    <w:rsid w:val="001B302C"/>
    <w:rsid w:val="001B30FE"/>
    <w:rsid w:val="001B3159"/>
    <w:rsid w:val="001B3793"/>
    <w:rsid w:val="001B38ED"/>
    <w:rsid w:val="001B39CE"/>
    <w:rsid w:val="001B39DF"/>
    <w:rsid w:val="001B3B2F"/>
    <w:rsid w:val="001B3B98"/>
    <w:rsid w:val="001B3BBA"/>
    <w:rsid w:val="001B3EF9"/>
    <w:rsid w:val="001B40F1"/>
    <w:rsid w:val="001B43B1"/>
    <w:rsid w:val="001B4499"/>
    <w:rsid w:val="001B47AF"/>
    <w:rsid w:val="001B49F0"/>
    <w:rsid w:val="001B504D"/>
    <w:rsid w:val="001B5307"/>
    <w:rsid w:val="001B53EE"/>
    <w:rsid w:val="001B56F4"/>
    <w:rsid w:val="001B5918"/>
    <w:rsid w:val="001B5BA3"/>
    <w:rsid w:val="001B5CD4"/>
    <w:rsid w:val="001B64C1"/>
    <w:rsid w:val="001B6C13"/>
    <w:rsid w:val="001B6F07"/>
    <w:rsid w:val="001B7015"/>
    <w:rsid w:val="001B702C"/>
    <w:rsid w:val="001B732E"/>
    <w:rsid w:val="001B73F3"/>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23"/>
    <w:rsid w:val="001C2145"/>
    <w:rsid w:val="001C255E"/>
    <w:rsid w:val="001C2695"/>
    <w:rsid w:val="001C29BE"/>
    <w:rsid w:val="001C2DCD"/>
    <w:rsid w:val="001C2E41"/>
    <w:rsid w:val="001C2ED2"/>
    <w:rsid w:val="001C2F65"/>
    <w:rsid w:val="001C326E"/>
    <w:rsid w:val="001C33D5"/>
    <w:rsid w:val="001C34AE"/>
    <w:rsid w:val="001C34EC"/>
    <w:rsid w:val="001C3701"/>
    <w:rsid w:val="001C38DF"/>
    <w:rsid w:val="001C3982"/>
    <w:rsid w:val="001C3EBD"/>
    <w:rsid w:val="001C41EB"/>
    <w:rsid w:val="001C4429"/>
    <w:rsid w:val="001C47A0"/>
    <w:rsid w:val="001C47E6"/>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21A"/>
    <w:rsid w:val="001D03AD"/>
    <w:rsid w:val="001D046C"/>
    <w:rsid w:val="001D0528"/>
    <w:rsid w:val="001D057E"/>
    <w:rsid w:val="001D0778"/>
    <w:rsid w:val="001D07CF"/>
    <w:rsid w:val="001D0985"/>
    <w:rsid w:val="001D0BEB"/>
    <w:rsid w:val="001D0C91"/>
    <w:rsid w:val="001D112C"/>
    <w:rsid w:val="001D165E"/>
    <w:rsid w:val="001D1689"/>
    <w:rsid w:val="001D1980"/>
    <w:rsid w:val="001D1F85"/>
    <w:rsid w:val="001D27F7"/>
    <w:rsid w:val="001D2889"/>
    <w:rsid w:val="001D28C9"/>
    <w:rsid w:val="001D2936"/>
    <w:rsid w:val="001D2BF6"/>
    <w:rsid w:val="001D2D30"/>
    <w:rsid w:val="001D309E"/>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13"/>
    <w:rsid w:val="001D55D6"/>
    <w:rsid w:val="001D5897"/>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6D"/>
    <w:rsid w:val="001E2280"/>
    <w:rsid w:val="001E2310"/>
    <w:rsid w:val="001E280C"/>
    <w:rsid w:val="001E2D70"/>
    <w:rsid w:val="001E306C"/>
    <w:rsid w:val="001E321E"/>
    <w:rsid w:val="001E3228"/>
    <w:rsid w:val="001E3354"/>
    <w:rsid w:val="001E34AA"/>
    <w:rsid w:val="001E34EF"/>
    <w:rsid w:val="001E3638"/>
    <w:rsid w:val="001E3764"/>
    <w:rsid w:val="001E381D"/>
    <w:rsid w:val="001E3875"/>
    <w:rsid w:val="001E3AE0"/>
    <w:rsid w:val="001E3B66"/>
    <w:rsid w:val="001E3C02"/>
    <w:rsid w:val="001E3D80"/>
    <w:rsid w:val="001E3DFC"/>
    <w:rsid w:val="001E4118"/>
    <w:rsid w:val="001E437E"/>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2AC"/>
    <w:rsid w:val="001F0615"/>
    <w:rsid w:val="001F07D6"/>
    <w:rsid w:val="001F07F7"/>
    <w:rsid w:val="001F08D7"/>
    <w:rsid w:val="001F0958"/>
    <w:rsid w:val="001F0C50"/>
    <w:rsid w:val="001F126A"/>
    <w:rsid w:val="001F137C"/>
    <w:rsid w:val="001F17AB"/>
    <w:rsid w:val="001F1B18"/>
    <w:rsid w:val="001F1D26"/>
    <w:rsid w:val="001F1E70"/>
    <w:rsid w:val="001F2402"/>
    <w:rsid w:val="001F28AA"/>
    <w:rsid w:val="001F2AB7"/>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5191"/>
    <w:rsid w:val="001F5251"/>
    <w:rsid w:val="001F52D4"/>
    <w:rsid w:val="001F5318"/>
    <w:rsid w:val="001F536F"/>
    <w:rsid w:val="001F5482"/>
    <w:rsid w:val="001F5484"/>
    <w:rsid w:val="001F584C"/>
    <w:rsid w:val="001F5D74"/>
    <w:rsid w:val="001F6084"/>
    <w:rsid w:val="001F61FB"/>
    <w:rsid w:val="001F6421"/>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5B4"/>
    <w:rsid w:val="00202B06"/>
    <w:rsid w:val="00202B44"/>
    <w:rsid w:val="00203118"/>
    <w:rsid w:val="00203153"/>
    <w:rsid w:val="002033CB"/>
    <w:rsid w:val="002034C2"/>
    <w:rsid w:val="00203726"/>
    <w:rsid w:val="00203A4A"/>
    <w:rsid w:val="00203BF8"/>
    <w:rsid w:val="00203DAD"/>
    <w:rsid w:val="00203E7F"/>
    <w:rsid w:val="00204574"/>
    <w:rsid w:val="00204728"/>
    <w:rsid w:val="00204761"/>
    <w:rsid w:val="002047C4"/>
    <w:rsid w:val="00204865"/>
    <w:rsid w:val="00204D86"/>
    <w:rsid w:val="00204E72"/>
    <w:rsid w:val="00204FA5"/>
    <w:rsid w:val="002057C1"/>
    <w:rsid w:val="00205CED"/>
    <w:rsid w:val="00205D16"/>
    <w:rsid w:val="00205F4E"/>
    <w:rsid w:val="00206410"/>
    <w:rsid w:val="00206722"/>
    <w:rsid w:val="002067CB"/>
    <w:rsid w:val="00206A04"/>
    <w:rsid w:val="00206BE4"/>
    <w:rsid w:val="00206D3E"/>
    <w:rsid w:val="00206D5B"/>
    <w:rsid w:val="002074D2"/>
    <w:rsid w:val="0020761E"/>
    <w:rsid w:val="002077D3"/>
    <w:rsid w:val="002078ED"/>
    <w:rsid w:val="00207913"/>
    <w:rsid w:val="002079D2"/>
    <w:rsid w:val="00207CF8"/>
    <w:rsid w:val="00207E99"/>
    <w:rsid w:val="00207F97"/>
    <w:rsid w:val="002105B2"/>
    <w:rsid w:val="002105C3"/>
    <w:rsid w:val="0021063C"/>
    <w:rsid w:val="0021085B"/>
    <w:rsid w:val="00210A3A"/>
    <w:rsid w:val="00210C07"/>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9C6"/>
    <w:rsid w:val="00213B0D"/>
    <w:rsid w:val="00213B31"/>
    <w:rsid w:val="00213EC0"/>
    <w:rsid w:val="00213EE5"/>
    <w:rsid w:val="00213F17"/>
    <w:rsid w:val="00214137"/>
    <w:rsid w:val="002141E2"/>
    <w:rsid w:val="00214368"/>
    <w:rsid w:val="00214B2B"/>
    <w:rsid w:val="00214D0B"/>
    <w:rsid w:val="00214F86"/>
    <w:rsid w:val="00214FA6"/>
    <w:rsid w:val="0021509C"/>
    <w:rsid w:val="002152AD"/>
    <w:rsid w:val="00215476"/>
    <w:rsid w:val="0021554A"/>
    <w:rsid w:val="0021618E"/>
    <w:rsid w:val="002161B4"/>
    <w:rsid w:val="00216642"/>
    <w:rsid w:val="002166AF"/>
    <w:rsid w:val="002167D9"/>
    <w:rsid w:val="00216A22"/>
    <w:rsid w:val="00216EEC"/>
    <w:rsid w:val="00216F78"/>
    <w:rsid w:val="00217445"/>
    <w:rsid w:val="0021798F"/>
    <w:rsid w:val="00217C37"/>
    <w:rsid w:val="00217CB8"/>
    <w:rsid w:val="00217E13"/>
    <w:rsid w:val="00217E62"/>
    <w:rsid w:val="00217EA8"/>
    <w:rsid w:val="0022004D"/>
    <w:rsid w:val="002202F6"/>
    <w:rsid w:val="002202FE"/>
    <w:rsid w:val="00220349"/>
    <w:rsid w:val="00220562"/>
    <w:rsid w:val="0022057E"/>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6AC"/>
    <w:rsid w:val="00221869"/>
    <w:rsid w:val="00221992"/>
    <w:rsid w:val="00221D2A"/>
    <w:rsid w:val="00221E82"/>
    <w:rsid w:val="00221EA7"/>
    <w:rsid w:val="00222202"/>
    <w:rsid w:val="00222614"/>
    <w:rsid w:val="00222706"/>
    <w:rsid w:val="00222A23"/>
    <w:rsid w:val="00222B6A"/>
    <w:rsid w:val="00222B97"/>
    <w:rsid w:val="00222CE5"/>
    <w:rsid w:val="00223224"/>
    <w:rsid w:val="0022334D"/>
    <w:rsid w:val="002239ED"/>
    <w:rsid w:val="002239F5"/>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84"/>
    <w:rsid w:val="002253C2"/>
    <w:rsid w:val="0022558D"/>
    <w:rsid w:val="0022562C"/>
    <w:rsid w:val="002256A6"/>
    <w:rsid w:val="00225A87"/>
    <w:rsid w:val="00225CC1"/>
    <w:rsid w:val="00225D5A"/>
    <w:rsid w:val="00225D96"/>
    <w:rsid w:val="00225DBE"/>
    <w:rsid w:val="00226149"/>
    <w:rsid w:val="0022619D"/>
    <w:rsid w:val="00226217"/>
    <w:rsid w:val="0022656B"/>
    <w:rsid w:val="00226831"/>
    <w:rsid w:val="00226BA4"/>
    <w:rsid w:val="00226F38"/>
    <w:rsid w:val="00226FD1"/>
    <w:rsid w:val="0022737E"/>
    <w:rsid w:val="00227679"/>
    <w:rsid w:val="002278C1"/>
    <w:rsid w:val="00227B21"/>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1FFD"/>
    <w:rsid w:val="00232100"/>
    <w:rsid w:val="0023249D"/>
    <w:rsid w:val="002324FB"/>
    <w:rsid w:val="0023250D"/>
    <w:rsid w:val="00232793"/>
    <w:rsid w:val="002327DD"/>
    <w:rsid w:val="0023295E"/>
    <w:rsid w:val="00232AC0"/>
    <w:rsid w:val="00232EAF"/>
    <w:rsid w:val="0023302F"/>
    <w:rsid w:val="002332CE"/>
    <w:rsid w:val="00233389"/>
    <w:rsid w:val="002334AF"/>
    <w:rsid w:val="002335F7"/>
    <w:rsid w:val="0023385B"/>
    <w:rsid w:val="002339B5"/>
    <w:rsid w:val="00233BE4"/>
    <w:rsid w:val="00233CFD"/>
    <w:rsid w:val="00233DA6"/>
    <w:rsid w:val="00234295"/>
    <w:rsid w:val="00234AA6"/>
    <w:rsid w:val="00234AED"/>
    <w:rsid w:val="00234B77"/>
    <w:rsid w:val="00234BF1"/>
    <w:rsid w:val="002351F1"/>
    <w:rsid w:val="00235450"/>
    <w:rsid w:val="002355E5"/>
    <w:rsid w:val="00235640"/>
    <w:rsid w:val="00235BDF"/>
    <w:rsid w:val="00235BEE"/>
    <w:rsid w:val="00235DA2"/>
    <w:rsid w:val="00235FCF"/>
    <w:rsid w:val="00236642"/>
    <w:rsid w:val="00236765"/>
    <w:rsid w:val="00236AC5"/>
    <w:rsid w:val="00236BA3"/>
    <w:rsid w:val="00236C96"/>
    <w:rsid w:val="00237125"/>
    <w:rsid w:val="002371F0"/>
    <w:rsid w:val="00237712"/>
    <w:rsid w:val="00237B33"/>
    <w:rsid w:val="00237C8B"/>
    <w:rsid w:val="00237DF5"/>
    <w:rsid w:val="00237E9C"/>
    <w:rsid w:val="00240071"/>
    <w:rsid w:val="00240426"/>
    <w:rsid w:val="00240561"/>
    <w:rsid w:val="00240852"/>
    <w:rsid w:val="00240AC8"/>
    <w:rsid w:val="00240D6D"/>
    <w:rsid w:val="00240F8A"/>
    <w:rsid w:val="0024101A"/>
    <w:rsid w:val="002412CB"/>
    <w:rsid w:val="002412F8"/>
    <w:rsid w:val="00241447"/>
    <w:rsid w:val="0024168E"/>
    <w:rsid w:val="00241690"/>
    <w:rsid w:val="0024172C"/>
    <w:rsid w:val="00241803"/>
    <w:rsid w:val="00241A6C"/>
    <w:rsid w:val="00241B38"/>
    <w:rsid w:val="00241C11"/>
    <w:rsid w:val="00241EB1"/>
    <w:rsid w:val="00241FBF"/>
    <w:rsid w:val="002421DA"/>
    <w:rsid w:val="00242324"/>
    <w:rsid w:val="00242A12"/>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A0"/>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7B8"/>
    <w:rsid w:val="00245972"/>
    <w:rsid w:val="002460FE"/>
    <w:rsid w:val="00246133"/>
    <w:rsid w:val="0024623F"/>
    <w:rsid w:val="00246812"/>
    <w:rsid w:val="002469F5"/>
    <w:rsid w:val="00246BC6"/>
    <w:rsid w:val="00246C6D"/>
    <w:rsid w:val="00246D51"/>
    <w:rsid w:val="00246E3E"/>
    <w:rsid w:val="00246FBC"/>
    <w:rsid w:val="0024701C"/>
    <w:rsid w:val="0024706D"/>
    <w:rsid w:val="00247A52"/>
    <w:rsid w:val="00247C47"/>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69F"/>
    <w:rsid w:val="00251844"/>
    <w:rsid w:val="002518B2"/>
    <w:rsid w:val="00251A07"/>
    <w:rsid w:val="00251B30"/>
    <w:rsid w:val="00251D5A"/>
    <w:rsid w:val="00251FDC"/>
    <w:rsid w:val="002522D3"/>
    <w:rsid w:val="0025234D"/>
    <w:rsid w:val="00252427"/>
    <w:rsid w:val="002525FE"/>
    <w:rsid w:val="002527A2"/>
    <w:rsid w:val="002527B3"/>
    <w:rsid w:val="0025298E"/>
    <w:rsid w:val="00252DF4"/>
    <w:rsid w:val="00252E4C"/>
    <w:rsid w:val="00252F1B"/>
    <w:rsid w:val="00252F1D"/>
    <w:rsid w:val="002531AA"/>
    <w:rsid w:val="0025371C"/>
    <w:rsid w:val="0025374F"/>
    <w:rsid w:val="00253AA7"/>
    <w:rsid w:val="00253CA5"/>
    <w:rsid w:val="00253F9B"/>
    <w:rsid w:val="002540B5"/>
    <w:rsid w:val="002543A7"/>
    <w:rsid w:val="00254481"/>
    <w:rsid w:val="00254AEF"/>
    <w:rsid w:val="00254DFD"/>
    <w:rsid w:val="00254E22"/>
    <w:rsid w:val="00254EFD"/>
    <w:rsid w:val="0025510B"/>
    <w:rsid w:val="002553A1"/>
    <w:rsid w:val="00255507"/>
    <w:rsid w:val="002557F8"/>
    <w:rsid w:val="002558CE"/>
    <w:rsid w:val="00255909"/>
    <w:rsid w:val="00255AFF"/>
    <w:rsid w:val="00255C30"/>
    <w:rsid w:val="00255DB7"/>
    <w:rsid w:val="00256234"/>
    <w:rsid w:val="00256587"/>
    <w:rsid w:val="002565FB"/>
    <w:rsid w:val="0025662A"/>
    <w:rsid w:val="00256B21"/>
    <w:rsid w:val="00256DC3"/>
    <w:rsid w:val="00256FCA"/>
    <w:rsid w:val="002570CA"/>
    <w:rsid w:val="0025735E"/>
    <w:rsid w:val="00257615"/>
    <w:rsid w:val="0025784D"/>
    <w:rsid w:val="0025796D"/>
    <w:rsid w:val="00257BBD"/>
    <w:rsid w:val="00257EAF"/>
    <w:rsid w:val="00257EC6"/>
    <w:rsid w:val="00257ED6"/>
    <w:rsid w:val="002601B4"/>
    <w:rsid w:val="00260201"/>
    <w:rsid w:val="0026037B"/>
    <w:rsid w:val="002604FD"/>
    <w:rsid w:val="002605E4"/>
    <w:rsid w:val="00260C7F"/>
    <w:rsid w:val="00260CD6"/>
    <w:rsid w:val="0026110D"/>
    <w:rsid w:val="002615F1"/>
    <w:rsid w:val="00261A56"/>
    <w:rsid w:val="00261B80"/>
    <w:rsid w:val="00261DE7"/>
    <w:rsid w:val="002622C9"/>
    <w:rsid w:val="002622ED"/>
    <w:rsid w:val="00262352"/>
    <w:rsid w:val="002623EE"/>
    <w:rsid w:val="00262400"/>
    <w:rsid w:val="002628C6"/>
    <w:rsid w:val="0026296A"/>
    <w:rsid w:val="00262A15"/>
    <w:rsid w:val="00262A99"/>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0FD"/>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039"/>
    <w:rsid w:val="002701E5"/>
    <w:rsid w:val="00270331"/>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CA"/>
    <w:rsid w:val="002739ED"/>
    <w:rsid w:val="00273A94"/>
    <w:rsid w:val="00273E7D"/>
    <w:rsid w:val="00274416"/>
    <w:rsid w:val="002745F8"/>
    <w:rsid w:val="002746C7"/>
    <w:rsid w:val="00274816"/>
    <w:rsid w:val="002748DF"/>
    <w:rsid w:val="0027490A"/>
    <w:rsid w:val="00274969"/>
    <w:rsid w:val="00274991"/>
    <w:rsid w:val="00274A08"/>
    <w:rsid w:val="00274B8B"/>
    <w:rsid w:val="00274C67"/>
    <w:rsid w:val="00274FAE"/>
    <w:rsid w:val="002751EC"/>
    <w:rsid w:val="00275316"/>
    <w:rsid w:val="002753AF"/>
    <w:rsid w:val="002755A1"/>
    <w:rsid w:val="002756B4"/>
    <w:rsid w:val="002758A0"/>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9A3"/>
    <w:rsid w:val="00276AEA"/>
    <w:rsid w:val="00276B43"/>
    <w:rsid w:val="00276B8D"/>
    <w:rsid w:val="00276DA3"/>
    <w:rsid w:val="00276E70"/>
    <w:rsid w:val="00277058"/>
    <w:rsid w:val="0027711C"/>
    <w:rsid w:val="00277147"/>
    <w:rsid w:val="002771C6"/>
    <w:rsid w:val="002772BA"/>
    <w:rsid w:val="00277401"/>
    <w:rsid w:val="0027742A"/>
    <w:rsid w:val="002775CA"/>
    <w:rsid w:val="002776D8"/>
    <w:rsid w:val="002777C0"/>
    <w:rsid w:val="002777D6"/>
    <w:rsid w:val="00277856"/>
    <w:rsid w:val="00277AC2"/>
    <w:rsid w:val="00277E50"/>
    <w:rsid w:val="00277F3D"/>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8C2"/>
    <w:rsid w:val="00282F4A"/>
    <w:rsid w:val="00283031"/>
    <w:rsid w:val="002832A6"/>
    <w:rsid w:val="002834E4"/>
    <w:rsid w:val="002837B1"/>
    <w:rsid w:val="00283AA1"/>
    <w:rsid w:val="00283C48"/>
    <w:rsid w:val="00283D5E"/>
    <w:rsid w:val="00283E2E"/>
    <w:rsid w:val="00283ED2"/>
    <w:rsid w:val="00283FC0"/>
    <w:rsid w:val="002846A1"/>
    <w:rsid w:val="00284859"/>
    <w:rsid w:val="00284905"/>
    <w:rsid w:val="00284C10"/>
    <w:rsid w:val="00284F69"/>
    <w:rsid w:val="00285306"/>
    <w:rsid w:val="00285314"/>
    <w:rsid w:val="002856BE"/>
    <w:rsid w:val="00285712"/>
    <w:rsid w:val="0028577F"/>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BF3"/>
    <w:rsid w:val="00290CC0"/>
    <w:rsid w:val="002911AB"/>
    <w:rsid w:val="00291282"/>
    <w:rsid w:val="00291411"/>
    <w:rsid w:val="0029160D"/>
    <w:rsid w:val="002917B6"/>
    <w:rsid w:val="002917BF"/>
    <w:rsid w:val="002918EC"/>
    <w:rsid w:val="00291B28"/>
    <w:rsid w:val="00291B63"/>
    <w:rsid w:val="00291C4E"/>
    <w:rsid w:val="00291D08"/>
    <w:rsid w:val="00291FB1"/>
    <w:rsid w:val="00292078"/>
    <w:rsid w:val="00292359"/>
    <w:rsid w:val="002923D5"/>
    <w:rsid w:val="00292ACA"/>
    <w:rsid w:val="00292C09"/>
    <w:rsid w:val="00292D49"/>
    <w:rsid w:val="00292E74"/>
    <w:rsid w:val="00293012"/>
    <w:rsid w:val="00293497"/>
    <w:rsid w:val="00293919"/>
    <w:rsid w:val="002939AF"/>
    <w:rsid w:val="00293BA4"/>
    <w:rsid w:val="00293BCF"/>
    <w:rsid w:val="00293D57"/>
    <w:rsid w:val="00293F96"/>
    <w:rsid w:val="0029467E"/>
    <w:rsid w:val="00294B02"/>
    <w:rsid w:val="00294EEB"/>
    <w:rsid w:val="0029533F"/>
    <w:rsid w:val="0029552E"/>
    <w:rsid w:val="00295708"/>
    <w:rsid w:val="002957E5"/>
    <w:rsid w:val="00295929"/>
    <w:rsid w:val="00295B27"/>
    <w:rsid w:val="00295FC1"/>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6B2"/>
    <w:rsid w:val="002A09EF"/>
    <w:rsid w:val="002A0D46"/>
    <w:rsid w:val="002A0DD7"/>
    <w:rsid w:val="002A0E44"/>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75F"/>
    <w:rsid w:val="002A4847"/>
    <w:rsid w:val="002A4DA4"/>
    <w:rsid w:val="002A524C"/>
    <w:rsid w:val="002A5749"/>
    <w:rsid w:val="002A5B18"/>
    <w:rsid w:val="002A5D23"/>
    <w:rsid w:val="002A5D36"/>
    <w:rsid w:val="002A5ECF"/>
    <w:rsid w:val="002A6032"/>
    <w:rsid w:val="002A60AE"/>
    <w:rsid w:val="002A6390"/>
    <w:rsid w:val="002A6B4C"/>
    <w:rsid w:val="002A6C81"/>
    <w:rsid w:val="002A6CB1"/>
    <w:rsid w:val="002A6CBC"/>
    <w:rsid w:val="002A6CFE"/>
    <w:rsid w:val="002A71C9"/>
    <w:rsid w:val="002A7544"/>
    <w:rsid w:val="002A77D7"/>
    <w:rsid w:val="002A7A0F"/>
    <w:rsid w:val="002A7B62"/>
    <w:rsid w:val="002A7CF1"/>
    <w:rsid w:val="002A7F5B"/>
    <w:rsid w:val="002B00E2"/>
    <w:rsid w:val="002B02F2"/>
    <w:rsid w:val="002B04FD"/>
    <w:rsid w:val="002B05CF"/>
    <w:rsid w:val="002B0621"/>
    <w:rsid w:val="002B066E"/>
    <w:rsid w:val="002B06F7"/>
    <w:rsid w:val="002B073A"/>
    <w:rsid w:val="002B087D"/>
    <w:rsid w:val="002B0D06"/>
    <w:rsid w:val="002B0FF8"/>
    <w:rsid w:val="002B10A5"/>
    <w:rsid w:val="002B10CA"/>
    <w:rsid w:val="002B1700"/>
    <w:rsid w:val="002B1C7E"/>
    <w:rsid w:val="002B1EAA"/>
    <w:rsid w:val="002B1EF8"/>
    <w:rsid w:val="002B20CC"/>
    <w:rsid w:val="002B211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5C1"/>
    <w:rsid w:val="002B36C4"/>
    <w:rsid w:val="002B37A2"/>
    <w:rsid w:val="002B380B"/>
    <w:rsid w:val="002B389E"/>
    <w:rsid w:val="002B38E4"/>
    <w:rsid w:val="002B3C62"/>
    <w:rsid w:val="002B3E1D"/>
    <w:rsid w:val="002B3E55"/>
    <w:rsid w:val="002B40E6"/>
    <w:rsid w:val="002B41B7"/>
    <w:rsid w:val="002B425C"/>
    <w:rsid w:val="002B4262"/>
    <w:rsid w:val="002B44C1"/>
    <w:rsid w:val="002B45BD"/>
    <w:rsid w:val="002B45DC"/>
    <w:rsid w:val="002B46EB"/>
    <w:rsid w:val="002B4988"/>
    <w:rsid w:val="002B4A39"/>
    <w:rsid w:val="002B4AC8"/>
    <w:rsid w:val="002B4BF5"/>
    <w:rsid w:val="002B4CAF"/>
    <w:rsid w:val="002B4CB5"/>
    <w:rsid w:val="002B4CC2"/>
    <w:rsid w:val="002B4DE1"/>
    <w:rsid w:val="002B502D"/>
    <w:rsid w:val="002B5166"/>
    <w:rsid w:val="002B518F"/>
    <w:rsid w:val="002B531C"/>
    <w:rsid w:val="002B5632"/>
    <w:rsid w:val="002B597F"/>
    <w:rsid w:val="002B59FD"/>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0EE"/>
    <w:rsid w:val="002C02E5"/>
    <w:rsid w:val="002C067A"/>
    <w:rsid w:val="002C0957"/>
    <w:rsid w:val="002C09AB"/>
    <w:rsid w:val="002C0BC7"/>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57"/>
    <w:rsid w:val="002C50AE"/>
    <w:rsid w:val="002C5272"/>
    <w:rsid w:val="002C52B0"/>
    <w:rsid w:val="002C52BB"/>
    <w:rsid w:val="002C5322"/>
    <w:rsid w:val="002C53C5"/>
    <w:rsid w:val="002C5696"/>
    <w:rsid w:val="002C56DB"/>
    <w:rsid w:val="002C580F"/>
    <w:rsid w:val="002C5832"/>
    <w:rsid w:val="002C5845"/>
    <w:rsid w:val="002C5A4C"/>
    <w:rsid w:val="002C5D7C"/>
    <w:rsid w:val="002C5F25"/>
    <w:rsid w:val="002C5F4A"/>
    <w:rsid w:val="002C62F5"/>
    <w:rsid w:val="002C6396"/>
    <w:rsid w:val="002C6639"/>
    <w:rsid w:val="002C6AE7"/>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0F"/>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3AE"/>
    <w:rsid w:val="002D29D1"/>
    <w:rsid w:val="002D2ADC"/>
    <w:rsid w:val="002D2B96"/>
    <w:rsid w:val="002D2C1E"/>
    <w:rsid w:val="002D2D9F"/>
    <w:rsid w:val="002D2ECA"/>
    <w:rsid w:val="002D2EDC"/>
    <w:rsid w:val="002D32D9"/>
    <w:rsid w:val="002D3492"/>
    <w:rsid w:val="002D34C5"/>
    <w:rsid w:val="002D35AE"/>
    <w:rsid w:val="002D35E1"/>
    <w:rsid w:val="002D3617"/>
    <w:rsid w:val="002D36E6"/>
    <w:rsid w:val="002D38EE"/>
    <w:rsid w:val="002D3A4F"/>
    <w:rsid w:val="002D3C77"/>
    <w:rsid w:val="002D3D98"/>
    <w:rsid w:val="002D3EC4"/>
    <w:rsid w:val="002D4101"/>
    <w:rsid w:val="002D42B7"/>
    <w:rsid w:val="002D4461"/>
    <w:rsid w:val="002D451D"/>
    <w:rsid w:val="002D480F"/>
    <w:rsid w:val="002D4A67"/>
    <w:rsid w:val="002D4A89"/>
    <w:rsid w:val="002D556A"/>
    <w:rsid w:val="002D5656"/>
    <w:rsid w:val="002D5B33"/>
    <w:rsid w:val="002D5B5C"/>
    <w:rsid w:val="002D5E24"/>
    <w:rsid w:val="002D6234"/>
    <w:rsid w:val="002D6392"/>
    <w:rsid w:val="002D6402"/>
    <w:rsid w:val="002D6554"/>
    <w:rsid w:val="002D66E1"/>
    <w:rsid w:val="002D67DB"/>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21F"/>
    <w:rsid w:val="002E4257"/>
    <w:rsid w:val="002E4721"/>
    <w:rsid w:val="002E4723"/>
    <w:rsid w:val="002E4E06"/>
    <w:rsid w:val="002E4F75"/>
    <w:rsid w:val="002E51A3"/>
    <w:rsid w:val="002E54A1"/>
    <w:rsid w:val="002E5586"/>
    <w:rsid w:val="002E5875"/>
    <w:rsid w:val="002E58BE"/>
    <w:rsid w:val="002E59B7"/>
    <w:rsid w:val="002E6163"/>
    <w:rsid w:val="002E61AA"/>
    <w:rsid w:val="002E622F"/>
    <w:rsid w:val="002E62DD"/>
    <w:rsid w:val="002E6383"/>
    <w:rsid w:val="002E6675"/>
    <w:rsid w:val="002E6C8A"/>
    <w:rsid w:val="002E6E1F"/>
    <w:rsid w:val="002E6ED1"/>
    <w:rsid w:val="002E6ED6"/>
    <w:rsid w:val="002E6EDD"/>
    <w:rsid w:val="002E70A9"/>
    <w:rsid w:val="002E73BC"/>
    <w:rsid w:val="002E7454"/>
    <w:rsid w:val="002E7602"/>
    <w:rsid w:val="002E7684"/>
    <w:rsid w:val="002E7999"/>
    <w:rsid w:val="002E7AB5"/>
    <w:rsid w:val="002E7BCC"/>
    <w:rsid w:val="002E7E30"/>
    <w:rsid w:val="002F004E"/>
    <w:rsid w:val="002F0092"/>
    <w:rsid w:val="002F0096"/>
    <w:rsid w:val="002F0332"/>
    <w:rsid w:val="002F049B"/>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19"/>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6C"/>
    <w:rsid w:val="002F7EEB"/>
    <w:rsid w:val="002F7F33"/>
    <w:rsid w:val="002F7F95"/>
    <w:rsid w:val="003003E9"/>
    <w:rsid w:val="00300607"/>
    <w:rsid w:val="00300BFC"/>
    <w:rsid w:val="00300CAB"/>
    <w:rsid w:val="00300D8B"/>
    <w:rsid w:val="00301052"/>
    <w:rsid w:val="00301186"/>
    <w:rsid w:val="003012F3"/>
    <w:rsid w:val="003013BA"/>
    <w:rsid w:val="003013BF"/>
    <w:rsid w:val="003013F3"/>
    <w:rsid w:val="00301620"/>
    <w:rsid w:val="00301668"/>
    <w:rsid w:val="003016CA"/>
    <w:rsid w:val="003016F0"/>
    <w:rsid w:val="003017D5"/>
    <w:rsid w:val="003017ED"/>
    <w:rsid w:val="003018F5"/>
    <w:rsid w:val="00301987"/>
    <w:rsid w:val="00301EE9"/>
    <w:rsid w:val="00301FBC"/>
    <w:rsid w:val="003023CD"/>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9"/>
    <w:rsid w:val="00303A1D"/>
    <w:rsid w:val="00303AB7"/>
    <w:rsid w:val="00303E6A"/>
    <w:rsid w:val="00304335"/>
    <w:rsid w:val="0030441F"/>
    <w:rsid w:val="00304454"/>
    <w:rsid w:val="003046D0"/>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9F"/>
    <w:rsid w:val="00306DA5"/>
    <w:rsid w:val="00306E6D"/>
    <w:rsid w:val="00306FC9"/>
    <w:rsid w:val="0030730A"/>
    <w:rsid w:val="0030730E"/>
    <w:rsid w:val="00307877"/>
    <w:rsid w:val="0030792F"/>
    <w:rsid w:val="003079D0"/>
    <w:rsid w:val="00307A94"/>
    <w:rsid w:val="00307C74"/>
    <w:rsid w:val="00307F89"/>
    <w:rsid w:val="0031003F"/>
    <w:rsid w:val="00310638"/>
    <w:rsid w:val="00310741"/>
    <w:rsid w:val="003113D7"/>
    <w:rsid w:val="003114A8"/>
    <w:rsid w:val="003115F6"/>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1D"/>
    <w:rsid w:val="003130E8"/>
    <w:rsid w:val="003131E3"/>
    <w:rsid w:val="00313241"/>
    <w:rsid w:val="003136ED"/>
    <w:rsid w:val="00313D9D"/>
    <w:rsid w:val="003140A8"/>
    <w:rsid w:val="003141FD"/>
    <w:rsid w:val="00314235"/>
    <w:rsid w:val="00314291"/>
    <w:rsid w:val="0031494D"/>
    <w:rsid w:val="0031495F"/>
    <w:rsid w:val="00314AAF"/>
    <w:rsid w:val="00314D15"/>
    <w:rsid w:val="00314D31"/>
    <w:rsid w:val="00315055"/>
    <w:rsid w:val="0031524C"/>
    <w:rsid w:val="003152F2"/>
    <w:rsid w:val="0031572F"/>
    <w:rsid w:val="00315BEE"/>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20028"/>
    <w:rsid w:val="00320187"/>
    <w:rsid w:val="00320305"/>
    <w:rsid w:val="003203EF"/>
    <w:rsid w:val="00320658"/>
    <w:rsid w:val="003207F3"/>
    <w:rsid w:val="0032088E"/>
    <w:rsid w:val="00320E72"/>
    <w:rsid w:val="003213AC"/>
    <w:rsid w:val="0032187C"/>
    <w:rsid w:val="00321898"/>
    <w:rsid w:val="003219FA"/>
    <w:rsid w:val="00321F0D"/>
    <w:rsid w:val="0032215D"/>
    <w:rsid w:val="00322197"/>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E7"/>
    <w:rsid w:val="003265F3"/>
    <w:rsid w:val="0032669D"/>
    <w:rsid w:val="00326A80"/>
    <w:rsid w:val="00326B2E"/>
    <w:rsid w:val="00326FF0"/>
    <w:rsid w:val="00327291"/>
    <w:rsid w:val="003275CB"/>
    <w:rsid w:val="003278B6"/>
    <w:rsid w:val="00327C96"/>
    <w:rsid w:val="00327F45"/>
    <w:rsid w:val="00327FE1"/>
    <w:rsid w:val="0033004E"/>
    <w:rsid w:val="0033016A"/>
    <w:rsid w:val="003301B9"/>
    <w:rsid w:val="003301C3"/>
    <w:rsid w:val="00330B18"/>
    <w:rsid w:val="00330D71"/>
    <w:rsid w:val="003315DC"/>
    <w:rsid w:val="00331758"/>
    <w:rsid w:val="00331C19"/>
    <w:rsid w:val="00331F7B"/>
    <w:rsid w:val="00332228"/>
    <w:rsid w:val="003322B4"/>
    <w:rsid w:val="003322E8"/>
    <w:rsid w:val="003324B7"/>
    <w:rsid w:val="003325BF"/>
    <w:rsid w:val="003325EB"/>
    <w:rsid w:val="003325F4"/>
    <w:rsid w:val="003327DF"/>
    <w:rsid w:val="00332908"/>
    <w:rsid w:val="00332A0B"/>
    <w:rsid w:val="00332A47"/>
    <w:rsid w:val="00332B3E"/>
    <w:rsid w:val="00332B90"/>
    <w:rsid w:val="00333157"/>
    <w:rsid w:val="00333502"/>
    <w:rsid w:val="00333541"/>
    <w:rsid w:val="00333553"/>
    <w:rsid w:val="00333681"/>
    <w:rsid w:val="003336C3"/>
    <w:rsid w:val="003338FF"/>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8B3"/>
    <w:rsid w:val="003359B9"/>
    <w:rsid w:val="00335C2F"/>
    <w:rsid w:val="00335C95"/>
    <w:rsid w:val="00335F65"/>
    <w:rsid w:val="00335FF2"/>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014"/>
    <w:rsid w:val="00340245"/>
    <w:rsid w:val="0034060B"/>
    <w:rsid w:val="0034065D"/>
    <w:rsid w:val="00340718"/>
    <w:rsid w:val="00340888"/>
    <w:rsid w:val="00340B47"/>
    <w:rsid w:val="00340BDC"/>
    <w:rsid w:val="00340F1F"/>
    <w:rsid w:val="00341185"/>
    <w:rsid w:val="0034179B"/>
    <w:rsid w:val="00341A17"/>
    <w:rsid w:val="00341A8B"/>
    <w:rsid w:val="00341CFB"/>
    <w:rsid w:val="00341E81"/>
    <w:rsid w:val="00342094"/>
    <w:rsid w:val="003421D1"/>
    <w:rsid w:val="0034225D"/>
    <w:rsid w:val="003426DD"/>
    <w:rsid w:val="00342785"/>
    <w:rsid w:val="003428E8"/>
    <w:rsid w:val="00342B67"/>
    <w:rsid w:val="00342C1D"/>
    <w:rsid w:val="00343098"/>
    <w:rsid w:val="00343555"/>
    <w:rsid w:val="00343567"/>
    <w:rsid w:val="003435AD"/>
    <w:rsid w:val="0034379F"/>
    <w:rsid w:val="0034386E"/>
    <w:rsid w:val="00343CCD"/>
    <w:rsid w:val="00343F1C"/>
    <w:rsid w:val="00344001"/>
    <w:rsid w:val="0034434F"/>
    <w:rsid w:val="003445C2"/>
    <w:rsid w:val="003445D6"/>
    <w:rsid w:val="00344893"/>
    <w:rsid w:val="00344CA2"/>
    <w:rsid w:val="00344E50"/>
    <w:rsid w:val="00345469"/>
    <w:rsid w:val="003457B8"/>
    <w:rsid w:val="0034581F"/>
    <w:rsid w:val="00345A10"/>
    <w:rsid w:val="00345F57"/>
    <w:rsid w:val="003460FF"/>
    <w:rsid w:val="00346218"/>
    <w:rsid w:val="00346850"/>
    <w:rsid w:val="003469F1"/>
    <w:rsid w:val="00346A6F"/>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1FA"/>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39"/>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51B"/>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9F6"/>
    <w:rsid w:val="00361A16"/>
    <w:rsid w:val="00361B86"/>
    <w:rsid w:val="00361D07"/>
    <w:rsid w:val="00361E23"/>
    <w:rsid w:val="00361F38"/>
    <w:rsid w:val="00361FDF"/>
    <w:rsid w:val="003622AC"/>
    <w:rsid w:val="00362303"/>
    <w:rsid w:val="0036251F"/>
    <w:rsid w:val="00362BEA"/>
    <w:rsid w:val="00362D7C"/>
    <w:rsid w:val="00362DBD"/>
    <w:rsid w:val="00362F4E"/>
    <w:rsid w:val="00362F81"/>
    <w:rsid w:val="0036303C"/>
    <w:rsid w:val="00363098"/>
    <w:rsid w:val="0036320F"/>
    <w:rsid w:val="00363307"/>
    <w:rsid w:val="0036371D"/>
    <w:rsid w:val="00363886"/>
    <w:rsid w:val="003648EB"/>
    <w:rsid w:val="00364CF8"/>
    <w:rsid w:val="00364DBC"/>
    <w:rsid w:val="00364E75"/>
    <w:rsid w:val="00364EE4"/>
    <w:rsid w:val="00365073"/>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63"/>
    <w:rsid w:val="003718C3"/>
    <w:rsid w:val="00371B5B"/>
    <w:rsid w:val="00371BB8"/>
    <w:rsid w:val="00371DE5"/>
    <w:rsid w:val="00371E3E"/>
    <w:rsid w:val="00371EF8"/>
    <w:rsid w:val="003720D2"/>
    <w:rsid w:val="00372165"/>
    <w:rsid w:val="003723CB"/>
    <w:rsid w:val="0037249A"/>
    <w:rsid w:val="003725BC"/>
    <w:rsid w:val="003729BC"/>
    <w:rsid w:val="00372A01"/>
    <w:rsid w:val="00373340"/>
    <w:rsid w:val="00373643"/>
    <w:rsid w:val="003737A4"/>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99B"/>
    <w:rsid w:val="003749F9"/>
    <w:rsid w:val="00374B83"/>
    <w:rsid w:val="00374C20"/>
    <w:rsid w:val="00375190"/>
    <w:rsid w:val="0037532B"/>
    <w:rsid w:val="00375399"/>
    <w:rsid w:val="003753DE"/>
    <w:rsid w:val="0037540D"/>
    <w:rsid w:val="00375648"/>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03"/>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0DC8"/>
    <w:rsid w:val="0038130C"/>
    <w:rsid w:val="003818E3"/>
    <w:rsid w:val="00381AF0"/>
    <w:rsid w:val="00381F0C"/>
    <w:rsid w:val="00382135"/>
    <w:rsid w:val="003822BF"/>
    <w:rsid w:val="003823AA"/>
    <w:rsid w:val="0038240E"/>
    <w:rsid w:val="00382746"/>
    <w:rsid w:val="003827DA"/>
    <w:rsid w:val="0038296E"/>
    <w:rsid w:val="003829B4"/>
    <w:rsid w:val="00382B44"/>
    <w:rsid w:val="00382C3E"/>
    <w:rsid w:val="00382C85"/>
    <w:rsid w:val="00382E18"/>
    <w:rsid w:val="00382F72"/>
    <w:rsid w:val="003834F9"/>
    <w:rsid w:val="0038369C"/>
    <w:rsid w:val="00383D1B"/>
    <w:rsid w:val="00383D65"/>
    <w:rsid w:val="00383D69"/>
    <w:rsid w:val="00383E08"/>
    <w:rsid w:val="00384368"/>
    <w:rsid w:val="003844D1"/>
    <w:rsid w:val="00384595"/>
    <w:rsid w:val="00384959"/>
    <w:rsid w:val="00384B20"/>
    <w:rsid w:val="00384BD4"/>
    <w:rsid w:val="00384F33"/>
    <w:rsid w:val="0038520A"/>
    <w:rsid w:val="00385227"/>
    <w:rsid w:val="00385392"/>
    <w:rsid w:val="0038560D"/>
    <w:rsid w:val="00385718"/>
    <w:rsid w:val="00385720"/>
    <w:rsid w:val="00385BE1"/>
    <w:rsid w:val="00385C05"/>
    <w:rsid w:val="00385E0E"/>
    <w:rsid w:val="00385F94"/>
    <w:rsid w:val="0038613F"/>
    <w:rsid w:val="00386197"/>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699"/>
    <w:rsid w:val="003917E3"/>
    <w:rsid w:val="00391CA6"/>
    <w:rsid w:val="0039213A"/>
    <w:rsid w:val="003921D2"/>
    <w:rsid w:val="0039230A"/>
    <w:rsid w:val="00392327"/>
    <w:rsid w:val="00392353"/>
    <w:rsid w:val="0039239D"/>
    <w:rsid w:val="003923B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5B5"/>
    <w:rsid w:val="00395876"/>
    <w:rsid w:val="00395967"/>
    <w:rsid w:val="00395B6B"/>
    <w:rsid w:val="00395C2B"/>
    <w:rsid w:val="00395CAE"/>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0FB"/>
    <w:rsid w:val="003A03C1"/>
    <w:rsid w:val="003A0486"/>
    <w:rsid w:val="003A057E"/>
    <w:rsid w:val="003A067E"/>
    <w:rsid w:val="003A0AB9"/>
    <w:rsid w:val="003A0AD7"/>
    <w:rsid w:val="003A0D5B"/>
    <w:rsid w:val="003A0EF0"/>
    <w:rsid w:val="003A0FFF"/>
    <w:rsid w:val="003A10D5"/>
    <w:rsid w:val="003A1113"/>
    <w:rsid w:val="003A1194"/>
    <w:rsid w:val="003A1452"/>
    <w:rsid w:val="003A150B"/>
    <w:rsid w:val="003A1813"/>
    <w:rsid w:val="003A18A4"/>
    <w:rsid w:val="003A197C"/>
    <w:rsid w:val="003A1A10"/>
    <w:rsid w:val="003A1BDA"/>
    <w:rsid w:val="003A1CFF"/>
    <w:rsid w:val="003A1D63"/>
    <w:rsid w:val="003A1DBA"/>
    <w:rsid w:val="003A1ED4"/>
    <w:rsid w:val="003A1FA6"/>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373"/>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605"/>
    <w:rsid w:val="003A78C5"/>
    <w:rsid w:val="003A7AA7"/>
    <w:rsid w:val="003A7C53"/>
    <w:rsid w:val="003A7D05"/>
    <w:rsid w:val="003A7D64"/>
    <w:rsid w:val="003B00AE"/>
    <w:rsid w:val="003B0306"/>
    <w:rsid w:val="003B0365"/>
    <w:rsid w:val="003B07AC"/>
    <w:rsid w:val="003B08E8"/>
    <w:rsid w:val="003B09EC"/>
    <w:rsid w:val="003B0B19"/>
    <w:rsid w:val="003B0CA6"/>
    <w:rsid w:val="003B0D96"/>
    <w:rsid w:val="003B0D9A"/>
    <w:rsid w:val="003B0E65"/>
    <w:rsid w:val="003B0EF6"/>
    <w:rsid w:val="003B0FFF"/>
    <w:rsid w:val="003B121F"/>
    <w:rsid w:val="003B122B"/>
    <w:rsid w:val="003B126E"/>
    <w:rsid w:val="003B1A0F"/>
    <w:rsid w:val="003B1AC0"/>
    <w:rsid w:val="003B1D6F"/>
    <w:rsid w:val="003B1FE6"/>
    <w:rsid w:val="003B2035"/>
    <w:rsid w:val="003B2168"/>
    <w:rsid w:val="003B21DA"/>
    <w:rsid w:val="003B223B"/>
    <w:rsid w:val="003B2502"/>
    <w:rsid w:val="003B2664"/>
    <w:rsid w:val="003B27CC"/>
    <w:rsid w:val="003B2CF2"/>
    <w:rsid w:val="003B2F25"/>
    <w:rsid w:val="003B3002"/>
    <w:rsid w:val="003B30AB"/>
    <w:rsid w:val="003B3E4A"/>
    <w:rsid w:val="003B480C"/>
    <w:rsid w:val="003B486E"/>
    <w:rsid w:val="003B48F2"/>
    <w:rsid w:val="003B4956"/>
    <w:rsid w:val="003B497D"/>
    <w:rsid w:val="003B4AA6"/>
    <w:rsid w:val="003B4E1F"/>
    <w:rsid w:val="003B4E60"/>
    <w:rsid w:val="003B5128"/>
    <w:rsid w:val="003B5268"/>
    <w:rsid w:val="003B5445"/>
    <w:rsid w:val="003B5675"/>
    <w:rsid w:val="003B58A1"/>
    <w:rsid w:val="003B5B4D"/>
    <w:rsid w:val="003B60FB"/>
    <w:rsid w:val="003B6C76"/>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233"/>
    <w:rsid w:val="003C43A6"/>
    <w:rsid w:val="003C43D1"/>
    <w:rsid w:val="003C4515"/>
    <w:rsid w:val="003C4840"/>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3DE"/>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61"/>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E6"/>
    <w:rsid w:val="003D5DEC"/>
    <w:rsid w:val="003D5FE3"/>
    <w:rsid w:val="003D63C0"/>
    <w:rsid w:val="003D6498"/>
    <w:rsid w:val="003D6899"/>
    <w:rsid w:val="003D6B8C"/>
    <w:rsid w:val="003D6C7D"/>
    <w:rsid w:val="003D7368"/>
    <w:rsid w:val="003D7589"/>
    <w:rsid w:val="003D775F"/>
    <w:rsid w:val="003D7A34"/>
    <w:rsid w:val="003D7A93"/>
    <w:rsid w:val="003D7AB7"/>
    <w:rsid w:val="003D7AF8"/>
    <w:rsid w:val="003D7BA7"/>
    <w:rsid w:val="003E0153"/>
    <w:rsid w:val="003E051D"/>
    <w:rsid w:val="003E05FE"/>
    <w:rsid w:val="003E0645"/>
    <w:rsid w:val="003E06E1"/>
    <w:rsid w:val="003E0902"/>
    <w:rsid w:val="003E119D"/>
    <w:rsid w:val="003E1223"/>
    <w:rsid w:val="003E12C2"/>
    <w:rsid w:val="003E135D"/>
    <w:rsid w:val="003E1520"/>
    <w:rsid w:val="003E1DC8"/>
    <w:rsid w:val="003E1EEF"/>
    <w:rsid w:val="003E21A8"/>
    <w:rsid w:val="003E22EF"/>
    <w:rsid w:val="003E2554"/>
    <w:rsid w:val="003E281C"/>
    <w:rsid w:val="003E292E"/>
    <w:rsid w:val="003E2A2E"/>
    <w:rsid w:val="003E2B3B"/>
    <w:rsid w:val="003E2B91"/>
    <w:rsid w:val="003E2D06"/>
    <w:rsid w:val="003E2F5F"/>
    <w:rsid w:val="003E2F7A"/>
    <w:rsid w:val="003E30A6"/>
    <w:rsid w:val="003E3327"/>
    <w:rsid w:val="003E3356"/>
    <w:rsid w:val="003E3366"/>
    <w:rsid w:val="003E36B2"/>
    <w:rsid w:val="003E373A"/>
    <w:rsid w:val="003E39AD"/>
    <w:rsid w:val="003E3AC3"/>
    <w:rsid w:val="003E3AFB"/>
    <w:rsid w:val="003E3BA5"/>
    <w:rsid w:val="003E3C9E"/>
    <w:rsid w:val="003E3F63"/>
    <w:rsid w:val="003E4725"/>
    <w:rsid w:val="003E4766"/>
    <w:rsid w:val="003E4837"/>
    <w:rsid w:val="003E4893"/>
    <w:rsid w:val="003E49A0"/>
    <w:rsid w:val="003E4AE1"/>
    <w:rsid w:val="003E4BE9"/>
    <w:rsid w:val="003E50C8"/>
    <w:rsid w:val="003E54F6"/>
    <w:rsid w:val="003E5628"/>
    <w:rsid w:val="003E56E1"/>
    <w:rsid w:val="003E5A69"/>
    <w:rsid w:val="003E5C42"/>
    <w:rsid w:val="003E5E13"/>
    <w:rsid w:val="003E5E2A"/>
    <w:rsid w:val="003E63C1"/>
    <w:rsid w:val="003E6569"/>
    <w:rsid w:val="003E6589"/>
    <w:rsid w:val="003E6BE1"/>
    <w:rsid w:val="003E703A"/>
    <w:rsid w:val="003E7118"/>
    <w:rsid w:val="003E723A"/>
    <w:rsid w:val="003E738E"/>
    <w:rsid w:val="003E744C"/>
    <w:rsid w:val="003E778B"/>
    <w:rsid w:val="003E77E1"/>
    <w:rsid w:val="003E792A"/>
    <w:rsid w:val="003E7BD4"/>
    <w:rsid w:val="003E7DFC"/>
    <w:rsid w:val="003F0228"/>
    <w:rsid w:val="003F022F"/>
    <w:rsid w:val="003F0461"/>
    <w:rsid w:val="003F0781"/>
    <w:rsid w:val="003F07E2"/>
    <w:rsid w:val="003F0A92"/>
    <w:rsid w:val="003F0C88"/>
    <w:rsid w:val="003F0D04"/>
    <w:rsid w:val="003F0F52"/>
    <w:rsid w:val="003F10D9"/>
    <w:rsid w:val="003F122D"/>
    <w:rsid w:val="003F14D8"/>
    <w:rsid w:val="003F158D"/>
    <w:rsid w:val="003F1718"/>
    <w:rsid w:val="003F2191"/>
    <w:rsid w:val="003F21E4"/>
    <w:rsid w:val="003F2D0B"/>
    <w:rsid w:val="003F2E4F"/>
    <w:rsid w:val="003F306A"/>
    <w:rsid w:val="003F3126"/>
    <w:rsid w:val="003F31C1"/>
    <w:rsid w:val="003F3204"/>
    <w:rsid w:val="003F34D0"/>
    <w:rsid w:val="003F3583"/>
    <w:rsid w:val="003F35C9"/>
    <w:rsid w:val="003F36A6"/>
    <w:rsid w:val="003F380E"/>
    <w:rsid w:val="003F3847"/>
    <w:rsid w:val="003F3888"/>
    <w:rsid w:val="003F3DC8"/>
    <w:rsid w:val="003F3DD4"/>
    <w:rsid w:val="003F3F77"/>
    <w:rsid w:val="003F4362"/>
    <w:rsid w:val="003F479B"/>
    <w:rsid w:val="003F4827"/>
    <w:rsid w:val="003F4839"/>
    <w:rsid w:val="003F4843"/>
    <w:rsid w:val="003F494E"/>
    <w:rsid w:val="003F4950"/>
    <w:rsid w:val="003F4AF4"/>
    <w:rsid w:val="003F4BB2"/>
    <w:rsid w:val="003F4BC8"/>
    <w:rsid w:val="003F4E62"/>
    <w:rsid w:val="003F4F42"/>
    <w:rsid w:val="003F5537"/>
    <w:rsid w:val="003F55BE"/>
    <w:rsid w:val="003F57E9"/>
    <w:rsid w:val="003F583E"/>
    <w:rsid w:val="003F5CFF"/>
    <w:rsid w:val="003F6044"/>
    <w:rsid w:val="003F6088"/>
    <w:rsid w:val="003F6454"/>
    <w:rsid w:val="003F66BB"/>
    <w:rsid w:val="003F6817"/>
    <w:rsid w:val="003F6A80"/>
    <w:rsid w:val="003F6D84"/>
    <w:rsid w:val="003F6E46"/>
    <w:rsid w:val="003F6E64"/>
    <w:rsid w:val="003F6E8E"/>
    <w:rsid w:val="003F6EC1"/>
    <w:rsid w:val="003F73F7"/>
    <w:rsid w:val="003F7435"/>
    <w:rsid w:val="003F7536"/>
    <w:rsid w:val="003F78D1"/>
    <w:rsid w:val="003F7AB6"/>
    <w:rsid w:val="003F7D52"/>
    <w:rsid w:val="003F7EAC"/>
    <w:rsid w:val="003F7F50"/>
    <w:rsid w:val="00400054"/>
    <w:rsid w:val="0040014D"/>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432"/>
    <w:rsid w:val="00401613"/>
    <w:rsid w:val="004017EC"/>
    <w:rsid w:val="00401B1F"/>
    <w:rsid w:val="00401BF6"/>
    <w:rsid w:val="00401D93"/>
    <w:rsid w:val="00402436"/>
    <w:rsid w:val="004027F9"/>
    <w:rsid w:val="004029DF"/>
    <w:rsid w:val="004029EC"/>
    <w:rsid w:val="00402ABC"/>
    <w:rsid w:val="00402B02"/>
    <w:rsid w:val="00402B36"/>
    <w:rsid w:val="00402FE5"/>
    <w:rsid w:val="0040303D"/>
    <w:rsid w:val="004031A5"/>
    <w:rsid w:val="004032E4"/>
    <w:rsid w:val="00403574"/>
    <w:rsid w:val="004037EE"/>
    <w:rsid w:val="00403820"/>
    <w:rsid w:val="00403C92"/>
    <w:rsid w:val="00403D62"/>
    <w:rsid w:val="00403EDA"/>
    <w:rsid w:val="004040A9"/>
    <w:rsid w:val="00404198"/>
    <w:rsid w:val="00404311"/>
    <w:rsid w:val="004043B8"/>
    <w:rsid w:val="0040448E"/>
    <w:rsid w:val="00404538"/>
    <w:rsid w:val="0040453F"/>
    <w:rsid w:val="00404553"/>
    <w:rsid w:val="004046A0"/>
    <w:rsid w:val="004046AC"/>
    <w:rsid w:val="004047F7"/>
    <w:rsid w:val="00404BC7"/>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AC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B05"/>
    <w:rsid w:val="00410C20"/>
    <w:rsid w:val="00410E28"/>
    <w:rsid w:val="004111AB"/>
    <w:rsid w:val="004112C2"/>
    <w:rsid w:val="0041152A"/>
    <w:rsid w:val="004117C1"/>
    <w:rsid w:val="004117CB"/>
    <w:rsid w:val="00411897"/>
    <w:rsid w:val="004118CE"/>
    <w:rsid w:val="004119DC"/>
    <w:rsid w:val="004119FE"/>
    <w:rsid w:val="00411C38"/>
    <w:rsid w:val="00411E61"/>
    <w:rsid w:val="00411EE0"/>
    <w:rsid w:val="00411F0E"/>
    <w:rsid w:val="0041230E"/>
    <w:rsid w:val="00412548"/>
    <w:rsid w:val="00412715"/>
    <w:rsid w:val="00412768"/>
    <w:rsid w:val="00412CAE"/>
    <w:rsid w:val="0041333F"/>
    <w:rsid w:val="00413352"/>
    <w:rsid w:val="0041350D"/>
    <w:rsid w:val="00413546"/>
    <w:rsid w:val="00413562"/>
    <w:rsid w:val="004137C5"/>
    <w:rsid w:val="00413AD8"/>
    <w:rsid w:val="00413CEA"/>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8B4"/>
    <w:rsid w:val="00417A97"/>
    <w:rsid w:val="00417CB1"/>
    <w:rsid w:val="00417E6C"/>
    <w:rsid w:val="00417F67"/>
    <w:rsid w:val="004201A9"/>
    <w:rsid w:val="00420342"/>
    <w:rsid w:val="0042035E"/>
    <w:rsid w:val="0042059F"/>
    <w:rsid w:val="0042075F"/>
    <w:rsid w:val="00420950"/>
    <w:rsid w:val="00420A3C"/>
    <w:rsid w:val="00420A7F"/>
    <w:rsid w:val="00420C49"/>
    <w:rsid w:val="00420DA9"/>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E2"/>
    <w:rsid w:val="004241FD"/>
    <w:rsid w:val="004244C4"/>
    <w:rsid w:val="00424855"/>
    <w:rsid w:val="00424975"/>
    <w:rsid w:val="00424A5B"/>
    <w:rsid w:val="00424BC4"/>
    <w:rsid w:val="00424E92"/>
    <w:rsid w:val="004250B7"/>
    <w:rsid w:val="0042512C"/>
    <w:rsid w:val="00425318"/>
    <w:rsid w:val="00425693"/>
    <w:rsid w:val="004257F4"/>
    <w:rsid w:val="00425A07"/>
    <w:rsid w:val="00425A93"/>
    <w:rsid w:val="00425AF3"/>
    <w:rsid w:val="00425C32"/>
    <w:rsid w:val="00425D2D"/>
    <w:rsid w:val="00425E34"/>
    <w:rsid w:val="0042603B"/>
    <w:rsid w:val="0042619A"/>
    <w:rsid w:val="00426255"/>
    <w:rsid w:val="004262D9"/>
    <w:rsid w:val="004263FE"/>
    <w:rsid w:val="004266D1"/>
    <w:rsid w:val="00426707"/>
    <w:rsid w:val="0042670D"/>
    <w:rsid w:val="00426B64"/>
    <w:rsid w:val="00426D3F"/>
    <w:rsid w:val="00426F2B"/>
    <w:rsid w:val="00426F88"/>
    <w:rsid w:val="004270A2"/>
    <w:rsid w:val="004272F1"/>
    <w:rsid w:val="00427334"/>
    <w:rsid w:val="00427411"/>
    <w:rsid w:val="004279F1"/>
    <w:rsid w:val="00427ADF"/>
    <w:rsid w:val="00427BC9"/>
    <w:rsid w:val="00427D91"/>
    <w:rsid w:val="00427EB3"/>
    <w:rsid w:val="00430090"/>
    <w:rsid w:val="004300C8"/>
    <w:rsid w:val="004300DC"/>
    <w:rsid w:val="004302BA"/>
    <w:rsid w:val="004304C5"/>
    <w:rsid w:val="004305CC"/>
    <w:rsid w:val="004306C8"/>
    <w:rsid w:val="004306F8"/>
    <w:rsid w:val="00430815"/>
    <w:rsid w:val="00430A3E"/>
    <w:rsid w:val="00430BC1"/>
    <w:rsid w:val="00430BDB"/>
    <w:rsid w:val="00430DE2"/>
    <w:rsid w:val="004310ED"/>
    <w:rsid w:val="00431249"/>
    <w:rsid w:val="004313E7"/>
    <w:rsid w:val="0043176C"/>
    <w:rsid w:val="00431A06"/>
    <w:rsid w:val="00431EB8"/>
    <w:rsid w:val="00431FE3"/>
    <w:rsid w:val="00432295"/>
    <w:rsid w:val="004322D9"/>
    <w:rsid w:val="004323E2"/>
    <w:rsid w:val="0043266A"/>
    <w:rsid w:val="00432B79"/>
    <w:rsid w:val="00432BDB"/>
    <w:rsid w:val="00432C5E"/>
    <w:rsid w:val="00432DDB"/>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62A"/>
    <w:rsid w:val="00434840"/>
    <w:rsid w:val="004348A3"/>
    <w:rsid w:val="0043498E"/>
    <w:rsid w:val="004349BF"/>
    <w:rsid w:val="00434D74"/>
    <w:rsid w:val="00434F95"/>
    <w:rsid w:val="0043505E"/>
    <w:rsid w:val="00435337"/>
    <w:rsid w:val="004353C7"/>
    <w:rsid w:val="00435519"/>
    <w:rsid w:val="00435536"/>
    <w:rsid w:val="0043555B"/>
    <w:rsid w:val="00435F99"/>
    <w:rsid w:val="00436013"/>
    <w:rsid w:val="004364B0"/>
    <w:rsid w:val="004365B7"/>
    <w:rsid w:val="0043666B"/>
    <w:rsid w:val="004369BA"/>
    <w:rsid w:val="00436B53"/>
    <w:rsid w:val="00436BFB"/>
    <w:rsid w:val="00437070"/>
    <w:rsid w:val="004370F8"/>
    <w:rsid w:val="004376DC"/>
    <w:rsid w:val="0043770F"/>
    <w:rsid w:val="0043793E"/>
    <w:rsid w:val="00437A34"/>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243"/>
    <w:rsid w:val="004423DE"/>
    <w:rsid w:val="004423F4"/>
    <w:rsid w:val="0044240E"/>
    <w:rsid w:val="00442431"/>
    <w:rsid w:val="00442543"/>
    <w:rsid w:val="004428A3"/>
    <w:rsid w:val="00442A84"/>
    <w:rsid w:val="00442BC6"/>
    <w:rsid w:val="004430BB"/>
    <w:rsid w:val="004431A7"/>
    <w:rsid w:val="00443636"/>
    <w:rsid w:val="0044365F"/>
    <w:rsid w:val="0044383B"/>
    <w:rsid w:val="00443B3F"/>
    <w:rsid w:val="00443B9B"/>
    <w:rsid w:val="00443BD1"/>
    <w:rsid w:val="0044440B"/>
    <w:rsid w:val="0044472F"/>
    <w:rsid w:val="00444783"/>
    <w:rsid w:val="00444C59"/>
    <w:rsid w:val="00444ED1"/>
    <w:rsid w:val="00444FC6"/>
    <w:rsid w:val="0044506C"/>
    <w:rsid w:val="00445422"/>
    <w:rsid w:val="0044563B"/>
    <w:rsid w:val="004457C8"/>
    <w:rsid w:val="004457EE"/>
    <w:rsid w:val="00445971"/>
    <w:rsid w:val="00445ABE"/>
    <w:rsid w:val="00445BC2"/>
    <w:rsid w:val="00445C65"/>
    <w:rsid w:val="00445C71"/>
    <w:rsid w:val="00445F8D"/>
    <w:rsid w:val="00446100"/>
    <w:rsid w:val="004461DB"/>
    <w:rsid w:val="00446268"/>
    <w:rsid w:val="00446335"/>
    <w:rsid w:val="00446497"/>
    <w:rsid w:val="004464FA"/>
    <w:rsid w:val="004466E4"/>
    <w:rsid w:val="00446A37"/>
    <w:rsid w:val="00446AB1"/>
    <w:rsid w:val="00446B58"/>
    <w:rsid w:val="00446C4E"/>
    <w:rsid w:val="00446C69"/>
    <w:rsid w:val="00446E59"/>
    <w:rsid w:val="004473B1"/>
    <w:rsid w:val="00447D56"/>
    <w:rsid w:val="00447E53"/>
    <w:rsid w:val="00447EB6"/>
    <w:rsid w:val="00447F16"/>
    <w:rsid w:val="004504F0"/>
    <w:rsid w:val="004504FE"/>
    <w:rsid w:val="00450D50"/>
    <w:rsid w:val="0045100C"/>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6"/>
    <w:rsid w:val="00452D68"/>
    <w:rsid w:val="00452F19"/>
    <w:rsid w:val="00453050"/>
    <w:rsid w:val="00453126"/>
    <w:rsid w:val="004531F7"/>
    <w:rsid w:val="00453259"/>
    <w:rsid w:val="00453E11"/>
    <w:rsid w:val="00453E33"/>
    <w:rsid w:val="00454330"/>
    <w:rsid w:val="00454349"/>
    <w:rsid w:val="0045438B"/>
    <w:rsid w:val="0045446D"/>
    <w:rsid w:val="004545E4"/>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253"/>
    <w:rsid w:val="004564C9"/>
    <w:rsid w:val="00456556"/>
    <w:rsid w:val="00456AA0"/>
    <w:rsid w:val="00456B07"/>
    <w:rsid w:val="00456C34"/>
    <w:rsid w:val="00456CE2"/>
    <w:rsid w:val="00456DC5"/>
    <w:rsid w:val="00456E5E"/>
    <w:rsid w:val="00456E6D"/>
    <w:rsid w:val="0045701E"/>
    <w:rsid w:val="00457393"/>
    <w:rsid w:val="0045745E"/>
    <w:rsid w:val="00457560"/>
    <w:rsid w:val="0045782B"/>
    <w:rsid w:val="00457BD8"/>
    <w:rsid w:val="00457D39"/>
    <w:rsid w:val="00457F6E"/>
    <w:rsid w:val="00457F79"/>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CDF"/>
    <w:rsid w:val="00462F1C"/>
    <w:rsid w:val="00462F92"/>
    <w:rsid w:val="004632F6"/>
    <w:rsid w:val="0046349B"/>
    <w:rsid w:val="00463507"/>
    <w:rsid w:val="004635E0"/>
    <w:rsid w:val="004637A0"/>
    <w:rsid w:val="004637D6"/>
    <w:rsid w:val="004638F4"/>
    <w:rsid w:val="00463A6B"/>
    <w:rsid w:val="00463E7C"/>
    <w:rsid w:val="00463F8B"/>
    <w:rsid w:val="00463F8F"/>
    <w:rsid w:val="00463FFE"/>
    <w:rsid w:val="004640D7"/>
    <w:rsid w:val="0046415A"/>
    <w:rsid w:val="004641E8"/>
    <w:rsid w:val="0046420E"/>
    <w:rsid w:val="00464298"/>
    <w:rsid w:val="004646E9"/>
    <w:rsid w:val="0046488C"/>
    <w:rsid w:val="0046489E"/>
    <w:rsid w:val="00464A4E"/>
    <w:rsid w:val="00464AC3"/>
    <w:rsid w:val="00464C7D"/>
    <w:rsid w:val="00464CE2"/>
    <w:rsid w:val="00464FA8"/>
    <w:rsid w:val="00465122"/>
    <w:rsid w:val="00465359"/>
    <w:rsid w:val="0046546D"/>
    <w:rsid w:val="0046551D"/>
    <w:rsid w:val="00465551"/>
    <w:rsid w:val="004657B2"/>
    <w:rsid w:val="004658C5"/>
    <w:rsid w:val="00465A5B"/>
    <w:rsid w:val="004660F6"/>
    <w:rsid w:val="00466269"/>
    <w:rsid w:val="004664F0"/>
    <w:rsid w:val="00466608"/>
    <w:rsid w:val="0046667A"/>
    <w:rsid w:val="00466735"/>
    <w:rsid w:val="0046698F"/>
    <w:rsid w:val="00466A43"/>
    <w:rsid w:val="00466FCB"/>
    <w:rsid w:val="004671AE"/>
    <w:rsid w:val="004672B1"/>
    <w:rsid w:val="004672EF"/>
    <w:rsid w:val="0046732E"/>
    <w:rsid w:val="00467A55"/>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1EBE"/>
    <w:rsid w:val="00472016"/>
    <w:rsid w:val="00472039"/>
    <w:rsid w:val="0047209C"/>
    <w:rsid w:val="004720D5"/>
    <w:rsid w:val="00472355"/>
    <w:rsid w:val="00472384"/>
    <w:rsid w:val="00472423"/>
    <w:rsid w:val="004724EE"/>
    <w:rsid w:val="004728DE"/>
    <w:rsid w:val="0047297D"/>
    <w:rsid w:val="00472C48"/>
    <w:rsid w:val="00472EB7"/>
    <w:rsid w:val="00472EF7"/>
    <w:rsid w:val="004730D6"/>
    <w:rsid w:val="0047351A"/>
    <w:rsid w:val="004736AF"/>
    <w:rsid w:val="00473B52"/>
    <w:rsid w:val="00473BCA"/>
    <w:rsid w:val="00473DDD"/>
    <w:rsid w:val="00473E75"/>
    <w:rsid w:val="00473F03"/>
    <w:rsid w:val="00473F20"/>
    <w:rsid w:val="00473F99"/>
    <w:rsid w:val="00474059"/>
    <w:rsid w:val="00474153"/>
    <w:rsid w:val="004741B0"/>
    <w:rsid w:val="004741ED"/>
    <w:rsid w:val="00474489"/>
    <w:rsid w:val="00474494"/>
    <w:rsid w:val="004747C0"/>
    <w:rsid w:val="00474901"/>
    <w:rsid w:val="004749B1"/>
    <w:rsid w:val="00474D4D"/>
    <w:rsid w:val="00474DB4"/>
    <w:rsid w:val="00474F7A"/>
    <w:rsid w:val="00475106"/>
    <w:rsid w:val="004755A4"/>
    <w:rsid w:val="004755B2"/>
    <w:rsid w:val="00475607"/>
    <w:rsid w:val="004759D6"/>
    <w:rsid w:val="00475DDF"/>
    <w:rsid w:val="00475EB7"/>
    <w:rsid w:val="00475EF9"/>
    <w:rsid w:val="004760A4"/>
    <w:rsid w:val="00476129"/>
    <w:rsid w:val="0047647F"/>
    <w:rsid w:val="00476816"/>
    <w:rsid w:val="00476822"/>
    <w:rsid w:val="004768A1"/>
    <w:rsid w:val="004769D3"/>
    <w:rsid w:val="004769D5"/>
    <w:rsid w:val="00477938"/>
    <w:rsid w:val="00477B54"/>
    <w:rsid w:val="00477B57"/>
    <w:rsid w:val="00480096"/>
    <w:rsid w:val="004802F4"/>
    <w:rsid w:val="004807A8"/>
    <w:rsid w:val="0048093B"/>
    <w:rsid w:val="004809A3"/>
    <w:rsid w:val="00480F1D"/>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903"/>
    <w:rsid w:val="00482B33"/>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75"/>
    <w:rsid w:val="004844DB"/>
    <w:rsid w:val="00484762"/>
    <w:rsid w:val="0048479B"/>
    <w:rsid w:val="00484B12"/>
    <w:rsid w:val="00484B2D"/>
    <w:rsid w:val="00484B3E"/>
    <w:rsid w:val="00484EE4"/>
    <w:rsid w:val="004852EE"/>
    <w:rsid w:val="00485858"/>
    <w:rsid w:val="00485904"/>
    <w:rsid w:val="004859CD"/>
    <w:rsid w:val="00485C1D"/>
    <w:rsid w:val="00485C55"/>
    <w:rsid w:val="00485E19"/>
    <w:rsid w:val="004860C5"/>
    <w:rsid w:val="0048613E"/>
    <w:rsid w:val="00486215"/>
    <w:rsid w:val="00486672"/>
    <w:rsid w:val="00486A3E"/>
    <w:rsid w:val="00486AC4"/>
    <w:rsid w:val="00486BB9"/>
    <w:rsid w:val="00486EC6"/>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B65"/>
    <w:rsid w:val="00490CE2"/>
    <w:rsid w:val="00490F7C"/>
    <w:rsid w:val="004910E9"/>
    <w:rsid w:val="00491173"/>
    <w:rsid w:val="00491443"/>
    <w:rsid w:val="004915BF"/>
    <w:rsid w:val="00491711"/>
    <w:rsid w:val="00491735"/>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1DB"/>
    <w:rsid w:val="00493278"/>
    <w:rsid w:val="0049334B"/>
    <w:rsid w:val="004933AD"/>
    <w:rsid w:val="004936C0"/>
    <w:rsid w:val="0049379C"/>
    <w:rsid w:val="00493956"/>
    <w:rsid w:val="00493F7B"/>
    <w:rsid w:val="004940F6"/>
    <w:rsid w:val="004941FC"/>
    <w:rsid w:val="00494240"/>
    <w:rsid w:val="004942E4"/>
    <w:rsid w:val="00494333"/>
    <w:rsid w:val="00494904"/>
    <w:rsid w:val="004949B4"/>
    <w:rsid w:val="00494C2E"/>
    <w:rsid w:val="00494EF5"/>
    <w:rsid w:val="00495188"/>
    <w:rsid w:val="0049534C"/>
    <w:rsid w:val="00495397"/>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85"/>
    <w:rsid w:val="00497AF8"/>
    <w:rsid w:val="00497D3E"/>
    <w:rsid w:val="004A00A0"/>
    <w:rsid w:val="004A039F"/>
    <w:rsid w:val="004A053C"/>
    <w:rsid w:val="004A06C1"/>
    <w:rsid w:val="004A0B5A"/>
    <w:rsid w:val="004A0B66"/>
    <w:rsid w:val="004A0FC8"/>
    <w:rsid w:val="004A1240"/>
    <w:rsid w:val="004A1346"/>
    <w:rsid w:val="004A1636"/>
    <w:rsid w:val="004A1C93"/>
    <w:rsid w:val="004A1F90"/>
    <w:rsid w:val="004A24C2"/>
    <w:rsid w:val="004A2583"/>
    <w:rsid w:val="004A273A"/>
    <w:rsid w:val="004A27FC"/>
    <w:rsid w:val="004A2810"/>
    <w:rsid w:val="004A2945"/>
    <w:rsid w:val="004A2C49"/>
    <w:rsid w:val="004A30E8"/>
    <w:rsid w:val="004A35D1"/>
    <w:rsid w:val="004A3719"/>
    <w:rsid w:val="004A3941"/>
    <w:rsid w:val="004A3C5F"/>
    <w:rsid w:val="004A3C67"/>
    <w:rsid w:val="004A3CE4"/>
    <w:rsid w:val="004A3DB8"/>
    <w:rsid w:val="004A3E15"/>
    <w:rsid w:val="004A3FA4"/>
    <w:rsid w:val="004A406D"/>
    <w:rsid w:val="004A40A3"/>
    <w:rsid w:val="004A425A"/>
    <w:rsid w:val="004A4329"/>
    <w:rsid w:val="004A43A8"/>
    <w:rsid w:val="004A44F5"/>
    <w:rsid w:val="004A458C"/>
    <w:rsid w:val="004A4670"/>
    <w:rsid w:val="004A4848"/>
    <w:rsid w:val="004A48BB"/>
    <w:rsid w:val="004A4CB1"/>
    <w:rsid w:val="004A4F52"/>
    <w:rsid w:val="004A4F88"/>
    <w:rsid w:val="004A4FB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6F6"/>
    <w:rsid w:val="004A786A"/>
    <w:rsid w:val="004A78F8"/>
    <w:rsid w:val="004B00A9"/>
    <w:rsid w:val="004B0420"/>
    <w:rsid w:val="004B0461"/>
    <w:rsid w:val="004B0495"/>
    <w:rsid w:val="004B0575"/>
    <w:rsid w:val="004B07E2"/>
    <w:rsid w:val="004B0983"/>
    <w:rsid w:val="004B0A52"/>
    <w:rsid w:val="004B0BD6"/>
    <w:rsid w:val="004B0FCE"/>
    <w:rsid w:val="004B1124"/>
    <w:rsid w:val="004B1186"/>
    <w:rsid w:val="004B14FA"/>
    <w:rsid w:val="004B1565"/>
    <w:rsid w:val="004B1687"/>
    <w:rsid w:val="004B1D68"/>
    <w:rsid w:val="004B1FD7"/>
    <w:rsid w:val="004B2764"/>
    <w:rsid w:val="004B2C16"/>
    <w:rsid w:val="004B2C7A"/>
    <w:rsid w:val="004B2EF7"/>
    <w:rsid w:val="004B2FC6"/>
    <w:rsid w:val="004B350E"/>
    <w:rsid w:val="004B3630"/>
    <w:rsid w:val="004B39DB"/>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3F3"/>
    <w:rsid w:val="004B6486"/>
    <w:rsid w:val="004B65C1"/>
    <w:rsid w:val="004B662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371"/>
    <w:rsid w:val="004C03CD"/>
    <w:rsid w:val="004C0490"/>
    <w:rsid w:val="004C0721"/>
    <w:rsid w:val="004C100B"/>
    <w:rsid w:val="004C11AB"/>
    <w:rsid w:val="004C130F"/>
    <w:rsid w:val="004C1409"/>
    <w:rsid w:val="004C147D"/>
    <w:rsid w:val="004C153A"/>
    <w:rsid w:val="004C16AA"/>
    <w:rsid w:val="004C19F0"/>
    <w:rsid w:val="004C1C8D"/>
    <w:rsid w:val="004C1D42"/>
    <w:rsid w:val="004C1D65"/>
    <w:rsid w:val="004C1F3B"/>
    <w:rsid w:val="004C2112"/>
    <w:rsid w:val="004C2120"/>
    <w:rsid w:val="004C228C"/>
    <w:rsid w:val="004C22D4"/>
    <w:rsid w:val="004C22FC"/>
    <w:rsid w:val="004C2840"/>
    <w:rsid w:val="004C288A"/>
    <w:rsid w:val="004C2F53"/>
    <w:rsid w:val="004C2F6C"/>
    <w:rsid w:val="004C306D"/>
    <w:rsid w:val="004C3202"/>
    <w:rsid w:val="004C325D"/>
    <w:rsid w:val="004C3317"/>
    <w:rsid w:val="004C36AD"/>
    <w:rsid w:val="004C36B4"/>
    <w:rsid w:val="004C3976"/>
    <w:rsid w:val="004C39EC"/>
    <w:rsid w:val="004C3AC3"/>
    <w:rsid w:val="004C3D8B"/>
    <w:rsid w:val="004C3DB9"/>
    <w:rsid w:val="004C3DCE"/>
    <w:rsid w:val="004C3F4B"/>
    <w:rsid w:val="004C4082"/>
    <w:rsid w:val="004C40CF"/>
    <w:rsid w:val="004C43B8"/>
    <w:rsid w:val="004C470C"/>
    <w:rsid w:val="004C4864"/>
    <w:rsid w:val="004C486E"/>
    <w:rsid w:val="004C4A2C"/>
    <w:rsid w:val="004C4A30"/>
    <w:rsid w:val="004C4AE7"/>
    <w:rsid w:val="004C4BCC"/>
    <w:rsid w:val="004C4D68"/>
    <w:rsid w:val="004C4D88"/>
    <w:rsid w:val="004C508A"/>
    <w:rsid w:val="004C50AA"/>
    <w:rsid w:val="004C51EB"/>
    <w:rsid w:val="004C5516"/>
    <w:rsid w:val="004C554D"/>
    <w:rsid w:val="004C5695"/>
    <w:rsid w:val="004C5868"/>
    <w:rsid w:val="004C58D8"/>
    <w:rsid w:val="004C59D6"/>
    <w:rsid w:val="004C5A33"/>
    <w:rsid w:val="004C5BB5"/>
    <w:rsid w:val="004C5D01"/>
    <w:rsid w:val="004C5E1F"/>
    <w:rsid w:val="004C5E27"/>
    <w:rsid w:val="004C5E60"/>
    <w:rsid w:val="004C5E8F"/>
    <w:rsid w:val="004C5F7D"/>
    <w:rsid w:val="004C64F6"/>
    <w:rsid w:val="004C6756"/>
    <w:rsid w:val="004C6B5D"/>
    <w:rsid w:val="004C6C22"/>
    <w:rsid w:val="004C704C"/>
    <w:rsid w:val="004C7211"/>
    <w:rsid w:val="004C72E1"/>
    <w:rsid w:val="004C7D3A"/>
    <w:rsid w:val="004D03CC"/>
    <w:rsid w:val="004D053C"/>
    <w:rsid w:val="004D05FF"/>
    <w:rsid w:val="004D074C"/>
    <w:rsid w:val="004D0872"/>
    <w:rsid w:val="004D0C2E"/>
    <w:rsid w:val="004D0CF5"/>
    <w:rsid w:val="004D0E23"/>
    <w:rsid w:val="004D0FEC"/>
    <w:rsid w:val="004D10AC"/>
    <w:rsid w:val="004D10FD"/>
    <w:rsid w:val="004D1154"/>
    <w:rsid w:val="004D1191"/>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52F"/>
    <w:rsid w:val="004D354E"/>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633"/>
    <w:rsid w:val="004D57ED"/>
    <w:rsid w:val="004D598D"/>
    <w:rsid w:val="004D5BC2"/>
    <w:rsid w:val="004D5BE8"/>
    <w:rsid w:val="004D5E46"/>
    <w:rsid w:val="004D64B2"/>
    <w:rsid w:val="004D66C9"/>
    <w:rsid w:val="004D66D9"/>
    <w:rsid w:val="004D6765"/>
    <w:rsid w:val="004D6B60"/>
    <w:rsid w:val="004D6FC1"/>
    <w:rsid w:val="004D7442"/>
    <w:rsid w:val="004D7568"/>
    <w:rsid w:val="004D75A7"/>
    <w:rsid w:val="004D78AA"/>
    <w:rsid w:val="004D79C6"/>
    <w:rsid w:val="004D7DEA"/>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CA9"/>
    <w:rsid w:val="004E1D7B"/>
    <w:rsid w:val="004E1FF2"/>
    <w:rsid w:val="004E2740"/>
    <w:rsid w:val="004E2772"/>
    <w:rsid w:val="004E2DF0"/>
    <w:rsid w:val="004E2EAE"/>
    <w:rsid w:val="004E31D9"/>
    <w:rsid w:val="004E3204"/>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D39"/>
    <w:rsid w:val="004E5E78"/>
    <w:rsid w:val="004E5E8F"/>
    <w:rsid w:val="004E5F14"/>
    <w:rsid w:val="004E6220"/>
    <w:rsid w:val="004E6330"/>
    <w:rsid w:val="004E6474"/>
    <w:rsid w:val="004E6487"/>
    <w:rsid w:val="004E651E"/>
    <w:rsid w:val="004E660C"/>
    <w:rsid w:val="004E6729"/>
    <w:rsid w:val="004E6857"/>
    <w:rsid w:val="004E69DB"/>
    <w:rsid w:val="004E6B94"/>
    <w:rsid w:val="004E6E66"/>
    <w:rsid w:val="004E6FF2"/>
    <w:rsid w:val="004E7095"/>
    <w:rsid w:val="004E70BF"/>
    <w:rsid w:val="004E75E3"/>
    <w:rsid w:val="004E7627"/>
    <w:rsid w:val="004E7761"/>
    <w:rsid w:val="004E79D9"/>
    <w:rsid w:val="004E7A13"/>
    <w:rsid w:val="004E7ADD"/>
    <w:rsid w:val="004E7D16"/>
    <w:rsid w:val="004E7E0B"/>
    <w:rsid w:val="004F0319"/>
    <w:rsid w:val="004F0731"/>
    <w:rsid w:val="004F0747"/>
    <w:rsid w:val="004F0ACD"/>
    <w:rsid w:val="004F0DC1"/>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C23"/>
    <w:rsid w:val="004F2D9A"/>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D17"/>
    <w:rsid w:val="004F4FDD"/>
    <w:rsid w:val="004F50AD"/>
    <w:rsid w:val="004F535D"/>
    <w:rsid w:val="004F54BD"/>
    <w:rsid w:val="004F55EA"/>
    <w:rsid w:val="004F599C"/>
    <w:rsid w:val="004F6066"/>
    <w:rsid w:val="004F61E3"/>
    <w:rsid w:val="004F6349"/>
    <w:rsid w:val="004F639C"/>
    <w:rsid w:val="004F6435"/>
    <w:rsid w:val="004F66C8"/>
    <w:rsid w:val="004F670B"/>
    <w:rsid w:val="004F68E3"/>
    <w:rsid w:val="004F6B36"/>
    <w:rsid w:val="004F6DC6"/>
    <w:rsid w:val="004F6E67"/>
    <w:rsid w:val="004F70B5"/>
    <w:rsid w:val="004F75F7"/>
    <w:rsid w:val="004F7691"/>
    <w:rsid w:val="004F78C8"/>
    <w:rsid w:val="004F7A5D"/>
    <w:rsid w:val="004F7B83"/>
    <w:rsid w:val="004F7D30"/>
    <w:rsid w:val="004F7DAE"/>
    <w:rsid w:val="004F7FC7"/>
    <w:rsid w:val="0050023C"/>
    <w:rsid w:val="00500AC9"/>
    <w:rsid w:val="00500DA9"/>
    <w:rsid w:val="00500FA8"/>
    <w:rsid w:val="005013E9"/>
    <w:rsid w:val="005015E0"/>
    <w:rsid w:val="00501649"/>
    <w:rsid w:val="00501682"/>
    <w:rsid w:val="005016C9"/>
    <w:rsid w:val="005017FC"/>
    <w:rsid w:val="00501942"/>
    <w:rsid w:val="00501BD4"/>
    <w:rsid w:val="00501E75"/>
    <w:rsid w:val="00502355"/>
    <w:rsid w:val="005024F5"/>
    <w:rsid w:val="00502573"/>
    <w:rsid w:val="0050271D"/>
    <w:rsid w:val="00502728"/>
    <w:rsid w:val="00502DA6"/>
    <w:rsid w:val="0050319D"/>
    <w:rsid w:val="005031B4"/>
    <w:rsid w:val="00503228"/>
    <w:rsid w:val="00503327"/>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780"/>
    <w:rsid w:val="0050693D"/>
    <w:rsid w:val="00506B42"/>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76"/>
    <w:rsid w:val="00507EC6"/>
    <w:rsid w:val="005100D9"/>
    <w:rsid w:val="005104C5"/>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6EA"/>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9B6"/>
    <w:rsid w:val="00516B04"/>
    <w:rsid w:val="00516F93"/>
    <w:rsid w:val="00517139"/>
    <w:rsid w:val="0051713F"/>
    <w:rsid w:val="00517299"/>
    <w:rsid w:val="00517441"/>
    <w:rsid w:val="005176F7"/>
    <w:rsid w:val="005177DB"/>
    <w:rsid w:val="00517871"/>
    <w:rsid w:val="005178F0"/>
    <w:rsid w:val="00517A3D"/>
    <w:rsid w:val="00517A74"/>
    <w:rsid w:val="00517EE4"/>
    <w:rsid w:val="00517F52"/>
    <w:rsid w:val="0052017B"/>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58B"/>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8E"/>
    <w:rsid w:val="005262A1"/>
    <w:rsid w:val="005264CD"/>
    <w:rsid w:val="005266BF"/>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A24"/>
    <w:rsid w:val="00534BBD"/>
    <w:rsid w:val="00534BD4"/>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BD7"/>
    <w:rsid w:val="00540C88"/>
    <w:rsid w:val="00540D31"/>
    <w:rsid w:val="00540D35"/>
    <w:rsid w:val="00540D81"/>
    <w:rsid w:val="00540D97"/>
    <w:rsid w:val="00540EBE"/>
    <w:rsid w:val="00540F79"/>
    <w:rsid w:val="00541207"/>
    <w:rsid w:val="0054132D"/>
    <w:rsid w:val="00541555"/>
    <w:rsid w:val="00541AD3"/>
    <w:rsid w:val="00541B36"/>
    <w:rsid w:val="00541CD1"/>
    <w:rsid w:val="00541DC9"/>
    <w:rsid w:val="00541E06"/>
    <w:rsid w:val="00541FCC"/>
    <w:rsid w:val="00542053"/>
    <w:rsid w:val="0054209A"/>
    <w:rsid w:val="005420E4"/>
    <w:rsid w:val="005421B1"/>
    <w:rsid w:val="00542212"/>
    <w:rsid w:val="005423A5"/>
    <w:rsid w:val="0054284A"/>
    <w:rsid w:val="005429E1"/>
    <w:rsid w:val="00542B25"/>
    <w:rsid w:val="005433E9"/>
    <w:rsid w:val="00543555"/>
    <w:rsid w:val="0054384C"/>
    <w:rsid w:val="00543983"/>
    <w:rsid w:val="00543AC9"/>
    <w:rsid w:val="00543AE6"/>
    <w:rsid w:val="00543B25"/>
    <w:rsid w:val="00543BCD"/>
    <w:rsid w:val="00543DE6"/>
    <w:rsid w:val="00543DF4"/>
    <w:rsid w:val="00543F80"/>
    <w:rsid w:val="0054402D"/>
    <w:rsid w:val="00544325"/>
    <w:rsid w:val="005446DB"/>
    <w:rsid w:val="0054492F"/>
    <w:rsid w:val="00544BD5"/>
    <w:rsid w:val="00544C4D"/>
    <w:rsid w:val="00545039"/>
    <w:rsid w:val="00545139"/>
    <w:rsid w:val="00545171"/>
    <w:rsid w:val="00545239"/>
    <w:rsid w:val="00545306"/>
    <w:rsid w:val="0054552D"/>
    <w:rsid w:val="00545B6F"/>
    <w:rsid w:val="00545B72"/>
    <w:rsid w:val="00545D40"/>
    <w:rsid w:val="00545DCC"/>
    <w:rsid w:val="00545EE0"/>
    <w:rsid w:val="00545EE7"/>
    <w:rsid w:val="00545FEA"/>
    <w:rsid w:val="00546087"/>
    <w:rsid w:val="005462C8"/>
    <w:rsid w:val="0054637F"/>
    <w:rsid w:val="00546442"/>
    <w:rsid w:val="005465AC"/>
    <w:rsid w:val="00546609"/>
    <w:rsid w:val="005466CB"/>
    <w:rsid w:val="005467F8"/>
    <w:rsid w:val="0054685F"/>
    <w:rsid w:val="00546860"/>
    <w:rsid w:val="00546C93"/>
    <w:rsid w:val="00547183"/>
    <w:rsid w:val="005471CF"/>
    <w:rsid w:val="0054720F"/>
    <w:rsid w:val="005473EF"/>
    <w:rsid w:val="00547524"/>
    <w:rsid w:val="005476CA"/>
    <w:rsid w:val="005478D7"/>
    <w:rsid w:val="00547F9C"/>
    <w:rsid w:val="005501FB"/>
    <w:rsid w:val="005503D2"/>
    <w:rsid w:val="005505D4"/>
    <w:rsid w:val="005506ED"/>
    <w:rsid w:val="00550771"/>
    <w:rsid w:val="005507E7"/>
    <w:rsid w:val="0055095F"/>
    <w:rsid w:val="005509B9"/>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D99"/>
    <w:rsid w:val="00553E7F"/>
    <w:rsid w:val="00553FC8"/>
    <w:rsid w:val="00553FF7"/>
    <w:rsid w:val="00554519"/>
    <w:rsid w:val="00554554"/>
    <w:rsid w:val="00554643"/>
    <w:rsid w:val="005546F8"/>
    <w:rsid w:val="00554735"/>
    <w:rsid w:val="005548AC"/>
    <w:rsid w:val="00554FE7"/>
    <w:rsid w:val="0055508D"/>
    <w:rsid w:val="005550F2"/>
    <w:rsid w:val="00555341"/>
    <w:rsid w:val="005559CB"/>
    <w:rsid w:val="00555A56"/>
    <w:rsid w:val="00555AC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DB7"/>
    <w:rsid w:val="00556E9E"/>
    <w:rsid w:val="005571A1"/>
    <w:rsid w:val="00557648"/>
    <w:rsid w:val="005577C4"/>
    <w:rsid w:val="00557D30"/>
    <w:rsid w:val="00560344"/>
    <w:rsid w:val="005603D9"/>
    <w:rsid w:val="00560420"/>
    <w:rsid w:val="0056044E"/>
    <w:rsid w:val="0056055F"/>
    <w:rsid w:val="005607CA"/>
    <w:rsid w:val="005608DB"/>
    <w:rsid w:val="00561001"/>
    <w:rsid w:val="00561038"/>
    <w:rsid w:val="00561075"/>
    <w:rsid w:val="005611A8"/>
    <w:rsid w:val="00561329"/>
    <w:rsid w:val="00561446"/>
    <w:rsid w:val="0056153B"/>
    <w:rsid w:val="005617D0"/>
    <w:rsid w:val="005618F1"/>
    <w:rsid w:val="00561AC8"/>
    <w:rsid w:val="00561AD8"/>
    <w:rsid w:val="00561C44"/>
    <w:rsid w:val="00561E31"/>
    <w:rsid w:val="00561FAD"/>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0"/>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4C2"/>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707"/>
    <w:rsid w:val="00570896"/>
    <w:rsid w:val="005708B3"/>
    <w:rsid w:val="00571152"/>
    <w:rsid w:val="005715E8"/>
    <w:rsid w:val="005717D2"/>
    <w:rsid w:val="00571987"/>
    <w:rsid w:val="00571C53"/>
    <w:rsid w:val="00571C5B"/>
    <w:rsid w:val="00571FD3"/>
    <w:rsid w:val="00572088"/>
    <w:rsid w:val="0057212C"/>
    <w:rsid w:val="00572859"/>
    <w:rsid w:val="00572941"/>
    <w:rsid w:val="00572B74"/>
    <w:rsid w:val="00572CB1"/>
    <w:rsid w:val="00572DEE"/>
    <w:rsid w:val="0057335A"/>
    <w:rsid w:val="005735DF"/>
    <w:rsid w:val="00573815"/>
    <w:rsid w:val="0057393D"/>
    <w:rsid w:val="00573978"/>
    <w:rsid w:val="00573AC3"/>
    <w:rsid w:val="00573C9E"/>
    <w:rsid w:val="00573E28"/>
    <w:rsid w:val="005740C0"/>
    <w:rsid w:val="00574280"/>
    <w:rsid w:val="005742E1"/>
    <w:rsid w:val="00574424"/>
    <w:rsid w:val="005744BF"/>
    <w:rsid w:val="00574529"/>
    <w:rsid w:val="0057456B"/>
    <w:rsid w:val="00574C88"/>
    <w:rsid w:val="00574F21"/>
    <w:rsid w:val="00575315"/>
    <w:rsid w:val="00575378"/>
    <w:rsid w:val="00575506"/>
    <w:rsid w:val="00575AEB"/>
    <w:rsid w:val="00575E57"/>
    <w:rsid w:val="0057601E"/>
    <w:rsid w:val="00576180"/>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3C7"/>
    <w:rsid w:val="0057777F"/>
    <w:rsid w:val="005779CF"/>
    <w:rsid w:val="00577BEE"/>
    <w:rsid w:val="00577DDD"/>
    <w:rsid w:val="00577F0C"/>
    <w:rsid w:val="00577F3D"/>
    <w:rsid w:val="00577FA5"/>
    <w:rsid w:val="00580073"/>
    <w:rsid w:val="00580602"/>
    <w:rsid w:val="00580669"/>
    <w:rsid w:val="00580B68"/>
    <w:rsid w:val="00580D5A"/>
    <w:rsid w:val="00580F2F"/>
    <w:rsid w:val="00581066"/>
    <w:rsid w:val="005811FF"/>
    <w:rsid w:val="00581413"/>
    <w:rsid w:val="00581442"/>
    <w:rsid w:val="00581498"/>
    <w:rsid w:val="0058159F"/>
    <w:rsid w:val="005815A1"/>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42B"/>
    <w:rsid w:val="0058361D"/>
    <w:rsid w:val="005839EF"/>
    <w:rsid w:val="00583E24"/>
    <w:rsid w:val="00584267"/>
    <w:rsid w:val="00584368"/>
    <w:rsid w:val="005845B8"/>
    <w:rsid w:val="005845EF"/>
    <w:rsid w:val="00584865"/>
    <w:rsid w:val="00584D9D"/>
    <w:rsid w:val="00584EAC"/>
    <w:rsid w:val="00585427"/>
    <w:rsid w:val="0058555E"/>
    <w:rsid w:val="0058561C"/>
    <w:rsid w:val="00585846"/>
    <w:rsid w:val="00585CE1"/>
    <w:rsid w:val="00585D4C"/>
    <w:rsid w:val="00585D87"/>
    <w:rsid w:val="00585DE7"/>
    <w:rsid w:val="00585ECD"/>
    <w:rsid w:val="005863A7"/>
    <w:rsid w:val="005864DF"/>
    <w:rsid w:val="00586571"/>
    <w:rsid w:val="005865DE"/>
    <w:rsid w:val="005865EA"/>
    <w:rsid w:val="005866D5"/>
    <w:rsid w:val="00586D23"/>
    <w:rsid w:val="00586D58"/>
    <w:rsid w:val="00586D72"/>
    <w:rsid w:val="00586F1B"/>
    <w:rsid w:val="0058716D"/>
    <w:rsid w:val="0058773E"/>
    <w:rsid w:val="00587A6C"/>
    <w:rsid w:val="005900BF"/>
    <w:rsid w:val="005902D0"/>
    <w:rsid w:val="005907FE"/>
    <w:rsid w:val="00590CA6"/>
    <w:rsid w:val="00590CB2"/>
    <w:rsid w:val="00590CFA"/>
    <w:rsid w:val="00590F63"/>
    <w:rsid w:val="005915BE"/>
    <w:rsid w:val="005917C0"/>
    <w:rsid w:val="0059195C"/>
    <w:rsid w:val="00591A04"/>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05A"/>
    <w:rsid w:val="00594208"/>
    <w:rsid w:val="00594506"/>
    <w:rsid w:val="00594523"/>
    <w:rsid w:val="005947B9"/>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CC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9F7"/>
    <w:rsid w:val="005A2F44"/>
    <w:rsid w:val="005A2F45"/>
    <w:rsid w:val="005A2F85"/>
    <w:rsid w:val="005A307E"/>
    <w:rsid w:val="005A30B5"/>
    <w:rsid w:val="005A36BC"/>
    <w:rsid w:val="005A37E5"/>
    <w:rsid w:val="005A3933"/>
    <w:rsid w:val="005A3B89"/>
    <w:rsid w:val="005A3DBA"/>
    <w:rsid w:val="005A3EAD"/>
    <w:rsid w:val="005A3EC6"/>
    <w:rsid w:val="005A44AE"/>
    <w:rsid w:val="005A44D3"/>
    <w:rsid w:val="005A4A2A"/>
    <w:rsid w:val="005A4EB2"/>
    <w:rsid w:val="005A4FD3"/>
    <w:rsid w:val="005A523A"/>
    <w:rsid w:val="005A532E"/>
    <w:rsid w:val="005A536D"/>
    <w:rsid w:val="005A53AD"/>
    <w:rsid w:val="005A5532"/>
    <w:rsid w:val="005A5855"/>
    <w:rsid w:val="005A594D"/>
    <w:rsid w:val="005A5953"/>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0E7"/>
    <w:rsid w:val="005B02E6"/>
    <w:rsid w:val="005B03D8"/>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AC6"/>
    <w:rsid w:val="005B3C99"/>
    <w:rsid w:val="005B3E7B"/>
    <w:rsid w:val="005B3EFF"/>
    <w:rsid w:val="005B404D"/>
    <w:rsid w:val="005B40C9"/>
    <w:rsid w:val="005B4888"/>
    <w:rsid w:val="005B49B4"/>
    <w:rsid w:val="005B4B6C"/>
    <w:rsid w:val="005B4D05"/>
    <w:rsid w:val="005B5189"/>
    <w:rsid w:val="005B57CD"/>
    <w:rsid w:val="005B58F8"/>
    <w:rsid w:val="005B5AEA"/>
    <w:rsid w:val="005B5BFF"/>
    <w:rsid w:val="005B5F99"/>
    <w:rsid w:val="005B5FF2"/>
    <w:rsid w:val="005B603E"/>
    <w:rsid w:val="005B60C4"/>
    <w:rsid w:val="005B60D3"/>
    <w:rsid w:val="005B65A2"/>
    <w:rsid w:val="005B670A"/>
    <w:rsid w:val="005B6903"/>
    <w:rsid w:val="005B6996"/>
    <w:rsid w:val="005B69B6"/>
    <w:rsid w:val="005B6A92"/>
    <w:rsid w:val="005B6B20"/>
    <w:rsid w:val="005B6BD4"/>
    <w:rsid w:val="005B6C58"/>
    <w:rsid w:val="005B6DDD"/>
    <w:rsid w:val="005B6E54"/>
    <w:rsid w:val="005B7074"/>
    <w:rsid w:val="005B71B7"/>
    <w:rsid w:val="005B7328"/>
    <w:rsid w:val="005B752A"/>
    <w:rsid w:val="005B752E"/>
    <w:rsid w:val="005B7BBC"/>
    <w:rsid w:val="005C0398"/>
    <w:rsid w:val="005C04CD"/>
    <w:rsid w:val="005C0C8D"/>
    <w:rsid w:val="005C0D6F"/>
    <w:rsid w:val="005C0E2C"/>
    <w:rsid w:val="005C0F0C"/>
    <w:rsid w:val="005C11B0"/>
    <w:rsid w:val="005C129A"/>
    <w:rsid w:val="005C17B9"/>
    <w:rsid w:val="005C1913"/>
    <w:rsid w:val="005C1B09"/>
    <w:rsid w:val="005C1E5C"/>
    <w:rsid w:val="005C1E93"/>
    <w:rsid w:val="005C21A6"/>
    <w:rsid w:val="005C2210"/>
    <w:rsid w:val="005C239D"/>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4F4B"/>
    <w:rsid w:val="005C54D3"/>
    <w:rsid w:val="005C5540"/>
    <w:rsid w:val="005C5719"/>
    <w:rsid w:val="005C58BB"/>
    <w:rsid w:val="005C5911"/>
    <w:rsid w:val="005C5944"/>
    <w:rsid w:val="005C5A89"/>
    <w:rsid w:val="005C5B2A"/>
    <w:rsid w:val="005C5E5C"/>
    <w:rsid w:val="005C63CC"/>
    <w:rsid w:val="005C65F6"/>
    <w:rsid w:val="005C668A"/>
    <w:rsid w:val="005C68F2"/>
    <w:rsid w:val="005C6B27"/>
    <w:rsid w:val="005C6B7E"/>
    <w:rsid w:val="005C6BF1"/>
    <w:rsid w:val="005C710E"/>
    <w:rsid w:val="005C737F"/>
    <w:rsid w:val="005C7384"/>
    <w:rsid w:val="005C73EA"/>
    <w:rsid w:val="005C740B"/>
    <w:rsid w:val="005C76C6"/>
    <w:rsid w:val="005C7811"/>
    <w:rsid w:val="005C7C45"/>
    <w:rsid w:val="005C7F60"/>
    <w:rsid w:val="005D0079"/>
    <w:rsid w:val="005D02EF"/>
    <w:rsid w:val="005D032D"/>
    <w:rsid w:val="005D0449"/>
    <w:rsid w:val="005D0456"/>
    <w:rsid w:val="005D04B0"/>
    <w:rsid w:val="005D0859"/>
    <w:rsid w:val="005D088A"/>
    <w:rsid w:val="005D0980"/>
    <w:rsid w:val="005D10FC"/>
    <w:rsid w:val="005D15F9"/>
    <w:rsid w:val="005D1785"/>
    <w:rsid w:val="005D1BD8"/>
    <w:rsid w:val="005D1CE6"/>
    <w:rsid w:val="005D23E7"/>
    <w:rsid w:val="005D24D1"/>
    <w:rsid w:val="005D2975"/>
    <w:rsid w:val="005D2AB7"/>
    <w:rsid w:val="005D2CCA"/>
    <w:rsid w:val="005D2DE0"/>
    <w:rsid w:val="005D2FFC"/>
    <w:rsid w:val="005D3143"/>
    <w:rsid w:val="005D336D"/>
    <w:rsid w:val="005D33A1"/>
    <w:rsid w:val="005D35FD"/>
    <w:rsid w:val="005D362F"/>
    <w:rsid w:val="005D36A2"/>
    <w:rsid w:val="005D3772"/>
    <w:rsid w:val="005D3842"/>
    <w:rsid w:val="005D396D"/>
    <w:rsid w:val="005D3A16"/>
    <w:rsid w:val="005D3BC1"/>
    <w:rsid w:val="005D3D2C"/>
    <w:rsid w:val="005D3F21"/>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117"/>
    <w:rsid w:val="005D7261"/>
    <w:rsid w:val="005D72C9"/>
    <w:rsid w:val="005D770B"/>
    <w:rsid w:val="005D7A07"/>
    <w:rsid w:val="005D7C2A"/>
    <w:rsid w:val="005D7CC7"/>
    <w:rsid w:val="005D7DA9"/>
    <w:rsid w:val="005D7DAC"/>
    <w:rsid w:val="005E00A6"/>
    <w:rsid w:val="005E019B"/>
    <w:rsid w:val="005E0B26"/>
    <w:rsid w:val="005E1590"/>
    <w:rsid w:val="005E1749"/>
    <w:rsid w:val="005E1848"/>
    <w:rsid w:val="005E1921"/>
    <w:rsid w:val="005E1C8A"/>
    <w:rsid w:val="005E1DA5"/>
    <w:rsid w:val="005E202B"/>
    <w:rsid w:val="005E222A"/>
    <w:rsid w:val="005E23B5"/>
    <w:rsid w:val="005E23E1"/>
    <w:rsid w:val="005E291A"/>
    <w:rsid w:val="005E2B37"/>
    <w:rsid w:val="005E33C3"/>
    <w:rsid w:val="005E3679"/>
    <w:rsid w:val="005E38EB"/>
    <w:rsid w:val="005E3A8C"/>
    <w:rsid w:val="005E3DB2"/>
    <w:rsid w:val="005E4759"/>
    <w:rsid w:val="005E47C2"/>
    <w:rsid w:val="005E4A56"/>
    <w:rsid w:val="005E4BD8"/>
    <w:rsid w:val="005E4F07"/>
    <w:rsid w:val="005E4F2D"/>
    <w:rsid w:val="005E4FE1"/>
    <w:rsid w:val="005E5327"/>
    <w:rsid w:val="005E5605"/>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801"/>
    <w:rsid w:val="005F0BFE"/>
    <w:rsid w:val="005F0F57"/>
    <w:rsid w:val="005F0FC1"/>
    <w:rsid w:val="005F0FD2"/>
    <w:rsid w:val="005F173C"/>
    <w:rsid w:val="005F18D0"/>
    <w:rsid w:val="005F1AED"/>
    <w:rsid w:val="005F1D62"/>
    <w:rsid w:val="005F215B"/>
    <w:rsid w:val="005F22AF"/>
    <w:rsid w:val="005F25BE"/>
    <w:rsid w:val="005F2711"/>
    <w:rsid w:val="005F2739"/>
    <w:rsid w:val="005F27CD"/>
    <w:rsid w:val="005F2AB4"/>
    <w:rsid w:val="005F2BAE"/>
    <w:rsid w:val="005F2D37"/>
    <w:rsid w:val="005F311F"/>
    <w:rsid w:val="005F3171"/>
    <w:rsid w:val="005F31BB"/>
    <w:rsid w:val="005F32DD"/>
    <w:rsid w:val="005F36BE"/>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1F0"/>
    <w:rsid w:val="005F57E0"/>
    <w:rsid w:val="005F58FD"/>
    <w:rsid w:val="005F599E"/>
    <w:rsid w:val="005F59C1"/>
    <w:rsid w:val="005F5B2D"/>
    <w:rsid w:val="005F5C83"/>
    <w:rsid w:val="005F5ED6"/>
    <w:rsid w:val="005F5FE6"/>
    <w:rsid w:val="005F645C"/>
    <w:rsid w:val="005F64D4"/>
    <w:rsid w:val="005F699D"/>
    <w:rsid w:val="005F6C2C"/>
    <w:rsid w:val="005F6E40"/>
    <w:rsid w:val="005F6EFA"/>
    <w:rsid w:val="005F7011"/>
    <w:rsid w:val="005F70F0"/>
    <w:rsid w:val="005F71A9"/>
    <w:rsid w:val="005F72F4"/>
    <w:rsid w:val="005F741B"/>
    <w:rsid w:val="005F74FA"/>
    <w:rsid w:val="005F7602"/>
    <w:rsid w:val="005F7682"/>
    <w:rsid w:val="005F7CBF"/>
    <w:rsid w:val="005F7E87"/>
    <w:rsid w:val="005F7E9E"/>
    <w:rsid w:val="005F7ED5"/>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963"/>
    <w:rsid w:val="00603A39"/>
    <w:rsid w:val="006043FC"/>
    <w:rsid w:val="006046C4"/>
    <w:rsid w:val="00604734"/>
    <w:rsid w:val="00604770"/>
    <w:rsid w:val="00604AD6"/>
    <w:rsid w:val="00604D09"/>
    <w:rsid w:val="00604EDD"/>
    <w:rsid w:val="00604FBF"/>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EA5"/>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7B1"/>
    <w:rsid w:val="00615B17"/>
    <w:rsid w:val="00615E7C"/>
    <w:rsid w:val="00615FA2"/>
    <w:rsid w:val="00616057"/>
    <w:rsid w:val="0061636D"/>
    <w:rsid w:val="00616373"/>
    <w:rsid w:val="006168DF"/>
    <w:rsid w:val="0061698F"/>
    <w:rsid w:val="00616A4C"/>
    <w:rsid w:val="00616B70"/>
    <w:rsid w:val="006174C4"/>
    <w:rsid w:val="00617613"/>
    <w:rsid w:val="0061776F"/>
    <w:rsid w:val="00617B36"/>
    <w:rsid w:val="00620093"/>
    <w:rsid w:val="006202D7"/>
    <w:rsid w:val="006203E2"/>
    <w:rsid w:val="00620414"/>
    <w:rsid w:val="0062047E"/>
    <w:rsid w:val="0062051B"/>
    <w:rsid w:val="006206D0"/>
    <w:rsid w:val="006207AE"/>
    <w:rsid w:val="00620976"/>
    <w:rsid w:val="00620AAA"/>
    <w:rsid w:val="00620D10"/>
    <w:rsid w:val="00620E82"/>
    <w:rsid w:val="00620EC4"/>
    <w:rsid w:val="0062105C"/>
    <w:rsid w:val="00621521"/>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114"/>
    <w:rsid w:val="00623180"/>
    <w:rsid w:val="0062330E"/>
    <w:rsid w:val="00623327"/>
    <w:rsid w:val="0062335C"/>
    <w:rsid w:val="006234BB"/>
    <w:rsid w:val="006236F1"/>
    <w:rsid w:val="00623B86"/>
    <w:rsid w:val="00623E9D"/>
    <w:rsid w:val="00624010"/>
    <w:rsid w:val="006242E3"/>
    <w:rsid w:val="006242F5"/>
    <w:rsid w:val="006247DF"/>
    <w:rsid w:val="00624804"/>
    <w:rsid w:val="00624919"/>
    <w:rsid w:val="006249AF"/>
    <w:rsid w:val="00624A21"/>
    <w:rsid w:val="00624AAA"/>
    <w:rsid w:val="00624BC5"/>
    <w:rsid w:val="0062528A"/>
    <w:rsid w:val="006252D0"/>
    <w:rsid w:val="00625701"/>
    <w:rsid w:val="006259FA"/>
    <w:rsid w:val="00625AFD"/>
    <w:rsid w:val="00625E11"/>
    <w:rsid w:val="00626043"/>
    <w:rsid w:val="0062606A"/>
    <w:rsid w:val="006264C7"/>
    <w:rsid w:val="00626513"/>
    <w:rsid w:val="00626622"/>
    <w:rsid w:val="00626664"/>
    <w:rsid w:val="00626959"/>
    <w:rsid w:val="006269EF"/>
    <w:rsid w:val="006269F6"/>
    <w:rsid w:val="00626DBE"/>
    <w:rsid w:val="0062711B"/>
    <w:rsid w:val="006274B7"/>
    <w:rsid w:val="0062759C"/>
    <w:rsid w:val="006275B6"/>
    <w:rsid w:val="0062791B"/>
    <w:rsid w:val="00627D8F"/>
    <w:rsid w:val="00627E72"/>
    <w:rsid w:val="00627EA6"/>
    <w:rsid w:val="00630146"/>
    <w:rsid w:val="0063019B"/>
    <w:rsid w:val="00630254"/>
    <w:rsid w:val="00630272"/>
    <w:rsid w:val="006302E5"/>
    <w:rsid w:val="00630341"/>
    <w:rsid w:val="006307CB"/>
    <w:rsid w:val="00630865"/>
    <w:rsid w:val="006309C3"/>
    <w:rsid w:val="00630B19"/>
    <w:rsid w:val="00630BC2"/>
    <w:rsid w:val="00630BFE"/>
    <w:rsid w:val="00630C59"/>
    <w:rsid w:val="00630D89"/>
    <w:rsid w:val="00630FE0"/>
    <w:rsid w:val="00631034"/>
    <w:rsid w:val="00631229"/>
    <w:rsid w:val="00631401"/>
    <w:rsid w:val="00631426"/>
    <w:rsid w:val="006314B3"/>
    <w:rsid w:val="006315D7"/>
    <w:rsid w:val="006317F0"/>
    <w:rsid w:val="006318C2"/>
    <w:rsid w:val="00631A0C"/>
    <w:rsid w:val="00631A74"/>
    <w:rsid w:val="00631C70"/>
    <w:rsid w:val="00631D94"/>
    <w:rsid w:val="00631EB7"/>
    <w:rsid w:val="00631F57"/>
    <w:rsid w:val="00631F8E"/>
    <w:rsid w:val="00631FC4"/>
    <w:rsid w:val="006322A4"/>
    <w:rsid w:val="006322FC"/>
    <w:rsid w:val="006323A0"/>
    <w:rsid w:val="006325B9"/>
    <w:rsid w:val="0063276B"/>
    <w:rsid w:val="006327B3"/>
    <w:rsid w:val="00632A0D"/>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428"/>
    <w:rsid w:val="00635674"/>
    <w:rsid w:val="00635835"/>
    <w:rsid w:val="00635F69"/>
    <w:rsid w:val="00636142"/>
    <w:rsid w:val="006362B2"/>
    <w:rsid w:val="00636440"/>
    <w:rsid w:val="0063675D"/>
    <w:rsid w:val="00636942"/>
    <w:rsid w:val="006369C7"/>
    <w:rsid w:val="00636A13"/>
    <w:rsid w:val="00636A1E"/>
    <w:rsid w:val="00636AB1"/>
    <w:rsid w:val="00636BC1"/>
    <w:rsid w:val="00636BE3"/>
    <w:rsid w:val="00636C82"/>
    <w:rsid w:val="00637207"/>
    <w:rsid w:val="00637418"/>
    <w:rsid w:val="006374C1"/>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0E"/>
    <w:rsid w:val="00641C6D"/>
    <w:rsid w:val="00641D8F"/>
    <w:rsid w:val="00641DD1"/>
    <w:rsid w:val="00641FC0"/>
    <w:rsid w:val="0064202D"/>
    <w:rsid w:val="006420BA"/>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78B"/>
    <w:rsid w:val="006448CC"/>
    <w:rsid w:val="00644CBB"/>
    <w:rsid w:val="00644D6E"/>
    <w:rsid w:val="00644EBD"/>
    <w:rsid w:val="00645218"/>
    <w:rsid w:val="0064573F"/>
    <w:rsid w:val="00645AE4"/>
    <w:rsid w:val="006463DB"/>
    <w:rsid w:val="006464DA"/>
    <w:rsid w:val="006465F8"/>
    <w:rsid w:val="0064695D"/>
    <w:rsid w:val="00646A70"/>
    <w:rsid w:val="00646C62"/>
    <w:rsid w:val="00646DDB"/>
    <w:rsid w:val="00646DFA"/>
    <w:rsid w:val="00646E0D"/>
    <w:rsid w:val="00646F0D"/>
    <w:rsid w:val="00646F40"/>
    <w:rsid w:val="0064725E"/>
    <w:rsid w:val="0064736E"/>
    <w:rsid w:val="006473D3"/>
    <w:rsid w:val="00647402"/>
    <w:rsid w:val="00647B99"/>
    <w:rsid w:val="00647D06"/>
    <w:rsid w:val="00647E7B"/>
    <w:rsid w:val="00647ED1"/>
    <w:rsid w:val="00650002"/>
    <w:rsid w:val="006500B8"/>
    <w:rsid w:val="006502FC"/>
    <w:rsid w:val="00650441"/>
    <w:rsid w:val="00650683"/>
    <w:rsid w:val="00650A9A"/>
    <w:rsid w:val="00650D13"/>
    <w:rsid w:val="00650D42"/>
    <w:rsid w:val="00650F31"/>
    <w:rsid w:val="00650F5C"/>
    <w:rsid w:val="00651076"/>
    <w:rsid w:val="00651223"/>
    <w:rsid w:val="0065133D"/>
    <w:rsid w:val="00651373"/>
    <w:rsid w:val="00651490"/>
    <w:rsid w:val="006514DB"/>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69D"/>
    <w:rsid w:val="006556CF"/>
    <w:rsid w:val="0065577D"/>
    <w:rsid w:val="006557DC"/>
    <w:rsid w:val="006559E7"/>
    <w:rsid w:val="00655F67"/>
    <w:rsid w:val="00656011"/>
    <w:rsid w:val="006563B4"/>
    <w:rsid w:val="006567CE"/>
    <w:rsid w:val="00656ACD"/>
    <w:rsid w:val="006574DF"/>
    <w:rsid w:val="006575D0"/>
    <w:rsid w:val="006579FD"/>
    <w:rsid w:val="00657D0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0EF8"/>
    <w:rsid w:val="00661191"/>
    <w:rsid w:val="0066119E"/>
    <w:rsid w:val="006612D1"/>
    <w:rsid w:val="0066138A"/>
    <w:rsid w:val="0066157A"/>
    <w:rsid w:val="0066162F"/>
    <w:rsid w:val="006618D4"/>
    <w:rsid w:val="006619A4"/>
    <w:rsid w:val="006621EF"/>
    <w:rsid w:val="0066247E"/>
    <w:rsid w:val="00662533"/>
    <w:rsid w:val="00662727"/>
    <w:rsid w:val="00662898"/>
    <w:rsid w:val="00662A95"/>
    <w:rsid w:val="00662E68"/>
    <w:rsid w:val="00662EB7"/>
    <w:rsid w:val="00662EE5"/>
    <w:rsid w:val="006630CB"/>
    <w:rsid w:val="0066327C"/>
    <w:rsid w:val="0066354E"/>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9C6"/>
    <w:rsid w:val="00665A65"/>
    <w:rsid w:val="00665B53"/>
    <w:rsid w:val="00665C03"/>
    <w:rsid w:val="00665C67"/>
    <w:rsid w:val="00665EC5"/>
    <w:rsid w:val="00666097"/>
    <w:rsid w:val="00666355"/>
    <w:rsid w:val="00666528"/>
    <w:rsid w:val="0066659E"/>
    <w:rsid w:val="00666962"/>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B0F"/>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288"/>
    <w:rsid w:val="006733C6"/>
    <w:rsid w:val="00673687"/>
    <w:rsid w:val="006739BF"/>
    <w:rsid w:val="00673BA1"/>
    <w:rsid w:val="00673BE3"/>
    <w:rsid w:val="00673E19"/>
    <w:rsid w:val="00674596"/>
    <w:rsid w:val="006747E7"/>
    <w:rsid w:val="00674BD5"/>
    <w:rsid w:val="00674DAE"/>
    <w:rsid w:val="00674F95"/>
    <w:rsid w:val="00675379"/>
    <w:rsid w:val="0067561D"/>
    <w:rsid w:val="00675628"/>
    <w:rsid w:val="00675B79"/>
    <w:rsid w:val="00675C31"/>
    <w:rsid w:val="00676065"/>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25D"/>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2A"/>
    <w:rsid w:val="006875FB"/>
    <w:rsid w:val="0068768A"/>
    <w:rsid w:val="00687AFD"/>
    <w:rsid w:val="00687C7A"/>
    <w:rsid w:val="00687D9F"/>
    <w:rsid w:val="006901A5"/>
    <w:rsid w:val="006902AC"/>
    <w:rsid w:val="0069030C"/>
    <w:rsid w:val="0069032C"/>
    <w:rsid w:val="00690509"/>
    <w:rsid w:val="006906AD"/>
    <w:rsid w:val="00690722"/>
    <w:rsid w:val="0069072C"/>
    <w:rsid w:val="00690740"/>
    <w:rsid w:val="00690C47"/>
    <w:rsid w:val="00690D91"/>
    <w:rsid w:val="00691377"/>
    <w:rsid w:val="00691490"/>
    <w:rsid w:val="0069155C"/>
    <w:rsid w:val="006917AE"/>
    <w:rsid w:val="00691B47"/>
    <w:rsid w:val="00691B6D"/>
    <w:rsid w:val="00691C82"/>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047"/>
    <w:rsid w:val="00694568"/>
    <w:rsid w:val="00694572"/>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5DB7"/>
    <w:rsid w:val="00695E83"/>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BDA"/>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2B7"/>
    <w:rsid w:val="006A440E"/>
    <w:rsid w:val="006A4510"/>
    <w:rsid w:val="006A4732"/>
    <w:rsid w:val="006A474E"/>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334"/>
    <w:rsid w:val="006B1449"/>
    <w:rsid w:val="006B179D"/>
    <w:rsid w:val="006B1815"/>
    <w:rsid w:val="006B1A58"/>
    <w:rsid w:val="006B1ACC"/>
    <w:rsid w:val="006B1C2B"/>
    <w:rsid w:val="006B1C4E"/>
    <w:rsid w:val="006B1E1A"/>
    <w:rsid w:val="006B1E6E"/>
    <w:rsid w:val="006B1F37"/>
    <w:rsid w:val="006B1FAF"/>
    <w:rsid w:val="006B23E0"/>
    <w:rsid w:val="006B24F7"/>
    <w:rsid w:val="006B260E"/>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4FD1"/>
    <w:rsid w:val="006B53C2"/>
    <w:rsid w:val="006B5575"/>
    <w:rsid w:val="006B5619"/>
    <w:rsid w:val="006B5624"/>
    <w:rsid w:val="006B58D8"/>
    <w:rsid w:val="006B5A24"/>
    <w:rsid w:val="006B6020"/>
    <w:rsid w:val="006B6074"/>
    <w:rsid w:val="006B61BE"/>
    <w:rsid w:val="006B624F"/>
    <w:rsid w:val="006B627F"/>
    <w:rsid w:val="006B63E5"/>
    <w:rsid w:val="006B666A"/>
    <w:rsid w:val="006B69B8"/>
    <w:rsid w:val="006B6A84"/>
    <w:rsid w:val="006B6AEC"/>
    <w:rsid w:val="006B6BDF"/>
    <w:rsid w:val="006B6CF2"/>
    <w:rsid w:val="006B6D19"/>
    <w:rsid w:val="006B6D74"/>
    <w:rsid w:val="006B728E"/>
    <w:rsid w:val="006B7548"/>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14"/>
    <w:rsid w:val="006C0B2D"/>
    <w:rsid w:val="006C0C5B"/>
    <w:rsid w:val="006C0CC4"/>
    <w:rsid w:val="006C1241"/>
    <w:rsid w:val="006C128B"/>
    <w:rsid w:val="006C1325"/>
    <w:rsid w:val="006C15D6"/>
    <w:rsid w:val="006C1619"/>
    <w:rsid w:val="006C1723"/>
    <w:rsid w:val="006C17C0"/>
    <w:rsid w:val="006C181C"/>
    <w:rsid w:val="006C1989"/>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2C2"/>
    <w:rsid w:val="006C44AB"/>
    <w:rsid w:val="006C44F0"/>
    <w:rsid w:val="006C453E"/>
    <w:rsid w:val="006C4872"/>
    <w:rsid w:val="006C4980"/>
    <w:rsid w:val="006C4C23"/>
    <w:rsid w:val="006C4E50"/>
    <w:rsid w:val="006C4E9A"/>
    <w:rsid w:val="006C512C"/>
    <w:rsid w:val="006C52A4"/>
    <w:rsid w:val="006C55E2"/>
    <w:rsid w:val="006C5614"/>
    <w:rsid w:val="006C57DE"/>
    <w:rsid w:val="006C58ED"/>
    <w:rsid w:val="006C5E1A"/>
    <w:rsid w:val="006C632A"/>
    <w:rsid w:val="006C6376"/>
    <w:rsid w:val="006C63FC"/>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0FE9"/>
    <w:rsid w:val="006D1130"/>
    <w:rsid w:val="006D15BE"/>
    <w:rsid w:val="006D1725"/>
    <w:rsid w:val="006D191A"/>
    <w:rsid w:val="006D1935"/>
    <w:rsid w:val="006D19C7"/>
    <w:rsid w:val="006D19FF"/>
    <w:rsid w:val="006D1D65"/>
    <w:rsid w:val="006D1E43"/>
    <w:rsid w:val="006D20DB"/>
    <w:rsid w:val="006D21DA"/>
    <w:rsid w:val="006D2615"/>
    <w:rsid w:val="006D2631"/>
    <w:rsid w:val="006D29B4"/>
    <w:rsid w:val="006D2A8E"/>
    <w:rsid w:val="006D2B4E"/>
    <w:rsid w:val="006D2EF2"/>
    <w:rsid w:val="006D3042"/>
    <w:rsid w:val="006D30DF"/>
    <w:rsid w:val="006D342A"/>
    <w:rsid w:val="006D34DF"/>
    <w:rsid w:val="006D38A7"/>
    <w:rsid w:val="006D3A97"/>
    <w:rsid w:val="006D3B23"/>
    <w:rsid w:val="006D3BF5"/>
    <w:rsid w:val="006D3CA6"/>
    <w:rsid w:val="006D42C5"/>
    <w:rsid w:val="006D455A"/>
    <w:rsid w:val="006D4588"/>
    <w:rsid w:val="006D476E"/>
    <w:rsid w:val="006D4A83"/>
    <w:rsid w:val="006D4DD2"/>
    <w:rsid w:val="006D4E72"/>
    <w:rsid w:val="006D4E86"/>
    <w:rsid w:val="006D5150"/>
    <w:rsid w:val="006D5889"/>
    <w:rsid w:val="006D5DE2"/>
    <w:rsid w:val="006D5EB1"/>
    <w:rsid w:val="006D6063"/>
    <w:rsid w:val="006D60F1"/>
    <w:rsid w:val="006D6246"/>
    <w:rsid w:val="006D6267"/>
    <w:rsid w:val="006D62A6"/>
    <w:rsid w:val="006D659B"/>
    <w:rsid w:val="006D688A"/>
    <w:rsid w:val="006D68CD"/>
    <w:rsid w:val="006D697D"/>
    <w:rsid w:val="006D6AEF"/>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D7C8A"/>
    <w:rsid w:val="006D7E46"/>
    <w:rsid w:val="006E0388"/>
    <w:rsid w:val="006E03F6"/>
    <w:rsid w:val="006E0413"/>
    <w:rsid w:val="006E056A"/>
    <w:rsid w:val="006E05F2"/>
    <w:rsid w:val="006E080B"/>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7C5"/>
    <w:rsid w:val="006E1957"/>
    <w:rsid w:val="006E1B9A"/>
    <w:rsid w:val="006E1F38"/>
    <w:rsid w:val="006E202F"/>
    <w:rsid w:val="006E209F"/>
    <w:rsid w:val="006E233C"/>
    <w:rsid w:val="006E24AB"/>
    <w:rsid w:val="006E2649"/>
    <w:rsid w:val="006E27AC"/>
    <w:rsid w:val="006E2B6F"/>
    <w:rsid w:val="006E3029"/>
    <w:rsid w:val="006E316F"/>
    <w:rsid w:val="006E32BB"/>
    <w:rsid w:val="006E3340"/>
    <w:rsid w:val="006E33DD"/>
    <w:rsid w:val="006E361A"/>
    <w:rsid w:val="006E39A4"/>
    <w:rsid w:val="006E3A24"/>
    <w:rsid w:val="006E3D1B"/>
    <w:rsid w:val="006E3D46"/>
    <w:rsid w:val="006E42A7"/>
    <w:rsid w:val="006E456D"/>
    <w:rsid w:val="006E45E5"/>
    <w:rsid w:val="006E474D"/>
    <w:rsid w:val="006E4C0A"/>
    <w:rsid w:val="006E4C39"/>
    <w:rsid w:val="006E4D1E"/>
    <w:rsid w:val="006E4D65"/>
    <w:rsid w:val="006E4F8F"/>
    <w:rsid w:val="006E5092"/>
    <w:rsid w:val="006E55C2"/>
    <w:rsid w:val="006E55F8"/>
    <w:rsid w:val="006E592C"/>
    <w:rsid w:val="006E5CB6"/>
    <w:rsid w:val="006E5ECA"/>
    <w:rsid w:val="006E61F1"/>
    <w:rsid w:val="006E650E"/>
    <w:rsid w:val="006E6590"/>
    <w:rsid w:val="006E65D7"/>
    <w:rsid w:val="006E6602"/>
    <w:rsid w:val="006E665D"/>
    <w:rsid w:val="006E6877"/>
    <w:rsid w:val="006E697D"/>
    <w:rsid w:val="006E6AA9"/>
    <w:rsid w:val="006E6C24"/>
    <w:rsid w:val="006E6C36"/>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BDA"/>
    <w:rsid w:val="006F6CD0"/>
    <w:rsid w:val="006F6EFC"/>
    <w:rsid w:val="006F725F"/>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94E"/>
    <w:rsid w:val="00700B3A"/>
    <w:rsid w:val="00700E2A"/>
    <w:rsid w:val="00700F49"/>
    <w:rsid w:val="00700F53"/>
    <w:rsid w:val="00701108"/>
    <w:rsid w:val="007012FE"/>
    <w:rsid w:val="007013AD"/>
    <w:rsid w:val="00701675"/>
    <w:rsid w:val="0070179D"/>
    <w:rsid w:val="00701852"/>
    <w:rsid w:val="00702107"/>
    <w:rsid w:val="007025C2"/>
    <w:rsid w:val="007025F4"/>
    <w:rsid w:val="007026F3"/>
    <w:rsid w:val="007028AC"/>
    <w:rsid w:val="00702926"/>
    <w:rsid w:val="00702B46"/>
    <w:rsid w:val="0070331E"/>
    <w:rsid w:val="007037AA"/>
    <w:rsid w:val="00703821"/>
    <w:rsid w:val="00703A67"/>
    <w:rsid w:val="00703B32"/>
    <w:rsid w:val="00703C88"/>
    <w:rsid w:val="00703D1C"/>
    <w:rsid w:val="00703FA5"/>
    <w:rsid w:val="00704004"/>
    <w:rsid w:val="007040DA"/>
    <w:rsid w:val="00704330"/>
    <w:rsid w:val="0070435F"/>
    <w:rsid w:val="00704407"/>
    <w:rsid w:val="007049F8"/>
    <w:rsid w:val="00704A5A"/>
    <w:rsid w:val="00704D75"/>
    <w:rsid w:val="00704FDF"/>
    <w:rsid w:val="007052A4"/>
    <w:rsid w:val="0070538F"/>
    <w:rsid w:val="00705549"/>
    <w:rsid w:val="007059BB"/>
    <w:rsid w:val="00705A2C"/>
    <w:rsid w:val="00705AC9"/>
    <w:rsid w:val="00705B8F"/>
    <w:rsid w:val="00705C10"/>
    <w:rsid w:val="00705C3F"/>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139"/>
    <w:rsid w:val="007123E6"/>
    <w:rsid w:val="00712646"/>
    <w:rsid w:val="0071286D"/>
    <w:rsid w:val="00712958"/>
    <w:rsid w:val="00712B26"/>
    <w:rsid w:val="00712C92"/>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A2"/>
    <w:rsid w:val="007155F3"/>
    <w:rsid w:val="0071568F"/>
    <w:rsid w:val="007158BE"/>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0F2B"/>
    <w:rsid w:val="0072110E"/>
    <w:rsid w:val="0072118B"/>
    <w:rsid w:val="007212AB"/>
    <w:rsid w:val="007212F3"/>
    <w:rsid w:val="00721725"/>
    <w:rsid w:val="00721779"/>
    <w:rsid w:val="00721C43"/>
    <w:rsid w:val="00721C65"/>
    <w:rsid w:val="0072231C"/>
    <w:rsid w:val="0072236A"/>
    <w:rsid w:val="00722838"/>
    <w:rsid w:val="00722864"/>
    <w:rsid w:val="00722BB4"/>
    <w:rsid w:val="00722BBD"/>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057"/>
    <w:rsid w:val="00724176"/>
    <w:rsid w:val="007243E5"/>
    <w:rsid w:val="007246A6"/>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F74"/>
    <w:rsid w:val="00727520"/>
    <w:rsid w:val="00727552"/>
    <w:rsid w:val="007279B8"/>
    <w:rsid w:val="007279FC"/>
    <w:rsid w:val="00727AE6"/>
    <w:rsid w:val="00727BEE"/>
    <w:rsid w:val="00727DD8"/>
    <w:rsid w:val="0073000A"/>
    <w:rsid w:val="007300F6"/>
    <w:rsid w:val="0073016A"/>
    <w:rsid w:val="007301A7"/>
    <w:rsid w:val="007307C9"/>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C3C"/>
    <w:rsid w:val="00731D06"/>
    <w:rsid w:val="00731D9B"/>
    <w:rsid w:val="00731EF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4062"/>
    <w:rsid w:val="007340FE"/>
    <w:rsid w:val="00734121"/>
    <w:rsid w:val="0073414A"/>
    <w:rsid w:val="007343BA"/>
    <w:rsid w:val="0073465A"/>
    <w:rsid w:val="007348C3"/>
    <w:rsid w:val="00734B38"/>
    <w:rsid w:val="00734B51"/>
    <w:rsid w:val="00734CDA"/>
    <w:rsid w:val="00734EE0"/>
    <w:rsid w:val="00735030"/>
    <w:rsid w:val="00735455"/>
    <w:rsid w:val="00735530"/>
    <w:rsid w:val="0073572B"/>
    <w:rsid w:val="00735A94"/>
    <w:rsid w:val="00735E0B"/>
    <w:rsid w:val="00735EA0"/>
    <w:rsid w:val="00735F71"/>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6E9"/>
    <w:rsid w:val="0074088B"/>
    <w:rsid w:val="00740A2B"/>
    <w:rsid w:val="00740A8B"/>
    <w:rsid w:val="00740F1F"/>
    <w:rsid w:val="00740F28"/>
    <w:rsid w:val="00741013"/>
    <w:rsid w:val="007419EE"/>
    <w:rsid w:val="00741A5E"/>
    <w:rsid w:val="00741CCC"/>
    <w:rsid w:val="00742141"/>
    <w:rsid w:val="0074221D"/>
    <w:rsid w:val="0074224C"/>
    <w:rsid w:val="00742252"/>
    <w:rsid w:val="0074263F"/>
    <w:rsid w:val="007426B7"/>
    <w:rsid w:val="007426EA"/>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C79"/>
    <w:rsid w:val="00743F37"/>
    <w:rsid w:val="00744040"/>
    <w:rsid w:val="00744091"/>
    <w:rsid w:val="00744295"/>
    <w:rsid w:val="007442B6"/>
    <w:rsid w:val="007443F7"/>
    <w:rsid w:val="00744430"/>
    <w:rsid w:val="0074495E"/>
    <w:rsid w:val="00744B85"/>
    <w:rsid w:val="00744E0F"/>
    <w:rsid w:val="00745083"/>
    <w:rsid w:val="007451F9"/>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BBE"/>
    <w:rsid w:val="00746CFB"/>
    <w:rsid w:val="00746FCE"/>
    <w:rsid w:val="00747030"/>
    <w:rsid w:val="007473E7"/>
    <w:rsid w:val="00747411"/>
    <w:rsid w:val="007479EB"/>
    <w:rsid w:val="00747CF9"/>
    <w:rsid w:val="00747F2A"/>
    <w:rsid w:val="007500D3"/>
    <w:rsid w:val="00750376"/>
    <w:rsid w:val="00750408"/>
    <w:rsid w:val="00750915"/>
    <w:rsid w:val="00750B42"/>
    <w:rsid w:val="00750DB3"/>
    <w:rsid w:val="00750E44"/>
    <w:rsid w:val="00750EC3"/>
    <w:rsid w:val="00751199"/>
    <w:rsid w:val="00751311"/>
    <w:rsid w:val="007515BE"/>
    <w:rsid w:val="0075161A"/>
    <w:rsid w:val="00751695"/>
    <w:rsid w:val="00751BEF"/>
    <w:rsid w:val="00751F9F"/>
    <w:rsid w:val="00752031"/>
    <w:rsid w:val="007521BC"/>
    <w:rsid w:val="007522FD"/>
    <w:rsid w:val="0075237B"/>
    <w:rsid w:val="00752532"/>
    <w:rsid w:val="00752757"/>
    <w:rsid w:val="00752C38"/>
    <w:rsid w:val="00752E6D"/>
    <w:rsid w:val="00752EC9"/>
    <w:rsid w:val="00752FEA"/>
    <w:rsid w:val="007530B3"/>
    <w:rsid w:val="007532EF"/>
    <w:rsid w:val="00753453"/>
    <w:rsid w:val="00753646"/>
    <w:rsid w:val="007539A9"/>
    <w:rsid w:val="00753A77"/>
    <w:rsid w:val="00753AC1"/>
    <w:rsid w:val="00753B72"/>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57AF7"/>
    <w:rsid w:val="00760008"/>
    <w:rsid w:val="007600FB"/>
    <w:rsid w:val="00760258"/>
    <w:rsid w:val="007602C9"/>
    <w:rsid w:val="00760816"/>
    <w:rsid w:val="00760C0D"/>
    <w:rsid w:val="00760FB1"/>
    <w:rsid w:val="0076128B"/>
    <w:rsid w:val="007612CA"/>
    <w:rsid w:val="00761924"/>
    <w:rsid w:val="00761A15"/>
    <w:rsid w:val="00761A4D"/>
    <w:rsid w:val="00761ADD"/>
    <w:rsid w:val="00761DFA"/>
    <w:rsid w:val="00761E2D"/>
    <w:rsid w:val="00761EA7"/>
    <w:rsid w:val="00762346"/>
    <w:rsid w:val="007623CF"/>
    <w:rsid w:val="0076249C"/>
    <w:rsid w:val="00762547"/>
    <w:rsid w:val="007628B8"/>
    <w:rsid w:val="00762B1E"/>
    <w:rsid w:val="00762B2A"/>
    <w:rsid w:val="00762D3A"/>
    <w:rsid w:val="00762D8E"/>
    <w:rsid w:val="00762DDF"/>
    <w:rsid w:val="00762F77"/>
    <w:rsid w:val="007632B8"/>
    <w:rsid w:val="007634BF"/>
    <w:rsid w:val="00763623"/>
    <w:rsid w:val="007636DA"/>
    <w:rsid w:val="0076395A"/>
    <w:rsid w:val="00763999"/>
    <w:rsid w:val="00763A7E"/>
    <w:rsid w:val="00764095"/>
    <w:rsid w:val="00764200"/>
    <w:rsid w:val="00764235"/>
    <w:rsid w:val="00764241"/>
    <w:rsid w:val="007643DD"/>
    <w:rsid w:val="007648C5"/>
    <w:rsid w:val="00764BAB"/>
    <w:rsid w:val="00764BF4"/>
    <w:rsid w:val="00764CD3"/>
    <w:rsid w:val="00764D59"/>
    <w:rsid w:val="00764DA1"/>
    <w:rsid w:val="00764E09"/>
    <w:rsid w:val="00764E22"/>
    <w:rsid w:val="00764F8F"/>
    <w:rsid w:val="007651ED"/>
    <w:rsid w:val="007651FA"/>
    <w:rsid w:val="0076543B"/>
    <w:rsid w:val="00765567"/>
    <w:rsid w:val="007655FE"/>
    <w:rsid w:val="00765A17"/>
    <w:rsid w:val="00765C2F"/>
    <w:rsid w:val="00765C6A"/>
    <w:rsid w:val="00765E51"/>
    <w:rsid w:val="007660A3"/>
    <w:rsid w:val="00766142"/>
    <w:rsid w:val="007661D1"/>
    <w:rsid w:val="007662BE"/>
    <w:rsid w:val="00766480"/>
    <w:rsid w:val="007664C0"/>
    <w:rsid w:val="00766703"/>
    <w:rsid w:val="00766763"/>
    <w:rsid w:val="0076680D"/>
    <w:rsid w:val="00766AD4"/>
    <w:rsid w:val="00766F8B"/>
    <w:rsid w:val="00767563"/>
    <w:rsid w:val="007677FF"/>
    <w:rsid w:val="00767818"/>
    <w:rsid w:val="00767B17"/>
    <w:rsid w:val="00767C00"/>
    <w:rsid w:val="00767C58"/>
    <w:rsid w:val="00767CCF"/>
    <w:rsid w:val="0077016F"/>
    <w:rsid w:val="00770319"/>
    <w:rsid w:val="007705C5"/>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3D6"/>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8D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25"/>
    <w:rsid w:val="0077709D"/>
    <w:rsid w:val="007772F6"/>
    <w:rsid w:val="00777313"/>
    <w:rsid w:val="00777521"/>
    <w:rsid w:val="00777532"/>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42"/>
    <w:rsid w:val="00781AEB"/>
    <w:rsid w:val="00781CF8"/>
    <w:rsid w:val="00781DDE"/>
    <w:rsid w:val="00782139"/>
    <w:rsid w:val="007824B9"/>
    <w:rsid w:val="0078268E"/>
    <w:rsid w:val="0078291C"/>
    <w:rsid w:val="0078296E"/>
    <w:rsid w:val="00782B9E"/>
    <w:rsid w:val="00782C55"/>
    <w:rsid w:val="00782DA3"/>
    <w:rsid w:val="00782F60"/>
    <w:rsid w:val="00782FD8"/>
    <w:rsid w:val="00783091"/>
    <w:rsid w:val="007831A8"/>
    <w:rsid w:val="00783211"/>
    <w:rsid w:val="00783302"/>
    <w:rsid w:val="0078339C"/>
    <w:rsid w:val="00783429"/>
    <w:rsid w:val="00783ACD"/>
    <w:rsid w:val="00783BC4"/>
    <w:rsid w:val="00783BD9"/>
    <w:rsid w:val="00783D62"/>
    <w:rsid w:val="00783E57"/>
    <w:rsid w:val="00783F10"/>
    <w:rsid w:val="00784065"/>
    <w:rsid w:val="00784123"/>
    <w:rsid w:val="00784241"/>
    <w:rsid w:val="00784282"/>
    <w:rsid w:val="00784308"/>
    <w:rsid w:val="00784408"/>
    <w:rsid w:val="00784541"/>
    <w:rsid w:val="00784788"/>
    <w:rsid w:val="00784C5A"/>
    <w:rsid w:val="00784CBE"/>
    <w:rsid w:val="00784CD4"/>
    <w:rsid w:val="00784E3B"/>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CEA"/>
    <w:rsid w:val="00790E54"/>
    <w:rsid w:val="00790EDE"/>
    <w:rsid w:val="00790FCA"/>
    <w:rsid w:val="00791637"/>
    <w:rsid w:val="007917BA"/>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3F4C"/>
    <w:rsid w:val="00794010"/>
    <w:rsid w:val="0079405E"/>
    <w:rsid w:val="00794785"/>
    <w:rsid w:val="007948BF"/>
    <w:rsid w:val="00794928"/>
    <w:rsid w:val="007949E2"/>
    <w:rsid w:val="00794A1C"/>
    <w:rsid w:val="00794AB9"/>
    <w:rsid w:val="00794B55"/>
    <w:rsid w:val="00794CC0"/>
    <w:rsid w:val="00794E05"/>
    <w:rsid w:val="0079504B"/>
    <w:rsid w:val="00795104"/>
    <w:rsid w:val="007955F7"/>
    <w:rsid w:val="0079571B"/>
    <w:rsid w:val="007957DE"/>
    <w:rsid w:val="007958CE"/>
    <w:rsid w:val="00795905"/>
    <w:rsid w:val="007959D6"/>
    <w:rsid w:val="00795A58"/>
    <w:rsid w:val="00795EE5"/>
    <w:rsid w:val="00795F87"/>
    <w:rsid w:val="007961C9"/>
    <w:rsid w:val="00796337"/>
    <w:rsid w:val="00796383"/>
    <w:rsid w:val="007964B2"/>
    <w:rsid w:val="007964DB"/>
    <w:rsid w:val="007967B9"/>
    <w:rsid w:val="007967D0"/>
    <w:rsid w:val="00796858"/>
    <w:rsid w:val="00796AB3"/>
    <w:rsid w:val="00796B09"/>
    <w:rsid w:val="00796BEB"/>
    <w:rsid w:val="00796E3D"/>
    <w:rsid w:val="0079766C"/>
    <w:rsid w:val="007976C5"/>
    <w:rsid w:val="00797773"/>
    <w:rsid w:val="00797A33"/>
    <w:rsid w:val="00797C4B"/>
    <w:rsid w:val="00797DF7"/>
    <w:rsid w:val="007A019B"/>
    <w:rsid w:val="007A0367"/>
    <w:rsid w:val="007A04BC"/>
    <w:rsid w:val="007A0599"/>
    <w:rsid w:val="007A082D"/>
    <w:rsid w:val="007A08DE"/>
    <w:rsid w:val="007A0D87"/>
    <w:rsid w:val="007A0DC0"/>
    <w:rsid w:val="007A0FD5"/>
    <w:rsid w:val="007A155E"/>
    <w:rsid w:val="007A157D"/>
    <w:rsid w:val="007A163F"/>
    <w:rsid w:val="007A167F"/>
    <w:rsid w:val="007A193C"/>
    <w:rsid w:val="007A1E12"/>
    <w:rsid w:val="007A1EE0"/>
    <w:rsid w:val="007A1EE3"/>
    <w:rsid w:val="007A20DD"/>
    <w:rsid w:val="007A2243"/>
    <w:rsid w:val="007A234F"/>
    <w:rsid w:val="007A23D1"/>
    <w:rsid w:val="007A2429"/>
    <w:rsid w:val="007A2455"/>
    <w:rsid w:val="007A2457"/>
    <w:rsid w:val="007A2483"/>
    <w:rsid w:val="007A2630"/>
    <w:rsid w:val="007A27A0"/>
    <w:rsid w:val="007A2C36"/>
    <w:rsid w:val="007A2C72"/>
    <w:rsid w:val="007A2D17"/>
    <w:rsid w:val="007A2ECA"/>
    <w:rsid w:val="007A3003"/>
    <w:rsid w:val="007A3986"/>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79"/>
    <w:rsid w:val="007A5BC9"/>
    <w:rsid w:val="007A5C27"/>
    <w:rsid w:val="007A5C5C"/>
    <w:rsid w:val="007A5F13"/>
    <w:rsid w:val="007A5F25"/>
    <w:rsid w:val="007A610C"/>
    <w:rsid w:val="007A613F"/>
    <w:rsid w:val="007A61BA"/>
    <w:rsid w:val="007A6266"/>
    <w:rsid w:val="007A6383"/>
    <w:rsid w:val="007A6583"/>
    <w:rsid w:val="007A66DD"/>
    <w:rsid w:val="007A677F"/>
    <w:rsid w:val="007A6B54"/>
    <w:rsid w:val="007A6C2B"/>
    <w:rsid w:val="007A70AB"/>
    <w:rsid w:val="007A70C1"/>
    <w:rsid w:val="007A7128"/>
    <w:rsid w:val="007A736E"/>
    <w:rsid w:val="007A743B"/>
    <w:rsid w:val="007A74E1"/>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90"/>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EBE"/>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654"/>
    <w:rsid w:val="007C4864"/>
    <w:rsid w:val="007C49D2"/>
    <w:rsid w:val="007C4D9C"/>
    <w:rsid w:val="007C4DFD"/>
    <w:rsid w:val="007C50A8"/>
    <w:rsid w:val="007C51A4"/>
    <w:rsid w:val="007C51FA"/>
    <w:rsid w:val="007C5514"/>
    <w:rsid w:val="007C55C2"/>
    <w:rsid w:val="007C59E7"/>
    <w:rsid w:val="007C5B04"/>
    <w:rsid w:val="007C5D1D"/>
    <w:rsid w:val="007C5DE1"/>
    <w:rsid w:val="007C5F5F"/>
    <w:rsid w:val="007C6407"/>
    <w:rsid w:val="007C6835"/>
    <w:rsid w:val="007C688F"/>
    <w:rsid w:val="007C68D6"/>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442"/>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7F1"/>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191"/>
    <w:rsid w:val="007E13A3"/>
    <w:rsid w:val="007E1435"/>
    <w:rsid w:val="007E14CF"/>
    <w:rsid w:val="007E1531"/>
    <w:rsid w:val="007E15CA"/>
    <w:rsid w:val="007E167C"/>
    <w:rsid w:val="007E16CF"/>
    <w:rsid w:val="007E1BEF"/>
    <w:rsid w:val="007E1C1C"/>
    <w:rsid w:val="007E1F90"/>
    <w:rsid w:val="007E2293"/>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50A"/>
    <w:rsid w:val="007E761A"/>
    <w:rsid w:val="007E7AD7"/>
    <w:rsid w:val="007E7DF4"/>
    <w:rsid w:val="007E7ED3"/>
    <w:rsid w:val="007E7EE2"/>
    <w:rsid w:val="007E7F95"/>
    <w:rsid w:val="007F02BA"/>
    <w:rsid w:val="007F075E"/>
    <w:rsid w:val="007F07AE"/>
    <w:rsid w:val="007F08B3"/>
    <w:rsid w:val="007F09FA"/>
    <w:rsid w:val="007F0C35"/>
    <w:rsid w:val="007F0C6A"/>
    <w:rsid w:val="007F0FD6"/>
    <w:rsid w:val="007F109E"/>
    <w:rsid w:val="007F1320"/>
    <w:rsid w:val="007F16CB"/>
    <w:rsid w:val="007F1709"/>
    <w:rsid w:val="007F1864"/>
    <w:rsid w:val="007F199C"/>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802"/>
    <w:rsid w:val="007F3AD1"/>
    <w:rsid w:val="007F3C5D"/>
    <w:rsid w:val="007F3D8E"/>
    <w:rsid w:val="007F3EB7"/>
    <w:rsid w:val="007F3F48"/>
    <w:rsid w:val="007F4162"/>
    <w:rsid w:val="007F457B"/>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B9A"/>
    <w:rsid w:val="007F6EFD"/>
    <w:rsid w:val="007F6F15"/>
    <w:rsid w:val="007F7080"/>
    <w:rsid w:val="007F70A1"/>
    <w:rsid w:val="007F72CE"/>
    <w:rsid w:val="007F74F9"/>
    <w:rsid w:val="007F7528"/>
    <w:rsid w:val="0080016C"/>
    <w:rsid w:val="008001CE"/>
    <w:rsid w:val="00800249"/>
    <w:rsid w:val="00800280"/>
    <w:rsid w:val="00800904"/>
    <w:rsid w:val="00800919"/>
    <w:rsid w:val="00800A8E"/>
    <w:rsid w:val="00800C4E"/>
    <w:rsid w:val="00800D8E"/>
    <w:rsid w:val="00800DEE"/>
    <w:rsid w:val="00800E4F"/>
    <w:rsid w:val="0080104C"/>
    <w:rsid w:val="008014CF"/>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BBD"/>
    <w:rsid w:val="00804C23"/>
    <w:rsid w:val="00804D33"/>
    <w:rsid w:val="00804F05"/>
    <w:rsid w:val="008052FD"/>
    <w:rsid w:val="00805538"/>
    <w:rsid w:val="00805763"/>
    <w:rsid w:val="00805C03"/>
    <w:rsid w:val="00805D99"/>
    <w:rsid w:val="0080611C"/>
    <w:rsid w:val="008061FF"/>
    <w:rsid w:val="0080631D"/>
    <w:rsid w:val="0080668A"/>
    <w:rsid w:val="00806957"/>
    <w:rsid w:val="008069EC"/>
    <w:rsid w:val="00806C4A"/>
    <w:rsid w:val="00806DDE"/>
    <w:rsid w:val="00807183"/>
    <w:rsid w:val="0080721C"/>
    <w:rsid w:val="008073FA"/>
    <w:rsid w:val="00807499"/>
    <w:rsid w:val="00807525"/>
    <w:rsid w:val="008075F7"/>
    <w:rsid w:val="008077D5"/>
    <w:rsid w:val="00807869"/>
    <w:rsid w:val="008078BF"/>
    <w:rsid w:val="00807A30"/>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1B"/>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7FA"/>
    <w:rsid w:val="00812D05"/>
    <w:rsid w:val="00812E97"/>
    <w:rsid w:val="00813005"/>
    <w:rsid w:val="008133C1"/>
    <w:rsid w:val="008135FE"/>
    <w:rsid w:val="00813756"/>
    <w:rsid w:val="008137B4"/>
    <w:rsid w:val="00813BE7"/>
    <w:rsid w:val="00813C24"/>
    <w:rsid w:val="00813F08"/>
    <w:rsid w:val="00813F36"/>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D77"/>
    <w:rsid w:val="00817EEC"/>
    <w:rsid w:val="00820288"/>
    <w:rsid w:val="008206CD"/>
    <w:rsid w:val="00820AB3"/>
    <w:rsid w:val="00821209"/>
    <w:rsid w:val="00821281"/>
    <w:rsid w:val="00821348"/>
    <w:rsid w:val="00821370"/>
    <w:rsid w:val="008214FC"/>
    <w:rsid w:val="0082174C"/>
    <w:rsid w:val="00821753"/>
    <w:rsid w:val="008218B4"/>
    <w:rsid w:val="008219D5"/>
    <w:rsid w:val="00821B21"/>
    <w:rsid w:val="00821BF7"/>
    <w:rsid w:val="00821C3B"/>
    <w:rsid w:val="00821CA9"/>
    <w:rsid w:val="00821CFD"/>
    <w:rsid w:val="00822412"/>
    <w:rsid w:val="008226A5"/>
    <w:rsid w:val="00822A9E"/>
    <w:rsid w:val="00822C21"/>
    <w:rsid w:val="00822C7F"/>
    <w:rsid w:val="00822E76"/>
    <w:rsid w:val="0082327A"/>
    <w:rsid w:val="008233DC"/>
    <w:rsid w:val="008233EA"/>
    <w:rsid w:val="0082343C"/>
    <w:rsid w:val="00823473"/>
    <w:rsid w:val="00823672"/>
    <w:rsid w:val="00823849"/>
    <w:rsid w:val="00823979"/>
    <w:rsid w:val="00823B04"/>
    <w:rsid w:val="00823BC5"/>
    <w:rsid w:val="00823C8B"/>
    <w:rsid w:val="00823CBE"/>
    <w:rsid w:val="00823CE7"/>
    <w:rsid w:val="00823E22"/>
    <w:rsid w:val="00824664"/>
    <w:rsid w:val="008247AE"/>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92"/>
    <w:rsid w:val="008260AB"/>
    <w:rsid w:val="008263C1"/>
    <w:rsid w:val="008263E1"/>
    <w:rsid w:val="00826907"/>
    <w:rsid w:val="00826C10"/>
    <w:rsid w:val="00826CB3"/>
    <w:rsid w:val="00826EB9"/>
    <w:rsid w:val="0082700E"/>
    <w:rsid w:val="008270A9"/>
    <w:rsid w:val="00827320"/>
    <w:rsid w:val="00827366"/>
    <w:rsid w:val="008273DE"/>
    <w:rsid w:val="008274CC"/>
    <w:rsid w:val="00827F5D"/>
    <w:rsid w:val="008300DC"/>
    <w:rsid w:val="00830300"/>
    <w:rsid w:val="00830623"/>
    <w:rsid w:val="0083090B"/>
    <w:rsid w:val="00830A8F"/>
    <w:rsid w:val="00830C2B"/>
    <w:rsid w:val="0083123C"/>
    <w:rsid w:val="008312B0"/>
    <w:rsid w:val="008313E5"/>
    <w:rsid w:val="00831774"/>
    <w:rsid w:val="0083183F"/>
    <w:rsid w:val="00831A3C"/>
    <w:rsid w:val="00831B3D"/>
    <w:rsid w:val="00831BD9"/>
    <w:rsid w:val="00831D99"/>
    <w:rsid w:val="00831FA9"/>
    <w:rsid w:val="008323B0"/>
    <w:rsid w:val="008324E0"/>
    <w:rsid w:val="008326FC"/>
    <w:rsid w:val="00832890"/>
    <w:rsid w:val="0083290A"/>
    <w:rsid w:val="00832F7A"/>
    <w:rsid w:val="00833677"/>
    <w:rsid w:val="008337A3"/>
    <w:rsid w:val="0083395D"/>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77"/>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C1B"/>
    <w:rsid w:val="00843FB9"/>
    <w:rsid w:val="0084415C"/>
    <w:rsid w:val="00844428"/>
    <w:rsid w:val="0084476C"/>
    <w:rsid w:val="00844A39"/>
    <w:rsid w:val="0084509D"/>
    <w:rsid w:val="0084534E"/>
    <w:rsid w:val="00845604"/>
    <w:rsid w:val="00845C18"/>
    <w:rsid w:val="00845D51"/>
    <w:rsid w:val="00845D5A"/>
    <w:rsid w:val="008462D7"/>
    <w:rsid w:val="00846875"/>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21"/>
    <w:rsid w:val="0085003E"/>
    <w:rsid w:val="00850077"/>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7C5"/>
    <w:rsid w:val="00852842"/>
    <w:rsid w:val="0085291D"/>
    <w:rsid w:val="00852A85"/>
    <w:rsid w:val="00852EA6"/>
    <w:rsid w:val="00852F47"/>
    <w:rsid w:val="00852F5D"/>
    <w:rsid w:val="0085329A"/>
    <w:rsid w:val="00853515"/>
    <w:rsid w:val="008536A0"/>
    <w:rsid w:val="0085385B"/>
    <w:rsid w:val="008539BA"/>
    <w:rsid w:val="00853A25"/>
    <w:rsid w:val="00853A4A"/>
    <w:rsid w:val="00853C8C"/>
    <w:rsid w:val="00853D1D"/>
    <w:rsid w:val="00853D2C"/>
    <w:rsid w:val="00853DCF"/>
    <w:rsid w:val="00853F87"/>
    <w:rsid w:val="00853F94"/>
    <w:rsid w:val="008540C6"/>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45"/>
    <w:rsid w:val="008564A8"/>
    <w:rsid w:val="00856753"/>
    <w:rsid w:val="008568E5"/>
    <w:rsid w:val="00856A89"/>
    <w:rsid w:val="0085742E"/>
    <w:rsid w:val="00857749"/>
    <w:rsid w:val="00857882"/>
    <w:rsid w:val="00857889"/>
    <w:rsid w:val="0085793E"/>
    <w:rsid w:val="00857AF5"/>
    <w:rsid w:val="008600D4"/>
    <w:rsid w:val="00860211"/>
    <w:rsid w:val="00860418"/>
    <w:rsid w:val="008604D4"/>
    <w:rsid w:val="00860614"/>
    <w:rsid w:val="0086081D"/>
    <w:rsid w:val="00860AE9"/>
    <w:rsid w:val="00860BD7"/>
    <w:rsid w:val="00860E03"/>
    <w:rsid w:val="008611C9"/>
    <w:rsid w:val="008613B8"/>
    <w:rsid w:val="008618B4"/>
    <w:rsid w:val="008618FA"/>
    <w:rsid w:val="00861B50"/>
    <w:rsid w:val="00861B6C"/>
    <w:rsid w:val="00861C42"/>
    <w:rsid w:val="00861C46"/>
    <w:rsid w:val="00861C4F"/>
    <w:rsid w:val="00861D04"/>
    <w:rsid w:val="00861D84"/>
    <w:rsid w:val="008622FF"/>
    <w:rsid w:val="00862479"/>
    <w:rsid w:val="008625A1"/>
    <w:rsid w:val="008626CC"/>
    <w:rsid w:val="008627F4"/>
    <w:rsid w:val="008628E9"/>
    <w:rsid w:val="00862AC5"/>
    <w:rsid w:val="00862B0F"/>
    <w:rsid w:val="00862B1B"/>
    <w:rsid w:val="00862C8A"/>
    <w:rsid w:val="00862CB3"/>
    <w:rsid w:val="00862F19"/>
    <w:rsid w:val="008633A2"/>
    <w:rsid w:val="008634F7"/>
    <w:rsid w:val="008638CC"/>
    <w:rsid w:val="00863BBD"/>
    <w:rsid w:val="00863C9D"/>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1C"/>
    <w:rsid w:val="00866DC7"/>
    <w:rsid w:val="00866F8D"/>
    <w:rsid w:val="008674D3"/>
    <w:rsid w:val="00867712"/>
    <w:rsid w:val="00867B19"/>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0F1"/>
    <w:rsid w:val="008727CF"/>
    <w:rsid w:val="008727D4"/>
    <w:rsid w:val="00872B25"/>
    <w:rsid w:val="00872CD4"/>
    <w:rsid w:val="00872CD5"/>
    <w:rsid w:val="00872F5A"/>
    <w:rsid w:val="00872FD8"/>
    <w:rsid w:val="0087306A"/>
    <w:rsid w:val="0087348E"/>
    <w:rsid w:val="008735D9"/>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D85"/>
    <w:rsid w:val="00875ED9"/>
    <w:rsid w:val="00875EEA"/>
    <w:rsid w:val="00875FAB"/>
    <w:rsid w:val="0087642E"/>
    <w:rsid w:val="00876560"/>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BA3"/>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AF"/>
    <w:rsid w:val="00883AC7"/>
    <w:rsid w:val="00883B36"/>
    <w:rsid w:val="00883C40"/>
    <w:rsid w:val="00883C8D"/>
    <w:rsid w:val="00883C9E"/>
    <w:rsid w:val="00883CB5"/>
    <w:rsid w:val="00883D39"/>
    <w:rsid w:val="00883F45"/>
    <w:rsid w:val="00883FF3"/>
    <w:rsid w:val="00884021"/>
    <w:rsid w:val="00884045"/>
    <w:rsid w:val="00884627"/>
    <w:rsid w:val="00884699"/>
    <w:rsid w:val="0088470D"/>
    <w:rsid w:val="008848E2"/>
    <w:rsid w:val="00884B98"/>
    <w:rsid w:val="00884F12"/>
    <w:rsid w:val="008850C2"/>
    <w:rsid w:val="008850EF"/>
    <w:rsid w:val="008851ED"/>
    <w:rsid w:val="00885409"/>
    <w:rsid w:val="00885448"/>
    <w:rsid w:val="00885633"/>
    <w:rsid w:val="00885811"/>
    <w:rsid w:val="00885D46"/>
    <w:rsid w:val="00885D73"/>
    <w:rsid w:val="00885EB7"/>
    <w:rsid w:val="00885F02"/>
    <w:rsid w:val="008861C6"/>
    <w:rsid w:val="0088631A"/>
    <w:rsid w:val="00886533"/>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C8C"/>
    <w:rsid w:val="00887E69"/>
    <w:rsid w:val="00887F78"/>
    <w:rsid w:val="008900C0"/>
    <w:rsid w:val="008900F3"/>
    <w:rsid w:val="00890728"/>
    <w:rsid w:val="00890780"/>
    <w:rsid w:val="00890812"/>
    <w:rsid w:val="00890A87"/>
    <w:rsid w:val="00890FAB"/>
    <w:rsid w:val="0089125B"/>
    <w:rsid w:val="008912F8"/>
    <w:rsid w:val="0089130C"/>
    <w:rsid w:val="00891B95"/>
    <w:rsid w:val="00891CB4"/>
    <w:rsid w:val="00891CBC"/>
    <w:rsid w:val="008923EF"/>
    <w:rsid w:val="00892554"/>
    <w:rsid w:val="008927ED"/>
    <w:rsid w:val="0089297A"/>
    <w:rsid w:val="00892A3A"/>
    <w:rsid w:val="00892A8C"/>
    <w:rsid w:val="00892DD0"/>
    <w:rsid w:val="00892DDB"/>
    <w:rsid w:val="00893391"/>
    <w:rsid w:val="008933EB"/>
    <w:rsid w:val="00893435"/>
    <w:rsid w:val="00893470"/>
    <w:rsid w:val="0089394D"/>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5BD8"/>
    <w:rsid w:val="00896127"/>
    <w:rsid w:val="00896206"/>
    <w:rsid w:val="008968C2"/>
    <w:rsid w:val="00896964"/>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CC1"/>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398"/>
    <w:rsid w:val="008A5582"/>
    <w:rsid w:val="008A5883"/>
    <w:rsid w:val="008A5A2E"/>
    <w:rsid w:val="008A5A78"/>
    <w:rsid w:val="008A5EC5"/>
    <w:rsid w:val="008A5ED2"/>
    <w:rsid w:val="008A5F93"/>
    <w:rsid w:val="008A6082"/>
    <w:rsid w:val="008A60B6"/>
    <w:rsid w:val="008A613D"/>
    <w:rsid w:val="008A632B"/>
    <w:rsid w:val="008A6594"/>
    <w:rsid w:val="008A66CE"/>
    <w:rsid w:val="008A6703"/>
    <w:rsid w:val="008A678E"/>
    <w:rsid w:val="008A6819"/>
    <w:rsid w:val="008A6B15"/>
    <w:rsid w:val="008A6E91"/>
    <w:rsid w:val="008A7036"/>
    <w:rsid w:val="008A7407"/>
    <w:rsid w:val="008A7410"/>
    <w:rsid w:val="008A7567"/>
    <w:rsid w:val="008A75EE"/>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3FC"/>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075"/>
    <w:rsid w:val="008B3113"/>
    <w:rsid w:val="008B350D"/>
    <w:rsid w:val="008B3586"/>
    <w:rsid w:val="008B3CD3"/>
    <w:rsid w:val="008B3EB4"/>
    <w:rsid w:val="008B3EE8"/>
    <w:rsid w:val="008B400F"/>
    <w:rsid w:val="008B4139"/>
    <w:rsid w:val="008B41F0"/>
    <w:rsid w:val="008B42B2"/>
    <w:rsid w:val="008B44EB"/>
    <w:rsid w:val="008B4527"/>
    <w:rsid w:val="008B4566"/>
    <w:rsid w:val="008B482A"/>
    <w:rsid w:val="008B49B0"/>
    <w:rsid w:val="008B4A8E"/>
    <w:rsid w:val="008B4C73"/>
    <w:rsid w:val="008B4DD3"/>
    <w:rsid w:val="008B4E26"/>
    <w:rsid w:val="008B4E67"/>
    <w:rsid w:val="008B5270"/>
    <w:rsid w:val="008B5336"/>
    <w:rsid w:val="008B5785"/>
    <w:rsid w:val="008B59C0"/>
    <w:rsid w:val="008B5AB2"/>
    <w:rsid w:val="008B5FFB"/>
    <w:rsid w:val="008B6197"/>
    <w:rsid w:val="008B6220"/>
    <w:rsid w:val="008B63E5"/>
    <w:rsid w:val="008B640F"/>
    <w:rsid w:val="008B645E"/>
    <w:rsid w:val="008B675D"/>
    <w:rsid w:val="008B6A03"/>
    <w:rsid w:val="008B6A3E"/>
    <w:rsid w:val="008B6AAE"/>
    <w:rsid w:val="008B6B85"/>
    <w:rsid w:val="008B7090"/>
    <w:rsid w:val="008B71F9"/>
    <w:rsid w:val="008B7214"/>
    <w:rsid w:val="008B7283"/>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20AA"/>
    <w:rsid w:val="008C226E"/>
    <w:rsid w:val="008C228E"/>
    <w:rsid w:val="008C2431"/>
    <w:rsid w:val="008C245A"/>
    <w:rsid w:val="008C25BB"/>
    <w:rsid w:val="008C2847"/>
    <w:rsid w:val="008C29A0"/>
    <w:rsid w:val="008C2ADD"/>
    <w:rsid w:val="008C2C38"/>
    <w:rsid w:val="008C2D87"/>
    <w:rsid w:val="008C2E0B"/>
    <w:rsid w:val="008C30E5"/>
    <w:rsid w:val="008C3214"/>
    <w:rsid w:val="008C3AB7"/>
    <w:rsid w:val="008C3C01"/>
    <w:rsid w:val="008C3F40"/>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275"/>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AA5"/>
    <w:rsid w:val="008D1B24"/>
    <w:rsid w:val="008D1B57"/>
    <w:rsid w:val="008D1B8D"/>
    <w:rsid w:val="008D1BF7"/>
    <w:rsid w:val="008D1C7B"/>
    <w:rsid w:val="008D1DAE"/>
    <w:rsid w:val="008D1F24"/>
    <w:rsid w:val="008D208D"/>
    <w:rsid w:val="008D216F"/>
    <w:rsid w:val="008D242A"/>
    <w:rsid w:val="008D2845"/>
    <w:rsid w:val="008D2A8B"/>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5DB"/>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4B5"/>
    <w:rsid w:val="008D7582"/>
    <w:rsid w:val="008D7609"/>
    <w:rsid w:val="008D765C"/>
    <w:rsid w:val="008D7A32"/>
    <w:rsid w:val="008D7B67"/>
    <w:rsid w:val="008D7BAB"/>
    <w:rsid w:val="008D7D28"/>
    <w:rsid w:val="008E06D4"/>
    <w:rsid w:val="008E07AB"/>
    <w:rsid w:val="008E07E6"/>
    <w:rsid w:val="008E0855"/>
    <w:rsid w:val="008E099B"/>
    <w:rsid w:val="008E0A61"/>
    <w:rsid w:val="008E0FBB"/>
    <w:rsid w:val="008E1624"/>
    <w:rsid w:val="008E180F"/>
    <w:rsid w:val="008E1970"/>
    <w:rsid w:val="008E1A99"/>
    <w:rsid w:val="008E1D36"/>
    <w:rsid w:val="008E1E77"/>
    <w:rsid w:val="008E1EC8"/>
    <w:rsid w:val="008E1F5F"/>
    <w:rsid w:val="008E1FA7"/>
    <w:rsid w:val="008E207F"/>
    <w:rsid w:val="008E20F0"/>
    <w:rsid w:val="008E20FC"/>
    <w:rsid w:val="008E218C"/>
    <w:rsid w:val="008E28A5"/>
    <w:rsid w:val="008E298E"/>
    <w:rsid w:val="008E2DEF"/>
    <w:rsid w:val="008E2EA9"/>
    <w:rsid w:val="008E2F78"/>
    <w:rsid w:val="008E2FB9"/>
    <w:rsid w:val="008E308B"/>
    <w:rsid w:val="008E3292"/>
    <w:rsid w:val="008E3B5B"/>
    <w:rsid w:val="008E3C89"/>
    <w:rsid w:val="008E3CA1"/>
    <w:rsid w:val="008E3CEB"/>
    <w:rsid w:val="008E3CF9"/>
    <w:rsid w:val="008E3D68"/>
    <w:rsid w:val="008E4046"/>
    <w:rsid w:val="008E41CA"/>
    <w:rsid w:val="008E4234"/>
    <w:rsid w:val="008E4366"/>
    <w:rsid w:val="008E43BE"/>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45E"/>
    <w:rsid w:val="008E6638"/>
    <w:rsid w:val="008E6698"/>
    <w:rsid w:val="008E66F0"/>
    <w:rsid w:val="008E69A1"/>
    <w:rsid w:val="008E6A88"/>
    <w:rsid w:val="008E6ACE"/>
    <w:rsid w:val="008E6AF8"/>
    <w:rsid w:val="008E6DA9"/>
    <w:rsid w:val="008E7545"/>
    <w:rsid w:val="008F0102"/>
    <w:rsid w:val="008F01F5"/>
    <w:rsid w:val="008F0795"/>
    <w:rsid w:val="008F07C6"/>
    <w:rsid w:val="008F084E"/>
    <w:rsid w:val="008F08B0"/>
    <w:rsid w:val="008F0F1F"/>
    <w:rsid w:val="008F0FEA"/>
    <w:rsid w:val="008F115D"/>
    <w:rsid w:val="008F13B1"/>
    <w:rsid w:val="008F13F7"/>
    <w:rsid w:val="008F1714"/>
    <w:rsid w:val="008F179C"/>
    <w:rsid w:val="008F1957"/>
    <w:rsid w:val="008F19F6"/>
    <w:rsid w:val="008F1D28"/>
    <w:rsid w:val="008F2218"/>
    <w:rsid w:val="008F22A6"/>
    <w:rsid w:val="008F2342"/>
    <w:rsid w:val="008F23EF"/>
    <w:rsid w:val="008F245D"/>
    <w:rsid w:val="008F24D9"/>
    <w:rsid w:val="008F2700"/>
    <w:rsid w:val="008F2982"/>
    <w:rsid w:val="008F298A"/>
    <w:rsid w:val="008F2A75"/>
    <w:rsid w:val="008F2DCE"/>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889"/>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EFE"/>
    <w:rsid w:val="0090404C"/>
    <w:rsid w:val="009043BA"/>
    <w:rsid w:val="009044EA"/>
    <w:rsid w:val="0090463B"/>
    <w:rsid w:val="009046D4"/>
    <w:rsid w:val="00904925"/>
    <w:rsid w:val="00904AF3"/>
    <w:rsid w:val="00904DCE"/>
    <w:rsid w:val="0090517C"/>
    <w:rsid w:val="0090539C"/>
    <w:rsid w:val="009053FA"/>
    <w:rsid w:val="009057AC"/>
    <w:rsid w:val="00905823"/>
    <w:rsid w:val="00905A08"/>
    <w:rsid w:val="00905BC2"/>
    <w:rsid w:val="00905C79"/>
    <w:rsid w:val="00905E5C"/>
    <w:rsid w:val="00905EAF"/>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81D"/>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1A7"/>
    <w:rsid w:val="00912218"/>
    <w:rsid w:val="009125E8"/>
    <w:rsid w:val="0091271A"/>
    <w:rsid w:val="0091285C"/>
    <w:rsid w:val="00912C4A"/>
    <w:rsid w:val="00913077"/>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A84"/>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B1B"/>
    <w:rsid w:val="00917B3C"/>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94"/>
    <w:rsid w:val="00922AA6"/>
    <w:rsid w:val="00922BE5"/>
    <w:rsid w:val="00922C9F"/>
    <w:rsid w:val="00923034"/>
    <w:rsid w:val="009231DA"/>
    <w:rsid w:val="00923234"/>
    <w:rsid w:val="00923842"/>
    <w:rsid w:val="009238E8"/>
    <w:rsid w:val="009239EC"/>
    <w:rsid w:val="00923C11"/>
    <w:rsid w:val="00923CEE"/>
    <w:rsid w:val="00923DA7"/>
    <w:rsid w:val="009245BA"/>
    <w:rsid w:val="009245BB"/>
    <w:rsid w:val="00924790"/>
    <w:rsid w:val="00924837"/>
    <w:rsid w:val="00924A63"/>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5CBD"/>
    <w:rsid w:val="00925DEE"/>
    <w:rsid w:val="00925E0C"/>
    <w:rsid w:val="00926339"/>
    <w:rsid w:val="0092642B"/>
    <w:rsid w:val="00926670"/>
    <w:rsid w:val="00926964"/>
    <w:rsid w:val="0092697A"/>
    <w:rsid w:val="00926A92"/>
    <w:rsid w:val="00926C6C"/>
    <w:rsid w:val="00926D57"/>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D43"/>
    <w:rsid w:val="00930FF5"/>
    <w:rsid w:val="009311EF"/>
    <w:rsid w:val="0093136E"/>
    <w:rsid w:val="00931419"/>
    <w:rsid w:val="0093179A"/>
    <w:rsid w:val="0093198C"/>
    <w:rsid w:val="0093253B"/>
    <w:rsid w:val="009328E3"/>
    <w:rsid w:val="00932B27"/>
    <w:rsid w:val="00932B6D"/>
    <w:rsid w:val="00932D38"/>
    <w:rsid w:val="00932D76"/>
    <w:rsid w:val="00932EB3"/>
    <w:rsid w:val="00932F41"/>
    <w:rsid w:val="00933004"/>
    <w:rsid w:val="00933215"/>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0EF"/>
    <w:rsid w:val="009401D0"/>
    <w:rsid w:val="00940263"/>
    <w:rsid w:val="009403C7"/>
    <w:rsid w:val="00940474"/>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A0D"/>
    <w:rsid w:val="00943170"/>
    <w:rsid w:val="009431E8"/>
    <w:rsid w:val="00943325"/>
    <w:rsid w:val="009436D4"/>
    <w:rsid w:val="0094371D"/>
    <w:rsid w:val="00943A66"/>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DB"/>
    <w:rsid w:val="009465FF"/>
    <w:rsid w:val="00946666"/>
    <w:rsid w:val="009468A6"/>
    <w:rsid w:val="009469D8"/>
    <w:rsid w:val="00946AA1"/>
    <w:rsid w:val="00946BDB"/>
    <w:rsid w:val="00946CCD"/>
    <w:rsid w:val="00946DF8"/>
    <w:rsid w:val="00947531"/>
    <w:rsid w:val="0094774C"/>
    <w:rsid w:val="00947C7A"/>
    <w:rsid w:val="00950054"/>
    <w:rsid w:val="009500EF"/>
    <w:rsid w:val="009503F9"/>
    <w:rsid w:val="0095068D"/>
    <w:rsid w:val="00950706"/>
    <w:rsid w:val="009508D2"/>
    <w:rsid w:val="00950AAC"/>
    <w:rsid w:val="00950AB4"/>
    <w:rsid w:val="00951531"/>
    <w:rsid w:val="00951758"/>
    <w:rsid w:val="009517B8"/>
    <w:rsid w:val="009519F3"/>
    <w:rsid w:val="00951A27"/>
    <w:rsid w:val="00951D82"/>
    <w:rsid w:val="00951DE6"/>
    <w:rsid w:val="00952277"/>
    <w:rsid w:val="0095251F"/>
    <w:rsid w:val="009525DB"/>
    <w:rsid w:val="00952604"/>
    <w:rsid w:val="00952779"/>
    <w:rsid w:val="00952801"/>
    <w:rsid w:val="00952846"/>
    <w:rsid w:val="00952860"/>
    <w:rsid w:val="0095293C"/>
    <w:rsid w:val="00952AF8"/>
    <w:rsid w:val="00952BCC"/>
    <w:rsid w:val="00952DF4"/>
    <w:rsid w:val="00952F68"/>
    <w:rsid w:val="00952FDE"/>
    <w:rsid w:val="00952FF7"/>
    <w:rsid w:val="009533F0"/>
    <w:rsid w:val="0095370F"/>
    <w:rsid w:val="00953740"/>
    <w:rsid w:val="009538E8"/>
    <w:rsid w:val="00953904"/>
    <w:rsid w:val="00953A28"/>
    <w:rsid w:val="00953C20"/>
    <w:rsid w:val="00953EB0"/>
    <w:rsid w:val="009540A7"/>
    <w:rsid w:val="00954128"/>
    <w:rsid w:val="009547A7"/>
    <w:rsid w:val="00954DB9"/>
    <w:rsid w:val="00954F12"/>
    <w:rsid w:val="0095502C"/>
    <w:rsid w:val="009552E8"/>
    <w:rsid w:val="00955C13"/>
    <w:rsid w:val="00955DA2"/>
    <w:rsid w:val="00955EE1"/>
    <w:rsid w:val="00956060"/>
    <w:rsid w:val="009561D9"/>
    <w:rsid w:val="0095632F"/>
    <w:rsid w:val="0095634D"/>
    <w:rsid w:val="00956636"/>
    <w:rsid w:val="00956C12"/>
    <w:rsid w:val="00956DAB"/>
    <w:rsid w:val="009576B3"/>
    <w:rsid w:val="00957747"/>
    <w:rsid w:val="009578F0"/>
    <w:rsid w:val="00957AE1"/>
    <w:rsid w:val="00957C00"/>
    <w:rsid w:val="00957C4E"/>
    <w:rsid w:val="00957CB5"/>
    <w:rsid w:val="00957FBA"/>
    <w:rsid w:val="009606E9"/>
    <w:rsid w:val="0096076A"/>
    <w:rsid w:val="00960981"/>
    <w:rsid w:val="009609D0"/>
    <w:rsid w:val="00960C9C"/>
    <w:rsid w:val="00960E19"/>
    <w:rsid w:val="00960E79"/>
    <w:rsid w:val="00960E85"/>
    <w:rsid w:val="00960EF2"/>
    <w:rsid w:val="00960F82"/>
    <w:rsid w:val="009610BE"/>
    <w:rsid w:val="0096114D"/>
    <w:rsid w:val="00961307"/>
    <w:rsid w:val="0096138C"/>
    <w:rsid w:val="009614A4"/>
    <w:rsid w:val="009615D5"/>
    <w:rsid w:val="0096191D"/>
    <w:rsid w:val="00961935"/>
    <w:rsid w:val="00961E94"/>
    <w:rsid w:val="0096204D"/>
    <w:rsid w:val="009620AB"/>
    <w:rsid w:val="009623CA"/>
    <w:rsid w:val="0096292A"/>
    <w:rsid w:val="00962995"/>
    <w:rsid w:val="0096299A"/>
    <w:rsid w:val="00962B1A"/>
    <w:rsid w:val="00962B51"/>
    <w:rsid w:val="009632EE"/>
    <w:rsid w:val="009634DD"/>
    <w:rsid w:val="00963547"/>
    <w:rsid w:val="009636E9"/>
    <w:rsid w:val="00963710"/>
    <w:rsid w:val="009637A9"/>
    <w:rsid w:val="00963872"/>
    <w:rsid w:val="00963C5A"/>
    <w:rsid w:val="00963F36"/>
    <w:rsid w:val="00964197"/>
    <w:rsid w:val="00964293"/>
    <w:rsid w:val="00964A43"/>
    <w:rsid w:val="00964B95"/>
    <w:rsid w:val="00964C01"/>
    <w:rsid w:val="00964C61"/>
    <w:rsid w:val="00964C79"/>
    <w:rsid w:val="00964CEF"/>
    <w:rsid w:val="00964DC8"/>
    <w:rsid w:val="00964F8C"/>
    <w:rsid w:val="0096555E"/>
    <w:rsid w:val="0096572F"/>
    <w:rsid w:val="00965818"/>
    <w:rsid w:val="00965B06"/>
    <w:rsid w:val="00965E07"/>
    <w:rsid w:val="00965F96"/>
    <w:rsid w:val="0096609A"/>
    <w:rsid w:val="00966189"/>
    <w:rsid w:val="00966A2D"/>
    <w:rsid w:val="00966D41"/>
    <w:rsid w:val="0096713B"/>
    <w:rsid w:val="0096720F"/>
    <w:rsid w:val="00967210"/>
    <w:rsid w:val="009672D3"/>
    <w:rsid w:val="00967513"/>
    <w:rsid w:val="00967A58"/>
    <w:rsid w:val="00967D01"/>
    <w:rsid w:val="00967D0F"/>
    <w:rsid w:val="00967E67"/>
    <w:rsid w:val="00967ECC"/>
    <w:rsid w:val="009706BF"/>
    <w:rsid w:val="00970862"/>
    <w:rsid w:val="0097086F"/>
    <w:rsid w:val="00970C01"/>
    <w:rsid w:val="00970E59"/>
    <w:rsid w:val="00970F06"/>
    <w:rsid w:val="00971237"/>
    <w:rsid w:val="00971511"/>
    <w:rsid w:val="0097185C"/>
    <w:rsid w:val="0097190C"/>
    <w:rsid w:val="00971BF5"/>
    <w:rsid w:val="00971D15"/>
    <w:rsid w:val="00971E50"/>
    <w:rsid w:val="00971E6D"/>
    <w:rsid w:val="00971F85"/>
    <w:rsid w:val="0097201A"/>
    <w:rsid w:val="0097201E"/>
    <w:rsid w:val="0097202F"/>
    <w:rsid w:val="00972063"/>
    <w:rsid w:val="009721D3"/>
    <w:rsid w:val="009723F2"/>
    <w:rsid w:val="009725D1"/>
    <w:rsid w:val="009726E4"/>
    <w:rsid w:val="0097285B"/>
    <w:rsid w:val="00972AB4"/>
    <w:rsid w:val="00972D36"/>
    <w:rsid w:val="00972EBB"/>
    <w:rsid w:val="00973416"/>
    <w:rsid w:val="0097347E"/>
    <w:rsid w:val="009736C3"/>
    <w:rsid w:val="0097397D"/>
    <w:rsid w:val="00973C21"/>
    <w:rsid w:val="00973C4C"/>
    <w:rsid w:val="00973C88"/>
    <w:rsid w:val="009745EE"/>
    <w:rsid w:val="0097476F"/>
    <w:rsid w:val="0097481B"/>
    <w:rsid w:val="00974CA4"/>
    <w:rsid w:val="00974D42"/>
    <w:rsid w:val="00975051"/>
    <w:rsid w:val="00975348"/>
    <w:rsid w:val="00975395"/>
    <w:rsid w:val="00975409"/>
    <w:rsid w:val="0097555A"/>
    <w:rsid w:val="00975603"/>
    <w:rsid w:val="00975717"/>
    <w:rsid w:val="00975818"/>
    <w:rsid w:val="0097591A"/>
    <w:rsid w:val="009759ED"/>
    <w:rsid w:val="00975ADD"/>
    <w:rsid w:val="00975AE5"/>
    <w:rsid w:val="00975CEC"/>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649"/>
    <w:rsid w:val="009808AF"/>
    <w:rsid w:val="009809EA"/>
    <w:rsid w:val="00980A46"/>
    <w:rsid w:val="00980AEB"/>
    <w:rsid w:val="00980B8F"/>
    <w:rsid w:val="00980EC9"/>
    <w:rsid w:val="00981009"/>
    <w:rsid w:val="00981129"/>
    <w:rsid w:val="0098138D"/>
    <w:rsid w:val="0098165B"/>
    <w:rsid w:val="00981D34"/>
    <w:rsid w:val="00981DCC"/>
    <w:rsid w:val="009820D0"/>
    <w:rsid w:val="0098229E"/>
    <w:rsid w:val="00982649"/>
    <w:rsid w:val="009827D6"/>
    <w:rsid w:val="009828C1"/>
    <w:rsid w:val="00982AB7"/>
    <w:rsid w:val="00982C2F"/>
    <w:rsid w:val="00982E88"/>
    <w:rsid w:val="00982EDC"/>
    <w:rsid w:val="009836AB"/>
    <w:rsid w:val="009836F3"/>
    <w:rsid w:val="009839ED"/>
    <w:rsid w:val="00983DF4"/>
    <w:rsid w:val="009840B2"/>
    <w:rsid w:val="009841EB"/>
    <w:rsid w:val="0098446D"/>
    <w:rsid w:val="009846CB"/>
    <w:rsid w:val="00984798"/>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5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EC2"/>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30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08C"/>
    <w:rsid w:val="0099709E"/>
    <w:rsid w:val="00997308"/>
    <w:rsid w:val="0099735C"/>
    <w:rsid w:val="00997395"/>
    <w:rsid w:val="00997495"/>
    <w:rsid w:val="0099762E"/>
    <w:rsid w:val="0099780B"/>
    <w:rsid w:val="0099785E"/>
    <w:rsid w:val="00997E5D"/>
    <w:rsid w:val="009A021D"/>
    <w:rsid w:val="009A0512"/>
    <w:rsid w:val="009A0D3B"/>
    <w:rsid w:val="009A0F97"/>
    <w:rsid w:val="009A120B"/>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F6E"/>
    <w:rsid w:val="009A4086"/>
    <w:rsid w:val="009A4180"/>
    <w:rsid w:val="009A445C"/>
    <w:rsid w:val="009A496E"/>
    <w:rsid w:val="009A4BFB"/>
    <w:rsid w:val="009A4C5A"/>
    <w:rsid w:val="009A4C6B"/>
    <w:rsid w:val="009A4D1D"/>
    <w:rsid w:val="009A5244"/>
    <w:rsid w:val="009A534F"/>
    <w:rsid w:val="009A5429"/>
    <w:rsid w:val="009A5677"/>
    <w:rsid w:val="009A585D"/>
    <w:rsid w:val="009A59E9"/>
    <w:rsid w:val="009A5D2A"/>
    <w:rsid w:val="009A5E2B"/>
    <w:rsid w:val="009A62D2"/>
    <w:rsid w:val="009A6737"/>
    <w:rsid w:val="009A6B12"/>
    <w:rsid w:val="009A6E3E"/>
    <w:rsid w:val="009A715B"/>
    <w:rsid w:val="009A720E"/>
    <w:rsid w:val="009A72D1"/>
    <w:rsid w:val="009A73D5"/>
    <w:rsid w:val="009A76CA"/>
    <w:rsid w:val="009A7727"/>
    <w:rsid w:val="009A78B4"/>
    <w:rsid w:val="009A7D7B"/>
    <w:rsid w:val="009A7E5E"/>
    <w:rsid w:val="009B0014"/>
    <w:rsid w:val="009B0059"/>
    <w:rsid w:val="009B017F"/>
    <w:rsid w:val="009B03C2"/>
    <w:rsid w:val="009B04AB"/>
    <w:rsid w:val="009B091A"/>
    <w:rsid w:val="009B0A64"/>
    <w:rsid w:val="009B0AD7"/>
    <w:rsid w:val="009B0BE2"/>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9A1"/>
    <w:rsid w:val="009B3A11"/>
    <w:rsid w:val="009B3F50"/>
    <w:rsid w:val="009B3F9B"/>
    <w:rsid w:val="009B4164"/>
    <w:rsid w:val="009B4231"/>
    <w:rsid w:val="009B4234"/>
    <w:rsid w:val="009B42A4"/>
    <w:rsid w:val="009B4319"/>
    <w:rsid w:val="009B43D2"/>
    <w:rsid w:val="009B4676"/>
    <w:rsid w:val="009B477C"/>
    <w:rsid w:val="009B485A"/>
    <w:rsid w:val="009B4D64"/>
    <w:rsid w:val="009B4DD2"/>
    <w:rsid w:val="009B4E95"/>
    <w:rsid w:val="009B50D4"/>
    <w:rsid w:val="009B511C"/>
    <w:rsid w:val="009B51FB"/>
    <w:rsid w:val="009B53FA"/>
    <w:rsid w:val="009B5488"/>
    <w:rsid w:val="009B55F9"/>
    <w:rsid w:val="009B573E"/>
    <w:rsid w:val="009B5ABB"/>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B7E93"/>
    <w:rsid w:val="009C004B"/>
    <w:rsid w:val="009C02F4"/>
    <w:rsid w:val="009C0529"/>
    <w:rsid w:val="009C08FE"/>
    <w:rsid w:val="009C0B37"/>
    <w:rsid w:val="009C0E08"/>
    <w:rsid w:val="009C113D"/>
    <w:rsid w:val="009C11C0"/>
    <w:rsid w:val="009C15EC"/>
    <w:rsid w:val="009C15F0"/>
    <w:rsid w:val="009C16A5"/>
    <w:rsid w:val="009C1993"/>
    <w:rsid w:val="009C199B"/>
    <w:rsid w:val="009C1D81"/>
    <w:rsid w:val="009C1D8C"/>
    <w:rsid w:val="009C1FBB"/>
    <w:rsid w:val="009C1FCE"/>
    <w:rsid w:val="009C2579"/>
    <w:rsid w:val="009C25D7"/>
    <w:rsid w:val="009C2819"/>
    <w:rsid w:val="009C2AD3"/>
    <w:rsid w:val="009C2E42"/>
    <w:rsid w:val="009C3097"/>
    <w:rsid w:val="009C32A3"/>
    <w:rsid w:val="009C3486"/>
    <w:rsid w:val="009C3875"/>
    <w:rsid w:val="009C3CF4"/>
    <w:rsid w:val="009C3CFE"/>
    <w:rsid w:val="009C3EA4"/>
    <w:rsid w:val="009C406A"/>
    <w:rsid w:val="009C42EE"/>
    <w:rsid w:val="009C44CD"/>
    <w:rsid w:val="009C45C5"/>
    <w:rsid w:val="009C45EF"/>
    <w:rsid w:val="009C49DA"/>
    <w:rsid w:val="009C4B2A"/>
    <w:rsid w:val="009C4C3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4C7"/>
    <w:rsid w:val="009C66AE"/>
    <w:rsid w:val="009C671A"/>
    <w:rsid w:val="009C687F"/>
    <w:rsid w:val="009C692B"/>
    <w:rsid w:val="009C6CAF"/>
    <w:rsid w:val="009C6CBB"/>
    <w:rsid w:val="009C6EF6"/>
    <w:rsid w:val="009C6F46"/>
    <w:rsid w:val="009C71EE"/>
    <w:rsid w:val="009C72A1"/>
    <w:rsid w:val="009C72D8"/>
    <w:rsid w:val="009C72E6"/>
    <w:rsid w:val="009C7423"/>
    <w:rsid w:val="009C75A3"/>
    <w:rsid w:val="009C7C37"/>
    <w:rsid w:val="009D0003"/>
    <w:rsid w:val="009D0287"/>
    <w:rsid w:val="009D03DF"/>
    <w:rsid w:val="009D0423"/>
    <w:rsid w:val="009D0542"/>
    <w:rsid w:val="009D06BF"/>
    <w:rsid w:val="009D08D0"/>
    <w:rsid w:val="009D0CCB"/>
    <w:rsid w:val="009D0CFE"/>
    <w:rsid w:val="009D0D6B"/>
    <w:rsid w:val="009D1098"/>
    <w:rsid w:val="009D10F3"/>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02"/>
    <w:rsid w:val="009D2349"/>
    <w:rsid w:val="009D2A80"/>
    <w:rsid w:val="009D2B5A"/>
    <w:rsid w:val="009D2B8F"/>
    <w:rsid w:val="009D2C18"/>
    <w:rsid w:val="009D2C19"/>
    <w:rsid w:val="009D316B"/>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6F9D"/>
    <w:rsid w:val="009D7188"/>
    <w:rsid w:val="009D73A2"/>
    <w:rsid w:val="009D74E9"/>
    <w:rsid w:val="009D75B6"/>
    <w:rsid w:val="009D75D6"/>
    <w:rsid w:val="009D76DC"/>
    <w:rsid w:val="009D7708"/>
    <w:rsid w:val="009D7DD8"/>
    <w:rsid w:val="009D7EB1"/>
    <w:rsid w:val="009D7EF0"/>
    <w:rsid w:val="009E0166"/>
    <w:rsid w:val="009E027C"/>
    <w:rsid w:val="009E064C"/>
    <w:rsid w:val="009E06B6"/>
    <w:rsid w:val="009E0759"/>
    <w:rsid w:val="009E07FC"/>
    <w:rsid w:val="009E08D7"/>
    <w:rsid w:val="009E0BBC"/>
    <w:rsid w:val="009E0D71"/>
    <w:rsid w:val="009E0DDB"/>
    <w:rsid w:val="009E1097"/>
    <w:rsid w:val="009E1130"/>
    <w:rsid w:val="009E11CA"/>
    <w:rsid w:val="009E12DF"/>
    <w:rsid w:val="009E143A"/>
    <w:rsid w:val="009E154F"/>
    <w:rsid w:val="009E1AC7"/>
    <w:rsid w:val="009E1ACA"/>
    <w:rsid w:val="009E1B56"/>
    <w:rsid w:val="009E1DFD"/>
    <w:rsid w:val="009E1E0B"/>
    <w:rsid w:val="009E1E2C"/>
    <w:rsid w:val="009E2533"/>
    <w:rsid w:val="009E25AA"/>
    <w:rsid w:val="009E267A"/>
    <w:rsid w:val="009E2709"/>
    <w:rsid w:val="009E271E"/>
    <w:rsid w:val="009E28FB"/>
    <w:rsid w:val="009E302B"/>
    <w:rsid w:val="009E3533"/>
    <w:rsid w:val="009E398D"/>
    <w:rsid w:val="009E39AA"/>
    <w:rsid w:val="009E4A6A"/>
    <w:rsid w:val="009E505E"/>
    <w:rsid w:val="009E51F0"/>
    <w:rsid w:val="009E53B0"/>
    <w:rsid w:val="009E5427"/>
    <w:rsid w:val="009E55B5"/>
    <w:rsid w:val="009E5615"/>
    <w:rsid w:val="009E568E"/>
    <w:rsid w:val="009E56FE"/>
    <w:rsid w:val="009E5C9C"/>
    <w:rsid w:val="009E5DAC"/>
    <w:rsid w:val="009E5E80"/>
    <w:rsid w:val="009E5E96"/>
    <w:rsid w:val="009E5EDD"/>
    <w:rsid w:val="009E5FEB"/>
    <w:rsid w:val="009E6181"/>
    <w:rsid w:val="009E6204"/>
    <w:rsid w:val="009E634C"/>
    <w:rsid w:val="009E63CD"/>
    <w:rsid w:val="009E6783"/>
    <w:rsid w:val="009E688E"/>
    <w:rsid w:val="009E69D7"/>
    <w:rsid w:val="009E6A7A"/>
    <w:rsid w:val="009E6A9C"/>
    <w:rsid w:val="009E6B2A"/>
    <w:rsid w:val="009E6C6E"/>
    <w:rsid w:val="009E6F1A"/>
    <w:rsid w:val="009E7A72"/>
    <w:rsid w:val="009E7EC0"/>
    <w:rsid w:val="009F0011"/>
    <w:rsid w:val="009F062E"/>
    <w:rsid w:val="009F066D"/>
    <w:rsid w:val="009F06A9"/>
    <w:rsid w:val="009F0D6F"/>
    <w:rsid w:val="009F0FFD"/>
    <w:rsid w:val="009F1428"/>
    <w:rsid w:val="009F152C"/>
    <w:rsid w:val="009F178C"/>
    <w:rsid w:val="009F19FC"/>
    <w:rsid w:val="009F1AAB"/>
    <w:rsid w:val="009F1B6E"/>
    <w:rsid w:val="009F1E22"/>
    <w:rsid w:val="009F2076"/>
    <w:rsid w:val="009F2295"/>
    <w:rsid w:val="009F2467"/>
    <w:rsid w:val="009F297A"/>
    <w:rsid w:val="009F2B85"/>
    <w:rsid w:val="009F302A"/>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4C4"/>
    <w:rsid w:val="009F587E"/>
    <w:rsid w:val="009F58AE"/>
    <w:rsid w:val="009F60B3"/>
    <w:rsid w:val="009F6157"/>
    <w:rsid w:val="009F62E7"/>
    <w:rsid w:val="009F6691"/>
    <w:rsid w:val="009F6825"/>
    <w:rsid w:val="009F6847"/>
    <w:rsid w:val="009F6B7C"/>
    <w:rsid w:val="009F6DF8"/>
    <w:rsid w:val="009F6E76"/>
    <w:rsid w:val="009F7088"/>
    <w:rsid w:val="009F727D"/>
    <w:rsid w:val="009F736A"/>
    <w:rsid w:val="009F761D"/>
    <w:rsid w:val="009F7866"/>
    <w:rsid w:val="009F7902"/>
    <w:rsid w:val="00A00029"/>
    <w:rsid w:val="00A000E8"/>
    <w:rsid w:val="00A00524"/>
    <w:rsid w:val="00A00581"/>
    <w:rsid w:val="00A0083F"/>
    <w:rsid w:val="00A008A5"/>
    <w:rsid w:val="00A0092F"/>
    <w:rsid w:val="00A00AFF"/>
    <w:rsid w:val="00A00E80"/>
    <w:rsid w:val="00A00E99"/>
    <w:rsid w:val="00A00F3E"/>
    <w:rsid w:val="00A01053"/>
    <w:rsid w:val="00A011A7"/>
    <w:rsid w:val="00A011E9"/>
    <w:rsid w:val="00A011FF"/>
    <w:rsid w:val="00A014CA"/>
    <w:rsid w:val="00A01659"/>
    <w:rsid w:val="00A01677"/>
    <w:rsid w:val="00A01809"/>
    <w:rsid w:val="00A01964"/>
    <w:rsid w:val="00A01AA4"/>
    <w:rsid w:val="00A01AD0"/>
    <w:rsid w:val="00A01B59"/>
    <w:rsid w:val="00A01C10"/>
    <w:rsid w:val="00A01DC9"/>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026"/>
    <w:rsid w:val="00A0511E"/>
    <w:rsid w:val="00A052ED"/>
    <w:rsid w:val="00A05371"/>
    <w:rsid w:val="00A054C9"/>
    <w:rsid w:val="00A05AC6"/>
    <w:rsid w:val="00A060B4"/>
    <w:rsid w:val="00A060EB"/>
    <w:rsid w:val="00A0636B"/>
    <w:rsid w:val="00A06CF7"/>
    <w:rsid w:val="00A06D47"/>
    <w:rsid w:val="00A06D88"/>
    <w:rsid w:val="00A06E6F"/>
    <w:rsid w:val="00A070DD"/>
    <w:rsid w:val="00A07365"/>
    <w:rsid w:val="00A07514"/>
    <w:rsid w:val="00A07558"/>
    <w:rsid w:val="00A078AB"/>
    <w:rsid w:val="00A102D1"/>
    <w:rsid w:val="00A1031F"/>
    <w:rsid w:val="00A108F7"/>
    <w:rsid w:val="00A10914"/>
    <w:rsid w:val="00A10993"/>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E32"/>
    <w:rsid w:val="00A11F12"/>
    <w:rsid w:val="00A11FD6"/>
    <w:rsid w:val="00A12425"/>
    <w:rsid w:val="00A12641"/>
    <w:rsid w:val="00A126A9"/>
    <w:rsid w:val="00A1279B"/>
    <w:rsid w:val="00A12815"/>
    <w:rsid w:val="00A128F8"/>
    <w:rsid w:val="00A12AB9"/>
    <w:rsid w:val="00A12F49"/>
    <w:rsid w:val="00A12FA4"/>
    <w:rsid w:val="00A130CE"/>
    <w:rsid w:val="00A131A5"/>
    <w:rsid w:val="00A132A9"/>
    <w:rsid w:val="00A132EA"/>
    <w:rsid w:val="00A132F6"/>
    <w:rsid w:val="00A1361A"/>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CFA"/>
    <w:rsid w:val="00A14D1C"/>
    <w:rsid w:val="00A14DF4"/>
    <w:rsid w:val="00A14FC0"/>
    <w:rsid w:val="00A14FF6"/>
    <w:rsid w:val="00A15341"/>
    <w:rsid w:val="00A155F1"/>
    <w:rsid w:val="00A15748"/>
    <w:rsid w:val="00A15789"/>
    <w:rsid w:val="00A158D0"/>
    <w:rsid w:val="00A15A0C"/>
    <w:rsid w:val="00A15BD6"/>
    <w:rsid w:val="00A15D2E"/>
    <w:rsid w:val="00A15D94"/>
    <w:rsid w:val="00A15E30"/>
    <w:rsid w:val="00A15F56"/>
    <w:rsid w:val="00A15FD3"/>
    <w:rsid w:val="00A16AFB"/>
    <w:rsid w:val="00A16B6B"/>
    <w:rsid w:val="00A16BD2"/>
    <w:rsid w:val="00A170A8"/>
    <w:rsid w:val="00A17670"/>
    <w:rsid w:val="00A17926"/>
    <w:rsid w:val="00A17D36"/>
    <w:rsid w:val="00A17D8D"/>
    <w:rsid w:val="00A17D96"/>
    <w:rsid w:val="00A17EB7"/>
    <w:rsid w:val="00A17FEF"/>
    <w:rsid w:val="00A20035"/>
    <w:rsid w:val="00A2035D"/>
    <w:rsid w:val="00A203F0"/>
    <w:rsid w:val="00A20477"/>
    <w:rsid w:val="00A2059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B27"/>
    <w:rsid w:val="00A21CAE"/>
    <w:rsid w:val="00A21E42"/>
    <w:rsid w:val="00A21E7F"/>
    <w:rsid w:val="00A2236B"/>
    <w:rsid w:val="00A22866"/>
    <w:rsid w:val="00A22DDE"/>
    <w:rsid w:val="00A23076"/>
    <w:rsid w:val="00A238DC"/>
    <w:rsid w:val="00A239B8"/>
    <w:rsid w:val="00A23CA3"/>
    <w:rsid w:val="00A23D26"/>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17"/>
    <w:rsid w:val="00A266AD"/>
    <w:rsid w:val="00A26739"/>
    <w:rsid w:val="00A267BC"/>
    <w:rsid w:val="00A268AF"/>
    <w:rsid w:val="00A269EB"/>
    <w:rsid w:val="00A26B67"/>
    <w:rsid w:val="00A26C30"/>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0DB6"/>
    <w:rsid w:val="00A31059"/>
    <w:rsid w:val="00A31572"/>
    <w:rsid w:val="00A317A5"/>
    <w:rsid w:val="00A3190D"/>
    <w:rsid w:val="00A319E6"/>
    <w:rsid w:val="00A31B12"/>
    <w:rsid w:val="00A31BBD"/>
    <w:rsid w:val="00A31C94"/>
    <w:rsid w:val="00A31CB4"/>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4FE4"/>
    <w:rsid w:val="00A353E5"/>
    <w:rsid w:val="00A35417"/>
    <w:rsid w:val="00A35486"/>
    <w:rsid w:val="00A358FF"/>
    <w:rsid w:val="00A35B60"/>
    <w:rsid w:val="00A35B78"/>
    <w:rsid w:val="00A35FA3"/>
    <w:rsid w:val="00A36280"/>
    <w:rsid w:val="00A36296"/>
    <w:rsid w:val="00A3642D"/>
    <w:rsid w:val="00A364E1"/>
    <w:rsid w:val="00A36633"/>
    <w:rsid w:val="00A3698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4E3"/>
    <w:rsid w:val="00A40558"/>
    <w:rsid w:val="00A40AB2"/>
    <w:rsid w:val="00A40AED"/>
    <w:rsid w:val="00A40B5C"/>
    <w:rsid w:val="00A40BE8"/>
    <w:rsid w:val="00A40C65"/>
    <w:rsid w:val="00A40DFC"/>
    <w:rsid w:val="00A41273"/>
    <w:rsid w:val="00A415E6"/>
    <w:rsid w:val="00A41676"/>
    <w:rsid w:val="00A4189F"/>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70"/>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6E"/>
    <w:rsid w:val="00A50BEE"/>
    <w:rsid w:val="00A50C46"/>
    <w:rsid w:val="00A50F5C"/>
    <w:rsid w:val="00A50FC2"/>
    <w:rsid w:val="00A514E9"/>
    <w:rsid w:val="00A5162C"/>
    <w:rsid w:val="00A51DA9"/>
    <w:rsid w:val="00A521D5"/>
    <w:rsid w:val="00A5270C"/>
    <w:rsid w:val="00A5270F"/>
    <w:rsid w:val="00A528B6"/>
    <w:rsid w:val="00A528F3"/>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43B"/>
    <w:rsid w:val="00A545D5"/>
    <w:rsid w:val="00A546C5"/>
    <w:rsid w:val="00A54B2F"/>
    <w:rsid w:val="00A54C74"/>
    <w:rsid w:val="00A54D26"/>
    <w:rsid w:val="00A54D4F"/>
    <w:rsid w:val="00A54E86"/>
    <w:rsid w:val="00A551E5"/>
    <w:rsid w:val="00A55260"/>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4CB"/>
    <w:rsid w:val="00A606DD"/>
    <w:rsid w:val="00A60707"/>
    <w:rsid w:val="00A608BC"/>
    <w:rsid w:val="00A608F4"/>
    <w:rsid w:val="00A60920"/>
    <w:rsid w:val="00A60AB1"/>
    <w:rsid w:val="00A60ACC"/>
    <w:rsid w:val="00A60D21"/>
    <w:rsid w:val="00A60FAF"/>
    <w:rsid w:val="00A610FF"/>
    <w:rsid w:val="00A6134C"/>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3F08"/>
    <w:rsid w:val="00A64055"/>
    <w:rsid w:val="00A64171"/>
    <w:rsid w:val="00A6455B"/>
    <w:rsid w:val="00A64582"/>
    <w:rsid w:val="00A64805"/>
    <w:rsid w:val="00A648EF"/>
    <w:rsid w:val="00A64924"/>
    <w:rsid w:val="00A6493F"/>
    <w:rsid w:val="00A6499E"/>
    <w:rsid w:val="00A64A40"/>
    <w:rsid w:val="00A64CA7"/>
    <w:rsid w:val="00A64DC9"/>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90D"/>
    <w:rsid w:val="00A67C35"/>
    <w:rsid w:val="00A70367"/>
    <w:rsid w:val="00A7040A"/>
    <w:rsid w:val="00A704FC"/>
    <w:rsid w:val="00A70505"/>
    <w:rsid w:val="00A70812"/>
    <w:rsid w:val="00A7096A"/>
    <w:rsid w:val="00A709A7"/>
    <w:rsid w:val="00A709FA"/>
    <w:rsid w:val="00A70CD7"/>
    <w:rsid w:val="00A71159"/>
    <w:rsid w:val="00A71190"/>
    <w:rsid w:val="00A711B4"/>
    <w:rsid w:val="00A712E1"/>
    <w:rsid w:val="00A7132A"/>
    <w:rsid w:val="00A71903"/>
    <w:rsid w:val="00A7199F"/>
    <w:rsid w:val="00A71A1F"/>
    <w:rsid w:val="00A71C5E"/>
    <w:rsid w:val="00A71D29"/>
    <w:rsid w:val="00A71E77"/>
    <w:rsid w:val="00A71ECA"/>
    <w:rsid w:val="00A71F32"/>
    <w:rsid w:val="00A72194"/>
    <w:rsid w:val="00A72306"/>
    <w:rsid w:val="00A725D9"/>
    <w:rsid w:val="00A72707"/>
    <w:rsid w:val="00A72774"/>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5A4"/>
    <w:rsid w:val="00A7563F"/>
    <w:rsid w:val="00A757BF"/>
    <w:rsid w:val="00A7581D"/>
    <w:rsid w:val="00A75A91"/>
    <w:rsid w:val="00A75AC9"/>
    <w:rsid w:val="00A75B1C"/>
    <w:rsid w:val="00A75C5A"/>
    <w:rsid w:val="00A75E2B"/>
    <w:rsid w:val="00A75EEF"/>
    <w:rsid w:val="00A76016"/>
    <w:rsid w:val="00A76147"/>
    <w:rsid w:val="00A76517"/>
    <w:rsid w:val="00A7663F"/>
    <w:rsid w:val="00A7683C"/>
    <w:rsid w:val="00A76A18"/>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47F"/>
    <w:rsid w:val="00A81590"/>
    <w:rsid w:val="00A81693"/>
    <w:rsid w:val="00A81825"/>
    <w:rsid w:val="00A819B1"/>
    <w:rsid w:val="00A81C5F"/>
    <w:rsid w:val="00A81CA7"/>
    <w:rsid w:val="00A81D0F"/>
    <w:rsid w:val="00A821D9"/>
    <w:rsid w:val="00A822DB"/>
    <w:rsid w:val="00A8269C"/>
    <w:rsid w:val="00A82719"/>
    <w:rsid w:val="00A8277E"/>
    <w:rsid w:val="00A827BD"/>
    <w:rsid w:val="00A82A0F"/>
    <w:rsid w:val="00A82AB3"/>
    <w:rsid w:val="00A82B11"/>
    <w:rsid w:val="00A82B43"/>
    <w:rsid w:val="00A82B66"/>
    <w:rsid w:val="00A82C21"/>
    <w:rsid w:val="00A82E19"/>
    <w:rsid w:val="00A82F1D"/>
    <w:rsid w:val="00A8303C"/>
    <w:rsid w:val="00A83679"/>
    <w:rsid w:val="00A83CF5"/>
    <w:rsid w:val="00A83EC4"/>
    <w:rsid w:val="00A83F88"/>
    <w:rsid w:val="00A83FA8"/>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8E5"/>
    <w:rsid w:val="00A87AF8"/>
    <w:rsid w:val="00A87B7D"/>
    <w:rsid w:val="00A87D56"/>
    <w:rsid w:val="00A9014B"/>
    <w:rsid w:val="00A90794"/>
    <w:rsid w:val="00A90795"/>
    <w:rsid w:val="00A90DEA"/>
    <w:rsid w:val="00A90E6B"/>
    <w:rsid w:val="00A90E85"/>
    <w:rsid w:val="00A90FA1"/>
    <w:rsid w:val="00A90FA4"/>
    <w:rsid w:val="00A91174"/>
    <w:rsid w:val="00A9174A"/>
    <w:rsid w:val="00A91A1C"/>
    <w:rsid w:val="00A91ACD"/>
    <w:rsid w:val="00A91EDF"/>
    <w:rsid w:val="00A91FF9"/>
    <w:rsid w:val="00A92347"/>
    <w:rsid w:val="00A92407"/>
    <w:rsid w:val="00A9253B"/>
    <w:rsid w:val="00A925F3"/>
    <w:rsid w:val="00A92AFF"/>
    <w:rsid w:val="00A92BD1"/>
    <w:rsid w:val="00A92DAC"/>
    <w:rsid w:val="00A92DF9"/>
    <w:rsid w:val="00A92EF0"/>
    <w:rsid w:val="00A93101"/>
    <w:rsid w:val="00A931F2"/>
    <w:rsid w:val="00A932B8"/>
    <w:rsid w:val="00A9336E"/>
    <w:rsid w:val="00A9338F"/>
    <w:rsid w:val="00A935BD"/>
    <w:rsid w:val="00A937D7"/>
    <w:rsid w:val="00A93C9B"/>
    <w:rsid w:val="00A93D0E"/>
    <w:rsid w:val="00A93F0B"/>
    <w:rsid w:val="00A93F4F"/>
    <w:rsid w:val="00A940DF"/>
    <w:rsid w:val="00A9421F"/>
    <w:rsid w:val="00A94354"/>
    <w:rsid w:val="00A94843"/>
    <w:rsid w:val="00A94BD7"/>
    <w:rsid w:val="00A94DED"/>
    <w:rsid w:val="00A94EA5"/>
    <w:rsid w:val="00A94F39"/>
    <w:rsid w:val="00A950FC"/>
    <w:rsid w:val="00A95198"/>
    <w:rsid w:val="00A95399"/>
    <w:rsid w:val="00A95740"/>
    <w:rsid w:val="00A95962"/>
    <w:rsid w:val="00A95A4A"/>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68F"/>
    <w:rsid w:val="00A977C6"/>
    <w:rsid w:val="00A97857"/>
    <w:rsid w:val="00A97E78"/>
    <w:rsid w:val="00A97FF2"/>
    <w:rsid w:val="00AA003E"/>
    <w:rsid w:val="00AA007C"/>
    <w:rsid w:val="00AA00EC"/>
    <w:rsid w:val="00AA03E9"/>
    <w:rsid w:val="00AA0746"/>
    <w:rsid w:val="00AA089A"/>
    <w:rsid w:val="00AA09A4"/>
    <w:rsid w:val="00AA0A27"/>
    <w:rsid w:val="00AA0AA9"/>
    <w:rsid w:val="00AA125A"/>
    <w:rsid w:val="00AA1285"/>
    <w:rsid w:val="00AA1692"/>
    <w:rsid w:val="00AA1718"/>
    <w:rsid w:val="00AA17CC"/>
    <w:rsid w:val="00AA1937"/>
    <w:rsid w:val="00AA1A34"/>
    <w:rsid w:val="00AA1AE8"/>
    <w:rsid w:val="00AA1C95"/>
    <w:rsid w:val="00AA2140"/>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E77"/>
    <w:rsid w:val="00AA3F07"/>
    <w:rsid w:val="00AA4003"/>
    <w:rsid w:val="00AA44DF"/>
    <w:rsid w:val="00AA47D6"/>
    <w:rsid w:val="00AA480C"/>
    <w:rsid w:val="00AA4D54"/>
    <w:rsid w:val="00AA4E39"/>
    <w:rsid w:val="00AA4E8D"/>
    <w:rsid w:val="00AA54CD"/>
    <w:rsid w:val="00AA5555"/>
    <w:rsid w:val="00AA5760"/>
    <w:rsid w:val="00AA5B08"/>
    <w:rsid w:val="00AA5C8A"/>
    <w:rsid w:val="00AA5CD0"/>
    <w:rsid w:val="00AA5EDA"/>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0A"/>
    <w:rsid w:val="00AB0869"/>
    <w:rsid w:val="00AB0990"/>
    <w:rsid w:val="00AB0A9D"/>
    <w:rsid w:val="00AB0B8A"/>
    <w:rsid w:val="00AB0B8D"/>
    <w:rsid w:val="00AB1678"/>
    <w:rsid w:val="00AB16D4"/>
    <w:rsid w:val="00AB17A8"/>
    <w:rsid w:val="00AB1967"/>
    <w:rsid w:val="00AB1FCB"/>
    <w:rsid w:val="00AB26B5"/>
    <w:rsid w:val="00AB2E6E"/>
    <w:rsid w:val="00AB2EC7"/>
    <w:rsid w:val="00AB2FA7"/>
    <w:rsid w:val="00AB303F"/>
    <w:rsid w:val="00AB3097"/>
    <w:rsid w:val="00AB3197"/>
    <w:rsid w:val="00AB31EB"/>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AE"/>
    <w:rsid w:val="00AB5ADA"/>
    <w:rsid w:val="00AB5BEE"/>
    <w:rsid w:val="00AB5C18"/>
    <w:rsid w:val="00AB5CD2"/>
    <w:rsid w:val="00AB5CDF"/>
    <w:rsid w:val="00AB5F84"/>
    <w:rsid w:val="00AB6251"/>
    <w:rsid w:val="00AB62EC"/>
    <w:rsid w:val="00AB6356"/>
    <w:rsid w:val="00AB638F"/>
    <w:rsid w:val="00AB659A"/>
    <w:rsid w:val="00AB66B6"/>
    <w:rsid w:val="00AB673C"/>
    <w:rsid w:val="00AB6741"/>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65B"/>
    <w:rsid w:val="00AC182D"/>
    <w:rsid w:val="00AC1871"/>
    <w:rsid w:val="00AC18CE"/>
    <w:rsid w:val="00AC1B93"/>
    <w:rsid w:val="00AC20E6"/>
    <w:rsid w:val="00AC210F"/>
    <w:rsid w:val="00AC23F5"/>
    <w:rsid w:val="00AC2748"/>
    <w:rsid w:val="00AC2CC1"/>
    <w:rsid w:val="00AC2D3F"/>
    <w:rsid w:val="00AC2DD6"/>
    <w:rsid w:val="00AC2E89"/>
    <w:rsid w:val="00AC2F2D"/>
    <w:rsid w:val="00AC31D1"/>
    <w:rsid w:val="00AC33F1"/>
    <w:rsid w:val="00AC3717"/>
    <w:rsid w:val="00AC39D0"/>
    <w:rsid w:val="00AC3A68"/>
    <w:rsid w:val="00AC3B16"/>
    <w:rsid w:val="00AC3FBF"/>
    <w:rsid w:val="00AC424F"/>
    <w:rsid w:val="00AC45E1"/>
    <w:rsid w:val="00AC4C08"/>
    <w:rsid w:val="00AC511C"/>
    <w:rsid w:val="00AC5357"/>
    <w:rsid w:val="00AC566A"/>
    <w:rsid w:val="00AC5DDE"/>
    <w:rsid w:val="00AC5F08"/>
    <w:rsid w:val="00AC614A"/>
    <w:rsid w:val="00AC62F8"/>
    <w:rsid w:val="00AC64A3"/>
    <w:rsid w:val="00AC652D"/>
    <w:rsid w:val="00AC6845"/>
    <w:rsid w:val="00AC6A5A"/>
    <w:rsid w:val="00AC6A9B"/>
    <w:rsid w:val="00AC6CA4"/>
    <w:rsid w:val="00AC6F2E"/>
    <w:rsid w:val="00AC7115"/>
    <w:rsid w:val="00AC736F"/>
    <w:rsid w:val="00AC756F"/>
    <w:rsid w:val="00AC7694"/>
    <w:rsid w:val="00AC7D08"/>
    <w:rsid w:val="00AC7DAA"/>
    <w:rsid w:val="00AD0099"/>
    <w:rsid w:val="00AD0135"/>
    <w:rsid w:val="00AD06E3"/>
    <w:rsid w:val="00AD0AF2"/>
    <w:rsid w:val="00AD0D6E"/>
    <w:rsid w:val="00AD0F8B"/>
    <w:rsid w:val="00AD1124"/>
    <w:rsid w:val="00AD1174"/>
    <w:rsid w:val="00AD176A"/>
    <w:rsid w:val="00AD1808"/>
    <w:rsid w:val="00AD19BD"/>
    <w:rsid w:val="00AD1AFF"/>
    <w:rsid w:val="00AD209C"/>
    <w:rsid w:val="00AD235D"/>
    <w:rsid w:val="00AD2668"/>
    <w:rsid w:val="00AD293E"/>
    <w:rsid w:val="00AD2D43"/>
    <w:rsid w:val="00AD34AA"/>
    <w:rsid w:val="00AD351F"/>
    <w:rsid w:val="00AD35EE"/>
    <w:rsid w:val="00AD36DC"/>
    <w:rsid w:val="00AD3B62"/>
    <w:rsid w:val="00AD3BD1"/>
    <w:rsid w:val="00AD3C9F"/>
    <w:rsid w:val="00AD3D64"/>
    <w:rsid w:val="00AD3DDE"/>
    <w:rsid w:val="00AD3E2E"/>
    <w:rsid w:val="00AD3F65"/>
    <w:rsid w:val="00AD3F83"/>
    <w:rsid w:val="00AD3FF3"/>
    <w:rsid w:val="00AD411D"/>
    <w:rsid w:val="00AD416B"/>
    <w:rsid w:val="00AD4193"/>
    <w:rsid w:val="00AD41EE"/>
    <w:rsid w:val="00AD42D2"/>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5DD1"/>
    <w:rsid w:val="00AD600F"/>
    <w:rsid w:val="00AD63B1"/>
    <w:rsid w:val="00AD65A4"/>
    <w:rsid w:val="00AD678D"/>
    <w:rsid w:val="00AD67CF"/>
    <w:rsid w:val="00AD6BDF"/>
    <w:rsid w:val="00AD70DA"/>
    <w:rsid w:val="00AD73C9"/>
    <w:rsid w:val="00AD75BF"/>
    <w:rsid w:val="00AD764F"/>
    <w:rsid w:val="00AD76E3"/>
    <w:rsid w:val="00AD77CA"/>
    <w:rsid w:val="00AD78E8"/>
    <w:rsid w:val="00AD7A28"/>
    <w:rsid w:val="00AD7CE7"/>
    <w:rsid w:val="00AD7F1E"/>
    <w:rsid w:val="00AD7F21"/>
    <w:rsid w:val="00AD7F73"/>
    <w:rsid w:val="00AE0298"/>
    <w:rsid w:val="00AE038C"/>
    <w:rsid w:val="00AE047F"/>
    <w:rsid w:val="00AE075D"/>
    <w:rsid w:val="00AE08B3"/>
    <w:rsid w:val="00AE0918"/>
    <w:rsid w:val="00AE0B6E"/>
    <w:rsid w:val="00AE0C70"/>
    <w:rsid w:val="00AE0D0A"/>
    <w:rsid w:val="00AE0F81"/>
    <w:rsid w:val="00AE1330"/>
    <w:rsid w:val="00AE138C"/>
    <w:rsid w:val="00AE1634"/>
    <w:rsid w:val="00AE16FE"/>
    <w:rsid w:val="00AE1733"/>
    <w:rsid w:val="00AE17BC"/>
    <w:rsid w:val="00AE17FC"/>
    <w:rsid w:val="00AE1A0B"/>
    <w:rsid w:val="00AE1FE4"/>
    <w:rsid w:val="00AE262B"/>
    <w:rsid w:val="00AE27F4"/>
    <w:rsid w:val="00AE27F9"/>
    <w:rsid w:val="00AE2C2B"/>
    <w:rsid w:val="00AE3058"/>
    <w:rsid w:val="00AE3310"/>
    <w:rsid w:val="00AE354F"/>
    <w:rsid w:val="00AE37A1"/>
    <w:rsid w:val="00AE3956"/>
    <w:rsid w:val="00AE3A4F"/>
    <w:rsid w:val="00AE3D5E"/>
    <w:rsid w:val="00AE3D85"/>
    <w:rsid w:val="00AE41EF"/>
    <w:rsid w:val="00AE4703"/>
    <w:rsid w:val="00AE4BF3"/>
    <w:rsid w:val="00AE4FE2"/>
    <w:rsid w:val="00AE516D"/>
    <w:rsid w:val="00AE517E"/>
    <w:rsid w:val="00AE5246"/>
    <w:rsid w:val="00AE5292"/>
    <w:rsid w:val="00AE52B4"/>
    <w:rsid w:val="00AE56A2"/>
    <w:rsid w:val="00AE56C7"/>
    <w:rsid w:val="00AE586E"/>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6F29"/>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03A"/>
    <w:rsid w:val="00AF32EB"/>
    <w:rsid w:val="00AF333E"/>
    <w:rsid w:val="00AF37FA"/>
    <w:rsid w:val="00AF38BE"/>
    <w:rsid w:val="00AF3928"/>
    <w:rsid w:val="00AF3B06"/>
    <w:rsid w:val="00AF3C4D"/>
    <w:rsid w:val="00AF3D18"/>
    <w:rsid w:val="00AF40A0"/>
    <w:rsid w:val="00AF44F8"/>
    <w:rsid w:val="00AF4514"/>
    <w:rsid w:val="00AF46C4"/>
    <w:rsid w:val="00AF46C7"/>
    <w:rsid w:val="00AF4717"/>
    <w:rsid w:val="00AF4956"/>
    <w:rsid w:val="00AF53A4"/>
    <w:rsid w:val="00AF5798"/>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959"/>
    <w:rsid w:val="00B00B19"/>
    <w:rsid w:val="00B00D80"/>
    <w:rsid w:val="00B00F03"/>
    <w:rsid w:val="00B012CC"/>
    <w:rsid w:val="00B01732"/>
    <w:rsid w:val="00B0177D"/>
    <w:rsid w:val="00B01887"/>
    <w:rsid w:val="00B01E07"/>
    <w:rsid w:val="00B0237B"/>
    <w:rsid w:val="00B02557"/>
    <w:rsid w:val="00B02BFB"/>
    <w:rsid w:val="00B030F8"/>
    <w:rsid w:val="00B03106"/>
    <w:rsid w:val="00B03253"/>
    <w:rsid w:val="00B0332F"/>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1B2"/>
    <w:rsid w:val="00B063D3"/>
    <w:rsid w:val="00B06D28"/>
    <w:rsid w:val="00B06D9A"/>
    <w:rsid w:val="00B06DB4"/>
    <w:rsid w:val="00B06EB7"/>
    <w:rsid w:val="00B070B0"/>
    <w:rsid w:val="00B070CE"/>
    <w:rsid w:val="00B073F0"/>
    <w:rsid w:val="00B07756"/>
    <w:rsid w:val="00B07799"/>
    <w:rsid w:val="00B07D77"/>
    <w:rsid w:val="00B1041B"/>
    <w:rsid w:val="00B10616"/>
    <w:rsid w:val="00B10651"/>
    <w:rsid w:val="00B110A1"/>
    <w:rsid w:val="00B111CE"/>
    <w:rsid w:val="00B11204"/>
    <w:rsid w:val="00B1128E"/>
    <w:rsid w:val="00B112A0"/>
    <w:rsid w:val="00B11476"/>
    <w:rsid w:val="00B114BC"/>
    <w:rsid w:val="00B1153A"/>
    <w:rsid w:val="00B1169E"/>
    <w:rsid w:val="00B119E6"/>
    <w:rsid w:val="00B11A60"/>
    <w:rsid w:val="00B11A88"/>
    <w:rsid w:val="00B11CB2"/>
    <w:rsid w:val="00B11DB8"/>
    <w:rsid w:val="00B1246F"/>
    <w:rsid w:val="00B12729"/>
    <w:rsid w:val="00B12B30"/>
    <w:rsid w:val="00B12DED"/>
    <w:rsid w:val="00B131F1"/>
    <w:rsid w:val="00B13222"/>
    <w:rsid w:val="00B1388B"/>
    <w:rsid w:val="00B138BE"/>
    <w:rsid w:val="00B13AB7"/>
    <w:rsid w:val="00B13BCC"/>
    <w:rsid w:val="00B13D36"/>
    <w:rsid w:val="00B13DDF"/>
    <w:rsid w:val="00B14018"/>
    <w:rsid w:val="00B1410B"/>
    <w:rsid w:val="00B143D6"/>
    <w:rsid w:val="00B14457"/>
    <w:rsid w:val="00B14596"/>
    <w:rsid w:val="00B147F7"/>
    <w:rsid w:val="00B14EA4"/>
    <w:rsid w:val="00B1504B"/>
    <w:rsid w:val="00B150C9"/>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CF0"/>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C66"/>
    <w:rsid w:val="00B23D98"/>
    <w:rsid w:val="00B23DCC"/>
    <w:rsid w:val="00B23F89"/>
    <w:rsid w:val="00B2413F"/>
    <w:rsid w:val="00B246A8"/>
    <w:rsid w:val="00B24B3B"/>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81A"/>
    <w:rsid w:val="00B268AA"/>
    <w:rsid w:val="00B26ADC"/>
    <w:rsid w:val="00B26C56"/>
    <w:rsid w:val="00B27011"/>
    <w:rsid w:val="00B27180"/>
    <w:rsid w:val="00B27219"/>
    <w:rsid w:val="00B27349"/>
    <w:rsid w:val="00B27586"/>
    <w:rsid w:val="00B2775D"/>
    <w:rsid w:val="00B279A8"/>
    <w:rsid w:val="00B27C91"/>
    <w:rsid w:val="00B27E12"/>
    <w:rsid w:val="00B30180"/>
    <w:rsid w:val="00B30817"/>
    <w:rsid w:val="00B3086D"/>
    <w:rsid w:val="00B308F0"/>
    <w:rsid w:val="00B30920"/>
    <w:rsid w:val="00B30A5C"/>
    <w:rsid w:val="00B30AFC"/>
    <w:rsid w:val="00B30C8B"/>
    <w:rsid w:val="00B30CFB"/>
    <w:rsid w:val="00B30E52"/>
    <w:rsid w:val="00B31025"/>
    <w:rsid w:val="00B31204"/>
    <w:rsid w:val="00B314AB"/>
    <w:rsid w:val="00B31566"/>
    <w:rsid w:val="00B31581"/>
    <w:rsid w:val="00B31982"/>
    <w:rsid w:val="00B319BB"/>
    <w:rsid w:val="00B31A2B"/>
    <w:rsid w:val="00B31A5C"/>
    <w:rsid w:val="00B31FDF"/>
    <w:rsid w:val="00B3227B"/>
    <w:rsid w:val="00B322F9"/>
    <w:rsid w:val="00B3235B"/>
    <w:rsid w:val="00B3261B"/>
    <w:rsid w:val="00B3269A"/>
    <w:rsid w:val="00B32BB0"/>
    <w:rsid w:val="00B33185"/>
    <w:rsid w:val="00B33196"/>
    <w:rsid w:val="00B331B4"/>
    <w:rsid w:val="00B3334F"/>
    <w:rsid w:val="00B333C6"/>
    <w:rsid w:val="00B34035"/>
    <w:rsid w:val="00B341E3"/>
    <w:rsid w:val="00B3449D"/>
    <w:rsid w:val="00B34511"/>
    <w:rsid w:val="00B34768"/>
    <w:rsid w:val="00B34929"/>
    <w:rsid w:val="00B34B78"/>
    <w:rsid w:val="00B34BD6"/>
    <w:rsid w:val="00B34D6A"/>
    <w:rsid w:val="00B34F23"/>
    <w:rsid w:val="00B34F3A"/>
    <w:rsid w:val="00B35083"/>
    <w:rsid w:val="00B35799"/>
    <w:rsid w:val="00B357D5"/>
    <w:rsid w:val="00B357EA"/>
    <w:rsid w:val="00B35A02"/>
    <w:rsid w:val="00B35C09"/>
    <w:rsid w:val="00B35FBF"/>
    <w:rsid w:val="00B36604"/>
    <w:rsid w:val="00B36817"/>
    <w:rsid w:val="00B36A04"/>
    <w:rsid w:val="00B36D32"/>
    <w:rsid w:val="00B3722B"/>
    <w:rsid w:val="00B3733A"/>
    <w:rsid w:val="00B373A4"/>
    <w:rsid w:val="00B373B1"/>
    <w:rsid w:val="00B3763C"/>
    <w:rsid w:val="00B37640"/>
    <w:rsid w:val="00B37769"/>
    <w:rsid w:val="00B378BB"/>
    <w:rsid w:val="00B37A70"/>
    <w:rsid w:val="00B37C5E"/>
    <w:rsid w:val="00B4009E"/>
    <w:rsid w:val="00B4013A"/>
    <w:rsid w:val="00B4031E"/>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00"/>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BB7"/>
    <w:rsid w:val="00B45F88"/>
    <w:rsid w:val="00B4604D"/>
    <w:rsid w:val="00B46080"/>
    <w:rsid w:val="00B461B6"/>
    <w:rsid w:val="00B463FF"/>
    <w:rsid w:val="00B464EF"/>
    <w:rsid w:val="00B4662E"/>
    <w:rsid w:val="00B466E4"/>
    <w:rsid w:val="00B4682D"/>
    <w:rsid w:val="00B46989"/>
    <w:rsid w:val="00B46CAE"/>
    <w:rsid w:val="00B46EF0"/>
    <w:rsid w:val="00B47049"/>
    <w:rsid w:val="00B47289"/>
    <w:rsid w:val="00B47A9B"/>
    <w:rsid w:val="00B47E82"/>
    <w:rsid w:val="00B47EAF"/>
    <w:rsid w:val="00B47EF4"/>
    <w:rsid w:val="00B47F59"/>
    <w:rsid w:val="00B5005D"/>
    <w:rsid w:val="00B501AD"/>
    <w:rsid w:val="00B502E7"/>
    <w:rsid w:val="00B50454"/>
    <w:rsid w:val="00B5048E"/>
    <w:rsid w:val="00B504D4"/>
    <w:rsid w:val="00B50566"/>
    <w:rsid w:val="00B505FD"/>
    <w:rsid w:val="00B50711"/>
    <w:rsid w:val="00B50AB8"/>
    <w:rsid w:val="00B50C6A"/>
    <w:rsid w:val="00B50C8A"/>
    <w:rsid w:val="00B5149E"/>
    <w:rsid w:val="00B517F8"/>
    <w:rsid w:val="00B5183F"/>
    <w:rsid w:val="00B51979"/>
    <w:rsid w:val="00B51A65"/>
    <w:rsid w:val="00B51A6A"/>
    <w:rsid w:val="00B51DBB"/>
    <w:rsid w:val="00B51FF2"/>
    <w:rsid w:val="00B521D0"/>
    <w:rsid w:val="00B5233E"/>
    <w:rsid w:val="00B52520"/>
    <w:rsid w:val="00B52684"/>
    <w:rsid w:val="00B528F3"/>
    <w:rsid w:val="00B52A02"/>
    <w:rsid w:val="00B52F7E"/>
    <w:rsid w:val="00B53165"/>
    <w:rsid w:val="00B53566"/>
    <w:rsid w:val="00B5362D"/>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3D1"/>
    <w:rsid w:val="00B55433"/>
    <w:rsid w:val="00B55894"/>
    <w:rsid w:val="00B558F6"/>
    <w:rsid w:val="00B55B8F"/>
    <w:rsid w:val="00B55D61"/>
    <w:rsid w:val="00B55F8D"/>
    <w:rsid w:val="00B5600E"/>
    <w:rsid w:val="00B56297"/>
    <w:rsid w:val="00B5651D"/>
    <w:rsid w:val="00B56796"/>
    <w:rsid w:val="00B56AF7"/>
    <w:rsid w:val="00B56B9B"/>
    <w:rsid w:val="00B56B9D"/>
    <w:rsid w:val="00B56F47"/>
    <w:rsid w:val="00B57039"/>
    <w:rsid w:val="00B574D6"/>
    <w:rsid w:val="00B574DA"/>
    <w:rsid w:val="00B57A5C"/>
    <w:rsid w:val="00B57DA4"/>
    <w:rsid w:val="00B57DFA"/>
    <w:rsid w:val="00B60168"/>
    <w:rsid w:val="00B60531"/>
    <w:rsid w:val="00B605F5"/>
    <w:rsid w:val="00B606D8"/>
    <w:rsid w:val="00B60720"/>
    <w:rsid w:val="00B609CF"/>
    <w:rsid w:val="00B60B94"/>
    <w:rsid w:val="00B60D77"/>
    <w:rsid w:val="00B6133F"/>
    <w:rsid w:val="00B6140D"/>
    <w:rsid w:val="00B614FB"/>
    <w:rsid w:val="00B615B0"/>
    <w:rsid w:val="00B6161C"/>
    <w:rsid w:val="00B61741"/>
    <w:rsid w:val="00B61C14"/>
    <w:rsid w:val="00B61E60"/>
    <w:rsid w:val="00B61EEC"/>
    <w:rsid w:val="00B62057"/>
    <w:rsid w:val="00B620EB"/>
    <w:rsid w:val="00B62742"/>
    <w:rsid w:val="00B6277A"/>
    <w:rsid w:val="00B627DF"/>
    <w:rsid w:val="00B62A1E"/>
    <w:rsid w:val="00B62A55"/>
    <w:rsid w:val="00B62B23"/>
    <w:rsid w:val="00B62C60"/>
    <w:rsid w:val="00B62DF4"/>
    <w:rsid w:val="00B62DFA"/>
    <w:rsid w:val="00B632AA"/>
    <w:rsid w:val="00B63385"/>
    <w:rsid w:val="00B635F8"/>
    <w:rsid w:val="00B6387E"/>
    <w:rsid w:val="00B6391C"/>
    <w:rsid w:val="00B639A5"/>
    <w:rsid w:val="00B63AB7"/>
    <w:rsid w:val="00B63C37"/>
    <w:rsid w:val="00B63CBC"/>
    <w:rsid w:val="00B63E94"/>
    <w:rsid w:val="00B63F7D"/>
    <w:rsid w:val="00B64064"/>
    <w:rsid w:val="00B6437B"/>
    <w:rsid w:val="00B64439"/>
    <w:rsid w:val="00B64479"/>
    <w:rsid w:val="00B644CF"/>
    <w:rsid w:val="00B645A6"/>
    <w:rsid w:val="00B64BC8"/>
    <w:rsid w:val="00B64D0E"/>
    <w:rsid w:val="00B654E9"/>
    <w:rsid w:val="00B65616"/>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A47"/>
    <w:rsid w:val="00B67B72"/>
    <w:rsid w:val="00B67FAD"/>
    <w:rsid w:val="00B7022A"/>
    <w:rsid w:val="00B7048E"/>
    <w:rsid w:val="00B705FC"/>
    <w:rsid w:val="00B70771"/>
    <w:rsid w:val="00B709B3"/>
    <w:rsid w:val="00B71188"/>
    <w:rsid w:val="00B71267"/>
    <w:rsid w:val="00B714AC"/>
    <w:rsid w:val="00B7153E"/>
    <w:rsid w:val="00B71628"/>
    <w:rsid w:val="00B716A9"/>
    <w:rsid w:val="00B71770"/>
    <w:rsid w:val="00B71881"/>
    <w:rsid w:val="00B71BFD"/>
    <w:rsid w:val="00B7217B"/>
    <w:rsid w:val="00B721D9"/>
    <w:rsid w:val="00B7226F"/>
    <w:rsid w:val="00B72639"/>
    <w:rsid w:val="00B72767"/>
    <w:rsid w:val="00B7282B"/>
    <w:rsid w:val="00B72948"/>
    <w:rsid w:val="00B72C26"/>
    <w:rsid w:val="00B72E2A"/>
    <w:rsid w:val="00B72F6D"/>
    <w:rsid w:val="00B72FA9"/>
    <w:rsid w:val="00B73062"/>
    <w:rsid w:val="00B7372C"/>
    <w:rsid w:val="00B738DB"/>
    <w:rsid w:val="00B73B96"/>
    <w:rsid w:val="00B73D9B"/>
    <w:rsid w:val="00B740D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5BBA"/>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DB6"/>
    <w:rsid w:val="00B81F79"/>
    <w:rsid w:val="00B81FBD"/>
    <w:rsid w:val="00B8224B"/>
    <w:rsid w:val="00B8252D"/>
    <w:rsid w:val="00B8275D"/>
    <w:rsid w:val="00B8278C"/>
    <w:rsid w:val="00B827B3"/>
    <w:rsid w:val="00B827BF"/>
    <w:rsid w:val="00B82949"/>
    <w:rsid w:val="00B8298E"/>
    <w:rsid w:val="00B82A42"/>
    <w:rsid w:val="00B82D59"/>
    <w:rsid w:val="00B82DCD"/>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AFC"/>
    <w:rsid w:val="00B84C82"/>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C24"/>
    <w:rsid w:val="00B86EC0"/>
    <w:rsid w:val="00B86F6F"/>
    <w:rsid w:val="00B87270"/>
    <w:rsid w:val="00B87385"/>
    <w:rsid w:val="00B879A4"/>
    <w:rsid w:val="00B879AB"/>
    <w:rsid w:val="00B87DBE"/>
    <w:rsid w:val="00B87EEE"/>
    <w:rsid w:val="00B87EF2"/>
    <w:rsid w:val="00B900E9"/>
    <w:rsid w:val="00B9012D"/>
    <w:rsid w:val="00B90535"/>
    <w:rsid w:val="00B90566"/>
    <w:rsid w:val="00B905E0"/>
    <w:rsid w:val="00B90619"/>
    <w:rsid w:val="00B908C8"/>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79"/>
    <w:rsid w:val="00B95DBF"/>
    <w:rsid w:val="00B95E24"/>
    <w:rsid w:val="00B96224"/>
    <w:rsid w:val="00B9626C"/>
    <w:rsid w:val="00B962F3"/>
    <w:rsid w:val="00B96418"/>
    <w:rsid w:val="00B9649D"/>
    <w:rsid w:val="00B96C70"/>
    <w:rsid w:val="00B96D23"/>
    <w:rsid w:val="00B96D4F"/>
    <w:rsid w:val="00B96D54"/>
    <w:rsid w:val="00B96ED9"/>
    <w:rsid w:val="00B97104"/>
    <w:rsid w:val="00B977B6"/>
    <w:rsid w:val="00B97934"/>
    <w:rsid w:val="00B97A1F"/>
    <w:rsid w:val="00B97A26"/>
    <w:rsid w:val="00B97A7A"/>
    <w:rsid w:val="00B97D6A"/>
    <w:rsid w:val="00B97D76"/>
    <w:rsid w:val="00B97FA4"/>
    <w:rsid w:val="00BA01F4"/>
    <w:rsid w:val="00BA0325"/>
    <w:rsid w:val="00BA03BD"/>
    <w:rsid w:val="00BA04CC"/>
    <w:rsid w:val="00BA0564"/>
    <w:rsid w:val="00BA070E"/>
    <w:rsid w:val="00BA083E"/>
    <w:rsid w:val="00BA08F2"/>
    <w:rsid w:val="00BA0A5E"/>
    <w:rsid w:val="00BA0BB1"/>
    <w:rsid w:val="00BA0D70"/>
    <w:rsid w:val="00BA0E24"/>
    <w:rsid w:val="00BA1112"/>
    <w:rsid w:val="00BA12C3"/>
    <w:rsid w:val="00BA1432"/>
    <w:rsid w:val="00BA15B9"/>
    <w:rsid w:val="00BA1913"/>
    <w:rsid w:val="00BA198C"/>
    <w:rsid w:val="00BA1AD6"/>
    <w:rsid w:val="00BA1C33"/>
    <w:rsid w:val="00BA1DA0"/>
    <w:rsid w:val="00BA1DF1"/>
    <w:rsid w:val="00BA1F19"/>
    <w:rsid w:val="00BA1FBE"/>
    <w:rsid w:val="00BA20CC"/>
    <w:rsid w:val="00BA23F6"/>
    <w:rsid w:val="00BA242D"/>
    <w:rsid w:val="00BA246A"/>
    <w:rsid w:val="00BA27FC"/>
    <w:rsid w:val="00BA3271"/>
    <w:rsid w:val="00BA3A40"/>
    <w:rsid w:val="00BA3FED"/>
    <w:rsid w:val="00BA401F"/>
    <w:rsid w:val="00BA424C"/>
    <w:rsid w:val="00BA43C9"/>
    <w:rsid w:val="00BA48DE"/>
    <w:rsid w:val="00BA4931"/>
    <w:rsid w:val="00BA4950"/>
    <w:rsid w:val="00BA4A43"/>
    <w:rsid w:val="00BA4AC6"/>
    <w:rsid w:val="00BA4CD6"/>
    <w:rsid w:val="00BA4CFB"/>
    <w:rsid w:val="00BA4D1B"/>
    <w:rsid w:val="00BA5729"/>
    <w:rsid w:val="00BA578E"/>
    <w:rsid w:val="00BA5CD2"/>
    <w:rsid w:val="00BA5CF4"/>
    <w:rsid w:val="00BA5DA3"/>
    <w:rsid w:val="00BA5E0C"/>
    <w:rsid w:val="00BA5EA4"/>
    <w:rsid w:val="00BA5F47"/>
    <w:rsid w:val="00BA615C"/>
    <w:rsid w:val="00BA62AC"/>
    <w:rsid w:val="00BA639F"/>
    <w:rsid w:val="00BA650B"/>
    <w:rsid w:val="00BA6B0A"/>
    <w:rsid w:val="00BA6C68"/>
    <w:rsid w:val="00BA7008"/>
    <w:rsid w:val="00BA7068"/>
    <w:rsid w:val="00BA71B4"/>
    <w:rsid w:val="00BA7218"/>
    <w:rsid w:val="00BA72BD"/>
    <w:rsid w:val="00BA73E5"/>
    <w:rsid w:val="00BA73F4"/>
    <w:rsid w:val="00BA78BA"/>
    <w:rsid w:val="00BA7AB7"/>
    <w:rsid w:val="00BA7E56"/>
    <w:rsid w:val="00BB00AA"/>
    <w:rsid w:val="00BB00FE"/>
    <w:rsid w:val="00BB046D"/>
    <w:rsid w:val="00BB04FF"/>
    <w:rsid w:val="00BB0673"/>
    <w:rsid w:val="00BB09BC"/>
    <w:rsid w:val="00BB0A06"/>
    <w:rsid w:val="00BB0B5D"/>
    <w:rsid w:val="00BB0C8E"/>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2"/>
    <w:rsid w:val="00BB2883"/>
    <w:rsid w:val="00BB29BF"/>
    <w:rsid w:val="00BB2B37"/>
    <w:rsid w:val="00BB2CC6"/>
    <w:rsid w:val="00BB30FF"/>
    <w:rsid w:val="00BB3306"/>
    <w:rsid w:val="00BB33C2"/>
    <w:rsid w:val="00BB3442"/>
    <w:rsid w:val="00BB38EA"/>
    <w:rsid w:val="00BB39E4"/>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76"/>
    <w:rsid w:val="00BB55B4"/>
    <w:rsid w:val="00BB581B"/>
    <w:rsid w:val="00BB5830"/>
    <w:rsid w:val="00BB58F8"/>
    <w:rsid w:val="00BB5B64"/>
    <w:rsid w:val="00BB5EB3"/>
    <w:rsid w:val="00BB5F9B"/>
    <w:rsid w:val="00BB5FB1"/>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DAA"/>
    <w:rsid w:val="00BB7EEF"/>
    <w:rsid w:val="00BB7F93"/>
    <w:rsid w:val="00BC0005"/>
    <w:rsid w:val="00BC001B"/>
    <w:rsid w:val="00BC003D"/>
    <w:rsid w:val="00BC02EA"/>
    <w:rsid w:val="00BC0561"/>
    <w:rsid w:val="00BC0766"/>
    <w:rsid w:val="00BC082A"/>
    <w:rsid w:val="00BC0B24"/>
    <w:rsid w:val="00BC0DBD"/>
    <w:rsid w:val="00BC0E3E"/>
    <w:rsid w:val="00BC0EBB"/>
    <w:rsid w:val="00BC0EF4"/>
    <w:rsid w:val="00BC0FF3"/>
    <w:rsid w:val="00BC13D1"/>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25"/>
    <w:rsid w:val="00BC3E8D"/>
    <w:rsid w:val="00BC41B4"/>
    <w:rsid w:val="00BC44C8"/>
    <w:rsid w:val="00BC452B"/>
    <w:rsid w:val="00BC47FA"/>
    <w:rsid w:val="00BC48C2"/>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7DF"/>
    <w:rsid w:val="00BC6C1B"/>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D90"/>
    <w:rsid w:val="00BD0E5B"/>
    <w:rsid w:val="00BD0FFE"/>
    <w:rsid w:val="00BD123F"/>
    <w:rsid w:val="00BD133D"/>
    <w:rsid w:val="00BD1389"/>
    <w:rsid w:val="00BD1500"/>
    <w:rsid w:val="00BD1589"/>
    <w:rsid w:val="00BD1792"/>
    <w:rsid w:val="00BD1A29"/>
    <w:rsid w:val="00BD1ABB"/>
    <w:rsid w:val="00BD1AC4"/>
    <w:rsid w:val="00BD1B2D"/>
    <w:rsid w:val="00BD1C3D"/>
    <w:rsid w:val="00BD2742"/>
    <w:rsid w:val="00BD2766"/>
    <w:rsid w:val="00BD2926"/>
    <w:rsid w:val="00BD299E"/>
    <w:rsid w:val="00BD2A5C"/>
    <w:rsid w:val="00BD2A66"/>
    <w:rsid w:val="00BD2AE5"/>
    <w:rsid w:val="00BD2C5F"/>
    <w:rsid w:val="00BD2D35"/>
    <w:rsid w:val="00BD2E77"/>
    <w:rsid w:val="00BD30CC"/>
    <w:rsid w:val="00BD32B6"/>
    <w:rsid w:val="00BD34DB"/>
    <w:rsid w:val="00BD3819"/>
    <w:rsid w:val="00BD3855"/>
    <w:rsid w:val="00BD3919"/>
    <w:rsid w:val="00BD3B4D"/>
    <w:rsid w:val="00BD3EAD"/>
    <w:rsid w:val="00BD3EC2"/>
    <w:rsid w:val="00BD412C"/>
    <w:rsid w:val="00BD41B0"/>
    <w:rsid w:val="00BD4327"/>
    <w:rsid w:val="00BD44B6"/>
    <w:rsid w:val="00BD4632"/>
    <w:rsid w:val="00BD480C"/>
    <w:rsid w:val="00BD4B10"/>
    <w:rsid w:val="00BD4C67"/>
    <w:rsid w:val="00BD4CC2"/>
    <w:rsid w:val="00BD4CED"/>
    <w:rsid w:val="00BD4EE8"/>
    <w:rsid w:val="00BD4F99"/>
    <w:rsid w:val="00BD5101"/>
    <w:rsid w:val="00BD51F2"/>
    <w:rsid w:val="00BD5375"/>
    <w:rsid w:val="00BD5397"/>
    <w:rsid w:val="00BD53A6"/>
    <w:rsid w:val="00BD5C3F"/>
    <w:rsid w:val="00BD5CEA"/>
    <w:rsid w:val="00BD5E45"/>
    <w:rsid w:val="00BD5FDF"/>
    <w:rsid w:val="00BD64AF"/>
    <w:rsid w:val="00BD6552"/>
    <w:rsid w:val="00BD65DA"/>
    <w:rsid w:val="00BD66D6"/>
    <w:rsid w:val="00BD68EA"/>
    <w:rsid w:val="00BD6CD9"/>
    <w:rsid w:val="00BD6D6D"/>
    <w:rsid w:val="00BD7023"/>
    <w:rsid w:val="00BD720C"/>
    <w:rsid w:val="00BD7317"/>
    <w:rsid w:val="00BD732A"/>
    <w:rsid w:val="00BD7F8E"/>
    <w:rsid w:val="00BE02B3"/>
    <w:rsid w:val="00BE050B"/>
    <w:rsid w:val="00BE0590"/>
    <w:rsid w:val="00BE080D"/>
    <w:rsid w:val="00BE0AB8"/>
    <w:rsid w:val="00BE0E8B"/>
    <w:rsid w:val="00BE0FB8"/>
    <w:rsid w:val="00BE13D8"/>
    <w:rsid w:val="00BE14A0"/>
    <w:rsid w:val="00BE1866"/>
    <w:rsid w:val="00BE19F0"/>
    <w:rsid w:val="00BE1D5A"/>
    <w:rsid w:val="00BE1E31"/>
    <w:rsid w:val="00BE1F26"/>
    <w:rsid w:val="00BE21BC"/>
    <w:rsid w:val="00BE2249"/>
    <w:rsid w:val="00BE248C"/>
    <w:rsid w:val="00BE2593"/>
    <w:rsid w:val="00BE26BD"/>
    <w:rsid w:val="00BE26D7"/>
    <w:rsid w:val="00BE27F3"/>
    <w:rsid w:val="00BE2CD1"/>
    <w:rsid w:val="00BE3451"/>
    <w:rsid w:val="00BE3506"/>
    <w:rsid w:val="00BE3990"/>
    <w:rsid w:val="00BE3AE6"/>
    <w:rsid w:val="00BE3CA2"/>
    <w:rsid w:val="00BE3E18"/>
    <w:rsid w:val="00BE3FAB"/>
    <w:rsid w:val="00BE4A40"/>
    <w:rsid w:val="00BE4B1D"/>
    <w:rsid w:val="00BE53DF"/>
    <w:rsid w:val="00BE54CF"/>
    <w:rsid w:val="00BE5604"/>
    <w:rsid w:val="00BE5642"/>
    <w:rsid w:val="00BE5713"/>
    <w:rsid w:val="00BE5749"/>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8C"/>
    <w:rsid w:val="00BE69C2"/>
    <w:rsid w:val="00BE6B3F"/>
    <w:rsid w:val="00BE6C29"/>
    <w:rsid w:val="00BE6EFA"/>
    <w:rsid w:val="00BE6F03"/>
    <w:rsid w:val="00BE6F11"/>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0F34"/>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4D"/>
    <w:rsid w:val="00BF34E7"/>
    <w:rsid w:val="00BF3777"/>
    <w:rsid w:val="00BF3914"/>
    <w:rsid w:val="00BF3A01"/>
    <w:rsid w:val="00BF3BF6"/>
    <w:rsid w:val="00BF3EC6"/>
    <w:rsid w:val="00BF48F4"/>
    <w:rsid w:val="00BF497A"/>
    <w:rsid w:val="00BF4B98"/>
    <w:rsid w:val="00BF4DE8"/>
    <w:rsid w:val="00BF4FE8"/>
    <w:rsid w:val="00BF5088"/>
    <w:rsid w:val="00BF521E"/>
    <w:rsid w:val="00BF5268"/>
    <w:rsid w:val="00BF5342"/>
    <w:rsid w:val="00BF538E"/>
    <w:rsid w:val="00BF54EE"/>
    <w:rsid w:val="00BF5702"/>
    <w:rsid w:val="00BF579F"/>
    <w:rsid w:val="00BF581D"/>
    <w:rsid w:val="00BF592D"/>
    <w:rsid w:val="00BF5A3F"/>
    <w:rsid w:val="00BF5EF0"/>
    <w:rsid w:val="00BF607A"/>
    <w:rsid w:val="00BF63C4"/>
    <w:rsid w:val="00BF659C"/>
    <w:rsid w:val="00BF660A"/>
    <w:rsid w:val="00BF67EF"/>
    <w:rsid w:val="00BF68A0"/>
    <w:rsid w:val="00BF68D9"/>
    <w:rsid w:val="00BF6AB5"/>
    <w:rsid w:val="00BF6B12"/>
    <w:rsid w:val="00BF6B85"/>
    <w:rsid w:val="00BF721B"/>
    <w:rsid w:val="00BF727A"/>
    <w:rsid w:val="00BF73F0"/>
    <w:rsid w:val="00BF744E"/>
    <w:rsid w:val="00BF7780"/>
    <w:rsid w:val="00BF7813"/>
    <w:rsid w:val="00BF7845"/>
    <w:rsid w:val="00BF7865"/>
    <w:rsid w:val="00BF7BF2"/>
    <w:rsid w:val="00BF7C8B"/>
    <w:rsid w:val="00C0000C"/>
    <w:rsid w:val="00C0079C"/>
    <w:rsid w:val="00C0083C"/>
    <w:rsid w:val="00C009F0"/>
    <w:rsid w:val="00C010A8"/>
    <w:rsid w:val="00C0141D"/>
    <w:rsid w:val="00C014DE"/>
    <w:rsid w:val="00C0152B"/>
    <w:rsid w:val="00C0164A"/>
    <w:rsid w:val="00C01798"/>
    <w:rsid w:val="00C017BF"/>
    <w:rsid w:val="00C019FC"/>
    <w:rsid w:val="00C01B0B"/>
    <w:rsid w:val="00C01E7D"/>
    <w:rsid w:val="00C01EBD"/>
    <w:rsid w:val="00C01F1E"/>
    <w:rsid w:val="00C02001"/>
    <w:rsid w:val="00C0202B"/>
    <w:rsid w:val="00C02049"/>
    <w:rsid w:val="00C021BB"/>
    <w:rsid w:val="00C021EB"/>
    <w:rsid w:val="00C02299"/>
    <w:rsid w:val="00C0240F"/>
    <w:rsid w:val="00C0277E"/>
    <w:rsid w:val="00C029EA"/>
    <w:rsid w:val="00C02A20"/>
    <w:rsid w:val="00C02B39"/>
    <w:rsid w:val="00C02B4F"/>
    <w:rsid w:val="00C02DE3"/>
    <w:rsid w:val="00C02ECB"/>
    <w:rsid w:val="00C02FE1"/>
    <w:rsid w:val="00C03012"/>
    <w:rsid w:val="00C03526"/>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91"/>
    <w:rsid w:val="00C051D9"/>
    <w:rsid w:val="00C0525D"/>
    <w:rsid w:val="00C05451"/>
    <w:rsid w:val="00C0555E"/>
    <w:rsid w:val="00C0558B"/>
    <w:rsid w:val="00C05613"/>
    <w:rsid w:val="00C05699"/>
    <w:rsid w:val="00C057EE"/>
    <w:rsid w:val="00C058D4"/>
    <w:rsid w:val="00C05A1B"/>
    <w:rsid w:val="00C05B9C"/>
    <w:rsid w:val="00C05BE5"/>
    <w:rsid w:val="00C05C4E"/>
    <w:rsid w:val="00C05CB8"/>
    <w:rsid w:val="00C05E55"/>
    <w:rsid w:val="00C0606C"/>
    <w:rsid w:val="00C063D9"/>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08D"/>
    <w:rsid w:val="00C10462"/>
    <w:rsid w:val="00C106BA"/>
    <w:rsid w:val="00C10792"/>
    <w:rsid w:val="00C108D4"/>
    <w:rsid w:val="00C1092E"/>
    <w:rsid w:val="00C10B90"/>
    <w:rsid w:val="00C10C7E"/>
    <w:rsid w:val="00C10DC1"/>
    <w:rsid w:val="00C112DF"/>
    <w:rsid w:val="00C1166D"/>
    <w:rsid w:val="00C1195F"/>
    <w:rsid w:val="00C119A8"/>
    <w:rsid w:val="00C119EF"/>
    <w:rsid w:val="00C11AAC"/>
    <w:rsid w:val="00C11D8F"/>
    <w:rsid w:val="00C11E99"/>
    <w:rsid w:val="00C11EE1"/>
    <w:rsid w:val="00C123F5"/>
    <w:rsid w:val="00C12574"/>
    <w:rsid w:val="00C125F2"/>
    <w:rsid w:val="00C12A56"/>
    <w:rsid w:val="00C12BF3"/>
    <w:rsid w:val="00C12C47"/>
    <w:rsid w:val="00C12C7C"/>
    <w:rsid w:val="00C12DE2"/>
    <w:rsid w:val="00C12E59"/>
    <w:rsid w:val="00C12E7E"/>
    <w:rsid w:val="00C12E82"/>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2E"/>
    <w:rsid w:val="00C16AAA"/>
    <w:rsid w:val="00C16CBF"/>
    <w:rsid w:val="00C176E9"/>
    <w:rsid w:val="00C178E6"/>
    <w:rsid w:val="00C179EB"/>
    <w:rsid w:val="00C17EA5"/>
    <w:rsid w:val="00C17FC3"/>
    <w:rsid w:val="00C2012B"/>
    <w:rsid w:val="00C203E8"/>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417"/>
    <w:rsid w:val="00C245B1"/>
    <w:rsid w:val="00C24672"/>
    <w:rsid w:val="00C246EA"/>
    <w:rsid w:val="00C247C0"/>
    <w:rsid w:val="00C248A8"/>
    <w:rsid w:val="00C24FF6"/>
    <w:rsid w:val="00C250CC"/>
    <w:rsid w:val="00C253D2"/>
    <w:rsid w:val="00C25A2D"/>
    <w:rsid w:val="00C25EFB"/>
    <w:rsid w:val="00C26018"/>
    <w:rsid w:val="00C267F3"/>
    <w:rsid w:val="00C2684E"/>
    <w:rsid w:val="00C26B1C"/>
    <w:rsid w:val="00C26BBA"/>
    <w:rsid w:val="00C26BE9"/>
    <w:rsid w:val="00C26D6D"/>
    <w:rsid w:val="00C26E34"/>
    <w:rsid w:val="00C2730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BE3"/>
    <w:rsid w:val="00C30C25"/>
    <w:rsid w:val="00C30D7D"/>
    <w:rsid w:val="00C30DE6"/>
    <w:rsid w:val="00C31173"/>
    <w:rsid w:val="00C312DF"/>
    <w:rsid w:val="00C31501"/>
    <w:rsid w:val="00C315AB"/>
    <w:rsid w:val="00C316DD"/>
    <w:rsid w:val="00C31CD6"/>
    <w:rsid w:val="00C31DE7"/>
    <w:rsid w:val="00C31E10"/>
    <w:rsid w:val="00C320B7"/>
    <w:rsid w:val="00C32243"/>
    <w:rsid w:val="00C322D1"/>
    <w:rsid w:val="00C3252A"/>
    <w:rsid w:val="00C325BB"/>
    <w:rsid w:val="00C3278C"/>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312"/>
    <w:rsid w:val="00C35562"/>
    <w:rsid w:val="00C3571B"/>
    <w:rsid w:val="00C35744"/>
    <w:rsid w:val="00C35A5F"/>
    <w:rsid w:val="00C35AA4"/>
    <w:rsid w:val="00C35B2C"/>
    <w:rsid w:val="00C35D8E"/>
    <w:rsid w:val="00C35E70"/>
    <w:rsid w:val="00C360CA"/>
    <w:rsid w:val="00C36143"/>
    <w:rsid w:val="00C361B3"/>
    <w:rsid w:val="00C361FF"/>
    <w:rsid w:val="00C36550"/>
    <w:rsid w:val="00C367C7"/>
    <w:rsid w:val="00C367EC"/>
    <w:rsid w:val="00C3691E"/>
    <w:rsid w:val="00C36963"/>
    <w:rsid w:val="00C369A6"/>
    <w:rsid w:val="00C369AA"/>
    <w:rsid w:val="00C36A9A"/>
    <w:rsid w:val="00C36AD2"/>
    <w:rsid w:val="00C36B32"/>
    <w:rsid w:val="00C36CE4"/>
    <w:rsid w:val="00C36E60"/>
    <w:rsid w:val="00C37096"/>
    <w:rsid w:val="00C3709C"/>
    <w:rsid w:val="00C370AD"/>
    <w:rsid w:val="00C3715C"/>
    <w:rsid w:val="00C37397"/>
    <w:rsid w:val="00C3743B"/>
    <w:rsid w:val="00C374D6"/>
    <w:rsid w:val="00C37618"/>
    <w:rsid w:val="00C37689"/>
    <w:rsid w:val="00C37D11"/>
    <w:rsid w:val="00C37D38"/>
    <w:rsid w:val="00C37FED"/>
    <w:rsid w:val="00C406A2"/>
    <w:rsid w:val="00C40A33"/>
    <w:rsid w:val="00C40AA1"/>
    <w:rsid w:val="00C40B04"/>
    <w:rsid w:val="00C40B8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70C"/>
    <w:rsid w:val="00C53937"/>
    <w:rsid w:val="00C53BD5"/>
    <w:rsid w:val="00C53D31"/>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1FE"/>
    <w:rsid w:val="00C55335"/>
    <w:rsid w:val="00C55368"/>
    <w:rsid w:val="00C553AD"/>
    <w:rsid w:val="00C554B9"/>
    <w:rsid w:val="00C5572A"/>
    <w:rsid w:val="00C55863"/>
    <w:rsid w:val="00C5586A"/>
    <w:rsid w:val="00C55CBF"/>
    <w:rsid w:val="00C55CE9"/>
    <w:rsid w:val="00C55D12"/>
    <w:rsid w:val="00C55DBC"/>
    <w:rsid w:val="00C55E8F"/>
    <w:rsid w:val="00C55EC4"/>
    <w:rsid w:val="00C561BB"/>
    <w:rsid w:val="00C56708"/>
    <w:rsid w:val="00C56779"/>
    <w:rsid w:val="00C5683B"/>
    <w:rsid w:val="00C56842"/>
    <w:rsid w:val="00C56861"/>
    <w:rsid w:val="00C568F7"/>
    <w:rsid w:val="00C56901"/>
    <w:rsid w:val="00C56E1F"/>
    <w:rsid w:val="00C5707C"/>
    <w:rsid w:val="00C572B3"/>
    <w:rsid w:val="00C57632"/>
    <w:rsid w:val="00C576D9"/>
    <w:rsid w:val="00C5776B"/>
    <w:rsid w:val="00C5797D"/>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710"/>
    <w:rsid w:val="00C6283E"/>
    <w:rsid w:val="00C62C6C"/>
    <w:rsid w:val="00C63336"/>
    <w:rsid w:val="00C63370"/>
    <w:rsid w:val="00C636BA"/>
    <w:rsid w:val="00C638E0"/>
    <w:rsid w:val="00C63D71"/>
    <w:rsid w:val="00C63DEE"/>
    <w:rsid w:val="00C63EE7"/>
    <w:rsid w:val="00C63F9C"/>
    <w:rsid w:val="00C64232"/>
    <w:rsid w:val="00C6452E"/>
    <w:rsid w:val="00C645FE"/>
    <w:rsid w:val="00C64994"/>
    <w:rsid w:val="00C64E9E"/>
    <w:rsid w:val="00C65012"/>
    <w:rsid w:val="00C653A3"/>
    <w:rsid w:val="00C6549F"/>
    <w:rsid w:val="00C65635"/>
    <w:rsid w:val="00C6572B"/>
    <w:rsid w:val="00C65838"/>
    <w:rsid w:val="00C65A2C"/>
    <w:rsid w:val="00C65BFD"/>
    <w:rsid w:val="00C65E23"/>
    <w:rsid w:val="00C65EA3"/>
    <w:rsid w:val="00C65FCA"/>
    <w:rsid w:val="00C6609F"/>
    <w:rsid w:val="00C6633B"/>
    <w:rsid w:val="00C667C4"/>
    <w:rsid w:val="00C6681D"/>
    <w:rsid w:val="00C66B29"/>
    <w:rsid w:val="00C6703C"/>
    <w:rsid w:val="00C6742F"/>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B23"/>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D74"/>
    <w:rsid w:val="00C72EA2"/>
    <w:rsid w:val="00C72EBD"/>
    <w:rsid w:val="00C72F03"/>
    <w:rsid w:val="00C7322E"/>
    <w:rsid w:val="00C73443"/>
    <w:rsid w:val="00C7349A"/>
    <w:rsid w:val="00C73553"/>
    <w:rsid w:val="00C73633"/>
    <w:rsid w:val="00C736EA"/>
    <w:rsid w:val="00C73803"/>
    <w:rsid w:val="00C73918"/>
    <w:rsid w:val="00C73965"/>
    <w:rsid w:val="00C739FE"/>
    <w:rsid w:val="00C73CEC"/>
    <w:rsid w:val="00C73DCD"/>
    <w:rsid w:val="00C73EA6"/>
    <w:rsid w:val="00C745C6"/>
    <w:rsid w:val="00C74CEC"/>
    <w:rsid w:val="00C74EBE"/>
    <w:rsid w:val="00C751DF"/>
    <w:rsid w:val="00C753CF"/>
    <w:rsid w:val="00C75657"/>
    <w:rsid w:val="00C75782"/>
    <w:rsid w:val="00C759F3"/>
    <w:rsid w:val="00C75A9D"/>
    <w:rsid w:val="00C75AA9"/>
    <w:rsid w:val="00C75CE8"/>
    <w:rsid w:val="00C7614A"/>
    <w:rsid w:val="00C761D5"/>
    <w:rsid w:val="00C764D9"/>
    <w:rsid w:val="00C76646"/>
    <w:rsid w:val="00C766E7"/>
    <w:rsid w:val="00C7671C"/>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CC0"/>
    <w:rsid w:val="00C81E70"/>
    <w:rsid w:val="00C8207F"/>
    <w:rsid w:val="00C8272D"/>
    <w:rsid w:val="00C82922"/>
    <w:rsid w:val="00C82968"/>
    <w:rsid w:val="00C82CCB"/>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283"/>
    <w:rsid w:val="00C85287"/>
    <w:rsid w:val="00C85567"/>
    <w:rsid w:val="00C85753"/>
    <w:rsid w:val="00C85814"/>
    <w:rsid w:val="00C85816"/>
    <w:rsid w:val="00C85A0A"/>
    <w:rsid w:val="00C85D43"/>
    <w:rsid w:val="00C85F9E"/>
    <w:rsid w:val="00C85FD2"/>
    <w:rsid w:val="00C85FD9"/>
    <w:rsid w:val="00C8602D"/>
    <w:rsid w:val="00C8609E"/>
    <w:rsid w:val="00C860A9"/>
    <w:rsid w:val="00C86277"/>
    <w:rsid w:val="00C862C8"/>
    <w:rsid w:val="00C863DC"/>
    <w:rsid w:val="00C8665D"/>
    <w:rsid w:val="00C8675E"/>
    <w:rsid w:val="00C86873"/>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004"/>
    <w:rsid w:val="00C9112C"/>
    <w:rsid w:val="00C9116D"/>
    <w:rsid w:val="00C911DB"/>
    <w:rsid w:val="00C9186A"/>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51E"/>
    <w:rsid w:val="00C9653C"/>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97FC4"/>
    <w:rsid w:val="00CA03BA"/>
    <w:rsid w:val="00CA043C"/>
    <w:rsid w:val="00CA057D"/>
    <w:rsid w:val="00CA0A26"/>
    <w:rsid w:val="00CA0A48"/>
    <w:rsid w:val="00CA0BEF"/>
    <w:rsid w:val="00CA0D2F"/>
    <w:rsid w:val="00CA0E21"/>
    <w:rsid w:val="00CA0EF4"/>
    <w:rsid w:val="00CA1363"/>
    <w:rsid w:val="00CA13E0"/>
    <w:rsid w:val="00CA1414"/>
    <w:rsid w:val="00CA1505"/>
    <w:rsid w:val="00CA16B4"/>
    <w:rsid w:val="00CA17E9"/>
    <w:rsid w:val="00CA1851"/>
    <w:rsid w:val="00CA189C"/>
    <w:rsid w:val="00CA18FF"/>
    <w:rsid w:val="00CA1C56"/>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338"/>
    <w:rsid w:val="00CA4534"/>
    <w:rsid w:val="00CA49D0"/>
    <w:rsid w:val="00CA4B1F"/>
    <w:rsid w:val="00CA4BFB"/>
    <w:rsid w:val="00CA4E3D"/>
    <w:rsid w:val="00CA4E51"/>
    <w:rsid w:val="00CA514E"/>
    <w:rsid w:val="00CA51B8"/>
    <w:rsid w:val="00CA5654"/>
    <w:rsid w:val="00CA5663"/>
    <w:rsid w:val="00CA5698"/>
    <w:rsid w:val="00CA5789"/>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4939"/>
    <w:rsid w:val="00CB5364"/>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8D3"/>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50B"/>
    <w:rsid w:val="00CC259B"/>
    <w:rsid w:val="00CC2701"/>
    <w:rsid w:val="00CC293A"/>
    <w:rsid w:val="00CC2A27"/>
    <w:rsid w:val="00CC2DC0"/>
    <w:rsid w:val="00CC2E12"/>
    <w:rsid w:val="00CC2E8A"/>
    <w:rsid w:val="00CC3237"/>
    <w:rsid w:val="00CC32E7"/>
    <w:rsid w:val="00CC35A9"/>
    <w:rsid w:val="00CC36DC"/>
    <w:rsid w:val="00CC3B57"/>
    <w:rsid w:val="00CC3CF5"/>
    <w:rsid w:val="00CC4179"/>
    <w:rsid w:val="00CC429D"/>
    <w:rsid w:val="00CC43EA"/>
    <w:rsid w:val="00CC4426"/>
    <w:rsid w:val="00CC48EF"/>
    <w:rsid w:val="00CC4D07"/>
    <w:rsid w:val="00CC4EBB"/>
    <w:rsid w:val="00CC4F40"/>
    <w:rsid w:val="00CC5215"/>
    <w:rsid w:val="00CC52AC"/>
    <w:rsid w:val="00CC53FF"/>
    <w:rsid w:val="00CC540C"/>
    <w:rsid w:val="00CC5883"/>
    <w:rsid w:val="00CC5A11"/>
    <w:rsid w:val="00CC5CA1"/>
    <w:rsid w:val="00CC5CDE"/>
    <w:rsid w:val="00CC5E9D"/>
    <w:rsid w:val="00CC6025"/>
    <w:rsid w:val="00CC607F"/>
    <w:rsid w:val="00CC620D"/>
    <w:rsid w:val="00CC64AC"/>
    <w:rsid w:val="00CC64D4"/>
    <w:rsid w:val="00CC6763"/>
    <w:rsid w:val="00CC699C"/>
    <w:rsid w:val="00CC6CEB"/>
    <w:rsid w:val="00CC71CB"/>
    <w:rsid w:val="00CC734D"/>
    <w:rsid w:val="00CC74FD"/>
    <w:rsid w:val="00CC7542"/>
    <w:rsid w:val="00CC769A"/>
    <w:rsid w:val="00CC780A"/>
    <w:rsid w:val="00CC7813"/>
    <w:rsid w:val="00CC7ACA"/>
    <w:rsid w:val="00CC7D29"/>
    <w:rsid w:val="00CC7E8B"/>
    <w:rsid w:val="00CD001A"/>
    <w:rsid w:val="00CD009E"/>
    <w:rsid w:val="00CD00A8"/>
    <w:rsid w:val="00CD02DC"/>
    <w:rsid w:val="00CD0351"/>
    <w:rsid w:val="00CD0989"/>
    <w:rsid w:val="00CD0AEA"/>
    <w:rsid w:val="00CD0F55"/>
    <w:rsid w:val="00CD1082"/>
    <w:rsid w:val="00CD10A8"/>
    <w:rsid w:val="00CD12CC"/>
    <w:rsid w:val="00CD12DC"/>
    <w:rsid w:val="00CD15FC"/>
    <w:rsid w:val="00CD173C"/>
    <w:rsid w:val="00CD1B9A"/>
    <w:rsid w:val="00CD1E7D"/>
    <w:rsid w:val="00CD21EC"/>
    <w:rsid w:val="00CD222E"/>
    <w:rsid w:val="00CD227E"/>
    <w:rsid w:val="00CD229A"/>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10F"/>
    <w:rsid w:val="00CD445C"/>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620A"/>
    <w:rsid w:val="00CD69E7"/>
    <w:rsid w:val="00CD6A76"/>
    <w:rsid w:val="00CD6D39"/>
    <w:rsid w:val="00CD6EAC"/>
    <w:rsid w:val="00CD6F01"/>
    <w:rsid w:val="00CD73DB"/>
    <w:rsid w:val="00CD7575"/>
    <w:rsid w:val="00CD767C"/>
    <w:rsid w:val="00CD7F16"/>
    <w:rsid w:val="00CE0296"/>
    <w:rsid w:val="00CE0318"/>
    <w:rsid w:val="00CE03FE"/>
    <w:rsid w:val="00CE099E"/>
    <w:rsid w:val="00CE0B02"/>
    <w:rsid w:val="00CE0C3C"/>
    <w:rsid w:val="00CE0DED"/>
    <w:rsid w:val="00CE0FA8"/>
    <w:rsid w:val="00CE1767"/>
    <w:rsid w:val="00CE1B9A"/>
    <w:rsid w:val="00CE1D2D"/>
    <w:rsid w:val="00CE1F90"/>
    <w:rsid w:val="00CE2209"/>
    <w:rsid w:val="00CE222E"/>
    <w:rsid w:val="00CE2560"/>
    <w:rsid w:val="00CE26B4"/>
    <w:rsid w:val="00CE278A"/>
    <w:rsid w:val="00CE2C72"/>
    <w:rsid w:val="00CE2C9E"/>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37B"/>
    <w:rsid w:val="00CE641D"/>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0C9C"/>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219"/>
    <w:rsid w:val="00CF44C8"/>
    <w:rsid w:val="00CF4656"/>
    <w:rsid w:val="00CF4FA6"/>
    <w:rsid w:val="00CF5018"/>
    <w:rsid w:val="00CF5257"/>
    <w:rsid w:val="00CF52CF"/>
    <w:rsid w:val="00CF53CD"/>
    <w:rsid w:val="00CF5502"/>
    <w:rsid w:val="00CF55E0"/>
    <w:rsid w:val="00CF56F9"/>
    <w:rsid w:val="00CF5739"/>
    <w:rsid w:val="00CF5772"/>
    <w:rsid w:val="00CF59FB"/>
    <w:rsid w:val="00CF5DBF"/>
    <w:rsid w:val="00CF5EEA"/>
    <w:rsid w:val="00CF60CE"/>
    <w:rsid w:val="00CF62E7"/>
    <w:rsid w:val="00CF635E"/>
    <w:rsid w:val="00CF63C0"/>
    <w:rsid w:val="00CF660A"/>
    <w:rsid w:val="00CF669A"/>
    <w:rsid w:val="00CF66A1"/>
    <w:rsid w:val="00CF7036"/>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BD1"/>
    <w:rsid w:val="00D02C48"/>
    <w:rsid w:val="00D02E63"/>
    <w:rsid w:val="00D02E8D"/>
    <w:rsid w:val="00D02FBF"/>
    <w:rsid w:val="00D03384"/>
    <w:rsid w:val="00D036AA"/>
    <w:rsid w:val="00D037CD"/>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3FC"/>
    <w:rsid w:val="00D0652C"/>
    <w:rsid w:val="00D06785"/>
    <w:rsid w:val="00D067B2"/>
    <w:rsid w:val="00D06A3B"/>
    <w:rsid w:val="00D06C03"/>
    <w:rsid w:val="00D06ED5"/>
    <w:rsid w:val="00D06EED"/>
    <w:rsid w:val="00D0734A"/>
    <w:rsid w:val="00D0734B"/>
    <w:rsid w:val="00D073A2"/>
    <w:rsid w:val="00D0763B"/>
    <w:rsid w:val="00D07EB3"/>
    <w:rsid w:val="00D1008B"/>
    <w:rsid w:val="00D10096"/>
    <w:rsid w:val="00D10632"/>
    <w:rsid w:val="00D106A0"/>
    <w:rsid w:val="00D10784"/>
    <w:rsid w:val="00D10D36"/>
    <w:rsid w:val="00D10D3B"/>
    <w:rsid w:val="00D10DD2"/>
    <w:rsid w:val="00D10EEB"/>
    <w:rsid w:val="00D10FBC"/>
    <w:rsid w:val="00D111D2"/>
    <w:rsid w:val="00D11B4C"/>
    <w:rsid w:val="00D11BA8"/>
    <w:rsid w:val="00D11D3E"/>
    <w:rsid w:val="00D11EA1"/>
    <w:rsid w:val="00D11F1D"/>
    <w:rsid w:val="00D11F7B"/>
    <w:rsid w:val="00D11FA9"/>
    <w:rsid w:val="00D1217D"/>
    <w:rsid w:val="00D1223A"/>
    <w:rsid w:val="00D1226C"/>
    <w:rsid w:val="00D123EE"/>
    <w:rsid w:val="00D12403"/>
    <w:rsid w:val="00D1250A"/>
    <w:rsid w:val="00D125E1"/>
    <w:rsid w:val="00D1262D"/>
    <w:rsid w:val="00D1276C"/>
    <w:rsid w:val="00D127D3"/>
    <w:rsid w:val="00D12999"/>
    <w:rsid w:val="00D12D74"/>
    <w:rsid w:val="00D12F06"/>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01F"/>
    <w:rsid w:val="00D23286"/>
    <w:rsid w:val="00D23416"/>
    <w:rsid w:val="00D236C2"/>
    <w:rsid w:val="00D238CB"/>
    <w:rsid w:val="00D238D9"/>
    <w:rsid w:val="00D238FA"/>
    <w:rsid w:val="00D2391D"/>
    <w:rsid w:val="00D23C54"/>
    <w:rsid w:val="00D23CF1"/>
    <w:rsid w:val="00D23F9C"/>
    <w:rsid w:val="00D24196"/>
    <w:rsid w:val="00D241E2"/>
    <w:rsid w:val="00D24784"/>
    <w:rsid w:val="00D248A2"/>
    <w:rsid w:val="00D248DB"/>
    <w:rsid w:val="00D24B79"/>
    <w:rsid w:val="00D24BAD"/>
    <w:rsid w:val="00D24BD6"/>
    <w:rsid w:val="00D24CF9"/>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CEA"/>
    <w:rsid w:val="00D26D28"/>
    <w:rsid w:val="00D27362"/>
    <w:rsid w:val="00D27423"/>
    <w:rsid w:val="00D27428"/>
    <w:rsid w:val="00D274B4"/>
    <w:rsid w:val="00D278A2"/>
    <w:rsid w:val="00D2796E"/>
    <w:rsid w:val="00D279E0"/>
    <w:rsid w:val="00D27D25"/>
    <w:rsid w:val="00D27D58"/>
    <w:rsid w:val="00D27FC8"/>
    <w:rsid w:val="00D3013A"/>
    <w:rsid w:val="00D30348"/>
    <w:rsid w:val="00D3057A"/>
    <w:rsid w:val="00D305D6"/>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4A"/>
    <w:rsid w:val="00D33C96"/>
    <w:rsid w:val="00D341CB"/>
    <w:rsid w:val="00D342A1"/>
    <w:rsid w:val="00D3431B"/>
    <w:rsid w:val="00D34F66"/>
    <w:rsid w:val="00D35333"/>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A0F"/>
    <w:rsid w:val="00D37EC3"/>
    <w:rsid w:val="00D37FF0"/>
    <w:rsid w:val="00D40246"/>
    <w:rsid w:val="00D403B4"/>
    <w:rsid w:val="00D403BF"/>
    <w:rsid w:val="00D40B51"/>
    <w:rsid w:val="00D40CD6"/>
    <w:rsid w:val="00D40E05"/>
    <w:rsid w:val="00D41072"/>
    <w:rsid w:val="00D4108F"/>
    <w:rsid w:val="00D410DF"/>
    <w:rsid w:val="00D410E6"/>
    <w:rsid w:val="00D413F9"/>
    <w:rsid w:val="00D4168F"/>
    <w:rsid w:val="00D41691"/>
    <w:rsid w:val="00D418E0"/>
    <w:rsid w:val="00D4194B"/>
    <w:rsid w:val="00D419E2"/>
    <w:rsid w:val="00D419F8"/>
    <w:rsid w:val="00D41B77"/>
    <w:rsid w:val="00D41DC9"/>
    <w:rsid w:val="00D4205D"/>
    <w:rsid w:val="00D420B7"/>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75F"/>
    <w:rsid w:val="00D447CB"/>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04"/>
    <w:rsid w:val="00D46C89"/>
    <w:rsid w:val="00D47101"/>
    <w:rsid w:val="00D47755"/>
    <w:rsid w:val="00D4791C"/>
    <w:rsid w:val="00D479F7"/>
    <w:rsid w:val="00D47B6E"/>
    <w:rsid w:val="00D47D59"/>
    <w:rsid w:val="00D47DCD"/>
    <w:rsid w:val="00D47F5F"/>
    <w:rsid w:val="00D5044A"/>
    <w:rsid w:val="00D50805"/>
    <w:rsid w:val="00D50820"/>
    <w:rsid w:val="00D509E9"/>
    <w:rsid w:val="00D50E0F"/>
    <w:rsid w:val="00D50E2C"/>
    <w:rsid w:val="00D50F79"/>
    <w:rsid w:val="00D510E8"/>
    <w:rsid w:val="00D512E5"/>
    <w:rsid w:val="00D513FC"/>
    <w:rsid w:val="00D51E5C"/>
    <w:rsid w:val="00D5201B"/>
    <w:rsid w:val="00D520B1"/>
    <w:rsid w:val="00D52174"/>
    <w:rsid w:val="00D522C6"/>
    <w:rsid w:val="00D522EC"/>
    <w:rsid w:val="00D5240E"/>
    <w:rsid w:val="00D52643"/>
    <w:rsid w:val="00D5269C"/>
    <w:rsid w:val="00D52B21"/>
    <w:rsid w:val="00D52EC1"/>
    <w:rsid w:val="00D5311C"/>
    <w:rsid w:val="00D533C3"/>
    <w:rsid w:val="00D534A9"/>
    <w:rsid w:val="00D53605"/>
    <w:rsid w:val="00D536B9"/>
    <w:rsid w:val="00D53823"/>
    <w:rsid w:val="00D5393A"/>
    <w:rsid w:val="00D5396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15"/>
    <w:rsid w:val="00D5527B"/>
    <w:rsid w:val="00D55285"/>
    <w:rsid w:val="00D554A8"/>
    <w:rsid w:val="00D55619"/>
    <w:rsid w:val="00D5577E"/>
    <w:rsid w:val="00D559C0"/>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86C"/>
    <w:rsid w:val="00D60B11"/>
    <w:rsid w:val="00D60CBF"/>
    <w:rsid w:val="00D60CD3"/>
    <w:rsid w:val="00D610E6"/>
    <w:rsid w:val="00D61134"/>
    <w:rsid w:val="00D61600"/>
    <w:rsid w:val="00D61614"/>
    <w:rsid w:val="00D6171D"/>
    <w:rsid w:val="00D61821"/>
    <w:rsid w:val="00D6184A"/>
    <w:rsid w:val="00D6186E"/>
    <w:rsid w:val="00D61BAC"/>
    <w:rsid w:val="00D61C06"/>
    <w:rsid w:val="00D61CF1"/>
    <w:rsid w:val="00D622A7"/>
    <w:rsid w:val="00D623C7"/>
    <w:rsid w:val="00D624A2"/>
    <w:rsid w:val="00D6266A"/>
    <w:rsid w:val="00D62689"/>
    <w:rsid w:val="00D627DA"/>
    <w:rsid w:val="00D62858"/>
    <w:rsid w:val="00D629F4"/>
    <w:rsid w:val="00D62B65"/>
    <w:rsid w:val="00D62BF2"/>
    <w:rsid w:val="00D62E02"/>
    <w:rsid w:val="00D63089"/>
    <w:rsid w:val="00D6318E"/>
    <w:rsid w:val="00D631D4"/>
    <w:rsid w:val="00D6331E"/>
    <w:rsid w:val="00D63324"/>
    <w:rsid w:val="00D63329"/>
    <w:rsid w:val="00D6377C"/>
    <w:rsid w:val="00D637E1"/>
    <w:rsid w:val="00D6381C"/>
    <w:rsid w:val="00D63902"/>
    <w:rsid w:val="00D63925"/>
    <w:rsid w:val="00D63AA5"/>
    <w:rsid w:val="00D63C09"/>
    <w:rsid w:val="00D63C7D"/>
    <w:rsid w:val="00D63DB7"/>
    <w:rsid w:val="00D63E54"/>
    <w:rsid w:val="00D63E7D"/>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CD5"/>
    <w:rsid w:val="00D65D22"/>
    <w:rsid w:val="00D65DBB"/>
    <w:rsid w:val="00D65E0A"/>
    <w:rsid w:val="00D65F79"/>
    <w:rsid w:val="00D66259"/>
    <w:rsid w:val="00D662F5"/>
    <w:rsid w:val="00D66EE3"/>
    <w:rsid w:val="00D67254"/>
    <w:rsid w:val="00D67324"/>
    <w:rsid w:val="00D673EA"/>
    <w:rsid w:val="00D67939"/>
    <w:rsid w:val="00D679A2"/>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8D0"/>
    <w:rsid w:val="00D71BB0"/>
    <w:rsid w:val="00D71C4C"/>
    <w:rsid w:val="00D71D10"/>
    <w:rsid w:val="00D71F28"/>
    <w:rsid w:val="00D72069"/>
    <w:rsid w:val="00D720C6"/>
    <w:rsid w:val="00D720E8"/>
    <w:rsid w:val="00D72112"/>
    <w:rsid w:val="00D722D1"/>
    <w:rsid w:val="00D724CE"/>
    <w:rsid w:val="00D72561"/>
    <w:rsid w:val="00D725A3"/>
    <w:rsid w:val="00D725D7"/>
    <w:rsid w:val="00D727AF"/>
    <w:rsid w:val="00D72B7F"/>
    <w:rsid w:val="00D72BDE"/>
    <w:rsid w:val="00D73015"/>
    <w:rsid w:val="00D7308C"/>
    <w:rsid w:val="00D731D6"/>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4DF5"/>
    <w:rsid w:val="00D74E6A"/>
    <w:rsid w:val="00D750F8"/>
    <w:rsid w:val="00D75177"/>
    <w:rsid w:val="00D7528F"/>
    <w:rsid w:val="00D752E8"/>
    <w:rsid w:val="00D75304"/>
    <w:rsid w:val="00D75566"/>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94"/>
    <w:rsid w:val="00D771AA"/>
    <w:rsid w:val="00D7724A"/>
    <w:rsid w:val="00D7764C"/>
    <w:rsid w:val="00D776DA"/>
    <w:rsid w:val="00D77781"/>
    <w:rsid w:val="00D777CF"/>
    <w:rsid w:val="00D77D28"/>
    <w:rsid w:val="00D77EF4"/>
    <w:rsid w:val="00D77EF6"/>
    <w:rsid w:val="00D801B7"/>
    <w:rsid w:val="00D80432"/>
    <w:rsid w:val="00D8056F"/>
    <w:rsid w:val="00D80697"/>
    <w:rsid w:val="00D806E4"/>
    <w:rsid w:val="00D807BB"/>
    <w:rsid w:val="00D8081D"/>
    <w:rsid w:val="00D80B51"/>
    <w:rsid w:val="00D80C62"/>
    <w:rsid w:val="00D80C86"/>
    <w:rsid w:val="00D80D5E"/>
    <w:rsid w:val="00D80DA2"/>
    <w:rsid w:val="00D80E22"/>
    <w:rsid w:val="00D81231"/>
    <w:rsid w:val="00D8183C"/>
    <w:rsid w:val="00D818A4"/>
    <w:rsid w:val="00D8242C"/>
    <w:rsid w:val="00D827D1"/>
    <w:rsid w:val="00D827F2"/>
    <w:rsid w:val="00D828A6"/>
    <w:rsid w:val="00D832B9"/>
    <w:rsid w:val="00D83398"/>
    <w:rsid w:val="00D83410"/>
    <w:rsid w:val="00D8348E"/>
    <w:rsid w:val="00D83660"/>
    <w:rsid w:val="00D836EF"/>
    <w:rsid w:val="00D8389F"/>
    <w:rsid w:val="00D8398B"/>
    <w:rsid w:val="00D839EE"/>
    <w:rsid w:val="00D841A8"/>
    <w:rsid w:val="00D8469F"/>
    <w:rsid w:val="00D846E7"/>
    <w:rsid w:val="00D8485A"/>
    <w:rsid w:val="00D84AB7"/>
    <w:rsid w:val="00D84CF0"/>
    <w:rsid w:val="00D84D6A"/>
    <w:rsid w:val="00D84DD6"/>
    <w:rsid w:val="00D8533B"/>
    <w:rsid w:val="00D855CF"/>
    <w:rsid w:val="00D85876"/>
    <w:rsid w:val="00D85942"/>
    <w:rsid w:val="00D85CB6"/>
    <w:rsid w:val="00D8615E"/>
    <w:rsid w:val="00D86240"/>
    <w:rsid w:val="00D8627B"/>
    <w:rsid w:val="00D8653D"/>
    <w:rsid w:val="00D86588"/>
    <w:rsid w:val="00D86907"/>
    <w:rsid w:val="00D86A8A"/>
    <w:rsid w:val="00D86D62"/>
    <w:rsid w:val="00D86EC6"/>
    <w:rsid w:val="00D86FFA"/>
    <w:rsid w:val="00D870D2"/>
    <w:rsid w:val="00D87219"/>
    <w:rsid w:val="00D8736B"/>
    <w:rsid w:val="00D87463"/>
    <w:rsid w:val="00D879FB"/>
    <w:rsid w:val="00D87BB6"/>
    <w:rsid w:val="00D87CC8"/>
    <w:rsid w:val="00D87CCC"/>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B53"/>
    <w:rsid w:val="00D93C24"/>
    <w:rsid w:val="00D94234"/>
    <w:rsid w:val="00D94689"/>
    <w:rsid w:val="00D948A7"/>
    <w:rsid w:val="00D94B94"/>
    <w:rsid w:val="00D94DE7"/>
    <w:rsid w:val="00D950A6"/>
    <w:rsid w:val="00D952DD"/>
    <w:rsid w:val="00D95787"/>
    <w:rsid w:val="00D9585A"/>
    <w:rsid w:val="00D958DF"/>
    <w:rsid w:val="00D9591B"/>
    <w:rsid w:val="00D959AF"/>
    <w:rsid w:val="00D95B05"/>
    <w:rsid w:val="00D95C5C"/>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654"/>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835"/>
    <w:rsid w:val="00DA2B9E"/>
    <w:rsid w:val="00DA2D8E"/>
    <w:rsid w:val="00DA2E17"/>
    <w:rsid w:val="00DA2E2C"/>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2B8"/>
    <w:rsid w:val="00DA53BC"/>
    <w:rsid w:val="00DA53CC"/>
    <w:rsid w:val="00DA5593"/>
    <w:rsid w:val="00DA55FB"/>
    <w:rsid w:val="00DA58FB"/>
    <w:rsid w:val="00DA59BE"/>
    <w:rsid w:val="00DA5A6E"/>
    <w:rsid w:val="00DA5D0E"/>
    <w:rsid w:val="00DA5D33"/>
    <w:rsid w:val="00DA5E8D"/>
    <w:rsid w:val="00DA6059"/>
    <w:rsid w:val="00DA609E"/>
    <w:rsid w:val="00DA651E"/>
    <w:rsid w:val="00DA68E1"/>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A8"/>
    <w:rsid w:val="00DB0CDD"/>
    <w:rsid w:val="00DB0D8F"/>
    <w:rsid w:val="00DB1192"/>
    <w:rsid w:val="00DB12C2"/>
    <w:rsid w:val="00DB13ED"/>
    <w:rsid w:val="00DB13F3"/>
    <w:rsid w:val="00DB1666"/>
    <w:rsid w:val="00DB1B8E"/>
    <w:rsid w:val="00DB1C7C"/>
    <w:rsid w:val="00DB1CF8"/>
    <w:rsid w:val="00DB1D67"/>
    <w:rsid w:val="00DB1D97"/>
    <w:rsid w:val="00DB1F48"/>
    <w:rsid w:val="00DB21EB"/>
    <w:rsid w:val="00DB2247"/>
    <w:rsid w:val="00DB243C"/>
    <w:rsid w:val="00DB25EC"/>
    <w:rsid w:val="00DB2686"/>
    <w:rsid w:val="00DB341E"/>
    <w:rsid w:val="00DB34E0"/>
    <w:rsid w:val="00DB3623"/>
    <w:rsid w:val="00DB367D"/>
    <w:rsid w:val="00DB399C"/>
    <w:rsid w:val="00DB3C3F"/>
    <w:rsid w:val="00DB41C2"/>
    <w:rsid w:val="00DB4261"/>
    <w:rsid w:val="00DB472B"/>
    <w:rsid w:val="00DB47E8"/>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D76"/>
    <w:rsid w:val="00DB7116"/>
    <w:rsid w:val="00DB7125"/>
    <w:rsid w:val="00DB71A1"/>
    <w:rsid w:val="00DB745A"/>
    <w:rsid w:val="00DB7597"/>
    <w:rsid w:val="00DB765A"/>
    <w:rsid w:val="00DB77DD"/>
    <w:rsid w:val="00DB790E"/>
    <w:rsid w:val="00DB7B22"/>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3261"/>
    <w:rsid w:val="00DC3406"/>
    <w:rsid w:val="00DC3536"/>
    <w:rsid w:val="00DC38A7"/>
    <w:rsid w:val="00DC3AE7"/>
    <w:rsid w:val="00DC400F"/>
    <w:rsid w:val="00DC4088"/>
    <w:rsid w:val="00DC4174"/>
    <w:rsid w:val="00DC4572"/>
    <w:rsid w:val="00DC49D5"/>
    <w:rsid w:val="00DC4AFB"/>
    <w:rsid w:val="00DC4BE5"/>
    <w:rsid w:val="00DC4CA1"/>
    <w:rsid w:val="00DC4F15"/>
    <w:rsid w:val="00DC4F38"/>
    <w:rsid w:val="00DC4F9B"/>
    <w:rsid w:val="00DC500E"/>
    <w:rsid w:val="00DC53E8"/>
    <w:rsid w:val="00DC54CE"/>
    <w:rsid w:val="00DC5651"/>
    <w:rsid w:val="00DC5BF7"/>
    <w:rsid w:val="00DC5C3B"/>
    <w:rsid w:val="00DC5D7B"/>
    <w:rsid w:val="00DC5ED1"/>
    <w:rsid w:val="00DC6038"/>
    <w:rsid w:val="00DC618E"/>
    <w:rsid w:val="00DC665F"/>
    <w:rsid w:val="00DC681A"/>
    <w:rsid w:val="00DC6B57"/>
    <w:rsid w:val="00DC6CC8"/>
    <w:rsid w:val="00DC6D51"/>
    <w:rsid w:val="00DC6DBC"/>
    <w:rsid w:val="00DC6F41"/>
    <w:rsid w:val="00DC7238"/>
    <w:rsid w:val="00DC7489"/>
    <w:rsid w:val="00DC7553"/>
    <w:rsid w:val="00DC766F"/>
    <w:rsid w:val="00DC76B5"/>
    <w:rsid w:val="00DC7888"/>
    <w:rsid w:val="00DC78B7"/>
    <w:rsid w:val="00DC7921"/>
    <w:rsid w:val="00DC7B36"/>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B30"/>
    <w:rsid w:val="00DD1CF4"/>
    <w:rsid w:val="00DD1ECF"/>
    <w:rsid w:val="00DD1FDF"/>
    <w:rsid w:val="00DD2007"/>
    <w:rsid w:val="00DD2405"/>
    <w:rsid w:val="00DD242E"/>
    <w:rsid w:val="00DD2574"/>
    <w:rsid w:val="00DD25D2"/>
    <w:rsid w:val="00DD2608"/>
    <w:rsid w:val="00DD2791"/>
    <w:rsid w:val="00DD27DA"/>
    <w:rsid w:val="00DD2925"/>
    <w:rsid w:val="00DD2B15"/>
    <w:rsid w:val="00DD2B95"/>
    <w:rsid w:val="00DD2DA0"/>
    <w:rsid w:val="00DD2E3D"/>
    <w:rsid w:val="00DD2F9A"/>
    <w:rsid w:val="00DD3334"/>
    <w:rsid w:val="00DD36AA"/>
    <w:rsid w:val="00DD37A4"/>
    <w:rsid w:val="00DD37C0"/>
    <w:rsid w:val="00DD39AA"/>
    <w:rsid w:val="00DD3D7B"/>
    <w:rsid w:val="00DD40A6"/>
    <w:rsid w:val="00DD40C0"/>
    <w:rsid w:val="00DD4281"/>
    <w:rsid w:val="00DD4321"/>
    <w:rsid w:val="00DD4406"/>
    <w:rsid w:val="00DD449F"/>
    <w:rsid w:val="00DD44EF"/>
    <w:rsid w:val="00DD453C"/>
    <w:rsid w:val="00DD46FA"/>
    <w:rsid w:val="00DD47EE"/>
    <w:rsid w:val="00DD4815"/>
    <w:rsid w:val="00DD4E56"/>
    <w:rsid w:val="00DD501C"/>
    <w:rsid w:val="00DD501E"/>
    <w:rsid w:val="00DD50FA"/>
    <w:rsid w:val="00DD5262"/>
    <w:rsid w:val="00DD52A7"/>
    <w:rsid w:val="00DD531D"/>
    <w:rsid w:val="00DD56B9"/>
    <w:rsid w:val="00DD588A"/>
    <w:rsid w:val="00DD5955"/>
    <w:rsid w:val="00DD59A4"/>
    <w:rsid w:val="00DD5A0C"/>
    <w:rsid w:val="00DD5BA4"/>
    <w:rsid w:val="00DD5BB8"/>
    <w:rsid w:val="00DD5D7A"/>
    <w:rsid w:val="00DD5D9E"/>
    <w:rsid w:val="00DD6558"/>
    <w:rsid w:val="00DD6731"/>
    <w:rsid w:val="00DD6A2A"/>
    <w:rsid w:val="00DD6CFF"/>
    <w:rsid w:val="00DD735E"/>
    <w:rsid w:val="00DD7362"/>
    <w:rsid w:val="00DD739E"/>
    <w:rsid w:val="00DD74C3"/>
    <w:rsid w:val="00DD7674"/>
    <w:rsid w:val="00DD782E"/>
    <w:rsid w:val="00DD7873"/>
    <w:rsid w:val="00DD7968"/>
    <w:rsid w:val="00DD7995"/>
    <w:rsid w:val="00DD7A1C"/>
    <w:rsid w:val="00DD7CDE"/>
    <w:rsid w:val="00DD7E87"/>
    <w:rsid w:val="00DD7F13"/>
    <w:rsid w:val="00DD7F56"/>
    <w:rsid w:val="00DE00CF"/>
    <w:rsid w:val="00DE017C"/>
    <w:rsid w:val="00DE0183"/>
    <w:rsid w:val="00DE03B8"/>
    <w:rsid w:val="00DE06F3"/>
    <w:rsid w:val="00DE07E8"/>
    <w:rsid w:val="00DE0B69"/>
    <w:rsid w:val="00DE0DF4"/>
    <w:rsid w:val="00DE0E10"/>
    <w:rsid w:val="00DE0E7E"/>
    <w:rsid w:val="00DE10A1"/>
    <w:rsid w:val="00DE10E3"/>
    <w:rsid w:val="00DE10F5"/>
    <w:rsid w:val="00DE1692"/>
    <w:rsid w:val="00DE18EC"/>
    <w:rsid w:val="00DE1C22"/>
    <w:rsid w:val="00DE23FF"/>
    <w:rsid w:val="00DE249D"/>
    <w:rsid w:val="00DE2804"/>
    <w:rsid w:val="00DE2AC1"/>
    <w:rsid w:val="00DE2CEF"/>
    <w:rsid w:val="00DE2D73"/>
    <w:rsid w:val="00DE2F65"/>
    <w:rsid w:val="00DE31EA"/>
    <w:rsid w:val="00DE3265"/>
    <w:rsid w:val="00DE35D3"/>
    <w:rsid w:val="00DE36D4"/>
    <w:rsid w:val="00DE38E4"/>
    <w:rsid w:val="00DE3A0B"/>
    <w:rsid w:val="00DE3F06"/>
    <w:rsid w:val="00DE4552"/>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F05C8"/>
    <w:rsid w:val="00DF0768"/>
    <w:rsid w:val="00DF0C29"/>
    <w:rsid w:val="00DF0C96"/>
    <w:rsid w:val="00DF0FD9"/>
    <w:rsid w:val="00DF15B0"/>
    <w:rsid w:val="00DF1795"/>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92"/>
    <w:rsid w:val="00DF41CC"/>
    <w:rsid w:val="00DF430A"/>
    <w:rsid w:val="00DF45C8"/>
    <w:rsid w:val="00DF4B52"/>
    <w:rsid w:val="00DF4C6D"/>
    <w:rsid w:val="00DF4E1B"/>
    <w:rsid w:val="00DF5018"/>
    <w:rsid w:val="00DF52B2"/>
    <w:rsid w:val="00DF53CC"/>
    <w:rsid w:val="00DF53D0"/>
    <w:rsid w:val="00DF5519"/>
    <w:rsid w:val="00DF554B"/>
    <w:rsid w:val="00DF58A8"/>
    <w:rsid w:val="00DF5B46"/>
    <w:rsid w:val="00DF5BD7"/>
    <w:rsid w:val="00DF64CA"/>
    <w:rsid w:val="00DF659E"/>
    <w:rsid w:val="00DF6C9D"/>
    <w:rsid w:val="00DF6E5D"/>
    <w:rsid w:val="00DF70EF"/>
    <w:rsid w:val="00DF7250"/>
    <w:rsid w:val="00DF72CD"/>
    <w:rsid w:val="00DF743C"/>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40"/>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3F34"/>
    <w:rsid w:val="00E045C3"/>
    <w:rsid w:val="00E048FF"/>
    <w:rsid w:val="00E04AB7"/>
    <w:rsid w:val="00E05064"/>
    <w:rsid w:val="00E050EF"/>
    <w:rsid w:val="00E05400"/>
    <w:rsid w:val="00E0556C"/>
    <w:rsid w:val="00E05789"/>
    <w:rsid w:val="00E05A4D"/>
    <w:rsid w:val="00E05AC4"/>
    <w:rsid w:val="00E05E9E"/>
    <w:rsid w:val="00E06073"/>
    <w:rsid w:val="00E06096"/>
    <w:rsid w:val="00E060E3"/>
    <w:rsid w:val="00E06402"/>
    <w:rsid w:val="00E064D9"/>
    <w:rsid w:val="00E06708"/>
    <w:rsid w:val="00E06B00"/>
    <w:rsid w:val="00E06F85"/>
    <w:rsid w:val="00E07354"/>
    <w:rsid w:val="00E074FB"/>
    <w:rsid w:val="00E076FC"/>
    <w:rsid w:val="00E07897"/>
    <w:rsid w:val="00E07ACC"/>
    <w:rsid w:val="00E07B1B"/>
    <w:rsid w:val="00E07C91"/>
    <w:rsid w:val="00E07D0C"/>
    <w:rsid w:val="00E1056D"/>
    <w:rsid w:val="00E10788"/>
    <w:rsid w:val="00E109C4"/>
    <w:rsid w:val="00E10C6A"/>
    <w:rsid w:val="00E10D28"/>
    <w:rsid w:val="00E10F98"/>
    <w:rsid w:val="00E110A4"/>
    <w:rsid w:val="00E11213"/>
    <w:rsid w:val="00E115D7"/>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8D8"/>
    <w:rsid w:val="00E13A86"/>
    <w:rsid w:val="00E13C9E"/>
    <w:rsid w:val="00E13DFD"/>
    <w:rsid w:val="00E13E06"/>
    <w:rsid w:val="00E140C2"/>
    <w:rsid w:val="00E14237"/>
    <w:rsid w:val="00E1428C"/>
    <w:rsid w:val="00E14756"/>
    <w:rsid w:val="00E14C91"/>
    <w:rsid w:val="00E14F41"/>
    <w:rsid w:val="00E1562D"/>
    <w:rsid w:val="00E1598D"/>
    <w:rsid w:val="00E159AC"/>
    <w:rsid w:val="00E16030"/>
    <w:rsid w:val="00E163CF"/>
    <w:rsid w:val="00E16862"/>
    <w:rsid w:val="00E16868"/>
    <w:rsid w:val="00E16869"/>
    <w:rsid w:val="00E16D8A"/>
    <w:rsid w:val="00E16E34"/>
    <w:rsid w:val="00E16EEE"/>
    <w:rsid w:val="00E173C1"/>
    <w:rsid w:val="00E174E6"/>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2052"/>
    <w:rsid w:val="00E222A0"/>
    <w:rsid w:val="00E222FD"/>
    <w:rsid w:val="00E225C4"/>
    <w:rsid w:val="00E22624"/>
    <w:rsid w:val="00E22FEC"/>
    <w:rsid w:val="00E2326C"/>
    <w:rsid w:val="00E233C7"/>
    <w:rsid w:val="00E23528"/>
    <w:rsid w:val="00E23723"/>
    <w:rsid w:val="00E23918"/>
    <w:rsid w:val="00E23940"/>
    <w:rsid w:val="00E23B7A"/>
    <w:rsid w:val="00E23ED8"/>
    <w:rsid w:val="00E2408E"/>
    <w:rsid w:val="00E2427C"/>
    <w:rsid w:val="00E24295"/>
    <w:rsid w:val="00E242D5"/>
    <w:rsid w:val="00E242EA"/>
    <w:rsid w:val="00E24406"/>
    <w:rsid w:val="00E24649"/>
    <w:rsid w:val="00E24836"/>
    <w:rsid w:val="00E24BDE"/>
    <w:rsid w:val="00E24D87"/>
    <w:rsid w:val="00E24E19"/>
    <w:rsid w:val="00E25005"/>
    <w:rsid w:val="00E252D9"/>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6B7"/>
    <w:rsid w:val="00E277D4"/>
    <w:rsid w:val="00E27B37"/>
    <w:rsid w:val="00E27BE4"/>
    <w:rsid w:val="00E27D57"/>
    <w:rsid w:val="00E27DF1"/>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CB2"/>
    <w:rsid w:val="00E32EC7"/>
    <w:rsid w:val="00E33065"/>
    <w:rsid w:val="00E330D5"/>
    <w:rsid w:val="00E33237"/>
    <w:rsid w:val="00E333F7"/>
    <w:rsid w:val="00E33484"/>
    <w:rsid w:val="00E335F7"/>
    <w:rsid w:val="00E3367F"/>
    <w:rsid w:val="00E33745"/>
    <w:rsid w:val="00E3409A"/>
    <w:rsid w:val="00E34475"/>
    <w:rsid w:val="00E3448C"/>
    <w:rsid w:val="00E347A5"/>
    <w:rsid w:val="00E34DFA"/>
    <w:rsid w:val="00E34F03"/>
    <w:rsid w:val="00E3516E"/>
    <w:rsid w:val="00E35233"/>
    <w:rsid w:val="00E353C2"/>
    <w:rsid w:val="00E3571D"/>
    <w:rsid w:val="00E3578F"/>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299"/>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CF4"/>
    <w:rsid w:val="00E42E09"/>
    <w:rsid w:val="00E430C6"/>
    <w:rsid w:val="00E43475"/>
    <w:rsid w:val="00E4362C"/>
    <w:rsid w:val="00E43637"/>
    <w:rsid w:val="00E43686"/>
    <w:rsid w:val="00E436CB"/>
    <w:rsid w:val="00E43729"/>
    <w:rsid w:val="00E4376E"/>
    <w:rsid w:val="00E437BD"/>
    <w:rsid w:val="00E43819"/>
    <w:rsid w:val="00E43A01"/>
    <w:rsid w:val="00E43BE1"/>
    <w:rsid w:val="00E43D20"/>
    <w:rsid w:val="00E4427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445"/>
    <w:rsid w:val="00E46553"/>
    <w:rsid w:val="00E46758"/>
    <w:rsid w:val="00E467F7"/>
    <w:rsid w:val="00E4690E"/>
    <w:rsid w:val="00E469A5"/>
    <w:rsid w:val="00E46E0C"/>
    <w:rsid w:val="00E46E74"/>
    <w:rsid w:val="00E46E7C"/>
    <w:rsid w:val="00E471F8"/>
    <w:rsid w:val="00E47207"/>
    <w:rsid w:val="00E47333"/>
    <w:rsid w:val="00E47428"/>
    <w:rsid w:val="00E476FC"/>
    <w:rsid w:val="00E477E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90"/>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2FC4"/>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A9B"/>
    <w:rsid w:val="00E54E0A"/>
    <w:rsid w:val="00E55056"/>
    <w:rsid w:val="00E55079"/>
    <w:rsid w:val="00E556E9"/>
    <w:rsid w:val="00E557A0"/>
    <w:rsid w:val="00E557B2"/>
    <w:rsid w:val="00E5589A"/>
    <w:rsid w:val="00E55AA5"/>
    <w:rsid w:val="00E562E2"/>
    <w:rsid w:val="00E564EC"/>
    <w:rsid w:val="00E5659C"/>
    <w:rsid w:val="00E568D0"/>
    <w:rsid w:val="00E56965"/>
    <w:rsid w:val="00E56C80"/>
    <w:rsid w:val="00E56D16"/>
    <w:rsid w:val="00E570A5"/>
    <w:rsid w:val="00E57172"/>
    <w:rsid w:val="00E5730B"/>
    <w:rsid w:val="00E5774E"/>
    <w:rsid w:val="00E577A4"/>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82F"/>
    <w:rsid w:val="00E61DC9"/>
    <w:rsid w:val="00E62006"/>
    <w:rsid w:val="00E62015"/>
    <w:rsid w:val="00E62336"/>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9BB"/>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064"/>
    <w:rsid w:val="00E66293"/>
    <w:rsid w:val="00E66479"/>
    <w:rsid w:val="00E667E3"/>
    <w:rsid w:val="00E669C1"/>
    <w:rsid w:val="00E66E5F"/>
    <w:rsid w:val="00E670A6"/>
    <w:rsid w:val="00E673CC"/>
    <w:rsid w:val="00E673DD"/>
    <w:rsid w:val="00E674AE"/>
    <w:rsid w:val="00E67716"/>
    <w:rsid w:val="00E67893"/>
    <w:rsid w:val="00E67AD0"/>
    <w:rsid w:val="00E67C1F"/>
    <w:rsid w:val="00E67CF6"/>
    <w:rsid w:val="00E67D1E"/>
    <w:rsid w:val="00E70276"/>
    <w:rsid w:val="00E703A4"/>
    <w:rsid w:val="00E705CB"/>
    <w:rsid w:val="00E705F0"/>
    <w:rsid w:val="00E70C77"/>
    <w:rsid w:val="00E70CB0"/>
    <w:rsid w:val="00E70DFF"/>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6C"/>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8CF"/>
    <w:rsid w:val="00E769E0"/>
    <w:rsid w:val="00E76A29"/>
    <w:rsid w:val="00E77248"/>
    <w:rsid w:val="00E77435"/>
    <w:rsid w:val="00E774EA"/>
    <w:rsid w:val="00E77521"/>
    <w:rsid w:val="00E77601"/>
    <w:rsid w:val="00E776BC"/>
    <w:rsid w:val="00E777D8"/>
    <w:rsid w:val="00E77821"/>
    <w:rsid w:val="00E77A94"/>
    <w:rsid w:val="00E77AF5"/>
    <w:rsid w:val="00E77D78"/>
    <w:rsid w:val="00E803F4"/>
    <w:rsid w:val="00E80409"/>
    <w:rsid w:val="00E805F0"/>
    <w:rsid w:val="00E80C1B"/>
    <w:rsid w:val="00E80D88"/>
    <w:rsid w:val="00E80EA1"/>
    <w:rsid w:val="00E80F72"/>
    <w:rsid w:val="00E81056"/>
    <w:rsid w:val="00E810B2"/>
    <w:rsid w:val="00E8118B"/>
    <w:rsid w:val="00E81272"/>
    <w:rsid w:val="00E814FD"/>
    <w:rsid w:val="00E81877"/>
    <w:rsid w:val="00E81D81"/>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3FF0"/>
    <w:rsid w:val="00E84004"/>
    <w:rsid w:val="00E841A5"/>
    <w:rsid w:val="00E8431B"/>
    <w:rsid w:val="00E8439A"/>
    <w:rsid w:val="00E8492C"/>
    <w:rsid w:val="00E84B4C"/>
    <w:rsid w:val="00E84C10"/>
    <w:rsid w:val="00E84CF5"/>
    <w:rsid w:val="00E84D2B"/>
    <w:rsid w:val="00E8506A"/>
    <w:rsid w:val="00E850A9"/>
    <w:rsid w:val="00E85376"/>
    <w:rsid w:val="00E853FC"/>
    <w:rsid w:val="00E85A25"/>
    <w:rsid w:val="00E85ABB"/>
    <w:rsid w:val="00E85C65"/>
    <w:rsid w:val="00E85E24"/>
    <w:rsid w:val="00E86246"/>
    <w:rsid w:val="00E86506"/>
    <w:rsid w:val="00E867C7"/>
    <w:rsid w:val="00E869B1"/>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E62"/>
    <w:rsid w:val="00E94035"/>
    <w:rsid w:val="00E940E2"/>
    <w:rsid w:val="00E943EC"/>
    <w:rsid w:val="00E9461A"/>
    <w:rsid w:val="00E946F8"/>
    <w:rsid w:val="00E94726"/>
    <w:rsid w:val="00E94786"/>
    <w:rsid w:val="00E94861"/>
    <w:rsid w:val="00E949DB"/>
    <w:rsid w:val="00E94AF7"/>
    <w:rsid w:val="00E95513"/>
    <w:rsid w:val="00E95556"/>
    <w:rsid w:val="00E956C4"/>
    <w:rsid w:val="00E95B1C"/>
    <w:rsid w:val="00E95BA3"/>
    <w:rsid w:val="00E95CF4"/>
    <w:rsid w:val="00E95E85"/>
    <w:rsid w:val="00E962AA"/>
    <w:rsid w:val="00E964AA"/>
    <w:rsid w:val="00E96896"/>
    <w:rsid w:val="00E968F5"/>
    <w:rsid w:val="00E9692F"/>
    <w:rsid w:val="00E96949"/>
    <w:rsid w:val="00E96B09"/>
    <w:rsid w:val="00E96FCA"/>
    <w:rsid w:val="00E9700B"/>
    <w:rsid w:val="00E9702D"/>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10A1"/>
    <w:rsid w:val="00EA14F4"/>
    <w:rsid w:val="00EA17C0"/>
    <w:rsid w:val="00EA1A59"/>
    <w:rsid w:val="00EA1CF1"/>
    <w:rsid w:val="00EA1D0F"/>
    <w:rsid w:val="00EA1DB6"/>
    <w:rsid w:val="00EA1FC5"/>
    <w:rsid w:val="00EA219F"/>
    <w:rsid w:val="00EA22C2"/>
    <w:rsid w:val="00EA23E6"/>
    <w:rsid w:val="00EA25D3"/>
    <w:rsid w:val="00EA2618"/>
    <w:rsid w:val="00EA2665"/>
    <w:rsid w:val="00EA2893"/>
    <w:rsid w:val="00EA2A3E"/>
    <w:rsid w:val="00EA2B7F"/>
    <w:rsid w:val="00EA2F8C"/>
    <w:rsid w:val="00EA3110"/>
    <w:rsid w:val="00EA32C4"/>
    <w:rsid w:val="00EA342F"/>
    <w:rsid w:val="00EA3D1F"/>
    <w:rsid w:val="00EA40E5"/>
    <w:rsid w:val="00EA45BC"/>
    <w:rsid w:val="00EA4706"/>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6B2"/>
    <w:rsid w:val="00EA67F5"/>
    <w:rsid w:val="00EA6D06"/>
    <w:rsid w:val="00EA736E"/>
    <w:rsid w:val="00EA7648"/>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075"/>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5EA"/>
    <w:rsid w:val="00EB571A"/>
    <w:rsid w:val="00EB5763"/>
    <w:rsid w:val="00EB58A0"/>
    <w:rsid w:val="00EB5BD5"/>
    <w:rsid w:val="00EB5EAC"/>
    <w:rsid w:val="00EB61A0"/>
    <w:rsid w:val="00EB63FA"/>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525"/>
    <w:rsid w:val="00EC066F"/>
    <w:rsid w:val="00EC06A4"/>
    <w:rsid w:val="00EC077E"/>
    <w:rsid w:val="00EC0801"/>
    <w:rsid w:val="00EC1046"/>
    <w:rsid w:val="00EC10C6"/>
    <w:rsid w:val="00EC10E0"/>
    <w:rsid w:val="00EC1172"/>
    <w:rsid w:val="00EC1494"/>
    <w:rsid w:val="00EC1572"/>
    <w:rsid w:val="00EC158A"/>
    <w:rsid w:val="00EC1743"/>
    <w:rsid w:val="00EC17D1"/>
    <w:rsid w:val="00EC1993"/>
    <w:rsid w:val="00EC19AE"/>
    <w:rsid w:val="00EC2123"/>
    <w:rsid w:val="00EC2364"/>
    <w:rsid w:val="00EC25F1"/>
    <w:rsid w:val="00EC266E"/>
    <w:rsid w:val="00EC29CF"/>
    <w:rsid w:val="00EC2C48"/>
    <w:rsid w:val="00EC306F"/>
    <w:rsid w:val="00EC3331"/>
    <w:rsid w:val="00EC335F"/>
    <w:rsid w:val="00EC34D1"/>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380"/>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19A1"/>
    <w:rsid w:val="00ED2146"/>
    <w:rsid w:val="00ED21DF"/>
    <w:rsid w:val="00ED2759"/>
    <w:rsid w:val="00ED2DCB"/>
    <w:rsid w:val="00ED3131"/>
    <w:rsid w:val="00ED34D6"/>
    <w:rsid w:val="00ED3555"/>
    <w:rsid w:val="00ED3658"/>
    <w:rsid w:val="00ED36CB"/>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6D4"/>
    <w:rsid w:val="00ED67AC"/>
    <w:rsid w:val="00ED67D5"/>
    <w:rsid w:val="00ED68E4"/>
    <w:rsid w:val="00ED6A48"/>
    <w:rsid w:val="00ED6E81"/>
    <w:rsid w:val="00ED7019"/>
    <w:rsid w:val="00ED7599"/>
    <w:rsid w:val="00ED7626"/>
    <w:rsid w:val="00ED7B25"/>
    <w:rsid w:val="00ED7B82"/>
    <w:rsid w:val="00ED7E8F"/>
    <w:rsid w:val="00ED7ED4"/>
    <w:rsid w:val="00EE0203"/>
    <w:rsid w:val="00EE021A"/>
    <w:rsid w:val="00EE02AA"/>
    <w:rsid w:val="00EE03D2"/>
    <w:rsid w:val="00EE08D8"/>
    <w:rsid w:val="00EE0949"/>
    <w:rsid w:val="00EE09CC"/>
    <w:rsid w:val="00EE0A9A"/>
    <w:rsid w:val="00EE0BFC"/>
    <w:rsid w:val="00EE0C0F"/>
    <w:rsid w:val="00EE0DE3"/>
    <w:rsid w:val="00EE0EE6"/>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7E3"/>
    <w:rsid w:val="00EE4A17"/>
    <w:rsid w:val="00EE4A2C"/>
    <w:rsid w:val="00EE4C46"/>
    <w:rsid w:val="00EE4CA5"/>
    <w:rsid w:val="00EE4E37"/>
    <w:rsid w:val="00EE52B7"/>
    <w:rsid w:val="00EE534C"/>
    <w:rsid w:val="00EE5677"/>
    <w:rsid w:val="00EE5806"/>
    <w:rsid w:val="00EE5B34"/>
    <w:rsid w:val="00EE5BAF"/>
    <w:rsid w:val="00EE6104"/>
    <w:rsid w:val="00EE6500"/>
    <w:rsid w:val="00EE6898"/>
    <w:rsid w:val="00EE6984"/>
    <w:rsid w:val="00EE69A4"/>
    <w:rsid w:val="00EE6C8E"/>
    <w:rsid w:val="00EE71D1"/>
    <w:rsid w:val="00EE7277"/>
    <w:rsid w:val="00EE7804"/>
    <w:rsid w:val="00EE78C0"/>
    <w:rsid w:val="00EE7A4F"/>
    <w:rsid w:val="00EE7C07"/>
    <w:rsid w:val="00EE7D09"/>
    <w:rsid w:val="00EE7D7C"/>
    <w:rsid w:val="00EE7DE0"/>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39"/>
    <w:rsid w:val="00EF1C9B"/>
    <w:rsid w:val="00EF2956"/>
    <w:rsid w:val="00EF2EEA"/>
    <w:rsid w:val="00EF2FF5"/>
    <w:rsid w:val="00EF32EF"/>
    <w:rsid w:val="00EF3821"/>
    <w:rsid w:val="00EF3AFF"/>
    <w:rsid w:val="00EF3C24"/>
    <w:rsid w:val="00EF3F75"/>
    <w:rsid w:val="00EF3FAA"/>
    <w:rsid w:val="00EF409D"/>
    <w:rsid w:val="00EF4185"/>
    <w:rsid w:val="00EF421E"/>
    <w:rsid w:val="00EF4329"/>
    <w:rsid w:val="00EF4717"/>
    <w:rsid w:val="00EF4A02"/>
    <w:rsid w:val="00EF4CD2"/>
    <w:rsid w:val="00EF4E7D"/>
    <w:rsid w:val="00EF4FE3"/>
    <w:rsid w:val="00EF5016"/>
    <w:rsid w:val="00EF51F9"/>
    <w:rsid w:val="00EF5211"/>
    <w:rsid w:val="00EF548C"/>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4DD"/>
    <w:rsid w:val="00EF7525"/>
    <w:rsid w:val="00EF7561"/>
    <w:rsid w:val="00EF7703"/>
    <w:rsid w:val="00EF77B9"/>
    <w:rsid w:val="00EF7BEC"/>
    <w:rsid w:val="00EF7D5D"/>
    <w:rsid w:val="00F001AC"/>
    <w:rsid w:val="00F0045B"/>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1C04"/>
    <w:rsid w:val="00F020E4"/>
    <w:rsid w:val="00F02245"/>
    <w:rsid w:val="00F025AA"/>
    <w:rsid w:val="00F026AE"/>
    <w:rsid w:val="00F02AB2"/>
    <w:rsid w:val="00F02B09"/>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4CE1"/>
    <w:rsid w:val="00F0507E"/>
    <w:rsid w:val="00F050A7"/>
    <w:rsid w:val="00F05190"/>
    <w:rsid w:val="00F054D8"/>
    <w:rsid w:val="00F0559B"/>
    <w:rsid w:val="00F0561B"/>
    <w:rsid w:val="00F05755"/>
    <w:rsid w:val="00F05789"/>
    <w:rsid w:val="00F05BA9"/>
    <w:rsid w:val="00F06199"/>
    <w:rsid w:val="00F06919"/>
    <w:rsid w:val="00F06A73"/>
    <w:rsid w:val="00F06B95"/>
    <w:rsid w:val="00F06C2C"/>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AA0"/>
    <w:rsid w:val="00F11C1D"/>
    <w:rsid w:val="00F11DB5"/>
    <w:rsid w:val="00F11EA8"/>
    <w:rsid w:val="00F120BE"/>
    <w:rsid w:val="00F12108"/>
    <w:rsid w:val="00F12232"/>
    <w:rsid w:val="00F1251D"/>
    <w:rsid w:val="00F12573"/>
    <w:rsid w:val="00F1269E"/>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BFB"/>
    <w:rsid w:val="00F15C51"/>
    <w:rsid w:val="00F15C99"/>
    <w:rsid w:val="00F15E38"/>
    <w:rsid w:val="00F15FE6"/>
    <w:rsid w:val="00F1615C"/>
    <w:rsid w:val="00F16225"/>
    <w:rsid w:val="00F163F1"/>
    <w:rsid w:val="00F1648F"/>
    <w:rsid w:val="00F16504"/>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A1B"/>
    <w:rsid w:val="00F22A4F"/>
    <w:rsid w:val="00F22BA1"/>
    <w:rsid w:val="00F22D0B"/>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6066"/>
    <w:rsid w:val="00F26125"/>
    <w:rsid w:val="00F261FB"/>
    <w:rsid w:val="00F2622B"/>
    <w:rsid w:val="00F262C1"/>
    <w:rsid w:val="00F2650D"/>
    <w:rsid w:val="00F26A49"/>
    <w:rsid w:val="00F26CF1"/>
    <w:rsid w:val="00F26FC4"/>
    <w:rsid w:val="00F272AD"/>
    <w:rsid w:val="00F2785A"/>
    <w:rsid w:val="00F279DD"/>
    <w:rsid w:val="00F27A21"/>
    <w:rsid w:val="00F27D20"/>
    <w:rsid w:val="00F27DCE"/>
    <w:rsid w:val="00F300C2"/>
    <w:rsid w:val="00F30378"/>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155"/>
    <w:rsid w:val="00F352F9"/>
    <w:rsid w:val="00F353BF"/>
    <w:rsid w:val="00F356B2"/>
    <w:rsid w:val="00F3575A"/>
    <w:rsid w:val="00F35BDB"/>
    <w:rsid w:val="00F35E57"/>
    <w:rsid w:val="00F3609A"/>
    <w:rsid w:val="00F363BA"/>
    <w:rsid w:val="00F36520"/>
    <w:rsid w:val="00F3653E"/>
    <w:rsid w:val="00F3654E"/>
    <w:rsid w:val="00F36AED"/>
    <w:rsid w:val="00F36E70"/>
    <w:rsid w:val="00F37085"/>
    <w:rsid w:val="00F37181"/>
    <w:rsid w:val="00F372F6"/>
    <w:rsid w:val="00F373F7"/>
    <w:rsid w:val="00F37425"/>
    <w:rsid w:val="00F3742D"/>
    <w:rsid w:val="00F374C7"/>
    <w:rsid w:val="00F37823"/>
    <w:rsid w:val="00F37ABA"/>
    <w:rsid w:val="00F37C40"/>
    <w:rsid w:val="00F37CA7"/>
    <w:rsid w:val="00F37CB0"/>
    <w:rsid w:val="00F37CC0"/>
    <w:rsid w:val="00F37D4B"/>
    <w:rsid w:val="00F37E74"/>
    <w:rsid w:val="00F37FF9"/>
    <w:rsid w:val="00F4016F"/>
    <w:rsid w:val="00F402AB"/>
    <w:rsid w:val="00F4056B"/>
    <w:rsid w:val="00F40647"/>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38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B87"/>
    <w:rsid w:val="00F44172"/>
    <w:rsid w:val="00F44214"/>
    <w:rsid w:val="00F44521"/>
    <w:rsid w:val="00F445DC"/>
    <w:rsid w:val="00F445FB"/>
    <w:rsid w:val="00F44818"/>
    <w:rsid w:val="00F44C27"/>
    <w:rsid w:val="00F44CD6"/>
    <w:rsid w:val="00F44D4F"/>
    <w:rsid w:val="00F4528E"/>
    <w:rsid w:val="00F452C3"/>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0FD9"/>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DB"/>
    <w:rsid w:val="00F550ED"/>
    <w:rsid w:val="00F55639"/>
    <w:rsid w:val="00F5586B"/>
    <w:rsid w:val="00F558DD"/>
    <w:rsid w:val="00F55A55"/>
    <w:rsid w:val="00F55B31"/>
    <w:rsid w:val="00F561B8"/>
    <w:rsid w:val="00F562FB"/>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33"/>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108"/>
    <w:rsid w:val="00F633F1"/>
    <w:rsid w:val="00F6349F"/>
    <w:rsid w:val="00F635F9"/>
    <w:rsid w:val="00F6369D"/>
    <w:rsid w:val="00F646A3"/>
    <w:rsid w:val="00F646A8"/>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C4F"/>
    <w:rsid w:val="00F65DB0"/>
    <w:rsid w:val="00F65F2F"/>
    <w:rsid w:val="00F66038"/>
    <w:rsid w:val="00F660F6"/>
    <w:rsid w:val="00F661AC"/>
    <w:rsid w:val="00F66ED4"/>
    <w:rsid w:val="00F66FB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1B2"/>
    <w:rsid w:val="00F7120C"/>
    <w:rsid w:val="00F712EE"/>
    <w:rsid w:val="00F71383"/>
    <w:rsid w:val="00F714A8"/>
    <w:rsid w:val="00F716BF"/>
    <w:rsid w:val="00F7170C"/>
    <w:rsid w:val="00F71753"/>
    <w:rsid w:val="00F72086"/>
    <w:rsid w:val="00F721FA"/>
    <w:rsid w:val="00F7226B"/>
    <w:rsid w:val="00F7257C"/>
    <w:rsid w:val="00F728DC"/>
    <w:rsid w:val="00F72A45"/>
    <w:rsid w:val="00F72C7E"/>
    <w:rsid w:val="00F72E31"/>
    <w:rsid w:val="00F73078"/>
    <w:rsid w:val="00F73194"/>
    <w:rsid w:val="00F7324A"/>
    <w:rsid w:val="00F7342F"/>
    <w:rsid w:val="00F73720"/>
    <w:rsid w:val="00F737C0"/>
    <w:rsid w:val="00F7384E"/>
    <w:rsid w:val="00F738A5"/>
    <w:rsid w:val="00F73A9B"/>
    <w:rsid w:val="00F73FBA"/>
    <w:rsid w:val="00F743D0"/>
    <w:rsid w:val="00F7448A"/>
    <w:rsid w:val="00F7473A"/>
    <w:rsid w:val="00F747BE"/>
    <w:rsid w:val="00F749BA"/>
    <w:rsid w:val="00F74EFA"/>
    <w:rsid w:val="00F74FD2"/>
    <w:rsid w:val="00F754A0"/>
    <w:rsid w:val="00F7577D"/>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3620"/>
    <w:rsid w:val="00F837A5"/>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C2A"/>
    <w:rsid w:val="00F85DC9"/>
    <w:rsid w:val="00F85F1E"/>
    <w:rsid w:val="00F85FED"/>
    <w:rsid w:val="00F860AE"/>
    <w:rsid w:val="00F861F4"/>
    <w:rsid w:val="00F862B1"/>
    <w:rsid w:val="00F8636E"/>
    <w:rsid w:val="00F86837"/>
    <w:rsid w:val="00F86973"/>
    <w:rsid w:val="00F86A60"/>
    <w:rsid w:val="00F86AD2"/>
    <w:rsid w:val="00F86C85"/>
    <w:rsid w:val="00F87590"/>
    <w:rsid w:val="00F875DF"/>
    <w:rsid w:val="00F875E0"/>
    <w:rsid w:val="00F87722"/>
    <w:rsid w:val="00F877D1"/>
    <w:rsid w:val="00F878B7"/>
    <w:rsid w:val="00F878BA"/>
    <w:rsid w:val="00F87B05"/>
    <w:rsid w:val="00F87ED9"/>
    <w:rsid w:val="00F9094D"/>
    <w:rsid w:val="00F90952"/>
    <w:rsid w:val="00F90B92"/>
    <w:rsid w:val="00F9127C"/>
    <w:rsid w:val="00F91315"/>
    <w:rsid w:val="00F914FA"/>
    <w:rsid w:val="00F9159D"/>
    <w:rsid w:val="00F917D3"/>
    <w:rsid w:val="00F918F5"/>
    <w:rsid w:val="00F91A25"/>
    <w:rsid w:val="00F91F72"/>
    <w:rsid w:val="00F923AD"/>
    <w:rsid w:val="00F92A28"/>
    <w:rsid w:val="00F92B4C"/>
    <w:rsid w:val="00F92CDA"/>
    <w:rsid w:val="00F92E24"/>
    <w:rsid w:val="00F934CB"/>
    <w:rsid w:val="00F93541"/>
    <w:rsid w:val="00F9354E"/>
    <w:rsid w:val="00F936A7"/>
    <w:rsid w:val="00F9389D"/>
    <w:rsid w:val="00F939D0"/>
    <w:rsid w:val="00F93C7F"/>
    <w:rsid w:val="00F9410B"/>
    <w:rsid w:val="00F94214"/>
    <w:rsid w:val="00F943B5"/>
    <w:rsid w:val="00F9455B"/>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9A0"/>
    <w:rsid w:val="00FA09FA"/>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54C"/>
    <w:rsid w:val="00FA580D"/>
    <w:rsid w:val="00FA5D4E"/>
    <w:rsid w:val="00FA5F08"/>
    <w:rsid w:val="00FA5F91"/>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28D"/>
    <w:rsid w:val="00FB14ED"/>
    <w:rsid w:val="00FB1A20"/>
    <w:rsid w:val="00FB1BBE"/>
    <w:rsid w:val="00FB1C91"/>
    <w:rsid w:val="00FB1C98"/>
    <w:rsid w:val="00FB1CB3"/>
    <w:rsid w:val="00FB1E07"/>
    <w:rsid w:val="00FB21AF"/>
    <w:rsid w:val="00FB2262"/>
    <w:rsid w:val="00FB2290"/>
    <w:rsid w:val="00FB231B"/>
    <w:rsid w:val="00FB23DB"/>
    <w:rsid w:val="00FB2423"/>
    <w:rsid w:val="00FB24A7"/>
    <w:rsid w:val="00FB24FE"/>
    <w:rsid w:val="00FB2665"/>
    <w:rsid w:val="00FB29E0"/>
    <w:rsid w:val="00FB2ADA"/>
    <w:rsid w:val="00FB2DA9"/>
    <w:rsid w:val="00FB2F46"/>
    <w:rsid w:val="00FB330B"/>
    <w:rsid w:val="00FB35F4"/>
    <w:rsid w:val="00FB36A0"/>
    <w:rsid w:val="00FB3B9C"/>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73"/>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0E38"/>
    <w:rsid w:val="00FC12B0"/>
    <w:rsid w:val="00FC16BF"/>
    <w:rsid w:val="00FC1858"/>
    <w:rsid w:val="00FC1900"/>
    <w:rsid w:val="00FC1937"/>
    <w:rsid w:val="00FC1A78"/>
    <w:rsid w:val="00FC1C90"/>
    <w:rsid w:val="00FC1CC8"/>
    <w:rsid w:val="00FC1F5E"/>
    <w:rsid w:val="00FC1F95"/>
    <w:rsid w:val="00FC20E9"/>
    <w:rsid w:val="00FC217D"/>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16"/>
    <w:rsid w:val="00FC644A"/>
    <w:rsid w:val="00FC6461"/>
    <w:rsid w:val="00FC678F"/>
    <w:rsid w:val="00FC67BC"/>
    <w:rsid w:val="00FC6833"/>
    <w:rsid w:val="00FC69BA"/>
    <w:rsid w:val="00FC6AE6"/>
    <w:rsid w:val="00FC6D71"/>
    <w:rsid w:val="00FC6ECE"/>
    <w:rsid w:val="00FC70A1"/>
    <w:rsid w:val="00FC7163"/>
    <w:rsid w:val="00FC7844"/>
    <w:rsid w:val="00FC7D4D"/>
    <w:rsid w:val="00FC7E5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72"/>
    <w:rsid w:val="00FD56D4"/>
    <w:rsid w:val="00FD5982"/>
    <w:rsid w:val="00FD59F8"/>
    <w:rsid w:val="00FD5B63"/>
    <w:rsid w:val="00FD5B91"/>
    <w:rsid w:val="00FD5BD3"/>
    <w:rsid w:val="00FD5D9B"/>
    <w:rsid w:val="00FD649F"/>
    <w:rsid w:val="00FD660F"/>
    <w:rsid w:val="00FD699B"/>
    <w:rsid w:val="00FD6A78"/>
    <w:rsid w:val="00FD6C8A"/>
    <w:rsid w:val="00FD7033"/>
    <w:rsid w:val="00FD737E"/>
    <w:rsid w:val="00FD743B"/>
    <w:rsid w:val="00FD75A6"/>
    <w:rsid w:val="00FD7650"/>
    <w:rsid w:val="00FD7805"/>
    <w:rsid w:val="00FD7864"/>
    <w:rsid w:val="00FD7B88"/>
    <w:rsid w:val="00FD7C8B"/>
    <w:rsid w:val="00FD7DCF"/>
    <w:rsid w:val="00FD7F14"/>
    <w:rsid w:val="00FD7FDF"/>
    <w:rsid w:val="00FE00AA"/>
    <w:rsid w:val="00FE03E4"/>
    <w:rsid w:val="00FE04AB"/>
    <w:rsid w:val="00FE055F"/>
    <w:rsid w:val="00FE0863"/>
    <w:rsid w:val="00FE0A0C"/>
    <w:rsid w:val="00FE0D8A"/>
    <w:rsid w:val="00FE0F06"/>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9"/>
    <w:rsid w:val="00FE3D93"/>
    <w:rsid w:val="00FE3E5C"/>
    <w:rsid w:val="00FE3EA0"/>
    <w:rsid w:val="00FE414C"/>
    <w:rsid w:val="00FE4246"/>
    <w:rsid w:val="00FE43B0"/>
    <w:rsid w:val="00FE4415"/>
    <w:rsid w:val="00FE4486"/>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646"/>
    <w:rsid w:val="00FE669B"/>
    <w:rsid w:val="00FE714D"/>
    <w:rsid w:val="00FE7352"/>
    <w:rsid w:val="00FE7D6A"/>
    <w:rsid w:val="00FF018D"/>
    <w:rsid w:val="00FF01B0"/>
    <w:rsid w:val="00FF029E"/>
    <w:rsid w:val="00FF034B"/>
    <w:rsid w:val="00FF03B0"/>
    <w:rsid w:val="00FF0403"/>
    <w:rsid w:val="00FF05A6"/>
    <w:rsid w:val="00FF0655"/>
    <w:rsid w:val="00FF0961"/>
    <w:rsid w:val="00FF09F9"/>
    <w:rsid w:val="00FF0C30"/>
    <w:rsid w:val="00FF1007"/>
    <w:rsid w:val="00FF122C"/>
    <w:rsid w:val="00FF13B9"/>
    <w:rsid w:val="00FF1660"/>
    <w:rsid w:val="00FF1842"/>
    <w:rsid w:val="00FF196B"/>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5ED"/>
    <w:rsid w:val="00FF48E6"/>
    <w:rsid w:val="00FF4ACE"/>
    <w:rsid w:val="00FF4AD0"/>
    <w:rsid w:val="00FF4B29"/>
    <w:rsid w:val="00FF4B4F"/>
    <w:rsid w:val="00FF4D99"/>
    <w:rsid w:val="00FF4DA1"/>
    <w:rsid w:val="00FF5225"/>
    <w:rsid w:val="00FF5450"/>
    <w:rsid w:val="00FF547C"/>
    <w:rsid w:val="00FF5C14"/>
    <w:rsid w:val="00FF5FA3"/>
    <w:rsid w:val="00FF5FF1"/>
    <w:rsid w:val="00FF6005"/>
    <w:rsid w:val="00FF613D"/>
    <w:rsid w:val="00FF6189"/>
    <w:rsid w:val="00FF677B"/>
    <w:rsid w:val="00FF6916"/>
    <w:rsid w:val="00FF6982"/>
    <w:rsid w:val="00FF6A2B"/>
    <w:rsid w:val="00FF6C1C"/>
    <w:rsid w:val="00FF6C35"/>
    <w:rsid w:val="00FF6F85"/>
    <w:rsid w:val="00FF7060"/>
    <w:rsid w:val="00FF7636"/>
    <w:rsid w:val="00FF765F"/>
    <w:rsid w:val="00FF7989"/>
    <w:rsid w:val="00FF7D03"/>
    <w:rsid w:val="01246A25"/>
    <w:rsid w:val="01483505"/>
    <w:rsid w:val="015A70A3"/>
    <w:rsid w:val="01801893"/>
    <w:rsid w:val="021A27AB"/>
    <w:rsid w:val="02EF6B72"/>
    <w:rsid w:val="03053B57"/>
    <w:rsid w:val="032043FA"/>
    <w:rsid w:val="03327360"/>
    <w:rsid w:val="038D105E"/>
    <w:rsid w:val="0391212D"/>
    <w:rsid w:val="03D55804"/>
    <w:rsid w:val="044D6CFD"/>
    <w:rsid w:val="04BE6C06"/>
    <w:rsid w:val="04D550AF"/>
    <w:rsid w:val="04F33787"/>
    <w:rsid w:val="04FA68C4"/>
    <w:rsid w:val="050719CA"/>
    <w:rsid w:val="052C604B"/>
    <w:rsid w:val="05353DA0"/>
    <w:rsid w:val="05632877"/>
    <w:rsid w:val="058645FB"/>
    <w:rsid w:val="05B445ED"/>
    <w:rsid w:val="05C80770"/>
    <w:rsid w:val="06620434"/>
    <w:rsid w:val="066A7752"/>
    <w:rsid w:val="06951CE9"/>
    <w:rsid w:val="06A83909"/>
    <w:rsid w:val="06D870D9"/>
    <w:rsid w:val="06DA2A5B"/>
    <w:rsid w:val="071B1D6A"/>
    <w:rsid w:val="074F5D75"/>
    <w:rsid w:val="075E313A"/>
    <w:rsid w:val="07D51FE8"/>
    <w:rsid w:val="089972B4"/>
    <w:rsid w:val="08D3254A"/>
    <w:rsid w:val="08FD4BD5"/>
    <w:rsid w:val="09802A2B"/>
    <w:rsid w:val="098D4E40"/>
    <w:rsid w:val="09C676BC"/>
    <w:rsid w:val="0A232A84"/>
    <w:rsid w:val="0AC37758"/>
    <w:rsid w:val="0B4E20F6"/>
    <w:rsid w:val="0B660C1A"/>
    <w:rsid w:val="0B687D5B"/>
    <w:rsid w:val="0BE34968"/>
    <w:rsid w:val="0C30271D"/>
    <w:rsid w:val="0C673955"/>
    <w:rsid w:val="0C977BD0"/>
    <w:rsid w:val="0D2812C9"/>
    <w:rsid w:val="0D575DC8"/>
    <w:rsid w:val="0D5B20DE"/>
    <w:rsid w:val="0D966794"/>
    <w:rsid w:val="0D9E3966"/>
    <w:rsid w:val="0D9F6981"/>
    <w:rsid w:val="0E30438C"/>
    <w:rsid w:val="0E663461"/>
    <w:rsid w:val="0E6B25E0"/>
    <w:rsid w:val="0E8B1753"/>
    <w:rsid w:val="0F24110D"/>
    <w:rsid w:val="0F5F3EF3"/>
    <w:rsid w:val="0F6F1FC8"/>
    <w:rsid w:val="0F9A4F2B"/>
    <w:rsid w:val="0FBB78CD"/>
    <w:rsid w:val="0FE81EC0"/>
    <w:rsid w:val="10294055"/>
    <w:rsid w:val="10537DB7"/>
    <w:rsid w:val="10BE4C49"/>
    <w:rsid w:val="10CE6DF0"/>
    <w:rsid w:val="112E608C"/>
    <w:rsid w:val="115F000C"/>
    <w:rsid w:val="12211934"/>
    <w:rsid w:val="12274A70"/>
    <w:rsid w:val="12323B41"/>
    <w:rsid w:val="12345DD1"/>
    <w:rsid w:val="125F245C"/>
    <w:rsid w:val="127E2830"/>
    <w:rsid w:val="13A22600"/>
    <w:rsid w:val="146705D2"/>
    <w:rsid w:val="14D4512A"/>
    <w:rsid w:val="151B4AF5"/>
    <w:rsid w:val="152A3463"/>
    <w:rsid w:val="152E716F"/>
    <w:rsid w:val="15763570"/>
    <w:rsid w:val="15C90130"/>
    <w:rsid w:val="15DB44F0"/>
    <w:rsid w:val="15F54804"/>
    <w:rsid w:val="15FC6940"/>
    <w:rsid w:val="162B4831"/>
    <w:rsid w:val="16B20DAC"/>
    <w:rsid w:val="171E4694"/>
    <w:rsid w:val="17397720"/>
    <w:rsid w:val="17C23271"/>
    <w:rsid w:val="17E24A5B"/>
    <w:rsid w:val="17F92A0B"/>
    <w:rsid w:val="17F93E0B"/>
    <w:rsid w:val="180C4078"/>
    <w:rsid w:val="184B3A55"/>
    <w:rsid w:val="185D2A7F"/>
    <w:rsid w:val="187B4774"/>
    <w:rsid w:val="18E72B38"/>
    <w:rsid w:val="18EF0C6E"/>
    <w:rsid w:val="18FE40E0"/>
    <w:rsid w:val="19DD3743"/>
    <w:rsid w:val="1A123E01"/>
    <w:rsid w:val="1A6021E3"/>
    <w:rsid w:val="1AE25975"/>
    <w:rsid w:val="1B2453AC"/>
    <w:rsid w:val="1B5C794F"/>
    <w:rsid w:val="1B8213E2"/>
    <w:rsid w:val="1BCE25BA"/>
    <w:rsid w:val="1C455CA5"/>
    <w:rsid w:val="1C495489"/>
    <w:rsid w:val="1C4F5EF0"/>
    <w:rsid w:val="1C6A46EF"/>
    <w:rsid w:val="1C772D94"/>
    <w:rsid w:val="1C8C60B9"/>
    <w:rsid w:val="1C8E3FCB"/>
    <w:rsid w:val="1D2C69D2"/>
    <w:rsid w:val="1D874BC9"/>
    <w:rsid w:val="1D95178A"/>
    <w:rsid w:val="1DE81558"/>
    <w:rsid w:val="1E2C56EF"/>
    <w:rsid w:val="1E33272A"/>
    <w:rsid w:val="1F297DB5"/>
    <w:rsid w:val="1FB060A0"/>
    <w:rsid w:val="20203B4F"/>
    <w:rsid w:val="20525B2E"/>
    <w:rsid w:val="20660F45"/>
    <w:rsid w:val="20BE4F05"/>
    <w:rsid w:val="21592826"/>
    <w:rsid w:val="21595194"/>
    <w:rsid w:val="21885769"/>
    <w:rsid w:val="21BA6329"/>
    <w:rsid w:val="21C4472F"/>
    <w:rsid w:val="21F21C9D"/>
    <w:rsid w:val="2200500C"/>
    <w:rsid w:val="22280ABD"/>
    <w:rsid w:val="22C40C4B"/>
    <w:rsid w:val="22E845D3"/>
    <w:rsid w:val="23164070"/>
    <w:rsid w:val="23406B5E"/>
    <w:rsid w:val="239E00B4"/>
    <w:rsid w:val="23A103E7"/>
    <w:rsid w:val="23C94C24"/>
    <w:rsid w:val="24165222"/>
    <w:rsid w:val="2432352D"/>
    <w:rsid w:val="249661B1"/>
    <w:rsid w:val="24FF6206"/>
    <w:rsid w:val="251E74A4"/>
    <w:rsid w:val="25397341"/>
    <w:rsid w:val="255B3103"/>
    <w:rsid w:val="256811AE"/>
    <w:rsid w:val="25893620"/>
    <w:rsid w:val="25A72C2B"/>
    <w:rsid w:val="25AE0D72"/>
    <w:rsid w:val="261E1681"/>
    <w:rsid w:val="27205CF9"/>
    <w:rsid w:val="27843CE5"/>
    <w:rsid w:val="28390ECA"/>
    <w:rsid w:val="286640ED"/>
    <w:rsid w:val="28B430AA"/>
    <w:rsid w:val="28C50F38"/>
    <w:rsid w:val="28DE6F37"/>
    <w:rsid w:val="28E514B5"/>
    <w:rsid w:val="29312005"/>
    <w:rsid w:val="29996E7D"/>
    <w:rsid w:val="29D23AFB"/>
    <w:rsid w:val="2A737C44"/>
    <w:rsid w:val="2A770D67"/>
    <w:rsid w:val="2A84548B"/>
    <w:rsid w:val="2B411251"/>
    <w:rsid w:val="2B8C4734"/>
    <w:rsid w:val="2B9A264F"/>
    <w:rsid w:val="2B9C52A0"/>
    <w:rsid w:val="2BD20392"/>
    <w:rsid w:val="2CC557CA"/>
    <w:rsid w:val="2D61515B"/>
    <w:rsid w:val="2DAF3E40"/>
    <w:rsid w:val="2DC95029"/>
    <w:rsid w:val="2DEF2105"/>
    <w:rsid w:val="2E1E724B"/>
    <w:rsid w:val="2E2170F9"/>
    <w:rsid w:val="2E222C65"/>
    <w:rsid w:val="2E590E04"/>
    <w:rsid w:val="2E6C3ADF"/>
    <w:rsid w:val="2EA4771D"/>
    <w:rsid w:val="2EAF47C2"/>
    <w:rsid w:val="2EE17688"/>
    <w:rsid w:val="2FD24363"/>
    <w:rsid w:val="2FD4035F"/>
    <w:rsid w:val="30255F3F"/>
    <w:rsid w:val="302D729E"/>
    <w:rsid w:val="30EE2ED1"/>
    <w:rsid w:val="31055323"/>
    <w:rsid w:val="316A12DE"/>
    <w:rsid w:val="31A422DF"/>
    <w:rsid w:val="32277A32"/>
    <w:rsid w:val="322D217E"/>
    <w:rsid w:val="32B15100"/>
    <w:rsid w:val="32B61940"/>
    <w:rsid w:val="32BF4784"/>
    <w:rsid w:val="32EB653A"/>
    <w:rsid w:val="32F04CDF"/>
    <w:rsid w:val="32F80197"/>
    <w:rsid w:val="339E0DEB"/>
    <w:rsid w:val="33BB60DF"/>
    <w:rsid w:val="346638E0"/>
    <w:rsid w:val="347F1DAF"/>
    <w:rsid w:val="348D6CE6"/>
    <w:rsid w:val="349E49A1"/>
    <w:rsid w:val="34A00474"/>
    <w:rsid w:val="34E5395F"/>
    <w:rsid w:val="34E7631A"/>
    <w:rsid w:val="34F35936"/>
    <w:rsid w:val="351F0D42"/>
    <w:rsid w:val="354D2722"/>
    <w:rsid w:val="356D31EF"/>
    <w:rsid w:val="358C6DFB"/>
    <w:rsid w:val="36316F93"/>
    <w:rsid w:val="36322CEB"/>
    <w:rsid w:val="363377D7"/>
    <w:rsid w:val="3679416F"/>
    <w:rsid w:val="370B5A09"/>
    <w:rsid w:val="37EC6A27"/>
    <w:rsid w:val="37F6409B"/>
    <w:rsid w:val="384715D5"/>
    <w:rsid w:val="385C6972"/>
    <w:rsid w:val="38685317"/>
    <w:rsid w:val="3879186C"/>
    <w:rsid w:val="38C56C0D"/>
    <w:rsid w:val="3905700A"/>
    <w:rsid w:val="39065903"/>
    <w:rsid w:val="391334D5"/>
    <w:rsid w:val="393339A4"/>
    <w:rsid w:val="39745F39"/>
    <w:rsid w:val="39822DB5"/>
    <w:rsid w:val="398C3287"/>
    <w:rsid w:val="39BA7DF4"/>
    <w:rsid w:val="39BE1D8D"/>
    <w:rsid w:val="39F501D0"/>
    <w:rsid w:val="3A5E0E51"/>
    <w:rsid w:val="3A87109C"/>
    <w:rsid w:val="3AC5486B"/>
    <w:rsid w:val="3AFE1F63"/>
    <w:rsid w:val="3B0D46CC"/>
    <w:rsid w:val="3B974891"/>
    <w:rsid w:val="3BAE7642"/>
    <w:rsid w:val="3BB52F69"/>
    <w:rsid w:val="3BCB6780"/>
    <w:rsid w:val="3C474187"/>
    <w:rsid w:val="3C572D18"/>
    <w:rsid w:val="3C7E72BF"/>
    <w:rsid w:val="3C920787"/>
    <w:rsid w:val="3D2B33B3"/>
    <w:rsid w:val="3D3507D5"/>
    <w:rsid w:val="3D4E2014"/>
    <w:rsid w:val="3D692297"/>
    <w:rsid w:val="3D9F17DB"/>
    <w:rsid w:val="3DC8140E"/>
    <w:rsid w:val="3DE12156"/>
    <w:rsid w:val="3E134ABB"/>
    <w:rsid w:val="3E772632"/>
    <w:rsid w:val="3E8310FD"/>
    <w:rsid w:val="3EAC1F24"/>
    <w:rsid w:val="3EB5129C"/>
    <w:rsid w:val="3F3B3618"/>
    <w:rsid w:val="3F6C1B91"/>
    <w:rsid w:val="3F9C2AE9"/>
    <w:rsid w:val="3FA97950"/>
    <w:rsid w:val="3FF5F3AE"/>
    <w:rsid w:val="40315CC5"/>
    <w:rsid w:val="417D2A02"/>
    <w:rsid w:val="41943621"/>
    <w:rsid w:val="41A548B1"/>
    <w:rsid w:val="41EF1FBA"/>
    <w:rsid w:val="41F8770C"/>
    <w:rsid w:val="42213106"/>
    <w:rsid w:val="427E5FFA"/>
    <w:rsid w:val="42BE6BA7"/>
    <w:rsid w:val="42C2162A"/>
    <w:rsid w:val="42CD0A98"/>
    <w:rsid w:val="431A0C09"/>
    <w:rsid w:val="43355650"/>
    <w:rsid w:val="433B10D2"/>
    <w:rsid w:val="433B4B81"/>
    <w:rsid w:val="4345702E"/>
    <w:rsid w:val="43D24DE7"/>
    <w:rsid w:val="4413116C"/>
    <w:rsid w:val="448A03CE"/>
    <w:rsid w:val="449720F8"/>
    <w:rsid w:val="44A571E8"/>
    <w:rsid w:val="44AC7645"/>
    <w:rsid w:val="44FF534C"/>
    <w:rsid w:val="450A4A63"/>
    <w:rsid w:val="459F5CFA"/>
    <w:rsid w:val="45CE2B1D"/>
    <w:rsid w:val="462809B5"/>
    <w:rsid w:val="47017EC7"/>
    <w:rsid w:val="47AA53C0"/>
    <w:rsid w:val="47C66890"/>
    <w:rsid w:val="480E2158"/>
    <w:rsid w:val="486B70C4"/>
    <w:rsid w:val="4876264A"/>
    <w:rsid w:val="48D04F3E"/>
    <w:rsid w:val="490E0D36"/>
    <w:rsid w:val="49916E11"/>
    <w:rsid w:val="49F7299F"/>
    <w:rsid w:val="4A2D6F0A"/>
    <w:rsid w:val="4A622699"/>
    <w:rsid w:val="4A631DE2"/>
    <w:rsid w:val="4A732A3B"/>
    <w:rsid w:val="4AD351BA"/>
    <w:rsid w:val="4ADC78FD"/>
    <w:rsid w:val="4B642C8C"/>
    <w:rsid w:val="4B65373A"/>
    <w:rsid w:val="4B8D21D3"/>
    <w:rsid w:val="4BF97F8E"/>
    <w:rsid w:val="4C1E72B0"/>
    <w:rsid w:val="4C3B4DC5"/>
    <w:rsid w:val="4C892496"/>
    <w:rsid w:val="4CA95593"/>
    <w:rsid w:val="4D00163A"/>
    <w:rsid w:val="4D7059B7"/>
    <w:rsid w:val="4D71203B"/>
    <w:rsid w:val="4DCB4199"/>
    <w:rsid w:val="4DF54AD8"/>
    <w:rsid w:val="4E2C719A"/>
    <w:rsid w:val="4F021BCA"/>
    <w:rsid w:val="4F0F5BE3"/>
    <w:rsid w:val="4F493177"/>
    <w:rsid w:val="4F8D344E"/>
    <w:rsid w:val="4FD261A3"/>
    <w:rsid w:val="504C44C2"/>
    <w:rsid w:val="50E8261B"/>
    <w:rsid w:val="51104FA4"/>
    <w:rsid w:val="512A798A"/>
    <w:rsid w:val="513A4BFD"/>
    <w:rsid w:val="51662468"/>
    <w:rsid w:val="51870AB3"/>
    <w:rsid w:val="51AC4849"/>
    <w:rsid w:val="52270592"/>
    <w:rsid w:val="522D338C"/>
    <w:rsid w:val="5237602E"/>
    <w:rsid w:val="52420830"/>
    <w:rsid w:val="52422029"/>
    <w:rsid w:val="525E35BB"/>
    <w:rsid w:val="529D3CA4"/>
    <w:rsid w:val="52DB20B1"/>
    <w:rsid w:val="52F21F55"/>
    <w:rsid w:val="530127F1"/>
    <w:rsid w:val="53A70821"/>
    <w:rsid w:val="53BE6446"/>
    <w:rsid w:val="53C72C05"/>
    <w:rsid w:val="53D8739D"/>
    <w:rsid w:val="53F34305"/>
    <w:rsid w:val="540A51E2"/>
    <w:rsid w:val="54253A7A"/>
    <w:rsid w:val="547816AB"/>
    <w:rsid w:val="54D062C6"/>
    <w:rsid w:val="55040901"/>
    <w:rsid w:val="551564C7"/>
    <w:rsid w:val="55376222"/>
    <w:rsid w:val="55D75A57"/>
    <w:rsid w:val="560C77D2"/>
    <w:rsid w:val="56694C24"/>
    <w:rsid w:val="569F0646"/>
    <w:rsid w:val="56AF4477"/>
    <w:rsid w:val="56B23ED5"/>
    <w:rsid w:val="56B842D9"/>
    <w:rsid w:val="56C97FE2"/>
    <w:rsid w:val="56CD4670"/>
    <w:rsid w:val="56D87732"/>
    <w:rsid w:val="56DF05DE"/>
    <w:rsid w:val="573D0E7C"/>
    <w:rsid w:val="575933F7"/>
    <w:rsid w:val="57BA5F29"/>
    <w:rsid w:val="57F57CDB"/>
    <w:rsid w:val="57FC6189"/>
    <w:rsid w:val="587365B4"/>
    <w:rsid w:val="58A90A83"/>
    <w:rsid w:val="58AE23F3"/>
    <w:rsid w:val="58EB4A90"/>
    <w:rsid w:val="58F72073"/>
    <w:rsid w:val="591F11E2"/>
    <w:rsid w:val="59477464"/>
    <w:rsid w:val="59700A28"/>
    <w:rsid w:val="59B61F2F"/>
    <w:rsid w:val="59C35384"/>
    <w:rsid w:val="59F564AD"/>
    <w:rsid w:val="59F878DC"/>
    <w:rsid w:val="5A9D30EE"/>
    <w:rsid w:val="5AD0144C"/>
    <w:rsid w:val="5B63186C"/>
    <w:rsid w:val="5B7E5DFB"/>
    <w:rsid w:val="5B807A60"/>
    <w:rsid w:val="5C1D6157"/>
    <w:rsid w:val="5C235B24"/>
    <w:rsid w:val="5C4066A5"/>
    <w:rsid w:val="5C865E7C"/>
    <w:rsid w:val="5C8E7193"/>
    <w:rsid w:val="5C977326"/>
    <w:rsid w:val="5CA36453"/>
    <w:rsid w:val="5CC61EB1"/>
    <w:rsid w:val="5D3834E7"/>
    <w:rsid w:val="5D6808B8"/>
    <w:rsid w:val="5D6F2B20"/>
    <w:rsid w:val="5E6261E1"/>
    <w:rsid w:val="5E86471C"/>
    <w:rsid w:val="5E9860EB"/>
    <w:rsid w:val="5EA734E4"/>
    <w:rsid w:val="5ECC7AFE"/>
    <w:rsid w:val="5ED34608"/>
    <w:rsid w:val="5EEF1148"/>
    <w:rsid w:val="5F073306"/>
    <w:rsid w:val="5F5F73B9"/>
    <w:rsid w:val="5F82201C"/>
    <w:rsid w:val="5FC93D7A"/>
    <w:rsid w:val="5FD0361E"/>
    <w:rsid w:val="5FDC1BF4"/>
    <w:rsid w:val="5FEA0452"/>
    <w:rsid w:val="5FEB0F38"/>
    <w:rsid w:val="60124953"/>
    <w:rsid w:val="602F6A23"/>
    <w:rsid w:val="603C4D81"/>
    <w:rsid w:val="607928FD"/>
    <w:rsid w:val="609D1752"/>
    <w:rsid w:val="60E6131D"/>
    <w:rsid w:val="616441E1"/>
    <w:rsid w:val="61993110"/>
    <w:rsid w:val="61EC3999"/>
    <w:rsid w:val="623A1223"/>
    <w:rsid w:val="623D684E"/>
    <w:rsid w:val="6256605D"/>
    <w:rsid w:val="627E3805"/>
    <w:rsid w:val="62E63D8D"/>
    <w:rsid w:val="630278DB"/>
    <w:rsid w:val="630951DF"/>
    <w:rsid w:val="630A55CE"/>
    <w:rsid w:val="6318216D"/>
    <w:rsid w:val="63276C41"/>
    <w:rsid w:val="639F58B4"/>
    <w:rsid w:val="63CA6C3A"/>
    <w:rsid w:val="63D17CE2"/>
    <w:rsid w:val="63F7561D"/>
    <w:rsid w:val="63FE4E87"/>
    <w:rsid w:val="64793216"/>
    <w:rsid w:val="64B71977"/>
    <w:rsid w:val="64BC23C3"/>
    <w:rsid w:val="657D1B52"/>
    <w:rsid w:val="665B4EDD"/>
    <w:rsid w:val="66613222"/>
    <w:rsid w:val="66BD5E09"/>
    <w:rsid w:val="67EE5858"/>
    <w:rsid w:val="67FF2CF3"/>
    <w:rsid w:val="6838144E"/>
    <w:rsid w:val="68923B67"/>
    <w:rsid w:val="68AA7398"/>
    <w:rsid w:val="68BD0BEB"/>
    <w:rsid w:val="68CA3301"/>
    <w:rsid w:val="68E623DA"/>
    <w:rsid w:val="69147F19"/>
    <w:rsid w:val="69151BD9"/>
    <w:rsid w:val="691B2CB7"/>
    <w:rsid w:val="694D5CE0"/>
    <w:rsid w:val="69BF7AA7"/>
    <w:rsid w:val="69C45FA2"/>
    <w:rsid w:val="6A901C8A"/>
    <w:rsid w:val="6AAB5695"/>
    <w:rsid w:val="6B0D712F"/>
    <w:rsid w:val="6B122D3D"/>
    <w:rsid w:val="6B3D0570"/>
    <w:rsid w:val="6BA11AAE"/>
    <w:rsid w:val="6BD85D34"/>
    <w:rsid w:val="6C2324A8"/>
    <w:rsid w:val="6C474C68"/>
    <w:rsid w:val="6C9F2CF6"/>
    <w:rsid w:val="6D1A237D"/>
    <w:rsid w:val="6D3A09A3"/>
    <w:rsid w:val="6D6A3304"/>
    <w:rsid w:val="6E3A5E1D"/>
    <w:rsid w:val="6E427DDD"/>
    <w:rsid w:val="6EE92007"/>
    <w:rsid w:val="6F390C4B"/>
    <w:rsid w:val="6F8A1A3C"/>
    <w:rsid w:val="6FBB7E47"/>
    <w:rsid w:val="6FC843B6"/>
    <w:rsid w:val="706B3823"/>
    <w:rsid w:val="70913126"/>
    <w:rsid w:val="70FD2964"/>
    <w:rsid w:val="712612F0"/>
    <w:rsid w:val="713555D8"/>
    <w:rsid w:val="71687B5B"/>
    <w:rsid w:val="71FA0BD5"/>
    <w:rsid w:val="72B73B47"/>
    <w:rsid w:val="734E112F"/>
    <w:rsid w:val="735F059B"/>
    <w:rsid w:val="73C5451A"/>
    <w:rsid w:val="73C6500C"/>
    <w:rsid w:val="742339DE"/>
    <w:rsid w:val="742C597A"/>
    <w:rsid w:val="745E5245"/>
    <w:rsid w:val="747B3F2D"/>
    <w:rsid w:val="748144EC"/>
    <w:rsid w:val="74836A59"/>
    <w:rsid w:val="748702F8"/>
    <w:rsid w:val="74AA6A02"/>
    <w:rsid w:val="753F6E24"/>
    <w:rsid w:val="758B25E9"/>
    <w:rsid w:val="762D4ECF"/>
    <w:rsid w:val="76500BBD"/>
    <w:rsid w:val="76653816"/>
    <w:rsid w:val="768254B4"/>
    <w:rsid w:val="7728263E"/>
    <w:rsid w:val="775D6208"/>
    <w:rsid w:val="778C0A18"/>
    <w:rsid w:val="78020F55"/>
    <w:rsid w:val="78392358"/>
    <w:rsid w:val="788939FB"/>
    <w:rsid w:val="788E5AE2"/>
    <w:rsid w:val="78E80B2D"/>
    <w:rsid w:val="78EF1E0E"/>
    <w:rsid w:val="78F918AC"/>
    <w:rsid w:val="791F18EB"/>
    <w:rsid w:val="793242EA"/>
    <w:rsid w:val="794D6DCE"/>
    <w:rsid w:val="795A06FD"/>
    <w:rsid w:val="795F373E"/>
    <w:rsid w:val="797572B9"/>
    <w:rsid w:val="79F707FC"/>
    <w:rsid w:val="7A6B1D19"/>
    <w:rsid w:val="7A9E7E05"/>
    <w:rsid w:val="7AC22649"/>
    <w:rsid w:val="7AE70F19"/>
    <w:rsid w:val="7B641EE9"/>
    <w:rsid w:val="7BD10844"/>
    <w:rsid w:val="7BED25F2"/>
    <w:rsid w:val="7C156B31"/>
    <w:rsid w:val="7CAA0F1D"/>
    <w:rsid w:val="7CCD289A"/>
    <w:rsid w:val="7CD726DE"/>
    <w:rsid w:val="7CF34035"/>
    <w:rsid w:val="7D245D0D"/>
    <w:rsid w:val="7D291F73"/>
    <w:rsid w:val="7D4F1BCF"/>
    <w:rsid w:val="7D543BE8"/>
    <w:rsid w:val="7D80760F"/>
    <w:rsid w:val="7DDA2983"/>
    <w:rsid w:val="7DF95C2F"/>
    <w:rsid w:val="7E162D9E"/>
    <w:rsid w:val="7E6A2956"/>
    <w:rsid w:val="7ED17C32"/>
    <w:rsid w:val="DF7AD8D6"/>
    <w:rsid w:val="F3EFEC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99"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238"/>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
    <w:name w:val="heading 2"/>
    <w:basedOn w:val="1"/>
    <w:next w:val="1"/>
    <w:link w:val="63"/>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4">
    <w:name w:val="heading 3"/>
    <w:basedOn w:val="1"/>
    <w:next w:val="1"/>
    <w:link w:val="64"/>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5">
    <w:name w:val="heading 4"/>
    <w:basedOn w:val="1"/>
    <w:next w:val="1"/>
    <w:link w:val="239"/>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6">
    <w:name w:val="heading 5"/>
    <w:basedOn w:val="1"/>
    <w:next w:val="1"/>
    <w:link w:val="240"/>
    <w:qFormat/>
    <w:uiPriority w:val="0"/>
    <w:pPr>
      <w:keepNext/>
      <w:keepLines/>
      <w:adjustRightInd w:val="0"/>
      <w:spacing w:before="280" w:after="290" w:line="376" w:lineRule="atLeast"/>
      <w:textAlignment w:val="baseline"/>
      <w:outlineLvl w:val="4"/>
    </w:pPr>
    <w:rPr>
      <w:b/>
      <w:kern w:val="0"/>
      <w:sz w:val="28"/>
      <w:szCs w:val="20"/>
    </w:rPr>
  </w:style>
  <w:style w:type="paragraph" w:styleId="7">
    <w:name w:val="heading 6"/>
    <w:basedOn w:val="1"/>
    <w:next w:val="1"/>
    <w:link w:val="241"/>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8">
    <w:name w:val="heading 7"/>
    <w:basedOn w:val="1"/>
    <w:next w:val="1"/>
    <w:link w:val="242"/>
    <w:qFormat/>
    <w:uiPriority w:val="0"/>
    <w:pPr>
      <w:keepNext/>
      <w:keepLines/>
      <w:adjustRightInd w:val="0"/>
      <w:spacing w:before="240" w:after="64" w:line="320" w:lineRule="atLeast"/>
      <w:textAlignment w:val="baseline"/>
      <w:outlineLvl w:val="6"/>
    </w:pPr>
    <w:rPr>
      <w:b/>
      <w:kern w:val="0"/>
      <w:sz w:val="24"/>
      <w:szCs w:val="20"/>
    </w:rPr>
  </w:style>
  <w:style w:type="paragraph" w:styleId="9">
    <w:name w:val="heading 8"/>
    <w:basedOn w:val="1"/>
    <w:next w:val="1"/>
    <w:link w:val="243"/>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0">
    <w:name w:val="heading 9"/>
    <w:basedOn w:val="1"/>
    <w:next w:val="1"/>
    <w:link w:val="244"/>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50">
    <w:name w:val="Default Paragraph Font"/>
    <w:semiHidden/>
    <w:unhideWhenUsed/>
    <w:qFormat/>
    <w:uiPriority w:val="1"/>
  </w:style>
  <w:style w:type="table" w:default="1" w:styleId="47">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0"/>
    <w:pPr>
      <w:ind w:left="2520" w:leftChars="1200"/>
    </w:pPr>
  </w:style>
  <w:style w:type="paragraph" w:styleId="12">
    <w:name w:val="Normal Indent"/>
    <w:basedOn w:val="1"/>
    <w:link w:val="71"/>
    <w:qFormat/>
    <w:uiPriority w:val="0"/>
    <w:pPr>
      <w:autoSpaceDE w:val="0"/>
      <w:autoSpaceDN w:val="0"/>
      <w:adjustRightInd w:val="0"/>
      <w:ind w:firstLine="420"/>
      <w:jc w:val="left"/>
    </w:pPr>
    <w:rPr>
      <w:rFonts w:ascii="宋体"/>
      <w:sz w:val="24"/>
    </w:rPr>
  </w:style>
  <w:style w:type="paragraph" w:styleId="13">
    <w:name w:val="caption"/>
    <w:basedOn w:val="1"/>
    <w:next w:val="1"/>
    <w:qFormat/>
    <w:uiPriority w:val="0"/>
    <w:pPr>
      <w:spacing w:line="480" w:lineRule="auto"/>
    </w:pPr>
    <w:rPr>
      <w:rFonts w:ascii="华文中宋" w:hAnsi="华文中宋" w:eastAsia="华文中宋"/>
      <w:sz w:val="36"/>
      <w:szCs w:val="20"/>
    </w:rPr>
  </w:style>
  <w:style w:type="paragraph" w:styleId="14">
    <w:name w:val="Document Map"/>
    <w:basedOn w:val="1"/>
    <w:link w:val="245"/>
    <w:qFormat/>
    <w:uiPriority w:val="0"/>
    <w:pPr>
      <w:shd w:val="clear" w:color="auto" w:fill="000080"/>
    </w:pPr>
  </w:style>
  <w:style w:type="paragraph" w:styleId="15">
    <w:name w:val="annotation text"/>
    <w:basedOn w:val="1"/>
    <w:link w:val="191"/>
    <w:qFormat/>
    <w:uiPriority w:val="99"/>
    <w:pPr>
      <w:jc w:val="left"/>
    </w:pPr>
  </w:style>
  <w:style w:type="paragraph" w:styleId="16">
    <w:name w:val="Body Text 3"/>
    <w:basedOn w:val="1"/>
    <w:link w:val="246"/>
    <w:qFormat/>
    <w:uiPriority w:val="0"/>
    <w:pPr>
      <w:spacing w:after="120"/>
    </w:pPr>
    <w:rPr>
      <w:sz w:val="16"/>
      <w:szCs w:val="16"/>
    </w:rPr>
  </w:style>
  <w:style w:type="paragraph" w:styleId="17">
    <w:name w:val="Body Text"/>
    <w:basedOn w:val="1"/>
    <w:link w:val="247"/>
    <w:qFormat/>
    <w:uiPriority w:val="0"/>
    <w:pPr>
      <w:tabs>
        <w:tab w:val="left" w:pos="567"/>
      </w:tabs>
      <w:spacing w:before="120" w:line="22" w:lineRule="atLeast"/>
    </w:pPr>
    <w:rPr>
      <w:rFonts w:ascii="宋体" w:hAnsi="宋体"/>
      <w:sz w:val="24"/>
    </w:rPr>
  </w:style>
  <w:style w:type="paragraph" w:styleId="18">
    <w:name w:val="Body Text Indent"/>
    <w:basedOn w:val="1"/>
    <w:link w:val="76"/>
    <w:qFormat/>
    <w:uiPriority w:val="0"/>
    <w:pPr>
      <w:spacing w:line="360" w:lineRule="auto"/>
      <w:ind w:firstLine="570"/>
    </w:pPr>
    <w:rPr>
      <w:sz w:val="24"/>
    </w:rPr>
  </w:style>
  <w:style w:type="paragraph" w:styleId="19">
    <w:name w:val="List 2"/>
    <w:basedOn w:val="1"/>
    <w:qFormat/>
    <w:uiPriority w:val="0"/>
    <w:pPr>
      <w:ind w:left="100" w:leftChars="200" w:hanging="200" w:hangingChars="200"/>
    </w:pPr>
  </w:style>
  <w:style w:type="paragraph" w:styleId="20">
    <w:name w:val="Block Text"/>
    <w:basedOn w:val="1"/>
    <w:qFormat/>
    <w:uiPriority w:val="0"/>
    <w:pPr>
      <w:widowControl/>
      <w:ind w:left="480" w:right="-341" w:firstLine="513"/>
    </w:pPr>
    <w:rPr>
      <w:kern w:val="0"/>
      <w:sz w:val="24"/>
      <w:szCs w:val="20"/>
    </w:rPr>
  </w:style>
  <w:style w:type="paragraph" w:styleId="21">
    <w:name w:val="toc 5"/>
    <w:basedOn w:val="1"/>
    <w:next w:val="1"/>
    <w:qFormat/>
    <w:uiPriority w:val="0"/>
    <w:pPr>
      <w:ind w:left="1680" w:leftChars="800"/>
    </w:pPr>
  </w:style>
  <w:style w:type="paragraph" w:styleId="22">
    <w:name w:val="toc 3"/>
    <w:basedOn w:val="1"/>
    <w:next w:val="1"/>
    <w:qFormat/>
    <w:uiPriority w:val="39"/>
    <w:pPr>
      <w:ind w:left="840" w:leftChars="400"/>
    </w:pPr>
  </w:style>
  <w:style w:type="paragraph" w:styleId="23">
    <w:name w:val="Plain Text"/>
    <w:basedOn w:val="1"/>
    <w:link w:val="211"/>
    <w:qFormat/>
    <w:uiPriority w:val="0"/>
    <w:rPr>
      <w:rFonts w:hint="eastAsia" w:ascii="宋体" w:hAnsi="Courier New"/>
      <w:szCs w:val="20"/>
    </w:rPr>
  </w:style>
  <w:style w:type="paragraph" w:styleId="24">
    <w:name w:val="toc 8"/>
    <w:basedOn w:val="1"/>
    <w:next w:val="1"/>
    <w:qFormat/>
    <w:uiPriority w:val="0"/>
    <w:pPr>
      <w:ind w:left="2940" w:leftChars="1400"/>
    </w:pPr>
  </w:style>
  <w:style w:type="paragraph" w:styleId="25">
    <w:name w:val="Date"/>
    <w:basedOn w:val="1"/>
    <w:next w:val="1"/>
    <w:link w:val="248"/>
    <w:qFormat/>
    <w:uiPriority w:val="0"/>
    <w:pPr>
      <w:ind w:left="100" w:leftChars="2500"/>
    </w:pPr>
    <w:rPr>
      <w:rFonts w:ascii="仿宋_GB2312" w:hAnsi="宋体" w:eastAsia="仿宋_GB2312"/>
      <w:color w:val="000000"/>
      <w:sz w:val="24"/>
    </w:rPr>
  </w:style>
  <w:style w:type="paragraph" w:styleId="26">
    <w:name w:val="Body Text Indent 2"/>
    <w:basedOn w:val="1"/>
    <w:link w:val="249"/>
    <w:qFormat/>
    <w:uiPriority w:val="0"/>
    <w:pPr>
      <w:ind w:firstLine="480" w:firstLineChars="200"/>
    </w:pPr>
    <w:rPr>
      <w:rFonts w:ascii="仿宋_GB2312" w:eastAsia="仿宋_GB2312"/>
      <w:sz w:val="24"/>
    </w:rPr>
  </w:style>
  <w:style w:type="paragraph" w:styleId="27">
    <w:name w:val="Balloon Text"/>
    <w:basedOn w:val="1"/>
    <w:link w:val="250"/>
    <w:qFormat/>
    <w:uiPriority w:val="0"/>
    <w:rPr>
      <w:sz w:val="18"/>
      <w:szCs w:val="18"/>
    </w:rPr>
  </w:style>
  <w:style w:type="paragraph" w:styleId="28">
    <w:name w:val="footer"/>
    <w:basedOn w:val="1"/>
    <w:link w:val="178"/>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29">
    <w:name w:val="envelope return"/>
    <w:basedOn w:val="1"/>
    <w:qFormat/>
    <w:uiPriority w:val="99"/>
    <w:pPr>
      <w:widowControl w:val="0"/>
      <w:jc w:val="both"/>
    </w:pPr>
    <w:rPr>
      <w:rFonts w:ascii="Arial" w:hAnsi="Arial" w:cs="Arial"/>
      <w:kern w:val="1"/>
      <w:sz w:val="21"/>
      <w:szCs w:val="24"/>
      <w:lang w:val="en-US" w:eastAsia="zh-CN" w:bidi="ar-SA"/>
    </w:rPr>
  </w:style>
  <w:style w:type="paragraph" w:styleId="30">
    <w:name w:val="header"/>
    <w:basedOn w:val="1"/>
    <w:link w:val="85"/>
    <w:qFormat/>
    <w:uiPriority w:val="99"/>
    <w:pPr>
      <w:pBdr>
        <w:bottom w:val="single" w:color="auto" w:sz="6" w:space="1"/>
      </w:pBdr>
      <w:tabs>
        <w:tab w:val="center" w:pos="4153"/>
        <w:tab w:val="right" w:pos="8306"/>
      </w:tabs>
      <w:snapToGrid w:val="0"/>
      <w:jc w:val="center"/>
    </w:pPr>
    <w:rPr>
      <w:sz w:val="18"/>
      <w:szCs w:val="18"/>
    </w:rPr>
  </w:style>
  <w:style w:type="paragraph" w:styleId="31">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2">
    <w:name w:val="toc 4"/>
    <w:basedOn w:val="1"/>
    <w:next w:val="1"/>
    <w:qFormat/>
    <w:uiPriority w:val="0"/>
    <w:pPr>
      <w:ind w:left="1260" w:leftChars="600"/>
    </w:pPr>
  </w:style>
  <w:style w:type="paragraph" w:styleId="33">
    <w:name w:val="footnote text"/>
    <w:basedOn w:val="1"/>
    <w:next w:val="30"/>
    <w:unhideWhenUsed/>
    <w:qFormat/>
    <w:uiPriority w:val="0"/>
    <w:pPr>
      <w:snapToGrid w:val="0"/>
      <w:jc w:val="left"/>
    </w:pPr>
  </w:style>
  <w:style w:type="paragraph" w:styleId="34">
    <w:name w:val="toc 6"/>
    <w:basedOn w:val="1"/>
    <w:next w:val="1"/>
    <w:qFormat/>
    <w:uiPriority w:val="0"/>
    <w:pPr>
      <w:ind w:left="2100" w:leftChars="1000"/>
    </w:pPr>
  </w:style>
  <w:style w:type="paragraph" w:styleId="35">
    <w:name w:val="Body Text Indent 3"/>
    <w:basedOn w:val="1"/>
    <w:link w:val="251"/>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6">
    <w:name w:val="toc 2"/>
    <w:basedOn w:val="1"/>
    <w:next w:val="1"/>
    <w:qFormat/>
    <w:uiPriority w:val="39"/>
    <w:pPr>
      <w:tabs>
        <w:tab w:val="right" w:leader="dot" w:pos="8937"/>
      </w:tabs>
      <w:spacing w:line="312" w:lineRule="auto"/>
      <w:ind w:left="420" w:leftChars="200"/>
    </w:pPr>
  </w:style>
  <w:style w:type="paragraph" w:styleId="37">
    <w:name w:val="toc 9"/>
    <w:basedOn w:val="1"/>
    <w:next w:val="1"/>
    <w:qFormat/>
    <w:uiPriority w:val="0"/>
    <w:pPr>
      <w:ind w:left="3360" w:leftChars="1600"/>
    </w:pPr>
  </w:style>
  <w:style w:type="paragraph" w:styleId="38">
    <w:name w:val="Body Text 2"/>
    <w:basedOn w:val="1"/>
    <w:qFormat/>
    <w:uiPriority w:val="99"/>
    <w:pPr>
      <w:jc w:val="center"/>
    </w:pPr>
    <w:rPr>
      <w:rFonts w:eastAsia="黑体"/>
      <w:bCs/>
      <w:kern w:val="0"/>
      <w:sz w:val="72"/>
    </w:rPr>
  </w:style>
  <w:style w:type="paragraph" w:styleId="39">
    <w:name w:val="HTML Preformatted"/>
    <w:basedOn w:val="1"/>
    <w:link w:val="252"/>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40">
    <w:name w:val="Normal (Web)"/>
    <w:basedOn w:val="1"/>
    <w:next w:val="41"/>
    <w:unhideWhenUsed/>
    <w:qFormat/>
    <w:uiPriority w:val="99"/>
    <w:pPr>
      <w:widowControl/>
      <w:spacing w:before="100" w:beforeAutospacing="1" w:after="100" w:afterAutospacing="1"/>
      <w:jc w:val="left"/>
    </w:pPr>
    <w:rPr>
      <w:rFonts w:ascii="宋体" w:hAnsi="宋体" w:cs="宋体"/>
      <w:kern w:val="0"/>
      <w:sz w:val="24"/>
    </w:rPr>
  </w:style>
  <w:style w:type="paragraph" w:customStyle="1" w:styleId="41">
    <w:name w:val="样式 标题 3 + (中文) 黑体 小四 非加粗 段前: 7.8 磅 段后: 0 磅 行距: 固定值 20 磅"/>
    <w:basedOn w:val="4"/>
    <w:qFormat/>
    <w:uiPriority w:val="0"/>
    <w:pPr>
      <w:spacing w:beforeLines="50" w:afterLines="50" w:line="360" w:lineRule="auto"/>
    </w:pPr>
    <w:rPr>
      <w:rFonts w:ascii="宋体"/>
      <w:b w:val="0"/>
      <w:kern w:val="0"/>
      <w:sz w:val="24"/>
      <w:lang w:val="en-US" w:eastAsia="zh-CN"/>
    </w:rPr>
  </w:style>
  <w:style w:type="paragraph" w:styleId="42">
    <w:name w:val="index 1"/>
    <w:basedOn w:val="1"/>
    <w:next w:val="1"/>
    <w:qFormat/>
    <w:uiPriority w:val="0"/>
    <w:rPr>
      <w:szCs w:val="20"/>
    </w:rPr>
  </w:style>
  <w:style w:type="paragraph" w:styleId="43">
    <w:name w:val="Title"/>
    <w:basedOn w:val="1"/>
    <w:link w:val="197"/>
    <w:qFormat/>
    <w:uiPriority w:val="0"/>
    <w:pPr>
      <w:jc w:val="center"/>
      <w:outlineLvl w:val="0"/>
    </w:pPr>
    <w:rPr>
      <w:b/>
      <w:sz w:val="32"/>
      <w:szCs w:val="20"/>
    </w:rPr>
  </w:style>
  <w:style w:type="paragraph" w:styleId="44">
    <w:name w:val="annotation subject"/>
    <w:basedOn w:val="15"/>
    <w:next w:val="15"/>
    <w:link w:val="253"/>
    <w:qFormat/>
    <w:uiPriority w:val="0"/>
    <w:rPr>
      <w:b/>
      <w:bCs/>
    </w:rPr>
  </w:style>
  <w:style w:type="paragraph" w:styleId="45">
    <w:name w:val="Body Text First Indent"/>
    <w:basedOn w:val="17"/>
    <w:qFormat/>
    <w:uiPriority w:val="0"/>
    <w:pPr>
      <w:spacing w:before="0" w:after="120" w:line="240" w:lineRule="auto"/>
      <w:ind w:firstLine="420" w:firstLineChars="100"/>
    </w:pPr>
    <w:rPr>
      <w:rFonts w:ascii="Times New Roman"/>
      <w:sz w:val="21"/>
    </w:rPr>
  </w:style>
  <w:style w:type="paragraph" w:styleId="46">
    <w:name w:val="Body Text First Indent 2"/>
    <w:basedOn w:val="18"/>
    <w:link w:val="254"/>
    <w:qFormat/>
    <w:uiPriority w:val="0"/>
    <w:pPr>
      <w:spacing w:after="120" w:line="480" w:lineRule="exact"/>
      <w:ind w:left="420" w:leftChars="200" w:firstLine="420" w:firstLineChars="200"/>
    </w:pPr>
    <w:rPr>
      <w:szCs w:val="20"/>
    </w:rPr>
  </w:style>
  <w:style w:type="table" w:styleId="48">
    <w:name w:val="Table Grid"/>
    <w:basedOn w:val="47"/>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9">
    <w:name w:val="Medium Grid 1 Accent 2"/>
    <w:basedOn w:val="47"/>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51">
    <w:name w:val="Strong"/>
    <w:qFormat/>
    <w:uiPriority w:val="0"/>
    <w:rPr>
      <w:b/>
      <w:bCs/>
    </w:rPr>
  </w:style>
  <w:style w:type="character" w:styleId="52">
    <w:name w:val="page number"/>
    <w:basedOn w:val="50"/>
    <w:qFormat/>
    <w:uiPriority w:val="0"/>
  </w:style>
  <w:style w:type="character" w:styleId="53">
    <w:name w:val="FollowedHyperlink"/>
    <w:qFormat/>
    <w:uiPriority w:val="0"/>
    <w:rPr>
      <w:color w:val="800080"/>
      <w:u w:val="single"/>
    </w:rPr>
  </w:style>
  <w:style w:type="character" w:styleId="54">
    <w:name w:val="Emphasis"/>
    <w:qFormat/>
    <w:uiPriority w:val="0"/>
    <w:rPr>
      <w:color w:val="CC0033"/>
    </w:rPr>
  </w:style>
  <w:style w:type="character" w:styleId="55">
    <w:name w:val="HTML Definition"/>
    <w:basedOn w:val="50"/>
    <w:qFormat/>
    <w:uiPriority w:val="0"/>
  </w:style>
  <w:style w:type="character" w:styleId="56">
    <w:name w:val="HTML Acronym"/>
    <w:basedOn w:val="50"/>
    <w:qFormat/>
    <w:uiPriority w:val="0"/>
  </w:style>
  <w:style w:type="character" w:styleId="57">
    <w:name w:val="HTML Variable"/>
    <w:basedOn w:val="50"/>
    <w:qFormat/>
    <w:uiPriority w:val="0"/>
  </w:style>
  <w:style w:type="character" w:styleId="58">
    <w:name w:val="Hyperlink"/>
    <w:qFormat/>
    <w:uiPriority w:val="99"/>
    <w:rPr>
      <w:color w:val="0000FF"/>
      <w:u w:val="single"/>
    </w:rPr>
  </w:style>
  <w:style w:type="character" w:styleId="59">
    <w:name w:val="HTML Code"/>
    <w:basedOn w:val="50"/>
    <w:qFormat/>
    <w:uiPriority w:val="0"/>
    <w:rPr>
      <w:rFonts w:ascii="Courier New" w:hAnsi="Courier New"/>
      <w:sz w:val="20"/>
    </w:rPr>
  </w:style>
  <w:style w:type="character" w:styleId="60">
    <w:name w:val="annotation reference"/>
    <w:qFormat/>
    <w:uiPriority w:val="99"/>
    <w:rPr>
      <w:sz w:val="21"/>
      <w:szCs w:val="21"/>
    </w:rPr>
  </w:style>
  <w:style w:type="character" w:styleId="61">
    <w:name w:val="HTML Cite"/>
    <w:qFormat/>
    <w:uiPriority w:val="0"/>
    <w:rPr>
      <w:i/>
      <w:iCs/>
    </w:rPr>
  </w:style>
  <w:style w:type="paragraph" w:customStyle="1" w:styleId="62">
    <w:name w:val="正文1"/>
    <w:basedOn w:val="1"/>
    <w:next w:val="1"/>
    <w:qFormat/>
    <w:uiPriority w:val="99"/>
    <w:pPr>
      <w:tabs>
        <w:tab w:val="left" w:pos="480"/>
      </w:tabs>
      <w:spacing w:line="500" w:lineRule="exact"/>
      <w:ind w:left="359" w:hanging="359" w:hangingChars="171"/>
    </w:pPr>
    <w:rPr>
      <w:rFonts w:ascii="黑体" w:hAnsi="宋体" w:eastAsia="宋体" w:cs="黑体"/>
      <w:sz w:val="21"/>
      <w:szCs w:val="21"/>
    </w:rPr>
  </w:style>
  <w:style w:type="character" w:customStyle="1" w:styleId="63">
    <w:name w:val="标题 2 字符"/>
    <w:link w:val="2"/>
    <w:qFormat/>
    <w:uiPriority w:val="0"/>
    <w:rPr>
      <w:rFonts w:ascii="Arial" w:hAnsi="Arial" w:eastAsia="黑体"/>
      <w:b/>
      <w:sz w:val="30"/>
      <w:lang w:val="en-US" w:eastAsia="zh-CN" w:bidi="ar-SA"/>
    </w:rPr>
  </w:style>
  <w:style w:type="character" w:customStyle="1" w:styleId="64">
    <w:name w:val="标题 3 字符"/>
    <w:link w:val="4"/>
    <w:qFormat/>
    <w:uiPriority w:val="0"/>
    <w:rPr>
      <w:rFonts w:ascii="宋体" w:eastAsia="宋体"/>
      <w:b/>
      <w:sz w:val="24"/>
      <w:u w:val="single"/>
      <w:lang w:val="en-US" w:eastAsia="zh-CN" w:bidi="ar-SA"/>
    </w:rPr>
  </w:style>
  <w:style w:type="character" w:customStyle="1" w:styleId="65">
    <w:name w:val="c21"/>
    <w:qFormat/>
    <w:uiPriority w:val="0"/>
    <w:rPr>
      <w:rFonts w:hint="default" w:ascii="ˎ̥" w:hAnsi="ˎ̥"/>
      <w:color w:val="000000"/>
      <w:sz w:val="20"/>
      <w:szCs w:val="20"/>
      <w:u w:val="none"/>
    </w:rPr>
  </w:style>
  <w:style w:type="character" w:customStyle="1" w:styleId="66">
    <w:name w:val="title4"/>
    <w:qFormat/>
    <w:uiPriority w:val="0"/>
    <w:rPr>
      <w:b/>
      <w:bCs/>
      <w:color w:val="1D87B3"/>
      <w:sz w:val="15"/>
      <w:szCs w:val="15"/>
    </w:rPr>
  </w:style>
  <w:style w:type="character" w:customStyle="1" w:styleId="67">
    <w:name w:val="标题 2 Char Char"/>
    <w:qFormat/>
    <w:uiPriority w:val="0"/>
    <w:rPr>
      <w:rFonts w:ascii="Arial" w:hAnsi="Arial" w:eastAsia="黑体"/>
      <w:b/>
      <w:bCs/>
      <w:kern w:val="2"/>
      <w:sz w:val="32"/>
      <w:szCs w:val="32"/>
      <w:lang w:val="en-US" w:eastAsia="zh-CN" w:bidi="ar-SA"/>
    </w:rPr>
  </w:style>
  <w:style w:type="character" w:customStyle="1" w:styleId="68">
    <w:name w:val="black1"/>
    <w:qFormat/>
    <w:uiPriority w:val="0"/>
    <w:rPr>
      <w:color w:val="000000"/>
    </w:rPr>
  </w:style>
  <w:style w:type="character" w:customStyle="1" w:styleId="69">
    <w:name w:val="street-address"/>
    <w:basedOn w:val="50"/>
    <w:qFormat/>
    <w:uiPriority w:val="0"/>
  </w:style>
  <w:style w:type="character" w:customStyle="1" w:styleId="70">
    <w:name w:val="locality"/>
    <w:basedOn w:val="50"/>
    <w:qFormat/>
    <w:uiPriority w:val="0"/>
  </w:style>
  <w:style w:type="character" w:customStyle="1" w:styleId="71">
    <w:name w:val="正文缩进 字符"/>
    <w:link w:val="12"/>
    <w:qFormat/>
    <w:uiPriority w:val="0"/>
    <w:rPr>
      <w:rFonts w:ascii="宋体" w:eastAsia="宋体"/>
      <w:kern w:val="2"/>
      <w:sz w:val="24"/>
      <w:szCs w:val="24"/>
      <w:lang w:val="en-US" w:eastAsia="zh-CN" w:bidi="ar-SA"/>
    </w:rPr>
  </w:style>
  <w:style w:type="character" w:customStyle="1" w:styleId="72">
    <w:name w:val="正文文本缩进 Char1"/>
    <w:link w:val="73"/>
    <w:qFormat/>
    <w:uiPriority w:val="0"/>
    <w:rPr>
      <w:rFonts w:ascii="宋体" w:hAnsi="宋体" w:eastAsia="宋体"/>
      <w:sz w:val="24"/>
      <w:szCs w:val="24"/>
      <w:lang w:bidi="ar-SA"/>
    </w:rPr>
  </w:style>
  <w:style w:type="paragraph" w:customStyle="1" w:styleId="73">
    <w:name w:val="正文文本缩进1"/>
    <w:basedOn w:val="1"/>
    <w:link w:val="72"/>
    <w:qFormat/>
    <w:uiPriority w:val="0"/>
    <w:pPr>
      <w:spacing w:line="480" w:lineRule="exact"/>
      <w:ind w:firstLine="480" w:firstLineChars="200"/>
    </w:pPr>
    <w:rPr>
      <w:rFonts w:ascii="宋体" w:hAnsi="宋体"/>
      <w:kern w:val="0"/>
      <w:sz w:val="24"/>
    </w:rPr>
  </w:style>
  <w:style w:type="character" w:customStyle="1" w:styleId="74">
    <w:name w:val="Char Char11"/>
    <w:qFormat/>
    <w:uiPriority w:val="0"/>
    <w:rPr>
      <w:rFonts w:ascii="宋体" w:eastAsia="宋体"/>
      <w:b/>
      <w:sz w:val="24"/>
      <w:u w:val="single"/>
      <w:lang w:val="en-US" w:eastAsia="zh-CN" w:bidi="ar-SA"/>
    </w:rPr>
  </w:style>
  <w:style w:type="character" w:customStyle="1" w:styleId="75">
    <w:name w:val="txt"/>
    <w:basedOn w:val="50"/>
    <w:qFormat/>
    <w:uiPriority w:val="0"/>
  </w:style>
  <w:style w:type="character" w:customStyle="1" w:styleId="76">
    <w:name w:val="正文文本缩进 字符"/>
    <w:link w:val="18"/>
    <w:qFormat/>
    <w:uiPriority w:val="0"/>
    <w:rPr>
      <w:rFonts w:eastAsia="宋体"/>
      <w:kern w:val="2"/>
      <w:sz w:val="24"/>
      <w:szCs w:val="24"/>
      <w:lang w:val="en-US" w:eastAsia="zh-CN" w:bidi="ar-SA"/>
    </w:rPr>
  </w:style>
  <w:style w:type="character" w:customStyle="1" w:styleId="77">
    <w:name w:val="正文缩进 Char Char"/>
    <w:link w:val="78"/>
    <w:qFormat/>
    <w:uiPriority w:val="0"/>
    <w:rPr>
      <w:rFonts w:ascii="宋体" w:eastAsia="宋体"/>
      <w:snapToGrid w:val="0"/>
      <w:color w:val="000000"/>
      <w:kern w:val="28"/>
      <w:sz w:val="28"/>
      <w:lang w:bidi="ar-SA"/>
    </w:rPr>
  </w:style>
  <w:style w:type="paragraph" w:customStyle="1" w:styleId="78">
    <w:name w:val="正文缩进1"/>
    <w:basedOn w:val="1"/>
    <w:link w:val="77"/>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79">
    <w:name w:val="普通文字1 Char1"/>
    <w:qFormat/>
    <w:uiPriority w:val="0"/>
    <w:rPr>
      <w:rFonts w:ascii="宋体" w:hAnsi="Courier New" w:eastAsia="宋体"/>
      <w:kern w:val="2"/>
      <w:sz w:val="21"/>
      <w:lang w:val="en-US" w:eastAsia="zh-CN" w:bidi="ar-SA"/>
    </w:rPr>
  </w:style>
  <w:style w:type="character" w:customStyle="1" w:styleId="80">
    <w:name w:val="chanpin1"/>
    <w:qFormat/>
    <w:uiPriority w:val="0"/>
    <w:rPr>
      <w:rFonts w:hint="default" w:ascii="ˎ̥" w:hAnsi="ˎ̥"/>
      <w:color w:val="000000"/>
      <w:sz w:val="20"/>
      <w:szCs w:val="20"/>
      <w:u w:val="none"/>
    </w:rPr>
  </w:style>
  <w:style w:type="character" w:customStyle="1" w:styleId="81">
    <w:name w:val="列出段落 字符"/>
    <w:link w:val="82"/>
    <w:qFormat/>
    <w:uiPriority w:val="34"/>
    <w:rPr>
      <w:rFonts w:ascii="Calibri" w:hAnsi="Calibri" w:eastAsia="宋体"/>
      <w:kern w:val="2"/>
      <w:sz w:val="21"/>
      <w:szCs w:val="22"/>
      <w:lang w:val="en-US" w:eastAsia="zh-CN" w:bidi="ar-SA"/>
    </w:rPr>
  </w:style>
  <w:style w:type="paragraph" w:styleId="82">
    <w:name w:val="List Paragraph"/>
    <w:basedOn w:val="1"/>
    <w:link w:val="81"/>
    <w:qFormat/>
    <w:uiPriority w:val="34"/>
    <w:pPr>
      <w:ind w:firstLine="420" w:firstLineChars="200"/>
    </w:pPr>
    <w:rPr>
      <w:rFonts w:ascii="Calibri" w:hAnsi="Calibri"/>
      <w:szCs w:val="22"/>
    </w:rPr>
  </w:style>
  <w:style w:type="character" w:customStyle="1" w:styleId="83">
    <w:name w:val="标题 3 Char Char"/>
    <w:qFormat/>
    <w:uiPriority w:val="0"/>
    <w:rPr>
      <w:rFonts w:eastAsia="宋体"/>
      <w:b/>
      <w:bCs/>
      <w:kern w:val="2"/>
      <w:sz w:val="32"/>
      <w:szCs w:val="32"/>
      <w:lang w:val="en-US" w:eastAsia="zh-CN" w:bidi="ar-SA"/>
    </w:rPr>
  </w:style>
  <w:style w:type="character" w:customStyle="1" w:styleId="84">
    <w:name w:val="段1 Char"/>
    <w:qFormat/>
    <w:uiPriority w:val="0"/>
    <w:rPr>
      <w:rFonts w:ascii="宋体" w:eastAsia="宋体"/>
      <w:sz w:val="24"/>
      <w:lang w:val="en-US" w:eastAsia="zh-CN" w:bidi="ar-SA"/>
    </w:rPr>
  </w:style>
  <w:style w:type="character" w:customStyle="1" w:styleId="85">
    <w:name w:val="页眉 字符"/>
    <w:link w:val="30"/>
    <w:qFormat/>
    <w:uiPriority w:val="99"/>
    <w:rPr>
      <w:rFonts w:eastAsia="宋体"/>
      <w:kern w:val="2"/>
      <w:sz w:val="18"/>
      <w:szCs w:val="18"/>
      <w:lang w:val="en-US" w:eastAsia="zh-CN" w:bidi="ar-SA"/>
    </w:rPr>
  </w:style>
  <w:style w:type="character" w:customStyle="1" w:styleId="86">
    <w:name w:val="chanpin拷贝"/>
    <w:basedOn w:val="50"/>
    <w:qFormat/>
    <w:uiPriority w:val="0"/>
  </w:style>
  <w:style w:type="character" w:customStyle="1" w:styleId="87">
    <w:name w:val="纯文本 Char1"/>
    <w:qFormat/>
    <w:uiPriority w:val="0"/>
    <w:rPr>
      <w:rFonts w:ascii="宋体" w:hAnsi="Courier New" w:eastAsia="宋体"/>
      <w:kern w:val="2"/>
      <w:sz w:val="21"/>
      <w:lang w:val="en-US" w:eastAsia="zh-CN" w:bidi="ar-SA"/>
    </w:rPr>
  </w:style>
  <w:style w:type="character" w:customStyle="1" w:styleId="88">
    <w:name w:val="apple-style-span"/>
    <w:qFormat/>
    <w:uiPriority w:val="0"/>
    <w:rPr>
      <w:rFonts w:cs="Times New Roman"/>
    </w:rPr>
  </w:style>
  <w:style w:type="paragraph" w:customStyle="1" w:styleId="89">
    <w:name w:val="二级条标题"/>
    <w:basedOn w:val="90"/>
    <w:next w:val="1"/>
    <w:qFormat/>
    <w:uiPriority w:val="0"/>
    <w:pPr>
      <w:numPr>
        <w:numId w:val="0"/>
      </w:numPr>
      <w:tabs>
        <w:tab w:val="left" w:pos="360"/>
        <w:tab w:val="left" w:pos="840"/>
      </w:tabs>
      <w:ind w:hanging="840"/>
      <w:outlineLvl w:val="2"/>
    </w:pPr>
    <w:rPr>
      <w:rFonts w:ascii="宋体" w:eastAsia="宋体"/>
      <w:b w:val="0"/>
    </w:rPr>
  </w:style>
  <w:style w:type="paragraph" w:customStyle="1" w:styleId="90">
    <w:name w:val="一级条标题"/>
    <w:basedOn w:val="91"/>
    <w:next w:val="1"/>
    <w:qFormat/>
    <w:uiPriority w:val="0"/>
    <w:pPr>
      <w:numPr>
        <w:ilvl w:val="1"/>
      </w:numPr>
      <w:tabs>
        <w:tab w:val="left" w:pos="360"/>
        <w:tab w:val="left" w:pos="840"/>
      </w:tabs>
      <w:ind w:left="0" w:hanging="840"/>
      <w:outlineLvl w:val="1"/>
    </w:pPr>
  </w:style>
  <w:style w:type="paragraph" w:customStyle="1" w:styleId="91">
    <w:name w:val="章标题"/>
    <w:next w:val="1"/>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92">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93">
    <w:name w:val="字元 字元"/>
    <w:basedOn w:val="1"/>
    <w:qFormat/>
    <w:uiPriority w:val="0"/>
    <w:rPr>
      <w:rFonts w:ascii="Tahoma" w:hAnsi="Tahoma"/>
      <w:sz w:val="24"/>
      <w:szCs w:val="20"/>
    </w:rPr>
  </w:style>
  <w:style w:type="paragraph" w:customStyle="1" w:styleId="94">
    <w:name w:val="Char3 Char Char Char"/>
    <w:basedOn w:val="1"/>
    <w:qFormat/>
    <w:uiPriority w:val="0"/>
    <w:rPr>
      <w:rFonts w:ascii="Tahoma" w:hAnsi="Tahoma"/>
      <w:sz w:val="24"/>
      <w:szCs w:val="20"/>
    </w:rPr>
  </w:style>
  <w:style w:type="paragraph" w:customStyle="1" w:styleId="95">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96">
    <w:name w:val="项目编号2"/>
    <w:basedOn w:val="97"/>
    <w:qFormat/>
    <w:uiPriority w:val="0"/>
    <w:pPr>
      <w:numPr>
        <w:numId w:val="2"/>
      </w:numPr>
    </w:pPr>
  </w:style>
  <w:style w:type="paragraph" w:customStyle="1" w:styleId="97">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98">
    <w:name w:val="图中文字"/>
    <w:basedOn w:val="1"/>
    <w:qFormat/>
    <w:uiPriority w:val="0"/>
    <w:pPr>
      <w:adjustRightInd w:val="0"/>
      <w:snapToGrid w:val="0"/>
      <w:spacing w:line="0" w:lineRule="atLeast"/>
      <w:jc w:val="center"/>
    </w:pPr>
    <w:rPr>
      <w:sz w:val="24"/>
      <w:szCs w:val="20"/>
    </w:rPr>
  </w:style>
  <w:style w:type="paragraph" w:customStyle="1" w:styleId="99">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00">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101">
    <w:name w:val="Char2"/>
    <w:basedOn w:val="1"/>
    <w:qFormat/>
    <w:uiPriority w:val="0"/>
    <w:rPr>
      <w:rFonts w:ascii="Tahoma" w:hAnsi="Tahoma"/>
      <w:sz w:val="24"/>
      <w:szCs w:val="20"/>
    </w:rPr>
  </w:style>
  <w:style w:type="paragraph" w:customStyle="1" w:styleId="102">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3">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4">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105">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6">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107">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108">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09">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10">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11">
    <w:name w:val="正文列项_数字"/>
    <w:basedOn w:val="1"/>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12">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13">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4">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15">
    <w:name w:val="font8"/>
    <w:basedOn w:val="1"/>
    <w:qFormat/>
    <w:uiPriority w:val="0"/>
    <w:pPr>
      <w:widowControl/>
      <w:spacing w:before="100" w:beforeAutospacing="1" w:after="100" w:afterAutospacing="1"/>
      <w:jc w:val="left"/>
    </w:pPr>
    <w:rPr>
      <w:kern w:val="0"/>
      <w:sz w:val="36"/>
      <w:szCs w:val="36"/>
    </w:rPr>
  </w:style>
  <w:style w:type="paragraph" w:customStyle="1" w:styleId="116">
    <w:name w:val="Char"/>
    <w:basedOn w:val="1"/>
    <w:qFormat/>
    <w:uiPriority w:val="0"/>
    <w:pPr>
      <w:tabs>
        <w:tab w:val="left" w:pos="360"/>
      </w:tabs>
    </w:pPr>
    <w:rPr>
      <w:sz w:val="24"/>
    </w:rPr>
  </w:style>
  <w:style w:type="paragraph" w:customStyle="1" w:styleId="117">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18">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9">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20">
    <w:name w:val="Char Char1"/>
    <w:basedOn w:val="14"/>
    <w:qFormat/>
    <w:uiPriority w:val="0"/>
    <w:rPr>
      <w:rFonts w:ascii="Tahoma" w:hAnsi="Tahoma"/>
      <w:sz w:val="24"/>
    </w:rPr>
  </w:style>
  <w:style w:type="paragraph" w:customStyle="1" w:styleId="121">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22">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3">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4">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25">
    <w:name w:val="Char1 Char Char Char1"/>
    <w:basedOn w:val="1"/>
    <w:qFormat/>
    <w:uiPriority w:val="0"/>
    <w:rPr>
      <w:rFonts w:ascii="Tahoma" w:hAnsi="Tahoma" w:cs="仿宋_GB2312"/>
      <w:sz w:val="24"/>
      <w:szCs w:val="28"/>
    </w:rPr>
  </w:style>
  <w:style w:type="paragraph" w:customStyle="1" w:styleId="126">
    <w:name w:val="四级条标题"/>
    <w:basedOn w:val="127"/>
    <w:next w:val="1"/>
    <w:qFormat/>
    <w:uiPriority w:val="0"/>
    <w:pPr>
      <w:numPr>
        <w:ilvl w:val="4"/>
      </w:numPr>
      <w:tabs>
        <w:tab w:val="left" w:pos="360"/>
        <w:tab w:val="left" w:pos="840"/>
      </w:tabs>
      <w:ind w:left="0" w:hanging="840"/>
      <w:outlineLvl w:val="4"/>
    </w:pPr>
  </w:style>
  <w:style w:type="paragraph" w:customStyle="1" w:styleId="127">
    <w:name w:val="三级条标题"/>
    <w:basedOn w:val="89"/>
    <w:next w:val="1"/>
    <w:qFormat/>
    <w:uiPriority w:val="0"/>
    <w:pPr>
      <w:numPr>
        <w:ilvl w:val="3"/>
        <w:numId w:val="1"/>
      </w:numPr>
      <w:ind w:left="0" w:hanging="840"/>
      <w:outlineLvl w:val="3"/>
    </w:pPr>
  </w:style>
  <w:style w:type="paragraph" w:customStyle="1" w:styleId="128">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29">
    <w:name w:val="样式 标题 2 + 宋体 五号 行距: 单倍行距"/>
    <w:basedOn w:val="2"/>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30">
    <w:name w:val="List Paragraph1"/>
    <w:basedOn w:val="1"/>
    <w:qFormat/>
    <w:uiPriority w:val="0"/>
    <w:pPr>
      <w:ind w:firstLine="420" w:firstLineChars="200"/>
    </w:pPr>
    <w:rPr>
      <w:rFonts w:ascii="Calibri" w:hAnsi="Calibri"/>
      <w:szCs w:val="22"/>
    </w:rPr>
  </w:style>
  <w:style w:type="paragraph" w:customStyle="1" w:styleId="131">
    <w:name w:val="项目符号1"/>
    <w:basedOn w:val="132"/>
    <w:qFormat/>
    <w:uiPriority w:val="0"/>
    <w:pPr>
      <w:ind w:left="-25" w:firstLine="0"/>
    </w:pPr>
  </w:style>
  <w:style w:type="paragraph" w:customStyle="1" w:styleId="132">
    <w:name w:val="正文文本样式"/>
    <w:basedOn w:val="1"/>
    <w:qFormat/>
    <w:uiPriority w:val="0"/>
    <w:pPr>
      <w:spacing w:line="360" w:lineRule="auto"/>
      <w:ind w:firstLine="482"/>
    </w:pPr>
    <w:rPr>
      <w:rFonts w:cs="宋体"/>
      <w:sz w:val="24"/>
      <w:szCs w:val="20"/>
    </w:rPr>
  </w:style>
  <w:style w:type="paragraph" w:customStyle="1" w:styleId="133">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34">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35">
    <w:name w:val="五级条标题"/>
    <w:basedOn w:val="126"/>
    <w:next w:val="1"/>
    <w:qFormat/>
    <w:uiPriority w:val="0"/>
    <w:pPr>
      <w:numPr>
        <w:ilvl w:val="5"/>
      </w:numPr>
      <w:ind w:left="0" w:hanging="840"/>
      <w:outlineLvl w:val="5"/>
    </w:pPr>
  </w:style>
  <w:style w:type="paragraph" w:customStyle="1" w:styleId="136">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37">
    <w:name w:val="文档正文"/>
    <w:basedOn w:val="1"/>
    <w:qFormat/>
    <w:uiPriority w:val="0"/>
    <w:pPr>
      <w:snapToGrid w:val="0"/>
      <w:spacing w:before="120" w:after="120" w:line="180" w:lineRule="auto"/>
    </w:pPr>
    <w:rPr>
      <w:rFonts w:ascii="Arial" w:hAnsi="Arial"/>
      <w:szCs w:val="20"/>
    </w:rPr>
  </w:style>
  <w:style w:type="paragraph" w:customStyle="1" w:styleId="138">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39">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40">
    <w:name w:val="Char Char Char1 Char"/>
    <w:basedOn w:val="1"/>
    <w:qFormat/>
    <w:uiPriority w:val="0"/>
    <w:rPr>
      <w:rFonts w:ascii="Tahoma" w:hAnsi="Tahoma"/>
      <w:sz w:val="24"/>
      <w:szCs w:val="20"/>
    </w:rPr>
  </w:style>
  <w:style w:type="paragraph" w:customStyle="1" w:styleId="141">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42">
    <w:name w:val="1名"/>
    <w:basedOn w:val="1"/>
    <w:qFormat/>
    <w:uiPriority w:val="0"/>
    <w:pPr>
      <w:numPr>
        <w:ilvl w:val="0"/>
        <w:numId w:val="5"/>
      </w:numPr>
      <w:spacing w:before="120"/>
    </w:pPr>
    <w:rPr>
      <w:rFonts w:ascii="宋体"/>
      <w:sz w:val="28"/>
      <w:szCs w:val="20"/>
    </w:rPr>
  </w:style>
  <w:style w:type="paragraph" w:customStyle="1" w:styleId="143">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44">
    <w:name w:val="Char Char Char1 Char1"/>
    <w:basedOn w:val="1"/>
    <w:qFormat/>
    <w:uiPriority w:val="0"/>
    <w:rPr>
      <w:rFonts w:ascii="Tahoma" w:hAnsi="Tahoma"/>
      <w:sz w:val="24"/>
      <w:szCs w:val="20"/>
    </w:rPr>
  </w:style>
  <w:style w:type="paragraph" w:customStyle="1" w:styleId="145">
    <w:name w:val="Char Char Char Char Char Char Char Char Char Char"/>
    <w:basedOn w:val="1"/>
    <w:qFormat/>
    <w:uiPriority w:val="0"/>
  </w:style>
  <w:style w:type="paragraph" w:customStyle="1" w:styleId="146">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47">
    <w:name w:val="Char1"/>
    <w:basedOn w:val="1"/>
    <w:qFormat/>
    <w:uiPriority w:val="0"/>
    <w:pPr>
      <w:tabs>
        <w:tab w:val="left" w:pos="360"/>
      </w:tabs>
    </w:pPr>
    <w:rPr>
      <w:sz w:val="24"/>
    </w:rPr>
  </w:style>
  <w:style w:type="paragraph" w:customStyle="1" w:styleId="148">
    <w:name w:val="正文列项_字母"/>
    <w:basedOn w:val="1"/>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49">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50">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51">
    <w:name w:val="默认段落字体 Para Char Char Char Char"/>
    <w:basedOn w:val="1"/>
    <w:qFormat/>
    <w:uiPriority w:val="0"/>
    <w:rPr>
      <w:rFonts w:ascii="Arial" w:hAnsi="Arial" w:cs="Arial"/>
      <w:szCs w:val="21"/>
    </w:rPr>
  </w:style>
  <w:style w:type="paragraph" w:customStyle="1" w:styleId="152">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53">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54">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55">
    <w:name w:val="Char Char Char"/>
    <w:basedOn w:val="1"/>
    <w:qFormat/>
    <w:uiPriority w:val="0"/>
    <w:rPr>
      <w:rFonts w:ascii="Tahoma" w:hAnsi="Tahoma"/>
      <w:sz w:val="24"/>
      <w:szCs w:val="20"/>
    </w:rPr>
  </w:style>
  <w:style w:type="paragraph" w:customStyle="1" w:styleId="156">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57">
    <w:name w:val="缺省文本"/>
    <w:basedOn w:val="1"/>
    <w:qFormat/>
    <w:uiPriority w:val="0"/>
    <w:pPr>
      <w:autoSpaceDE w:val="0"/>
      <w:autoSpaceDN w:val="0"/>
      <w:adjustRightInd w:val="0"/>
      <w:jc w:val="left"/>
    </w:pPr>
    <w:rPr>
      <w:kern w:val="0"/>
      <w:sz w:val="24"/>
    </w:rPr>
  </w:style>
  <w:style w:type="paragraph" w:customStyle="1" w:styleId="158">
    <w:name w:val="Char Char Char1"/>
    <w:basedOn w:val="1"/>
    <w:qFormat/>
    <w:uiPriority w:val="0"/>
    <w:rPr>
      <w:rFonts w:ascii="Tahoma" w:hAnsi="Tahoma"/>
      <w:sz w:val="24"/>
      <w:szCs w:val="20"/>
    </w:rPr>
  </w:style>
  <w:style w:type="paragraph" w:customStyle="1" w:styleId="159">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60">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61">
    <w:name w:val="样式2"/>
    <w:basedOn w:val="42"/>
    <w:qFormat/>
    <w:uiPriority w:val="0"/>
    <w:pPr>
      <w:spacing w:line="360" w:lineRule="auto"/>
      <w:jc w:val="center"/>
    </w:pPr>
    <w:rPr>
      <w:sz w:val="24"/>
    </w:rPr>
  </w:style>
  <w:style w:type="paragraph" w:customStyle="1" w:styleId="162">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63">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64">
    <w:name w:val="正文 + 楷体_GB2312"/>
    <w:basedOn w:val="1"/>
    <w:qFormat/>
    <w:uiPriority w:val="0"/>
    <w:pPr>
      <w:widowControl/>
      <w:jc w:val="left"/>
    </w:pPr>
    <w:rPr>
      <w:rFonts w:ascii="楷体_GB2312" w:eastAsia="楷体_GB2312" w:cs="Arial"/>
      <w:kern w:val="0"/>
      <w:sz w:val="24"/>
    </w:rPr>
  </w:style>
  <w:style w:type="paragraph" w:customStyle="1" w:styleId="165">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66">
    <w:name w:val="1 Char Char Char Char"/>
    <w:basedOn w:val="1"/>
    <w:qFormat/>
    <w:uiPriority w:val="0"/>
    <w:rPr>
      <w:rFonts w:ascii="Tahoma" w:hAnsi="Tahoma"/>
      <w:sz w:val="24"/>
      <w:szCs w:val="20"/>
    </w:rPr>
  </w:style>
  <w:style w:type="paragraph" w:customStyle="1" w:styleId="167">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68">
    <w:name w:val="列出段落1"/>
    <w:basedOn w:val="1"/>
    <w:qFormat/>
    <w:uiPriority w:val="0"/>
    <w:pPr>
      <w:ind w:firstLine="420" w:firstLineChars="200"/>
    </w:pPr>
    <w:rPr>
      <w:rFonts w:ascii="Calibri" w:hAnsi="Calibri"/>
      <w:szCs w:val="22"/>
    </w:rPr>
  </w:style>
  <w:style w:type="paragraph" w:customStyle="1" w:styleId="169">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70">
    <w:name w:val="字元 字元1"/>
    <w:basedOn w:val="1"/>
    <w:qFormat/>
    <w:uiPriority w:val="0"/>
    <w:rPr>
      <w:rFonts w:ascii="Tahoma" w:hAnsi="Tahoma"/>
      <w:sz w:val="24"/>
      <w:szCs w:val="20"/>
    </w:rPr>
  </w:style>
  <w:style w:type="paragraph" w:customStyle="1" w:styleId="171">
    <w:name w:val="_Style 160"/>
    <w:qFormat/>
    <w:uiPriority w:val="0"/>
    <w:rPr>
      <w:rFonts w:ascii="Times New Roman" w:hAnsi="Times New Roman" w:eastAsia="宋体" w:cs="Times New Roman"/>
      <w:kern w:val="2"/>
      <w:sz w:val="21"/>
      <w:szCs w:val="24"/>
      <w:lang w:val="en-US" w:eastAsia="zh-CN" w:bidi="ar-SA"/>
    </w:rPr>
  </w:style>
  <w:style w:type="paragraph" w:customStyle="1" w:styleId="172">
    <w:name w:val="项目编号3"/>
    <w:basedOn w:val="132"/>
    <w:qFormat/>
    <w:uiPriority w:val="0"/>
    <w:pPr>
      <w:numPr>
        <w:ilvl w:val="0"/>
        <w:numId w:val="6"/>
      </w:numPr>
    </w:pPr>
  </w:style>
  <w:style w:type="paragraph" w:customStyle="1" w:styleId="173">
    <w:name w:val="Char21"/>
    <w:basedOn w:val="1"/>
    <w:qFormat/>
    <w:uiPriority w:val="0"/>
    <w:rPr>
      <w:rFonts w:ascii="Tahoma" w:hAnsi="Tahoma"/>
      <w:sz w:val="24"/>
      <w:szCs w:val="20"/>
    </w:rPr>
  </w:style>
  <w:style w:type="paragraph" w:customStyle="1" w:styleId="174">
    <w:name w:val="表格文字"/>
    <w:basedOn w:val="18"/>
    <w:qFormat/>
    <w:uiPriority w:val="0"/>
    <w:pPr>
      <w:spacing w:before="20" w:after="20" w:line="240" w:lineRule="auto"/>
      <w:ind w:firstLine="0"/>
    </w:pPr>
    <w:rPr>
      <w:rFonts w:ascii="Century Gothic" w:hAnsi="Century Gothic"/>
      <w:sz w:val="20"/>
      <w:szCs w:val="20"/>
    </w:rPr>
  </w:style>
  <w:style w:type="paragraph" w:customStyle="1" w:styleId="175">
    <w:name w:val="Char Char Char Char Char Char Char Char Char Char1"/>
    <w:basedOn w:val="1"/>
    <w:qFormat/>
    <w:uiPriority w:val="0"/>
    <w:rPr>
      <w:rFonts w:ascii="宋体" w:hAnsi="宋体" w:cs="Courier New"/>
      <w:sz w:val="32"/>
      <w:szCs w:val="32"/>
    </w:rPr>
  </w:style>
  <w:style w:type="paragraph" w:customStyle="1" w:styleId="176">
    <w:name w:val="正文文本样式 加粗"/>
    <w:basedOn w:val="132"/>
    <w:qFormat/>
    <w:uiPriority w:val="0"/>
    <w:rPr>
      <w:b/>
    </w:rPr>
  </w:style>
  <w:style w:type="paragraph" w:customStyle="1" w:styleId="177">
    <w:name w:val="Char2 Char Char Char Char Char Char"/>
    <w:basedOn w:val="1"/>
    <w:qFormat/>
    <w:uiPriority w:val="0"/>
    <w:pPr>
      <w:widowControl/>
      <w:spacing w:line="400" w:lineRule="exact"/>
      <w:jc w:val="center"/>
    </w:pPr>
  </w:style>
  <w:style w:type="character" w:customStyle="1" w:styleId="178">
    <w:name w:val="页脚 字符"/>
    <w:link w:val="28"/>
    <w:qFormat/>
    <w:uiPriority w:val="99"/>
    <w:rPr>
      <w:rFonts w:ascii="宋体" w:eastAsia="宋体"/>
      <w:sz w:val="18"/>
      <w:lang w:val="en-US" w:eastAsia="zh-CN" w:bidi="ar-SA"/>
    </w:rPr>
  </w:style>
  <w:style w:type="paragraph" w:customStyle="1" w:styleId="179">
    <w:name w:val="Char Char4"/>
    <w:basedOn w:val="1"/>
    <w:qFormat/>
    <w:uiPriority w:val="0"/>
    <w:pPr>
      <w:widowControl/>
      <w:spacing w:line="400" w:lineRule="exact"/>
      <w:jc w:val="center"/>
    </w:pPr>
  </w:style>
  <w:style w:type="paragraph" w:customStyle="1" w:styleId="180">
    <w:name w:val="Char3 Char Char Char1"/>
    <w:basedOn w:val="1"/>
    <w:qFormat/>
    <w:uiPriority w:val="0"/>
    <w:rPr>
      <w:rFonts w:ascii="Tahoma" w:hAnsi="Tahoma"/>
      <w:sz w:val="24"/>
      <w:szCs w:val="20"/>
    </w:rPr>
  </w:style>
  <w:style w:type="paragraph" w:styleId="181">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82">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character" w:customStyle="1" w:styleId="183">
    <w:name w:val="中等深浅网格 1 - 强调文字颜色 2 Char"/>
    <w:link w:val="184"/>
    <w:qFormat/>
    <w:uiPriority w:val="0"/>
    <w:rPr>
      <w:kern w:val="2"/>
      <w:sz w:val="21"/>
      <w:szCs w:val="24"/>
      <w:lang w:val="zh-CN" w:eastAsia="zh-CN"/>
    </w:rPr>
  </w:style>
  <w:style w:type="paragraph" w:customStyle="1" w:styleId="184">
    <w:name w:val="1"/>
    <w:link w:val="183"/>
    <w:qFormat/>
    <w:uiPriority w:val="0"/>
    <w:rPr>
      <w:rFonts w:ascii="Times New Roman" w:hAnsi="Times New Roman" w:eastAsia="宋体" w:cs="Times New Roman"/>
      <w:kern w:val="2"/>
      <w:sz w:val="21"/>
      <w:szCs w:val="24"/>
      <w:lang w:val="zh-CN" w:eastAsia="zh-CN" w:bidi="ar-SA"/>
    </w:rPr>
  </w:style>
  <w:style w:type="paragraph" w:customStyle="1" w:styleId="185">
    <w:name w:val="图文"/>
    <w:basedOn w:val="1"/>
    <w:qFormat/>
    <w:uiPriority w:val="0"/>
    <w:pPr>
      <w:adjustRightInd w:val="0"/>
      <w:snapToGrid w:val="0"/>
      <w:spacing w:after="50" w:line="360" w:lineRule="auto"/>
    </w:pPr>
    <w:rPr>
      <w:sz w:val="24"/>
    </w:rPr>
  </w:style>
  <w:style w:type="paragraph" w:customStyle="1" w:styleId="186">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187">
    <w:name w:val="正文表格"/>
    <w:basedOn w:val="1"/>
    <w:link w:val="188"/>
    <w:qFormat/>
    <w:uiPriority w:val="0"/>
    <w:pPr>
      <w:adjustRightInd w:val="0"/>
      <w:snapToGrid w:val="0"/>
      <w:jc w:val="left"/>
    </w:pPr>
    <w:rPr>
      <w:rFonts w:ascii="宋体" w:hAnsi="宋体"/>
      <w:color w:val="000000"/>
      <w:szCs w:val="21"/>
    </w:rPr>
  </w:style>
  <w:style w:type="character" w:customStyle="1" w:styleId="188">
    <w:name w:val="正文表格 Char"/>
    <w:link w:val="187"/>
    <w:qFormat/>
    <w:uiPriority w:val="0"/>
    <w:rPr>
      <w:rFonts w:ascii="宋体" w:hAnsi="宋体"/>
      <w:color w:val="000000"/>
      <w:kern w:val="2"/>
      <w:sz w:val="21"/>
      <w:szCs w:val="21"/>
    </w:rPr>
  </w:style>
  <w:style w:type="paragraph" w:customStyle="1" w:styleId="189">
    <w:name w:val="正文重点"/>
    <w:basedOn w:val="1"/>
    <w:link w:val="190"/>
    <w:qFormat/>
    <w:uiPriority w:val="0"/>
    <w:pPr>
      <w:adjustRightInd w:val="0"/>
      <w:spacing w:line="360" w:lineRule="auto"/>
      <w:ind w:firstLine="482" w:firstLineChars="200"/>
      <w:jc w:val="left"/>
      <w:textAlignment w:val="baseline"/>
    </w:pPr>
    <w:rPr>
      <w:b/>
      <w:kern w:val="0"/>
      <w:sz w:val="24"/>
      <w:szCs w:val="20"/>
    </w:rPr>
  </w:style>
  <w:style w:type="character" w:customStyle="1" w:styleId="190">
    <w:name w:val="正文重点 Char"/>
    <w:link w:val="189"/>
    <w:qFormat/>
    <w:uiPriority w:val="0"/>
    <w:rPr>
      <w:b/>
      <w:sz w:val="24"/>
    </w:rPr>
  </w:style>
  <w:style w:type="character" w:customStyle="1" w:styleId="191">
    <w:name w:val="批注文字 字符1"/>
    <w:link w:val="15"/>
    <w:qFormat/>
    <w:uiPriority w:val="99"/>
    <w:rPr>
      <w:kern w:val="2"/>
      <w:sz w:val="21"/>
      <w:szCs w:val="24"/>
    </w:rPr>
  </w:style>
  <w:style w:type="paragraph" w:customStyle="1" w:styleId="192">
    <w:name w:val="标题1-附件"/>
    <w:basedOn w:val="3"/>
    <w:qFormat/>
    <w:uiPriority w:val="0"/>
    <w:pPr>
      <w:jc w:val="left"/>
    </w:pPr>
    <w:rPr>
      <w:sz w:val="24"/>
      <w:szCs w:val="24"/>
    </w:rPr>
  </w:style>
  <w:style w:type="paragraph" w:customStyle="1" w:styleId="193">
    <w:name w:val="正文小标题"/>
    <w:basedOn w:val="1"/>
    <w:next w:val="12"/>
    <w:link w:val="194"/>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194">
    <w:name w:val="正文小标题 Char"/>
    <w:link w:val="193"/>
    <w:qFormat/>
    <w:uiPriority w:val="0"/>
    <w:rPr>
      <w:rFonts w:ascii="宋体" w:hAnsi="宋体"/>
      <w:b/>
      <w:i/>
      <w:color w:val="FF0000"/>
      <w:kern w:val="2"/>
      <w:sz w:val="24"/>
    </w:rPr>
  </w:style>
  <w:style w:type="paragraph" w:customStyle="1" w:styleId="195">
    <w:name w:val="正文大标题"/>
    <w:basedOn w:val="193"/>
    <w:next w:val="12"/>
    <w:link w:val="196"/>
    <w:qFormat/>
    <w:uiPriority w:val="0"/>
    <w:pPr>
      <w:jc w:val="center"/>
    </w:pPr>
    <w:rPr>
      <w:i w:val="0"/>
      <w:color w:val="000000"/>
      <w:sz w:val="28"/>
      <w:szCs w:val="21"/>
    </w:rPr>
  </w:style>
  <w:style w:type="character" w:customStyle="1" w:styleId="196">
    <w:name w:val="正文大标题 Char"/>
    <w:link w:val="195"/>
    <w:qFormat/>
    <w:uiPriority w:val="0"/>
    <w:rPr>
      <w:rFonts w:ascii="宋体" w:hAnsi="宋体"/>
      <w:b/>
      <w:color w:val="000000"/>
      <w:kern w:val="2"/>
      <w:sz w:val="28"/>
      <w:szCs w:val="21"/>
    </w:rPr>
  </w:style>
  <w:style w:type="character" w:customStyle="1" w:styleId="197">
    <w:name w:val="标题 字符"/>
    <w:link w:val="43"/>
    <w:qFormat/>
    <w:uiPriority w:val="0"/>
    <w:rPr>
      <w:b/>
      <w:kern w:val="2"/>
      <w:sz w:val="32"/>
    </w:rPr>
  </w:style>
  <w:style w:type="paragraph" w:customStyle="1" w:styleId="198">
    <w:name w:val="注释"/>
    <w:basedOn w:val="1"/>
    <w:link w:val="199"/>
    <w:qFormat/>
    <w:uiPriority w:val="0"/>
    <w:pPr>
      <w:adjustRightInd w:val="0"/>
      <w:snapToGrid w:val="0"/>
      <w:ind w:left="420" w:hanging="420" w:hangingChars="200"/>
      <w:jc w:val="left"/>
    </w:pPr>
    <w:rPr>
      <w:rFonts w:ascii="宋体" w:hAnsi="宋体"/>
      <w:szCs w:val="21"/>
    </w:rPr>
  </w:style>
  <w:style w:type="character" w:customStyle="1" w:styleId="199">
    <w:name w:val="注释 Char"/>
    <w:link w:val="198"/>
    <w:qFormat/>
    <w:uiPriority w:val="0"/>
    <w:rPr>
      <w:rFonts w:ascii="宋体" w:hAnsi="宋体"/>
      <w:kern w:val="2"/>
      <w:sz w:val="21"/>
      <w:szCs w:val="21"/>
    </w:rPr>
  </w:style>
  <w:style w:type="paragraph" w:customStyle="1" w:styleId="200">
    <w:name w:val="正文须知-1级"/>
    <w:basedOn w:val="1"/>
    <w:next w:val="1"/>
    <w:qFormat/>
    <w:uiPriority w:val="0"/>
    <w:pPr>
      <w:numPr>
        <w:ilvl w:val="0"/>
        <w:numId w:val="7"/>
      </w:numPr>
      <w:adjustRightInd w:val="0"/>
      <w:snapToGrid w:val="0"/>
      <w:spacing w:line="300" w:lineRule="auto"/>
    </w:pPr>
    <w:rPr>
      <w:rFonts w:ascii="宋体" w:hAnsi="Calibri"/>
      <w:sz w:val="24"/>
      <w:szCs w:val="21"/>
    </w:rPr>
  </w:style>
  <w:style w:type="paragraph" w:customStyle="1" w:styleId="201">
    <w:name w:val="正文须知-2级"/>
    <w:basedOn w:val="1"/>
    <w:qFormat/>
    <w:uiPriority w:val="0"/>
    <w:pPr>
      <w:numPr>
        <w:ilvl w:val="1"/>
        <w:numId w:val="7"/>
      </w:numPr>
      <w:adjustRightInd w:val="0"/>
      <w:snapToGrid w:val="0"/>
      <w:spacing w:line="300" w:lineRule="auto"/>
    </w:pPr>
    <w:rPr>
      <w:rFonts w:ascii="宋体" w:hAnsi="Calibri"/>
      <w:sz w:val="24"/>
      <w:szCs w:val="21"/>
    </w:rPr>
  </w:style>
  <w:style w:type="paragraph" w:customStyle="1" w:styleId="202">
    <w:name w:val="正文须知-3级"/>
    <w:basedOn w:val="1"/>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203">
    <w:name w:val="批注文字 字符"/>
    <w:qFormat/>
    <w:uiPriority w:val="99"/>
    <w:rPr>
      <w:rFonts w:ascii="Times New Roman" w:hAnsi="Times New Roman" w:eastAsia="宋体" w:cs="Times New Roman"/>
      <w:sz w:val="24"/>
      <w:lang w:val="en-US" w:eastAsia="zh-CN" w:bidi="ar-SA"/>
    </w:rPr>
  </w:style>
  <w:style w:type="character" w:customStyle="1" w:styleId="204">
    <w:name w:val="纯文本 字符"/>
    <w:qFormat/>
    <w:uiPriority w:val="99"/>
    <w:rPr>
      <w:rFonts w:ascii="宋体" w:hAnsi="Courier New" w:eastAsia="宋体" w:cs="Times New Roman"/>
      <w:kern w:val="2"/>
      <w:sz w:val="21"/>
      <w:szCs w:val="21"/>
      <w:lang w:val="en-US" w:eastAsia="zh-CN" w:bidi="ar-SA"/>
    </w:rPr>
  </w:style>
  <w:style w:type="paragraph" w:customStyle="1" w:styleId="205">
    <w:name w:val="表格1"/>
    <w:basedOn w:val="1"/>
    <w:qFormat/>
    <w:uiPriority w:val="0"/>
    <w:pPr>
      <w:ind w:firstLine="480" w:firstLineChars="200"/>
      <w:jc w:val="center"/>
    </w:pPr>
    <w:rPr>
      <w:sz w:val="24"/>
      <w:szCs w:val="20"/>
    </w:rPr>
  </w:style>
  <w:style w:type="character" w:customStyle="1" w:styleId="206">
    <w:name w:val="纯文本 字符1"/>
    <w:qFormat/>
    <w:uiPriority w:val="0"/>
    <w:rPr>
      <w:rFonts w:ascii="宋体" w:hAnsi="Courier New"/>
    </w:rPr>
  </w:style>
  <w:style w:type="character" w:customStyle="1" w:styleId="207">
    <w:name w:val="bjh-p"/>
    <w:qFormat/>
    <w:uiPriority w:val="0"/>
  </w:style>
  <w:style w:type="paragraph" w:customStyle="1" w:styleId="208">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209">
    <w:name w:val="正文格式 Char"/>
    <w:link w:val="210"/>
    <w:qFormat/>
    <w:locked/>
    <w:uiPriority w:val="0"/>
    <w:rPr>
      <w:rFonts w:ascii="宋体" w:hAnsi="宋体"/>
      <w:sz w:val="24"/>
      <w:szCs w:val="24"/>
      <w:lang w:val="en-GB"/>
    </w:rPr>
  </w:style>
  <w:style w:type="paragraph" w:customStyle="1" w:styleId="210">
    <w:name w:val="正文格式"/>
    <w:basedOn w:val="1"/>
    <w:link w:val="209"/>
    <w:qFormat/>
    <w:uiPriority w:val="0"/>
    <w:pPr>
      <w:spacing w:beforeLines="50" w:line="360" w:lineRule="auto"/>
      <w:ind w:firstLine="480" w:firstLineChars="200"/>
    </w:pPr>
    <w:rPr>
      <w:rFonts w:ascii="宋体" w:hAnsi="宋体"/>
      <w:kern w:val="0"/>
      <w:sz w:val="24"/>
      <w:lang w:val="en-GB"/>
    </w:rPr>
  </w:style>
  <w:style w:type="character" w:customStyle="1" w:styleId="211">
    <w:name w:val="纯文本 字符2"/>
    <w:basedOn w:val="50"/>
    <w:link w:val="23"/>
    <w:qFormat/>
    <w:uiPriority w:val="0"/>
    <w:rPr>
      <w:rFonts w:hint="eastAsia" w:ascii="宋体" w:hAnsi="Courier New" w:eastAsia="宋体" w:cs="宋体"/>
      <w:kern w:val="2"/>
      <w:sz w:val="21"/>
    </w:rPr>
  </w:style>
  <w:style w:type="character" w:customStyle="1" w:styleId="212">
    <w:name w:val="标题 3 Char"/>
    <w:qFormat/>
    <w:uiPriority w:val="0"/>
    <w:rPr>
      <w:rFonts w:ascii="宋体" w:eastAsia="宋体"/>
      <w:b/>
      <w:sz w:val="24"/>
      <w:u w:val="single"/>
      <w:lang w:val="en-US" w:eastAsia="zh-CN" w:bidi="ar-SA"/>
    </w:rPr>
  </w:style>
  <w:style w:type="character" w:customStyle="1" w:styleId="213">
    <w:name w:val="正文缩进 Char"/>
    <w:qFormat/>
    <w:uiPriority w:val="0"/>
    <w:rPr>
      <w:rFonts w:ascii="宋体" w:eastAsia="宋体"/>
      <w:kern w:val="2"/>
      <w:sz w:val="24"/>
      <w:szCs w:val="24"/>
      <w:lang w:val="en-US" w:eastAsia="zh-CN" w:bidi="ar-SA"/>
    </w:rPr>
  </w:style>
  <w:style w:type="character" w:customStyle="1" w:styleId="214">
    <w:name w:val="Char Char111"/>
    <w:qFormat/>
    <w:uiPriority w:val="0"/>
    <w:rPr>
      <w:rFonts w:ascii="宋体" w:eastAsia="宋体"/>
      <w:b/>
      <w:sz w:val="24"/>
      <w:u w:val="single"/>
      <w:lang w:val="en-US" w:eastAsia="zh-CN" w:bidi="ar-SA"/>
    </w:rPr>
  </w:style>
  <w:style w:type="character" w:customStyle="1" w:styleId="215">
    <w:name w:val="正文文本缩进 Char"/>
    <w:qFormat/>
    <w:uiPriority w:val="0"/>
    <w:rPr>
      <w:rFonts w:eastAsia="宋体"/>
      <w:kern w:val="2"/>
      <w:sz w:val="24"/>
      <w:szCs w:val="24"/>
      <w:lang w:val="en-US" w:eastAsia="zh-CN" w:bidi="ar-SA"/>
    </w:rPr>
  </w:style>
  <w:style w:type="character" w:customStyle="1" w:styleId="216">
    <w:name w:val="列出段落 Char"/>
    <w:qFormat/>
    <w:uiPriority w:val="0"/>
    <w:rPr>
      <w:rFonts w:ascii="Calibri" w:hAnsi="Calibri" w:eastAsia="宋体"/>
      <w:kern w:val="2"/>
      <w:sz w:val="21"/>
      <w:szCs w:val="22"/>
      <w:lang w:val="en-US" w:eastAsia="zh-CN" w:bidi="ar-SA"/>
    </w:rPr>
  </w:style>
  <w:style w:type="character" w:customStyle="1" w:styleId="217">
    <w:name w:val="页眉 Char"/>
    <w:qFormat/>
    <w:uiPriority w:val="0"/>
    <w:rPr>
      <w:rFonts w:eastAsia="宋体"/>
      <w:kern w:val="2"/>
      <w:sz w:val="18"/>
      <w:szCs w:val="18"/>
      <w:lang w:val="en-US" w:eastAsia="zh-CN" w:bidi="ar-SA"/>
    </w:rPr>
  </w:style>
  <w:style w:type="character" w:customStyle="1" w:styleId="218">
    <w:name w:val="标题 2 Char"/>
    <w:qFormat/>
    <w:uiPriority w:val="0"/>
    <w:rPr>
      <w:rFonts w:ascii="Arial" w:hAnsi="Arial" w:eastAsia="黑体"/>
      <w:b/>
      <w:sz w:val="30"/>
      <w:lang w:val="en-US" w:eastAsia="zh-CN" w:bidi="ar-SA"/>
    </w:rPr>
  </w:style>
  <w:style w:type="paragraph" w:customStyle="1" w:styleId="219">
    <w:name w:val="字元 字元2"/>
    <w:basedOn w:val="1"/>
    <w:qFormat/>
    <w:uiPriority w:val="0"/>
    <w:rPr>
      <w:rFonts w:ascii="Tahoma" w:hAnsi="Tahoma"/>
      <w:sz w:val="24"/>
      <w:szCs w:val="20"/>
    </w:rPr>
  </w:style>
  <w:style w:type="paragraph" w:customStyle="1" w:styleId="220">
    <w:name w:val="Char3 Char Char Char2"/>
    <w:basedOn w:val="1"/>
    <w:qFormat/>
    <w:uiPriority w:val="0"/>
    <w:rPr>
      <w:rFonts w:ascii="Tahoma" w:hAnsi="Tahoma"/>
      <w:sz w:val="24"/>
      <w:szCs w:val="20"/>
    </w:rPr>
  </w:style>
  <w:style w:type="paragraph" w:customStyle="1" w:styleId="221">
    <w:name w:val="正文文本缩进2"/>
    <w:basedOn w:val="1"/>
    <w:qFormat/>
    <w:uiPriority w:val="0"/>
    <w:pPr>
      <w:spacing w:line="480" w:lineRule="exact"/>
      <w:ind w:firstLine="480" w:firstLineChars="200"/>
    </w:pPr>
    <w:rPr>
      <w:rFonts w:ascii="宋体" w:hAnsi="宋体"/>
      <w:kern w:val="0"/>
      <w:sz w:val="24"/>
      <w:lang w:val="zh-CN" w:eastAsia="zh-CN"/>
    </w:rPr>
  </w:style>
  <w:style w:type="paragraph" w:customStyle="1" w:styleId="222">
    <w:name w:val="Char3"/>
    <w:basedOn w:val="1"/>
    <w:qFormat/>
    <w:uiPriority w:val="0"/>
    <w:pPr>
      <w:tabs>
        <w:tab w:val="left" w:pos="360"/>
      </w:tabs>
    </w:pPr>
    <w:rPr>
      <w:sz w:val="24"/>
    </w:rPr>
  </w:style>
  <w:style w:type="paragraph" w:customStyle="1" w:styleId="223">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24">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25">
    <w:name w:val="列出段落2"/>
    <w:basedOn w:val="1"/>
    <w:qFormat/>
    <w:uiPriority w:val="0"/>
    <w:pPr>
      <w:ind w:firstLine="420" w:firstLineChars="200"/>
    </w:pPr>
    <w:rPr>
      <w:rFonts w:ascii="Calibri" w:hAnsi="Calibri"/>
      <w:szCs w:val="22"/>
    </w:rPr>
  </w:style>
  <w:style w:type="paragraph" w:customStyle="1" w:styleId="226">
    <w:name w:val="Char Char Char1 Char2"/>
    <w:basedOn w:val="1"/>
    <w:qFormat/>
    <w:uiPriority w:val="0"/>
    <w:rPr>
      <w:rFonts w:ascii="Tahoma" w:hAnsi="Tahoma"/>
      <w:sz w:val="24"/>
      <w:szCs w:val="20"/>
    </w:rPr>
  </w:style>
  <w:style w:type="paragraph" w:customStyle="1" w:styleId="227">
    <w:name w:val="Char Char Char2"/>
    <w:basedOn w:val="1"/>
    <w:qFormat/>
    <w:uiPriority w:val="0"/>
    <w:rPr>
      <w:rFonts w:ascii="Tahoma" w:hAnsi="Tahoma"/>
      <w:sz w:val="24"/>
      <w:szCs w:val="20"/>
    </w:rPr>
  </w:style>
  <w:style w:type="paragraph" w:customStyle="1" w:styleId="228">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29">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eastAsia="zh-CN"/>
    </w:rPr>
  </w:style>
  <w:style w:type="paragraph" w:customStyle="1" w:styleId="230">
    <w:name w:val="Revision"/>
    <w:qFormat/>
    <w:uiPriority w:val="0"/>
    <w:rPr>
      <w:rFonts w:ascii="Times New Roman" w:hAnsi="Times New Roman" w:eastAsia="宋体" w:cs="Times New Roman"/>
      <w:kern w:val="2"/>
      <w:sz w:val="21"/>
      <w:szCs w:val="24"/>
      <w:lang w:val="en-US" w:eastAsia="zh-CN" w:bidi="ar-SA"/>
    </w:rPr>
  </w:style>
  <w:style w:type="paragraph" w:customStyle="1" w:styleId="231">
    <w:name w:val="Char22"/>
    <w:basedOn w:val="1"/>
    <w:qFormat/>
    <w:uiPriority w:val="0"/>
    <w:rPr>
      <w:rFonts w:ascii="Tahoma" w:hAnsi="Tahoma"/>
      <w:sz w:val="24"/>
      <w:szCs w:val="20"/>
    </w:rPr>
  </w:style>
  <w:style w:type="paragraph" w:customStyle="1" w:styleId="232">
    <w:name w:val="Char Char Char Char Char Char Char Char Char Char2"/>
    <w:basedOn w:val="1"/>
    <w:qFormat/>
    <w:uiPriority w:val="0"/>
    <w:rPr>
      <w:rFonts w:ascii="宋体" w:hAnsi="宋体" w:cs="Courier New"/>
      <w:sz w:val="32"/>
      <w:szCs w:val="32"/>
    </w:rPr>
  </w:style>
  <w:style w:type="paragraph" w:customStyle="1" w:styleId="233">
    <w:name w:val="Char2 Char Char Char Char Char Char1"/>
    <w:basedOn w:val="1"/>
    <w:qFormat/>
    <w:uiPriority w:val="0"/>
    <w:pPr>
      <w:widowControl/>
      <w:spacing w:line="400" w:lineRule="exact"/>
      <w:jc w:val="center"/>
    </w:pPr>
  </w:style>
  <w:style w:type="character" w:customStyle="1" w:styleId="234">
    <w:name w:val="页脚 Char"/>
    <w:qFormat/>
    <w:uiPriority w:val="0"/>
    <w:rPr>
      <w:rFonts w:ascii="宋体" w:eastAsia="宋体"/>
      <w:sz w:val="18"/>
      <w:lang w:val="en-US" w:eastAsia="zh-CN" w:bidi="ar-SA"/>
    </w:rPr>
  </w:style>
  <w:style w:type="paragraph" w:customStyle="1" w:styleId="235">
    <w:name w:val="Char Char41"/>
    <w:basedOn w:val="1"/>
    <w:qFormat/>
    <w:uiPriority w:val="0"/>
    <w:pPr>
      <w:widowControl/>
      <w:spacing w:line="400" w:lineRule="exact"/>
      <w:jc w:val="center"/>
    </w:pPr>
  </w:style>
  <w:style w:type="character" w:customStyle="1" w:styleId="236">
    <w:name w:val="批注文字 Char"/>
    <w:qFormat/>
    <w:uiPriority w:val="99"/>
    <w:rPr>
      <w:kern w:val="2"/>
      <w:sz w:val="21"/>
      <w:szCs w:val="24"/>
    </w:rPr>
  </w:style>
  <w:style w:type="character" w:customStyle="1" w:styleId="237">
    <w:name w:val="标题 Char"/>
    <w:qFormat/>
    <w:uiPriority w:val="0"/>
    <w:rPr>
      <w:b/>
      <w:kern w:val="2"/>
      <w:sz w:val="32"/>
    </w:rPr>
  </w:style>
  <w:style w:type="character" w:customStyle="1" w:styleId="238">
    <w:name w:val="标题 1 字符"/>
    <w:basedOn w:val="50"/>
    <w:link w:val="3"/>
    <w:qFormat/>
    <w:uiPriority w:val="0"/>
    <w:rPr>
      <w:rFonts w:ascii="宋体"/>
      <w:b/>
      <w:kern w:val="44"/>
      <w:sz w:val="32"/>
    </w:rPr>
  </w:style>
  <w:style w:type="character" w:customStyle="1" w:styleId="239">
    <w:name w:val="标题 4 字符"/>
    <w:basedOn w:val="50"/>
    <w:link w:val="5"/>
    <w:qFormat/>
    <w:uiPriority w:val="0"/>
    <w:rPr>
      <w:rFonts w:ascii="Arial" w:hAnsi="Arial" w:eastAsia="黑体"/>
      <w:b/>
      <w:sz w:val="28"/>
    </w:rPr>
  </w:style>
  <w:style w:type="character" w:customStyle="1" w:styleId="240">
    <w:name w:val="标题 5 字符"/>
    <w:basedOn w:val="50"/>
    <w:link w:val="6"/>
    <w:qFormat/>
    <w:uiPriority w:val="0"/>
    <w:rPr>
      <w:b/>
      <w:sz w:val="28"/>
    </w:rPr>
  </w:style>
  <w:style w:type="character" w:customStyle="1" w:styleId="241">
    <w:name w:val="标题 6 字符"/>
    <w:basedOn w:val="50"/>
    <w:link w:val="7"/>
    <w:qFormat/>
    <w:uiPriority w:val="0"/>
    <w:rPr>
      <w:rFonts w:ascii="Arial" w:hAnsi="Arial" w:eastAsia="黑体"/>
      <w:b/>
      <w:sz w:val="24"/>
    </w:rPr>
  </w:style>
  <w:style w:type="character" w:customStyle="1" w:styleId="242">
    <w:name w:val="标题 7 字符"/>
    <w:basedOn w:val="50"/>
    <w:link w:val="8"/>
    <w:qFormat/>
    <w:uiPriority w:val="0"/>
    <w:rPr>
      <w:b/>
      <w:sz w:val="24"/>
    </w:rPr>
  </w:style>
  <w:style w:type="character" w:customStyle="1" w:styleId="243">
    <w:name w:val="标题 8 字符"/>
    <w:basedOn w:val="50"/>
    <w:link w:val="9"/>
    <w:qFormat/>
    <w:uiPriority w:val="0"/>
    <w:rPr>
      <w:rFonts w:ascii="Arial" w:hAnsi="Arial" w:eastAsia="黑体"/>
      <w:sz w:val="24"/>
    </w:rPr>
  </w:style>
  <w:style w:type="character" w:customStyle="1" w:styleId="244">
    <w:name w:val="标题 9 字符"/>
    <w:basedOn w:val="50"/>
    <w:link w:val="10"/>
    <w:qFormat/>
    <w:uiPriority w:val="0"/>
    <w:rPr>
      <w:rFonts w:ascii="Arial" w:hAnsi="Arial" w:eastAsia="黑体"/>
      <w:sz w:val="21"/>
    </w:rPr>
  </w:style>
  <w:style w:type="character" w:customStyle="1" w:styleId="245">
    <w:name w:val="文档结构图 字符"/>
    <w:basedOn w:val="50"/>
    <w:link w:val="14"/>
    <w:qFormat/>
    <w:uiPriority w:val="0"/>
    <w:rPr>
      <w:kern w:val="2"/>
      <w:sz w:val="21"/>
      <w:szCs w:val="24"/>
      <w:shd w:val="clear" w:color="auto" w:fill="000080"/>
    </w:rPr>
  </w:style>
  <w:style w:type="character" w:customStyle="1" w:styleId="246">
    <w:name w:val="正文文本 3 字符"/>
    <w:basedOn w:val="50"/>
    <w:link w:val="16"/>
    <w:qFormat/>
    <w:uiPriority w:val="0"/>
    <w:rPr>
      <w:kern w:val="2"/>
      <w:sz w:val="16"/>
      <w:szCs w:val="16"/>
    </w:rPr>
  </w:style>
  <w:style w:type="character" w:customStyle="1" w:styleId="247">
    <w:name w:val="正文文本 字符"/>
    <w:basedOn w:val="50"/>
    <w:link w:val="17"/>
    <w:qFormat/>
    <w:uiPriority w:val="0"/>
    <w:rPr>
      <w:rFonts w:ascii="宋体" w:hAnsi="宋体"/>
      <w:kern w:val="2"/>
      <w:sz w:val="24"/>
      <w:szCs w:val="24"/>
    </w:rPr>
  </w:style>
  <w:style w:type="character" w:customStyle="1" w:styleId="248">
    <w:name w:val="日期 字符"/>
    <w:basedOn w:val="50"/>
    <w:link w:val="25"/>
    <w:qFormat/>
    <w:uiPriority w:val="0"/>
    <w:rPr>
      <w:rFonts w:ascii="仿宋_GB2312" w:hAnsi="宋体" w:eastAsia="仿宋_GB2312"/>
      <w:color w:val="000000"/>
      <w:kern w:val="2"/>
      <w:sz w:val="24"/>
      <w:szCs w:val="24"/>
    </w:rPr>
  </w:style>
  <w:style w:type="character" w:customStyle="1" w:styleId="249">
    <w:name w:val="正文文本缩进 2 字符"/>
    <w:basedOn w:val="50"/>
    <w:link w:val="26"/>
    <w:qFormat/>
    <w:uiPriority w:val="0"/>
    <w:rPr>
      <w:rFonts w:ascii="仿宋_GB2312" w:eastAsia="仿宋_GB2312"/>
      <w:kern w:val="2"/>
      <w:sz w:val="24"/>
      <w:szCs w:val="24"/>
    </w:rPr>
  </w:style>
  <w:style w:type="character" w:customStyle="1" w:styleId="250">
    <w:name w:val="批注框文本 字符"/>
    <w:basedOn w:val="50"/>
    <w:link w:val="27"/>
    <w:qFormat/>
    <w:uiPriority w:val="0"/>
    <w:rPr>
      <w:kern w:val="2"/>
      <w:sz w:val="18"/>
      <w:szCs w:val="18"/>
    </w:rPr>
  </w:style>
  <w:style w:type="character" w:customStyle="1" w:styleId="251">
    <w:name w:val="正文文本缩进 3 字符"/>
    <w:basedOn w:val="50"/>
    <w:link w:val="35"/>
    <w:qFormat/>
    <w:uiPriority w:val="0"/>
    <w:rPr>
      <w:rFonts w:ascii="宋体"/>
      <w:sz w:val="24"/>
    </w:rPr>
  </w:style>
  <w:style w:type="character" w:customStyle="1" w:styleId="252">
    <w:name w:val="HTML 预设格式 字符"/>
    <w:basedOn w:val="50"/>
    <w:link w:val="39"/>
    <w:qFormat/>
    <w:uiPriority w:val="0"/>
    <w:rPr>
      <w:rFonts w:ascii="宋体" w:hAnsi="宋体" w:cs="宋体"/>
      <w:sz w:val="24"/>
      <w:szCs w:val="24"/>
    </w:rPr>
  </w:style>
  <w:style w:type="character" w:customStyle="1" w:styleId="253">
    <w:name w:val="批注主题 字符"/>
    <w:basedOn w:val="203"/>
    <w:link w:val="44"/>
    <w:qFormat/>
    <w:uiPriority w:val="0"/>
    <w:rPr>
      <w:rFonts w:ascii="Times New Roman" w:hAnsi="Times New Roman" w:eastAsia="宋体" w:cs="Times New Roman"/>
      <w:b/>
      <w:bCs/>
      <w:kern w:val="2"/>
      <w:sz w:val="21"/>
      <w:szCs w:val="24"/>
      <w:lang w:val="en-US" w:eastAsia="zh-CN" w:bidi="ar-SA"/>
    </w:rPr>
  </w:style>
  <w:style w:type="character" w:customStyle="1" w:styleId="254">
    <w:name w:val="正文首行缩进 2 字符"/>
    <w:basedOn w:val="76"/>
    <w:link w:val="46"/>
    <w:qFormat/>
    <w:uiPriority w:val="0"/>
    <w:rPr>
      <w:rFonts w:eastAsia="宋体"/>
      <w:kern w:val="2"/>
      <w:sz w:val="24"/>
      <w:szCs w:val="24"/>
      <w:lang w:val="en-US" w:eastAsia="zh-CN" w:bidi="ar-SA"/>
    </w:rPr>
  </w:style>
  <w:style w:type="paragraph" w:customStyle="1" w:styleId="255">
    <w:name w:val="图例"/>
    <w:basedOn w:val="1"/>
    <w:qFormat/>
    <w:uiPriority w:val="0"/>
    <w:pPr>
      <w:spacing w:before="120" w:after="120" w:line="360" w:lineRule="auto"/>
      <w:jc w:val="center"/>
    </w:pPr>
    <w:rPr>
      <w:rFonts w:eastAsia="仿宋_GB2312"/>
      <w:b/>
      <w:sz w:val="24"/>
      <w:szCs w:val="20"/>
    </w:rPr>
  </w:style>
  <w:style w:type="paragraph" w:customStyle="1" w:styleId="256">
    <w:name w:val="Table Paragraph"/>
    <w:basedOn w:val="1"/>
    <w:qFormat/>
    <w:uiPriority w:val="1"/>
    <w:pPr>
      <w:autoSpaceDE w:val="0"/>
      <w:autoSpaceDN w:val="0"/>
      <w:jc w:val="left"/>
    </w:pPr>
    <w:rPr>
      <w:rFonts w:ascii="宋体" w:hAnsi="宋体" w:cs="宋体"/>
      <w:kern w:val="0"/>
      <w:sz w:val="22"/>
      <w:szCs w:val="22"/>
      <w:lang w:eastAsia="en-US"/>
    </w:rPr>
  </w:style>
  <w:style w:type="table" w:customStyle="1" w:styleId="257">
    <w:name w:val="Table Normal"/>
    <w:semiHidden/>
    <w:qFormat/>
    <w:uiPriority w:val="2"/>
    <w:pPr>
      <w:widowControl w:val="0"/>
      <w:autoSpaceDE w:val="0"/>
      <w:autoSpaceDN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character" w:customStyle="1" w:styleId="258">
    <w:name w:val="15"/>
    <w:basedOn w:val="50"/>
    <w:qFormat/>
    <w:uiPriority w:val="0"/>
    <w:rPr>
      <w:rFonts w:hint="default" w:ascii="Calibri" w:hAnsi="Calibri" w:cs="Calibri"/>
      <w:b/>
      <w:kern w:val="2"/>
      <w:sz w:val="32"/>
      <w:szCs w:val="32"/>
    </w:rPr>
  </w:style>
  <w:style w:type="character" w:customStyle="1" w:styleId="259">
    <w:name w:val="font31"/>
    <w:basedOn w:val="50"/>
    <w:qFormat/>
    <w:uiPriority w:val="0"/>
    <w:rPr>
      <w:rFonts w:hint="eastAsia" w:ascii="宋体" w:hAnsi="宋体" w:eastAsia="宋体" w:cs="宋体"/>
      <w:color w:val="000000"/>
      <w:sz w:val="20"/>
      <w:szCs w:val="20"/>
      <w:u w:val="none"/>
    </w:rPr>
  </w:style>
  <w:style w:type="character" w:customStyle="1" w:styleId="260">
    <w:name w:val="样式 标题 2 + (符号) 宋体 小四 Char"/>
    <w:qFormat/>
    <w:uiPriority w:val="0"/>
    <w:rPr>
      <w:rFonts w:ascii="Arial" w:hAnsi="Arial" w:eastAsia="宋体"/>
      <w:b/>
      <w:bCs/>
      <w:kern w:val="2"/>
      <w:sz w:val="24"/>
      <w:szCs w:val="32"/>
      <w:lang w:val="en-US" w:eastAsia="zh-CN" w:bidi="ar-SA"/>
    </w:rPr>
  </w:style>
  <w:style w:type="paragraph" w:customStyle="1" w:styleId="261">
    <w:name w:val="Table Text"/>
    <w:basedOn w:val="1"/>
    <w:semiHidden/>
    <w:qFormat/>
    <w:uiPriority w:val="0"/>
    <w:rPr>
      <w:rFonts w:ascii="Arial" w:hAnsi="Arial" w:eastAsia="Arial" w:cs="Arial"/>
      <w:sz w:val="21"/>
      <w:szCs w:val="21"/>
      <w:lang w:val="en-US" w:eastAsia="en-US" w:bidi="ar-SA"/>
    </w:rPr>
  </w:style>
  <w:style w:type="paragraph" w:customStyle="1" w:styleId="262">
    <w:name w:val="WPSOffice手动目录 1"/>
    <w:qFormat/>
    <w:uiPriority w:val="99"/>
    <w:rPr>
      <w:rFonts w:ascii="Times New Roman" w:hAnsi="Times New Roman" w:eastAsia="宋体" w:cs="Times New Roman"/>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header" Target="header1.xml"/><Relationship Id="rId34" Type="http://schemas.openxmlformats.org/officeDocument/2006/relationships/fontTable" Target="fontTable.xml"/><Relationship Id="rId33" Type="http://schemas.openxmlformats.org/officeDocument/2006/relationships/numbering" Target="numbering.xml"/><Relationship Id="rId32" Type="http://schemas.openxmlformats.org/officeDocument/2006/relationships/customXml" Target="../customXml/item1.xml"/><Relationship Id="rId31" Type="http://schemas.openxmlformats.org/officeDocument/2006/relationships/image" Target="media/image3.png"/><Relationship Id="rId30" Type="http://schemas.openxmlformats.org/officeDocument/2006/relationships/image" Target="media/image2.png"/><Relationship Id="rId3" Type="http://schemas.openxmlformats.org/officeDocument/2006/relationships/footer" Target="footer1.xml"/><Relationship Id="rId29" Type="http://schemas.openxmlformats.org/officeDocument/2006/relationships/theme" Target="theme/theme1.xml"/><Relationship Id="rId28" Type="http://schemas.openxmlformats.org/officeDocument/2006/relationships/footer" Target="footer16.xml"/><Relationship Id="rId27" Type="http://schemas.openxmlformats.org/officeDocument/2006/relationships/footer" Target="footer15.xml"/><Relationship Id="rId26" Type="http://schemas.openxmlformats.org/officeDocument/2006/relationships/header" Target="header10.xml"/><Relationship Id="rId25" Type="http://schemas.openxmlformats.org/officeDocument/2006/relationships/header" Target="header9.xml"/><Relationship Id="rId24" Type="http://schemas.openxmlformats.org/officeDocument/2006/relationships/footer" Target="footer14.xml"/><Relationship Id="rId23" Type="http://schemas.openxmlformats.org/officeDocument/2006/relationships/header" Target="header8.xml"/><Relationship Id="rId22" Type="http://schemas.openxmlformats.org/officeDocument/2006/relationships/footer" Target="footer13.xml"/><Relationship Id="rId21" Type="http://schemas.openxmlformats.org/officeDocument/2006/relationships/footer" Target="footer12.xml"/><Relationship Id="rId20" Type="http://schemas.openxmlformats.org/officeDocument/2006/relationships/footer" Target="footer11.xml"/><Relationship Id="rId2" Type="http://schemas.openxmlformats.org/officeDocument/2006/relationships/settings" Target="settings.xml"/><Relationship Id="rId19" Type="http://schemas.openxmlformats.org/officeDocument/2006/relationships/header" Target="header7.xml"/><Relationship Id="rId18" Type="http://schemas.openxmlformats.org/officeDocument/2006/relationships/header" Target="header6.xml"/><Relationship Id="rId17" Type="http://schemas.openxmlformats.org/officeDocument/2006/relationships/header" Target="header5.xml"/><Relationship Id="rId16" Type="http://schemas.openxmlformats.org/officeDocument/2006/relationships/footer" Target="footer10.xml"/><Relationship Id="rId15" Type="http://schemas.openxmlformats.org/officeDocument/2006/relationships/footer" Target="footer9.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header" Target="header4.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98</Pages>
  <Words>47414</Words>
  <Characters>50077</Characters>
  <Lines>202</Lines>
  <Paragraphs>57</Paragraphs>
  <TotalTime>65</TotalTime>
  <ScaleCrop>false</ScaleCrop>
  <LinksUpToDate>false</LinksUpToDate>
  <CharactersWithSpaces>51045</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2022-03-28T10:53:00Z</dcterms:created>
  <dc:creator>Yin Hao</dc:creator>
  <cp:lastModifiedBy>飞</cp:lastModifiedBy>
  <cp:lastPrinted>2022-07-27T07:34:00Z</cp:lastPrinted>
  <dcterms:modified xsi:type="dcterms:W3CDTF">2024-08-14T00:40:15Z</dcterms:modified>
  <dc:title>02年杜范本稿</dc:title>
  <cp:revision>38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0AA9666833A14FECA564137999A6494B_13</vt:lpwstr>
  </property>
</Properties>
</file>