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6E8B3">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35393809"/>
      <w:bookmarkStart w:id="1" w:name="_Toc28359022"/>
      <w:r>
        <w:rPr>
          <w:rFonts w:hint="eastAsia" w:ascii="华文中宋" w:hAnsi="华文中宋" w:eastAsia="华文中宋"/>
        </w:rPr>
        <w:t>健身步道项目成交结果公告</w:t>
      </w:r>
      <w:bookmarkEnd w:id="0"/>
      <w:bookmarkEnd w:id="1"/>
    </w:p>
    <w:p w14:paraId="496702E9">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8"/>
          <w:szCs w:val="28"/>
        </w:rPr>
      </w:pPr>
      <w:r>
        <w:rPr>
          <w:rFonts w:hint="eastAsia" w:ascii="黑体" w:hAnsi="黑体" w:eastAsia="黑体"/>
          <w:sz w:val="28"/>
          <w:szCs w:val="28"/>
        </w:rPr>
        <w:t>一、项目编号：11011325210200018744-XM001</w:t>
      </w:r>
    </w:p>
    <w:p w14:paraId="6886C334">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8"/>
          <w:szCs w:val="28"/>
        </w:rPr>
      </w:pPr>
      <w:r>
        <w:rPr>
          <w:rFonts w:hint="eastAsia" w:ascii="黑体" w:hAnsi="黑体" w:eastAsia="黑体"/>
          <w:sz w:val="28"/>
          <w:szCs w:val="28"/>
        </w:rPr>
        <w:t>二、项目名称：健身步道项目</w:t>
      </w:r>
    </w:p>
    <w:p w14:paraId="5B8C22AB">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8"/>
          <w:szCs w:val="28"/>
        </w:rPr>
      </w:pPr>
      <w:r>
        <w:rPr>
          <w:rFonts w:hint="eastAsia" w:ascii="黑体" w:hAnsi="黑体" w:eastAsia="黑体"/>
          <w:sz w:val="28"/>
          <w:szCs w:val="28"/>
        </w:rPr>
        <w:t>三、成交信息</w:t>
      </w:r>
    </w:p>
    <w:p w14:paraId="785E67C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供应商名称：北京市恒锋市政工程有限公司</w:t>
      </w:r>
    </w:p>
    <w:p w14:paraId="2713C81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供应商地址：北京市顺义区南法信镇府前街12号</w:t>
      </w:r>
    </w:p>
    <w:p w14:paraId="6595EFC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成交金额：325</w:t>
      </w:r>
      <w:r>
        <w:rPr>
          <w:rFonts w:hint="eastAsia" w:ascii="仿宋" w:hAnsi="仿宋" w:eastAsia="仿宋"/>
          <w:sz w:val="28"/>
          <w:szCs w:val="28"/>
          <w:lang w:val="en-US" w:eastAsia="zh-CN"/>
        </w:rPr>
        <w:t>.</w:t>
      </w:r>
      <w:r>
        <w:rPr>
          <w:rFonts w:hint="eastAsia" w:ascii="仿宋" w:hAnsi="仿宋" w:eastAsia="仿宋"/>
          <w:sz w:val="28"/>
          <w:szCs w:val="28"/>
        </w:rPr>
        <w:t>399436</w:t>
      </w:r>
      <w:r>
        <w:rPr>
          <w:rFonts w:hint="eastAsia" w:ascii="仿宋" w:hAnsi="仿宋" w:eastAsia="仿宋"/>
          <w:sz w:val="28"/>
          <w:szCs w:val="28"/>
          <w:lang w:val="en-US" w:eastAsia="zh-CN"/>
        </w:rPr>
        <w:t>万</w:t>
      </w:r>
      <w:r>
        <w:rPr>
          <w:rFonts w:hint="eastAsia" w:ascii="仿宋" w:hAnsi="仿宋" w:eastAsia="仿宋"/>
          <w:sz w:val="28"/>
          <w:szCs w:val="28"/>
        </w:rPr>
        <w:t>元</w:t>
      </w:r>
    </w:p>
    <w:p w14:paraId="1156C0A4">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8"/>
          <w:szCs w:val="28"/>
        </w:rPr>
      </w:pPr>
      <w:r>
        <w:rPr>
          <w:rFonts w:hint="eastAsia" w:ascii="黑体" w:hAnsi="黑体" w:eastAsia="黑体"/>
          <w:sz w:val="28"/>
          <w:szCs w:val="28"/>
        </w:rPr>
        <w:t>四、主要标的信息</w:t>
      </w:r>
    </w:p>
    <w:p w14:paraId="384941C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标的名称：城市健身步道、跑步道工程建筑活动</w:t>
      </w:r>
    </w:p>
    <w:p w14:paraId="3BE46B7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施工范围：设计图纸范围内的城市道路工程及附属设施等工程量清单显示全部内容的施工。</w:t>
      </w:r>
    </w:p>
    <w:p w14:paraId="14CD1D6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rPr>
      </w:pPr>
      <w:r>
        <w:rPr>
          <w:rFonts w:hint="eastAsia" w:ascii="仿宋" w:hAnsi="仿宋" w:eastAsia="仿宋"/>
          <w:sz w:val="28"/>
          <w:szCs w:val="28"/>
        </w:rPr>
        <w:t>合同履行期限（工期）：自合同签订之日起60日历天。</w:t>
      </w:r>
    </w:p>
    <w:p w14:paraId="35F1C54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rPr>
        <w:t>项目经理：</w:t>
      </w:r>
      <w:r>
        <w:rPr>
          <w:rFonts w:hint="eastAsia" w:ascii="仿宋" w:hAnsi="仿宋" w:eastAsia="仿宋"/>
          <w:sz w:val="28"/>
          <w:szCs w:val="28"/>
          <w:lang w:val="en-US" w:eastAsia="zh-CN"/>
        </w:rPr>
        <w:t>程思鹏。</w:t>
      </w:r>
    </w:p>
    <w:p w14:paraId="294562C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Times New Roman"/>
          <w:sz w:val="28"/>
          <w:szCs w:val="28"/>
        </w:rPr>
      </w:pPr>
      <w:r>
        <w:rPr>
          <w:rFonts w:hint="eastAsia" w:ascii="仿宋" w:hAnsi="仿宋" w:eastAsia="仿宋" w:cs="Times New Roman"/>
          <w:sz w:val="28"/>
          <w:szCs w:val="28"/>
        </w:rPr>
        <w:t>注册建造师执业资格：一级建造师（市政公用工程）。</w:t>
      </w:r>
    </w:p>
    <w:p w14:paraId="4F92E7C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Times New Roman"/>
          <w:sz w:val="28"/>
          <w:szCs w:val="28"/>
        </w:rPr>
      </w:pPr>
      <w:r>
        <w:rPr>
          <w:rFonts w:hint="eastAsia" w:ascii="仿宋" w:hAnsi="仿宋" w:eastAsia="仿宋" w:cs="Times New Roman"/>
          <w:sz w:val="28"/>
          <w:szCs w:val="28"/>
        </w:rPr>
        <w:t>注册编号：京1112024202410419。</w:t>
      </w:r>
    </w:p>
    <w:p w14:paraId="4A5E7B8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黑体" w:hAnsi="黑体" w:eastAsia="黑体"/>
          <w:sz w:val="28"/>
          <w:szCs w:val="28"/>
        </w:rPr>
      </w:pPr>
      <w:bookmarkStart w:id="2" w:name="_GoBack"/>
      <w:bookmarkEnd w:id="2"/>
      <w:r>
        <w:rPr>
          <w:rFonts w:hint="eastAsia" w:ascii="黑体" w:hAnsi="黑体" w:eastAsia="黑体"/>
          <w:sz w:val="28"/>
          <w:szCs w:val="28"/>
        </w:rPr>
        <w:t>五、评审专家（单一来源采购人员）名单：</w:t>
      </w:r>
    </w:p>
    <w:p w14:paraId="14B34C9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lang w:val="en-US" w:eastAsia="zh-CN"/>
        </w:rPr>
        <w:t>郁晓军</w:t>
      </w:r>
      <w:r>
        <w:rPr>
          <w:rFonts w:hint="eastAsia" w:ascii="仿宋" w:hAnsi="仿宋" w:eastAsia="仿宋"/>
          <w:sz w:val="28"/>
          <w:szCs w:val="28"/>
        </w:rPr>
        <w:t>、</w:t>
      </w:r>
      <w:r>
        <w:rPr>
          <w:rFonts w:hint="eastAsia" w:ascii="仿宋" w:hAnsi="仿宋" w:eastAsia="仿宋"/>
          <w:sz w:val="28"/>
          <w:szCs w:val="28"/>
          <w:lang w:val="en-US" w:eastAsia="zh-CN"/>
        </w:rPr>
        <w:t>陈晓燕</w:t>
      </w:r>
      <w:r>
        <w:rPr>
          <w:rFonts w:hint="eastAsia" w:ascii="仿宋" w:hAnsi="仿宋" w:eastAsia="仿宋"/>
          <w:sz w:val="28"/>
          <w:szCs w:val="28"/>
        </w:rPr>
        <w:t>、</w:t>
      </w:r>
      <w:r>
        <w:rPr>
          <w:rFonts w:hint="eastAsia" w:ascii="仿宋" w:hAnsi="仿宋" w:eastAsia="仿宋"/>
          <w:sz w:val="28"/>
          <w:szCs w:val="28"/>
          <w:lang w:val="en-US" w:eastAsia="zh-CN"/>
        </w:rPr>
        <w:t>程海霞</w:t>
      </w:r>
      <w:r>
        <w:rPr>
          <w:rFonts w:hint="eastAsia" w:ascii="仿宋" w:hAnsi="仿宋" w:eastAsia="仿宋"/>
          <w:sz w:val="28"/>
          <w:szCs w:val="28"/>
        </w:rPr>
        <w:t>。</w:t>
      </w:r>
    </w:p>
    <w:p w14:paraId="1099F2C1">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8"/>
          <w:szCs w:val="28"/>
        </w:rPr>
      </w:pPr>
      <w:r>
        <w:rPr>
          <w:rFonts w:hint="eastAsia" w:ascii="黑体" w:hAnsi="黑体" w:eastAsia="黑体"/>
          <w:sz w:val="28"/>
          <w:szCs w:val="28"/>
        </w:rPr>
        <w:t>六、代理服务收费标准及金额：</w:t>
      </w:r>
    </w:p>
    <w:p w14:paraId="36FE9CF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sz w:val="28"/>
          <w:szCs w:val="28"/>
        </w:rPr>
      </w:pPr>
      <w:r>
        <w:rPr>
          <w:rFonts w:hint="eastAsia" w:ascii="仿宋" w:hAnsi="仿宋" w:eastAsia="仿宋"/>
          <w:sz w:val="28"/>
          <w:szCs w:val="28"/>
        </w:rPr>
        <w:t>标准：</w:t>
      </w:r>
      <w:r>
        <w:rPr>
          <w:rFonts w:hint="eastAsia" w:ascii="仿宋" w:hAnsi="仿宋" w:eastAsia="仿宋"/>
          <w:sz w:val="28"/>
          <w:szCs w:val="28"/>
          <w:lang w:eastAsia="zh-CN"/>
        </w:rPr>
        <w:t>（</w:t>
      </w:r>
      <w:r>
        <w:rPr>
          <w:rFonts w:hint="eastAsia" w:ascii="仿宋" w:hAnsi="仿宋" w:eastAsia="仿宋"/>
          <w:sz w:val="28"/>
          <w:szCs w:val="28"/>
          <w:lang w:val="en-US" w:eastAsia="zh-CN"/>
        </w:rPr>
        <w:t>1</w:t>
      </w:r>
      <w:r>
        <w:rPr>
          <w:rFonts w:hint="eastAsia" w:ascii="仿宋" w:hAnsi="仿宋" w:eastAsia="仿宋"/>
          <w:sz w:val="28"/>
          <w:szCs w:val="28"/>
          <w:lang w:eastAsia="zh-CN"/>
        </w:rPr>
        <w:t>）</w:t>
      </w:r>
      <w:r>
        <w:rPr>
          <w:rFonts w:hint="eastAsia" w:ascii="仿宋" w:hAnsi="仿宋" w:eastAsia="仿宋"/>
          <w:sz w:val="28"/>
          <w:szCs w:val="28"/>
        </w:rPr>
        <w:t>以采购项目或包次中标(成交)金额为计费基数，按“差额定率累进法”进行计算。</w:t>
      </w:r>
    </w:p>
    <w:p w14:paraId="2674E89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lang w:val="en-US" w:eastAsia="zh-CN"/>
        </w:rPr>
        <w:t>2</w:t>
      </w:r>
      <w:r>
        <w:rPr>
          <w:rFonts w:hint="eastAsia" w:ascii="仿宋" w:hAnsi="仿宋" w:eastAsia="仿宋"/>
          <w:sz w:val="28"/>
          <w:szCs w:val="28"/>
          <w:lang w:eastAsia="zh-CN"/>
        </w:rPr>
        <w:t>）</w:t>
      </w:r>
      <w:r>
        <w:rPr>
          <w:rFonts w:hint="eastAsia" w:ascii="仿宋" w:hAnsi="仿宋" w:eastAsia="仿宋"/>
          <w:sz w:val="28"/>
          <w:szCs w:val="28"/>
        </w:rPr>
        <w:t>差额定率累进法是指将采购项目或包次中标(成交)金额划分成若干区间并按项目类别设定标准费率，各区间中标(成交)金额与对应费率之积为该区间计费额，各区间计费额之和下浮20%即为</w:t>
      </w:r>
      <w:r>
        <w:rPr>
          <w:rFonts w:hint="eastAsia" w:ascii="仿宋" w:hAnsi="仿宋" w:eastAsia="仿宋"/>
          <w:sz w:val="28"/>
          <w:szCs w:val="28"/>
          <w:lang w:val="en-US" w:eastAsia="zh-CN"/>
        </w:rPr>
        <w:t>采购代理机构</w:t>
      </w:r>
      <w:r>
        <w:rPr>
          <w:rFonts w:hint="eastAsia" w:ascii="仿宋" w:hAnsi="仿宋" w:eastAsia="仿宋"/>
          <w:sz w:val="28"/>
          <w:szCs w:val="28"/>
        </w:rPr>
        <w:t>应得报酬。（代理服务收费标准详见附件2）。</w:t>
      </w:r>
    </w:p>
    <w:p w14:paraId="2A5F987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金额：2</w:t>
      </w:r>
      <w:r>
        <w:rPr>
          <w:rFonts w:hint="eastAsia" w:ascii="仿宋" w:hAnsi="仿宋" w:eastAsia="仿宋"/>
          <w:sz w:val="28"/>
          <w:szCs w:val="28"/>
          <w:lang w:val="en-US" w:eastAsia="zh-CN"/>
        </w:rPr>
        <w:t>.</w:t>
      </w:r>
      <w:r>
        <w:rPr>
          <w:rFonts w:hint="eastAsia" w:ascii="仿宋" w:hAnsi="仿宋" w:eastAsia="仿宋"/>
          <w:sz w:val="28"/>
          <w:szCs w:val="28"/>
        </w:rPr>
        <w:t>062237元（人民币）</w:t>
      </w:r>
    </w:p>
    <w:p w14:paraId="4B3904FE">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8"/>
          <w:szCs w:val="28"/>
        </w:rPr>
      </w:pPr>
      <w:r>
        <w:rPr>
          <w:rFonts w:hint="eastAsia" w:ascii="黑体" w:hAnsi="黑体" w:eastAsia="黑体"/>
          <w:sz w:val="28"/>
          <w:szCs w:val="28"/>
        </w:rPr>
        <w:t>七、公告期限</w:t>
      </w:r>
    </w:p>
    <w:p w14:paraId="54F56A5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自本公告发布之日起1个工作日。</w:t>
      </w:r>
    </w:p>
    <w:p w14:paraId="5741B001">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8"/>
          <w:szCs w:val="28"/>
        </w:rPr>
      </w:pPr>
      <w:r>
        <w:rPr>
          <w:rFonts w:hint="eastAsia" w:ascii="黑体" w:hAnsi="黑体" w:eastAsia="黑体"/>
          <w:sz w:val="28"/>
          <w:szCs w:val="28"/>
        </w:rPr>
        <w:t>八、其他补充事宜</w:t>
      </w:r>
    </w:p>
    <w:p w14:paraId="387F4FF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1.本次公告发布媒体：中国政府采购网、北京市政府采购网。</w:t>
      </w:r>
    </w:p>
    <w:p w14:paraId="520033B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2.成交供应商评审总得分96.37分。</w:t>
      </w:r>
    </w:p>
    <w:p w14:paraId="64C14978">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8"/>
          <w:szCs w:val="28"/>
        </w:rPr>
      </w:pPr>
      <w:r>
        <w:rPr>
          <w:rFonts w:hint="eastAsia" w:ascii="黑体" w:hAnsi="黑体" w:eastAsia="黑体"/>
          <w:sz w:val="28"/>
          <w:szCs w:val="28"/>
        </w:rPr>
        <w:t>九、凡对本次公告内容提出询问，请按以下方式联系。</w:t>
      </w:r>
    </w:p>
    <w:p w14:paraId="26AA6AE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1.采购人信息</w:t>
      </w:r>
    </w:p>
    <w:p w14:paraId="70A68A1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u w:val="single"/>
        </w:rPr>
      </w:pPr>
      <w:r>
        <w:rPr>
          <w:rFonts w:hint="eastAsia" w:ascii="仿宋" w:hAnsi="仿宋" w:eastAsia="仿宋"/>
          <w:sz w:val="28"/>
          <w:szCs w:val="28"/>
        </w:rPr>
        <w:t>名    称：</w:t>
      </w:r>
      <w:r>
        <w:rPr>
          <w:rFonts w:hint="eastAsia" w:ascii="仿宋" w:hAnsi="仿宋" w:eastAsia="仿宋"/>
          <w:sz w:val="28"/>
          <w:szCs w:val="28"/>
          <w:u w:val="single"/>
        </w:rPr>
        <w:t>北京市顺义区体育局</w:t>
      </w:r>
    </w:p>
    <w:p w14:paraId="04D0121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北京市顺义区光明南街2号</w:t>
      </w:r>
    </w:p>
    <w:p w14:paraId="2D4DB71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u w:val="single"/>
        </w:rPr>
        <w:t>郭帅、010-69421878</w:t>
      </w:r>
    </w:p>
    <w:p w14:paraId="16AB0EF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2.采购代理机构信息</w:t>
      </w:r>
    </w:p>
    <w:p w14:paraId="2B31D06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北京博睿丰工程咨询有限公司</w:t>
      </w:r>
    </w:p>
    <w:p w14:paraId="5F3D31A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北京市顺义区林河南大街9号院9号楼2层262室</w:t>
      </w:r>
    </w:p>
    <w:p w14:paraId="64BF149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u w:val="single"/>
        </w:rPr>
        <w:t>赵毛鹅、孙萌、于辉、路璐、王鑫磊、金文玲、王海霞、梅春霞/010-61409078、18911546288</w:t>
      </w:r>
    </w:p>
    <w:p w14:paraId="74AA2F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3.项目联系方式</w:t>
      </w:r>
    </w:p>
    <w:p w14:paraId="4A568C4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赵毛鹅、孙萌、于辉、路璐、王鑫磊、金文玲、王海霞、梅春霞</w:t>
      </w:r>
    </w:p>
    <w:p w14:paraId="4164A22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010-61409078、18911546288</w:t>
      </w:r>
    </w:p>
    <w:p w14:paraId="70D563C8">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8"/>
          <w:szCs w:val="28"/>
        </w:rPr>
      </w:pPr>
      <w:r>
        <w:rPr>
          <w:rFonts w:hint="eastAsia" w:ascii="黑体" w:hAnsi="黑体" w:eastAsia="黑体"/>
          <w:sz w:val="28"/>
          <w:szCs w:val="28"/>
        </w:rPr>
        <w:t>十、附件</w:t>
      </w:r>
    </w:p>
    <w:p w14:paraId="47218030">
      <w:pPr>
        <w:pStyle w:val="5"/>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Times New Roman"/>
          <w:sz w:val="28"/>
          <w:szCs w:val="28"/>
        </w:rPr>
      </w:pPr>
      <w:r>
        <w:rPr>
          <w:rFonts w:hint="eastAsia" w:ascii="仿宋" w:hAnsi="仿宋" w:eastAsia="仿宋" w:cs="Times New Roman"/>
          <w:sz w:val="28"/>
          <w:szCs w:val="28"/>
        </w:rPr>
        <w:t>1.采购文件</w:t>
      </w:r>
    </w:p>
    <w:p w14:paraId="5F898FD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Times New Roman"/>
          <w:sz w:val="28"/>
          <w:szCs w:val="28"/>
        </w:rPr>
      </w:pPr>
      <w:r>
        <w:rPr>
          <w:rFonts w:hint="eastAsia" w:ascii="仿宋" w:hAnsi="仿宋" w:eastAsia="仿宋" w:cs="Times New Roman"/>
          <w:sz w:val="28"/>
          <w:szCs w:val="28"/>
        </w:rPr>
        <w:t>2.代理服务收费标准</w:t>
      </w:r>
    </w:p>
    <w:tbl>
      <w:tblPr>
        <w:tblStyle w:val="11"/>
        <w:tblW w:w="0" w:type="auto"/>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3434"/>
        <w:gridCol w:w="1620"/>
        <w:gridCol w:w="1980"/>
        <w:gridCol w:w="1980"/>
      </w:tblGrid>
      <w:tr w14:paraId="5F8878B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11" w:hRule="atLeast"/>
          <w:tblHeader/>
          <w:tblCellSpacing w:w="0" w:type="dxa"/>
          <w:jc w:val="center"/>
        </w:trPr>
        <w:tc>
          <w:tcPr>
            <w:tcW w:w="3434" w:type="dxa"/>
            <w:tcBorders>
              <w:top w:val="outset" w:color="auto" w:sz="6" w:space="0"/>
              <w:left w:val="outset" w:color="auto" w:sz="6" w:space="0"/>
              <w:bottom w:val="outset" w:color="auto" w:sz="6" w:space="0"/>
              <w:right w:val="outset" w:color="auto" w:sz="6" w:space="0"/>
              <w:tl2br w:val="outset" w:color="auto" w:sz="6" w:space="0"/>
            </w:tcBorders>
            <w:vAlign w:val="center"/>
          </w:tcPr>
          <w:p w14:paraId="51FFE607">
            <w:pPr>
              <w:autoSpaceDE w:val="0"/>
              <w:autoSpaceDN w:val="0"/>
              <w:adjustRightInd w:val="0"/>
              <w:spacing w:line="380" w:lineRule="exact"/>
              <w:ind w:firstLine="1897" w:firstLineChars="900"/>
              <w:jc w:val="both"/>
              <w:rPr>
                <w:rFonts w:hint="eastAsia" w:ascii="仿宋" w:hAnsi="仿宋" w:eastAsia="仿宋" w:cs="仿宋"/>
                <w:b/>
                <w:spacing w:val="0"/>
                <w:sz w:val="21"/>
                <w:szCs w:val="30"/>
                <w:lang w:val="zh-CN"/>
              </w:rPr>
            </w:pPr>
            <w:r>
              <w:rPr>
                <w:rFonts w:hint="eastAsia" w:ascii="仿宋" w:hAnsi="仿宋" w:eastAsia="仿宋" w:cs="仿宋"/>
                <w:b/>
                <w:spacing w:val="0"/>
                <w:sz w:val="21"/>
                <w:szCs w:val="30"/>
                <w:lang w:val="zh-CN"/>
              </w:rPr>
              <w:t xml:space="preserve">  服务类型</w:t>
            </w:r>
          </w:p>
          <w:p w14:paraId="70A7FCB9">
            <w:pPr>
              <w:autoSpaceDE w:val="0"/>
              <w:autoSpaceDN w:val="0"/>
              <w:adjustRightInd w:val="0"/>
              <w:spacing w:line="380" w:lineRule="exact"/>
              <w:ind w:firstLine="211" w:firstLineChars="100"/>
              <w:rPr>
                <w:rFonts w:hint="eastAsia" w:ascii="仿宋" w:hAnsi="仿宋" w:eastAsia="仿宋" w:cs="仿宋"/>
                <w:b/>
                <w:spacing w:val="0"/>
                <w:sz w:val="21"/>
                <w:szCs w:val="30"/>
                <w:lang w:val="zh-CN"/>
              </w:rPr>
            </w:pPr>
            <w:r>
              <w:rPr>
                <w:rFonts w:hint="eastAsia" w:ascii="仿宋" w:hAnsi="仿宋" w:eastAsia="仿宋" w:cs="仿宋"/>
                <w:b/>
                <w:spacing w:val="0"/>
                <w:sz w:val="21"/>
                <w:szCs w:val="30"/>
                <w:lang w:val="zh-CN"/>
              </w:rPr>
              <w:t>中标金额</w:t>
            </w:r>
          </w:p>
          <w:p w14:paraId="31C3D30A">
            <w:pPr>
              <w:autoSpaceDE w:val="0"/>
              <w:autoSpaceDN w:val="0"/>
              <w:adjustRightInd w:val="0"/>
              <w:spacing w:line="380" w:lineRule="exact"/>
              <w:ind w:firstLine="315" w:firstLineChars="15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（万元）</w:t>
            </w:r>
          </w:p>
        </w:tc>
        <w:tc>
          <w:tcPr>
            <w:tcW w:w="1620" w:type="dxa"/>
            <w:tcBorders>
              <w:top w:val="outset" w:color="auto" w:sz="6" w:space="0"/>
              <w:left w:val="outset" w:color="auto" w:sz="6" w:space="0"/>
              <w:bottom w:val="outset" w:color="auto" w:sz="6" w:space="0"/>
              <w:right w:val="outset" w:color="auto" w:sz="6" w:space="0"/>
            </w:tcBorders>
            <w:vAlign w:val="center"/>
          </w:tcPr>
          <w:p w14:paraId="32A8013C">
            <w:pPr>
              <w:autoSpaceDE w:val="0"/>
              <w:autoSpaceDN w:val="0"/>
              <w:adjustRightInd w:val="0"/>
              <w:spacing w:line="380" w:lineRule="exact"/>
              <w:jc w:val="center"/>
              <w:rPr>
                <w:rFonts w:hint="eastAsia" w:ascii="仿宋" w:hAnsi="仿宋" w:eastAsia="仿宋" w:cs="仿宋"/>
                <w:b/>
                <w:spacing w:val="0"/>
                <w:sz w:val="21"/>
                <w:szCs w:val="30"/>
                <w:lang w:val="zh-CN"/>
              </w:rPr>
            </w:pPr>
            <w:r>
              <w:rPr>
                <w:rFonts w:hint="eastAsia" w:ascii="仿宋" w:hAnsi="仿宋" w:eastAsia="仿宋" w:cs="仿宋"/>
                <w:b/>
                <w:spacing w:val="0"/>
                <w:sz w:val="21"/>
                <w:szCs w:val="30"/>
                <w:lang w:val="zh-CN"/>
              </w:rPr>
              <w:t>货物招标</w:t>
            </w:r>
          </w:p>
        </w:tc>
        <w:tc>
          <w:tcPr>
            <w:tcW w:w="1980" w:type="dxa"/>
            <w:tcBorders>
              <w:top w:val="outset" w:color="auto" w:sz="6" w:space="0"/>
              <w:left w:val="outset" w:color="auto" w:sz="6" w:space="0"/>
              <w:bottom w:val="outset" w:color="auto" w:sz="6" w:space="0"/>
              <w:right w:val="outset" w:color="auto" w:sz="6" w:space="0"/>
            </w:tcBorders>
            <w:vAlign w:val="center"/>
          </w:tcPr>
          <w:p w14:paraId="110FBDC4">
            <w:pPr>
              <w:autoSpaceDE w:val="0"/>
              <w:autoSpaceDN w:val="0"/>
              <w:adjustRightInd w:val="0"/>
              <w:spacing w:line="380" w:lineRule="exact"/>
              <w:ind w:firstLine="422" w:firstLineChars="200"/>
              <w:rPr>
                <w:rFonts w:hint="eastAsia" w:ascii="仿宋" w:hAnsi="仿宋" w:eastAsia="仿宋" w:cs="仿宋"/>
                <w:b/>
                <w:spacing w:val="0"/>
                <w:sz w:val="21"/>
                <w:szCs w:val="30"/>
                <w:lang w:val="zh-CN"/>
              </w:rPr>
            </w:pPr>
            <w:r>
              <w:rPr>
                <w:rFonts w:hint="eastAsia" w:ascii="仿宋" w:hAnsi="仿宋" w:eastAsia="仿宋" w:cs="仿宋"/>
                <w:b/>
                <w:spacing w:val="0"/>
                <w:sz w:val="21"/>
                <w:szCs w:val="30"/>
                <w:lang w:val="zh-CN"/>
              </w:rPr>
              <w:t>服务招标</w:t>
            </w:r>
          </w:p>
        </w:tc>
        <w:tc>
          <w:tcPr>
            <w:tcW w:w="1980" w:type="dxa"/>
            <w:tcBorders>
              <w:top w:val="outset" w:color="auto" w:sz="6" w:space="0"/>
              <w:left w:val="outset" w:color="auto" w:sz="6" w:space="0"/>
              <w:bottom w:val="outset" w:color="auto" w:sz="6" w:space="0"/>
              <w:right w:val="outset" w:color="auto" w:sz="6" w:space="0"/>
            </w:tcBorders>
            <w:vAlign w:val="center"/>
          </w:tcPr>
          <w:p w14:paraId="0EFC317C">
            <w:pPr>
              <w:autoSpaceDE w:val="0"/>
              <w:autoSpaceDN w:val="0"/>
              <w:adjustRightInd w:val="0"/>
              <w:spacing w:line="380" w:lineRule="exact"/>
              <w:ind w:firstLine="422" w:firstLineChars="200"/>
              <w:rPr>
                <w:rFonts w:hint="eastAsia" w:ascii="仿宋" w:hAnsi="仿宋" w:eastAsia="仿宋" w:cs="仿宋"/>
                <w:b/>
                <w:spacing w:val="0"/>
                <w:sz w:val="21"/>
                <w:szCs w:val="30"/>
                <w:lang w:val="zh-CN"/>
              </w:rPr>
            </w:pPr>
            <w:r>
              <w:rPr>
                <w:rFonts w:hint="eastAsia" w:ascii="仿宋" w:hAnsi="仿宋" w:eastAsia="仿宋" w:cs="仿宋"/>
                <w:b/>
                <w:spacing w:val="0"/>
                <w:sz w:val="21"/>
                <w:szCs w:val="30"/>
                <w:lang w:val="zh-CN"/>
              </w:rPr>
              <w:t>工程招标</w:t>
            </w:r>
          </w:p>
        </w:tc>
      </w:tr>
      <w:tr w14:paraId="71BEE9D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184E18D9">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100以下</w:t>
            </w:r>
          </w:p>
        </w:tc>
        <w:tc>
          <w:tcPr>
            <w:tcW w:w="1620" w:type="dxa"/>
            <w:tcBorders>
              <w:top w:val="outset" w:color="auto" w:sz="6" w:space="0"/>
              <w:left w:val="outset" w:color="auto" w:sz="6" w:space="0"/>
              <w:bottom w:val="outset" w:color="auto" w:sz="6" w:space="0"/>
              <w:right w:val="outset" w:color="auto" w:sz="6" w:space="0"/>
            </w:tcBorders>
            <w:vAlign w:val="center"/>
          </w:tcPr>
          <w:p w14:paraId="08B7071C">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1.5％</w:t>
            </w:r>
          </w:p>
        </w:tc>
        <w:tc>
          <w:tcPr>
            <w:tcW w:w="1980" w:type="dxa"/>
            <w:tcBorders>
              <w:top w:val="outset" w:color="auto" w:sz="6" w:space="0"/>
              <w:left w:val="outset" w:color="auto" w:sz="6" w:space="0"/>
              <w:bottom w:val="outset" w:color="auto" w:sz="6" w:space="0"/>
              <w:right w:val="outset" w:color="auto" w:sz="6" w:space="0"/>
            </w:tcBorders>
            <w:vAlign w:val="center"/>
          </w:tcPr>
          <w:p w14:paraId="3C4E5760">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1.5％</w:t>
            </w:r>
          </w:p>
        </w:tc>
        <w:tc>
          <w:tcPr>
            <w:tcW w:w="1980" w:type="dxa"/>
            <w:tcBorders>
              <w:top w:val="outset" w:color="auto" w:sz="6" w:space="0"/>
              <w:left w:val="outset" w:color="auto" w:sz="6" w:space="0"/>
              <w:bottom w:val="outset" w:color="auto" w:sz="6" w:space="0"/>
              <w:right w:val="outset" w:color="auto" w:sz="6" w:space="0"/>
            </w:tcBorders>
            <w:vAlign w:val="center"/>
          </w:tcPr>
          <w:p w14:paraId="39D92D6C">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1.0％</w:t>
            </w:r>
          </w:p>
        </w:tc>
      </w:tr>
      <w:tr w14:paraId="6831E2F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2F2DFD0F">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100—500</w:t>
            </w:r>
          </w:p>
        </w:tc>
        <w:tc>
          <w:tcPr>
            <w:tcW w:w="1620" w:type="dxa"/>
            <w:tcBorders>
              <w:top w:val="outset" w:color="auto" w:sz="6" w:space="0"/>
              <w:left w:val="outset" w:color="auto" w:sz="6" w:space="0"/>
              <w:bottom w:val="outset" w:color="auto" w:sz="6" w:space="0"/>
              <w:right w:val="outset" w:color="auto" w:sz="6" w:space="0"/>
            </w:tcBorders>
            <w:vAlign w:val="center"/>
          </w:tcPr>
          <w:p w14:paraId="2C2E2458">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1.1％</w:t>
            </w:r>
          </w:p>
        </w:tc>
        <w:tc>
          <w:tcPr>
            <w:tcW w:w="1980" w:type="dxa"/>
            <w:tcBorders>
              <w:top w:val="outset" w:color="auto" w:sz="6" w:space="0"/>
              <w:left w:val="outset" w:color="auto" w:sz="6" w:space="0"/>
              <w:bottom w:val="outset" w:color="auto" w:sz="6" w:space="0"/>
              <w:right w:val="outset" w:color="auto" w:sz="6" w:space="0"/>
            </w:tcBorders>
            <w:vAlign w:val="center"/>
          </w:tcPr>
          <w:p w14:paraId="3887B854">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0.8％</w:t>
            </w:r>
          </w:p>
        </w:tc>
        <w:tc>
          <w:tcPr>
            <w:tcW w:w="1980" w:type="dxa"/>
            <w:tcBorders>
              <w:top w:val="outset" w:color="auto" w:sz="6" w:space="0"/>
              <w:left w:val="outset" w:color="auto" w:sz="6" w:space="0"/>
              <w:bottom w:val="outset" w:color="auto" w:sz="6" w:space="0"/>
              <w:right w:val="outset" w:color="auto" w:sz="6" w:space="0"/>
            </w:tcBorders>
            <w:vAlign w:val="center"/>
          </w:tcPr>
          <w:p w14:paraId="4E6BD700">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0.7％</w:t>
            </w:r>
          </w:p>
        </w:tc>
      </w:tr>
      <w:tr w14:paraId="54806C0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49CB211C">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500—1000</w:t>
            </w:r>
          </w:p>
        </w:tc>
        <w:tc>
          <w:tcPr>
            <w:tcW w:w="1620" w:type="dxa"/>
            <w:tcBorders>
              <w:top w:val="outset" w:color="auto" w:sz="6" w:space="0"/>
              <w:left w:val="outset" w:color="auto" w:sz="6" w:space="0"/>
              <w:bottom w:val="outset" w:color="auto" w:sz="6" w:space="0"/>
              <w:right w:val="outset" w:color="auto" w:sz="6" w:space="0"/>
            </w:tcBorders>
            <w:vAlign w:val="center"/>
          </w:tcPr>
          <w:p w14:paraId="43B3FD95">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0.8％</w:t>
            </w:r>
          </w:p>
        </w:tc>
        <w:tc>
          <w:tcPr>
            <w:tcW w:w="1980" w:type="dxa"/>
            <w:tcBorders>
              <w:top w:val="outset" w:color="auto" w:sz="6" w:space="0"/>
              <w:left w:val="outset" w:color="auto" w:sz="6" w:space="0"/>
              <w:bottom w:val="outset" w:color="auto" w:sz="6" w:space="0"/>
              <w:right w:val="outset" w:color="auto" w:sz="6" w:space="0"/>
            </w:tcBorders>
            <w:vAlign w:val="center"/>
          </w:tcPr>
          <w:p w14:paraId="1FEE1CB1">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0.45％</w:t>
            </w:r>
          </w:p>
        </w:tc>
        <w:tc>
          <w:tcPr>
            <w:tcW w:w="1980" w:type="dxa"/>
            <w:tcBorders>
              <w:top w:val="outset" w:color="auto" w:sz="6" w:space="0"/>
              <w:left w:val="outset" w:color="auto" w:sz="6" w:space="0"/>
              <w:bottom w:val="outset" w:color="auto" w:sz="6" w:space="0"/>
              <w:right w:val="outset" w:color="auto" w:sz="6" w:space="0"/>
            </w:tcBorders>
            <w:vAlign w:val="center"/>
          </w:tcPr>
          <w:p w14:paraId="00CFD358">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0.55％</w:t>
            </w:r>
          </w:p>
        </w:tc>
      </w:tr>
      <w:tr w14:paraId="50AFD7A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1CFECE01">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1000—5000</w:t>
            </w:r>
          </w:p>
        </w:tc>
        <w:tc>
          <w:tcPr>
            <w:tcW w:w="1620" w:type="dxa"/>
            <w:tcBorders>
              <w:top w:val="outset" w:color="auto" w:sz="6" w:space="0"/>
              <w:left w:val="outset" w:color="auto" w:sz="6" w:space="0"/>
              <w:bottom w:val="outset" w:color="auto" w:sz="6" w:space="0"/>
              <w:right w:val="outset" w:color="auto" w:sz="6" w:space="0"/>
            </w:tcBorders>
            <w:vAlign w:val="center"/>
          </w:tcPr>
          <w:p w14:paraId="45072C59">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0.5％</w:t>
            </w:r>
          </w:p>
        </w:tc>
        <w:tc>
          <w:tcPr>
            <w:tcW w:w="1980" w:type="dxa"/>
            <w:tcBorders>
              <w:top w:val="outset" w:color="auto" w:sz="6" w:space="0"/>
              <w:left w:val="outset" w:color="auto" w:sz="6" w:space="0"/>
              <w:bottom w:val="outset" w:color="auto" w:sz="6" w:space="0"/>
              <w:right w:val="outset" w:color="auto" w:sz="6" w:space="0"/>
            </w:tcBorders>
            <w:vAlign w:val="center"/>
          </w:tcPr>
          <w:p w14:paraId="0166D928">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0.25％</w:t>
            </w:r>
          </w:p>
        </w:tc>
        <w:tc>
          <w:tcPr>
            <w:tcW w:w="1980" w:type="dxa"/>
            <w:tcBorders>
              <w:top w:val="outset" w:color="auto" w:sz="6" w:space="0"/>
              <w:left w:val="outset" w:color="auto" w:sz="6" w:space="0"/>
              <w:bottom w:val="outset" w:color="auto" w:sz="6" w:space="0"/>
              <w:right w:val="outset" w:color="auto" w:sz="6" w:space="0"/>
            </w:tcBorders>
            <w:vAlign w:val="center"/>
          </w:tcPr>
          <w:p w14:paraId="3E0D530D">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0.35％</w:t>
            </w:r>
          </w:p>
        </w:tc>
      </w:tr>
      <w:tr w14:paraId="5D4FD9C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3B87AF3C">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5000—10000</w:t>
            </w:r>
          </w:p>
        </w:tc>
        <w:tc>
          <w:tcPr>
            <w:tcW w:w="1620" w:type="dxa"/>
            <w:tcBorders>
              <w:top w:val="outset" w:color="auto" w:sz="6" w:space="0"/>
              <w:left w:val="outset" w:color="auto" w:sz="6" w:space="0"/>
              <w:bottom w:val="outset" w:color="auto" w:sz="6" w:space="0"/>
              <w:right w:val="outset" w:color="auto" w:sz="6" w:space="0"/>
            </w:tcBorders>
            <w:vAlign w:val="center"/>
          </w:tcPr>
          <w:p w14:paraId="1B504003">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0.25％</w:t>
            </w:r>
          </w:p>
        </w:tc>
        <w:tc>
          <w:tcPr>
            <w:tcW w:w="1980" w:type="dxa"/>
            <w:tcBorders>
              <w:top w:val="outset" w:color="auto" w:sz="6" w:space="0"/>
              <w:left w:val="outset" w:color="auto" w:sz="6" w:space="0"/>
              <w:bottom w:val="outset" w:color="auto" w:sz="6" w:space="0"/>
              <w:right w:val="outset" w:color="auto" w:sz="6" w:space="0"/>
            </w:tcBorders>
            <w:vAlign w:val="center"/>
          </w:tcPr>
          <w:p w14:paraId="5A108D56">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0.1％</w:t>
            </w:r>
          </w:p>
        </w:tc>
        <w:tc>
          <w:tcPr>
            <w:tcW w:w="1980" w:type="dxa"/>
            <w:tcBorders>
              <w:top w:val="outset" w:color="auto" w:sz="6" w:space="0"/>
              <w:left w:val="outset" w:color="auto" w:sz="6" w:space="0"/>
              <w:bottom w:val="outset" w:color="auto" w:sz="6" w:space="0"/>
              <w:right w:val="outset" w:color="auto" w:sz="6" w:space="0"/>
            </w:tcBorders>
            <w:vAlign w:val="center"/>
          </w:tcPr>
          <w:p w14:paraId="31F69E01">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0.2％</w:t>
            </w:r>
          </w:p>
        </w:tc>
      </w:tr>
      <w:tr w14:paraId="72D8D73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0F2D156D">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10000——50000</w:t>
            </w:r>
          </w:p>
        </w:tc>
        <w:tc>
          <w:tcPr>
            <w:tcW w:w="1620" w:type="dxa"/>
            <w:tcBorders>
              <w:top w:val="outset" w:color="auto" w:sz="6" w:space="0"/>
              <w:left w:val="outset" w:color="auto" w:sz="6" w:space="0"/>
              <w:bottom w:val="outset" w:color="auto" w:sz="6" w:space="0"/>
              <w:right w:val="outset" w:color="auto" w:sz="6" w:space="0"/>
            </w:tcBorders>
            <w:vAlign w:val="center"/>
          </w:tcPr>
          <w:p w14:paraId="0B183DAA">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0.05％</w:t>
            </w:r>
          </w:p>
        </w:tc>
        <w:tc>
          <w:tcPr>
            <w:tcW w:w="1980" w:type="dxa"/>
            <w:tcBorders>
              <w:top w:val="outset" w:color="auto" w:sz="6" w:space="0"/>
              <w:left w:val="outset" w:color="auto" w:sz="6" w:space="0"/>
              <w:bottom w:val="outset" w:color="auto" w:sz="6" w:space="0"/>
              <w:right w:val="outset" w:color="auto" w:sz="6" w:space="0"/>
            </w:tcBorders>
            <w:vAlign w:val="center"/>
          </w:tcPr>
          <w:p w14:paraId="64254FB0">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0.05％</w:t>
            </w:r>
          </w:p>
        </w:tc>
        <w:tc>
          <w:tcPr>
            <w:tcW w:w="1980" w:type="dxa"/>
            <w:tcBorders>
              <w:top w:val="outset" w:color="auto" w:sz="6" w:space="0"/>
              <w:left w:val="outset" w:color="auto" w:sz="6" w:space="0"/>
              <w:bottom w:val="outset" w:color="auto" w:sz="6" w:space="0"/>
              <w:right w:val="outset" w:color="auto" w:sz="6" w:space="0"/>
            </w:tcBorders>
            <w:vAlign w:val="center"/>
          </w:tcPr>
          <w:p w14:paraId="3EC69ADB">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0.05％</w:t>
            </w:r>
          </w:p>
        </w:tc>
      </w:tr>
      <w:tr w14:paraId="3C5780E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7E43F3B9">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50000——100000</w:t>
            </w:r>
          </w:p>
        </w:tc>
        <w:tc>
          <w:tcPr>
            <w:tcW w:w="1620" w:type="dxa"/>
            <w:tcBorders>
              <w:top w:val="outset" w:color="auto" w:sz="6" w:space="0"/>
              <w:left w:val="outset" w:color="auto" w:sz="6" w:space="0"/>
              <w:bottom w:val="outset" w:color="auto" w:sz="6" w:space="0"/>
              <w:right w:val="outset" w:color="auto" w:sz="6" w:space="0"/>
            </w:tcBorders>
            <w:vAlign w:val="center"/>
          </w:tcPr>
          <w:p w14:paraId="55D5D409">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0.035％</w:t>
            </w:r>
          </w:p>
        </w:tc>
        <w:tc>
          <w:tcPr>
            <w:tcW w:w="1980" w:type="dxa"/>
            <w:tcBorders>
              <w:top w:val="outset" w:color="auto" w:sz="6" w:space="0"/>
              <w:left w:val="outset" w:color="auto" w:sz="6" w:space="0"/>
              <w:bottom w:val="outset" w:color="auto" w:sz="6" w:space="0"/>
              <w:right w:val="outset" w:color="auto" w:sz="6" w:space="0"/>
            </w:tcBorders>
            <w:vAlign w:val="center"/>
          </w:tcPr>
          <w:p w14:paraId="460E6761">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0.035％</w:t>
            </w:r>
          </w:p>
        </w:tc>
        <w:tc>
          <w:tcPr>
            <w:tcW w:w="1980" w:type="dxa"/>
            <w:tcBorders>
              <w:top w:val="outset" w:color="auto" w:sz="6" w:space="0"/>
              <w:left w:val="outset" w:color="auto" w:sz="6" w:space="0"/>
              <w:bottom w:val="outset" w:color="auto" w:sz="6" w:space="0"/>
              <w:right w:val="outset" w:color="auto" w:sz="6" w:space="0"/>
            </w:tcBorders>
            <w:vAlign w:val="center"/>
          </w:tcPr>
          <w:p w14:paraId="44739B57">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0.035％</w:t>
            </w:r>
          </w:p>
        </w:tc>
      </w:tr>
      <w:tr w14:paraId="1AD997A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6D91275D">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100000——500000</w:t>
            </w:r>
          </w:p>
        </w:tc>
        <w:tc>
          <w:tcPr>
            <w:tcW w:w="1620" w:type="dxa"/>
            <w:tcBorders>
              <w:top w:val="outset" w:color="auto" w:sz="6" w:space="0"/>
              <w:left w:val="outset" w:color="auto" w:sz="6" w:space="0"/>
              <w:bottom w:val="outset" w:color="auto" w:sz="6" w:space="0"/>
              <w:right w:val="outset" w:color="auto" w:sz="6" w:space="0"/>
            </w:tcBorders>
            <w:vAlign w:val="center"/>
          </w:tcPr>
          <w:p w14:paraId="0A50E54F">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0.008％</w:t>
            </w:r>
          </w:p>
        </w:tc>
        <w:tc>
          <w:tcPr>
            <w:tcW w:w="1980" w:type="dxa"/>
            <w:tcBorders>
              <w:top w:val="outset" w:color="auto" w:sz="6" w:space="0"/>
              <w:left w:val="outset" w:color="auto" w:sz="6" w:space="0"/>
              <w:bottom w:val="outset" w:color="auto" w:sz="6" w:space="0"/>
              <w:right w:val="outset" w:color="auto" w:sz="6" w:space="0"/>
            </w:tcBorders>
            <w:vAlign w:val="center"/>
          </w:tcPr>
          <w:p w14:paraId="551480B1">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0.008％</w:t>
            </w:r>
          </w:p>
        </w:tc>
        <w:tc>
          <w:tcPr>
            <w:tcW w:w="1980" w:type="dxa"/>
            <w:tcBorders>
              <w:top w:val="outset" w:color="auto" w:sz="6" w:space="0"/>
              <w:left w:val="outset" w:color="auto" w:sz="6" w:space="0"/>
              <w:bottom w:val="outset" w:color="auto" w:sz="6" w:space="0"/>
              <w:right w:val="outset" w:color="auto" w:sz="6" w:space="0"/>
            </w:tcBorders>
            <w:vAlign w:val="center"/>
          </w:tcPr>
          <w:p w14:paraId="770DB391">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0.008％</w:t>
            </w:r>
          </w:p>
        </w:tc>
      </w:tr>
      <w:tr w14:paraId="3BEA6F0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5D6FF69E">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500000——1000000</w:t>
            </w:r>
          </w:p>
        </w:tc>
        <w:tc>
          <w:tcPr>
            <w:tcW w:w="1620" w:type="dxa"/>
            <w:tcBorders>
              <w:top w:val="outset" w:color="auto" w:sz="6" w:space="0"/>
              <w:left w:val="outset" w:color="auto" w:sz="6" w:space="0"/>
              <w:bottom w:val="outset" w:color="auto" w:sz="6" w:space="0"/>
              <w:right w:val="outset" w:color="auto" w:sz="6" w:space="0"/>
            </w:tcBorders>
            <w:vAlign w:val="center"/>
          </w:tcPr>
          <w:p w14:paraId="67E3375B">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0.006％</w:t>
            </w:r>
          </w:p>
        </w:tc>
        <w:tc>
          <w:tcPr>
            <w:tcW w:w="1980" w:type="dxa"/>
            <w:tcBorders>
              <w:top w:val="outset" w:color="auto" w:sz="6" w:space="0"/>
              <w:left w:val="outset" w:color="auto" w:sz="6" w:space="0"/>
              <w:bottom w:val="outset" w:color="auto" w:sz="6" w:space="0"/>
              <w:right w:val="outset" w:color="auto" w:sz="6" w:space="0"/>
            </w:tcBorders>
            <w:vAlign w:val="center"/>
          </w:tcPr>
          <w:p w14:paraId="525B933B">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0.006％</w:t>
            </w:r>
          </w:p>
        </w:tc>
        <w:tc>
          <w:tcPr>
            <w:tcW w:w="1980" w:type="dxa"/>
            <w:tcBorders>
              <w:top w:val="outset" w:color="auto" w:sz="6" w:space="0"/>
              <w:left w:val="outset" w:color="auto" w:sz="6" w:space="0"/>
              <w:bottom w:val="outset" w:color="auto" w:sz="6" w:space="0"/>
              <w:right w:val="outset" w:color="auto" w:sz="6" w:space="0"/>
            </w:tcBorders>
            <w:vAlign w:val="center"/>
          </w:tcPr>
          <w:p w14:paraId="12A44CFF">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0.006％</w:t>
            </w:r>
          </w:p>
        </w:tc>
      </w:tr>
      <w:tr w14:paraId="3F20FDA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434" w:type="dxa"/>
            <w:tcBorders>
              <w:top w:val="outset" w:color="auto" w:sz="6" w:space="0"/>
              <w:left w:val="outset" w:color="auto" w:sz="6" w:space="0"/>
              <w:bottom w:val="outset" w:color="auto" w:sz="6" w:space="0"/>
              <w:right w:val="outset" w:color="auto" w:sz="6" w:space="0"/>
            </w:tcBorders>
            <w:vAlign w:val="center"/>
          </w:tcPr>
          <w:p w14:paraId="2E69E43F">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1000000以上</w:t>
            </w:r>
          </w:p>
        </w:tc>
        <w:tc>
          <w:tcPr>
            <w:tcW w:w="1620" w:type="dxa"/>
            <w:tcBorders>
              <w:top w:val="outset" w:color="auto" w:sz="6" w:space="0"/>
              <w:left w:val="outset" w:color="auto" w:sz="6" w:space="0"/>
              <w:bottom w:val="outset" w:color="auto" w:sz="6" w:space="0"/>
              <w:right w:val="outset" w:color="auto" w:sz="6" w:space="0"/>
            </w:tcBorders>
            <w:vAlign w:val="center"/>
          </w:tcPr>
          <w:p w14:paraId="68938197">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0.004％</w:t>
            </w:r>
          </w:p>
        </w:tc>
        <w:tc>
          <w:tcPr>
            <w:tcW w:w="1980" w:type="dxa"/>
            <w:tcBorders>
              <w:top w:val="outset" w:color="auto" w:sz="6" w:space="0"/>
              <w:left w:val="outset" w:color="auto" w:sz="6" w:space="0"/>
              <w:bottom w:val="outset" w:color="auto" w:sz="6" w:space="0"/>
              <w:right w:val="outset" w:color="auto" w:sz="6" w:space="0"/>
            </w:tcBorders>
            <w:vAlign w:val="center"/>
          </w:tcPr>
          <w:p w14:paraId="605326D2">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0.004％</w:t>
            </w:r>
          </w:p>
        </w:tc>
        <w:tc>
          <w:tcPr>
            <w:tcW w:w="1980" w:type="dxa"/>
            <w:tcBorders>
              <w:top w:val="outset" w:color="auto" w:sz="6" w:space="0"/>
              <w:left w:val="outset" w:color="auto" w:sz="6" w:space="0"/>
              <w:bottom w:val="outset" w:color="auto" w:sz="6" w:space="0"/>
              <w:right w:val="outset" w:color="auto" w:sz="6" w:space="0"/>
            </w:tcBorders>
            <w:vAlign w:val="center"/>
          </w:tcPr>
          <w:p w14:paraId="3CDAF38C">
            <w:pPr>
              <w:autoSpaceDE w:val="0"/>
              <w:autoSpaceDN w:val="0"/>
              <w:adjustRightInd w:val="0"/>
              <w:spacing w:line="380" w:lineRule="exact"/>
              <w:ind w:firstLine="420" w:firstLineChars="200"/>
              <w:rPr>
                <w:rFonts w:hint="eastAsia" w:ascii="仿宋" w:hAnsi="仿宋" w:eastAsia="仿宋" w:cs="仿宋"/>
                <w:spacing w:val="0"/>
                <w:sz w:val="21"/>
                <w:szCs w:val="30"/>
                <w:lang w:val="zh-CN"/>
              </w:rPr>
            </w:pPr>
            <w:r>
              <w:rPr>
                <w:rFonts w:hint="eastAsia" w:ascii="仿宋" w:hAnsi="仿宋" w:eastAsia="仿宋" w:cs="仿宋"/>
                <w:spacing w:val="0"/>
                <w:sz w:val="21"/>
                <w:szCs w:val="30"/>
                <w:lang w:val="zh-CN"/>
              </w:rPr>
              <w:t>0.004％</w:t>
            </w:r>
          </w:p>
        </w:tc>
      </w:tr>
    </w:tbl>
    <w:p w14:paraId="600E4D4D">
      <w:pPr>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br w:type="page"/>
      </w:r>
    </w:p>
    <w:p w14:paraId="484D1200">
      <w:pPr>
        <w:pStyle w:val="5"/>
        <w:spacing w:line="360" w:lineRule="auto"/>
        <w:ind w:firstLine="420" w:firstLineChars="200"/>
        <w:jc w:val="left"/>
        <w:rPr>
          <w:rFonts w:ascii="仿宋" w:hAnsi="仿宋" w:eastAsia="仿宋"/>
          <w:sz w:val="24"/>
          <w:szCs w:val="24"/>
        </w:rPr>
      </w:pPr>
      <w:r>
        <w:drawing>
          <wp:anchor distT="0" distB="0" distL="114300" distR="114300" simplePos="0" relativeHeight="251659264" behindDoc="1" locked="0" layoutInCell="1" allowOverlap="1">
            <wp:simplePos x="0" y="0"/>
            <wp:positionH relativeFrom="column">
              <wp:posOffset>-746760</wp:posOffset>
            </wp:positionH>
            <wp:positionV relativeFrom="paragraph">
              <wp:posOffset>368300</wp:posOffset>
            </wp:positionV>
            <wp:extent cx="6290945" cy="8187690"/>
            <wp:effectExtent l="0" t="0" r="14605"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290945" cy="8187690"/>
                    </a:xfrm>
                    <a:prstGeom prst="rect">
                      <a:avLst/>
                    </a:prstGeom>
                    <a:noFill/>
                    <a:ln>
                      <a:noFill/>
                    </a:ln>
                  </pic:spPr>
                </pic:pic>
              </a:graphicData>
            </a:graphic>
          </wp:anchor>
        </w:drawing>
      </w: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中小企业声明函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00372D08"/>
    <w:rsid w:val="00037F75"/>
    <w:rsid w:val="000F3233"/>
    <w:rsid w:val="001051B0"/>
    <w:rsid w:val="00133AF7"/>
    <w:rsid w:val="00146E83"/>
    <w:rsid w:val="00156CC2"/>
    <w:rsid w:val="00164748"/>
    <w:rsid w:val="001B7EC6"/>
    <w:rsid w:val="001C569A"/>
    <w:rsid w:val="001E6017"/>
    <w:rsid w:val="0023282D"/>
    <w:rsid w:val="00243054"/>
    <w:rsid w:val="00245DC9"/>
    <w:rsid w:val="00247024"/>
    <w:rsid w:val="00272A07"/>
    <w:rsid w:val="00295470"/>
    <w:rsid w:val="002A021D"/>
    <w:rsid w:val="002A10BD"/>
    <w:rsid w:val="002E3E99"/>
    <w:rsid w:val="003245CE"/>
    <w:rsid w:val="00344182"/>
    <w:rsid w:val="00345A24"/>
    <w:rsid w:val="00350A48"/>
    <w:rsid w:val="00353560"/>
    <w:rsid w:val="00370926"/>
    <w:rsid w:val="00372D08"/>
    <w:rsid w:val="003B753F"/>
    <w:rsid w:val="004074A8"/>
    <w:rsid w:val="004408E4"/>
    <w:rsid w:val="00447814"/>
    <w:rsid w:val="00472574"/>
    <w:rsid w:val="00483A2F"/>
    <w:rsid w:val="004C49D6"/>
    <w:rsid w:val="004E4A86"/>
    <w:rsid w:val="004E7926"/>
    <w:rsid w:val="00507FF7"/>
    <w:rsid w:val="00510E06"/>
    <w:rsid w:val="00513A76"/>
    <w:rsid w:val="0052440D"/>
    <w:rsid w:val="0053318B"/>
    <w:rsid w:val="005476A5"/>
    <w:rsid w:val="005477F6"/>
    <w:rsid w:val="00553879"/>
    <w:rsid w:val="005726AB"/>
    <w:rsid w:val="005A6762"/>
    <w:rsid w:val="005E61CF"/>
    <w:rsid w:val="005F1B48"/>
    <w:rsid w:val="005F2912"/>
    <w:rsid w:val="00612B02"/>
    <w:rsid w:val="00615E34"/>
    <w:rsid w:val="00630D38"/>
    <w:rsid w:val="00651331"/>
    <w:rsid w:val="00654B8A"/>
    <w:rsid w:val="0065744F"/>
    <w:rsid w:val="006A315C"/>
    <w:rsid w:val="00707191"/>
    <w:rsid w:val="007129CA"/>
    <w:rsid w:val="00713CFD"/>
    <w:rsid w:val="007140CF"/>
    <w:rsid w:val="00736127"/>
    <w:rsid w:val="007937E2"/>
    <w:rsid w:val="007C695A"/>
    <w:rsid w:val="00842C48"/>
    <w:rsid w:val="008556FB"/>
    <w:rsid w:val="0086150C"/>
    <w:rsid w:val="008A732C"/>
    <w:rsid w:val="008B2AE5"/>
    <w:rsid w:val="008E4995"/>
    <w:rsid w:val="00952440"/>
    <w:rsid w:val="00960355"/>
    <w:rsid w:val="009959D1"/>
    <w:rsid w:val="009A391B"/>
    <w:rsid w:val="009C5D8F"/>
    <w:rsid w:val="009D0BA5"/>
    <w:rsid w:val="009E2203"/>
    <w:rsid w:val="00A04EC2"/>
    <w:rsid w:val="00A30316"/>
    <w:rsid w:val="00A30511"/>
    <w:rsid w:val="00A3171D"/>
    <w:rsid w:val="00A43355"/>
    <w:rsid w:val="00A508A8"/>
    <w:rsid w:val="00A51063"/>
    <w:rsid w:val="00A81A27"/>
    <w:rsid w:val="00A92378"/>
    <w:rsid w:val="00A97857"/>
    <w:rsid w:val="00AA079D"/>
    <w:rsid w:val="00AB367B"/>
    <w:rsid w:val="00AC6BFD"/>
    <w:rsid w:val="00B02A02"/>
    <w:rsid w:val="00B067E2"/>
    <w:rsid w:val="00B355CE"/>
    <w:rsid w:val="00B47A1C"/>
    <w:rsid w:val="00B52B87"/>
    <w:rsid w:val="00B54CD1"/>
    <w:rsid w:val="00BD3DF5"/>
    <w:rsid w:val="00C173D0"/>
    <w:rsid w:val="00C20EB7"/>
    <w:rsid w:val="00C237FA"/>
    <w:rsid w:val="00C26438"/>
    <w:rsid w:val="00C34BE0"/>
    <w:rsid w:val="00C70F7C"/>
    <w:rsid w:val="00CA30E6"/>
    <w:rsid w:val="00CA64AD"/>
    <w:rsid w:val="00CB5C90"/>
    <w:rsid w:val="00CF4E51"/>
    <w:rsid w:val="00CF6CD2"/>
    <w:rsid w:val="00D3317E"/>
    <w:rsid w:val="00D33BAE"/>
    <w:rsid w:val="00D75D89"/>
    <w:rsid w:val="00DD0DBB"/>
    <w:rsid w:val="00DD2CA2"/>
    <w:rsid w:val="00DE34BF"/>
    <w:rsid w:val="00DF415E"/>
    <w:rsid w:val="00E265CC"/>
    <w:rsid w:val="00E326C1"/>
    <w:rsid w:val="00E35B0D"/>
    <w:rsid w:val="00E37163"/>
    <w:rsid w:val="00E47675"/>
    <w:rsid w:val="00E77123"/>
    <w:rsid w:val="00E96157"/>
    <w:rsid w:val="00EA0EF6"/>
    <w:rsid w:val="00EA21AD"/>
    <w:rsid w:val="00EB14B7"/>
    <w:rsid w:val="00F11093"/>
    <w:rsid w:val="00F5317B"/>
    <w:rsid w:val="00FA1FC3"/>
    <w:rsid w:val="00FC5EE4"/>
    <w:rsid w:val="00FE3ACB"/>
    <w:rsid w:val="03811A3F"/>
    <w:rsid w:val="12802863"/>
    <w:rsid w:val="12AA5A6B"/>
    <w:rsid w:val="12DE2523"/>
    <w:rsid w:val="1440605A"/>
    <w:rsid w:val="2028453F"/>
    <w:rsid w:val="24AC5677"/>
    <w:rsid w:val="2B7411C4"/>
    <w:rsid w:val="42991734"/>
    <w:rsid w:val="47190E8B"/>
    <w:rsid w:val="4BF54BAD"/>
    <w:rsid w:val="4F405AC1"/>
    <w:rsid w:val="5D487342"/>
    <w:rsid w:val="5F290648"/>
    <w:rsid w:val="77E36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qFormat/>
    <w:uiPriority w:val="0"/>
    <w:pPr>
      <w:keepNext/>
      <w:keepLines/>
      <w:spacing w:before="260" w:after="260" w:line="415"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2"/>
    <w:semiHidden/>
    <w:unhideWhenUsed/>
    <w:qFormat/>
    <w:uiPriority w:val="99"/>
    <w:pPr>
      <w:jc w:val="left"/>
    </w:pPr>
  </w:style>
  <w:style w:type="paragraph" w:styleId="5">
    <w:name w:val="Plain Text"/>
    <w:basedOn w:val="1"/>
    <w:link w:val="17"/>
    <w:qFormat/>
    <w:uiPriority w:val="99"/>
    <w:rPr>
      <w:rFonts w:ascii="宋体" w:hAnsi="Courier New" w:eastAsiaTheme="minorEastAsia" w:cstheme="minorBidi"/>
      <w:szCs w:val="22"/>
    </w:rPr>
  </w:style>
  <w:style w:type="paragraph" w:styleId="6">
    <w:name w:val="Balloon Text"/>
    <w:basedOn w:val="1"/>
    <w:link w:val="20"/>
    <w:semiHidden/>
    <w:unhideWhenUsed/>
    <w:qFormat/>
    <w:uiPriority w:val="99"/>
    <w:rPr>
      <w:sz w:val="18"/>
      <w:szCs w:val="18"/>
    </w:rPr>
  </w:style>
  <w:style w:type="paragraph" w:styleId="7">
    <w:name w:val="footer"/>
    <w:basedOn w:val="1"/>
    <w:link w:val="19"/>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0">
    <w:name w:val="annotation subject"/>
    <w:basedOn w:val="4"/>
    <w:next w:val="4"/>
    <w:link w:val="23"/>
    <w:semiHidden/>
    <w:unhideWhenUsed/>
    <w:qFormat/>
    <w:uiPriority w:val="99"/>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annotation reference"/>
    <w:basedOn w:val="13"/>
    <w:semiHidden/>
    <w:unhideWhenUsed/>
    <w:qFormat/>
    <w:uiPriority w:val="99"/>
    <w:rPr>
      <w:sz w:val="21"/>
      <w:szCs w:val="21"/>
    </w:rPr>
  </w:style>
  <w:style w:type="character" w:customStyle="1" w:styleId="15">
    <w:name w:val="标题 1 Char"/>
    <w:basedOn w:val="13"/>
    <w:link w:val="2"/>
    <w:qFormat/>
    <w:uiPriority w:val="9"/>
    <w:rPr>
      <w:rFonts w:ascii="Times New Roman" w:hAnsi="Times New Roman" w:eastAsia="宋体" w:cs="Times New Roman"/>
      <w:b/>
      <w:bCs/>
      <w:kern w:val="44"/>
      <w:sz w:val="44"/>
      <w:szCs w:val="44"/>
    </w:rPr>
  </w:style>
  <w:style w:type="character" w:customStyle="1" w:styleId="16">
    <w:name w:val="标题 2 Char"/>
    <w:basedOn w:val="13"/>
    <w:link w:val="3"/>
    <w:qFormat/>
    <w:uiPriority w:val="0"/>
    <w:rPr>
      <w:rFonts w:ascii="Arial" w:hAnsi="Arial" w:eastAsia="黑体" w:cs="Arial"/>
      <w:b/>
      <w:bCs/>
      <w:sz w:val="32"/>
      <w:szCs w:val="32"/>
    </w:rPr>
  </w:style>
  <w:style w:type="character" w:customStyle="1" w:styleId="17">
    <w:name w:val="纯文本 Char"/>
    <w:basedOn w:val="13"/>
    <w:link w:val="5"/>
    <w:qFormat/>
    <w:uiPriority w:val="99"/>
    <w:rPr>
      <w:rFonts w:ascii="宋体" w:hAnsi="Courier New"/>
    </w:rPr>
  </w:style>
  <w:style w:type="character" w:customStyle="1" w:styleId="18">
    <w:name w:val="页眉 Char"/>
    <w:basedOn w:val="13"/>
    <w:link w:val="8"/>
    <w:qFormat/>
    <w:uiPriority w:val="99"/>
    <w:rPr>
      <w:rFonts w:ascii="Times New Roman" w:hAnsi="Times New Roman" w:eastAsia="宋体" w:cs="Times New Roman"/>
      <w:sz w:val="18"/>
      <w:szCs w:val="18"/>
    </w:rPr>
  </w:style>
  <w:style w:type="character" w:customStyle="1" w:styleId="19">
    <w:name w:val="页脚 Char"/>
    <w:basedOn w:val="13"/>
    <w:link w:val="7"/>
    <w:qFormat/>
    <w:uiPriority w:val="99"/>
    <w:rPr>
      <w:rFonts w:ascii="Times New Roman" w:hAnsi="Times New Roman" w:eastAsia="宋体" w:cs="Times New Roman"/>
      <w:sz w:val="18"/>
      <w:szCs w:val="18"/>
    </w:rPr>
  </w:style>
  <w:style w:type="character" w:customStyle="1" w:styleId="20">
    <w:name w:val="批注框文本 Char"/>
    <w:basedOn w:val="13"/>
    <w:link w:val="6"/>
    <w:semiHidden/>
    <w:qFormat/>
    <w:uiPriority w:val="99"/>
    <w:rPr>
      <w:rFonts w:ascii="Times New Roman" w:hAnsi="Times New Roman" w:eastAsia="宋体" w:cs="Times New Roman"/>
      <w:sz w:val="18"/>
      <w:szCs w:val="18"/>
    </w:rPr>
  </w:style>
  <w:style w:type="character" w:customStyle="1" w:styleId="21">
    <w:name w:val="纯文本 Char1"/>
    <w:qFormat/>
    <w:locked/>
    <w:uiPriority w:val="99"/>
    <w:rPr>
      <w:rFonts w:ascii="宋体" w:hAnsi="Courier New"/>
      <w:kern w:val="2"/>
      <w:sz w:val="21"/>
    </w:rPr>
  </w:style>
  <w:style w:type="character" w:customStyle="1" w:styleId="22">
    <w:name w:val="批注文字 Char"/>
    <w:basedOn w:val="13"/>
    <w:link w:val="4"/>
    <w:semiHidden/>
    <w:qFormat/>
    <w:uiPriority w:val="99"/>
    <w:rPr>
      <w:rFonts w:ascii="Times New Roman" w:hAnsi="Times New Roman" w:eastAsia="宋体" w:cs="Times New Roman"/>
      <w:szCs w:val="21"/>
    </w:rPr>
  </w:style>
  <w:style w:type="character" w:customStyle="1" w:styleId="23">
    <w:name w:val="批注主题 Char"/>
    <w:basedOn w:val="22"/>
    <w:link w:val="10"/>
    <w:semiHidden/>
    <w:qFormat/>
    <w:uiPriority w:val="99"/>
    <w:rPr>
      <w:rFonts w:ascii="Times New Roman" w:hAnsi="Times New Roman" w:eastAsia="宋体" w:cs="Times New Roman"/>
      <w:b/>
      <w:bCs/>
      <w:szCs w:val="21"/>
    </w:rPr>
  </w:style>
  <w:style w:type="paragraph" w:customStyle="1" w:styleId="24">
    <w:name w:val="_Style 43"/>
    <w:basedOn w:val="1"/>
    <w:next w:val="25"/>
    <w:qFormat/>
    <w:uiPriority w:val="99"/>
    <w:pPr>
      <w:ind w:firstLine="420" w:firstLineChars="200"/>
    </w:pPr>
    <w:rPr>
      <w:szCs w:val="24"/>
    </w:rPr>
  </w:style>
  <w:style w:type="paragraph" w:styleId="2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E587C-6FC4-424C-B185-E7F27CC442E5}">
  <ds:schemaRefs/>
</ds:datastoreItem>
</file>

<file path=docProps/app.xml><?xml version="1.0" encoding="utf-8"?>
<Properties xmlns="http://schemas.openxmlformats.org/officeDocument/2006/extended-properties" xmlns:vt="http://schemas.openxmlformats.org/officeDocument/2006/docPropsVTypes">
  <Template>Normal</Template>
  <Pages>4</Pages>
  <Words>846</Words>
  <Characters>1134</Characters>
  <Lines>5</Lines>
  <Paragraphs>1</Paragraphs>
  <TotalTime>16</TotalTime>
  <ScaleCrop>false</ScaleCrop>
  <LinksUpToDate>false</LinksUpToDate>
  <CharactersWithSpaces>1158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2020-05-13T09:20:00Z</dcterms:created>
  <dc:creator>Windows 用户</dc:creator>
  <cp:lastModifiedBy>孙萌</cp:lastModifiedBy>
  <cp:lastPrinted>2024-03-11T08:43:00Z</cp:lastPrinted>
  <dcterms:modified xsi:type="dcterms:W3CDTF">2025-03-13T07:20:49Z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01EDF734B6EF4BC5A9CC41D1CF8F72FB_13</vt:lpwstr>
  </property>
  <property fmtid="{D5CDD505-2E9C-101B-9397-08002B2CF9AE}" pid="4" name="KSOTemplateDocerSaveRecord">
    <vt:lpwstr>eyJoZGlkIjoiZjFmZWIzNDg2MmIzZjExOTIzMmViNTBmYTMwYTk0ZWYiLCJ1c2VySWQiOiIzODU0OTM4MDEifQ==</vt:lpwstr>
  </property>
</Properties>
</file>