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6922FE">
      <w:pPr>
        <w:keepNext w:val="0"/>
        <w:keepLines w:val="0"/>
        <w:pageBreakBefore w:val="0"/>
        <w:tabs>
          <w:tab w:val="left" w:pos="0"/>
        </w:tabs>
        <w:kinsoku/>
        <w:overflowPunct/>
        <w:topLinePunct w:val="0"/>
        <w:autoSpaceDE w:val="0"/>
        <w:autoSpaceDN w:val="0"/>
        <w:bidi w:val="0"/>
        <w:adjustRightInd w:val="0"/>
        <w:snapToGrid/>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35393809"/>
      <w:bookmarkStart w:id="1" w:name="_Toc28359022"/>
      <w:r>
        <w:rPr>
          <w:rFonts w:hint="eastAsia" w:ascii="Times New Roman" w:hAnsi="Times New Roman" w:eastAsia="宋体" w:cs="Times New Roman"/>
          <w:b/>
          <w:bCs/>
          <w:sz w:val="28"/>
          <w:szCs w:val="28"/>
          <w:lang w:eastAsia="zh-CN"/>
        </w:rPr>
        <w:t>民政绩效管理服务（第1、2包）</w:t>
      </w:r>
      <w:r>
        <w:rPr>
          <w:rFonts w:hint="default" w:ascii="Times New Roman" w:hAnsi="Times New Roman" w:eastAsia="宋体" w:cs="Times New Roman"/>
          <w:b/>
          <w:bCs/>
          <w:sz w:val="28"/>
          <w:szCs w:val="28"/>
        </w:rPr>
        <w:t>成交</w:t>
      </w:r>
      <w:r>
        <w:rPr>
          <w:rFonts w:hint="eastAsia" w:ascii="Times New Roman" w:hAnsi="Times New Roman" w:eastAsia="宋体" w:cs="Times New Roman"/>
          <w:b/>
          <w:bCs/>
          <w:sz w:val="28"/>
          <w:szCs w:val="28"/>
          <w:lang w:val="en-US" w:eastAsia="zh-CN"/>
        </w:rPr>
        <w:t>公</w:t>
      </w:r>
      <w:r>
        <w:rPr>
          <w:rFonts w:hint="default" w:ascii="Times New Roman" w:hAnsi="Times New Roman" w:eastAsia="宋体" w:cs="Times New Roman"/>
          <w:b/>
          <w:bCs/>
          <w:sz w:val="28"/>
          <w:szCs w:val="28"/>
        </w:rPr>
        <w:t>告</w:t>
      </w:r>
      <w:bookmarkEnd w:id="0"/>
      <w:bookmarkEnd w:id="1"/>
    </w:p>
    <w:p w14:paraId="31C11FB9">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一、项目编号：BJJQ-2025-291-</w:t>
      </w:r>
      <w:r>
        <w:rPr>
          <w:rFonts w:hint="eastAsia" w:ascii="Times New Roman" w:hAnsi="Times New Roman" w:eastAsia="宋体" w:cs="Times New Roman"/>
          <w:sz w:val="24"/>
          <w:szCs w:val="24"/>
          <w:lang w:val="en-US" w:eastAsia="zh-CN"/>
        </w:rPr>
        <w:t>01、</w:t>
      </w:r>
      <w:r>
        <w:rPr>
          <w:rFonts w:hint="default" w:ascii="Times New Roman" w:hAnsi="Times New Roman" w:eastAsia="宋体" w:cs="Times New Roman"/>
          <w:sz w:val="24"/>
          <w:szCs w:val="24"/>
        </w:rPr>
        <w:t>02</w:t>
      </w:r>
    </w:p>
    <w:p w14:paraId="73241E6F">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二、项目名称：</w:t>
      </w:r>
      <w:r>
        <w:rPr>
          <w:rFonts w:hint="eastAsia" w:ascii="Times New Roman" w:hAnsi="Times New Roman" w:eastAsia="宋体" w:cs="Times New Roman"/>
          <w:sz w:val="24"/>
          <w:szCs w:val="24"/>
          <w:lang w:eastAsia="zh-CN"/>
        </w:rPr>
        <w:t>民政绩效管理服务（第1、2包）</w:t>
      </w:r>
    </w:p>
    <w:p w14:paraId="5B5E4915">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三、成交信息</w:t>
      </w:r>
    </w:p>
    <w:tbl>
      <w:tblPr>
        <w:tblStyle w:val="12"/>
        <w:tblW w:w="51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2205"/>
        <w:gridCol w:w="1284"/>
        <w:gridCol w:w="3351"/>
        <w:gridCol w:w="1917"/>
        <w:gridCol w:w="888"/>
      </w:tblGrid>
      <w:tr w14:paraId="1AA4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0" w:type="pct"/>
            <w:vAlign w:val="center"/>
          </w:tcPr>
          <w:p w14:paraId="5500D82C">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包号</w:t>
            </w:r>
          </w:p>
        </w:tc>
        <w:tc>
          <w:tcPr>
            <w:tcW w:w="1069" w:type="pct"/>
            <w:vAlign w:val="center"/>
          </w:tcPr>
          <w:p w14:paraId="18C3CB8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供应商名称</w:t>
            </w:r>
          </w:p>
        </w:tc>
        <w:tc>
          <w:tcPr>
            <w:tcW w:w="622" w:type="pct"/>
            <w:vAlign w:val="center"/>
          </w:tcPr>
          <w:p w14:paraId="4239061F">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统一社会</w:t>
            </w:r>
          </w:p>
          <w:p w14:paraId="767E956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信用代码</w:t>
            </w:r>
          </w:p>
        </w:tc>
        <w:tc>
          <w:tcPr>
            <w:tcW w:w="1625" w:type="pct"/>
            <w:vAlign w:val="center"/>
          </w:tcPr>
          <w:p w14:paraId="6AABE42E">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地址</w:t>
            </w:r>
          </w:p>
        </w:tc>
        <w:tc>
          <w:tcPr>
            <w:tcW w:w="930" w:type="pct"/>
            <w:vAlign w:val="center"/>
          </w:tcPr>
          <w:p w14:paraId="551D8B9F">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成交金额</w:t>
            </w:r>
          </w:p>
        </w:tc>
        <w:tc>
          <w:tcPr>
            <w:tcW w:w="430" w:type="pct"/>
            <w:vAlign w:val="center"/>
          </w:tcPr>
          <w:p w14:paraId="45121EB1">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评审得分</w:t>
            </w:r>
          </w:p>
        </w:tc>
      </w:tr>
      <w:tr w14:paraId="5A3B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320" w:type="pct"/>
            <w:vAlign w:val="center"/>
          </w:tcPr>
          <w:p w14:paraId="115EEA57">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0</w:t>
            </w:r>
            <w:r>
              <w:rPr>
                <w:rFonts w:hint="eastAsia" w:ascii="Times New Roman" w:hAnsi="Times New Roman" w:eastAsia="宋体" w:cs="Times New Roman"/>
                <w:sz w:val="22"/>
                <w:szCs w:val="22"/>
                <w:vertAlign w:val="baseline"/>
                <w:lang w:val="en-US" w:eastAsia="zh-CN"/>
              </w:rPr>
              <w:t>1</w:t>
            </w:r>
          </w:p>
        </w:tc>
        <w:tc>
          <w:tcPr>
            <w:tcW w:w="1069" w:type="pct"/>
            <w:vAlign w:val="center"/>
          </w:tcPr>
          <w:p w14:paraId="3E7A32E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中逸会计师事务所有限公司</w:t>
            </w:r>
          </w:p>
        </w:tc>
        <w:tc>
          <w:tcPr>
            <w:tcW w:w="622" w:type="pct"/>
            <w:vAlign w:val="center"/>
          </w:tcPr>
          <w:p w14:paraId="7706F540">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91110112101596341P</w:t>
            </w:r>
          </w:p>
        </w:tc>
        <w:tc>
          <w:tcPr>
            <w:tcW w:w="1625" w:type="pct"/>
            <w:vAlign w:val="center"/>
          </w:tcPr>
          <w:p w14:paraId="4E865C11">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北京市西城区西外大街136号2层1-14-2115</w:t>
            </w:r>
          </w:p>
        </w:tc>
        <w:tc>
          <w:tcPr>
            <w:tcW w:w="930" w:type="pct"/>
            <w:vAlign w:val="center"/>
          </w:tcPr>
          <w:p w14:paraId="5104F292">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￥531,000.00</w:t>
            </w:r>
          </w:p>
        </w:tc>
        <w:tc>
          <w:tcPr>
            <w:tcW w:w="430" w:type="pct"/>
            <w:vAlign w:val="center"/>
          </w:tcPr>
          <w:p w14:paraId="048415C7">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i w:val="0"/>
                <w:iCs w:val="0"/>
                <w:color w:val="000000"/>
                <w:kern w:val="0"/>
                <w:sz w:val="22"/>
                <w:szCs w:val="22"/>
                <w:u w:val="none"/>
                <w:lang w:val="en-US" w:eastAsia="zh-CN" w:bidi="ar"/>
              </w:rPr>
              <w:t>95.55</w:t>
            </w:r>
          </w:p>
        </w:tc>
      </w:tr>
      <w:tr w14:paraId="7E9C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320" w:type="pct"/>
            <w:vAlign w:val="center"/>
          </w:tcPr>
          <w:p w14:paraId="35BEE4CC">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eastAsia" w:ascii="Times New Roman" w:hAnsi="Times New Roman" w:eastAsia="宋体" w:cs="Times New Roman"/>
                <w:sz w:val="22"/>
                <w:szCs w:val="22"/>
                <w:vertAlign w:val="baseline"/>
                <w:lang w:val="en-US" w:eastAsia="zh-CN"/>
              </w:rPr>
              <w:t>02</w:t>
            </w:r>
          </w:p>
        </w:tc>
        <w:tc>
          <w:tcPr>
            <w:tcW w:w="1069" w:type="pct"/>
            <w:vAlign w:val="center"/>
          </w:tcPr>
          <w:p w14:paraId="4AA5361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北京中京华建联会计师事务所有限公司</w:t>
            </w:r>
          </w:p>
        </w:tc>
        <w:tc>
          <w:tcPr>
            <w:tcW w:w="622" w:type="pct"/>
            <w:vAlign w:val="center"/>
          </w:tcPr>
          <w:p w14:paraId="262A73A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911101081014462045</w:t>
            </w:r>
          </w:p>
        </w:tc>
        <w:tc>
          <w:tcPr>
            <w:tcW w:w="1625" w:type="pct"/>
            <w:vAlign w:val="center"/>
          </w:tcPr>
          <w:p w14:paraId="49D610E6">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北京市海淀区北三环中路44号52号楼三层310</w:t>
            </w:r>
          </w:p>
        </w:tc>
        <w:tc>
          <w:tcPr>
            <w:tcW w:w="930" w:type="pct"/>
            <w:vAlign w:val="center"/>
          </w:tcPr>
          <w:p w14:paraId="4D3B987B">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￥429,800.00</w:t>
            </w:r>
          </w:p>
        </w:tc>
        <w:tc>
          <w:tcPr>
            <w:tcW w:w="430" w:type="pct"/>
            <w:vAlign w:val="center"/>
          </w:tcPr>
          <w:p w14:paraId="732A539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87.29</w:t>
            </w:r>
          </w:p>
        </w:tc>
      </w:tr>
    </w:tbl>
    <w:p w14:paraId="15B47A26">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1"/>
        <w:tblW w:w="51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5"/>
      </w:tblGrid>
      <w:tr w14:paraId="0E971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54D8FB43">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kern w:val="0"/>
                <w:sz w:val="22"/>
                <w:szCs w:val="22"/>
              </w:rPr>
            </w:pPr>
            <w:r>
              <w:rPr>
                <w:rFonts w:hint="default" w:ascii="Times New Roman" w:hAnsi="Times New Roman" w:eastAsia="宋体" w:cs="Times New Roman"/>
                <w:b/>
                <w:bCs/>
                <w:kern w:val="0"/>
                <w:sz w:val="22"/>
                <w:szCs w:val="22"/>
              </w:rPr>
              <w:t>服务类</w:t>
            </w:r>
          </w:p>
        </w:tc>
      </w:tr>
      <w:tr w14:paraId="5EFF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D1EB6A0">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名称：民政绩效管理服务（第</w:t>
            </w:r>
            <w:r>
              <w:rPr>
                <w:rFonts w:hint="default" w:ascii="Times New Roman" w:hAnsi="Times New Roman" w:eastAsia="宋体" w:cs="Times New Roman"/>
                <w:kern w:val="0"/>
                <w:sz w:val="22"/>
                <w:szCs w:val="22"/>
                <w:lang w:val="en-US" w:eastAsia="zh-CN"/>
              </w:rPr>
              <w:t>1</w:t>
            </w:r>
            <w:r>
              <w:rPr>
                <w:rFonts w:hint="default" w:ascii="Times New Roman" w:hAnsi="Times New Roman" w:eastAsia="宋体" w:cs="Times New Roman"/>
                <w:kern w:val="0"/>
                <w:sz w:val="22"/>
                <w:szCs w:val="22"/>
              </w:rPr>
              <w:t>包）</w:t>
            </w:r>
          </w:p>
          <w:p w14:paraId="33B10721">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lang w:eastAsia="zh-CN"/>
              </w:rPr>
            </w:pPr>
            <w:r>
              <w:rPr>
                <w:rFonts w:hint="default" w:ascii="Times New Roman" w:hAnsi="Times New Roman" w:eastAsia="宋体" w:cs="Times New Roman"/>
                <w:kern w:val="0"/>
                <w:sz w:val="22"/>
                <w:szCs w:val="22"/>
              </w:rPr>
              <w:t>服务范围</w:t>
            </w:r>
            <w:r>
              <w:rPr>
                <w:rFonts w:hint="eastAsia"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服务要求：贯彻落实中央和北京市关于全面实施预算绩效管理的有关要求，为进一步加强局预算绩效管理，提高资金使用效益，探索构建“全方位、全过程、全覆盖、全成本”的预算绩效管理体系，拟委托开展绩效目标审核、重点项目（政策）部门评价、成本绩效分析、部门整体绩效评价等绩效管理事务性工作。</w:t>
            </w:r>
          </w:p>
          <w:p w14:paraId="4B4144E8">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u w:val="single"/>
                <w:lang w:eastAsia="zh-CN"/>
              </w:rPr>
            </w:pPr>
            <w:r>
              <w:rPr>
                <w:rFonts w:hint="default" w:ascii="Times New Roman" w:hAnsi="Times New Roman" w:eastAsia="宋体" w:cs="Times New Roman"/>
                <w:kern w:val="0"/>
                <w:sz w:val="22"/>
                <w:szCs w:val="22"/>
              </w:rPr>
              <w:t>服务时间：自合同生效之日起至2026年</w:t>
            </w:r>
            <w:r>
              <w:rPr>
                <w:rFonts w:hint="default" w:ascii="Times New Roman" w:hAnsi="Times New Roman" w:eastAsia="宋体" w:cs="Times New Roman"/>
                <w:kern w:val="0"/>
                <w:sz w:val="22"/>
                <w:szCs w:val="22"/>
                <w:lang w:val="en-US" w:eastAsia="zh-CN"/>
              </w:rPr>
              <w:t>10</w:t>
            </w:r>
            <w:r>
              <w:rPr>
                <w:rFonts w:hint="default" w:ascii="Times New Roman" w:hAnsi="Times New Roman" w:eastAsia="宋体" w:cs="Times New Roman"/>
                <w:kern w:val="0"/>
                <w:sz w:val="22"/>
                <w:szCs w:val="22"/>
              </w:rPr>
              <w:t>月</w:t>
            </w:r>
            <w:r>
              <w:rPr>
                <w:rFonts w:hint="default" w:ascii="Times New Roman" w:hAnsi="Times New Roman" w:eastAsia="宋体" w:cs="Times New Roman"/>
                <w:kern w:val="0"/>
                <w:sz w:val="22"/>
                <w:szCs w:val="22"/>
                <w:lang w:val="en-US" w:eastAsia="zh-CN"/>
              </w:rPr>
              <w:t>31</w:t>
            </w:r>
            <w:r>
              <w:rPr>
                <w:rFonts w:hint="default" w:ascii="Times New Roman" w:hAnsi="Times New Roman" w:eastAsia="宋体" w:cs="Times New Roman"/>
                <w:kern w:val="0"/>
                <w:sz w:val="22"/>
                <w:szCs w:val="22"/>
              </w:rPr>
              <w:t>日止</w:t>
            </w:r>
            <w:r>
              <w:rPr>
                <w:rFonts w:hint="eastAsia" w:ascii="Times New Roman" w:hAnsi="Times New Roman" w:eastAsia="宋体" w:cs="Times New Roman"/>
                <w:kern w:val="0"/>
                <w:sz w:val="22"/>
                <w:szCs w:val="22"/>
                <w:lang w:eastAsia="zh-CN"/>
              </w:rPr>
              <w:t>。</w:t>
            </w:r>
          </w:p>
          <w:p w14:paraId="6E4B964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服务标准：详见</w:t>
            </w:r>
            <w:r>
              <w:rPr>
                <w:rFonts w:hint="eastAsia" w:ascii="Times New Roman" w:hAnsi="Times New Roman" w:eastAsia="宋体" w:cs="Times New Roman"/>
                <w:kern w:val="0"/>
                <w:sz w:val="22"/>
                <w:szCs w:val="22"/>
                <w:lang w:val="en-US" w:eastAsia="zh-CN"/>
              </w:rPr>
              <w:t>竞争性磋商文件。</w:t>
            </w:r>
          </w:p>
        </w:tc>
      </w:tr>
      <w:tr w14:paraId="2203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6556A6BB">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名称：民政绩效管理服务（第</w:t>
            </w:r>
            <w:r>
              <w:rPr>
                <w:rFonts w:hint="eastAsia" w:ascii="Times New Roman" w:hAnsi="Times New Roman" w:eastAsia="宋体" w:cs="Times New Roman"/>
                <w:kern w:val="0"/>
                <w:sz w:val="22"/>
                <w:szCs w:val="22"/>
                <w:lang w:val="en-US" w:eastAsia="zh-CN"/>
              </w:rPr>
              <w:t>2</w:t>
            </w:r>
            <w:r>
              <w:rPr>
                <w:rFonts w:hint="default" w:ascii="Times New Roman" w:hAnsi="Times New Roman" w:eastAsia="宋体" w:cs="Times New Roman"/>
                <w:kern w:val="0"/>
                <w:sz w:val="22"/>
                <w:szCs w:val="22"/>
              </w:rPr>
              <w:t>包）</w:t>
            </w:r>
          </w:p>
          <w:p w14:paraId="4F64C30E">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lang w:eastAsia="zh-CN"/>
              </w:rPr>
            </w:pPr>
            <w:r>
              <w:rPr>
                <w:rFonts w:hint="default" w:ascii="Times New Roman" w:hAnsi="Times New Roman" w:eastAsia="宋体" w:cs="Times New Roman"/>
                <w:kern w:val="0"/>
                <w:sz w:val="22"/>
                <w:szCs w:val="22"/>
              </w:rPr>
              <w:t>服务范围</w:t>
            </w:r>
            <w:r>
              <w:rPr>
                <w:rFonts w:hint="eastAsia"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服务要求：贯彻落实中央和北京市关于全面实施预算绩效管理的有关要求，为进一步加强局预算绩效管理，提高资金使用效益，探索构建“全方位、全过程、全覆盖、全成本”的预算绩效管理体系，拟委托开展中央转移支付资金绩效自评结果复核及重点绩效评价、市对区转移支付资金绩效自评结果复核及重点绩效评价等绩效管理事务性工作。</w:t>
            </w:r>
          </w:p>
          <w:p w14:paraId="5F43FB0F">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u w:val="single"/>
                <w:lang w:eastAsia="zh-CN"/>
              </w:rPr>
            </w:pPr>
            <w:r>
              <w:rPr>
                <w:rFonts w:hint="default" w:ascii="Times New Roman" w:hAnsi="Times New Roman" w:eastAsia="宋体" w:cs="Times New Roman"/>
                <w:kern w:val="0"/>
                <w:sz w:val="22"/>
                <w:szCs w:val="22"/>
              </w:rPr>
              <w:t>服务时间：自合同生效之日起至2026年</w:t>
            </w:r>
            <w:r>
              <w:rPr>
                <w:rFonts w:hint="default" w:ascii="Times New Roman" w:hAnsi="Times New Roman" w:eastAsia="宋体" w:cs="Times New Roman"/>
                <w:kern w:val="0"/>
                <w:sz w:val="22"/>
                <w:szCs w:val="22"/>
                <w:lang w:val="en-US" w:eastAsia="zh-CN"/>
              </w:rPr>
              <w:t>10</w:t>
            </w:r>
            <w:r>
              <w:rPr>
                <w:rFonts w:hint="default" w:ascii="Times New Roman" w:hAnsi="Times New Roman" w:eastAsia="宋体" w:cs="Times New Roman"/>
                <w:kern w:val="0"/>
                <w:sz w:val="22"/>
                <w:szCs w:val="22"/>
              </w:rPr>
              <w:t>月</w:t>
            </w:r>
            <w:r>
              <w:rPr>
                <w:rFonts w:hint="default" w:ascii="Times New Roman" w:hAnsi="Times New Roman" w:eastAsia="宋体" w:cs="Times New Roman"/>
                <w:kern w:val="0"/>
                <w:sz w:val="22"/>
                <w:szCs w:val="22"/>
                <w:lang w:val="en-US" w:eastAsia="zh-CN"/>
              </w:rPr>
              <w:t>31</w:t>
            </w:r>
            <w:r>
              <w:rPr>
                <w:rFonts w:hint="default" w:ascii="Times New Roman" w:hAnsi="Times New Roman" w:eastAsia="宋体" w:cs="Times New Roman"/>
                <w:kern w:val="0"/>
                <w:sz w:val="22"/>
                <w:szCs w:val="22"/>
              </w:rPr>
              <w:t>日止</w:t>
            </w:r>
            <w:r>
              <w:rPr>
                <w:rFonts w:hint="eastAsia" w:ascii="Times New Roman" w:hAnsi="Times New Roman" w:eastAsia="宋体" w:cs="Times New Roman"/>
                <w:kern w:val="0"/>
                <w:sz w:val="22"/>
                <w:szCs w:val="22"/>
                <w:lang w:eastAsia="zh-CN"/>
              </w:rPr>
              <w:t>。</w:t>
            </w:r>
          </w:p>
          <w:p w14:paraId="4A06B43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服务标准：详见</w:t>
            </w:r>
            <w:r>
              <w:rPr>
                <w:rFonts w:hint="eastAsia" w:ascii="Times New Roman" w:hAnsi="Times New Roman" w:eastAsia="宋体" w:cs="Times New Roman"/>
                <w:kern w:val="0"/>
                <w:sz w:val="22"/>
                <w:szCs w:val="22"/>
                <w:lang w:val="en-US" w:eastAsia="zh-CN"/>
              </w:rPr>
              <w:t>竞争性磋商文件。</w:t>
            </w:r>
          </w:p>
        </w:tc>
      </w:tr>
    </w:tbl>
    <w:p w14:paraId="217C33AD">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五、评审专家名单：王红梅</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顾俊凤</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严利华。</w:t>
      </w:r>
    </w:p>
    <w:p w14:paraId="202806D1">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六、代理服务收费标准及金</w:t>
      </w:r>
      <w:r>
        <w:rPr>
          <w:rFonts w:hint="default" w:ascii="Times New Roman" w:hAnsi="Times New Roman" w:eastAsia="宋体" w:cs="Times New Roman"/>
          <w:sz w:val="24"/>
          <w:szCs w:val="24"/>
          <w:highlight w:val="none"/>
        </w:rPr>
        <w:t>额</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合计1.5291万元（第1包：0.7989万元，第2包：0.7302万元）</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sz w:val="24"/>
          <w:szCs w:val="24"/>
          <w:highlight w:val="none"/>
        </w:rPr>
        <w:t>收费标准详见</w:t>
      </w:r>
      <w:r>
        <w:rPr>
          <w:rFonts w:hint="eastAsia" w:ascii="Times New Roman" w:hAnsi="Times New Roman" w:eastAsia="宋体" w:cs="Times New Roman"/>
          <w:sz w:val="24"/>
          <w:szCs w:val="24"/>
          <w:highlight w:val="none"/>
          <w:lang w:val="en-US" w:eastAsia="zh-CN"/>
        </w:rPr>
        <w:t>竞争性</w:t>
      </w:r>
      <w:r>
        <w:rPr>
          <w:rFonts w:hint="default" w:ascii="Times New Roman" w:hAnsi="Times New Roman" w:eastAsia="宋体" w:cs="Times New Roman"/>
          <w:sz w:val="24"/>
          <w:szCs w:val="24"/>
          <w:highlight w:val="none"/>
        </w:rPr>
        <w:t>磋商文件。</w:t>
      </w:r>
    </w:p>
    <w:p w14:paraId="1E374D93">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七、公告期限</w:t>
      </w:r>
    </w:p>
    <w:p w14:paraId="0C43FBC6">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3F91BD34">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44A3C732">
      <w:pPr>
        <w:keepNext w:val="0"/>
        <w:keepLines w:val="0"/>
        <w:pageBreakBefore w:val="0"/>
        <w:kinsoku/>
        <w:wordWrap w:val="0"/>
        <w:overflowPunct/>
        <w:topLinePunct w:val="0"/>
        <w:bidi w:val="0"/>
        <w:snapToGrid/>
        <w:spacing w:beforeAutospacing="0" w:afterAutospacing="0" w:line="360" w:lineRule="auto"/>
        <w:ind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8.1本公告同时在中国政府采购网（http://www.ccgp.gov.cn）、北京市政府采购网（http://www.ccgp-beijing.gov.cn/）</w:t>
      </w:r>
      <w:r>
        <w:rPr>
          <w:rFonts w:hint="eastAsia" w:ascii="Times New Roman" w:hAnsi="Times New Roman" w:eastAsia="宋体" w:cs="Times New Roman"/>
          <w:sz w:val="24"/>
          <w:szCs w:val="24"/>
          <w:lang w:val="en-US" w:eastAsia="zh-CN"/>
        </w:rPr>
        <w:t>发布</w:t>
      </w:r>
      <w:r>
        <w:rPr>
          <w:rFonts w:hint="default" w:ascii="Times New Roman" w:hAnsi="Times New Roman" w:eastAsia="宋体" w:cs="Times New Roman"/>
          <w:sz w:val="24"/>
          <w:szCs w:val="24"/>
        </w:rPr>
        <w:t>。</w:t>
      </w:r>
      <w:bookmarkStart w:id="2" w:name="_GoBack"/>
      <w:bookmarkEnd w:id="2"/>
    </w:p>
    <w:p w14:paraId="62C8661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8.2采购代理机构项目编号：BJJQ-2025-291-</w:t>
      </w:r>
      <w:r>
        <w:rPr>
          <w:rFonts w:hint="eastAsia" w:ascii="Times New Roman" w:hAnsi="Times New Roman" w:eastAsia="宋体" w:cs="Times New Roman"/>
          <w:sz w:val="24"/>
          <w:szCs w:val="24"/>
          <w:lang w:val="en-US" w:eastAsia="zh-CN"/>
        </w:rPr>
        <w:t>01、</w:t>
      </w:r>
      <w:r>
        <w:rPr>
          <w:rFonts w:hint="default" w:ascii="Times New Roman" w:hAnsi="Times New Roman" w:eastAsia="宋体" w:cs="Times New Roman"/>
          <w:sz w:val="24"/>
          <w:szCs w:val="24"/>
        </w:rPr>
        <w:t>02</w:t>
      </w:r>
    </w:p>
    <w:p w14:paraId="0BA2E285">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2B496CAF">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1.采购人信息</w:t>
      </w:r>
    </w:p>
    <w:p w14:paraId="3FABC5A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称：北京市民政局</w:t>
      </w:r>
    </w:p>
    <w:p w14:paraId="307DCA1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址：北京市通州区留庄路4号</w:t>
      </w:r>
    </w:p>
    <w:p w14:paraId="734A98EF">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 xml:space="preserve">联系方式：010-55522278 </w:t>
      </w:r>
    </w:p>
    <w:p w14:paraId="292BC170">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2.采购代理机构信息</w:t>
      </w:r>
    </w:p>
    <w:p w14:paraId="043B13F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称：北京汇诚金桥国际招标咨询有限公司</w:t>
      </w:r>
    </w:p>
    <w:p w14:paraId="123A4AB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址：北京市东城区朝内大街南竹杆胡同6号北京INN3号楼9层</w:t>
      </w:r>
    </w:p>
    <w:p w14:paraId="45BC2D0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联系方式：贾洋、王秋凌，010-65173825</w:t>
      </w:r>
    </w:p>
    <w:p w14:paraId="4A18068A">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3.项目联系方式</w:t>
      </w:r>
    </w:p>
    <w:p w14:paraId="6DD2F2FB">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项目联系人：</w:t>
      </w:r>
      <w:r>
        <w:rPr>
          <w:rFonts w:hint="eastAsia" w:ascii="Times New Roman" w:hAnsi="Times New Roman" w:eastAsia="宋体" w:cs="Times New Roman"/>
          <w:kern w:val="0"/>
          <w:sz w:val="24"/>
          <w:szCs w:val="24"/>
          <w:lang w:val="en-US" w:eastAsia="zh-CN"/>
        </w:rPr>
        <w:t>贾洋</w:t>
      </w:r>
      <w:r>
        <w:rPr>
          <w:rFonts w:hint="default" w:ascii="Times New Roman" w:hAnsi="Times New Roman" w:eastAsia="宋体" w:cs="Times New Roman"/>
          <w:kern w:val="0"/>
          <w:sz w:val="24"/>
          <w:szCs w:val="24"/>
        </w:rPr>
        <w:t>、王秋凌</w:t>
      </w:r>
    </w:p>
    <w:p w14:paraId="48CC4576">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电      话：010-65173825</w:t>
      </w:r>
    </w:p>
    <w:p w14:paraId="5362EA6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rPr>
        <w:t>十、附件</w:t>
      </w:r>
    </w:p>
    <w:p w14:paraId="6C529D55">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1.采购文件</w:t>
      </w:r>
    </w:p>
    <w:p w14:paraId="6747F80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2.中小企业声明函</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51475"/>
    <w:rsid w:val="00276863"/>
    <w:rsid w:val="002E2237"/>
    <w:rsid w:val="0041710E"/>
    <w:rsid w:val="00422A1B"/>
    <w:rsid w:val="004D1179"/>
    <w:rsid w:val="006608AB"/>
    <w:rsid w:val="00705D10"/>
    <w:rsid w:val="00721F31"/>
    <w:rsid w:val="00765FA9"/>
    <w:rsid w:val="0077059A"/>
    <w:rsid w:val="007F65BC"/>
    <w:rsid w:val="009C2459"/>
    <w:rsid w:val="009E442F"/>
    <w:rsid w:val="00A42D63"/>
    <w:rsid w:val="00A83878"/>
    <w:rsid w:val="00AE5856"/>
    <w:rsid w:val="00AF1351"/>
    <w:rsid w:val="00B33BC6"/>
    <w:rsid w:val="00B469DD"/>
    <w:rsid w:val="00C61709"/>
    <w:rsid w:val="00D62758"/>
    <w:rsid w:val="00DA630C"/>
    <w:rsid w:val="00E36599"/>
    <w:rsid w:val="00FA634B"/>
    <w:rsid w:val="00FE498C"/>
    <w:rsid w:val="01514167"/>
    <w:rsid w:val="01E943A0"/>
    <w:rsid w:val="025A0025"/>
    <w:rsid w:val="02B82105"/>
    <w:rsid w:val="045A77D7"/>
    <w:rsid w:val="046D395F"/>
    <w:rsid w:val="058C5071"/>
    <w:rsid w:val="062C0CFF"/>
    <w:rsid w:val="06C069D5"/>
    <w:rsid w:val="082C3238"/>
    <w:rsid w:val="08DD4F7E"/>
    <w:rsid w:val="09686808"/>
    <w:rsid w:val="098C2D10"/>
    <w:rsid w:val="09F50A27"/>
    <w:rsid w:val="0BE004D6"/>
    <w:rsid w:val="0D230FC8"/>
    <w:rsid w:val="0E611762"/>
    <w:rsid w:val="0EA217C7"/>
    <w:rsid w:val="0F53554E"/>
    <w:rsid w:val="110A4DCF"/>
    <w:rsid w:val="14086F62"/>
    <w:rsid w:val="14261483"/>
    <w:rsid w:val="15FF5C91"/>
    <w:rsid w:val="1610623E"/>
    <w:rsid w:val="165C118C"/>
    <w:rsid w:val="16933BA9"/>
    <w:rsid w:val="1783099B"/>
    <w:rsid w:val="18E2051C"/>
    <w:rsid w:val="1A2E0D57"/>
    <w:rsid w:val="1B9F67E5"/>
    <w:rsid w:val="1BC93F92"/>
    <w:rsid w:val="1DA21F28"/>
    <w:rsid w:val="1E842F20"/>
    <w:rsid w:val="1F196DB1"/>
    <w:rsid w:val="1F2B2044"/>
    <w:rsid w:val="1F3D7BE3"/>
    <w:rsid w:val="1F5D3872"/>
    <w:rsid w:val="20250E4F"/>
    <w:rsid w:val="20753DC1"/>
    <w:rsid w:val="222114DC"/>
    <w:rsid w:val="22ED721C"/>
    <w:rsid w:val="256A441E"/>
    <w:rsid w:val="256E2403"/>
    <w:rsid w:val="25D41F0B"/>
    <w:rsid w:val="271A2658"/>
    <w:rsid w:val="28767174"/>
    <w:rsid w:val="28947EC4"/>
    <w:rsid w:val="29222225"/>
    <w:rsid w:val="2A0B4F4C"/>
    <w:rsid w:val="2AFD7B09"/>
    <w:rsid w:val="2CE658F2"/>
    <w:rsid w:val="2D236933"/>
    <w:rsid w:val="2DFD5625"/>
    <w:rsid w:val="2EBC2204"/>
    <w:rsid w:val="2EEE5D39"/>
    <w:rsid w:val="2F912ACC"/>
    <w:rsid w:val="30955C68"/>
    <w:rsid w:val="3185449F"/>
    <w:rsid w:val="31E67ED6"/>
    <w:rsid w:val="323A4620"/>
    <w:rsid w:val="32C33E29"/>
    <w:rsid w:val="336D09B6"/>
    <w:rsid w:val="336D45D4"/>
    <w:rsid w:val="34FE2F4C"/>
    <w:rsid w:val="35200172"/>
    <w:rsid w:val="35610116"/>
    <w:rsid w:val="35A8384C"/>
    <w:rsid w:val="39123DEA"/>
    <w:rsid w:val="399900AF"/>
    <w:rsid w:val="39B61C3E"/>
    <w:rsid w:val="39FA1197"/>
    <w:rsid w:val="3A4F76E5"/>
    <w:rsid w:val="3A702832"/>
    <w:rsid w:val="3C5E715D"/>
    <w:rsid w:val="3CF53810"/>
    <w:rsid w:val="3EB95566"/>
    <w:rsid w:val="3EF71DB5"/>
    <w:rsid w:val="40DC3479"/>
    <w:rsid w:val="41A421AE"/>
    <w:rsid w:val="41F52311"/>
    <w:rsid w:val="41F60795"/>
    <w:rsid w:val="41FD3881"/>
    <w:rsid w:val="423052E0"/>
    <w:rsid w:val="436332AB"/>
    <w:rsid w:val="43B41225"/>
    <w:rsid w:val="45DE6E06"/>
    <w:rsid w:val="45E57CF9"/>
    <w:rsid w:val="47C3256A"/>
    <w:rsid w:val="491E7057"/>
    <w:rsid w:val="4BA40904"/>
    <w:rsid w:val="4C2537F3"/>
    <w:rsid w:val="4CC55DC1"/>
    <w:rsid w:val="4D1E2254"/>
    <w:rsid w:val="4FE44C13"/>
    <w:rsid w:val="51BF02E3"/>
    <w:rsid w:val="529D410E"/>
    <w:rsid w:val="558772CD"/>
    <w:rsid w:val="55EF77D0"/>
    <w:rsid w:val="56AE3395"/>
    <w:rsid w:val="570C1BF9"/>
    <w:rsid w:val="57830B89"/>
    <w:rsid w:val="584B45E2"/>
    <w:rsid w:val="589D6304"/>
    <w:rsid w:val="5A937A8D"/>
    <w:rsid w:val="5AB171AB"/>
    <w:rsid w:val="5B9F666D"/>
    <w:rsid w:val="5BDD2EE5"/>
    <w:rsid w:val="5D6B74D4"/>
    <w:rsid w:val="5EB629D1"/>
    <w:rsid w:val="5F1A4D0E"/>
    <w:rsid w:val="60177B46"/>
    <w:rsid w:val="60C90799"/>
    <w:rsid w:val="636369CE"/>
    <w:rsid w:val="64732B1B"/>
    <w:rsid w:val="68587AA5"/>
    <w:rsid w:val="68E72104"/>
    <w:rsid w:val="69054339"/>
    <w:rsid w:val="69183C37"/>
    <w:rsid w:val="6A3353BA"/>
    <w:rsid w:val="6ACB3DDC"/>
    <w:rsid w:val="6AEA2D28"/>
    <w:rsid w:val="6BD73442"/>
    <w:rsid w:val="6CC448DE"/>
    <w:rsid w:val="6D011914"/>
    <w:rsid w:val="6DDF5E6C"/>
    <w:rsid w:val="6E4A0A40"/>
    <w:rsid w:val="6E7623D2"/>
    <w:rsid w:val="70744BA6"/>
    <w:rsid w:val="71067B98"/>
    <w:rsid w:val="71272B08"/>
    <w:rsid w:val="717958C4"/>
    <w:rsid w:val="730D3A7C"/>
    <w:rsid w:val="73390E72"/>
    <w:rsid w:val="737C169B"/>
    <w:rsid w:val="74792510"/>
    <w:rsid w:val="754E726F"/>
    <w:rsid w:val="76461B81"/>
    <w:rsid w:val="77737259"/>
    <w:rsid w:val="78846BD7"/>
    <w:rsid w:val="797E553D"/>
    <w:rsid w:val="798927D7"/>
    <w:rsid w:val="79AD70BA"/>
    <w:rsid w:val="7A11742F"/>
    <w:rsid w:val="7B91113D"/>
    <w:rsid w:val="7DBF4FA6"/>
    <w:rsid w:val="7FA46D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6"/>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17"/>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9"/>
    <w:autoRedefine/>
    <w:semiHidden/>
    <w:qFormat/>
    <w:uiPriority w:val="99"/>
    <w:pPr>
      <w:jc w:val="left"/>
    </w:pPr>
    <w:rPr>
      <w:rFonts w:ascii="Times New Roman" w:hAnsi="Times New Roman" w:eastAsia="宋体"/>
      <w:szCs w:val="24"/>
    </w:rPr>
  </w:style>
  <w:style w:type="paragraph" w:styleId="5">
    <w:name w:val="Body Text"/>
    <w:basedOn w:val="1"/>
    <w:next w:val="6"/>
    <w:autoRedefine/>
    <w:qFormat/>
    <w:uiPriority w:val="0"/>
    <w:pPr>
      <w:spacing w:after="120"/>
    </w:pPr>
  </w:style>
  <w:style w:type="paragraph" w:customStyle="1" w:styleId="6">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7">
    <w:name w:val="Plain Text"/>
    <w:basedOn w:val="1"/>
    <w:link w:val="18"/>
    <w:autoRedefine/>
    <w:qFormat/>
    <w:uiPriority w:val="99"/>
    <w:rPr>
      <w:rFonts w:ascii="宋体" w:hAnsi="Courier New"/>
    </w:rPr>
  </w:style>
  <w:style w:type="paragraph" w:styleId="8">
    <w:name w:val="Balloon Text"/>
    <w:basedOn w:val="1"/>
    <w:link w:val="20"/>
    <w:autoRedefine/>
    <w:semiHidden/>
    <w:qFormat/>
    <w:uiPriority w:val="99"/>
    <w:rPr>
      <w:sz w:val="18"/>
      <w:szCs w:val="18"/>
    </w:rPr>
  </w:style>
  <w:style w:type="paragraph" w:styleId="9">
    <w:name w:val="footer"/>
    <w:basedOn w:val="1"/>
    <w:link w:val="22"/>
    <w:autoRedefine/>
    <w:unhideWhenUsed/>
    <w:qFormat/>
    <w:uiPriority w:val="99"/>
    <w:pPr>
      <w:tabs>
        <w:tab w:val="center" w:pos="4153"/>
        <w:tab w:val="right" w:pos="8306"/>
      </w:tabs>
      <w:snapToGrid w:val="0"/>
      <w:jc w:val="left"/>
    </w:pPr>
    <w:rPr>
      <w:sz w:val="18"/>
      <w:szCs w:val="18"/>
    </w:rPr>
  </w:style>
  <w:style w:type="paragraph" w:styleId="10">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autoRedefine/>
    <w:semiHidden/>
    <w:qFormat/>
    <w:uiPriority w:val="99"/>
    <w:rPr>
      <w:rFonts w:cs="Times New Roman"/>
      <w:sz w:val="21"/>
      <w:szCs w:val="21"/>
    </w:rPr>
  </w:style>
  <w:style w:type="paragraph" w:customStyle="1" w:styleId="15">
    <w:name w:val="正文文本1"/>
    <w:basedOn w:val="1"/>
    <w:autoRedefine/>
    <w:qFormat/>
    <w:uiPriority w:val="0"/>
    <w:pPr>
      <w:widowControl/>
      <w:spacing w:line="360" w:lineRule="auto"/>
    </w:pPr>
    <w:rPr>
      <w:color w:val="FF0000"/>
    </w:rPr>
  </w:style>
  <w:style w:type="character" w:customStyle="1" w:styleId="16">
    <w:name w:val="标题 1 字符"/>
    <w:link w:val="2"/>
    <w:autoRedefine/>
    <w:qFormat/>
    <w:locked/>
    <w:uiPriority w:val="99"/>
    <w:rPr>
      <w:rFonts w:ascii="宋体" w:hAnsi="宋体" w:eastAsia="宋体" w:cs="宋体"/>
      <w:b/>
      <w:bCs/>
      <w:kern w:val="36"/>
      <w:sz w:val="48"/>
      <w:szCs w:val="48"/>
    </w:rPr>
  </w:style>
  <w:style w:type="character" w:customStyle="1" w:styleId="17">
    <w:name w:val="标题 2 字符"/>
    <w:link w:val="3"/>
    <w:autoRedefine/>
    <w:qFormat/>
    <w:locked/>
    <w:uiPriority w:val="99"/>
    <w:rPr>
      <w:rFonts w:ascii="宋体" w:hAnsi="宋体" w:eastAsia="宋体" w:cs="宋体"/>
      <w:b/>
      <w:bCs/>
      <w:kern w:val="0"/>
      <w:sz w:val="36"/>
      <w:szCs w:val="36"/>
    </w:rPr>
  </w:style>
  <w:style w:type="character" w:customStyle="1" w:styleId="18">
    <w:name w:val="纯文本 字符"/>
    <w:link w:val="7"/>
    <w:autoRedefine/>
    <w:qFormat/>
    <w:locked/>
    <w:uiPriority w:val="99"/>
    <w:rPr>
      <w:rFonts w:ascii="宋体" w:hAnsi="Courier New" w:cs="Times New Roman"/>
    </w:rPr>
  </w:style>
  <w:style w:type="character" w:customStyle="1" w:styleId="19">
    <w:name w:val="批注文字 字符"/>
    <w:basedOn w:val="13"/>
    <w:link w:val="4"/>
    <w:autoRedefine/>
    <w:semiHidden/>
    <w:qFormat/>
    <w:uiPriority w:val="99"/>
  </w:style>
  <w:style w:type="character" w:customStyle="1" w:styleId="20">
    <w:name w:val="批注框文本 字符"/>
    <w:link w:val="8"/>
    <w:autoRedefine/>
    <w:semiHidden/>
    <w:qFormat/>
    <w:uiPriority w:val="99"/>
    <w:rPr>
      <w:sz w:val="0"/>
      <w:szCs w:val="0"/>
    </w:rPr>
  </w:style>
  <w:style w:type="character" w:customStyle="1" w:styleId="21">
    <w:name w:val="页眉 字符"/>
    <w:link w:val="10"/>
    <w:autoRedefine/>
    <w:qFormat/>
    <w:uiPriority w:val="99"/>
    <w:rPr>
      <w:sz w:val="18"/>
      <w:szCs w:val="18"/>
    </w:rPr>
  </w:style>
  <w:style w:type="character" w:customStyle="1" w:styleId="22">
    <w:name w:val="页脚 字符"/>
    <w:link w:val="9"/>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884</Words>
  <Characters>1113</Characters>
  <Lines>5</Lines>
  <Paragraphs>1</Paragraphs>
  <TotalTime>11</TotalTime>
  <ScaleCrop>false</ScaleCrop>
  <LinksUpToDate>false</LinksUpToDate>
  <CharactersWithSpaces>1137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代理</cp:lastModifiedBy>
  <cp:lastPrinted>2023-03-14T03:02:00Z</cp:lastPrinted>
  <dcterms:modified xsi:type="dcterms:W3CDTF">2025-07-07T06:53:24Z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1ADED94070CE4980A6EB8A5B43913309</vt:lpwstr>
  </property>
  <property fmtid="{D5CDD505-2E9C-101B-9397-08002B2CF9AE}" pid="4" name="KSOTemplateDocerSaveRecord">
    <vt:lpwstr>eyJoZGlkIjoiYjA1OWJjZGVmYWQ0YWI5MDAzMGE3MjY3MDhiZTViMTMiLCJ1c2VySWQiOiI0MTQ1OTQ5MTUifQ==</vt:lpwstr>
  </property>
</Properties>
</file>