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Theme="minorEastAsia" w:hAnsiTheme="minorEastAsia" w:eastAsiaTheme="minorEastAsia" w:cstheme="minorEastAsia"/>
          <w:sz w:val="36"/>
          <w:szCs w:val="36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36"/>
          <w:szCs w:val="36"/>
          <w:highlight w:val="none"/>
          <w:lang w:eastAsia="zh-CN"/>
        </w:rPr>
        <w:t>2024年水质自然资源监测</w:t>
      </w:r>
      <w:r>
        <w:rPr>
          <w:rFonts w:hint="eastAsia" w:asciiTheme="minorEastAsia" w:hAnsiTheme="minorEastAsia" w:eastAsiaTheme="minorEastAsia" w:cstheme="minorEastAsia"/>
          <w:sz w:val="36"/>
          <w:szCs w:val="36"/>
          <w:highlight w:val="none"/>
        </w:rPr>
        <w:tab/>
      </w:r>
      <w:bookmarkStart w:id="0" w:name="_Toc35393809"/>
      <w:bookmarkStart w:id="1" w:name="_Toc28359022"/>
    </w:p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Theme="minorEastAsia" w:hAnsiTheme="minorEastAsia" w:eastAsiaTheme="minorEastAsia" w:cstheme="minorEastAsia"/>
          <w:sz w:val="36"/>
          <w:szCs w:val="36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36"/>
          <w:szCs w:val="36"/>
          <w:highlight w:val="none"/>
        </w:rPr>
        <w:t>中标结果公告</w:t>
      </w:r>
      <w:bookmarkEnd w:id="0"/>
      <w:bookmarkEnd w:id="1"/>
    </w:p>
    <w:p>
      <w:pPr>
        <w:numPr>
          <w:ilvl w:val="0"/>
          <w:numId w:val="3"/>
        </w:numP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项目编号：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  <w:t>11011624210200008237-XM001</w:t>
      </w: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二、项目名称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  <w:t>2024年水质自然资源监测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三、中标（成交）信息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供应商名称：</w:t>
      </w:r>
      <w:r>
        <w:rPr>
          <w:rFonts w:hint="eastAsia" w:ascii="宋体" w:hAnsi="宋体"/>
          <w:b w:val="0"/>
          <w:bCs w:val="0"/>
          <w:sz w:val="28"/>
          <w:szCs w:val="28"/>
          <w:highlight w:val="none"/>
        </w:rPr>
        <w:t>北京中科惠盈检测技术服务有限公司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供应商地址：北京市怀柔区雁栖经济开发区雁栖路2号1幢等3幢</w:t>
      </w:r>
      <w:bookmarkStart w:id="14" w:name="_GoBack"/>
      <w:bookmarkEnd w:id="14"/>
    </w:p>
    <w:p>
      <w:pPr>
        <w:ind w:firstLine="560" w:firstLineChars="200"/>
        <w:rPr>
          <w:rFonts w:hint="eastAsia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中标金额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4084900.00元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四、主要标的信息</w:t>
      </w:r>
    </w:p>
    <w:tbl>
      <w:tblPr>
        <w:tblStyle w:val="19"/>
        <w:tblW w:w="96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1" w:hRule="atLeast"/>
        </w:trPr>
        <w:tc>
          <w:tcPr>
            <w:tcW w:w="9640" w:type="dxa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/>
                <w:bCs/>
                <w:kern w:val="0"/>
                <w:sz w:val="28"/>
                <w:szCs w:val="28"/>
                <w:highlight w:val="none"/>
                <w:lang w:val="en-US" w:eastAsia="zh-CN"/>
              </w:rPr>
              <w:t>名称</w:t>
            </w:r>
            <w:r>
              <w:rPr>
                <w:rFonts w:hint="default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：</w:t>
            </w: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lang w:eastAsia="zh-CN"/>
              </w:rPr>
              <w:t>2024年水质自然资源监测</w:t>
            </w:r>
          </w:p>
          <w:p>
            <w:pPr>
              <w:widowControl/>
              <w:spacing w:line="560" w:lineRule="exact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default" w:asciiTheme="minorEastAsia" w:hAnsiTheme="minorEastAsia" w:eastAsiaTheme="minorEastAsia" w:cstheme="minorEastAsia"/>
                <w:b/>
                <w:bCs/>
                <w:kern w:val="0"/>
                <w:sz w:val="28"/>
                <w:szCs w:val="28"/>
                <w:highlight w:val="none"/>
                <w:lang w:val="en-US" w:eastAsia="zh-CN"/>
              </w:rPr>
              <w:t>服务范围</w:t>
            </w:r>
            <w:r>
              <w:rPr>
                <w:rFonts w:hint="default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：落实2016年国家审计署对我区进行自然资源和资产督查审计（对水环境监管能力不足）整改事项：需对我区境内63个河流点位、17座水库、9个地表饮用水水源地、62个集中式地下饮用水水源地水质进行监测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。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/>
                <w:bCs/>
                <w:kern w:val="0"/>
                <w:sz w:val="28"/>
                <w:szCs w:val="28"/>
                <w:highlight w:val="none"/>
                <w:lang w:val="en-US" w:eastAsia="zh-CN"/>
              </w:rPr>
              <w:t>服务要求</w:t>
            </w:r>
            <w:r>
              <w:rPr>
                <w:rFonts w:hint="default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：按照《节能产品政府采购实施意见》政府采购属于节能清单中产品时，在技术、服务等指标同等条件下，应当优先采购节能清单所列的节能产品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。</w:t>
            </w:r>
          </w:p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/>
                <w:bCs/>
                <w:kern w:val="0"/>
                <w:sz w:val="28"/>
                <w:szCs w:val="28"/>
                <w:highlight w:val="none"/>
                <w:lang w:val="en-US" w:eastAsia="zh-CN"/>
              </w:rPr>
              <w:t>服务时间</w:t>
            </w:r>
            <w:r>
              <w:rPr>
                <w:rFonts w:hint="default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自合同签订起至2025年12月底前完成。</w:t>
            </w:r>
          </w:p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/>
                <w:bCs/>
                <w:kern w:val="0"/>
                <w:sz w:val="28"/>
                <w:szCs w:val="28"/>
                <w:highlight w:val="none"/>
                <w:lang w:val="en-US" w:eastAsia="zh-CN"/>
              </w:rPr>
              <w:t>服务标准</w:t>
            </w:r>
            <w:r>
              <w:rPr>
                <w:rFonts w:hint="default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合格</w:t>
            </w:r>
          </w:p>
        </w:tc>
      </w:tr>
    </w:tbl>
    <w:p>
      <w:pPr>
        <w:numPr>
          <w:ilvl w:val="0"/>
          <w:numId w:val="4"/>
        </w:numPr>
        <w:rPr>
          <w:rFonts w:hint="eastAsia" w:ascii="宋体" w:hAnsi="宋体" w:cs="Times New Roman"/>
          <w:b/>
          <w:bCs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评审专家名单：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 w:eastAsia="zh-CN"/>
        </w:rPr>
        <w:t>刘霞、郑艳春、田小甫、刘玉忠、周毅</w:t>
      </w:r>
      <w:r>
        <w:rPr>
          <w:rFonts w:hint="eastAsia" w:ascii="宋体" w:hAnsi="宋体" w:cs="Times New Roman"/>
          <w:b/>
          <w:bCs/>
          <w:kern w:val="2"/>
          <w:sz w:val="28"/>
          <w:szCs w:val="28"/>
          <w:highlight w:val="none"/>
          <w:lang w:val="en-US" w:eastAsia="zh-CN" w:bidi="ar-SA"/>
        </w:rPr>
        <w:t>。</w:t>
      </w: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六、代理服务收费标准及金额：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代理服务费收取标准：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按照招标文件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规定执行。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代理服务费收费金额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39679.00元。</w:t>
      </w:r>
    </w:p>
    <w:p>
      <w:pPr>
        <w:pStyle w:val="16"/>
        <w:tabs>
          <w:tab w:val="left" w:pos="567"/>
        </w:tabs>
        <w:ind w:left="0" w:leftChars="0" w:firstLine="0" w:firstLineChars="0"/>
        <w:rPr>
          <w:rFonts w:hint="eastAsia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七、公告期限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kern w:val="0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highlight w:val="none"/>
        </w:rPr>
        <w:t>自本公告发布之日起1个工作日。</w:t>
      </w:r>
    </w:p>
    <w:p>
      <w:pPr>
        <w:numPr>
          <w:ilvl w:val="0"/>
          <w:numId w:val="5"/>
        </w:num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其他补充事宜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highlight w:val="none"/>
          <w:lang w:val="en-US" w:eastAsia="zh-CN"/>
        </w:rPr>
        <w:t>按照财办库〔2023〕243号《关于进一步提高政府采购透明度和采购效率相关事项的通知》文件要求，现公示中标供应商评审得分。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highlight w:val="none"/>
          <w:lang w:val="en-US" w:eastAsia="zh-CN"/>
        </w:rPr>
        <w:t>中标供应商：北京中科惠盈检测技术服务有限公司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highlight w:val="none"/>
          <w:lang w:val="en-US" w:eastAsia="zh-CN"/>
        </w:rPr>
        <w:t>中标供应商评审得分： 91.60分</w:t>
      </w:r>
    </w:p>
    <w:p>
      <w:pPr>
        <w:rPr>
          <w:rFonts w:hint="eastAsia" w:asciiTheme="minorEastAsia" w:hAnsiTheme="minorEastAsia" w:eastAsiaTheme="minorEastAsia" w:cstheme="minorEastAsia"/>
          <w:b/>
          <w:bCs/>
          <w:kern w:val="0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8"/>
          <w:szCs w:val="28"/>
          <w:highlight w:val="none"/>
        </w:rPr>
        <w:t>九、凡对本次公告内容提出询问，请按以下方式联系。</w:t>
      </w:r>
    </w:p>
    <w:p>
      <w:pPr>
        <w:pStyle w:val="3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Chars="200"/>
        <w:textAlignment w:val="auto"/>
        <w:rPr>
          <w:rFonts w:hint="eastAsia" w:asciiTheme="minorEastAsia" w:hAnsiTheme="minorEastAsia" w:eastAsiaTheme="minorEastAsia" w:cstheme="minorEastAsia"/>
          <w:b w:val="0"/>
          <w:sz w:val="28"/>
          <w:szCs w:val="28"/>
          <w:highlight w:val="none"/>
        </w:rPr>
      </w:pPr>
      <w:bookmarkStart w:id="2" w:name="_Toc35393641"/>
      <w:bookmarkStart w:id="3" w:name="_Toc35393810"/>
      <w:bookmarkStart w:id="4" w:name="_Toc28359023"/>
      <w:bookmarkStart w:id="5" w:name="_Toc28359100"/>
      <w:r>
        <w:rPr>
          <w:rFonts w:hint="eastAsia" w:asciiTheme="minorEastAsia" w:hAnsiTheme="minorEastAsia" w:eastAsiaTheme="minorEastAsia" w:cstheme="minorEastAsia"/>
          <w:b w:val="0"/>
          <w:sz w:val="28"/>
          <w:szCs w:val="28"/>
          <w:highlight w:val="none"/>
        </w:rPr>
        <w:t>1.采购人信息</w:t>
      </w:r>
      <w:bookmarkEnd w:id="2"/>
      <w:bookmarkEnd w:id="3"/>
      <w:bookmarkEnd w:id="4"/>
      <w:bookmarkEnd w:id="5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名    称：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  <w:lang w:eastAsia="zh-CN"/>
        </w:rPr>
        <w:t>北京市怀柔区生态环境局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地    址：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  <w:t>北京市怀柔区北大街49号</w:t>
      </w:r>
    </w:p>
    <w:p>
      <w:pPr>
        <w:pStyle w:val="3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Chars="200" w:firstLine="280" w:firstLineChars="1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联系方式：</w:t>
      </w:r>
      <w:bookmarkStart w:id="6" w:name="_Toc28359024"/>
      <w:bookmarkStart w:id="7" w:name="_Toc35393811"/>
      <w:bookmarkStart w:id="8" w:name="_Toc28359101"/>
      <w:bookmarkStart w:id="9" w:name="_Toc35393642"/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  <w:lang w:val="en-US" w:eastAsia="zh-CN"/>
        </w:rPr>
        <w:t>赵先生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  <w:tab/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  <w:t>010-89683114</w:t>
      </w:r>
    </w:p>
    <w:p>
      <w:pPr>
        <w:pStyle w:val="3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Chars="200"/>
        <w:textAlignment w:val="auto"/>
        <w:rPr>
          <w:rFonts w:hint="eastAsia" w:asciiTheme="minorEastAsia" w:hAnsiTheme="minorEastAsia" w:eastAsiaTheme="minorEastAsia" w:cstheme="minorEastAsia"/>
          <w:b w:val="0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 w:val="0"/>
          <w:sz w:val="28"/>
          <w:szCs w:val="28"/>
          <w:highlight w:val="none"/>
        </w:rPr>
        <w:t>2.采购代理机构信息</w:t>
      </w:r>
      <w:bookmarkEnd w:id="6"/>
      <w:bookmarkEnd w:id="7"/>
      <w:bookmarkEnd w:id="8"/>
      <w:bookmarkEnd w:id="9"/>
    </w:p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83" w:line="189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  <w:u w:val="single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名    称：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  <w:lang w:val="en-US" w:eastAsia="zh-CN"/>
        </w:rPr>
        <w:t>中归咨询管理（北京）有限公司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地　  址：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  <w:t>北京市怀柔区迎宾南路11号五幢二层2213室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default" w:asciiTheme="minorEastAsia" w:hAnsiTheme="minorEastAsia" w:eastAsiaTheme="minorEastAsia" w:cstheme="minorEastAsia"/>
          <w:sz w:val="28"/>
          <w:szCs w:val="28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联系方式：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  <w:t>刘宁、师博科 010-53606938  17310362080</w:t>
      </w:r>
    </w:p>
    <w:p>
      <w:pPr>
        <w:pStyle w:val="3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Chars="200"/>
        <w:textAlignment w:val="auto"/>
        <w:rPr>
          <w:rFonts w:hint="eastAsia" w:asciiTheme="minorEastAsia" w:hAnsiTheme="minorEastAsia" w:eastAsiaTheme="minorEastAsia" w:cstheme="minorEastAsia"/>
          <w:b w:val="0"/>
          <w:sz w:val="28"/>
          <w:szCs w:val="28"/>
          <w:highlight w:val="none"/>
        </w:rPr>
      </w:pPr>
      <w:bookmarkStart w:id="10" w:name="_Toc28359025"/>
      <w:bookmarkStart w:id="11" w:name="_Toc35393812"/>
      <w:bookmarkStart w:id="12" w:name="_Toc35393643"/>
      <w:bookmarkStart w:id="13" w:name="_Toc28359102"/>
      <w:r>
        <w:rPr>
          <w:rFonts w:hint="eastAsia" w:asciiTheme="minorEastAsia" w:hAnsiTheme="minorEastAsia" w:eastAsiaTheme="minorEastAsia" w:cstheme="minorEastAsia"/>
          <w:b w:val="0"/>
          <w:sz w:val="28"/>
          <w:szCs w:val="28"/>
          <w:highlight w:val="none"/>
        </w:rPr>
        <w:t>3.项目联系方式</w:t>
      </w:r>
      <w:bookmarkEnd w:id="10"/>
      <w:bookmarkEnd w:id="11"/>
      <w:bookmarkEnd w:id="12"/>
      <w:bookmarkEnd w:id="13"/>
    </w:p>
    <w:p>
      <w:pPr>
        <w:pStyle w:val="15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kern w:val="2"/>
          <w:sz w:val="28"/>
          <w:szCs w:val="28"/>
          <w:highlight w:val="none"/>
          <w:u w:val="singl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项目联系人：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  <w:t>刘宁、师博科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电　  话：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  <w:t>010-53606938  17310362080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</w:pPr>
    </w:p>
    <w:p>
      <w:pPr>
        <w:rPr>
          <w:rFonts w:hint="eastAsia" w:asciiTheme="minorEastAsia" w:hAnsiTheme="minorEastAsia" w:eastAsiaTheme="minorEastAsia" w:cstheme="minorEastAsia"/>
          <w:highlight w:val="none"/>
        </w:rPr>
      </w:pPr>
    </w:p>
    <w:p/>
    <w:sectPr>
      <w:pgSz w:w="11906" w:h="16838"/>
      <w:pgMar w:top="1417" w:right="1134" w:bottom="141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3964656"/>
    <w:multiLevelType w:val="singleLevel"/>
    <w:tmpl w:val="D396465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D745975E"/>
    <w:multiLevelType w:val="singleLevel"/>
    <w:tmpl w:val="D745975E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2D1A0E9D"/>
    <w:multiLevelType w:val="multilevel"/>
    <w:tmpl w:val="2D1A0E9D"/>
    <w:lvl w:ilvl="0" w:tentative="0">
      <w:start w:val="1"/>
      <w:numFmt w:val="chineseCountingThousand"/>
      <w:pStyle w:val="3"/>
      <w:suff w:val="nothing"/>
      <w:lvlText w:val="%1、"/>
      <w:lvlJc w:val="left"/>
      <w:pPr>
        <w:ind w:left="2730" w:firstLine="0"/>
      </w:pPr>
      <w:rPr>
        <w:rFonts w:hint="eastAsia"/>
      </w:rPr>
    </w:lvl>
    <w:lvl w:ilvl="1" w:tentative="0">
      <w:start w:val="1"/>
      <w:numFmt w:val="chineseCountingThousand"/>
      <w:suff w:val="nothing"/>
      <w:lvlText w:val="（%2） 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suff w:val="nothing"/>
      <w:lvlText w:val="%3."/>
      <w:lvlJc w:val="left"/>
      <w:pPr>
        <w:ind w:left="0" w:firstLine="0"/>
      </w:pPr>
      <w:rPr>
        <w:rFonts w:hint="eastAsia"/>
      </w:rPr>
    </w:lvl>
    <w:lvl w:ilvl="3" w:tentative="0">
      <w:start w:val="1"/>
      <w:numFmt w:val="decimal"/>
      <w:suff w:val="nothing"/>
      <w:lvlText w:val="%3.%4."/>
      <w:lvlJc w:val="left"/>
      <w:pPr>
        <w:ind w:left="560" w:firstLine="0"/>
      </w:pPr>
      <w:rPr>
        <w:rFonts w:hint="eastAsia"/>
      </w:rPr>
    </w:lvl>
    <w:lvl w:ilvl="4" w:tentative="0">
      <w:start w:val="1"/>
      <w:numFmt w:val="decimal"/>
      <w:suff w:val="nothing"/>
      <w:lvlText w:val="%3.%4.%5."/>
      <w:lvlJc w:val="left"/>
      <w:pPr>
        <w:ind w:left="0" w:firstLine="0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3.%4.%5.%6."/>
      <w:lvlJc w:val="left"/>
      <w:pPr>
        <w:ind w:left="0" w:firstLine="0"/>
      </w:pPr>
      <w:rPr>
        <w:rFonts w:hint="eastAsia"/>
      </w:rPr>
    </w:lvl>
    <w:lvl w:ilvl="6" w:tentative="0">
      <w:start w:val="1"/>
      <w:numFmt w:val="decimal"/>
      <w:suff w:val="nothing"/>
      <w:lvlText w:val="%3.%4.%5.%6.%7."/>
      <w:lvlJc w:val="left"/>
      <w:pPr>
        <w:ind w:left="0" w:firstLine="0"/>
      </w:pPr>
      <w:rPr>
        <w:rFonts w:hint="eastAsia"/>
      </w:rPr>
    </w:lvl>
    <w:lvl w:ilvl="7" w:tentative="0">
      <w:start w:val="1"/>
      <w:numFmt w:val="decimal"/>
      <w:suff w:val="nothing"/>
      <w:lvlText w:val="%3.%4.%5.%6.%7.%8."/>
      <w:lvlJc w:val="left"/>
      <w:pPr>
        <w:ind w:left="0" w:firstLine="0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abstractNum w:abstractNumId="3">
    <w:nsid w:val="32970D8C"/>
    <w:multiLevelType w:val="singleLevel"/>
    <w:tmpl w:val="32970D8C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4">
    <w:nsid w:val="60C2B55C"/>
    <w:multiLevelType w:val="multilevel"/>
    <w:tmpl w:val="60C2B55C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suff w:val="nothing"/>
      <w:lvlText w:val="（%2）"/>
      <w:lvlJc w:val="left"/>
      <w:pPr>
        <w:ind w:left="480" w:firstLine="0"/>
      </w:pPr>
      <w:rPr>
        <w:rFonts w:hint="eastAsia"/>
      </w:rPr>
    </w:lvl>
    <w:lvl w:ilvl="2" w:tentative="0">
      <w:start w:val="1"/>
      <w:numFmt w:val="decimal"/>
      <w:suff w:val="nothing"/>
      <w:lvlText w:val="%3．"/>
      <w:lvlJc w:val="left"/>
      <w:pPr>
        <w:ind w:left="-404" w:firstLine="400"/>
      </w:pPr>
      <w:rPr>
        <w:rFonts w:hint="eastAsia"/>
      </w:rPr>
    </w:lvl>
    <w:lvl w:ilvl="3" w:tentative="0">
      <w:start w:val="1"/>
      <w:numFmt w:val="decimal"/>
      <w:suff w:val="nothing"/>
      <w:lvlText w:val="（%4）"/>
      <w:lvlJc w:val="left"/>
      <w:pPr>
        <w:ind w:left="-402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U1NDVjZDE4M2EzNWU1NTIxOGRjNzVlZTNhYjg4ZjkifQ=="/>
  </w:docVars>
  <w:rsids>
    <w:rsidRoot w:val="0BE011EE"/>
    <w:rsid w:val="00D26714"/>
    <w:rsid w:val="01C6187E"/>
    <w:rsid w:val="036C1DC8"/>
    <w:rsid w:val="03F248A9"/>
    <w:rsid w:val="074445CA"/>
    <w:rsid w:val="0A7E10BA"/>
    <w:rsid w:val="0BE011EE"/>
    <w:rsid w:val="0FC65D20"/>
    <w:rsid w:val="10F25EEC"/>
    <w:rsid w:val="16AE3128"/>
    <w:rsid w:val="197D2182"/>
    <w:rsid w:val="1A8E30F1"/>
    <w:rsid w:val="1CA80285"/>
    <w:rsid w:val="1F924B1E"/>
    <w:rsid w:val="20080171"/>
    <w:rsid w:val="21DE22F4"/>
    <w:rsid w:val="223905D4"/>
    <w:rsid w:val="22E018B5"/>
    <w:rsid w:val="247C6B44"/>
    <w:rsid w:val="25BC39F6"/>
    <w:rsid w:val="2600781F"/>
    <w:rsid w:val="290964FB"/>
    <w:rsid w:val="2CFC1259"/>
    <w:rsid w:val="2D0D6448"/>
    <w:rsid w:val="2EF20488"/>
    <w:rsid w:val="300855C1"/>
    <w:rsid w:val="326514EF"/>
    <w:rsid w:val="344D09A5"/>
    <w:rsid w:val="39385B4D"/>
    <w:rsid w:val="3E500F31"/>
    <w:rsid w:val="41A31474"/>
    <w:rsid w:val="43725E62"/>
    <w:rsid w:val="4400619E"/>
    <w:rsid w:val="44112D07"/>
    <w:rsid w:val="4A925BAC"/>
    <w:rsid w:val="512335F0"/>
    <w:rsid w:val="52B01D60"/>
    <w:rsid w:val="565C7DFA"/>
    <w:rsid w:val="572D10F7"/>
    <w:rsid w:val="5CA82A6D"/>
    <w:rsid w:val="5CBB16FE"/>
    <w:rsid w:val="5D416890"/>
    <w:rsid w:val="5EBE461E"/>
    <w:rsid w:val="5F24793A"/>
    <w:rsid w:val="621F1484"/>
    <w:rsid w:val="62A212A2"/>
    <w:rsid w:val="642230A6"/>
    <w:rsid w:val="6603271F"/>
    <w:rsid w:val="6ADC0B5D"/>
    <w:rsid w:val="6E732C64"/>
    <w:rsid w:val="6EA2004C"/>
    <w:rsid w:val="74382034"/>
    <w:rsid w:val="751B470E"/>
    <w:rsid w:val="789513B3"/>
    <w:rsid w:val="79C43A55"/>
    <w:rsid w:val="7BC94FC8"/>
    <w:rsid w:val="7E490D14"/>
    <w:rsid w:val="7E973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21"/>
    <w:autoRedefine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Calibri" w:hAnsi="Calibri" w:eastAsia="宋体" w:cs="Times New Roman"/>
      <w:b/>
      <w:kern w:val="44"/>
      <w:sz w:val="22"/>
      <w:szCs w:val="22"/>
      <w:lang w:eastAsia="zh-TW"/>
    </w:rPr>
  </w:style>
  <w:style w:type="paragraph" w:styleId="3">
    <w:name w:val="heading 2"/>
    <w:basedOn w:val="1"/>
    <w:next w:val="1"/>
    <w:link w:val="22"/>
    <w:semiHidden/>
    <w:unhideWhenUsed/>
    <w:qFormat/>
    <w:uiPriority w:val="0"/>
    <w:pPr>
      <w:keepNext/>
      <w:keepLines/>
      <w:numPr>
        <w:ilvl w:val="0"/>
        <w:numId w:val="1"/>
      </w:numPr>
      <w:spacing w:before="260" w:beforeLines="0" w:after="260" w:afterLines="0" w:line="416" w:lineRule="auto"/>
      <w:outlineLvl w:val="1"/>
    </w:pPr>
    <w:rPr>
      <w:rFonts w:ascii="Arial" w:hAnsi="Arial" w:eastAsia="宋体"/>
      <w:sz w:val="30"/>
      <w:szCs w:val="32"/>
    </w:rPr>
  </w:style>
  <w:style w:type="paragraph" w:styleId="4">
    <w:name w:val="heading 3"/>
    <w:basedOn w:val="1"/>
    <w:next w:val="1"/>
    <w:link w:val="23"/>
    <w:semiHidden/>
    <w:unhideWhenUsed/>
    <w:qFormat/>
    <w:uiPriority w:val="0"/>
    <w:pPr>
      <w:keepNext/>
      <w:keepLines/>
      <w:spacing w:before="260" w:after="260" w:line="413" w:lineRule="auto"/>
      <w:outlineLvl w:val="2"/>
    </w:pPr>
    <w:rPr>
      <w:rFonts w:ascii="Times New Roman" w:hAnsi="Times New Roman" w:eastAsia="宋体" w:cs="Times New Roman"/>
      <w:b/>
      <w:sz w:val="28"/>
      <w:szCs w:val="20"/>
    </w:rPr>
  </w:style>
  <w:style w:type="paragraph" w:styleId="5">
    <w:name w:val="heading 4"/>
    <w:basedOn w:val="4"/>
    <w:next w:val="1"/>
    <w:link w:val="24"/>
    <w:semiHidden/>
    <w:unhideWhenUsed/>
    <w:qFormat/>
    <w:uiPriority w:val="0"/>
    <w:pPr>
      <w:ind w:firstLine="402"/>
      <w:jc w:val="left"/>
      <w:outlineLvl w:val="3"/>
    </w:p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2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0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2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2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autoRedefine/>
    <w:semiHidden/>
    <w:unhideWhenUsed/>
    <w:qFormat/>
    <w:uiPriority w:val="0"/>
    <w:pPr>
      <w:keepNext/>
      <w:keepLines/>
      <w:numPr>
        <w:ilvl w:val="8"/>
        <w:numId w:val="2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20">
    <w:name w:val="Default Paragraph Font"/>
    <w:semiHidden/>
    <w:qFormat/>
    <w:uiPriority w:val="0"/>
  </w:style>
  <w:style w:type="table" w:default="1" w:styleId="1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Normal Indent"/>
    <w:basedOn w:val="1"/>
    <w:qFormat/>
    <w:uiPriority w:val="0"/>
    <w:pPr>
      <w:ind w:firstLine="420" w:firstLineChars="200"/>
    </w:pPr>
  </w:style>
  <w:style w:type="paragraph" w:styleId="12">
    <w:name w:val="Body Text"/>
    <w:basedOn w:val="1"/>
    <w:next w:val="1"/>
    <w:autoRedefine/>
    <w:qFormat/>
    <w:uiPriority w:val="0"/>
    <w:pPr>
      <w:spacing w:after="120" w:afterLines="0" w:afterAutospacing="0"/>
    </w:pPr>
  </w:style>
  <w:style w:type="paragraph" w:styleId="13">
    <w:name w:val="Body Text Indent"/>
    <w:basedOn w:val="1"/>
    <w:next w:val="14"/>
    <w:qFormat/>
    <w:uiPriority w:val="0"/>
    <w:pPr>
      <w:spacing w:after="120"/>
      <w:ind w:left="420" w:leftChars="200"/>
      <w:jc w:val="both"/>
    </w:pPr>
    <w:rPr>
      <w:rFonts w:ascii="Times New Roman" w:hAnsi="Times New Roman" w:eastAsia="宋体" w:cs="Times New Roman"/>
      <w:kern w:val="2"/>
      <w:sz w:val="21"/>
      <w:szCs w:val="24"/>
    </w:rPr>
  </w:style>
  <w:style w:type="paragraph" w:styleId="14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15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16">
    <w:name w:val="Body Text First Indent"/>
    <w:basedOn w:val="12"/>
    <w:next w:val="17"/>
    <w:qFormat/>
    <w:uiPriority w:val="0"/>
    <w:pPr>
      <w:ind w:firstLine="420" w:firstLineChars="100"/>
    </w:pPr>
  </w:style>
  <w:style w:type="paragraph" w:styleId="17">
    <w:name w:val="Body Text First Indent 2"/>
    <w:basedOn w:val="13"/>
    <w:next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table" w:styleId="19">
    <w:name w:val="Table Grid"/>
    <w:basedOn w:val="18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">
    <w:name w:val="标题 1 Char"/>
    <w:link w:val="2"/>
    <w:autoRedefine/>
    <w:qFormat/>
    <w:uiPriority w:val="0"/>
    <w:rPr>
      <w:rFonts w:ascii="Calibri" w:hAnsi="Calibri" w:eastAsia="宋体" w:cs="Times New Roman"/>
      <w:b/>
      <w:kern w:val="44"/>
      <w:sz w:val="36"/>
      <w:szCs w:val="22"/>
      <w:lang w:val="zh-CN" w:eastAsia="zh-TW" w:bidi="zh-CN"/>
    </w:rPr>
  </w:style>
  <w:style w:type="character" w:customStyle="1" w:styleId="22">
    <w:name w:val="标题 2 Char"/>
    <w:link w:val="3"/>
    <w:qFormat/>
    <w:uiPriority w:val="0"/>
    <w:rPr>
      <w:rFonts w:ascii="Arial" w:hAnsi="Arial" w:eastAsia="宋体" w:cs="Times New Roman"/>
      <w:b/>
      <w:bCs/>
      <w:sz w:val="32"/>
      <w:szCs w:val="32"/>
    </w:rPr>
  </w:style>
  <w:style w:type="character" w:customStyle="1" w:styleId="23">
    <w:name w:val="标题 3 Char"/>
    <w:link w:val="4"/>
    <w:qFormat/>
    <w:uiPriority w:val="0"/>
    <w:rPr>
      <w:rFonts w:ascii="Times New Roman" w:hAnsi="Times New Roman" w:eastAsia="宋体" w:cs="Times New Roman"/>
      <w:b/>
      <w:sz w:val="28"/>
    </w:rPr>
  </w:style>
  <w:style w:type="character" w:customStyle="1" w:styleId="24">
    <w:name w:val="标题 4 Char"/>
    <w:link w:val="5"/>
    <w:autoRedefine/>
    <w:qFormat/>
    <w:uiPriority w:val="9"/>
    <w:rPr>
      <w:b/>
    </w:rPr>
  </w:style>
  <w:style w:type="paragraph" w:customStyle="1" w:styleId="25">
    <w:name w:val="目录 11"/>
    <w:next w:val="1"/>
    <w:qFormat/>
    <w:uiPriority w:val="0"/>
    <w:pPr>
      <w:wordWrap w:val="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573</Words>
  <Characters>694</Characters>
  <Lines>0</Lines>
  <Paragraphs>0</Paragraphs>
  <TotalTime>6</TotalTime>
  <ScaleCrop>false</ScaleCrop>
  <LinksUpToDate>false</LinksUpToDate>
  <CharactersWithSpaces>719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2024-06-15T08:59:00Z</dcterms:created>
  <dc:creator>    刘小宁。</dc:creator>
  <cp:lastModifiedBy>招标代理</cp:lastModifiedBy>
  <dcterms:modified xsi:type="dcterms:W3CDTF">2024-06-17T02:41:42Z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8BC6740E051D4FED90BF1D24C6E22048_11</vt:lpwstr>
  </property>
</Properties>
</file>