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CF08F">
      <w:pPr>
        <w:jc w:val="center"/>
        <w:rPr>
          <w:rFonts w:hint="eastAsia" w:ascii="宋体" w:hAnsi="宋体" w:eastAsia="宋体" w:cs="宋体"/>
          <w:b/>
          <w:bCs/>
          <w:color w:val="000000"/>
          <w:sz w:val="60"/>
          <w:szCs w:val="60"/>
          <w:lang w:eastAsia="zh-CN"/>
        </w:rPr>
      </w:pPr>
    </w:p>
    <w:p w14:paraId="550A9AF8">
      <w:pPr>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lang w:eastAsia="zh-CN"/>
        </w:rPr>
        <w:t>京密引水渠北台上段强降雨水毁修复工程</w:t>
      </w:r>
    </w:p>
    <w:p w14:paraId="50D893AB">
      <w:pPr>
        <w:jc w:val="center"/>
        <w:rPr>
          <w:rFonts w:hint="eastAsia" w:ascii="宋体" w:hAnsi="宋体" w:eastAsia="宋体" w:cs="宋体"/>
          <w:b/>
          <w:bCs/>
          <w:color w:val="000000"/>
          <w:sz w:val="60"/>
          <w:szCs w:val="60"/>
        </w:rPr>
      </w:pPr>
    </w:p>
    <w:p w14:paraId="1FB6D7DF">
      <w:pPr>
        <w:jc w:val="center"/>
        <w:rPr>
          <w:rFonts w:hint="eastAsia" w:ascii="宋体" w:hAnsi="宋体" w:eastAsia="宋体" w:cs="宋体"/>
          <w:b/>
          <w:bCs/>
          <w:color w:val="000000"/>
          <w:sz w:val="60"/>
          <w:szCs w:val="60"/>
        </w:rPr>
      </w:pPr>
    </w:p>
    <w:p w14:paraId="66043B10">
      <w:pPr>
        <w:jc w:val="center"/>
        <w:rPr>
          <w:rFonts w:hint="eastAsia" w:ascii="宋体" w:hAnsi="宋体" w:eastAsia="宋体" w:cs="宋体"/>
          <w:b/>
          <w:bCs/>
          <w:color w:val="000000"/>
          <w:sz w:val="60"/>
          <w:szCs w:val="60"/>
        </w:rPr>
      </w:pPr>
    </w:p>
    <w:p w14:paraId="33797CD5">
      <w:pPr>
        <w:jc w:val="center"/>
        <w:rPr>
          <w:rFonts w:hint="eastAsia" w:ascii="宋体" w:hAnsi="宋体" w:eastAsia="宋体" w:cs="宋体"/>
          <w:b/>
          <w:bCs/>
          <w:color w:val="000000"/>
          <w:sz w:val="60"/>
          <w:szCs w:val="60"/>
        </w:rPr>
      </w:pPr>
    </w:p>
    <w:p w14:paraId="2211DF61">
      <w:pPr>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竞争性磋商文件</w:t>
      </w:r>
    </w:p>
    <w:p w14:paraId="06E84879">
      <w:pPr>
        <w:spacing w:line="360" w:lineRule="auto"/>
        <w:jc w:val="center"/>
        <w:rPr>
          <w:rFonts w:hint="eastAsia" w:ascii="宋体" w:hAnsi="宋体" w:eastAsia="宋体" w:cs="宋体"/>
          <w:b/>
          <w:bCs/>
          <w:color w:val="000000"/>
          <w:sz w:val="60"/>
          <w:szCs w:val="60"/>
        </w:rPr>
      </w:pPr>
    </w:p>
    <w:p w14:paraId="6D64BD78">
      <w:pPr>
        <w:spacing w:line="360" w:lineRule="auto"/>
        <w:jc w:val="center"/>
        <w:rPr>
          <w:rFonts w:hint="eastAsia" w:ascii="宋体" w:hAnsi="宋体" w:eastAsia="宋体" w:cs="宋体"/>
          <w:b/>
          <w:bCs/>
          <w:color w:val="000000"/>
          <w:sz w:val="60"/>
          <w:szCs w:val="60"/>
        </w:rPr>
      </w:pPr>
      <w:bookmarkStart w:id="1132" w:name="_GoBack"/>
      <w:bookmarkEnd w:id="1132"/>
    </w:p>
    <w:p w14:paraId="1D8953B0">
      <w:pPr>
        <w:spacing w:line="360" w:lineRule="auto"/>
        <w:jc w:val="center"/>
        <w:rPr>
          <w:rFonts w:hint="eastAsia" w:ascii="宋体" w:hAnsi="宋体" w:eastAsia="宋体" w:cs="宋体"/>
          <w:b/>
          <w:bCs/>
          <w:color w:val="000000"/>
          <w:sz w:val="60"/>
          <w:szCs w:val="60"/>
        </w:rPr>
      </w:pPr>
    </w:p>
    <w:p w14:paraId="04B2A08D">
      <w:pPr>
        <w:tabs>
          <w:tab w:val="left" w:pos="5609"/>
        </w:tabs>
        <w:spacing w:line="360" w:lineRule="auto"/>
        <w:ind w:left="2621" w:leftChars="444" w:hanging="1689" w:hangingChars="528"/>
        <w:jc w:val="left"/>
        <w:rPr>
          <w:rFonts w:hint="eastAsia" w:ascii="宋体" w:hAnsi="宋体" w:eastAsia="宋体" w:cs="宋体"/>
          <w:bCs/>
          <w:color w:val="000000"/>
          <w:sz w:val="32"/>
          <w:szCs w:val="32"/>
        </w:rPr>
      </w:pPr>
      <w:r>
        <w:rPr>
          <w:rFonts w:hint="eastAsia" w:ascii="宋体" w:hAnsi="宋体" w:eastAsia="宋体" w:cs="宋体"/>
          <w:bCs/>
          <w:color w:val="000000"/>
          <w:sz w:val="32"/>
          <w:szCs w:val="32"/>
        </w:rPr>
        <w:t>项目名称：</w:t>
      </w:r>
      <w:r>
        <w:rPr>
          <w:rFonts w:hint="eastAsia" w:ascii="宋体" w:hAnsi="宋体" w:eastAsia="宋体" w:cs="宋体"/>
          <w:bCs/>
          <w:color w:val="000000"/>
          <w:sz w:val="32"/>
          <w:szCs w:val="32"/>
          <w:lang w:eastAsia="zh-CN"/>
        </w:rPr>
        <w:t>京密引水渠北台上段强降雨水毁修复工程</w:t>
      </w:r>
      <w:r>
        <w:rPr>
          <w:rFonts w:hint="eastAsia" w:ascii="宋体" w:hAnsi="宋体" w:eastAsia="宋体" w:cs="宋体"/>
          <w:bCs/>
          <w:color w:val="000000"/>
          <w:sz w:val="32"/>
          <w:szCs w:val="32"/>
        </w:rPr>
        <w:t xml:space="preserve"> </w:t>
      </w:r>
    </w:p>
    <w:p w14:paraId="3F3A40FE">
      <w:pPr>
        <w:tabs>
          <w:tab w:val="left" w:pos="3240"/>
          <w:tab w:val="left" w:pos="3420"/>
        </w:tabs>
        <w:spacing w:line="360" w:lineRule="auto"/>
        <w:ind w:left="2621" w:leftChars="444" w:hanging="1689" w:hangingChars="528"/>
        <w:jc w:val="left"/>
        <w:rPr>
          <w:rFonts w:hint="eastAsia" w:ascii="宋体" w:hAnsi="宋体" w:eastAsia="宋体" w:cs="宋体"/>
          <w:bCs/>
          <w:color w:val="000000"/>
          <w:sz w:val="32"/>
          <w:szCs w:val="32"/>
        </w:rPr>
      </w:pPr>
      <w:r>
        <w:rPr>
          <w:rFonts w:hint="eastAsia" w:ascii="宋体" w:hAnsi="宋体" w:eastAsia="宋体" w:cs="宋体"/>
          <w:bCs/>
          <w:color w:val="000000"/>
          <w:sz w:val="32"/>
          <w:szCs w:val="32"/>
        </w:rPr>
        <w:t>项目编号：</w:t>
      </w:r>
      <w:r>
        <w:rPr>
          <w:rFonts w:hint="eastAsia" w:ascii="宋体" w:hAnsi="宋体" w:eastAsia="宋体" w:cs="宋体"/>
          <w:bCs/>
          <w:color w:val="000000"/>
          <w:sz w:val="32"/>
          <w:szCs w:val="32"/>
          <w:lang w:val="en-US" w:eastAsia="zh-CN"/>
        </w:rPr>
        <w:t>ZC-GC-01</w:t>
      </w:r>
    </w:p>
    <w:p w14:paraId="4DD6153A">
      <w:pPr>
        <w:tabs>
          <w:tab w:val="left" w:pos="3240"/>
          <w:tab w:val="left" w:pos="3420"/>
        </w:tabs>
        <w:spacing w:line="360" w:lineRule="auto"/>
        <w:ind w:left="2621" w:leftChars="444" w:hanging="1689" w:hangingChars="528"/>
        <w:jc w:val="left"/>
        <w:rPr>
          <w:rFonts w:hint="eastAsia" w:ascii="宋体" w:hAnsi="宋体" w:eastAsia="宋体" w:cs="宋体"/>
          <w:bCs/>
          <w:color w:val="000000"/>
          <w:sz w:val="32"/>
          <w:szCs w:val="32"/>
          <w:lang w:eastAsia="zh-CN"/>
        </w:rPr>
      </w:pPr>
      <w:r>
        <w:rPr>
          <w:rFonts w:hint="eastAsia" w:ascii="宋体" w:hAnsi="宋体" w:eastAsia="宋体" w:cs="宋体"/>
          <w:bCs/>
          <w:color w:val="000000"/>
          <w:sz w:val="32"/>
          <w:szCs w:val="32"/>
        </w:rPr>
        <w:t>采 购 人：</w:t>
      </w:r>
      <w:r>
        <w:rPr>
          <w:rFonts w:hint="eastAsia" w:ascii="宋体" w:hAnsi="宋体" w:eastAsia="宋体" w:cs="宋体"/>
          <w:bCs/>
          <w:color w:val="000000"/>
          <w:sz w:val="32"/>
          <w:szCs w:val="32"/>
          <w:lang w:eastAsia="zh-CN"/>
        </w:rPr>
        <w:t xml:space="preserve">北京市水利工程管理中心 </w:t>
      </w:r>
    </w:p>
    <w:p w14:paraId="144CF1A4">
      <w:pPr>
        <w:tabs>
          <w:tab w:val="left" w:pos="3240"/>
          <w:tab w:val="left" w:pos="3420"/>
        </w:tabs>
        <w:spacing w:line="360" w:lineRule="auto"/>
        <w:ind w:left="2621" w:leftChars="444" w:hanging="1689" w:hangingChars="528"/>
        <w:jc w:val="left"/>
        <w:rPr>
          <w:rFonts w:hint="eastAsia" w:ascii="宋体" w:hAnsi="宋体" w:eastAsia="宋体" w:cs="宋体"/>
          <w:bCs/>
          <w:sz w:val="32"/>
          <w:szCs w:val="32"/>
          <w:lang w:eastAsia="zh-CN"/>
        </w:rPr>
      </w:pPr>
      <w:r>
        <w:rPr>
          <w:rFonts w:hint="eastAsia" w:ascii="宋体" w:hAnsi="宋体" w:eastAsia="宋体" w:cs="宋体"/>
          <w:bCs/>
          <w:sz w:val="32"/>
          <w:szCs w:val="32"/>
        </w:rPr>
        <w:t>采购代理机构：</w:t>
      </w:r>
      <w:r>
        <w:rPr>
          <w:rFonts w:hint="eastAsia" w:ascii="宋体" w:hAnsi="宋体" w:eastAsia="宋体" w:cs="宋体"/>
          <w:bCs/>
          <w:sz w:val="32"/>
          <w:szCs w:val="32"/>
          <w:lang w:eastAsia="zh-CN"/>
        </w:rPr>
        <w:t>北京中昌工程咨询有限公司</w:t>
      </w:r>
    </w:p>
    <w:p w14:paraId="31077C0B">
      <w:pPr>
        <w:widowControl/>
        <w:jc w:val="left"/>
        <w:rPr>
          <w:rFonts w:hint="eastAsia" w:ascii="宋体" w:hAnsi="宋体" w:eastAsia="宋体" w:cs="宋体"/>
          <w:bCs/>
          <w:sz w:val="32"/>
          <w:szCs w:val="32"/>
        </w:rPr>
      </w:pPr>
      <w:r>
        <w:rPr>
          <w:rFonts w:hint="eastAsia" w:ascii="宋体" w:hAnsi="宋体" w:eastAsia="宋体" w:cs="宋体"/>
          <w:bCs/>
          <w:sz w:val="32"/>
          <w:szCs w:val="32"/>
        </w:rPr>
        <w:br w:type="page"/>
      </w:r>
    </w:p>
    <w:p w14:paraId="1C34DC54">
      <w:pPr>
        <w:widowControl/>
        <w:jc w:val="left"/>
        <w:rPr>
          <w:rFonts w:hint="eastAsia" w:ascii="宋体" w:hAnsi="宋体" w:eastAsia="宋体" w:cs="宋体"/>
          <w:bCs/>
          <w:sz w:val="36"/>
          <w:szCs w:val="36"/>
        </w:rPr>
      </w:pPr>
    </w:p>
    <w:p w14:paraId="35FB2CAE">
      <w:pPr>
        <w:pStyle w:val="10"/>
        <w:rPr>
          <w:rFonts w:hint="eastAsia" w:ascii="宋体" w:hAnsi="宋体" w:eastAsia="宋体" w:cs="宋体"/>
        </w:rPr>
      </w:pPr>
      <w:r>
        <w:rPr>
          <w:rFonts w:hint="eastAsia" w:ascii="宋体" w:hAnsi="宋体" w:eastAsia="宋体" w:cs="宋体"/>
        </w:rPr>
        <w:t>目录</w:t>
      </w:r>
    </w:p>
    <w:p w14:paraId="09BC8C11">
      <w:pPr>
        <w:pStyle w:val="10"/>
        <w:tabs>
          <w:tab w:val="right" w:leader="dot" w:pos="8845"/>
          <w:tab w:val="clear" w:pos="8835"/>
        </w:tabs>
      </w:pPr>
      <w:r>
        <w:rPr>
          <w:rFonts w:hint="eastAsia" w:ascii="宋体" w:hAnsi="宋体" w:eastAsia="宋体" w:cs="宋体"/>
          <w:b w:val="0"/>
          <w:bCs/>
        </w:rPr>
        <w:fldChar w:fldCharType="begin"/>
      </w:r>
      <w:r>
        <w:rPr>
          <w:rFonts w:hint="eastAsia" w:ascii="宋体" w:hAnsi="宋体" w:eastAsia="宋体" w:cs="宋体"/>
          <w:b w:val="0"/>
          <w:bCs/>
        </w:rPr>
        <w:instrText xml:space="preserve"> TOC \o "1-1" \h \z \u </w:instrText>
      </w:r>
      <w:r>
        <w:rPr>
          <w:rFonts w:hint="eastAsia" w:ascii="宋体" w:hAnsi="宋体" w:eastAsia="宋体" w:cs="宋体"/>
          <w:b w:val="0"/>
          <w:bCs/>
        </w:rPr>
        <w:fldChar w:fldCharType="separate"/>
      </w:r>
      <w:r>
        <w:rPr>
          <w:rFonts w:hint="eastAsia" w:ascii="宋体" w:hAnsi="宋体" w:eastAsia="宋体" w:cs="宋体"/>
          <w:bCs/>
        </w:rPr>
        <w:fldChar w:fldCharType="begin"/>
      </w:r>
      <w:r>
        <w:rPr>
          <w:rFonts w:hint="eastAsia" w:ascii="宋体" w:hAnsi="宋体" w:eastAsia="宋体" w:cs="宋体"/>
          <w:bCs/>
        </w:rPr>
        <w:instrText xml:space="preserve"> HYPERLINK \l _Toc30119 </w:instrText>
      </w:r>
      <w:r>
        <w:rPr>
          <w:rFonts w:hint="eastAsia" w:ascii="宋体" w:hAnsi="宋体" w:eastAsia="宋体" w:cs="宋体"/>
          <w:bCs/>
        </w:rPr>
        <w:fldChar w:fldCharType="separate"/>
      </w:r>
      <w:r>
        <w:rPr>
          <w:rFonts w:hint="eastAsia" w:ascii="宋体" w:hAnsi="宋体" w:eastAsia="宋体" w:cs="宋体"/>
          <w:szCs w:val="36"/>
        </w:rPr>
        <w:t>第一章   采购邀请</w:t>
      </w:r>
      <w:r>
        <w:tab/>
      </w:r>
      <w:r>
        <w:fldChar w:fldCharType="begin"/>
      </w:r>
      <w:r>
        <w:instrText xml:space="preserve"> PAGEREF _Toc30119 \h </w:instrText>
      </w:r>
      <w:r>
        <w:fldChar w:fldCharType="separate"/>
      </w:r>
      <w:r>
        <w:t>3</w:t>
      </w:r>
      <w:r>
        <w:fldChar w:fldCharType="end"/>
      </w:r>
      <w:r>
        <w:rPr>
          <w:rFonts w:hint="eastAsia" w:ascii="宋体" w:hAnsi="宋体" w:eastAsia="宋体" w:cs="宋体"/>
          <w:bCs/>
        </w:rPr>
        <w:fldChar w:fldCharType="end"/>
      </w:r>
    </w:p>
    <w:p w14:paraId="6E0F8B0D">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_Toc20689 </w:instrText>
      </w:r>
      <w:r>
        <w:rPr>
          <w:rFonts w:hint="eastAsia" w:ascii="宋体" w:hAnsi="宋体" w:eastAsia="宋体" w:cs="宋体"/>
          <w:bCs/>
          <w:szCs w:val="28"/>
        </w:rPr>
        <w:fldChar w:fldCharType="separate"/>
      </w:r>
      <w:r>
        <w:rPr>
          <w:rFonts w:hint="eastAsia" w:ascii="宋体" w:hAnsi="宋体" w:eastAsia="宋体" w:cs="宋体"/>
          <w:szCs w:val="36"/>
        </w:rPr>
        <w:t>第二章   供应商须知</w:t>
      </w:r>
      <w:r>
        <w:tab/>
      </w:r>
      <w:r>
        <w:fldChar w:fldCharType="begin"/>
      </w:r>
      <w:r>
        <w:instrText xml:space="preserve"> PAGEREF _Toc20689 \h </w:instrText>
      </w:r>
      <w:r>
        <w:fldChar w:fldCharType="separate"/>
      </w:r>
      <w:r>
        <w:t>7</w:t>
      </w:r>
      <w:r>
        <w:fldChar w:fldCharType="end"/>
      </w:r>
      <w:r>
        <w:rPr>
          <w:rFonts w:hint="eastAsia" w:ascii="宋体" w:hAnsi="宋体" w:eastAsia="宋体" w:cs="宋体"/>
          <w:bCs/>
          <w:szCs w:val="28"/>
        </w:rPr>
        <w:fldChar w:fldCharType="end"/>
      </w:r>
    </w:p>
    <w:p w14:paraId="6E7C7E86">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_Toc25366 </w:instrText>
      </w:r>
      <w:r>
        <w:rPr>
          <w:rFonts w:hint="eastAsia" w:ascii="宋体" w:hAnsi="宋体" w:eastAsia="宋体" w:cs="宋体"/>
          <w:bCs/>
          <w:szCs w:val="28"/>
        </w:rPr>
        <w:fldChar w:fldCharType="separate"/>
      </w:r>
      <w:r>
        <w:rPr>
          <w:rFonts w:hint="eastAsia" w:ascii="宋体" w:hAnsi="宋体" w:eastAsia="宋体" w:cs="宋体"/>
          <w:szCs w:val="36"/>
        </w:rPr>
        <w:t>第三章   评审方法和评审标准</w:t>
      </w:r>
      <w:r>
        <w:tab/>
      </w:r>
      <w:r>
        <w:fldChar w:fldCharType="begin"/>
      </w:r>
      <w:r>
        <w:instrText xml:space="preserve"> PAGEREF _Toc25366 \h </w:instrText>
      </w:r>
      <w:r>
        <w:fldChar w:fldCharType="separate"/>
      </w:r>
      <w:r>
        <w:t>23</w:t>
      </w:r>
      <w:r>
        <w:fldChar w:fldCharType="end"/>
      </w:r>
      <w:r>
        <w:rPr>
          <w:rFonts w:hint="eastAsia" w:ascii="宋体" w:hAnsi="宋体" w:eastAsia="宋体" w:cs="宋体"/>
          <w:bCs/>
          <w:szCs w:val="28"/>
        </w:rPr>
        <w:fldChar w:fldCharType="end"/>
      </w:r>
    </w:p>
    <w:p w14:paraId="3D04CAD5">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_Toc15345 </w:instrText>
      </w:r>
      <w:r>
        <w:rPr>
          <w:rFonts w:hint="eastAsia" w:ascii="宋体" w:hAnsi="宋体" w:eastAsia="宋体" w:cs="宋体"/>
          <w:bCs/>
          <w:szCs w:val="28"/>
        </w:rPr>
        <w:fldChar w:fldCharType="separate"/>
      </w:r>
      <w:r>
        <w:rPr>
          <w:rFonts w:hint="eastAsia" w:ascii="宋体" w:hAnsi="宋体" w:eastAsia="宋体" w:cs="宋体"/>
          <w:szCs w:val="36"/>
        </w:rPr>
        <w:t xml:space="preserve">第四章   </w:t>
      </w:r>
      <w:r>
        <w:rPr>
          <w:rFonts w:hint="eastAsia" w:ascii="宋体" w:hAnsi="宋体" w:eastAsia="宋体" w:cs="宋体"/>
          <w:szCs w:val="36"/>
          <w:lang w:val="en-US" w:eastAsia="zh-CN"/>
        </w:rPr>
        <w:t>采购需求</w:t>
      </w:r>
      <w:r>
        <w:tab/>
      </w:r>
      <w:r>
        <w:fldChar w:fldCharType="begin"/>
      </w:r>
      <w:r>
        <w:instrText xml:space="preserve"> PAGEREF _Toc15345 \h </w:instrText>
      </w:r>
      <w:r>
        <w:fldChar w:fldCharType="separate"/>
      </w:r>
      <w:r>
        <w:t>35</w:t>
      </w:r>
      <w:r>
        <w:fldChar w:fldCharType="end"/>
      </w:r>
      <w:r>
        <w:rPr>
          <w:rFonts w:hint="eastAsia" w:ascii="宋体" w:hAnsi="宋体" w:eastAsia="宋体" w:cs="宋体"/>
          <w:bCs/>
          <w:szCs w:val="28"/>
        </w:rPr>
        <w:fldChar w:fldCharType="end"/>
      </w:r>
    </w:p>
    <w:p w14:paraId="7A8C1BB2">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_Toc20881 </w:instrText>
      </w:r>
      <w:r>
        <w:rPr>
          <w:rFonts w:hint="eastAsia" w:ascii="宋体" w:hAnsi="宋体" w:eastAsia="宋体" w:cs="宋体"/>
          <w:bCs/>
          <w:szCs w:val="28"/>
        </w:rPr>
        <w:fldChar w:fldCharType="separate"/>
      </w:r>
      <w:r>
        <w:rPr>
          <w:rFonts w:hint="eastAsia" w:ascii="宋体" w:hAnsi="宋体" w:eastAsia="宋体" w:cs="宋体"/>
          <w:szCs w:val="36"/>
          <w:lang w:val="en-US" w:eastAsia="zh-CN"/>
        </w:rPr>
        <w:t xml:space="preserve">第五章 </w:t>
      </w:r>
      <w:r>
        <w:rPr>
          <w:rFonts w:hint="eastAsia" w:cs="宋体"/>
          <w:szCs w:val="36"/>
          <w:lang w:val="en-US" w:eastAsia="zh-CN"/>
        </w:rPr>
        <w:t xml:space="preserve">  </w:t>
      </w:r>
      <w:r>
        <w:rPr>
          <w:rFonts w:hint="eastAsia" w:ascii="宋体" w:hAnsi="宋体" w:eastAsia="宋体" w:cs="宋体"/>
          <w:szCs w:val="36"/>
          <w:lang w:val="en-US" w:eastAsia="zh-CN"/>
        </w:rPr>
        <w:t>工程量清单</w:t>
      </w:r>
      <w:r>
        <w:rPr>
          <w:rFonts w:hint="eastAsia" w:ascii="宋体" w:hAnsi="宋体" w:cs="宋体"/>
          <w:szCs w:val="36"/>
          <w:lang w:val="en-US" w:eastAsia="zh-CN"/>
        </w:rPr>
        <w:t>及图纸另附</w:t>
      </w:r>
      <w:r>
        <w:tab/>
      </w:r>
      <w:r>
        <w:fldChar w:fldCharType="begin"/>
      </w:r>
      <w:r>
        <w:instrText xml:space="preserve"> PAGEREF _Toc20881 \h </w:instrText>
      </w:r>
      <w:r>
        <w:fldChar w:fldCharType="separate"/>
      </w:r>
      <w:r>
        <w:t>50</w:t>
      </w:r>
      <w:r>
        <w:fldChar w:fldCharType="end"/>
      </w:r>
      <w:r>
        <w:rPr>
          <w:rFonts w:hint="eastAsia" w:ascii="宋体" w:hAnsi="宋体" w:eastAsia="宋体" w:cs="宋体"/>
          <w:bCs/>
          <w:szCs w:val="28"/>
        </w:rPr>
        <w:fldChar w:fldCharType="end"/>
      </w:r>
    </w:p>
    <w:p w14:paraId="39386AE1">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_Toc651 </w:instrText>
      </w:r>
      <w:r>
        <w:rPr>
          <w:rFonts w:hint="eastAsia" w:ascii="宋体" w:hAnsi="宋体" w:eastAsia="宋体" w:cs="宋体"/>
          <w:bCs/>
          <w:szCs w:val="28"/>
        </w:rPr>
        <w:fldChar w:fldCharType="separate"/>
      </w:r>
      <w:r>
        <w:rPr>
          <w:rFonts w:hint="eastAsia" w:ascii="宋体" w:hAnsi="宋体" w:eastAsia="宋体" w:cs="宋体"/>
          <w:szCs w:val="36"/>
        </w:rPr>
        <w:t>第</w:t>
      </w:r>
      <w:r>
        <w:rPr>
          <w:rFonts w:hint="eastAsia" w:ascii="宋体" w:hAnsi="宋体" w:cs="宋体"/>
          <w:szCs w:val="36"/>
          <w:lang w:val="en-US" w:eastAsia="zh-CN"/>
        </w:rPr>
        <w:t>六</w:t>
      </w:r>
      <w:r>
        <w:rPr>
          <w:rFonts w:hint="eastAsia" w:ascii="宋体" w:hAnsi="宋体" w:eastAsia="宋体" w:cs="宋体"/>
          <w:szCs w:val="36"/>
        </w:rPr>
        <w:t>章   合同草案条款</w:t>
      </w:r>
      <w:r>
        <w:tab/>
      </w:r>
      <w:r>
        <w:fldChar w:fldCharType="begin"/>
      </w:r>
      <w:r>
        <w:instrText xml:space="preserve"> PAGEREF _Toc651 \h </w:instrText>
      </w:r>
      <w:r>
        <w:fldChar w:fldCharType="separate"/>
      </w:r>
      <w:r>
        <w:t>51</w:t>
      </w:r>
      <w:r>
        <w:fldChar w:fldCharType="end"/>
      </w:r>
      <w:r>
        <w:rPr>
          <w:rFonts w:hint="eastAsia" w:ascii="宋体" w:hAnsi="宋体" w:eastAsia="宋体" w:cs="宋体"/>
          <w:bCs/>
          <w:szCs w:val="28"/>
        </w:rPr>
        <w:fldChar w:fldCharType="end"/>
      </w:r>
    </w:p>
    <w:p w14:paraId="628BE56F">
      <w:pPr>
        <w:pStyle w:val="10"/>
        <w:tabs>
          <w:tab w:val="right" w:leader="dot" w:pos="8845"/>
          <w:tab w:val="clear" w:pos="8835"/>
        </w:tabs>
      </w:pP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_Toc25277 </w:instrText>
      </w:r>
      <w:r>
        <w:rPr>
          <w:rFonts w:hint="eastAsia" w:ascii="宋体" w:hAnsi="宋体" w:eastAsia="宋体" w:cs="宋体"/>
          <w:bCs/>
          <w:szCs w:val="28"/>
        </w:rPr>
        <w:fldChar w:fldCharType="separate"/>
      </w:r>
      <w:r>
        <w:rPr>
          <w:rFonts w:hint="eastAsia" w:ascii="宋体" w:hAnsi="宋体" w:eastAsia="宋体" w:cs="宋体"/>
          <w:szCs w:val="36"/>
        </w:rPr>
        <w:t>第</w:t>
      </w:r>
      <w:r>
        <w:rPr>
          <w:rFonts w:hint="eastAsia" w:ascii="宋体" w:hAnsi="宋体" w:cs="宋体"/>
          <w:szCs w:val="36"/>
          <w:lang w:val="en-US" w:eastAsia="zh-CN"/>
        </w:rPr>
        <w:t>七</w:t>
      </w:r>
      <w:r>
        <w:rPr>
          <w:rFonts w:hint="eastAsia" w:ascii="宋体" w:hAnsi="宋体" w:eastAsia="宋体" w:cs="宋体"/>
          <w:szCs w:val="36"/>
        </w:rPr>
        <w:t>章   响应文件格式</w:t>
      </w:r>
      <w:r>
        <w:tab/>
      </w:r>
      <w:r>
        <w:fldChar w:fldCharType="begin"/>
      </w:r>
      <w:r>
        <w:instrText xml:space="preserve"> PAGEREF _Toc25277 \h </w:instrText>
      </w:r>
      <w:r>
        <w:fldChar w:fldCharType="separate"/>
      </w:r>
      <w:r>
        <w:t>139</w:t>
      </w:r>
      <w:r>
        <w:fldChar w:fldCharType="end"/>
      </w:r>
      <w:r>
        <w:rPr>
          <w:rFonts w:hint="eastAsia" w:ascii="宋体" w:hAnsi="宋体" w:eastAsia="宋体" w:cs="宋体"/>
          <w:bCs/>
          <w:szCs w:val="28"/>
        </w:rPr>
        <w:fldChar w:fldCharType="end"/>
      </w:r>
    </w:p>
    <w:p w14:paraId="398ABC87">
      <w:pPr>
        <w:tabs>
          <w:tab w:val="left" w:pos="3240"/>
          <w:tab w:val="left" w:pos="3420"/>
        </w:tabs>
        <w:spacing w:line="720" w:lineRule="auto"/>
        <w:ind w:left="2040" w:leftChars="444" w:hanging="1108" w:hangingChars="528"/>
        <w:jc w:val="left"/>
        <w:rPr>
          <w:rFonts w:hint="eastAsia" w:ascii="宋体" w:hAnsi="宋体" w:eastAsia="宋体" w:cs="宋体"/>
          <w:bCs/>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911" w:right="1474" w:bottom="1882" w:left="1587" w:header="851" w:footer="992" w:gutter="0"/>
          <w:cols w:space="720" w:num="1"/>
          <w:docGrid w:linePitch="312" w:charSpace="0"/>
        </w:sectPr>
      </w:pPr>
      <w:r>
        <w:rPr>
          <w:rFonts w:hint="eastAsia" w:ascii="宋体" w:hAnsi="宋体" w:eastAsia="宋体" w:cs="宋体"/>
          <w:bCs/>
          <w:szCs w:val="28"/>
        </w:rPr>
        <w:fldChar w:fldCharType="end"/>
      </w:r>
    </w:p>
    <w:p w14:paraId="15657EFE">
      <w:pPr>
        <w:spacing w:line="360" w:lineRule="auto"/>
        <w:jc w:val="center"/>
        <w:outlineLvl w:val="0"/>
        <w:rPr>
          <w:rFonts w:hint="eastAsia" w:ascii="宋体" w:hAnsi="宋体" w:eastAsia="宋体" w:cs="宋体"/>
          <w:b/>
          <w:sz w:val="36"/>
          <w:szCs w:val="36"/>
        </w:rPr>
      </w:pPr>
      <w:bookmarkStart w:id="0" w:name="_Toc30119"/>
      <w:bookmarkStart w:id="1" w:name="_Toc103153301"/>
      <w:r>
        <w:rPr>
          <w:rFonts w:hint="eastAsia" w:ascii="宋体" w:hAnsi="宋体" w:eastAsia="宋体" w:cs="宋体"/>
          <w:b/>
          <w:sz w:val="36"/>
          <w:szCs w:val="36"/>
        </w:rPr>
        <w:t>第一章   采购邀请</w:t>
      </w:r>
      <w:bookmarkEnd w:id="0"/>
      <w:bookmarkEnd w:id="1"/>
      <w:bookmarkStart w:id="2" w:name="_Toc28359079"/>
      <w:bookmarkStart w:id="3" w:name="_Toc35393621"/>
      <w:bookmarkStart w:id="4" w:name="_Toc28359002"/>
      <w:bookmarkStart w:id="5" w:name="_Toc35393790"/>
      <w:bookmarkStart w:id="6" w:name="_Hlk24379207"/>
    </w:p>
    <w:p w14:paraId="6092818D">
      <w:pPr>
        <w:pStyle w:val="3"/>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2"/>
      <w:bookmarkEnd w:id="3"/>
      <w:bookmarkEnd w:id="4"/>
      <w:bookmarkEnd w:id="5"/>
    </w:p>
    <w:p w14:paraId="222C2554">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sz w:val="24"/>
        </w:rPr>
        <w:t>1.项</w:t>
      </w:r>
      <w:r>
        <w:rPr>
          <w:rFonts w:hint="eastAsia" w:ascii="宋体" w:hAnsi="宋体" w:eastAsia="宋体" w:cs="宋体"/>
          <w:color w:val="000000"/>
          <w:sz w:val="24"/>
        </w:rPr>
        <w:t>目编号：</w:t>
      </w:r>
      <w:r>
        <w:rPr>
          <w:rFonts w:hint="eastAsia" w:ascii="宋体" w:hAnsi="宋体" w:eastAsia="宋体" w:cs="宋体"/>
          <w:color w:val="000000"/>
          <w:sz w:val="24"/>
          <w:u w:val="single"/>
          <w:lang w:val="en-US" w:eastAsia="zh-CN"/>
        </w:rPr>
        <w:t>ZC-GC-01</w:t>
      </w:r>
    </w:p>
    <w:p w14:paraId="258D32A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2.项目名称：</w:t>
      </w:r>
      <w:r>
        <w:rPr>
          <w:rFonts w:hint="eastAsia" w:ascii="宋体" w:hAnsi="宋体" w:eastAsia="宋体" w:cs="宋体"/>
          <w:color w:val="000000"/>
          <w:sz w:val="24"/>
          <w:u w:val="single"/>
          <w:lang w:eastAsia="zh-CN"/>
        </w:rPr>
        <w:t>京密引水渠北台上段强降雨水毁修复工程</w:t>
      </w:r>
    </w:p>
    <w:p w14:paraId="6FA02EE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3.采购方式：竞争性磋商</w:t>
      </w:r>
    </w:p>
    <w:bookmarkEnd w:id="6"/>
    <w:p w14:paraId="126F5B11">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4.项目预算金额：</w:t>
      </w:r>
      <w:r>
        <w:rPr>
          <w:rFonts w:hint="eastAsia" w:ascii="宋体" w:hAnsi="宋体" w:eastAsia="宋体" w:cs="宋体"/>
          <w:color w:val="000000"/>
          <w:sz w:val="24"/>
          <w:u w:val="single"/>
          <w:lang w:val="en-US" w:eastAsia="zh-CN"/>
        </w:rPr>
        <w:t>173.108052</w:t>
      </w:r>
      <w:r>
        <w:rPr>
          <w:rFonts w:hint="eastAsia" w:ascii="宋体" w:hAnsi="宋体" w:eastAsia="宋体" w:cs="宋体"/>
          <w:color w:val="000000"/>
          <w:sz w:val="24"/>
        </w:rPr>
        <w:t>万元、项目最高限价（如</w:t>
      </w:r>
      <w:r>
        <w:rPr>
          <w:rFonts w:hint="eastAsia" w:ascii="宋体" w:hAnsi="宋体" w:eastAsia="宋体" w:cs="宋体"/>
          <w:sz w:val="24"/>
        </w:rPr>
        <w:t>有）：</w:t>
      </w:r>
      <w:r>
        <w:rPr>
          <w:rFonts w:hint="eastAsia" w:ascii="宋体" w:hAnsi="宋体" w:eastAsia="宋体" w:cs="宋体"/>
          <w:color w:val="000000"/>
          <w:sz w:val="24"/>
          <w:u w:val="single"/>
          <w:lang w:val="en-US" w:eastAsia="zh-CN"/>
        </w:rPr>
        <w:t>173.108052</w:t>
      </w:r>
      <w:r>
        <w:rPr>
          <w:rFonts w:hint="eastAsia" w:ascii="宋体" w:hAnsi="宋体" w:eastAsia="宋体" w:cs="宋体"/>
          <w:sz w:val="24"/>
        </w:rPr>
        <w:t>万元</w:t>
      </w:r>
    </w:p>
    <w:p w14:paraId="7838855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5.采购需求：</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952"/>
        <w:gridCol w:w="1604"/>
        <w:gridCol w:w="1560"/>
        <w:gridCol w:w="2205"/>
      </w:tblGrid>
      <w:tr w14:paraId="09F8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975" w:type="dxa"/>
            <w:shd w:val="clear" w:color="auto" w:fill="auto"/>
            <w:vAlign w:val="center"/>
          </w:tcPr>
          <w:p w14:paraId="4BBA75E8">
            <w:pPr>
              <w:spacing w:line="360" w:lineRule="auto"/>
              <w:jc w:val="center"/>
              <w:rPr>
                <w:rFonts w:hint="eastAsia" w:ascii="宋体" w:hAnsi="宋体" w:eastAsia="宋体" w:cs="宋体"/>
                <w:color w:val="000000"/>
                <w:sz w:val="24"/>
              </w:rPr>
            </w:pPr>
            <w:r>
              <w:rPr>
                <w:rFonts w:hint="eastAsia" w:ascii="宋体" w:hAnsi="宋体" w:eastAsia="宋体" w:cs="宋体"/>
                <w:spacing w:val="5"/>
                <w:sz w:val="24"/>
              </w:rPr>
              <w:t>包号</w:t>
            </w:r>
          </w:p>
        </w:tc>
        <w:tc>
          <w:tcPr>
            <w:tcW w:w="1952" w:type="dxa"/>
            <w:shd w:val="clear" w:color="auto" w:fill="auto"/>
            <w:vAlign w:val="center"/>
          </w:tcPr>
          <w:p w14:paraId="61D955E9">
            <w:pPr>
              <w:spacing w:line="360" w:lineRule="auto"/>
              <w:jc w:val="center"/>
              <w:rPr>
                <w:rFonts w:hint="eastAsia" w:ascii="宋体" w:hAnsi="宋体" w:eastAsia="宋体" w:cs="宋体"/>
                <w:color w:val="000000"/>
                <w:sz w:val="24"/>
              </w:rPr>
            </w:pPr>
            <w:r>
              <w:rPr>
                <w:rFonts w:hint="eastAsia" w:ascii="宋体" w:hAnsi="宋体" w:eastAsia="宋体" w:cs="宋体"/>
                <w:spacing w:val="8"/>
                <w:sz w:val="24"/>
              </w:rPr>
              <w:t>标</w:t>
            </w:r>
            <w:r>
              <w:rPr>
                <w:rFonts w:hint="eastAsia" w:ascii="宋体" w:hAnsi="宋体" w:eastAsia="宋体" w:cs="宋体"/>
                <w:spacing w:val="7"/>
                <w:sz w:val="24"/>
              </w:rPr>
              <w:t>的名称</w:t>
            </w:r>
          </w:p>
        </w:tc>
        <w:tc>
          <w:tcPr>
            <w:tcW w:w="1604" w:type="dxa"/>
            <w:shd w:val="clear" w:color="auto" w:fill="auto"/>
            <w:vAlign w:val="center"/>
          </w:tcPr>
          <w:p w14:paraId="543E6075">
            <w:pPr>
              <w:spacing w:before="36" w:line="228" w:lineRule="auto"/>
              <w:ind w:left="119"/>
              <w:jc w:val="center"/>
              <w:rPr>
                <w:rFonts w:hint="eastAsia" w:ascii="宋体" w:hAnsi="宋体" w:eastAsia="宋体" w:cs="宋体"/>
                <w:sz w:val="24"/>
              </w:rPr>
            </w:pPr>
            <w:r>
              <w:rPr>
                <w:rFonts w:hint="eastAsia" w:ascii="宋体" w:hAnsi="宋体" w:eastAsia="宋体" w:cs="宋体"/>
                <w:spacing w:val="9"/>
                <w:sz w:val="24"/>
              </w:rPr>
              <w:t>预算金</w:t>
            </w:r>
            <w:r>
              <w:rPr>
                <w:rFonts w:hint="eastAsia" w:ascii="宋体" w:hAnsi="宋体" w:eastAsia="宋体" w:cs="宋体"/>
                <w:spacing w:val="8"/>
                <w:sz w:val="24"/>
              </w:rPr>
              <w:t>额</w:t>
            </w:r>
          </w:p>
          <w:p w14:paraId="6D6B0AEE">
            <w:pPr>
              <w:spacing w:line="360" w:lineRule="auto"/>
              <w:jc w:val="center"/>
              <w:rPr>
                <w:rFonts w:hint="eastAsia" w:ascii="宋体" w:hAnsi="宋体" w:eastAsia="宋体" w:cs="宋体"/>
                <w:color w:val="000000"/>
                <w:sz w:val="24"/>
              </w:rPr>
            </w:pPr>
            <w:r>
              <w:rPr>
                <w:rFonts w:hint="eastAsia" w:ascii="宋体" w:hAnsi="宋体" w:eastAsia="宋体" w:cs="宋体"/>
                <w:spacing w:val="26"/>
                <w:sz w:val="24"/>
              </w:rPr>
              <w:t>(</w:t>
            </w:r>
            <w:r>
              <w:rPr>
                <w:rFonts w:hint="eastAsia" w:ascii="宋体" w:hAnsi="宋体" w:eastAsia="宋体" w:cs="宋体"/>
                <w:spacing w:val="25"/>
                <w:sz w:val="24"/>
              </w:rPr>
              <w:t>万元)</w:t>
            </w:r>
          </w:p>
        </w:tc>
        <w:tc>
          <w:tcPr>
            <w:tcW w:w="1560" w:type="dxa"/>
            <w:shd w:val="clear" w:color="auto" w:fill="auto"/>
            <w:vAlign w:val="center"/>
          </w:tcPr>
          <w:p w14:paraId="6FB14187">
            <w:pPr>
              <w:spacing w:line="360" w:lineRule="auto"/>
              <w:jc w:val="center"/>
              <w:rPr>
                <w:rFonts w:hint="eastAsia" w:ascii="宋体" w:hAnsi="宋体" w:eastAsia="宋体" w:cs="宋体"/>
                <w:color w:val="000000"/>
                <w:sz w:val="24"/>
              </w:rPr>
            </w:pPr>
            <w:r>
              <w:rPr>
                <w:rFonts w:hint="eastAsia" w:ascii="宋体" w:hAnsi="宋体" w:eastAsia="宋体" w:cs="宋体"/>
                <w:spacing w:val="4"/>
                <w:sz w:val="24"/>
              </w:rPr>
              <w:t>数量</w:t>
            </w:r>
          </w:p>
        </w:tc>
        <w:tc>
          <w:tcPr>
            <w:tcW w:w="2205" w:type="dxa"/>
            <w:shd w:val="clear" w:color="auto" w:fill="auto"/>
            <w:vAlign w:val="center"/>
          </w:tcPr>
          <w:p w14:paraId="515722AD">
            <w:pPr>
              <w:spacing w:line="360" w:lineRule="auto"/>
              <w:jc w:val="center"/>
              <w:rPr>
                <w:rFonts w:hint="eastAsia" w:ascii="宋体" w:hAnsi="宋体" w:eastAsia="宋体" w:cs="宋体"/>
                <w:color w:val="000000"/>
                <w:sz w:val="24"/>
              </w:rPr>
            </w:pPr>
            <w:r>
              <w:rPr>
                <w:rFonts w:hint="eastAsia" w:ascii="宋体" w:hAnsi="宋体" w:eastAsia="宋体" w:cs="宋体"/>
                <w:spacing w:val="9"/>
                <w:sz w:val="24"/>
              </w:rPr>
              <w:t>简要技术需求或服务要</w:t>
            </w:r>
            <w:r>
              <w:rPr>
                <w:rFonts w:hint="eastAsia" w:ascii="宋体" w:hAnsi="宋体" w:eastAsia="宋体" w:cs="宋体"/>
                <w:spacing w:val="8"/>
                <w:sz w:val="24"/>
              </w:rPr>
              <w:t>求</w:t>
            </w:r>
          </w:p>
        </w:tc>
      </w:tr>
      <w:tr w14:paraId="2FB40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975" w:type="dxa"/>
            <w:shd w:val="clear" w:color="auto" w:fill="auto"/>
            <w:vAlign w:val="center"/>
          </w:tcPr>
          <w:p w14:paraId="271A982E">
            <w:pPr>
              <w:spacing w:line="360" w:lineRule="auto"/>
              <w:jc w:val="center"/>
              <w:rPr>
                <w:rFonts w:hint="eastAsia" w:ascii="宋体" w:hAnsi="宋体" w:eastAsia="宋体" w:cs="宋体"/>
                <w:color w:val="000000"/>
                <w:sz w:val="24"/>
              </w:rPr>
            </w:pPr>
            <w:r>
              <w:rPr>
                <w:rFonts w:hint="eastAsia" w:ascii="宋体" w:hAnsi="宋体" w:eastAsia="宋体" w:cs="宋体"/>
                <w:spacing w:val="14"/>
                <w:sz w:val="24"/>
              </w:rPr>
              <w:t>1</w:t>
            </w:r>
          </w:p>
        </w:tc>
        <w:tc>
          <w:tcPr>
            <w:tcW w:w="1952" w:type="dxa"/>
            <w:shd w:val="clear" w:color="auto" w:fill="auto"/>
            <w:vAlign w:val="center"/>
          </w:tcPr>
          <w:p w14:paraId="6B2C9D2F">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u w:val="single"/>
                <w:lang w:eastAsia="zh-CN"/>
              </w:rPr>
              <w:t>京密引水渠北台上段强降雨水毁修复工程</w:t>
            </w:r>
          </w:p>
        </w:tc>
        <w:tc>
          <w:tcPr>
            <w:tcW w:w="1604" w:type="dxa"/>
            <w:shd w:val="clear" w:color="auto" w:fill="auto"/>
            <w:vAlign w:val="center"/>
          </w:tcPr>
          <w:p w14:paraId="4E4CBDCF">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u w:val="single"/>
                <w:lang w:val="en-US" w:eastAsia="zh-CN"/>
              </w:rPr>
              <w:t>173.108052</w:t>
            </w:r>
          </w:p>
        </w:tc>
        <w:tc>
          <w:tcPr>
            <w:tcW w:w="1560" w:type="dxa"/>
            <w:shd w:val="clear" w:color="auto" w:fill="auto"/>
            <w:vAlign w:val="center"/>
          </w:tcPr>
          <w:p w14:paraId="37749B24">
            <w:pPr>
              <w:spacing w:line="360"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2205" w:type="dxa"/>
            <w:shd w:val="clear" w:color="auto" w:fill="auto"/>
            <w:vAlign w:val="center"/>
          </w:tcPr>
          <w:p w14:paraId="12296CC0">
            <w:pPr>
              <w:spacing w:line="360"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详见采购需求</w:t>
            </w:r>
          </w:p>
        </w:tc>
      </w:tr>
    </w:tbl>
    <w:p w14:paraId="62E77345">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6.合同履行期限：</w:t>
      </w:r>
      <w:r>
        <w:rPr>
          <w:rFonts w:hint="eastAsia" w:ascii="宋体" w:hAnsi="宋体" w:eastAsia="宋体" w:cs="宋体"/>
          <w:sz w:val="24"/>
          <w:u w:val="single"/>
        </w:rPr>
        <w:t xml:space="preserve"> </w:t>
      </w:r>
      <w:r>
        <w:rPr>
          <w:rFonts w:hint="eastAsia" w:ascii="宋体" w:hAnsi="宋体" w:eastAsia="宋体" w:cs="宋体"/>
          <w:color w:val="auto"/>
          <w:sz w:val="24"/>
          <w:u w:val="single"/>
        </w:rPr>
        <w:t>自合同签订之日起</w:t>
      </w:r>
      <w:r>
        <w:rPr>
          <w:rFonts w:hint="eastAsia" w:ascii="宋体" w:hAnsi="宋体" w:eastAsia="宋体" w:cs="宋体"/>
          <w:color w:val="auto"/>
          <w:sz w:val="24"/>
          <w:u w:val="single"/>
          <w:lang w:val="en-US" w:eastAsia="zh-CN"/>
        </w:rPr>
        <w:t>至</w:t>
      </w:r>
      <w:r>
        <w:rPr>
          <w:rFonts w:hint="eastAsia" w:ascii="宋体" w:hAnsi="宋体" w:cs="宋体"/>
          <w:sz w:val="24"/>
          <w:u w:val="single"/>
        </w:rPr>
        <w:t>2025年</w:t>
      </w:r>
      <w:r>
        <w:rPr>
          <w:rFonts w:hint="eastAsia" w:ascii="宋体" w:hAnsi="宋体" w:cs="宋体"/>
          <w:sz w:val="24"/>
          <w:u w:val="single"/>
          <w:lang w:val="en-US" w:eastAsia="zh-CN"/>
        </w:rPr>
        <w:t>4</w:t>
      </w:r>
      <w:r>
        <w:rPr>
          <w:rFonts w:hint="eastAsia" w:ascii="宋体" w:hAnsi="宋体" w:cs="宋体"/>
          <w:sz w:val="24"/>
          <w:u w:val="single"/>
        </w:rPr>
        <w:t>月</w:t>
      </w:r>
      <w:r>
        <w:rPr>
          <w:rFonts w:hint="eastAsia" w:ascii="宋体" w:hAnsi="宋体" w:cs="宋体"/>
          <w:sz w:val="24"/>
          <w:u w:val="single"/>
          <w:lang w:val="en-US" w:eastAsia="zh-CN"/>
        </w:rPr>
        <w:t>25日</w:t>
      </w:r>
      <w:r>
        <w:rPr>
          <w:rFonts w:hint="eastAsia" w:ascii="宋体" w:hAnsi="宋体" w:eastAsia="宋体" w:cs="宋体"/>
          <w:color w:val="auto"/>
          <w:sz w:val="24"/>
          <w:u w:val="single"/>
        </w:rPr>
        <w:t>。</w:t>
      </w:r>
    </w:p>
    <w:p w14:paraId="2A612556">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w:t>
      </w:r>
      <w:r>
        <w:rPr>
          <w:rFonts w:hint="eastAsia" w:ascii="宋体" w:hAnsi="宋体" w:eastAsia="宋体" w:cs="宋体"/>
        </w:rPr>
        <w:t>□</w:t>
      </w:r>
      <w:r>
        <w:rPr>
          <w:rFonts w:hint="eastAsia" w:ascii="宋体" w:hAnsi="宋体" w:eastAsia="宋体" w:cs="宋体"/>
          <w:sz w:val="24"/>
        </w:rPr>
        <w:t xml:space="preserve">是  </w:t>
      </w:r>
      <w:r>
        <w:rPr>
          <w:rFonts w:hint="eastAsia" w:ascii="宋体" w:hAnsi="宋体" w:eastAsia="宋体" w:cs="宋体"/>
          <w:sz w:val="32"/>
          <w:szCs w:val="32"/>
        </w:rPr>
        <w:t>■</w:t>
      </w:r>
      <w:r>
        <w:rPr>
          <w:rFonts w:hint="eastAsia" w:ascii="宋体" w:hAnsi="宋体" w:eastAsia="宋体" w:cs="宋体"/>
          <w:sz w:val="24"/>
        </w:rPr>
        <w:t>否。</w:t>
      </w:r>
    </w:p>
    <w:p w14:paraId="1EA8B79E">
      <w:pPr>
        <w:pStyle w:val="3"/>
        <w:spacing w:before="0" w:line="360" w:lineRule="auto"/>
        <w:jc w:val="left"/>
        <w:rPr>
          <w:rFonts w:hint="eastAsia" w:ascii="宋体" w:hAnsi="宋体" w:eastAsia="宋体" w:cs="宋体"/>
          <w:sz w:val="24"/>
          <w:szCs w:val="24"/>
        </w:rPr>
      </w:pPr>
      <w:bookmarkStart w:id="7" w:name="_Toc28359080"/>
      <w:bookmarkStart w:id="8" w:name="_Toc28359003"/>
      <w:bookmarkStart w:id="9" w:name="_Toc35393622"/>
      <w:bookmarkStart w:id="10" w:name="_Toc35393791"/>
      <w:r>
        <w:rPr>
          <w:rFonts w:hint="eastAsia" w:ascii="宋体" w:hAnsi="宋体" w:eastAsia="宋体" w:cs="宋体"/>
          <w:sz w:val="24"/>
          <w:szCs w:val="24"/>
        </w:rPr>
        <w:t>二、申请人的资格要求（须同时满足）</w:t>
      </w:r>
      <w:bookmarkEnd w:id="7"/>
      <w:bookmarkEnd w:id="8"/>
      <w:bookmarkEnd w:id="9"/>
      <w:bookmarkEnd w:id="10"/>
    </w:p>
    <w:p w14:paraId="26220AE0">
      <w:pP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14:paraId="310F6823">
      <w:pPr>
        <w:spacing w:line="360" w:lineRule="auto"/>
        <w:ind w:firstLine="480" w:firstLineChars="200"/>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14:paraId="45A103E3">
      <w:pPr>
        <w:spacing w:line="360" w:lineRule="auto"/>
        <w:ind w:firstLine="480" w:firstLineChars="200"/>
        <w:rPr>
          <w:rFonts w:hint="eastAsia" w:ascii="宋体" w:hAnsi="宋体" w:eastAsia="宋体" w:cs="宋体"/>
          <w:sz w:val="24"/>
        </w:rPr>
      </w:pPr>
      <w:r>
        <w:rPr>
          <w:rFonts w:hint="eastAsia" w:ascii="宋体" w:hAnsi="宋体" w:eastAsia="宋体" w:cs="宋体"/>
          <w:sz w:val="24"/>
        </w:rPr>
        <w:t>2.1 中小企业政策</w:t>
      </w:r>
    </w:p>
    <w:p w14:paraId="327E8CC6">
      <w:pPr>
        <w:spacing w:line="360" w:lineRule="auto"/>
        <w:ind w:firstLine="420" w:firstLineChars="200"/>
        <w:rPr>
          <w:rFonts w:hint="eastAsia" w:ascii="宋体" w:hAnsi="宋体" w:eastAsia="宋体" w:cs="宋体"/>
          <w:sz w:val="24"/>
        </w:rPr>
      </w:pPr>
      <w:r>
        <w:rPr>
          <w:rFonts w:hint="eastAsia" w:ascii="宋体" w:hAnsi="宋体" w:cs="宋体"/>
          <w:lang w:eastAsia="zh-CN"/>
        </w:rPr>
        <w:t>□</w:t>
      </w:r>
      <w:r>
        <w:rPr>
          <w:rFonts w:hint="eastAsia" w:ascii="宋体" w:hAnsi="宋体" w:eastAsia="宋体" w:cs="宋体"/>
          <w:sz w:val="24"/>
        </w:rPr>
        <w:t>本项目不专门面向中小企业预留采购份额。</w:t>
      </w:r>
    </w:p>
    <w:p w14:paraId="31FA865A">
      <w:pPr>
        <w:spacing w:line="360" w:lineRule="auto"/>
        <w:ind w:firstLine="420" w:firstLineChars="200"/>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 xml:space="preserve">本项目专门面向  </w:t>
      </w:r>
      <w:r>
        <w:rPr>
          <w:rFonts w:hint="eastAsia" w:ascii="宋体" w:hAnsi="宋体" w:eastAsia="宋体" w:cs="宋体"/>
        </w:rPr>
        <w:t>■</w:t>
      </w:r>
      <w:r>
        <w:rPr>
          <w:rFonts w:hint="eastAsia" w:ascii="宋体" w:hAnsi="宋体" w:eastAsia="宋体" w:cs="宋体"/>
          <w:sz w:val="24"/>
        </w:rPr>
        <w:t xml:space="preserve">中小  </w:t>
      </w:r>
      <w:r>
        <w:rPr>
          <w:rFonts w:hint="eastAsia" w:ascii="宋体" w:hAnsi="宋体" w:eastAsia="宋体" w:cs="宋体"/>
        </w:rPr>
        <w:t>□</w:t>
      </w:r>
      <w:r>
        <w:rPr>
          <w:rFonts w:hint="eastAsia" w:ascii="宋体" w:hAnsi="宋体" w:eastAsia="宋体" w:cs="宋体"/>
          <w:sz w:val="24"/>
        </w:rPr>
        <w:t>小微企业  采购。即：提供的货物全部由符合政策要求的中小/小微企业制造、服务全部由符合政策要求的中小/小微企业承接。</w:t>
      </w:r>
    </w:p>
    <w:p w14:paraId="612BA70C">
      <w:pPr>
        <w:spacing w:line="360" w:lineRule="auto"/>
        <w:ind w:firstLine="420" w:firstLineChars="200"/>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u w:val="single"/>
        </w:rPr>
        <w:t>____/___</w:t>
      </w:r>
      <w:r>
        <w:rPr>
          <w:rFonts w:hint="eastAsia" w:ascii="宋体" w:hAnsi="宋体" w:eastAsia="宋体" w:cs="宋体"/>
          <w:sz w:val="24"/>
        </w:rPr>
        <w:t>。</w:t>
      </w:r>
    </w:p>
    <w:p w14:paraId="5C4812E6">
      <w:pPr>
        <w:spacing w:line="360" w:lineRule="auto"/>
        <w:ind w:firstLine="480" w:firstLineChars="200"/>
        <w:rPr>
          <w:rFonts w:hint="eastAsia" w:ascii="宋体" w:hAnsi="宋体" w:eastAsia="宋体" w:cs="宋体"/>
          <w:color w:val="FF0000"/>
          <w:sz w:val="24"/>
        </w:rPr>
      </w:pPr>
      <w:r>
        <w:rPr>
          <w:rFonts w:hint="eastAsia" w:ascii="宋体" w:hAnsi="宋体" w:eastAsia="宋体" w:cs="宋体"/>
          <w:sz w:val="24"/>
        </w:rPr>
        <w:t>2.2 其它落实政府采购政策的资格要求（如有）：</w:t>
      </w:r>
      <w:r>
        <w:rPr>
          <w:rFonts w:hint="eastAsia" w:ascii="宋体" w:hAnsi="宋体" w:eastAsia="宋体" w:cs="宋体"/>
          <w:sz w:val="24"/>
          <w:u w:val="single"/>
        </w:rPr>
        <w:t xml:space="preserve"> ___/___</w:t>
      </w:r>
      <w:r>
        <w:rPr>
          <w:rFonts w:hint="eastAsia" w:ascii="宋体" w:hAnsi="宋体" w:eastAsia="宋体" w:cs="宋体"/>
          <w:sz w:val="24"/>
        </w:rPr>
        <w:t>。</w:t>
      </w:r>
    </w:p>
    <w:p w14:paraId="474159A4">
      <w:pPr>
        <w:spacing w:line="360" w:lineRule="auto"/>
        <w:ind w:firstLine="480" w:firstLineChars="200"/>
        <w:rPr>
          <w:rFonts w:hint="eastAsia" w:ascii="宋体" w:hAnsi="宋体" w:eastAsia="宋体" w:cs="宋体"/>
          <w:i/>
          <w:iCs/>
          <w:sz w:val="24"/>
          <w:u w:val="single"/>
        </w:rPr>
      </w:pPr>
      <w:r>
        <w:rPr>
          <w:rFonts w:hint="eastAsia" w:ascii="宋体" w:hAnsi="宋体" w:eastAsia="宋体" w:cs="宋体"/>
          <w:sz w:val="24"/>
        </w:rPr>
        <w:t>3.本项目的特定资格要求：</w:t>
      </w:r>
    </w:p>
    <w:p w14:paraId="4060376D">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3.1</w:t>
      </w:r>
      <w:r>
        <w:rPr>
          <w:rFonts w:ascii="宋体" w:hAnsi="宋体"/>
          <w:color w:val="auto"/>
          <w:sz w:val="24"/>
          <w:highlight w:val="none"/>
        </w:rPr>
        <w:t>本项目是否接受分支机构参与响应：</w:t>
      </w:r>
      <w:r>
        <w:rPr>
          <w:rFonts w:ascii="宋体" w:hAnsi="宋体"/>
          <w:color w:val="auto"/>
          <w:highlight w:val="none"/>
        </w:rPr>
        <w:t>□</w:t>
      </w:r>
      <w:r>
        <w:rPr>
          <w:rFonts w:ascii="宋体" w:hAnsi="宋体"/>
          <w:color w:val="auto"/>
          <w:sz w:val="24"/>
          <w:highlight w:val="none"/>
        </w:rPr>
        <w:t xml:space="preserve">是  </w:t>
      </w:r>
      <w:r>
        <w:rPr>
          <w:rFonts w:hint="eastAsia" w:ascii="宋体" w:hAnsi="宋体"/>
          <w:color w:val="auto"/>
          <w:highlight w:val="none"/>
        </w:rPr>
        <w:t>■</w:t>
      </w:r>
      <w:r>
        <w:rPr>
          <w:rFonts w:ascii="宋体" w:hAnsi="宋体"/>
          <w:color w:val="auto"/>
          <w:sz w:val="24"/>
          <w:highlight w:val="none"/>
        </w:rPr>
        <w:t>否；</w:t>
      </w:r>
    </w:p>
    <w:p w14:paraId="0423E7BE">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cs="宋体"/>
          <w:sz w:val="24"/>
          <w:lang w:val="en-US" w:eastAsia="zh-CN"/>
        </w:rPr>
        <w:t>3.2</w:t>
      </w:r>
      <w:r>
        <w:rPr>
          <w:rFonts w:hint="eastAsia" w:ascii="宋体" w:hAnsi="宋体" w:eastAsia="宋体" w:cs="宋体"/>
          <w:sz w:val="24"/>
        </w:rPr>
        <w:t>本项目是否属于政府购买服务：</w:t>
      </w:r>
    </w:p>
    <w:p w14:paraId="31D6C285">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000000"/>
          <w:sz w:val="24"/>
        </w:rPr>
      </w:pPr>
      <w:r>
        <w:rPr>
          <w:rFonts w:hint="eastAsia" w:ascii="宋体" w:hAnsi="宋体" w:eastAsia="宋体" w:cs="宋体"/>
        </w:rPr>
        <w:t>■</w:t>
      </w:r>
      <w:r>
        <w:rPr>
          <w:rFonts w:hint="eastAsia" w:ascii="宋体" w:hAnsi="宋体" w:eastAsia="宋体" w:cs="宋体"/>
          <w:sz w:val="24"/>
        </w:rPr>
        <w:t>否</w:t>
      </w:r>
    </w:p>
    <w:p w14:paraId="13EEE855">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000000"/>
          <w:sz w:val="24"/>
        </w:rPr>
      </w:pPr>
      <w:r>
        <w:rPr>
          <w:rFonts w:hint="eastAsia" w:ascii="宋体" w:hAnsi="宋体" w:eastAsia="宋体" w:cs="宋体"/>
          <w:color w:val="000000"/>
        </w:rPr>
        <w:t>□</w:t>
      </w:r>
      <w:r>
        <w:rPr>
          <w:rFonts w:hint="eastAsia" w:ascii="宋体" w:hAnsi="宋体" w:eastAsia="宋体" w:cs="宋体"/>
          <w:color w:val="000000"/>
          <w:sz w:val="24"/>
        </w:rPr>
        <w:t>是，公益一类事业单位、使用事业编制且由财政拨款保障的群团组织，不得作为承接主体；</w:t>
      </w:r>
    </w:p>
    <w:p w14:paraId="08FCBB61">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3.3其他特定资格要求：</w:t>
      </w:r>
    </w:p>
    <w:p w14:paraId="7D256B02">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具备水利水电工程施工总承包</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级</w:t>
      </w:r>
      <w:r>
        <w:rPr>
          <w:rFonts w:hint="eastAsia" w:ascii="宋体" w:hAnsi="宋体" w:eastAsia="宋体" w:cs="宋体"/>
          <w:color w:val="auto"/>
          <w:sz w:val="24"/>
          <w:highlight w:val="none"/>
        </w:rPr>
        <w:t xml:space="preserve">（含）以上资质； </w:t>
      </w:r>
    </w:p>
    <w:p w14:paraId="7DF784A1">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具有建设行政主管部门核发的有效的安全生产许可证；</w:t>
      </w:r>
    </w:p>
    <w:p w14:paraId="2DC144FC">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3）拟任项目经理须在供应商本单位注册，具有水利水电工程专业</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lang w:eastAsia="zh-CN"/>
        </w:rPr>
        <w:t>级（含）以上注册建造师资格及B类安全生产考核合格证书；</w:t>
      </w:r>
    </w:p>
    <w:p w14:paraId="45FF4236">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4）安全管理人员（专职安全生产管理人员）具有水行政主管部门颁发的C类安全生产考核合格证书。</w:t>
      </w:r>
    </w:p>
    <w:bookmarkEnd w:id="11"/>
    <w:bookmarkEnd w:id="12"/>
    <w:p w14:paraId="70EDFC70">
      <w:pPr>
        <w:pStyle w:val="3"/>
        <w:widowControl/>
        <w:spacing w:before="0" w:line="360" w:lineRule="auto"/>
        <w:jc w:val="left"/>
        <w:rPr>
          <w:rFonts w:hint="eastAsia" w:ascii="宋体" w:hAnsi="宋体" w:eastAsia="宋体" w:cs="宋体"/>
          <w:sz w:val="24"/>
          <w:szCs w:val="24"/>
        </w:rPr>
      </w:pPr>
      <w:bookmarkStart w:id="13" w:name="_Toc35393792"/>
      <w:bookmarkStart w:id="14" w:name="_Toc35393623"/>
      <w:r>
        <w:rPr>
          <w:rFonts w:hint="eastAsia" w:ascii="宋体" w:hAnsi="宋体" w:eastAsia="宋体" w:cs="宋体"/>
          <w:sz w:val="24"/>
          <w:szCs w:val="24"/>
        </w:rPr>
        <w:t>三、获取采购文件</w:t>
      </w:r>
      <w:bookmarkEnd w:id="13"/>
      <w:bookmarkEnd w:id="14"/>
    </w:p>
    <w:p w14:paraId="4C9C6B15">
      <w:pPr>
        <w:adjustRightInd w:val="0"/>
        <w:snapToGrid w:val="0"/>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1.时间：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bidi="ar"/>
        </w:rPr>
        <w:t>日至</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lang w:bidi="ar"/>
        </w:rPr>
        <w:t>日</w:t>
      </w:r>
      <w:r>
        <w:rPr>
          <w:rFonts w:hint="eastAsia" w:ascii="宋体" w:hAnsi="宋体" w:eastAsia="宋体" w:cs="宋体"/>
          <w:color w:val="000000"/>
          <w:sz w:val="24"/>
          <w:highlight w:val="none"/>
          <w:lang w:bidi="ar"/>
        </w:rPr>
        <w:t>，每日上午9:00至12:00，下午13:00至16:00。</w:t>
      </w:r>
    </w:p>
    <w:p w14:paraId="5E10F803">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2.地点：</w:t>
      </w:r>
      <w:r>
        <w:rPr>
          <w:rFonts w:hint="eastAsia" w:ascii="宋体" w:hAnsi="宋体" w:eastAsia="宋体" w:cs="宋体"/>
          <w:color w:val="auto"/>
          <w:sz w:val="24"/>
          <w:szCs w:val="24"/>
        </w:rPr>
        <w:t>北京市政府采购电子交易平台</w:t>
      </w:r>
    </w:p>
    <w:p w14:paraId="658D6813">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3.方式：供应商使用 CA 数字证书或电子营业执照登录北京市政府采购电子交易平台（http://zbcg-bjzc.zhongcy.com/bjczj-portal-site/index.html#/home）获取电子版竞争性磋商文件。</w:t>
      </w:r>
    </w:p>
    <w:p w14:paraId="6B9E45AB">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4.售价：0元。</w:t>
      </w:r>
    </w:p>
    <w:p w14:paraId="398BEAFF">
      <w:pPr>
        <w:pStyle w:val="3"/>
        <w:widowControl/>
        <w:spacing w:before="0" w:line="360" w:lineRule="auto"/>
        <w:jc w:val="left"/>
        <w:rPr>
          <w:rFonts w:hint="eastAsia" w:ascii="宋体" w:hAnsi="宋体" w:eastAsia="宋体" w:cs="宋体"/>
          <w:sz w:val="24"/>
          <w:szCs w:val="24"/>
        </w:rPr>
      </w:pPr>
      <w:bookmarkStart w:id="15" w:name="_Toc28359082"/>
      <w:bookmarkStart w:id="16" w:name="_Toc35393793"/>
      <w:bookmarkStart w:id="17" w:name="_Toc28359005"/>
      <w:bookmarkStart w:id="18" w:name="_Toc35393624"/>
      <w:r>
        <w:rPr>
          <w:rFonts w:hint="eastAsia" w:ascii="宋体" w:hAnsi="宋体" w:eastAsia="宋体" w:cs="宋体"/>
          <w:sz w:val="24"/>
          <w:szCs w:val="24"/>
        </w:rPr>
        <w:t>四、</w:t>
      </w:r>
      <w:bookmarkEnd w:id="15"/>
      <w:bookmarkEnd w:id="16"/>
      <w:bookmarkEnd w:id="17"/>
      <w:bookmarkEnd w:id="18"/>
      <w:r>
        <w:rPr>
          <w:rFonts w:hint="eastAsia" w:ascii="宋体" w:hAnsi="宋体" w:eastAsia="宋体" w:cs="宋体"/>
          <w:sz w:val="24"/>
          <w:szCs w:val="24"/>
        </w:rPr>
        <w:t>响应文件提交</w:t>
      </w:r>
    </w:p>
    <w:p w14:paraId="7F8109B9">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sz w:val="24"/>
          <w:lang w:bidi="ar"/>
        </w:rPr>
        <w:t>截止时间</w:t>
      </w:r>
      <w:r>
        <w:rPr>
          <w:rFonts w:hint="eastAsia" w:ascii="宋体" w:hAnsi="宋体" w:eastAsia="宋体" w:cs="宋体"/>
          <w:color w:val="000000"/>
          <w:sz w:val="24"/>
          <w:lang w:bidi="ar"/>
        </w:rPr>
        <w:t>：</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09</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27D43DAE">
      <w:pPr>
        <w:spacing w:line="360" w:lineRule="auto"/>
        <w:ind w:firstLine="480" w:firstLineChars="200"/>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color w:val="auto"/>
          <w:sz w:val="24"/>
          <w:szCs w:val="24"/>
          <w:highlight w:val="none"/>
        </w:rPr>
        <w:t>北京市朝阳区劲松三区甲302号华腾大厦21层</w:t>
      </w:r>
      <w:r>
        <w:rPr>
          <w:rFonts w:hint="eastAsia" w:ascii="宋体" w:hAnsi="宋体" w:eastAsia="宋体" w:cs="宋体"/>
          <w:color w:val="auto"/>
          <w:sz w:val="24"/>
          <w:szCs w:val="24"/>
          <w:highlight w:val="none"/>
          <w:lang w:eastAsia="zh-CN"/>
        </w:rPr>
        <w:t>。</w:t>
      </w:r>
    </w:p>
    <w:p w14:paraId="65DD531F">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14:paraId="6167C36D">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bidi="ar"/>
        </w:rPr>
        <w:t>日</w:t>
      </w:r>
      <w:r>
        <w:rPr>
          <w:rFonts w:hint="eastAsia" w:ascii="宋体" w:hAnsi="宋体" w:eastAsia="宋体" w:cs="宋体"/>
          <w:color w:val="000000"/>
          <w:sz w:val="24"/>
          <w:highlight w:val="none"/>
        </w:rPr>
        <w:t>09</w:t>
      </w:r>
      <w:r>
        <w:rPr>
          <w:rFonts w:hint="eastAsia" w:ascii="宋体" w:hAnsi="宋体" w:eastAsia="宋体" w:cs="宋体"/>
          <w:color w:val="000000"/>
          <w:sz w:val="24"/>
          <w:highlight w:val="none"/>
          <w:lang w:bidi="ar"/>
        </w:rPr>
        <w:t>点</w:t>
      </w:r>
      <w:r>
        <w:rPr>
          <w:rFonts w:hint="eastAsia" w:ascii="宋体" w:hAnsi="宋体" w:eastAsia="宋体" w:cs="宋体"/>
          <w:color w:val="000000"/>
          <w:sz w:val="24"/>
          <w:highlight w:val="none"/>
        </w:rPr>
        <w:t>30</w:t>
      </w:r>
      <w:r>
        <w:rPr>
          <w:rFonts w:hint="eastAsia" w:ascii="宋体" w:hAnsi="宋体" w:eastAsia="宋体" w:cs="宋体"/>
          <w:color w:val="000000"/>
          <w:sz w:val="24"/>
          <w:highlight w:val="none"/>
          <w:lang w:bidi="ar"/>
        </w:rPr>
        <w:t>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14:paraId="3D161382">
      <w:pPr>
        <w:spacing w:line="360" w:lineRule="auto"/>
        <w:ind w:firstLine="480" w:firstLineChars="200"/>
        <w:rPr>
          <w:rFonts w:hint="eastAsia" w:ascii="宋体" w:hAnsi="宋体" w:eastAsia="宋体" w:cs="宋体"/>
          <w:sz w:val="24"/>
          <w:highlight w:val="none"/>
          <w:u w:val="single"/>
          <w:lang w:val="zh-TW" w:bidi="ar"/>
        </w:rPr>
      </w:pPr>
      <w:r>
        <w:rPr>
          <w:rFonts w:hint="eastAsia" w:ascii="宋体" w:hAnsi="宋体" w:eastAsia="宋体" w:cs="宋体"/>
          <w:sz w:val="24"/>
          <w:highlight w:val="none"/>
          <w:lang w:bidi="ar"/>
        </w:rPr>
        <w:t>地点：</w:t>
      </w:r>
      <w:r>
        <w:rPr>
          <w:rFonts w:hint="eastAsia" w:ascii="宋体" w:hAnsi="宋体" w:eastAsia="宋体" w:cs="宋体"/>
          <w:color w:val="auto"/>
          <w:sz w:val="24"/>
          <w:szCs w:val="24"/>
          <w:highlight w:val="none"/>
        </w:rPr>
        <w:t>北京市朝阳区劲松三区甲302号华腾大厦21层</w:t>
      </w:r>
      <w:r>
        <w:rPr>
          <w:rFonts w:hint="eastAsia" w:ascii="宋体" w:hAnsi="宋体" w:eastAsia="宋体" w:cs="宋体"/>
          <w:color w:val="auto"/>
          <w:sz w:val="24"/>
          <w:szCs w:val="24"/>
          <w:highlight w:val="none"/>
          <w:lang w:eastAsia="zh-CN"/>
        </w:rPr>
        <w:t>。</w:t>
      </w:r>
    </w:p>
    <w:p w14:paraId="528720FF">
      <w:pPr>
        <w:pStyle w:val="3"/>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30265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TW" w:bidi="ar"/>
        </w:rPr>
      </w:pPr>
      <w:r>
        <w:rPr>
          <w:rFonts w:hint="eastAsia" w:ascii="宋体" w:hAnsi="宋体" w:eastAsia="宋体" w:cs="宋体"/>
          <w:sz w:val="24"/>
          <w:lang w:val="zh-TW" w:bidi="ar"/>
        </w:rPr>
        <w:t>自本公告发布之日起</w:t>
      </w:r>
      <w:r>
        <w:rPr>
          <w:rFonts w:hint="eastAsia" w:ascii="宋体" w:hAnsi="宋体" w:cs="宋体"/>
          <w:sz w:val="24"/>
          <w:lang w:val="en-US" w:eastAsia="zh-CN" w:bidi="ar"/>
        </w:rPr>
        <w:t>3</w:t>
      </w:r>
      <w:r>
        <w:rPr>
          <w:rFonts w:hint="eastAsia" w:ascii="宋体" w:hAnsi="宋体" w:eastAsia="宋体" w:cs="宋体"/>
          <w:sz w:val="24"/>
          <w:lang w:val="zh-TW" w:bidi="ar"/>
        </w:rPr>
        <w:t>个工作日。</w:t>
      </w:r>
    </w:p>
    <w:p w14:paraId="4FE56AF9">
      <w:pPr>
        <w:pStyle w:val="3"/>
        <w:spacing w:before="0" w:line="360" w:lineRule="auto"/>
        <w:jc w:val="left"/>
        <w:rPr>
          <w:rFonts w:hint="eastAsia" w:ascii="宋体" w:hAnsi="宋体" w:eastAsia="宋体" w:cs="宋体"/>
          <w:sz w:val="24"/>
          <w:szCs w:val="24"/>
        </w:rPr>
      </w:pPr>
      <w:bookmarkStart w:id="19" w:name="_Toc35393795"/>
      <w:bookmarkStart w:id="20" w:name="_Toc35393626"/>
      <w:r>
        <w:rPr>
          <w:rFonts w:hint="eastAsia" w:ascii="宋体" w:hAnsi="宋体" w:eastAsia="宋体" w:cs="宋体"/>
          <w:sz w:val="24"/>
          <w:szCs w:val="24"/>
        </w:rPr>
        <w:t>七、其他补充事宜</w:t>
      </w:r>
      <w:bookmarkEnd w:id="19"/>
      <w:bookmarkEnd w:id="20"/>
    </w:p>
    <w:p w14:paraId="4FCE8534">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w:t>
      </w:r>
    </w:p>
    <w:p w14:paraId="6FEB9BA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（1）《政府采购促进中小企业发展管理办法》（财库（2020）46号）；</w:t>
      </w:r>
    </w:p>
    <w:p w14:paraId="5273A75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（2）财政部司法部关于政府采购支持监狱企业发展有关问题的通知--财库〔2014〕68号；</w:t>
      </w:r>
    </w:p>
    <w:p w14:paraId="1470C2AE">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（3）《关于促进残疾人就业政府采购政策的通知》--财库〔2017〕141号；</w:t>
      </w:r>
    </w:p>
    <w:p w14:paraId="080AA48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（4）《国务院办公厅关于建立政府强制采购节能产品制度的通知》-国办发〔2007〕51号；</w:t>
      </w:r>
    </w:p>
    <w:p w14:paraId="44D20333">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（5）《环境标志产品政府采购实施的意见》-财库[2006]90号；</w:t>
      </w:r>
    </w:p>
    <w:p w14:paraId="663515C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（6）《关于调整优化节能产品、环境标志产品政府采购执行机制的通知》-财库〔2019〕9号；</w:t>
      </w:r>
    </w:p>
    <w:p w14:paraId="6E83FC5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（7）《关于印发环境标志产品政府采购品目清单的通知》（财库〔2019〕18号）。</w:t>
      </w:r>
    </w:p>
    <w:p w14:paraId="2B8EEB8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rPr>
        <w:t xml:space="preserve"> </w:t>
      </w:r>
      <w:r>
        <w:rPr>
          <w:rFonts w:hint="eastAsia" w:ascii="宋体" w:hAnsi="宋体" w:eastAsia="宋体" w:cs="宋体"/>
          <w:sz w:val="24"/>
        </w:rPr>
        <w:t>本公告同时在中国政府采购网（http://www.ccgp.gov.cn）、北京市政府采购网（http://www.ccgp-beijing.gov.cn/）发布。</w:t>
      </w:r>
    </w:p>
    <w:p w14:paraId="1398283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本项目采用</w:t>
      </w:r>
      <w:r>
        <w:rPr>
          <w:rFonts w:hint="eastAsia" w:ascii="宋体" w:hAnsi="宋体" w:eastAsia="宋体" w:cs="宋体"/>
          <w:sz w:val="24"/>
          <w:lang w:eastAsia="zh-CN"/>
        </w:rPr>
        <w:t>线上线下相结合</w:t>
      </w:r>
      <w:r>
        <w:rPr>
          <w:rFonts w:hint="eastAsia" w:ascii="宋体" w:hAnsi="宋体" w:eastAsia="宋体" w:cs="宋体"/>
          <w:sz w:val="24"/>
        </w:rPr>
        <w:t>采购方式，请供应商认真学习北京市政府采购电子交易平台发布的相关操作手册（供应商可在交易平台下载相关手册），办理</w:t>
      </w:r>
      <w:r>
        <w:rPr>
          <w:rFonts w:hint="eastAsia" w:ascii="宋体" w:hAnsi="宋体" w:eastAsia="宋体" w:cs="宋体"/>
          <w:sz w:val="24"/>
          <w:lang w:val="en-US" w:eastAsia="zh-CN"/>
        </w:rPr>
        <w:t xml:space="preserve"> </w:t>
      </w:r>
      <w:r>
        <w:rPr>
          <w:rFonts w:hint="eastAsia" w:ascii="宋体" w:hAnsi="宋体" w:eastAsia="宋体" w:cs="宋体"/>
          <w:sz w:val="24"/>
        </w:rPr>
        <w:t>CA</w:t>
      </w:r>
      <w:r>
        <w:rPr>
          <w:rFonts w:hint="eastAsia" w:ascii="宋体" w:hAnsi="宋体" w:eastAsia="宋体" w:cs="宋体"/>
          <w:sz w:val="24"/>
          <w:lang w:val="en-US" w:eastAsia="zh-CN"/>
        </w:rPr>
        <w:t xml:space="preserve"> </w:t>
      </w:r>
      <w:r>
        <w:rPr>
          <w:rFonts w:hint="eastAsia" w:ascii="宋体" w:hAnsi="宋体" w:eastAsia="宋体" w:cs="宋体"/>
          <w:sz w:val="24"/>
        </w:rPr>
        <w:t>数字证书或电子营业执照、进行北京市政府采购电子交易平台注册绑定，并认真核实</w:t>
      </w:r>
      <w:r>
        <w:rPr>
          <w:rFonts w:hint="eastAsia" w:ascii="宋体" w:hAnsi="宋体" w:eastAsia="宋体" w:cs="宋体"/>
          <w:sz w:val="24"/>
          <w:lang w:val="en-US" w:eastAsia="zh-CN"/>
        </w:rPr>
        <w:t xml:space="preserve"> </w:t>
      </w:r>
      <w:r>
        <w:rPr>
          <w:rFonts w:hint="eastAsia" w:ascii="宋体" w:hAnsi="宋体" w:eastAsia="宋体" w:cs="宋体"/>
          <w:sz w:val="24"/>
        </w:rPr>
        <w:t>CA</w:t>
      </w:r>
      <w:r>
        <w:rPr>
          <w:rFonts w:hint="eastAsia" w:ascii="宋体" w:hAnsi="宋体" w:eastAsia="宋体" w:cs="宋体"/>
          <w:sz w:val="24"/>
          <w:lang w:val="en-US" w:eastAsia="zh-CN"/>
        </w:rPr>
        <w:t xml:space="preserve"> </w:t>
      </w:r>
      <w:r>
        <w:rPr>
          <w:rFonts w:hint="eastAsia" w:ascii="宋体" w:hAnsi="宋体" w:eastAsia="宋体" w:cs="宋体"/>
          <w:sz w:val="24"/>
        </w:rPr>
        <w:t>数字证书或电子营业执照情况确认是否符合本项目电子化采购流程要求。</w:t>
      </w:r>
    </w:p>
    <w:p w14:paraId="3002D527">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CA 数字证书服务热线 010-58511086</w:t>
      </w:r>
    </w:p>
    <w:p w14:paraId="4201FD5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电子营业执照服务热线 400-699-7000</w:t>
      </w:r>
    </w:p>
    <w:p w14:paraId="2948A347">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技术支持服务热线 010-86483801</w:t>
      </w:r>
    </w:p>
    <w:p w14:paraId="71C5D74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3.1 办理 CA 数字证书或电子营业执照</w:t>
      </w:r>
    </w:p>
    <w:p w14:paraId="639012B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供应商登录北京市政府采购电子交易平台查阅 “用户指南”—“操作指南”—“市场主体 CA 办理操作流程指引” /“电子营业执照使用指南”，按照程序要求办理。</w:t>
      </w:r>
    </w:p>
    <w:p w14:paraId="169AB73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3.2 注册</w:t>
      </w:r>
    </w:p>
    <w:p w14:paraId="28D435E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供应商登录北京市政府采购电子交易平台“用户指南”—“操作指南”—“市场主体注册入库操作流程指引”进行自助注册绑定。</w:t>
      </w:r>
    </w:p>
    <w:p w14:paraId="0FC0105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3.3 驱动、客户端下载</w:t>
      </w:r>
    </w:p>
    <w:p w14:paraId="71FE62F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供应商登录北京市政府采购电子交易平台“用户指南”—“工具下载”—“招标采购系统文件驱动安装包”下载相关驱动。</w:t>
      </w:r>
    </w:p>
    <w:p w14:paraId="220F27B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供应商登录北京市政府采购电子交易平台“用户指南”—“工具下载”—“投标文件编制工具”下载相关客户端。</w:t>
      </w:r>
    </w:p>
    <w:p w14:paraId="7ACC4277">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3.4 获取电子竞争性磋商文件</w:t>
      </w:r>
    </w:p>
    <w:p w14:paraId="58F90A6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响应文件。</w:t>
      </w:r>
    </w:p>
    <w:p w14:paraId="7A31C4DB">
      <w:pPr>
        <w:pStyle w:val="5"/>
        <w:numPr>
          <w:ilvl w:val="0"/>
          <w:numId w:val="1"/>
        </w:numPr>
        <w:spacing w:line="360" w:lineRule="auto"/>
        <w:rPr>
          <w:rFonts w:hint="eastAsia" w:ascii="宋体" w:hAnsi="宋体" w:eastAsia="宋体" w:cs="宋体"/>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公告发布媒介：本项目</w:t>
      </w:r>
      <w:r>
        <w:rPr>
          <w:rFonts w:hint="eastAsia" w:ascii="宋体" w:hAnsi="宋体" w:cs="宋体"/>
          <w:kern w:val="2"/>
          <w:sz w:val="24"/>
          <w:szCs w:val="24"/>
          <w:lang w:val="en-US" w:eastAsia="zh-CN" w:bidi="ar-SA"/>
          <w14:ligatures w14:val="none"/>
        </w:rPr>
        <w:t>竞争性磋商</w:t>
      </w:r>
      <w:r>
        <w:rPr>
          <w:rFonts w:hint="eastAsia" w:ascii="宋体" w:hAnsi="宋体" w:eastAsia="宋体" w:cs="宋体"/>
          <w:kern w:val="2"/>
          <w:sz w:val="24"/>
          <w:szCs w:val="24"/>
          <w:lang w:val="en-US" w:eastAsia="zh-CN" w:bidi="ar-SA"/>
          <w14:ligatures w14:val="none"/>
        </w:rPr>
        <w:t>公告在中国政府采购网、北京市政府采购网发布。</w:t>
      </w:r>
    </w:p>
    <w:p w14:paraId="4CE3E29C">
      <w:pPr>
        <w:pStyle w:val="3"/>
        <w:spacing w:before="0" w:line="360" w:lineRule="auto"/>
        <w:jc w:val="left"/>
        <w:rPr>
          <w:rFonts w:hint="eastAsia" w:ascii="宋体" w:hAnsi="宋体" w:eastAsia="宋体" w:cs="宋体"/>
          <w:sz w:val="24"/>
          <w:szCs w:val="24"/>
        </w:rPr>
      </w:pPr>
      <w:bookmarkStart w:id="21" w:name="_Toc28359085"/>
      <w:bookmarkStart w:id="22" w:name="_Toc35393627"/>
      <w:bookmarkStart w:id="23" w:name="_Toc35393796"/>
      <w:bookmarkStart w:id="24" w:name="_Toc28359008"/>
      <w:r>
        <w:rPr>
          <w:rFonts w:hint="eastAsia" w:ascii="宋体" w:hAnsi="宋体" w:eastAsia="宋体" w:cs="宋体"/>
          <w:sz w:val="24"/>
          <w:szCs w:val="24"/>
        </w:rPr>
        <w:t>八、对本项目提出询问，请按以下方式联系。</w:t>
      </w:r>
      <w:bookmarkEnd w:id="21"/>
      <w:bookmarkEnd w:id="22"/>
      <w:bookmarkEnd w:id="23"/>
      <w:bookmarkEnd w:id="24"/>
    </w:p>
    <w:p w14:paraId="0CB58BAD">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14:paraId="474AF4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bookmarkStart w:id="25" w:name="_Toc28359009"/>
      <w:bookmarkStart w:id="26" w:name="_Toc28359086"/>
      <w:r>
        <w:rPr>
          <w:rFonts w:hint="eastAsia" w:ascii="宋体" w:hAnsi="宋体" w:eastAsia="宋体" w:cs="宋体"/>
          <w:sz w:val="24"/>
        </w:rPr>
        <w:t>名称：</w:t>
      </w:r>
      <w:r>
        <w:rPr>
          <w:rFonts w:hint="eastAsia" w:ascii="宋体" w:hAnsi="宋体" w:eastAsia="宋体" w:cs="宋体"/>
          <w:color w:val="auto"/>
          <w:sz w:val="24"/>
          <w:szCs w:val="24"/>
        </w:rPr>
        <w:t>北京市水利工程管理中心</w:t>
      </w:r>
      <w:r>
        <w:rPr>
          <w:rFonts w:hint="eastAsia" w:ascii="宋体" w:hAnsi="宋体" w:eastAsia="宋体" w:cs="宋体"/>
          <w:sz w:val="24"/>
        </w:rPr>
        <w:t xml:space="preserve"> </w:t>
      </w:r>
    </w:p>
    <w:p w14:paraId="0D97BE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地址：</w:t>
      </w:r>
      <w:r>
        <w:rPr>
          <w:rFonts w:hint="eastAsia" w:ascii="宋体" w:hAnsi="宋体" w:cs="宋体"/>
          <w:sz w:val="24"/>
          <w:lang w:eastAsia="zh-CN"/>
        </w:rPr>
        <w:t>北京市海淀区翠微路甲3号</w:t>
      </w:r>
    </w:p>
    <w:p w14:paraId="73AA1C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联系方式：张雪芬 010-69659153-6663</w:t>
      </w:r>
    </w:p>
    <w:p w14:paraId="7968383E">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2.采购代理机构信息</w:t>
      </w:r>
      <w:bookmarkEnd w:id="25"/>
      <w:bookmarkEnd w:id="26"/>
    </w:p>
    <w:p w14:paraId="27130A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bookmarkStart w:id="27" w:name="_Toc28359087"/>
      <w:bookmarkStart w:id="28" w:name="_Toc28359010"/>
      <w:r>
        <w:rPr>
          <w:rFonts w:hint="eastAsia" w:ascii="宋体" w:hAnsi="宋体" w:eastAsia="宋体" w:cs="宋体"/>
          <w:sz w:val="24"/>
        </w:rPr>
        <w:t>名    称：</w:t>
      </w:r>
      <w:r>
        <w:rPr>
          <w:rFonts w:hint="eastAsia" w:ascii="宋体" w:hAnsi="宋体" w:eastAsia="宋体" w:cs="宋体"/>
          <w:sz w:val="24"/>
          <w:lang w:eastAsia="zh-CN"/>
        </w:rPr>
        <w:t>北京中昌工程咨询有限公司</w:t>
      </w:r>
    </w:p>
    <w:p w14:paraId="225739D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地    址：北京市丰台区南四环西路188号十七区18号楼2层202-65号</w:t>
      </w:r>
    </w:p>
    <w:p w14:paraId="47EA4D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联系方式：</w:t>
      </w:r>
      <w:r>
        <w:rPr>
          <w:rFonts w:hint="eastAsia" w:ascii="宋体" w:hAnsi="宋体" w:eastAsia="宋体" w:cs="宋体"/>
          <w:color w:val="auto"/>
          <w:sz w:val="24"/>
          <w:szCs w:val="24"/>
          <w:lang w:val="en-US" w:eastAsia="zh-CN"/>
        </w:rPr>
        <w:t xml:space="preserve">邢工 </w:t>
      </w:r>
      <w:r>
        <w:rPr>
          <w:rFonts w:hint="eastAsia" w:ascii="宋体" w:hAnsi="宋体" w:eastAsia="宋体" w:cs="宋体"/>
          <w:color w:val="auto"/>
          <w:sz w:val="24"/>
          <w:szCs w:val="24"/>
          <w:lang w:eastAsia="zh-CN"/>
        </w:rPr>
        <w:t>17631422280</w:t>
      </w:r>
    </w:p>
    <w:p w14:paraId="7828AF66">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3.项目联系方式</w:t>
      </w:r>
      <w:bookmarkEnd w:id="27"/>
      <w:bookmarkEnd w:id="28"/>
    </w:p>
    <w:p w14:paraId="16D9C2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项目联系人：</w:t>
      </w:r>
      <w:r>
        <w:rPr>
          <w:rFonts w:hint="eastAsia" w:ascii="宋体" w:hAnsi="宋体" w:eastAsia="宋体" w:cs="宋体"/>
          <w:sz w:val="24"/>
          <w:lang w:val="en-US" w:eastAsia="zh-CN"/>
        </w:rPr>
        <w:t>邢工</w:t>
      </w:r>
      <w:r>
        <w:rPr>
          <w:rFonts w:hint="eastAsia" w:ascii="宋体" w:hAnsi="宋体" w:eastAsia="宋体" w:cs="宋体"/>
          <w:sz w:val="24"/>
        </w:rPr>
        <w:t xml:space="preserve"> </w:t>
      </w:r>
    </w:p>
    <w:p w14:paraId="4ED2D2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rPr>
        <w:t>电      话：</w:t>
      </w:r>
      <w:r>
        <w:rPr>
          <w:rFonts w:hint="eastAsia" w:ascii="宋体" w:hAnsi="宋体" w:eastAsia="宋体" w:cs="宋体"/>
          <w:color w:val="auto"/>
          <w:sz w:val="24"/>
          <w:szCs w:val="24"/>
          <w:lang w:eastAsia="zh-CN"/>
        </w:rPr>
        <w:t>17631422280</w:t>
      </w:r>
    </w:p>
    <w:p w14:paraId="7AE72049">
      <w:pPr>
        <w:rPr>
          <w:rFonts w:hint="eastAsia" w:ascii="宋体" w:hAnsi="宋体" w:eastAsia="宋体" w:cs="宋体"/>
        </w:rPr>
      </w:pPr>
    </w:p>
    <w:p w14:paraId="645BCE1D">
      <w:pPr>
        <w:widowControl/>
        <w:jc w:val="left"/>
        <w:rPr>
          <w:rFonts w:hint="eastAsia" w:ascii="宋体" w:hAnsi="宋体" w:eastAsia="宋体" w:cs="宋体"/>
        </w:rPr>
      </w:pPr>
      <w:r>
        <w:rPr>
          <w:rFonts w:hint="eastAsia" w:ascii="宋体" w:hAnsi="宋体" w:eastAsia="宋体" w:cs="宋体"/>
        </w:rPr>
        <w:br w:type="page"/>
      </w:r>
    </w:p>
    <w:p w14:paraId="5C3BAC53">
      <w:pPr>
        <w:spacing w:line="360" w:lineRule="auto"/>
        <w:jc w:val="center"/>
        <w:outlineLvl w:val="0"/>
        <w:rPr>
          <w:rFonts w:hint="eastAsia" w:ascii="宋体" w:hAnsi="宋体" w:eastAsia="宋体" w:cs="宋体"/>
          <w:b/>
          <w:sz w:val="32"/>
          <w:szCs w:val="32"/>
        </w:rPr>
      </w:pPr>
      <w:bookmarkStart w:id="29" w:name="_Toc226965856"/>
      <w:bookmarkStart w:id="30" w:name="_Toc353825548"/>
      <w:bookmarkStart w:id="31" w:name="_Toc195842950"/>
      <w:bookmarkStart w:id="32" w:name="_Toc127161488"/>
      <w:bookmarkStart w:id="33" w:name="_Toc512937850"/>
      <w:bookmarkStart w:id="34" w:name="_Toc305158854"/>
      <w:bookmarkStart w:id="35" w:name="_Toc305158928"/>
      <w:bookmarkStart w:id="36" w:name="_Toc265228423"/>
      <w:bookmarkStart w:id="37" w:name="_Toc20689"/>
      <w:bookmarkStart w:id="38" w:name="_Toc264969275"/>
      <w:bookmarkStart w:id="39" w:name="_Toc103153302"/>
      <w:bookmarkStart w:id="40" w:name="_Toc353873938"/>
      <w:bookmarkStart w:id="41" w:name="_Toc150774783"/>
      <w:bookmarkStart w:id="42" w:name="_Toc127151777"/>
      <w:r>
        <w:rPr>
          <w:rFonts w:hint="eastAsia" w:ascii="宋体" w:hAnsi="宋体" w:eastAsia="宋体" w:cs="宋体"/>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6D932DA4">
      <w:pPr>
        <w:pStyle w:val="31"/>
        <w:jc w:val="center"/>
        <w:rPr>
          <w:rFonts w:hint="eastAsia" w:ascii="宋体" w:hAnsi="宋体" w:eastAsia="宋体" w:cs="宋体"/>
          <w:b/>
          <w:bCs/>
          <w:sz w:val="28"/>
          <w:szCs w:val="36"/>
        </w:rPr>
      </w:pPr>
      <w:r>
        <w:rPr>
          <w:rFonts w:hint="eastAsia" w:ascii="宋体" w:hAnsi="宋体" w:eastAsia="宋体" w:cs="宋体"/>
          <w:b/>
          <w:bCs/>
          <w:sz w:val="28"/>
          <w:szCs w:val="36"/>
        </w:rPr>
        <w:t>供应商须知资料表</w:t>
      </w:r>
    </w:p>
    <w:p w14:paraId="0C302F27">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w:t>
      </w:r>
      <w:r>
        <w:rPr>
          <w:rFonts w:hint="eastAsia" w:ascii="宋体" w:hAnsi="宋体" w:eastAsia="宋体" w:cs="宋体"/>
        </w:rPr>
        <w:t>□</w:t>
      </w:r>
      <w:r>
        <w:rPr>
          <w:rFonts w:hint="eastAsia" w:ascii="宋体" w:hAnsi="宋体" w:eastAsia="宋体" w:cs="宋体"/>
          <w:sz w:val="24"/>
        </w:rPr>
        <w:t>”的选项意为不适用于本项目。</w:t>
      </w:r>
    </w:p>
    <w:tbl>
      <w:tblPr>
        <w:tblStyle w:val="1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1F72C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61D365FD">
            <w:pPr>
              <w:jc w:val="center"/>
              <w:rPr>
                <w:rFonts w:hint="eastAsia" w:ascii="宋体" w:hAnsi="宋体" w:eastAsia="宋体" w:cs="宋体"/>
                <w:b/>
                <w:bCs/>
                <w:sz w:val="24"/>
              </w:rPr>
            </w:pPr>
            <w:r>
              <w:rPr>
                <w:rFonts w:hint="eastAsia" w:ascii="宋体" w:hAnsi="宋体" w:eastAsia="宋体" w:cs="宋体"/>
                <w:b/>
                <w:sz w:val="24"/>
              </w:rPr>
              <w:t>条款号</w:t>
            </w:r>
          </w:p>
        </w:tc>
        <w:tc>
          <w:tcPr>
            <w:tcW w:w="1560" w:type="dxa"/>
            <w:vAlign w:val="center"/>
          </w:tcPr>
          <w:p w14:paraId="4DDF052D">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37BE664E">
            <w:pPr>
              <w:jc w:val="center"/>
              <w:rPr>
                <w:rFonts w:hint="eastAsia" w:ascii="宋体" w:hAnsi="宋体" w:eastAsia="宋体" w:cs="宋体"/>
                <w:b/>
                <w:bCs/>
                <w:sz w:val="24"/>
              </w:rPr>
            </w:pPr>
            <w:r>
              <w:rPr>
                <w:rFonts w:hint="eastAsia" w:ascii="宋体" w:hAnsi="宋体" w:eastAsia="宋体" w:cs="宋体"/>
                <w:b/>
                <w:bCs/>
                <w:sz w:val="24"/>
              </w:rPr>
              <w:t>内容</w:t>
            </w:r>
          </w:p>
        </w:tc>
      </w:tr>
      <w:tr w14:paraId="66D6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E36C85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560" w:type="dxa"/>
            <w:vAlign w:val="center"/>
          </w:tcPr>
          <w:p w14:paraId="7B984164">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6FAB3812">
            <w:pPr>
              <w:spacing w:line="360" w:lineRule="auto"/>
              <w:jc w:val="left"/>
              <w:rPr>
                <w:rFonts w:hint="eastAsia" w:ascii="宋体" w:hAnsi="宋体" w:eastAsia="宋体" w:cs="宋体"/>
                <w:sz w:val="24"/>
                <w:u w:val="single"/>
              </w:rPr>
            </w:pPr>
            <w:r>
              <w:rPr>
                <w:rFonts w:hint="eastAsia" w:ascii="宋体" w:hAnsi="宋体" w:eastAsia="宋体" w:cs="宋体"/>
                <w:sz w:val="24"/>
              </w:rPr>
              <w:t xml:space="preserve">项目属性：□服务      □货物      </w:t>
            </w:r>
            <w:r>
              <w:rPr>
                <w:rFonts w:hint="eastAsia" w:ascii="宋体" w:hAnsi="宋体" w:eastAsia="宋体" w:cs="宋体"/>
                <w:b/>
                <w:color w:val="000000"/>
                <w:sz w:val="24"/>
              </w:rPr>
              <w:t>■</w:t>
            </w:r>
            <w:r>
              <w:rPr>
                <w:rFonts w:hint="eastAsia" w:ascii="宋体" w:hAnsi="宋体" w:eastAsia="宋体" w:cs="宋体"/>
                <w:sz w:val="24"/>
              </w:rPr>
              <w:t>工程</w:t>
            </w:r>
          </w:p>
        </w:tc>
      </w:tr>
      <w:tr w14:paraId="62F3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19CEB99">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560" w:type="dxa"/>
            <w:vAlign w:val="center"/>
          </w:tcPr>
          <w:p w14:paraId="36A309DC">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4C7E4127">
            <w:pPr>
              <w:spacing w:line="360" w:lineRule="auto"/>
              <w:jc w:val="left"/>
              <w:rPr>
                <w:rFonts w:hint="eastAsia" w:ascii="宋体" w:hAnsi="宋体" w:eastAsia="宋体" w:cs="宋体"/>
                <w:sz w:val="24"/>
              </w:rPr>
            </w:pPr>
            <w:r>
              <w:rPr>
                <w:rFonts w:hint="eastAsia" w:ascii="宋体" w:hAnsi="宋体" w:eastAsia="宋体" w:cs="宋体"/>
                <w:sz w:val="24"/>
              </w:rPr>
              <w:t xml:space="preserve">是否属于科研仪器设备采购项目：□是         </w:t>
            </w:r>
            <w:r>
              <w:rPr>
                <w:rFonts w:hint="eastAsia" w:ascii="宋体" w:hAnsi="宋体" w:eastAsia="宋体" w:cs="宋体"/>
                <w:b/>
                <w:color w:val="000000"/>
                <w:sz w:val="24"/>
              </w:rPr>
              <w:t>■</w:t>
            </w:r>
            <w:r>
              <w:rPr>
                <w:rFonts w:hint="eastAsia" w:ascii="宋体" w:hAnsi="宋体" w:eastAsia="宋体" w:cs="宋体"/>
                <w:sz w:val="24"/>
              </w:rPr>
              <w:t>否</w:t>
            </w:r>
          </w:p>
        </w:tc>
      </w:tr>
      <w:tr w14:paraId="66FC0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78C9CFF5">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560" w:type="dxa"/>
            <w:vAlign w:val="center"/>
          </w:tcPr>
          <w:p w14:paraId="275E2804">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49CB9306">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14:paraId="7AFD6B22">
            <w:pPr>
              <w:spacing w:line="360" w:lineRule="auto"/>
              <w:jc w:val="left"/>
              <w:rPr>
                <w:rFonts w:hint="eastAsia" w:ascii="宋体" w:hAnsi="宋体" w:eastAsia="宋体" w:cs="宋体"/>
                <w:bCs/>
                <w:sz w:val="24"/>
              </w:rPr>
            </w:pPr>
            <w:r>
              <w:rPr>
                <w:rFonts w:hint="eastAsia" w:ascii="宋体" w:hAnsi="宋体" w:eastAsia="宋体" w:cs="宋体"/>
                <w:sz w:val="24"/>
              </w:rPr>
              <w:t>□组织，考察时间：*</w:t>
            </w:r>
            <w:r>
              <w:rPr>
                <w:rFonts w:hint="eastAsia" w:ascii="宋体" w:hAnsi="宋体" w:eastAsia="宋体" w:cs="宋体"/>
                <w:sz w:val="24"/>
                <w:lang w:bidi="ar"/>
              </w:rPr>
              <w:t>年</w:t>
            </w:r>
            <w:r>
              <w:rPr>
                <w:rFonts w:hint="eastAsia" w:ascii="宋体" w:hAnsi="宋体" w:eastAsia="宋体" w:cs="宋体"/>
                <w:sz w:val="24"/>
              </w:rPr>
              <w:t>*</w:t>
            </w:r>
            <w:r>
              <w:rPr>
                <w:rFonts w:hint="eastAsia" w:ascii="宋体" w:hAnsi="宋体" w:eastAsia="宋体" w:cs="宋体"/>
                <w:sz w:val="24"/>
                <w:lang w:bidi="ar"/>
              </w:rPr>
              <w:t>月</w:t>
            </w:r>
            <w:r>
              <w:rPr>
                <w:rFonts w:hint="eastAsia" w:ascii="宋体" w:hAnsi="宋体" w:eastAsia="宋体" w:cs="宋体"/>
                <w:sz w:val="24"/>
              </w:rPr>
              <w:t>*</w:t>
            </w:r>
            <w:r>
              <w:rPr>
                <w:rFonts w:hint="eastAsia" w:ascii="宋体" w:hAnsi="宋体" w:eastAsia="宋体" w:cs="宋体"/>
                <w:sz w:val="24"/>
                <w:lang w:bidi="ar"/>
              </w:rPr>
              <w:t>日至</w:t>
            </w:r>
            <w:r>
              <w:rPr>
                <w:rFonts w:hint="eastAsia" w:ascii="宋体" w:hAnsi="宋体" w:eastAsia="宋体" w:cs="宋体"/>
                <w:sz w:val="24"/>
              </w:rPr>
              <w:t>2023</w:t>
            </w:r>
            <w:r>
              <w:rPr>
                <w:rFonts w:hint="eastAsia" w:ascii="宋体" w:hAnsi="宋体" w:eastAsia="宋体" w:cs="宋体"/>
                <w:sz w:val="24"/>
                <w:lang w:bidi="ar"/>
              </w:rPr>
              <w:t>年</w:t>
            </w:r>
            <w:r>
              <w:rPr>
                <w:rFonts w:hint="eastAsia" w:ascii="宋体" w:hAnsi="宋体" w:eastAsia="宋体" w:cs="宋体"/>
                <w:sz w:val="24"/>
              </w:rPr>
              <w:t>*</w:t>
            </w:r>
            <w:r>
              <w:rPr>
                <w:rFonts w:hint="eastAsia" w:ascii="宋体" w:hAnsi="宋体" w:eastAsia="宋体" w:cs="宋体"/>
                <w:sz w:val="24"/>
                <w:lang w:bidi="ar"/>
              </w:rPr>
              <w:t>月</w:t>
            </w:r>
            <w:r>
              <w:rPr>
                <w:rFonts w:hint="eastAsia" w:ascii="宋体" w:hAnsi="宋体" w:eastAsia="宋体" w:cs="宋体"/>
                <w:sz w:val="24"/>
              </w:rPr>
              <w:t>*</w:t>
            </w:r>
            <w:r>
              <w:rPr>
                <w:rFonts w:hint="eastAsia" w:ascii="宋体" w:hAnsi="宋体" w:eastAsia="宋体" w:cs="宋体"/>
                <w:sz w:val="24"/>
                <w:lang w:bidi="ar"/>
              </w:rPr>
              <w:t>日</w:t>
            </w:r>
            <w:r>
              <w:rPr>
                <w:rFonts w:hint="eastAsia" w:ascii="宋体" w:hAnsi="宋体" w:eastAsia="宋体" w:cs="宋体"/>
                <w:sz w:val="24"/>
              </w:rPr>
              <w:t>*</w:t>
            </w:r>
            <w:r>
              <w:rPr>
                <w:rFonts w:hint="eastAsia" w:ascii="宋体" w:hAnsi="宋体" w:eastAsia="宋体" w:cs="宋体"/>
                <w:sz w:val="24"/>
                <w:lang w:bidi="ar"/>
              </w:rPr>
              <w:t>点</w:t>
            </w:r>
            <w:r>
              <w:rPr>
                <w:rFonts w:hint="eastAsia" w:ascii="宋体" w:hAnsi="宋体" w:eastAsia="宋体" w:cs="宋体"/>
                <w:sz w:val="24"/>
              </w:rPr>
              <w:t>*</w:t>
            </w:r>
            <w:r>
              <w:rPr>
                <w:rFonts w:hint="eastAsia" w:ascii="宋体" w:hAnsi="宋体" w:eastAsia="宋体" w:cs="宋体"/>
                <w:sz w:val="24"/>
                <w:lang w:bidi="ar"/>
              </w:rPr>
              <w:t>分</w:t>
            </w:r>
          </w:p>
          <w:p w14:paraId="1008DD50">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考察地点：___________。</w:t>
            </w:r>
          </w:p>
        </w:tc>
      </w:tr>
      <w:tr w14:paraId="0D30A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25C9CDC8">
            <w:pPr>
              <w:pStyle w:val="7"/>
              <w:adjustRightInd w:val="0"/>
              <w:snapToGrid w:val="0"/>
              <w:jc w:val="center"/>
              <w:rPr>
                <w:rFonts w:hint="eastAsia" w:ascii="宋体" w:hAnsi="宋体" w:eastAsia="宋体" w:cs="宋体"/>
                <w:sz w:val="24"/>
                <w:szCs w:val="24"/>
              </w:rPr>
            </w:pPr>
          </w:p>
        </w:tc>
        <w:tc>
          <w:tcPr>
            <w:tcW w:w="1560" w:type="dxa"/>
            <w:vAlign w:val="center"/>
          </w:tcPr>
          <w:p w14:paraId="2C664BD4">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5A1B643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14:paraId="2171B6EF">
            <w:pPr>
              <w:spacing w:line="360" w:lineRule="auto"/>
              <w:jc w:val="left"/>
              <w:rPr>
                <w:rFonts w:hint="eastAsia" w:ascii="宋体" w:hAnsi="宋体" w:eastAsia="宋体" w:cs="宋体"/>
                <w:sz w:val="24"/>
              </w:rPr>
            </w:pPr>
            <w:r>
              <w:rPr>
                <w:rFonts w:hint="eastAsia" w:ascii="宋体" w:hAnsi="宋体" w:eastAsia="宋体" w:cs="宋体"/>
                <w:sz w:val="24"/>
              </w:rPr>
              <w:t>□召开，召开时间：*</w:t>
            </w:r>
            <w:r>
              <w:rPr>
                <w:rFonts w:hint="eastAsia" w:ascii="宋体" w:hAnsi="宋体" w:eastAsia="宋体" w:cs="宋体"/>
                <w:sz w:val="24"/>
                <w:lang w:bidi="ar"/>
              </w:rPr>
              <w:t>年</w:t>
            </w:r>
            <w:r>
              <w:rPr>
                <w:rFonts w:hint="eastAsia" w:ascii="宋体" w:hAnsi="宋体" w:eastAsia="宋体" w:cs="宋体"/>
                <w:sz w:val="24"/>
              </w:rPr>
              <w:t>*</w:t>
            </w:r>
            <w:r>
              <w:rPr>
                <w:rFonts w:hint="eastAsia" w:ascii="宋体" w:hAnsi="宋体" w:eastAsia="宋体" w:cs="宋体"/>
                <w:sz w:val="24"/>
                <w:lang w:bidi="ar"/>
              </w:rPr>
              <w:t>月</w:t>
            </w:r>
            <w:r>
              <w:rPr>
                <w:rFonts w:hint="eastAsia" w:ascii="宋体" w:hAnsi="宋体" w:eastAsia="宋体" w:cs="宋体"/>
                <w:sz w:val="24"/>
              </w:rPr>
              <w:t>*</w:t>
            </w:r>
            <w:r>
              <w:rPr>
                <w:rFonts w:hint="eastAsia" w:ascii="宋体" w:hAnsi="宋体" w:eastAsia="宋体" w:cs="宋体"/>
                <w:sz w:val="24"/>
                <w:lang w:bidi="ar"/>
              </w:rPr>
              <w:t>日至</w:t>
            </w:r>
            <w:r>
              <w:rPr>
                <w:rFonts w:hint="eastAsia" w:ascii="宋体" w:hAnsi="宋体" w:eastAsia="宋体" w:cs="宋体"/>
                <w:sz w:val="24"/>
              </w:rPr>
              <w:t>2023</w:t>
            </w:r>
            <w:r>
              <w:rPr>
                <w:rFonts w:hint="eastAsia" w:ascii="宋体" w:hAnsi="宋体" w:eastAsia="宋体" w:cs="宋体"/>
                <w:sz w:val="24"/>
                <w:lang w:bidi="ar"/>
              </w:rPr>
              <w:t>年</w:t>
            </w:r>
            <w:r>
              <w:rPr>
                <w:rFonts w:hint="eastAsia" w:ascii="宋体" w:hAnsi="宋体" w:eastAsia="宋体" w:cs="宋体"/>
                <w:sz w:val="24"/>
              </w:rPr>
              <w:t>*</w:t>
            </w:r>
            <w:r>
              <w:rPr>
                <w:rFonts w:hint="eastAsia" w:ascii="宋体" w:hAnsi="宋体" w:eastAsia="宋体" w:cs="宋体"/>
                <w:sz w:val="24"/>
                <w:lang w:bidi="ar"/>
              </w:rPr>
              <w:t>月</w:t>
            </w:r>
            <w:r>
              <w:rPr>
                <w:rFonts w:hint="eastAsia" w:ascii="宋体" w:hAnsi="宋体" w:eastAsia="宋体" w:cs="宋体"/>
                <w:sz w:val="24"/>
              </w:rPr>
              <w:t>*</w:t>
            </w:r>
            <w:r>
              <w:rPr>
                <w:rFonts w:hint="eastAsia" w:ascii="宋体" w:hAnsi="宋体" w:eastAsia="宋体" w:cs="宋体"/>
                <w:sz w:val="24"/>
                <w:lang w:bidi="ar"/>
              </w:rPr>
              <w:t>日</w:t>
            </w:r>
            <w:r>
              <w:rPr>
                <w:rFonts w:hint="eastAsia" w:ascii="宋体" w:hAnsi="宋体" w:eastAsia="宋体" w:cs="宋体"/>
                <w:sz w:val="24"/>
              </w:rPr>
              <w:t>*</w:t>
            </w:r>
            <w:r>
              <w:rPr>
                <w:rFonts w:hint="eastAsia" w:ascii="宋体" w:hAnsi="宋体" w:eastAsia="宋体" w:cs="宋体"/>
                <w:sz w:val="24"/>
                <w:lang w:bidi="ar"/>
              </w:rPr>
              <w:t>点</w:t>
            </w:r>
            <w:r>
              <w:rPr>
                <w:rFonts w:hint="eastAsia" w:ascii="宋体" w:hAnsi="宋体" w:eastAsia="宋体" w:cs="宋体"/>
                <w:sz w:val="24"/>
              </w:rPr>
              <w:t>*</w:t>
            </w:r>
            <w:r>
              <w:rPr>
                <w:rFonts w:hint="eastAsia" w:ascii="宋体" w:hAnsi="宋体" w:eastAsia="宋体" w:cs="宋体"/>
                <w:sz w:val="24"/>
                <w:lang w:bidi="ar"/>
              </w:rPr>
              <w:t>分</w:t>
            </w:r>
          </w:p>
          <w:p w14:paraId="7E6F1B46">
            <w:pPr>
              <w:spacing w:line="360" w:lineRule="auto"/>
              <w:jc w:val="left"/>
              <w:rPr>
                <w:rFonts w:hint="eastAsia" w:ascii="宋体" w:hAnsi="宋体" w:eastAsia="宋体" w:cs="宋体"/>
                <w:sz w:val="24"/>
              </w:rPr>
            </w:pPr>
            <w:r>
              <w:rPr>
                <w:rFonts w:hint="eastAsia" w:ascii="宋体" w:hAnsi="宋体" w:eastAsia="宋体" w:cs="宋体"/>
                <w:sz w:val="24"/>
              </w:rPr>
              <w:t>召开地点：___________。</w:t>
            </w:r>
          </w:p>
        </w:tc>
      </w:tr>
      <w:tr w14:paraId="0503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1E518DE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1560" w:type="dxa"/>
            <w:vAlign w:val="center"/>
          </w:tcPr>
          <w:p w14:paraId="7F0B5BC7">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7EA4011A">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1D47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3E7538E1">
                  <w:pPr>
                    <w:spacing w:line="360" w:lineRule="auto"/>
                    <w:jc w:val="center"/>
                    <w:rPr>
                      <w:rFonts w:hint="eastAsia" w:ascii="宋体" w:hAnsi="宋体" w:eastAsia="宋体" w:cs="宋体"/>
                      <w:bCs/>
                      <w:sz w:val="24"/>
                      <w:highlight w:val="none"/>
                    </w:rPr>
                  </w:pPr>
                  <w:r>
                    <w:rPr>
                      <w:rFonts w:hint="eastAsia" w:ascii="宋体" w:hAnsi="宋体" w:eastAsia="宋体" w:cs="宋体"/>
                      <w:bCs/>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14:paraId="6D3E894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中小企业划分标准所属行业</w:t>
                  </w:r>
                </w:p>
              </w:tc>
            </w:tr>
            <w:tr w14:paraId="45F0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14:paraId="587FB5BC">
                  <w:pPr>
                    <w:spacing w:line="360" w:lineRule="auto"/>
                    <w:jc w:val="center"/>
                    <w:rPr>
                      <w:rFonts w:hint="eastAsia" w:ascii="宋体" w:hAnsi="宋体" w:eastAsia="宋体" w:cs="宋体"/>
                      <w:bCs/>
                      <w:sz w:val="24"/>
                      <w:highlight w:val="none"/>
                    </w:rPr>
                  </w:pPr>
                  <w:r>
                    <w:rPr>
                      <w:rFonts w:hint="eastAsia" w:ascii="宋体" w:hAnsi="宋体" w:eastAsia="宋体" w:cs="宋体"/>
                      <w:color w:val="000000"/>
                      <w:sz w:val="24"/>
                      <w:highlight w:val="none"/>
                      <w:u w:val="none"/>
                      <w:lang w:eastAsia="zh-CN"/>
                    </w:rPr>
                    <w:t>京密引水渠北台上段强降雨水毁修复工程</w:t>
                  </w:r>
                </w:p>
              </w:tc>
              <w:tc>
                <w:tcPr>
                  <w:tcW w:w="2505" w:type="pct"/>
                  <w:tcBorders>
                    <w:top w:val="single" w:color="auto" w:sz="4" w:space="0"/>
                    <w:left w:val="single" w:color="auto" w:sz="4" w:space="0"/>
                    <w:bottom w:val="single" w:color="auto" w:sz="4" w:space="0"/>
                    <w:right w:val="single" w:color="auto" w:sz="4" w:space="0"/>
                  </w:tcBorders>
                  <w:vAlign w:val="center"/>
                </w:tcPr>
                <w:p w14:paraId="1282B5AF">
                  <w:pPr>
                    <w:spacing w:line="360" w:lineRule="auto"/>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val="en-US" w:eastAsia="zh-CN"/>
                    </w:rPr>
                    <w:t>建筑业</w:t>
                  </w:r>
                </w:p>
              </w:tc>
            </w:tr>
          </w:tbl>
          <w:p w14:paraId="7919A47E">
            <w:pPr>
              <w:spacing w:line="360" w:lineRule="auto"/>
              <w:jc w:val="left"/>
              <w:rPr>
                <w:rFonts w:hint="eastAsia" w:ascii="宋体" w:hAnsi="宋体" w:eastAsia="宋体" w:cs="宋体"/>
                <w:sz w:val="24"/>
              </w:rPr>
            </w:pPr>
          </w:p>
        </w:tc>
      </w:tr>
      <w:tr w14:paraId="22EB7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3AB6104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560" w:type="dxa"/>
            <w:vAlign w:val="center"/>
          </w:tcPr>
          <w:p w14:paraId="2DD15FBA">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7BDF0B4D">
            <w:pPr>
              <w:spacing w:line="360" w:lineRule="auto"/>
              <w:jc w:val="left"/>
              <w:rPr>
                <w:rFonts w:hint="eastAsia" w:ascii="宋体" w:hAnsi="宋体" w:eastAsia="宋体" w:cs="宋体"/>
                <w:sz w:val="24"/>
              </w:rPr>
            </w:pPr>
            <w:r>
              <w:rPr>
                <w:rFonts w:hint="eastAsia" w:ascii="宋体" w:hAnsi="宋体" w:eastAsia="宋体" w:cs="宋体"/>
                <w:sz w:val="24"/>
              </w:rPr>
              <w:t>报价的特殊规定：</w:t>
            </w:r>
          </w:p>
          <w:p w14:paraId="7CB9FAB4">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7B5056B4">
            <w:pPr>
              <w:spacing w:line="360" w:lineRule="auto"/>
              <w:jc w:val="left"/>
              <w:rPr>
                <w:rFonts w:hint="eastAsia" w:ascii="宋体" w:hAnsi="宋体" w:eastAsia="宋体" w:cs="宋体"/>
                <w:sz w:val="24"/>
              </w:rPr>
            </w:pPr>
            <w:r>
              <w:rPr>
                <w:rFonts w:hint="eastAsia" w:ascii="宋体" w:hAnsi="宋体" w:eastAsia="宋体" w:cs="宋体"/>
                <w:sz w:val="24"/>
              </w:rPr>
              <w:t>□有，具体情形：</w:t>
            </w:r>
            <w:r>
              <w:rPr>
                <w:rFonts w:hint="eastAsia" w:ascii="宋体" w:hAnsi="宋体" w:eastAsia="宋体" w:cs="宋体"/>
                <w:sz w:val="24"/>
                <w:u w:val="single"/>
              </w:rPr>
              <w:t xml:space="preserve"> / </w:t>
            </w:r>
          </w:p>
        </w:tc>
      </w:tr>
      <w:tr w14:paraId="120CC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C3E2F6B">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560" w:type="dxa"/>
            <w:vMerge w:val="restart"/>
            <w:vAlign w:val="center"/>
          </w:tcPr>
          <w:p w14:paraId="573CC671">
            <w:pPr>
              <w:jc w:val="center"/>
              <w:rPr>
                <w:rFonts w:hint="eastAsia" w:ascii="宋体" w:hAnsi="宋体" w:eastAsia="宋体" w:cs="宋体"/>
                <w:sz w:val="24"/>
              </w:rPr>
            </w:pPr>
            <w:r>
              <w:rPr>
                <w:rFonts w:hint="eastAsia" w:ascii="宋体" w:hAnsi="宋体" w:eastAsia="宋体" w:cs="宋体"/>
                <w:sz w:val="24"/>
              </w:rPr>
              <w:t>磋商保证金</w:t>
            </w:r>
          </w:p>
        </w:tc>
        <w:tc>
          <w:tcPr>
            <w:tcW w:w="7253" w:type="dxa"/>
            <w:vAlign w:val="center"/>
          </w:tcPr>
          <w:p w14:paraId="6921760C">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磋商保证金金额：</w:t>
            </w:r>
            <w:r>
              <w:rPr>
                <w:rFonts w:hint="eastAsia" w:ascii="宋体" w:hAnsi="宋体" w:eastAsia="宋体" w:cs="宋体"/>
                <w:sz w:val="24"/>
                <w:szCs w:val="24"/>
                <w:u w:val="single"/>
              </w:rPr>
              <w:t xml:space="preserve">  </w:t>
            </w:r>
            <w:r>
              <w:rPr>
                <w:rFonts w:hint="eastAsia" w:hAnsi="宋体" w:cs="宋体"/>
                <w:sz w:val="24"/>
                <w:szCs w:val="24"/>
                <w:u w:val="single"/>
                <w:lang w:val="en-US" w:eastAsia="zh-CN"/>
              </w:rPr>
              <w:t>/</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34F81A84">
            <w:pPr>
              <w:spacing w:line="360" w:lineRule="auto"/>
              <w:jc w:val="left"/>
              <w:rPr>
                <w:rFonts w:hint="eastAsia" w:ascii="宋体" w:hAnsi="宋体" w:eastAsia="宋体" w:cs="宋体"/>
                <w:sz w:val="24"/>
              </w:rPr>
            </w:pPr>
            <w:r>
              <w:rPr>
                <w:rFonts w:hint="eastAsia" w:ascii="宋体" w:hAnsi="宋体" w:eastAsia="宋体" w:cs="宋体"/>
                <w:sz w:val="24"/>
              </w:rPr>
              <w:t>磋商保证金收受人信息：</w:t>
            </w:r>
          </w:p>
          <w:p w14:paraId="0E9A6AA3">
            <w:pPr>
              <w:spacing w:line="360" w:lineRule="auto"/>
              <w:jc w:val="left"/>
              <w:rPr>
                <w:rFonts w:hint="eastAsia" w:ascii="宋体" w:hAnsi="宋体" w:eastAsia="宋体" w:cs="宋体"/>
                <w:sz w:val="24"/>
                <w:lang w:eastAsia="zh-CN"/>
              </w:rPr>
            </w:pPr>
            <w:r>
              <w:rPr>
                <w:rFonts w:hint="eastAsia" w:ascii="宋体" w:hAnsi="宋体" w:eastAsia="宋体" w:cs="宋体"/>
                <w:sz w:val="24"/>
              </w:rPr>
              <w:t>户    名：</w:t>
            </w:r>
            <w:r>
              <w:rPr>
                <w:rFonts w:hint="eastAsia" w:ascii="宋体" w:hAnsi="宋体" w:eastAsia="宋体" w:cs="宋体"/>
                <w:sz w:val="24"/>
                <w:lang w:eastAsia="zh-CN"/>
              </w:rPr>
              <w:t>北京中昌工程咨询有限公司</w:t>
            </w:r>
          </w:p>
          <w:p w14:paraId="56EACE7B">
            <w:pPr>
              <w:spacing w:line="360" w:lineRule="auto"/>
              <w:jc w:val="left"/>
              <w:rPr>
                <w:rFonts w:hint="eastAsia" w:ascii="宋体" w:hAnsi="宋体" w:eastAsia="宋体" w:cs="宋体"/>
                <w:sz w:val="24"/>
                <w:lang w:eastAsia="zh-CN"/>
              </w:rPr>
            </w:pPr>
            <w:r>
              <w:rPr>
                <w:rFonts w:hint="eastAsia" w:ascii="宋体" w:hAnsi="宋体" w:eastAsia="宋体" w:cs="宋体"/>
                <w:sz w:val="24"/>
              </w:rPr>
              <w:t>开户银行：</w:t>
            </w:r>
            <w:r>
              <w:rPr>
                <w:rFonts w:hint="eastAsia" w:ascii="宋体" w:hAnsi="宋体" w:eastAsia="宋体" w:cs="宋体"/>
                <w:sz w:val="24"/>
                <w:lang w:eastAsia="zh-CN"/>
              </w:rPr>
              <w:t>北京银行广渠门支行</w:t>
            </w:r>
          </w:p>
          <w:p w14:paraId="65CAA63F">
            <w:pPr>
              <w:spacing w:line="360" w:lineRule="auto"/>
              <w:jc w:val="left"/>
              <w:rPr>
                <w:rFonts w:hint="eastAsia" w:ascii="宋体" w:hAnsi="宋体" w:eastAsia="宋体" w:cs="宋体"/>
                <w:sz w:val="24"/>
              </w:rPr>
            </w:pPr>
            <w:r>
              <w:rPr>
                <w:rFonts w:hint="eastAsia" w:ascii="宋体" w:hAnsi="宋体" w:eastAsia="宋体" w:cs="宋体"/>
                <w:sz w:val="24"/>
              </w:rPr>
              <w:t>帐    号：</w:t>
            </w:r>
            <w:r>
              <w:rPr>
                <w:rFonts w:hint="eastAsia" w:ascii="宋体" w:hAnsi="宋体" w:eastAsia="宋体" w:cs="宋体"/>
                <w:color w:val="auto"/>
                <w:spacing w:val="-1"/>
                <w:sz w:val="24"/>
                <w:szCs w:val="24"/>
                <w:lang w:val="en-US" w:eastAsia="zh-CN" w:bidi="ar"/>
              </w:rPr>
              <w:t>0109 0514 0001 2010 8057 478</w:t>
            </w:r>
          </w:p>
        </w:tc>
      </w:tr>
      <w:tr w14:paraId="567B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9E02266">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11.8.5</w:t>
            </w:r>
          </w:p>
        </w:tc>
        <w:tc>
          <w:tcPr>
            <w:tcW w:w="1560" w:type="dxa"/>
            <w:vMerge w:val="continue"/>
            <w:vAlign w:val="center"/>
          </w:tcPr>
          <w:p w14:paraId="08D8120C">
            <w:pPr>
              <w:jc w:val="center"/>
              <w:rPr>
                <w:rFonts w:hint="eastAsia" w:ascii="宋体" w:hAnsi="宋体" w:eastAsia="宋体" w:cs="宋体"/>
                <w:sz w:val="24"/>
              </w:rPr>
            </w:pPr>
          </w:p>
        </w:tc>
        <w:tc>
          <w:tcPr>
            <w:tcW w:w="7253" w:type="dxa"/>
            <w:vAlign w:val="center"/>
          </w:tcPr>
          <w:p w14:paraId="16302268">
            <w:pPr>
              <w:spacing w:line="360" w:lineRule="auto"/>
              <w:jc w:val="left"/>
              <w:rPr>
                <w:rFonts w:hint="eastAsia" w:ascii="宋体" w:hAnsi="宋体" w:eastAsia="宋体" w:cs="宋体"/>
                <w:sz w:val="24"/>
              </w:rPr>
            </w:pPr>
            <w:r>
              <w:rPr>
                <w:rFonts w:hint="eastAsia" w:ascii="宋体" w:hAnsi="宋体" w:eastAsia="宋体" w:cs="宋体"/>
                <w:sz w:val="24"/>
              </w:rPr>
              <w:t>磋商保证金不予退还的其他情形：</w:t>
            </w:r>
          </w:p>
          <w:p w14:paraId="6176E419">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4F61D9CA">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□有，具体情形：___________。</w:t>
            </w:r>
          </w:p>
        </w:tc>
      </w:tr>
      <w:tr w14:paraId="18C5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C1FF7F4">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560" w:type="dxa"/>
            <w:vAlign w:val="center"/>
          </w:tcPr>
          <w:p w14:paraId="3A60D309">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54265108">
            <w:pPr>
              <w:spacing w:line="360" w:lineRule="auto"/>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13B8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980F2E4">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17.2</w:t>
            </w:r>
          </w:p>
        </w:tc>
        <w:tc>
          <w:tcPr>
            <w:tcW w:w="1560" w:type="dxa"/>
            <w:vAlign w:val="center"/>
          </w:tcPr>
          <w:p w14:paraId="3CB9AE98">
            <w:pPr>
              <w:jc w:val="center"/>
              <w:rPr>
                <w:rFonts w:hint="eastAsia" w:ascii="宋体" w:hAnsi="宋体" w:eastAsia="宋体" w:cs="宋体"/>
                <w:sz w:val="24"/>
                <w:lang w:eastAsia="zh-CN"/>
              </w:rPr>
            </w:pPr>
            <w:r>
              <w:rPr>
                <w:rFonts w:hint="eastAsia" w:ascii="宋体" w:hAnsi="宋体" w:eastAsia="宋体" w:cs="宋体"/>
                <w:sz w:val="24"/>
              </w:rPr>
              <w:t>解密时间</w:t>
            </w:r>
            <w:r>
              <w:rPr>
                <w:rFonts w:hint="eastAsia" w:ascii="宋体" w:hAnsi="宋体" w:eastAsia="宋体" w:cs="宋体"/>
                <w:sz w:val="24"/>
                <w:lang w:eastAsia="zh-CN"/>
              </w:rPr>
              <w:t>（</w:t>
            </w:r>
            <w:r>
              <w:rPr>
                <w:rFonts w:hint="eastAsia" w:ascii="宋体" w:hAnsi="宋体" w:eastAsia="宋体" w:cs="宋体"/>
                <w:sz w:val="24"/>
                <w:lang w:val="en-US" w:eastAsia="zh-CN"/>
              </w:rPr>
              <w:t>本项目不涉及</w:t>
            </w:r>
            <w:r>
              <w:rPr>
                <w:rFonts w:hint="eastAsia" w:ascii="宋体" w:hAnsi="宋体" w:eastAsia="宋体" w:cs="宋体"/>
                <w:sz w:val="24"/>
                <w:lang w:eastAsia="zh-CN"/>
              </w:rPr>
              <w:t>）</w:t>
            </w:r>
          </w:p>
        </w:tc>
        <w:tc>
          <w:tcPr>
            <w:tcW w:w="7253" w:type="dxa"/>
            <w:vAlign w:val="center"/>
          </w:tcPr>
          <w:p w14:paraId="228D9254">
            <w:pPr>
              <w:spacing w:line="360" w:lineRule="auto"/>
              <w:jc w:val="left"/>
              <w:rPr>
                <w:rFonts w:hint="eastAsia" w:ascii="宋体" w:hAnsi="宋体" w:eastAsia="宋体" w:cs="宋体"/>
                <w:sz w:val="24"/>
              </w:rPr>
            </w:pPr>
            <w:r>
              <w:rPr>
                <w:rFonts w:hint="eastAsia" w:ascii="宋体" w:hAnsi="宋体" w:eastAsia="宋体" w:cs="宋体"/>
                <w:sz w:val="24"/>
              </w:rPr>
              <w:t>解密时间：10分钟</w:t>
            </w:r>
          </w:p>
        </w:tc>
      </w:tr>
      <w:tr w14:paraId="4849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003A6B1C">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560" w:type="dxa"/>
            <w:vAlign w:val="center"/>
          </w:tcPr>
          <w:p w14:paraId="1306813F">
            <w:pPr>
              <w:jc w:val="center"/>
              <w:rPr>
                <w:rFonts w:hint="eastAsia" w:ascii="宋体" w:hAnsi="宋体" w:eastAsia="宋体" w:cs="宋体"/>
                <w:sz w:val="24"/>
              </w:rPr>
            </w:pPr>
            <w:r>
              <w:rPr>
                <w:rFonts w:hint="eastAsia" w:ascii="宋体" w:hAnsi="宋体" w:eastAsia="宋体" w:cs="宋体"/>
                <w:sz w:val="24"/>
              </w:rPr>
              <w:t>成交供应商的确认</w:t>
            </w:r>
          </w:p>
        </w:tc>
        <w:tc>
          <w:tcPr>
            <w:tcW w:w="7253" w:type="dxa"/>
            <w:vAlign w:val="center"/>
          </w:tcPr>
          <w:p w14:paraId="6F342A33">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34491E95">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p w14:paraId="0039C540">
            <w:pPr>
              <w:spacing w:line="360" w:lineRule="auto"/>
              <w:jc w:val="left"/>
              <w:rPr>
                <w:rFonts w:hint="eastAsia" w:ascii="宋体" w:hAnsi="宋体" w:eastAsia="宋体" w:cs="宋体"/>
                <w:sz w:val="24"/>
              </w:rPr>
            </w:pPr>
            <w:r>
              <w:rPr>
                <w:rFonts w:hint="eastAsia" w:ascii="宋体" w:hAnsi="宋体" w:eastAsia="宋体" w:cs="宋体"/>
                <w:sz w:val="24"/>
              </w:rPr>
              <w:t>□是</w:t>
            </w:r>
          </w:p>
          <w:p w14:paraId="321E6BFB">
            <w:pPr>
              <w:spacing w:line="360" w:lineRule="auto"/>
              <w:jc w:val="left"/>
              <w:rPr>
                <w:rFonts w:hint="eastAsia" w:ascii="宋体" w:hAnsi="宋体" w:eastAsia="宋体" w:cs="宋体"/>
                <w:color w:val="FF0000"/>
                <w:sz w:val="24"/>
                <w:u w:val="single"/>
              </w:rPr>
            </w:pPr>
            <w:r>
              <w:rPr>
                <w:rFonts w:hint="eastAsia" w:ascii="宋体" w:hAnsi="宋体" w:eastAsia="宋体" w:cs="宋体"/>
                <w:sz w:val="24"/>
              </w:rPr>
              <w:t>成交候选人并列的，按照以下方式确定成交供应商：</w:t>
            </w:r>
            <w:r>
              <w:rPr>
                <w:rFonts w:hint="eastAsia" w:ascii="宋体" w:hAnsi="宋体" w:eastAsia="宋体" w:cs="宋体"/>
                <w:sz w:val="24"/>
                <w:u w:val="single"/>
              </w:rPr>
              <w:t>评审得分相同的，按照最后报价由低到高的顺序推荐。</w:t>
            </w:r>
          </w:p>
        </w:tc>
      </w:tr>
      <w:tr w14:paraId="0E2C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6862A66">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560" w:type="dxa"/>
            <w:vAlign w:val="center"/>
          </w:tcPr>
          <w:p w14:paraId="72112A88">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74322275">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04A6E88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14:paraId="1E79092D">
            <w:pPr>
              <w:spacing w:line="360" w:lineRule="auto"/>
              <w:jc w:val="left"/>
              <w:rPr>
                <w:rFonts w:hint="eastAsia" w:ascii="宋体" w:hAnsi="宋体" w:eastAsia="宋体" w:cs="宋体"/>
                <w:sz w:val="24"/>
              </w:rPr>
            </w:pPr>
            <w:r>
              <w:rPr>
                <w:rFonts w:hint="eastAsia" w:ascii="宋体" w:hAnsi="宋体" w:eastAsia="宋体" w:cs="宋体"/>
                <w:sz w:val="24"/>
              </w:rPr>
              <w:t>□允许，具体要求：_______。</w:t>
            </w:r>
          </w:p>
          <w:p w14:paraId="500F5A26">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012AEAC7">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2C07CD40">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710CD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4D7FE56">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23.6</w:t>
            </w:r>
          </w:p>
        </w:tc>
        <w:tc>
          <w:tcPr>
            <w:tcW w:w="1560" w:type="dxa"/>
            <w:vAlign w:val="center"/>
          </w:tcPr>
          <w:p w14:paraId="7426BAFE">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63670A94">
            <w:pPr>
              <w:spacing w:line="360" w:lineRule="auto"/>
              <w:jc w:val="left"/>
              <w:rPr>
                <w:rFonts w:hint="eastAsia" w:ascii="宋体" w:hAnsi="宋体" w:eastAsia="宋体" w:cs="宋体"/>
                <w:sz w:val="24"/>
              </w:rPr>
            </w:pPr>
            <w:r>
              <w:rPr>
                <w:rFonts w:hint="eastAsia" w:ascii="宋体" w:hAnsi="宋体" w:eastAsia="宋体" w:cs="宋体"/>
                <w:sz w:val="24"/>
              </w:rPr>
              <w:t>为更大力度激发市场活力和社会创造力，增强发展动力，按照《北</w:t>
            </w:r>
          </w:p>
          <w:p w14:paraId="5132D670">
            <w:pPr>
              <w:spacing w:line="360" w:lineRule="auto"/>
              <w:jc w:val="left"/>
              <w:rPr>
                <w:rFonts w:hint="eastAsia" w:ascii="宋体" w:hAnsi="宋体" w:eastAsia="宋体" w:cs="宋体"/>
                <w:sz w:val="24"/>
              </w:rPr>
            </w:pPr>
            <w:r>
              <w:rPr>
                <w:rFonts w:hint="eastAsia" w:ascii="宋体" w:hAnsi="宋体" w:eastAsia="宋体" w:cs="宋体"/>
                <w:sz w:val="24"/>
              </w:rPr>
              <w:t>京市全面优化营商环境助力企业高质量发展实施方案》（京政办发</w:t>
            </w:r>
          </w:p>
          <w:p w14:paraId="5A33D9FD">
            <w:pPr>
              <w:spacing w:line="360" w:lineRule="auto"/>
              <w:jc w:val="left"/>
              <w:rPr>
                <w:rFonts w:hint="eastAsia" w:ascii="宋体" w:hAnsi="宋体" w:eastAsia="宋体" w:cs="宋体"/>
                <w:sz w:val="24"/>
              </w:rPr>
            </w:pPr>
            <w:r>
              <w:rPr>
                <w:rFonts w:hint="eastAsia" w:ascii="宋体" w:hAnsi="宋体" w:eastAsia="宋体" w:cs="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62BFE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DF415D9">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560" w:type="dxa"/>
            <w:vAlign w:val="center"/>
          </w:tcPr>
          <w:p w14:paraId="7D8BFEC9">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7CD59C7F">
            <w:pPr>
              <w:spacing w:line="360" w:lineRule="auto"/>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eastAsia="宋体" w:cs="宋体"/>
                <w:sz w:val="24"/>
                <w:u w:val="single"/>
              </w:rPr>
              <w:t>以书面加盖单位公章形式</w:t>
            </w:r>
            <w:r>
              <w:rPr>
                <w:rFonts w:hint="eastAsia" w:ascii="宋体" w:hAnsi="宋体" w:eastAsia="宋体" w:cs="宋体"/>
                <w:sz w:val="24"/>
              </w:rPr>
              <w:t>。</w:t>
            </w:r>
          </w:p>
        </w:tc>
      </w:tr>
      <w:tr w14:paraId="6BF66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4D47415">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560" w:type="dxa"/>
            <w:vAlign w:val="center"/>
          </w:tcPr>
          <w:p w14:paraId="2D61B229">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F44E1E7">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608E92C7">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lang w:eastAsia="zh-CN"/>
              </w:rPr>
              <w:t>北京中昌工程咨询有限公司</w:t>
            </w:r>
            <w:r>
              <w:rPr>
                <w:rFonts w:hint="eastAsia" w:ascii="宋体" w:hAnsi="宋体" w:eastAsia="宋体" w:cs="宋体"/>
                <w:sz w:val="24"/>
              </w:rPr>
              <w:t>；</w:t>
            </w:r>
          </w:p>
          <w:p w14:paraId="7C9072C4">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u w:val="single"/>
                <w:lang w:eastAsia="zh-CN"/>
              </w:rPr>
              <w:t>17631422280</w:t>
            </w:r>
            <w:r>
              <w:rPr>
                <w:rFonts w:hint="eastAsia" w:ascii="宋体" w:hAnsi="宋体" w:eastAsia="宋体" w:cs="宋体"/>
                <w:sz w:val="24"/>
                <w:u w:val="single"/>
              </w:rPr>
              <w:t>；</w:t>
            </w:r>
          </w:p>
          <w:p w14:paraId="47379013">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color w:val="auto"/>
                <w:spacing w:val="-1"/>
                <w:sz w:val="24"/>
                <w:szCs w:val="24"/>
                <w:u w:val="single"/>
                <w:lang w:bidi="ar"/>
              </w:rPr>
              <w:t>北京市丰台区南四环西路188号十七区18号楼2层202-65号</w:t>
            </w:r>
            <w:r>
              <w:rPr>
                <w:rFonts w:hint="eastAsia" w:ascii="宋体" w:hAnsi="宋体" w:eastAsia="宋体" w:cs="宋体"/>
                <w:sz w:val="24"/>
              </w:rPr>
              <w:t>。</w:t>
            </w:r>
          </w:p>
        </w:tc>
      </w:tr>
      <w:tr w14:paraId="241E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129E49A">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560" w:type="dxa"/>
            <w:vAlign w:val="center"/>
          </w:tcPr>
          <w:p w14:paraId="0EAD438E">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31251831">
            <w:pPr>
              <w:spacing w:line="360" w:lineRule="auto"/>
              <w:jc w:val="left"/>
              <w:rPr>
                <w:rFonts w:hint="eastAsia" w:ascii="宋体" w:hAnsi="宋体" w:eastAsia="宋体" w:cs="宋体"/>
                <w:sz w:val="24"/>
              </w:rPr>
            </w:pPr>
            <w:r>
              <w:rPr>
                <w:rFonts w:hint="eastAsia" w:ascii="宋体" w:hAnsi="宋体" w:eastAsia="宋体" w:cs="宋体"/>
                <w:sz w:val="24"/>
              </w:rPr>
              <w:t>收费对象：</w:t>
            </w:r>
          </w:p>
          <w:p w14:paraId="5551CA43">
            <w:pPr>
              <w:spacing w:line="360" w:lineRule="auto"/>
              <w:jc w:val="left"/>
              <w:rPr>
                <w:rFonts w:hint="eastAsia" w:ascii="宋体" w:hAnsi="宋体" w:eastAsia="宋体" w:cs="宋体"/>
                <w:sz w:val="24"/>
              </w:rPr>
            </w:pPr>
            <w:r>
              <w:rPr>
                <w:rFonts w:hint="eastAsia" w:ascii="宋体" w:hAnsi="宋体" w:eastAsia="宋体" w:cs="宋体"/>
                <w:sz w:val="24"/>
              </w:rPr>
              <w:t>□采购人</w:t>
            </w:r>
          </w:p>
          <w:p w14:paraId="4AFFC343">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成交供应商</w:t>
            </w:r>
          </w:p>
          <w:p w14:paraId="4A9E49BB">
            <w:pPr>
              <w:spacing w:line="360" w:lineRule="auto"/>
              <w:jc w:val="left"/>
              <w:rPr>
                <w:rStyle w:val="32"/>
                <w:rFonts w:hint="eastAsia" w:ascii="宋体" w:hAnsi="宋体" w:eastAsia="宋体" w:cs="宋体"/>
                <w:sz w:val="24"/>
                <w:u w:val="single"/>
              </w:rPr>
            </w:pPr>
            <w:r>
              <w:rPr>
                <w:rFonts w:hint="eastAsia" w:ascii="宋体" w:hAnsi="宋体" w:eastAsia="宋体" w:cs="宋体"/>
                <w:sz w:val="24"/>
              </w:rPr>
              <w:t>收费标准：</w:t>
            </w:r>
            <w:r>
              <w:rPr>
                <w:rStyle w:val="32"/>
                <w:rFonts w:hint="eastAsia" w:ascii="宋体" w:hAnsi="宋体" w:eastAsia="宋体" w:cs="宋体"/>
                <w:sz w:val="24"/>
                <w:u w:val="single"/>
              </w:rPr>
              <w:t>采购代理服务费参照国家计委计价格[2002]1980号文件及国家发改委发改办价格[2003]857号文件规定执行。</w:t>
            </w:r>
          </w:p>
          <w:p w14:paraId="096BD8C8">
            <w:pPr>
              <w:spacing w:line="360" w:lineRule="auto"/>
              <w:jc w:val="left"/>
              <w:rPr>
                <w:rFonts w:hint="eastAsia" w:ascii="宋体" w:hAnsi="宋体" w:eastAsia="宋体" w:cs="宋体"/>
                <w:sz w:val="24"/>
              </w:rPr>
            </w:pPr>
            <w:r>
              <w:rPr>
                <w:rFonts w:hint="eastAsia" w:ascii="宋体" w:hAnsi="宋体" w:eastAsia="宋体" w:cs="宋体"/>
                <w:sz w:val="24"/>
              </w:rPr>
              <w:t>缴纳时间：</w:t>
            </w:r>
            <w:r>
              <w:rPr>
                <w:rStyle w:val="32"/>
                <w:rFonts w:hint="eastAsia" w:ascii="宋体" w:hAnsi="宋体" w:eastAsia="宋体" w:cs="宋体"/>
                <w:sz w:val="24"/>
                <w:u w:val="single"/>
              </w:rPr>
              <w:t>领取成交通知书时向贵公司即</w:t>
            </w:r>
            <w:r>
              <w:rPr>
                <w:rStyle w:val="32"/>
                <w:rFonts w:hint="eastAsia" w:ascii="宋体" w:hAnsi="宋体" w:eastAsia="宋体" w:cs="宋体"/>
                <w:sz w:val="24"/>
                <w:u w:val="single"/>
                <w:lang w:eastAsia="zh-CN"/>
              </w:rPr>
              <w:t>北京中昌工程咨询有限公司</w:t>
            </w:r>
            <w:r>
              <w:rPr>
                <w:rStyle w:val="32"/>
                <w:rFonts w:hint="eastAsia" w:ascii="宋体" w:hAnsi="宋体" w:eastAsia="宋体" w:cs="宋体"/>
                <w:sz w:val="24"/>
                <w:u w:val="single"/>
              </w:rPr>
              <w:t>，一次性支付应该交纳的采购代理服务费用</w:t>
            </w:r>
            <w:r>
              <w:rPr>
                <w:rFonts w:hint="eastAsia" w:ascii="宋体" w:hAnsi="宋体" w:eastAsia="宋体" w:cs="宋体"/>
                <w:sz w:val="24"/>
                <w:u w:val="single"/>
              </w:rPr>
              <w:t>。</w:t>
            </w:r>
          </w:p>
        </w:tc>
      </w:tr>
      <w:tr w14:paraId="4B95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B138C9F">
            <w:pPr>
              <w:pStyle w:val="7"/>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1560" w:type="dxa"/>
            <w:vAlign w:val="center"/>
          </w:tcPr>
          <w:p w14:paraId="728E24F8">
            <w:pPr>
              <w:jc w:val="center"/>
              <w:rPr>
                <w:rFonts w:hint="eastAsia" w:ascii="宋体" w:hAnsi="宋体" w:eastAsia="宋体" w:cs="宋体"/>
                <w:sz w:val="24"/>
                <w:lang w:val="en-US" w:eastAsia="zh-CN"/>
              </w:rPr>
            </w:pPr>
            <w:r>
              <w:rPr>
                <w:rFonts w:hint="eastAsia" w:ascii="宋体" w:hAnsi="宋体" w:eastAsia="宋体" w:cs="宋体"/>
                <w:sz w:val="24"/>
                <w:lang w:val="en-US" w:eastAsia="zh-CN"/>
              </w:rPr>
              <w:t>投标文件</w:t>
            </w:r>
          </w:p>
        </w:tc>
        <w:tc>
          <w:tcPr>
            <w:tcW w:w="7253" w:type="dxa"/>
            <w:vAlign w:val="center"/>
          </w:tcPr>
          <w:p w14:paraId="056542D4">
            <w:pPr>
              <w:spacing w:line="360" w:lineRule="auto"/>
              <w:jc w:val="left"/>
              <w:rPr>
                <w:rFonts w:hint="eastAsia" w:ascii="宋体" w:hAnsi="宋体" w:eastAsia="宋体" w:cs="宋体"/>
                <w:sz w:val="24"/>
              </w:rPr>
            </w:pPr>
            <w:r>
              <w:rPr>
                <w:rFonts w:hint="eastAsia" w:ascii="宋体" w:hAnsi="宋体" w:eastAsia="宋体" w:cs="宋体"/>
                <w:color w:val="auto"/>
                <w:sz w:val="24"/>
              </w:rPr>
              <w:t>正本1份、副本</w:t>
            </w:r>
            <w:r>
              <w:rPr>
                <w:rFonts w:hint="eastAsia" w:ascii="宋体" w:hAnsi="宋体" w:eastAsia="宋体" w:cs="宋体"/>
                <w:color w:val="auto"/>
                <w:sz w:val="24"/>
                <w:lang w:val="en-US" w:eastAsia="zh-CN"/>
              </w:rPr>
              <w:t>2</w:t>
            </w:r>
            <w:r>
              <w:rPr>
                <w:rFonts w:hint="eastAsia" w:ascii="宋体" w:hAnsi="宋体" w:eastAsia="宋体" w:cs="宋体"/>
                <w:color w:val="auto"/>
                <w:sz w:val="24"/>
              </w:rPr>
              <w:t>份、电子文档1份（电子文档应同时提供签字盖章后扫描的PDF文档和可编辑的word版，须与投标文件正本中的所有文字、图片等内容完全一致）。</w:t>
            </w:r>
          </w:p>
        </w:tc>
      </w:tr>
    </w:tbl>
    <w:p w14:paraId="0ED50E1C">
      <w:pPr>
        <w:rPr>
          <w:rFonts w:hint="eastAsia" w:ascii="宋体" w:hAnsi="宋体" w:eastAsia="宋体" w:cs="宋体"/>
        </w:rPr>
      </w:pPr>
    </w:p>
    <w:p w14:paraId="46E5331C">
      <w:pPr>
        <w:widowControl/>
        <w:jc w:val="left"/>
        <w:rPr>
          <w:rFonts w:hint="eastAsia" w:ascii="宋体" w:hAnsi="宋体" w:eastAsia="宋体" w:cs="宋体"/>
        </w:rPr>
      </w:pPr>
      <w:r>
        <w:rPr>
          <w:rFonts w:hint="eastAsia" w:ascii="宋体" w:hAnsi="宋体" w:eastAsia="宋体" w:cs="宋体"/>
        </w:rPr>
        <w:br w:type="page"/>
      </w:r>
    </w:p>
    <w:p w14:paraId="2AC1A4D6">
      <w:pPr>
        <w:jc w:val="center"/>
        <w:rPr>
          <w:rFonts w:hint="eastAsia" w:ascii="宋体" w:hAnsi="宋体" w:eastAsia="宋体" w:cs="宋体"/>
          <w:b/>
          <w:bCs/>
          <w:sz w:val="28"/>
          <w:szCs w:val="36"/>
        </w:rPr>
      </w:pPr>
      <w:r>
        <w:rPr>
          <w:rFonts w:hint="eastAsia" w:ascii="宋体" w:hAnsi="宋体" w:eastAsia="宋体" w:cs="宋体"/>
          <w:b/>
          <w:bCs/>
          <w:sz w:val="28"/>
          <w:szCs w:val="36"/>
        </w:rPr>
        <w:t>供应商须知</w:t>
      </w:r>
    </w:p>
    <w:p w14:paraId="65352617">
      <w:pPr>
        <w:jc w:val="center"/>
        <w:outlineLvl w:val="1"/>
        <w:rPr>
          <w:rFonts w:hint="eastAsia" w:ascii="宋体" w:hAnsi="宋体" w:eastAsia="宋体" w:cs="宋体"/>
          <w:b/>
          <w:bCs/>
          <w:sz w:val="28"/>
        </w:rPr>
      </w:pPr>
      <w:bookmarkStart w:id="43" w:name="_Toc151193688"/>
      <w:bookmarkStart w:id="44" w:name="_Toc151193906"/>
      <w:bookmarkStart w:id="45" w:name="_Toc305158786"/>
      <w:bookmarkStart w:id="46" w:name="_Toc195842883"/>
      <w:bookmarkStart w:id="47" w:name="_Toc151190145"/>
      <w:bookmarkStart w:id="48" w:name="_Toc151193760"/>
      <w:bookmarkStart w:id="49" w:name="_Toc127151518"/>
      <w:bookmarkStart w:id="50" w:name="_Toc150774618"/>
      <w:bookmarkStart w:id="51" w:name="_Toc150509269"/>
      <w:bookmarkStart w:id="52" w:name="_Toc150774723"/>
      <w:bookmarkStart w:id="53" w:name="_Toc226965791"/>
      <w:bookmarkStart w:id="54" w:name="_Toc226309762"/>
      <w:bookmarkStart w:id="55" w:name="_Toc265228356"/>
      <w:bookmarkStart w:id="56" w:name="_Toc305158860"/>
      <w:bookmarkStart w:id="57" w:name="_Toc142311020"/>
      <w:bookmarkStart w:id="58" w:name="_Toc151193832"/>
      <w:bookmarkStart w:id="59" w:name="_Toc150480756"/>
      <w:bookmarkStart w:id="60" w:name="_Toc226965708"/>
      <w:bookmarkStart w:id="61" w:name="_Toc226337214"/>
      <w:bookmarkStart w:id="62" w:name="_Toc151193616"/>
      <w:bookmarkStart w:id="63" w:name="_Toc264969208"/>
      <w:bookmarkStart w:id="64" w:name="_Toc520356143"/>
      <w:r>
        <w:rPr>
          <w:rFonts w:hint="eastAsia" w:ascii="宋体" w:hAnsi="宋体" w:eastAsia="宋体" w:cs="宋体"/>
          <w:b/>
          <w:bCs/>
          <w:sz w:val="28"/>
          <w:szCs w:val="36"/>
        </w:rPr>
        <w:t>一   说  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BA5E4CF">
      <w:pPr>
        <w:numPr>
          <w:ilvl w:val="0"/>
          <w:numId w:val="2"/>
        </w:numPr>
        <w:tabs>
          <w:tab w:val="left" w:pos="360"/>
          <w:tab w:val="clear" w:pos="900"/>
        </w:tabs>
        <w:snapToGrid w:val="0"/>
        <w:spacing w:line="360" w:lineRule="auto"/>
        <w:ind w:left="357" w:hanging="357"/>
        <w:outlineLvl w:val="2"/>
        <w:rPr>
          <w:rFonts w:hint="eastAsia" w:ascii="宋体" w:hAnsi="宋体" w:eastAsia="宋体" w:cs="宋体"/>
          <w:sz w:val="24"/>
        </w:rPr>
      </w:pPr>
      <w:bookmarkStart w:id="65" w:name="_Toc305158861"/>
      <w:bookmarkStart w:id="66" w:name="_Toc305158787"/>
      <w:bookmarkStart w:id="67" w:name="_Toc264969209"/>
      <w:bookmarkStart w:id="68" w:name="_Toc265228357"/>
      <w:r>
        <w:rPr>
          <w:rFonts w:hint="eastAsia" w:ascii="宋体" w:hAnsi="宋体" w:eastAsia="宋体" w:cs="宋体"/>
          <w:sz w:val="24"/>
        </w:rPr>
        <w:t>采购人、采购代理机构、供应商</w:t>
      </w:r>
      <w:bookmarkEnd w:id="65"/>
      <w:bookmarkEnd w:id="66"/>
      <w:bookmarkEnd w:id="67"/>
      <w:bookmarkEnd w:id="68"/>
      <w:r>
        <w:rPr>
          <w:rFonts w:hint="eastAsia" w:ascii="宋体" w:hAnsi="宋体" w:eastAsia="宋体" w:cs="宋体"/>
          <w:sz w:val="24"/>
        </w:rPr>
        <w:t>、联合体</w:t>
      </w:r>
    </w:p>
    <w:p w14:paraId="7C30FD1E">
      <w:pPr>
        <w:numPr>
          <w:ilvl w:val="1"/>
          <w:numId w:val="2"/>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6F6C912E">
      <w:pPr>
        <w:numPr>
          <w:ilvl w:val="1"/>
          <w:numId w:val="2"/>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007A52B">
      <w:pPr>
        <w:numPr>
          <w:ilvl w:val="1"/>
          <w:numId w:val="2"/>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4337B1FF">
      <w:pPr>
        <w:numPr>
          <w:ilvl w:val="0"/>
          <w:numId w:val="2"/>
        </w:numPr>
        <w:tabs>
          <w:tab w:val="left" w:pos="360"/>
          <w:tab w:val="clear" w:pos="900"/>
        </w:tabs>
        <w:snapToGrid w:val="0"/>
        <w:spacing w:line="360" w:lineRule="auto"/>
        <w:ind w:left="357" w:hanging="357"/>
        <w:outlineLvl w:val="2"/>
        <w:rPr>
          <w:rFonts w:hint="eastAsia" w:ascii="宋体" w:hAnsi="宋体" w:eastAsia="宋体" w:cs="宋体"/>
          <w:sz w:val="24"/>
        </w:rPr>
      </w:pPr>
      <w:bookmarkStart w:id="69" w:name="_Toc226965793"/>
      <w:bookmarkStart w:id="70" w:name="_Toc142311022"/>
      <w:bookmarkStart w:id="71" w:name="_Toc151193834"/>
      <w:bookmarkStart w:id="72" w:name="_Toc226309764"/>
      <w:bookmarkStart w:id="73" w:name="_Toc164229215"/>
      <w:bookmarkStart w:id="74" w:name="_Toc265228358"/>
      <w:bookmarkStart w:id="75" w:name="_Toc127151520"/>
      <w:bookmarkStart w:id="76" w:name="_Toc151193762"/>
      <w:bookmarkStart w:id="77" w:name="_Toc164608789"/>
      <w:bookmarkStart w:id="78" w:name="_Toc151193618"/>
      <w:bookmarkStart w:id="79" w:name="_Toc149720813"/>
      <w:bookmarkStart w:id="80" w:name="_Toc164229361"/>
      <w:bookmarkStart w:id="81" w:name="_Toc164608634"/>
      <w:bookmarkStart w:id="82" w:name="_Toc264969210"/>
      <w:bookmarkStart w:id="83" w:name="_Toc195842885"/>
      <w:bookmarkStart w:id="84" w:name="_Toc305158862"/>
      <w:bookmarkStart w:id="85" w:name="_Toc127151721"/>
      <w:bookmarkStart w:id="86" w:name="_Toc305158788"/>
      <w:bookmarkStart w:id="87" w:name="_Toc164351614"/>
      <w:bookmarkStart w:id="88" w:name="_Toc127161434"/>
      <w:bookmarkStart w:id="89" w:name="_Toc150774620"/>
      <w:bookmarkStart w:id="90" w:name="_Toc226965710"/>
      <w:bookmarkStart w:id="91" w:name="_Toc150774725"/>
      <w:bookmarkStart w:id="92" w:name="_Toc151190147"/>
      <w:bookmarkStart w:id="93" w:name="_Toc151193908"/>
      <w:bookmarkStart w:id="94" w:name="_Toc150480758"/>
      <w:bookmarkStart w:id="95" w:name="_Toc150509271"/>
      <w:bookmarkStart w:id="96" w:name="_Toc151193690"/>
      <w:bookmarkStart w:id="97" w:name="_Toc226337216"/>
      <w:r>
        <w:rPr>
          <w:rFonts w:hint="eastAsia" w:ascii="宋体" w:hAnsi="宋体" w:eastAsia="宋体" w:cs="宋体"/>
          <w:sz w:val="24"/>
        </w:rPr>
        <w:t>资金来源</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宋体" w:hAnsi="宋体" w:eastAsia="宋体" w:cs="宋体"/>
          <w:sz w:val="24"/>
        </w:rPr>
        <w:t>、项目属性、科研仪器设备采购</w:t>
      </w:r>
    </w:p>
    <w:p w14:paraId="7423D3FD">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31FACB72">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6A3019CD">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2283D36B">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现场考察、磋商前答疑会</w:t>
      </w:r>
    </w:p>
    <w:p w14:paraId="11808BCD">
      <w:pPr>
        <w:numPr>
          <w:ilvl w:val="1"/>
          <w:numId w:val="2"/>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p>
    <w:p w14:paraId="23DE3366">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64EF29B5">
      <w:pPr>
        <w:numPr>
          <w:ilvl w:val="0"/>
          <w:numId w:val="2"/>
        </w:numPr>
        <w:tabs>
          <w:tab w:val="left" w:pos="360"/>
          <w:tab w:val="clear" w:pos="90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47657B85">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2B726C55">
      <w:pPr>
        <w:numPr>
          <w:ilvl w:val="2"/>
          <w:numId w:val="2"/>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政府采购应当采购本国货物、工程和服务。但有《中华人民共和国政府采购法》第十条规定的除外</w:t>
      </w:r>
    </w:p>
    <w:p w14:paraId="2CDB5E63">
      <w:pPr>
        <w:numPr>
          <w:ilvl w:val="2"/>
          <w:numId w:val="2"/>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6736775D">
      <w:pPr>
        <w:numPr>
          <w:ilvl w:val="2"/>
          <w:numId w:val="2"/>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170D23CB">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0375853B">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7FB20B34">
      <w:pPr>
        <w:pStyle w:val="34"/>
        <w:numPr>
          <w:ilvl w:val="0"/>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9C2A5EF">
      <w:pPr>
        <w:pStyle w:val="34"/>
        <w:numPr>
          <w:ilvl w:val="0"/>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1602E168">
      <w:pPr>
        <w:pStyle w:val="34"/>
        <w:numPr>
          <w:ilvl w:val="0"/>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74A36360">
      <w:pPr>
        <w:pStyle w:val="34"/>
        <w:numPr>
          <w:ilvl w:val="0"/>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7EBAD9E0">
      <w:pPr>
        <w:pStyle w:val="34"/>
        <w:numPr>
          <w:ilvl w:val="1"/>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7D1D5D3B">
      <w:pPr>
        <w:pStyle w:val="34"/>
        <w:numPr>
          <w:ilvl w:val="1"/>
          <w:numId w:val="3"/>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787D66E">
      <w:pPr>
        <w:pStyle w:val="34"/>
        <w:numPr>
          <w:ilvl w:val="2"/>
          <w:numId w:val="3"/>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5F44FB84">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关于印发中小企业划型标准规定的通知》（工信部联企业〔2011〕300 号）、《金融业企业划型标准规定》（〔2015〕309号）等国务院批准的中小企业划分标准执行。</w:t>
      </w:r>
    </w:p>
    <w:p w14:paraId="3C6921CB">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4D7B5A86">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1DD6D11A">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7F2E38CE">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557FB777">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72FBDEE0">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5CFA65EA">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6B6408">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526962A3">
      <w:pPr>
        <w:pStyle w:val="34"/>
        <w:numPr>
          <w:ilvl w:val="2"/>
          <w:numId w:val="3"/>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9130CD">
      <w:pPr>
        <w:pStyle w:val="34"/>
        <w:numPr>
          <w:ilvl w:val="2"/>
          <w:numId w:val="3"/>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8E8D96A">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17AE57DA">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6917469F">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3050ECE5">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4647507">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44746050">
      <w:pPr>
        <w:numPr>
          <w:ilvl w:val="3"/>
          <w:numId w:val="3"/>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ABC00BB">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365C4B6E">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71064444">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52115CAF">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3D9F9920">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4DC3BA6">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3FA4160">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594E1038">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473085F3">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6E7EC314">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6FE1820">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19EFF917">
      <w:pPr>
        <w:tabs>
          <w:tab w:val="left" w:pos="1080"/>
          <w:tab w:val="left" w:pos="1589"/>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5DDCDC17">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推广使用低挥发性有机化合物（VOCs）</w:t>
      </w:r>
    </w:p>
    <w:p w14:paraId="1C745EFE">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40E9A6A1">
      <w:pPr>
        <w:pStyle w:val="19"/>
        <w:numPr>
          <w:ilvl w:val="1"/>
          <w:numId w:val="2"/>
        </w:numPr>
        <w:tabs>
          <w:tab w:val="left" w:pos="1980"/>
        </w:tabs>
        <w:snapToGrid w:val="0"/>
        <w:spacing w:line="360" w:lineRule="auto"/>
        <w:ind w:firstLineChars="0"/>
        <w:rPr>
          <w:rFonts w:hint="eastAsia" w:ascii="宋体" w:hAnsi="宋体" w:eastAsia="宋体" w:cs="宋体"/>
          <w:sz w:val="24"/>
        </w:rPr>
      </w:pPr>
      <w:r>
        <w:rPr>
          <w:rFonts w:hint="eastAsia" w:ascii="宋体" w:hAnsi="宋体" w:eastAsia="宋体" w:cs="宋体"/>
          <w:sz w:val="24"/>
        </w:rPr>
        <w:t>采购需求标准</w:t>
      </w:r>
    </w:p>
    <w:p w14:paraId="55647B3C">
      <w:pPr>
        <w:pStyle w:val="19"/>
        <w:numPr>
          <w:ilvl w:val="2"/>
          <w:numId w:val="2"/>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205B2147">
      <w:pPr>
        <w:pStyle w:val="19"/>
        <w:numPr>
          <w:ilvl w:val="2"/>
          <w:numId w:val="2"/>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其他政府采购需求标准</w:t>
      </w:r>
    </w:p>
    <w:p w14:paraId="49604D52">
      <w:pPr>
        <w:pStyle w:val="19"/>
        <w:tabs>
          <w:tab w:val="left" w:pos="1980"/>
        </w:tabs>
        <w:snapToGrid w:val="0"/>
        <w:spacing w:line="360" w:lineRule="auto"/>
        <w:ind w:left="1980" w:firstLine="0" w:firstLineChars="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为贯彻落实《深化政府采购制度改革方案》有关要求，推动政府采购需求标准建设，财政部门会同有关部门制定发布的其他政府采购需求标准，本项目如涉及，则具体要求见第四章《采购需求》。</w:t>
      </w:r>
    </w:p>
    <w:p w14:paraId="00695A93">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响应费用</w:t>
      </w:r>
    </w:p>
    <w:p w14:paraId="17C421E2">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60F603ED">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   竞争性磋商文件</w:t>
      </w:r>
    </w:p>
    <w:p w14:paraId="014CCFB5">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98" w:name="_Toc151193765"/>
      <w:bookmarkStart w:id="99" w:name="_Toc151193693"/>
      <w:bookmarkStart w:id="100" w:name="_Toc150480761"/>
      <w:bookmarkStart w:id="101" w:name="_Toc149720816"/>
      <w:bookmarkStart w:id="102" w:name="_Toc127151724"/>
      <w:bookmarkStart w:id="103" w:name="_Toc164608792"/>
      <w:bookmarkStart w:id="104" w:name="_Toc520356147"/>
      <w:bookmarkStart w:id="105" w:name="_Toc151190150"/>
      <w:bookmarkStart w:id="106" w:name="_Toc226965796"/>
      <w:bookmarkStart w:id="107" w:name="_Toc142311025"/>
      <w:bookmarkStart w:id="108" w:name="_Toc127161437"/>
      <w:bookmarkStart w:id="109" w:name="_Toc226337219"/>
      <w:bookmarkStart w:id="110" w:name="_Toc150509274"/>
      <w:bookmarkStart w:id="111" w:name="_Toc226309767"/>
      <w:bookmarkStart w:id="112" w:name="_Toc151193837"/>
      <w:bookmarkStart w:id="113" w:name="_Toc164351617"/>
      <w:bookmarkStart w:id="114" w:name="_Toc305158791"/>
      <w:bookmarkStart w:id="115" w:name="_Toc265228361"/>
      <w:bookmarkStart w:id="116" w:name="_Toc226965713"/>
      <w:bookmarkStart w:id="117" w:name="_Toc164608637"/>
      <w:bookmarkStart w:id="118" w:name="_Toc151193621"/>
      <w:bookmarkStart w:id="119" w:name="_Toc264969213"/>
      <w:bookmarkStart w:id="120" w:name="_Toc164229364"/>
      <w:bookmarkStart w:id="121" w:name="_Toc150774623"/>
      <w:bookmarkStart w:id="122" w:name="_Toc150774728"/>
      <w:bookmarkStart w:id="123" w:name="_Toc127151523"/>
      <w:bookmarkStart w:id="124" w:name="_Toc151193911"/>
      <w:bookmarkStart w:id="125" w:name="_Toc195842888"/>
      <w:bookmarkStart w:id="126" w:name="_Toc305158865"/>
      <w:bookmarkStart w:id="127" w:name="_Toc164229218"/>
      <w:r>
        <w:rPr>
          <w:rFonts w:hint="eastAsia" w:ascii="宋体" w:hAnsi="宋体" w:eastAsia="宋体" w:cs="宋体"/>
          <w:sz w:val="24"/>
        </w:rPr>
        <w:t>竞争性磋商文件构</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sz w:val="24"/>
        </w:rPr>
        <w:t>成</w:t>
      </w:r>
    </w:p>
    <w:p w14:paraId="6989FC42">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7C20FD48">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4143B143">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0BB52109">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4DA6B67A">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038214D5">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1350CD5C">
      <w:pPr>
        <w:numPr>
          <w:ilvl w:val="0"/>
          <w:numId w:val="4"/>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57F7C743">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0CD7C6ED">
      <w:pPr>
        <w:numPr>
          <w:ilvl w:val="0"/>
          <w:numId w:val="2"/>
        </w:numPr>
        <w:tabs>
          <w:tab w:val="left" w:pos="1080"/>
          <w:tab w:val="left" w:pos="2014"/>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对竞争性磋商文件的澄清或修改</w:t>
      </w:r>
    </w:p>
    <w:p w14:paraId="1DC55264">
      <w:pPr>
        <w:numPr>
          <w:ilvl w:val="1"/>
          <w:numId w:val="2"/>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76FD2AB0">
      <w:pPr>
        <w:numPr>
          <w:ilvl w:val="1"/>
          <w:numId w:val="2"/>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284FC83A">
      <w:pPr>
        <w:numPr>
          <w:ilvl w:val="1"/>
          <w:numId w:val="2"/>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highlight w:val="none"/>
        </w:rPr>
        <w:t>澄清或者修改的内容为竞争性磋商文件的组成部分，并对所有获取竞争性磋商文件的潜在供应商具有约束力。</w:t>
      </w:r>
      <w:bookmarkStart w:id="128" w:name="OLE_LINK1"/>
      <w:r>
        <w:rPr>
          <w:rFonts w:hint="eastAsia" w:ascii="宋体" w:hAnsi="宋体" w:eastAsia="宋体" w:cs="宋体"/>
          <w:sz w:val="24"/>
          <w:highlight w:val="none"/>
        </w:rPr>
        <w:t>澄清或者修改的内容可能影响响应文件编制的，将在提交首次响应文件截止之日3个工作日前</w:t>
      </w:r>
      <w:bookmarkEnd w:id="128"/>
      <w:r>
        <w:rPr>
          <w:rFonts w:hint="eastAsia" w:ascii="宋体" w:hAnsi="宋体" w:eastAsia="宋体" w:cs="宋体"/>
          <w:sz w:val="24"/>
          <w:highlight w:val="none"/>
        </w:rPr>
        <w:t>；以书面形式通知所有获取磋商文件的供应商；不足上述时间的，将顺延提交响应文件的截止时间。</w:t>
      </w:r>
    </w:p>
    <w:p w14:paraId="2897A88E">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三   响应文件的编制</w:t>
      </w:r>
    </w:p>
    <w:p w14:paraId="6FE453C5">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129" w:name="_Toc150509278"/>
      <w:bookmarkStart w:id="130" w:name="_Toc150774732"/>
      <w:bookmarkStart w:id="131" w:name="_Toc151193769"/>
      <w:bookmarkStart w:id="132" w:name="_Toc195842892"/>
      <w:bookmarkStart w:id="133" w:name="_Toc305158795"/>
      <w:bookmarkStart w:id="134" w:name="_Toc226309771"/>
      <w:bookmarkStart w:id="135" w:name="_Toc150480765"/>
      <w:bookmarkStart w:id="136" w:name="_Toc150774627"/>
      <w:bookmarkStart w:id="137" w:name="_Toc226965800"/>
      <w:bookmarkStart w:id="138" w:name="_Toc164229368"/>
      <w:bookmarkStart w:id="139" w:name="_Toc127151527"/>
      <w:bookmarkStart w:id="140" w:name="_Toc127151728"/>
      <w:bookmarkStart w:id="141" w:name="_Toc520356151"/>
      <w:bookmarkStart w:id="142" w:name="_Toc164608641"/>
      <w:bookmarkStart w:id="143" w:name="_Toc516367021"/>
      <w:bookmarkStart w:id="144" w:name="_Toc142311029"/>
      <w:bookmarkStart w:id="145" w:name="_Toc164608796"/>
      <w:bookmarkStart w:id="146" w:name="_Toc151193697"/>
      <w:bookmarkStart w:id="147" w:name="_Toc149720820"/>
      <w:bookmarkStart w:id="148" w:name="_Toc151190154"/>
      <w:bookmarkStart w:id="149" w:name="_Toc164229222"/>
      <w:bookmarkStart w:id="150" w:name="_Toc226965717"/>
      <w:bookmarkStart w:id="151" w:name="_Toc265228365"/>
      <w:bookmarkStart w:id="152" w:name="_Toc164351621"/>
      <w:bookmarkStart w:id="153" w:name="_Toc305158869"/>
      <w:bookmarkStart w:id="154" w:name="_Toc151193841"/>
      <w:bookmarkStart w:id="155" w:name="_Toc151193625"/>
      <w:bookmarkStart w:id="156" w:name="_Toc264969217"/>
      <w:bookmarkStart w:id="157" w:name="_Toc151193915"/>
      <w:bookmarkStart w:id="158" w:name="_Toc226337223"/>
      <w:bookmarkStart w:id="159" w:name="_Toc127161441"/>
      <w:r>
        <w:rPr>
          <w:rFonts w:hint="eastAsia" w:ascii="宋体" w:hAnsi="宋体" w:eastAsia="宋体" w:cs="宋体"/>
          <w:sz w:val="24"/>
        </w:rPr>
        <w:t>响应范围、竞争性磋商文件中计量单位的使用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sz w:val="24"/>
        </w:rPr>
        <w:t>及磋商语言</w:t>
      </w:r>
    </w:p>
    <w:p w14:paraId="0884BF18">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7858266B">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03B54236">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A6674E1">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160" w:name="_Ref467306195"/>
      <w:bookmarkStart w:id="161" w:name="_Ref467306676"/>
      <w:bookmarkStart w:id="162" w:name="_Toc516367022"/>
      <w:bookmarkStart w:id="163" w:name="_Toc150774733"/>
      <w:bookmarkStart w:id="164" w:name="_Toc150774628"/>
      <w:bookmarkStart w:id="165" w:name="_Toc164229223"/>
      <w:bookmarkStart w:id="166" w:name="_Toc164608797"/>
      <w:bookmarkStart w:id="167" w:name="_Toc164229369"/>
      <w:bookmarkStart w:id="168" w:name="_Toc127151729"/>
      <w:bookmarkStart w:id="169" w:name="_Toc164351622"/>
      <w:bookmarkStart w:id="170" w:name="_Toc226965801"/>
      <w:bookmarkStart w:id="171" w:name="_Toc151193698"/>
      <w:bookmarkStart w:id="172" w:name="_Toc127161442"/>
      <w:bookmarkStart w:id="173" w:name="_Toc151193626"/>
      <w:bookmarkStart w:id="174" w:name="_Toc151193770"/>
      <w:bookmarkStart w:id="175" w:name="_Toc127151528"/>
      <w:bookmarkStart w:id="176" w:name="_Toc142311030"/>
      <w:bookmarkStart w:id="177" w:name="_Toc151190155"/>
      <w:bookmarkStart w:id="178" w:name="_Toc305158870"/>
      <w:bookmarkStart w:id="179" w:name="_Toc164608642"/>
      <w:bookmarkStart w:id="180" w:name="_Toc264969218"/>
      <w:bookmarkStart w:id="181" w:name="_Toc226337224"/>
      <w:bookmarkStart w:id="182" w:name="_Toc305158796"/>
      <w:bookmarkStart w:id="183" w:name="_Toc520356152"/>
      <w:bookmarkStart w:id="184" w:name="_Toc195842893"/>
      <w:bookmarkStart w:id="185" w:name="_Toc226309772"/>
      <w:bookmarkStart w:id="186" w:name="_Toc150509279"/>
      <w:bookmarkStart w:id="187" w:name="_Toc151193842"/>
      <w:bookmarkStart w:id="188" w:name="_Toc151193916"/>
      <w:bookmarkStart w:id="189" w:name="_Toc265228366"/>
      <w:bookmarkStart w:id="190" w:name="_Toc149720821"/>
      <w:bookmarkStart w:id="191" w:name="_Toc150480766"/>
      <w:bookmarkStart w:id="192" w:name="_Toc226965718"/>
      <w:r>
        <w:rPr>
          <w:rFonts w:hint="eastAsia" w:ascii="宋体" w:hAnsi="宋体" w:eastAsia="宋体" w:cs="宋体"/>
          <w:sz w:val="24"/>
        </w:rPr>
        <w:t>响应文件</w:t>
      </w:r>
      <w:bookmarkEnd w:id="160"/>
      <w:bookmarkEnd w:id="161"/>
      <w:bookmarkEnd w:id="162"/>
      <w:r>
        <w:rPr>
          <w:rFonts w:hint="eastAsia" w:ascii="宋体" w:hAnsi="宋体" w:eastAsia="宋体" w:cs="宋体"/>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6626DDA3">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bookmarkStart w:id="193"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1586EE27">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161ABD57">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46809D10">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42A9F80">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193"/>
    </w:p>
    <w:p w14:paraId="361398FF">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194" w:name="_Toc127161444"/>
      <w:bookmarkStart w:id="195" w:name="_Toc195842895"/>
      <w:bookmarkStart w:id="196" w:name="_Toc151193918"/>
      <w:bookmarkStart w:id="197" w:name="_Toc164229225"/>
      <w:bookmarkStart w:id="198" w:name="_Toc151193628"/>
      <w:bookmarkStart w:id="199" w:name="_Toc164608799"/>
      <w:bookmarkStart w:id="200" w:name="_Toc127151731"/>
      <w:bookmarkStart w:id="201" w:name="_Toc151193700"/>
      <w:bookmarkStart w:id="202" w:name="_Toc149720823"/>
      <w:bookmarkStart w:id="203" w:name="_Toc520356155"/>
      <w:bookmarkStart w:id="204" w:name="_Toc151193844"/>
      <w:bookmarkStart w:id="205" w:name="_Toc164229371"/>
      <w:bookmarkStart w:id="206" w:name="_Toc150509281"/>
      <w:bookmarkStart w:id="207" w:name="_Toc142311032"/>
      <w:bookmarkStart w:id="208" w:name="_Toc164351624"/>
      <w:bookmarkStart w:id="209" w:name="_Toc150774735"/>
      <w:bookmarkStart w:id="210" w:name="_Toc151190157"/>
      <w:bookmarkStart w:id="211" w:name="_Toc150480768"/>
      <w:bookmarkStart w:id="212" w:name="_Toc150774630"/>
      <w:bookmarkStart w:id="213" w:name="_Toc151193772"/>
      <w:bookmarkStart w:id="214" w:name="_Toc164608644"/>
      <w:bookmarkStart w:id="215" w:name="_Toc127151530"/>
      <w:r>
        <w:rPr>
          <w:rFonts w:hint="eastAsia" w:ascii="宋体" w:hAnsi="宋体" w:eastAsia="宋体" w:cs="宋体"/>
          <w:sz w:val="24"/>
        </w:rPr>
        <w:t>报价</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17D41EDC">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14:paraId="4152F051">
      <w:pPr>
        <w:numPr>
          <w:ilvl w:val="1"/>
          <w:numId w:val="2"/>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40D72C2A">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DC24705">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53C09637">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39942F51">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3CA1E2E0">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磋商保证金</w:t>
      </w:r>
    </w:p>
    <w:p w14:paraId="795A1B7E">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bookmarkStart w:id="216" w:name="_Ref467306302"/>
      <w:r>
        <w:rPr>
          <w:rFonts w:hint="eastAsia" w:ascii="宋体" w:hAnsi="宋体" w:eastAsia="宋体" w:cs="宋体"/>
          <w:sz w:val="24"/>
        </w:rPr>
        <w:t>供应商应按《供应商须知资料表》中规定的金额及要求交纳磋商保证金</w:t>
      </w:r>
      <w:bookmarkEnd w:id="216"/>
      <w:r>
        <w:rPr>
          <w:rFonts w:hint="eastAsia" w:ascii="宋体" w:hAnsi="宋体" w:eastAsia="宋体" w:cs="宋体"/>
          <w:sz w:val="24"/>
        </w:rPr>
        <w:t>，供应商自愿超额缴纳磋商保证金的，响应文件不做无效处理。</w:t>
      </w:r>
    </w:p>
    <w:p w14:paraId="28970AC4">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43C13860">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w:t>
      </w:r>
      <w:r>
        <w:rPr>
          <w:rFonts w:hint="eastAsia" w:ascii="宋体" w:hAnsi="宋体" w:eastAsia="宋体" w:cs="宋体"/>
          <w:b/>
          <w:sz w:val="24"/>
        </w:rPr>
        <w:t>响应无效</w:t>
      </w:r>
      <w:r>
        <w:rPr>
          <w:rFonts w:hint="eastAsia" w:ascii="宋体" w:hAnsi="宋体" w:eastAsia="宋体" w:cs="宋体"/>
          <w:sz w:val="24"/>
        </w:rPr>
        <w:t>。</w:t>
      </w:r>
    </w:p>
    <w:p w14:paraId="19F1FB00">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 xml:space="preserve">  供应商除需在响应文件中提供“磋商保证金凭证/交款单据电子件”，还需要在首次响应文件提交截止时间前，通过电子交易平台上传“磋商保证金凭证/交款单据电子件”</w:t>
      </w:r>
    </w:p>
    <w:p w14:paraId="32B49F8F">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14:paraId="48E71748">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3C7DB0F2">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DE55C1E">
      <w:pPr>
        <w:numPr>
          <w:ilvl w:val="2"/>
          <w:numId w:val="2"/>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2BCBEBAB">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4E012BA0">
      <w:pPr>
        <w:tabs>
          <w:tab w:val="left" w:pos="1980"/>
        </w:tabs>
        <w:snapToGrid w:val="0"/>
        <w:spacing w:line="360" w:lineRule="auto"/>
        <w:ind w:left="1080"/>
        <w:rPr>
          <w:rFonts w:hint="eastAsia" w:ascii="宋体" w:hAnsi="宋体" w:eastAsia="宋体" w:cs="宋体"/>
          <w:sz w:val="24"/>
        </w:rPr>
      </w:pPr>
      <w:r>
        <w:rPr>
          <w:rFonts w:hint="eastAsia" w:ascii="宋体" w:hAnsi="宋体" w:eastAsia="宋体" w:cs="宋体"/>
          <w:sz w:val="24"/>
        </w:rPr>
        <w:t>11.7.3  未成交供应商的磋商保证金，在成交通知书发出后5个工作日内退还。</w:t>
      </w:r>
    </w:p>
    <w:p w14:paraId="2CEE82CD">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084E9623">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14:paraId="50B7F2CD">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350BFEF9">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620D3B17">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7331FCF2">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30D94E34">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响应有效期</w:t>
      </w:r>
    </w:p>
    <w:p w14:paraId="1B5B0604">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128C2177">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217" w:name="_Toc150774738"/>
      <w:bookmarkStart w:id="218" w:name="_Toc195842898"/>
      <w:bookmarkStart w:id="219" w:name="_Toc520356158"/>
      <w:bookmarkStart w:id="220" w:name="_Toc226337229"/>
      <w:bookmarkStart w:id="221" w:name="_Toc264969223"/>
      <w:bookmarkStart w:id="222" w:name="_Toc151193847"/>
      <w:bookmarkStart w:id="223" w:name="_Toc150480771"/>
      <w:bookmarkStart w:id="224" w:name="_Toc164608647"/>
      <w:bookmarkStart w:id="225" w:name="_Toc127151734"/>
      <w:bookmarkStart w:id="226" w:name="_Toc164351627"/>
      <w:bookmarkStart w:id="227" w:name="_Toc151190160"/>
      <w:bookmarkStart w:id="228" w:name="_Toc151193921"/>
      <w:bookmarkStart w:id="229" w:name="_Toc226309777"/>
      <w:bookmarkStart w:id="230" w:name="_Toc151193775"/>
      <w:bookmarkStart w:id="231" w:name="_Toc305158875"/>
      <w:bookmarkStart w:id="232" w:name="_Toc164608802"/>
      <w:bookmarkStart w:id="233" w:name="_Toc127151533"/>
      <w:bookmarkStart w:id="234" w:name="_Toc226965723"/>
      <w:bookmarkStart w:id="235" w:name="_Toc150774633"/>
      <w:bookmarkStart w:id="236" w:name="_Toc305158801"/>
      <w:bookmarkStart w:id="237" w:name="_Toc142311035"/>
      <w:bookmarkStart w:id="238" w:name="_Toc265228371"/>
      <w:bookmarkStart w:id="239" w:name="_Toc151193703"/>
      <w:bookmarkStart w:id="240" w:name="_Toc164229228"/>
      <w:bookmarkStart w:id="241" w:name="_Toc127161447"/>
      <w:bookmarkStart w:id="242" w:name="_Toc151193631"/>
      <w:bookmarkStart w:id="243" w:name="_Toc164229374"/>
      <w:bookmarkStart w:id="244" w:name="_Toc226965806"/>
      <w:bookmarkStart w:id="245" w:name="_Toc150509284"/>
      <w:bookmarkStart w:id="246" w:name="_Toc149720826"/>
      <w:r>
        <w:rPr>
          <w:rFonts w:hint="eastAsia" w:ascii="宋体" w:hAnsi="宋体" w:eastAsia="宋体" w:cs="宋体"/>
          <w:sz w:val="24"/>
        </w:rPr>
        <w:t>响应文件的签署</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eastAsia="宋体" w:cs="宋体"/>
          <w:sz w:val="24"/>
        </w:rPr>
        <w:t>、盖章</w:t>
      </w:r>
    </w:p>
    <w:p w14:paraId="49A1351F">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竞争性磋商文件要求签字的内容（如授权委托书等），</w:t>
      </w:r>
      <w:r>
        <w:rPr>
          <w:rFonts w:hint="eastAsia" w:ascii="宋体" w:hAnsi="宋体" w:eastAsia="宋体" w:cs="宋体"/>
          <w:sz w:val="24"/>
          <w:lang w:val="en-US" w:eastAsia="zh-CN"/>
        </w:rPr>
        <w:t>具体详见格式要求。</w:t>
      </w:r>
    </w:p>
    <w:p w14:paraId="5EE5DA82">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四   响应文件的提交</w:t>
      </w:r>
    </w:p>
    <w:p w14:paraId="09504D97">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247" w:name="_Toc520356160"/>
      <w:bookmarkStart w:id="248" w:name="_Toc149720828"/>
      <w:bookmarkStart w:id="249" w:name="_Toc195842900"/>
      <w:bookmarkStart w:id="250" w:name="_Toc164608649"/>
      <w:bookmarkStart w:id="251" w:name="_Toc151193633"/>
      <w:bookmarkStart w:id="252" w:name="_Toc151193849"/>
      <w:bookmarkStart w:id="253" w:name="_Toc226965725"/>
      <w:bookmarkStart w:id="254" w:name="_Toc127151736"/>
      <w:bookmarkStart w:id="255" w:name="_Toc127161449"/>
      <w:bookmarkStart w:id="256" w:name="_Toc226965808"/>
      <w:bookmarkStart w:id="257" w:name="_Toc151190162"/>
      <w:bookmarkStart w:id="258" w:name="_Toc164229376"/>
      <w:bookmarkStart w:id="259" w:name="_Toc127151535"/>
      <w:bookmarkStart w:id="260" w:name="_Toc226337231"/>
      <w:bookmarkStart w:id="261" w:name="_Toc150509286"/>
      <w:bookmarkStart w:id="262" w:name="_Toc164608804"/>
      <w:bookmarkStart w:id="263" w:name="_Toc164351629"/>
      <w:bookmarkStart w:id="264" w:name="_Toc164229230"/>
      <w:bookmarkStart w:id="265" w:name="_Toc226309779"/>
      <w:bookmarkStart w:id="266" w:name="_Toc151193705"/>
      <w:bookmarkStart w:id="267" w:name="_Toc151193777"/>
      <w:bookmarkStart w:id="268" w:name="_Toc151193923"/>
      <w:bookmarkStart w:id="269" w:name="_Toc305158877"/>
      <w:bookmarkStart w:id="270" w:name="_Toc305158803"/>
      <w:bookmarkStart w:id="271" w:name="_Toc264969225"/>
      <w:bookmarkStart w:id="272" w:name="_Toc150480773"/>
      <w:bookmarkStart w:id="273" w:name="_Toc150774740"/>
      <w:bookmarkStart w:id="274" w:name="_Toc265228373"/>
      <w:bookmarkStart w:id="275" w:name="_Toc142311037"/>
      <w:bookmarkStart w:id="276" w:name="_Toc150774635"/>
      <w:r>
        <w:rPr>
          <w:rFonts w:hint="eastAsia" w:ascii="宋体" w:hAnsi="宋体" w:eastAsia="宋体" w:cs="宋体"/>
          <w:sz w:val="24"/>
        </w:rPr>
        <w:t>响应文件的</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z w:val="24"/>
        </w:rPr>
        <w:t>提交</w:t>
      </w:r>
    </w:p>
    <w:p w14:paraId="529A1E8A">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 xml:space="preserve"> 项目使用北京市政府采购电子交易平台。供应商根据竞争性磋商文件及电子交易平台供应商操作手册要求编制、生成并提交电子响应文件</w:t>
      </w:r>
      <w:r>
        <w:rPr>
          <w:rFonts w:hint="eastAsia" w:ascii="宋体" w:hAnsi="宋体" w:eastAsia="宋体" w:cs="宋体"/>
          <w:sz w:val="24"/>
          <w:lang w:eastAsia="zh-CN"/>
        </w:rPr>
        <w:t>（</w:t>
      </w:r>
      <w:r>
        <w:rPr>
          <w:rFonts w:hint="eastAsia" w:ascii="宋体" w:hAnsi="宋体" w:eastAsia="宋体" w:cs="宋体"/>
          <w:sz w:val="24"/>
          <w:lang w:val="en-US" w:eastAsia="zh-CN"/>
        </w:rPr>
        <w:t>本项目不涉及</w:t>
      </w:r>
      <w:r>
        <w:rPr>
          <w:rFonts w:hint="eastAsia" w:ascii="宋体" w:hAnsi="宋体" w:eastAsia="宋体" w:cs="宋体"/>
          <w:sz w:val="24"/>
          <w:lang w:eastAsia="zh-CN"/>
        </w:rPr>
        <w:t>）。</w:t>
      </w:r>
    </w:p>
    <w:p w14:paraId="421FF52C">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 xml:space="preserve"> 购人及采购代理机构有权将拒绝并原封退回在本须知规定的投标截止期后收到的任何响应文件。</w:t>
      </w:r>
    </w:p>
    <w:p w14:paraId="29ACF90D">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277" w:name="_Toc164229377"/>
      <w:bookmarkStart w:id="278" w:name="_Toc265228374"/>
      <w:bookmarkStart w:id="279" w:name="_Toc127151737"/>
      <w:bookmarkStart w:id="280" w:name="_Toc127161450"/>
      <w:bookmarkStart w:id="281" w:name="_Toc164608650"/>
      <w:bookmarkStart w:id="282" w:name="_Toc151193706"/>
      <w:bookmarkStart w:id="283" w:name="_Toc520356161"/>
      <w:bookmarkStart w:id="284" w:name="_Toc195842901"/>
      <w:bookmarkStart w:id="285" w:name="_Toc151193924"/>
      <w:bookmarkStart w:id="286" w:name="_Toc226309780"/>
      <w:bookmarkStart w:id="287" w:name="_Toc226337232"/>
      <w:bookmarkStart w:id="288" w:name="_Toc151190163"/>
      <w:bookmarkStart w:id="289" w:name="_Toc226965726"/>
      <w:bookmarkStart w:id="290" w:name="_Toc142311038"/>
      <w:bookmarkStart w:id="291" w:name="_Toc226965809"/>
      <w:bookmarkStart w:id="292" w:name="_Toc149720829"/>
      <w:bookmarkStart w:id="293" w:name="_Toc150774741"/>
      <w:bookmarkStart w:id="294" w:name="_Toc150774636"/>
      <w:bookmarkStart w:id="295" w:name="_Toc305158878"/>
      <w:bookmarkStart w:id="296" w:name="_Toc150480774"/>
      <w:bookmarkStart w:id="297" w:name="_Toc164608805"/>
      <w:bookmarkStart w:id="298" w:name="_Toc127151536"/>
      <w:bookmarkStart w:id="299" w:name="_Toc164229231"/>
      <w:bookmarkStart w:id="300" w:name="_Toc151193634"/>
      <w:bookmarkStart w:id="301" w:name="_Toc151193778"/>
      <w:bookmarkStart w:id="302" w:name="_Toc164351630"/>
      <w:bookmarkStart w:id="303" w:name="_Toc151193850"/>
      <w:bookmarkStart w:id="304" w:name="_Toc150509287"/>
      <w:bookmarkStart w:id="305" w:name="_Toc305158804"/>
      <w:bookmarkStart w:id="306" w:name="_Toc264969226"/>
      <w:r>
        <w:rPr>
          <w:rFonts w:hint="eastAsia" w:ascii="宋体" w:hAnsi="宋体" w:eastAsia="宋体" w:cs="宋体"/>
          <w:sz w:val="24"/>
        </w:rPr>
        <w:t>响应文件截止</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Pr>
          <w:rFonts w:hint="eastAsia" w:ascii="宋体" w:hAnsi="宋体" w:eastAsia="宋体" w:cs="宋体"/>
          <w:sz w:val="24"/>
        </w:rPr>
        <w:t>时间</w:t>
      </w:r>
    </w:p>
    <w:p w14:paraId="76D86D39">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r>
        <w:rPr>
          <w:rFonts w:hint="eastAsia" w:ascii="宋体" w:hAnsi="宋体" w:eastAsia="宋体" w:cs="宋体"/>
          <w:sz w:val="24"/>
          <w:lang w:eastAsia="zh-CN"/>
        </w:rPr>
        <w:t>（</w:t>
      </w:r>
      <w:r>
        <w:rPr>
          <w:rFonts w:hint="eastAsia" w:ascii="宋体" w:hAnsi="宋体" w:eastAsia="宋体" w:cs="宋体"/>
          <w:sz w:val="24"/>
          <w:lang w:val="en-US" w:eastAsia="zh-CN"/>
        </w:rPr>
        <w:t>本项目不涉及</w:t>
      </w:r>
      <w:r>
        <w:rPr>
          <w:rFonts w:hint="eastAsia" w:ascii="宋体" w:hAnsi="宋体" w:eastAsia="宋体" w:cs="宋体"/>
          <w:sz w:val="24"/>
          <w:lang w:eastAsia="zh-CN"/>
        </w:rPr>
        <w:t>）</w:t>
      </w:r>
      <w:r>
        <w:rPr>
          <w:rFonts w:hint="eastAsia" w:ascii="宋体" w:hAnsi="宋体" w:eastAsia="宋体" w:cs="宋体"/>
          <w:sz w:val="24"/>
        </w:rPr>
        <w:t>。</w:t>
      </w:r>
    </w:p>
    <w:p w14:paraId="4A22A6A5">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307" w:name="_Toc305158805"/>
      <w:bookmarkStart w:id="308" w:name="_Toc164229378"/>
      <w:bookmarkStart w:id="309" w:name="_Toc226309781"/>
      <w:bookmarkStart w:id="310" w:name="_Toc264969227"/>
      <w:bookmarkStart w:id="311" w:name="_Toc142311039"/>
      <w:bookmarkStart w:id="312" w:name="_Toc265228375"/>
      <w:bookmarkStart w:id="313" w:name="_Toc150480775"/>
      <w:bookmarkStart w:id="314" w:name="_Toc226337233"/>
      <w:bookmarkStart w:id="315" w:name="_Toc151193851"/>
      <w:bookmarkStart w:id="316" w:name="_Toc164608806"/>
      <w:bookmarkStart w:id="317" w:name="_Toc151193779"/>
      <w:bookmarkStart w:id="318" w:name="_Toc149720830"/>
      <w:bookmarkStart w:id="319" w:name="_Toc150774742"/>
      <w:bookmarkStart w:id="320" w:name="_Toc164351631"/>
      <w:bookmarkStart w:id="321" w:name="_Toc164229232"/>
      <w:bookmarkStart w:id="322" w:name="_Toc226965810"/>
      <w:bookmarkStart w:id="323" w:name="_Toc305158879"/>
      <w:bookmarkStart w:id="324" w:name="_Toc226965727"/>
      <w:bookmarkStart w:id="325" w:name="_Toc150509288"/>
      <w:bookmarkStart w:id="326" w:name="_Toc151193635"/>
      <w:bookmarkStart w:id="327" w:name="_Toc151190164"/>
      <w:bookmarkStart w:id="328" w:name="_Toc151193707"/>
      <w:bookmarkStart w:id="329" w:name="_Toc164608651"/>
      <w:bookmarkStart w:id="330" w:name="_Toc150774637"/>
      <w:bookmarkStart w:id="331" w:name="_Toc127151537"/>
      <w:bookmarkStart w:id="332" w:name="_Toc127151738"/>
      <w:bookmarkStart w:id="333" w:name="_Toc520356162"/>
      <w:bookmarkStart w:id="334" w:name="_Toc195842902"/>
      <w:bookmarkStart w:id="335" w:name="_Toc127161451"/>
      <w:bookmarkStart w:id="336" w:name="_Toc151193925"/>
      <w:r>
        <w:rPr>
          <w:rFonts w:hint="eastAsia" w:ascii="宋体" w:hAnsi="宋体" w:eastAsia="宋体" w:cs="宋体"/>
          <w:sz w:val="24"/>
        </w:rPr>
        <w:t>响应文件的修改与撤回</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5BC69A2E">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响应文件提交截止时间前，供应商可以对所提交的响应文件进行补充、修改或者撤回。磋商保证金的补充、修改或者撤回无需通过电子交易平台，但应就其补充、修改或者撤回通知采购人或采购代理机构。</w:t>
      </w:r>
    </w:p>
    <w:p w14:paraId="53228CDC">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w:t>
      </w:r>
      <w:r>
        <w:rPr>
          <w:rFonts w:hint="eastAsia" w:ascii="宋体" w:hAnsi="宋体" w:eastAsia="宋体" w:cs="宋体"/>
          <w:kern w:val="0"/>
          <w:sz w:val="24"/>
        </w:rPr>
        <w:t>补充、修改的内容与响应文件不一致的，以补充、修改的内容为准。</w:t>
      </w:r>
    </w:p>
    <w:p w14:paraId="1AA8877F">
      <w:pPr>
        <w:jc w:val="center"/>
        <w:outlineLvl w:val="1"/>
        <w:rPr>
          <w:rFonts w:hint="eastAsia" w:ascii="宋体" w:hAnsi="宋体" w:eastAsia="宋体" w:cs="宋体"/>
          <w:b/>
          <w:bCs/>
          <w:sz w:val="28"/>
          <w:szCs w:val="36"/>
        </w:rPr>
      </w:pPr>
      <w:bookmarkStart w:id="337" w:name="_Toc226965811"/>
      <w:bookmarkStart w:id="338" w:name="_Toc264969228"/>
      <w:bookmarkStart w:id="339" w:name="_Toc305158880"/>
      <w:bookmarkStart w:id="340" w:name="_Toc150774743"/>
      <w:bookmarkStart w:id="341" w:name="_Toc226309782"/>
      <w:bookmarkStart w:id="342" w:name="_Toc195842903"/>
      <w:bookmarkStart w:id="343" w:name="_Toc151193708"/>
      <w:bookmarkStart w:id="344" w:name="_Toc226965728"/>
      <w:bookmarkStart w:id="345" w:name="_Toc151193926"/>
      <w:bookmarkStart w:id="346" w:name="_Toc150480776"/>
      <w:bookmarkStart w:id="347" w:name="_Toc151193852"/>
      <w:bookmarkStart w:id="348" w:name="_Toc127151538"/>
      <w:bookmarkStart w:id="349" w:name="_Toc226337234"/>
      <w:bookmarkStart w:id="350" w:name="_Toc265228376"/>
      <w:bookmarkStart w:id="351" w:name="_Toc305158806"/>
      <w:bookmarkStart w:id="352" w:name="_Toc142311040"/>
      <w:bookmarkStart w:id="353" w:name="_Toc151193780"/>
      <w:bookmarkStart w:id="354" w:name="_Toc151190165"/>
      <w:bookmarkStart w:id="355" w:name="_Toc150774638"/>
      <w:bookmarkStart w:id="356" w:name="_Toc151193636"/>
      <w:bookmarkStart w:id="357" w:name="_Toc150509289"/>
      <w:bookmarkStart w:id="358" w:name="_Toc520356163"/>
      <w:r>
        <w:rPr>
          <w:rFonts w:hint="eastAsia" w:ascii="宋体" w:hAnsi="宋体" w:eastAsia="宋体" w:cs="宋体"/>
          <w:b/>
          <w:bCs/>
          <w:sz w:val="28"/>
          <w:szCs w:val="36"/>
        </w:rPr>
        <w:t xml:space="preserve">五   </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hint="eastAsia" w:ascii="宋体" w:hAnsi="宋体" w:eastAsia="宋体" w:cs="宋体"/>
          <w:b/>
          <w:bCs/>
          <w:sz w:val="28"/>
          <w:szCs w:val="36"/>
        </w:rPr>
        <w:t>响应文件的开启、评审</w:t>
      </w:r>
    </w:p>
    <w:p w14:paraId="08959CE3">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响应文件的解密与开启</w:t>
      </w:r>
    </w:p>
    <w:p w14:paraId="2CD2BC92">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34169A54">
      <w:pPr>
        <w:numPr>
          <w:ilvl w:val="1"/>
          <w:numId w:val="2"/>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 xml:space="preserve"> 本项目解密使用北京市政府采购电子交易平台。供应商应在《供应商须知资料表》规定的时间内对响应文件进行解密，因非系统原因导致的解密失败，视为无效响应</w:t>
      </w:r>
      <w:r>
        <w:rPr>
          <w:rFonts w:hint="eastAsia" w:ascii="宋体" w:hAnsi="宋体" w:eastAsia="宋体" w:cs="宋体"/>
          <w:sz w:val="24"/>
          <w:lang w:eastAsia="zh-CN"/>
        </w:rPr>
        <w:t>（</w:t>
      </w:r>
      <w:r>
        <w:rPr>
          <w:rFonts w:hint="eastAsia" w:ascii="宋体" w:hAnsi="宋体" w:eastAsia="宋体" w:cs="宋体"/>
          <w:sz w:val="24"/>
          <w:lang w:val="en-US" w:eastAsia="zh-CN"/>
        </w:rPr>
        <w:t>本项目不涉及</w:t>
      </w:r>
      <w:r>
        <w:rPr>
          <w:rFonts w:hint="eastAsia" w:ascii="宋体" w:hAnsi="宋体" w:eastAsia="宋体" w:cs="宋体"/>
          <w:sz w:val="24"/>
          <w:lang w:eastAsia="zh-CN"/>
        </w:rPr>
        <w:t>）</w:t>
      </w:r>
      <w:r>
        <w:rPr>
          <w:rFonts w:hint="eastAsia" w:ascii="宋体" w:hAnsi="宋体" w:eastAsia="宋体" w:cs="宋体"/>
          <w:sz w:val="24"/>
        </w:rPr>
        <w:t>。</w:t>
      </w:r>
    </w:p>
    <w:p w14:paraId="0E71FE2D">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E507EBB">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w:t>
      </w:r>
      <w:r>
        <w:rPr>
          <w:rFonts w:hint="eastAsia" w:ascii="宋体" w:hAnsi="宋体" w:eastAsia="宋体" w:cs="宋体"/>
          <w:sz w:val="24"/>
          <w:lang w:val="en-US" w:eastAsia="zh-CN"/>
        </w:rPr>
        <w:t>开启</w:t>
      </w:r>
      <w:r>
        <w:rPr>
          <w:rFonts w:hint="eastAsia" w:ascii="宋体" w:hAnsi="宋体" w:eastAsia="宋体" w:cs="宋体"/>
          <w:sz w:val="24"/>
        </w:rPr>
        <w:t>。</w:t>
      </w:r>
    </w:p>
    <w:p w14:paraId="5F40C067">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bookmarkStart w:id="359" w:name="_Toc520356165"/>
      <w:r>
        <w:rPr>
          <w:rFonts w:hint="eastAsia" w:ascii="宋体" w:hAnsi="宋体" w:eastAsia="宋体" w:cs="宋体"/>
          <w:sz w:val="24"/>
        </w:rPr>
        <w:t>本项目不公开报价。</w:t>
      </w:r>
    </w:p>
    <w:bookmarkEnd w:id="359"/>
    <w:p w14:paraId="0485E82A">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磋商小组</w:t>
      </w:r>
    </w:p>
    <w:p w14:paraId="6B70C2BB">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360" w:name="_Toc520356166"/>
    </w:p>
    <w:p w14:paraId="11649B1E">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60"/>
      <w:bookmarkStart w:id="361" w:name="_Toc520356169"/>
    </w:p>
    <w:p w14:paraId="56C10B2D">
      <w:pPr>
        <w:numPr>
          <w:ilvl w:val="0"/>
          <w:numId w:val="2"/>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77AED320">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见第五章《评审方法和评审标准》。</w:t>
      </w:r>
    </w:p>
    <w:p w14:paraId="42ECA0A2">
      <w:pPr>
        <w:jc w:val="center"/>
        <w:outlineLvl w:val="1"/>
        <w:rPr>
          <w:rFonts w:hint="eastAsia" w:ascii="宋体" w:hAnsi="宋体" w:eastAsia="宋体" w:cs="宋体"/>
          <w:b/>
          <w:bCs/>
          <w:sz w:val="28"/>
          <w:szCs w:val="36"/>
        </w:rPr>
      </w:pPr>
      <w:bookmarkStart w:id="362" w:name="_Toc151193787"/>
      <w:bookmarkStart w:id="363" w:name="_Toc226965735"/>
      <w:bookmarkStart w:id="364" w:name="_Toc305158813"/>
      <w:bookmarkStart w:id="365" w:name="_Toc142311047"/>
      <w:bookmarkStart w:id="366" w:name="_Toc226965818"/>
      <w:bookmarkStart w:id="367" w:name="_Toc226309789"/>
      <w:bookmarkStart w:id="368" w:name="_Toc150509296"/>
      <w:bookmarkStart w:id="369" w:name="_Toc151193715"/>
      <w:bookmarkStart w:id="370" w:name="_Toc150774750"/>
      <w:bookmarkStart w:id="371" w:name="_Toc195842910"/>
      <w:bookmarkStart w:id="372" w:name="_Toc226337241"/>
      <w:bookmarkStart w:id="373" w:name="_Toc264969235"/>
      <w:bookmarkStart w:id="374" w:name="_Toc127151545"/>
      <w:bookmarkStart w:id="375" w:name="_Toc150480783"/>
      <w:bookmarkStart w:id="376" w:name="_Toc151193933"/>
      <w:bookmarkStart w:id="377" w:name="_Toc305158887"/>
      <w:bookmarkStart w:id="378" w:name="_Toc151193859"/>
      <w:bookmarkStart w:id="379" w:name="_Toc151190172"/>
      <w:bookmarkStart w:id="380" w:name="_Toc151193643"/>
      <w:bookmarkStart w:id="381" w:name="_Toc265228383"/>
      <w:bookmarkStart w:id="382" w:name="_Toc150774645"/>
      <w:r>
        <w:rPr>
          <w:rFonts w:hint="eastAsia" w:ascii="宋体" w:hAnsi="宋体" w:eastAsia="宋体" w:cs="宋体"/>
          <w:b/>
          <w:bCs/>
          <w:sz w:val="28"/>
          <w:szCs w:val="36"/>
        </w:rPr>
        <w:t xml:space="preserve">六   </w:t>
      </w:r>
      <w:bookmarkEnd w:id="361"/>
      <w:r>
        <w:rPr>
          <w:rFonts w:hint="eastAsia" w:ascii="宋体" w:hAnsi="宋体" w:eastAsia="宋体" w:cs="宋体"/>
          <w:b/>
          <w:bCs/>
          <w:sz w:val="28"/>
          <w:szCs w:val="36"/>
        </w:rPr>
        <w:t>确定</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hint="eastAsia" w:ascii="宋体" w:hAnsi="宋体" w:eastAsia="宋体" w:cs="宋体"/>
          <w:b/>
          <w:bCs/>
          <w:sz w:val="28"/>
          <w:szCs w:val="36"/>
        </w:rPr>
        <w:t>成交</w:t>
      </w:r>
    </w:p>
    <w:p w14:paraId="0F3F535B">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383" w:name="_Toc151190174"/>
      <w:bookmarkStart w:id="384" w:name="_Toc150509298"/>
      <w:bookmarkStart w:id="385" w:name="_Toc226965737"/>
      <w:bookmarkStart w:id="386" w:name="_Toc127161461"/>
      <w:bookmarkStart w:id="387" w:name="_Toc142311049"/>
      <w:bookmarkStart w:id="388" w:name="_Toc195842912"/>
      <w:bookmarkStart w:id="389" w:name="_Toc164608661"/>
      <w:bookmarkStart w:id="390" w:name="_Toc127151748"/>
      <w:bookmarkStart w:id="391" w:name="_Toc150480785"/>
      <w:bookmarkStart w:id="392" w:name="_Toc151193789"/>
      <w:bookmarkStart w:id="393" w:name="_Toc150774752"/>
      <w:bookmarkStart w:id="394" w:name="_Toc151193935"/>
      <w:bookmarkStart w:id="395" w:name="_Toc164351641"/>
      <w:bookmarkStart w:id="396" w:name="_Toc150774647"/>
      <w:bookmarkStart w:id="397" w:name="_Toc226309791"/>
      <w:bookmarkStart w:id="398" w:name="_Toc305158889"/>
      <w:bookmarkStart w:id="399" w:name="_Toc305158815"/>
      <w:bookmarkStart w:id="400" w:name="_Toc265228385"/>
      <w:bookmarkStart w:id="401" w:name="_Toc226965820"/>
      <w:bookmarkStart w:id="402" w:name="_Toc127151547"/>
      <w:bookmarkStart w:id="403" w:name="_Toc164608816"/>
      <w:bookmarkStart w:id="404" w:name="_Toc164229388"/>
      <w:bookmarkStart w:id="405" w:name="_Toc149720840"/>
      <w:bookmarkStart w:id="406" w:name="_Toc226337243"/>
      <w:bookmarkStart w:id="407" w:name="_Toc151193861"/>
      <w:bookmarkStart w:id="408" w:name="_Toc151193645"/>
      <w:bookmarkStart w:id="409" w:name="_Toc164229242"/>
      <w:bookmarkStart w:id="410" w:name="_Toc264969237"/>
      <w:bookmarkStart w:id="411" w:name="_Toc151193717"/>
      <w:r>
        <w:rPr>
          <w:rFonts w:hint="eastAsia" w:ascii="宋体" w:hAnsi="宋体" w:eastAsia="宋体" w:cs="宋体"/>
          <w:sz w:val="24"/>
        </w:rPr>
        <w:t>确定成交供应商</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8236CB9">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A61C978">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412" w:name="_Toc305158817"/>
      <w:bookmarkStart w:id="413" w:name="_Toc305158891"/>
      <w:bookmarkStart w:id="414" w:name="_Toc150774649"/>
      <w:bookmarkStart w:id="415" w:name="_Toc164229244"/>
      <w:bookmarkStart w:id="416" w:name="_Toc151193719"/>
      <w:bookmarkStart w:id="417" w:name="_Toc151190176"/>
      <w:bookmarkStart w:id="418" w:name="_Toc151193863"/>
      <w:bookmarkStart w:id="419" w:name="_Toc127151549"/>
      <w:bookmarkStart w:id="420" w:name="_Toc150774754"/>
      <w:bookmarkStart w:id="421" w:name="_Toc127161463"/>
      <w:bookmarkStart w:id="422" w:name="_Toc164608818"/>
      <w:bookmarkStart w:id="423" w:name="_Toc151193791"/>
      <w:bookmarkStart w:id="424" w:name="_Toc151193647"/>
      <w:bookmarkStart w:id="425" w:name="_Toc195842914"/>
      <w:bookmarkStart w:id="426" w:name="_Toc164351643"/>
      <w:bookmarkStart w:id="427" w:name="_Toc150480787"/>
      <w:bookmarkStart w:id="428" w:name="_Toc150509300"/>
      <w:bookmarkStart w:id="429" w:name="_Toc226309793"/>
      <w:bookmarkStart w:id="430" w:name="_Toc264969239"/>
      <w:bookmarkStart w:id="431" w:name="_Toc164608663"/>
      <w:bookmarkStart w:id="432" w:name="_Toc265228387"/>
      <w:bookmarkStart w:id="433" w:name="_Toc151193937"/>
      <w:bookmarkStart w:id="434" w:name="_Toc226337245"/>
      <w:bookmarkStart w:id="435" w:name="_Toc226965739"/>
      <w:bookmarkStart w:id="436" w:name="_Toc164229390"/>
      <w:bookmarkStart w:id="437" w:name="_Toc127151750"/>
      <w:bookmarkStart w:id="438" w:name="_Toc142311051"/>
      <w:bookmarkStart w:id="439" w:name="_Toc226965822"/>
      <w:bookmarkStart w:id="440" w:name="_Toc149720842"/>
      <w:bookmarkStart w:id="441" w:name="_Ref467307090"/>
      <w:bookmarkStart w:id="442" w:name="_Toc520356176"/>
      <w:bookmarkStart w:id="443" w:name="_Ref467306425"/>
      <w:r>
        <w:rPr>
          <w:rFonts w:hint="eastAsia" w:ascii="宋体" w:hAnsi="宋体" w:eastAsia="宋体" w:cs="宋体"/>
          <w:sz w:val="24"/>
        </w:rPr>
        <w:t>成交公告与成交通知书</w:t>
      </w:r>
      <w:bookmarkEnd w:id="412"/>
      <w:bookmarkEnd w:id="413"/>
    </w:p>
    <w:p w14:paraId="5A47AD73">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A9D2D4C">
      <w:pPr>
        <w:numPr>
          <w:ilvl w:val="1"/>
          <w:numId w:val="2"/>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成交通知书对采购人和成交供应商具有同等法律效力。成交通知书发出后，采购人改变成交结果的，或者成交供应商放弃成交项目的，将依法承担法律责任。</w:t>
      </w:r>
    </w:p>
    <w:p w14:paraId="5414DE28">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终止</w:t>
      </w:r>
    </w:p>
    <w:p w14:paraId="682E0C94">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6C953A9">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7F65A72B">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01A8494B">
      <w:pPr>
        <w:numPr>
          <w:ilvl w:val="2"/>
          <w:numId w:val="2"/>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26A9E084">
      <w:pPr>
        <w:numPr>
          <w:ilvl w:val="0"/>
          <w:numId w:val="2"/>
        </w:numPr>
        <w:tabs>
          <w:tab w:val="left" w:pos="360"/>
        </w:tabs>
        <w:snapToGrid w:val="0"/>
        <w:spacing w:line="360" w:lineRule="auto"/>
        <w:ind w:left="357" w:hanging="357"/>
        <w:outlineLvl w:val="2"/>
        <w:rPr>
          <w:rFonts w:hint="eastAsia" w:ascii="宋体" w:hAnsi="宋体" w:eastAsia="宋体" w:cs="宋体"/>
          <w:sz w:val="24"/>
        </w:rPr>
      </w:pPr>
      <w:bookmarkStart w:id="444" w:name="_Toc164608664"/>
      <w:bookmarkStart w:id="445" w:name="_Toc127161464"/>
      <w:bookmarkStart w:id="446" w:name="_Toc151190177"/>
      <w:bookmarkStart w:id="447" w:name="_Toc151193792"/>
      <w:bookmarkStart w:id="448" w:name="_Toc265228388"/>
      <w:bookmarkStart w:id="449" w:name="_Toc150774650"/>
      <w:bookmarkStart w:id="450" w:name="_Toc305158818"/>
      <w:bookmarkStart w:id="451" w:name="_Ref467307204"/>
      <w:bookmarkStart w:id="452" w:name="_Toc150774755"/>
      <w:bookmarkStart w:id="453" w:name="_Toc142311052"/>
      <w:bookmarkStart w:id="454" w:name="_Toc150480788"/>
      <w:bookmarkStart w:id="455" w:name="_Toc226965740"/>
      <w:bookmarkStart w:id="456" w:name="_Toc164229245"/>
      <w:bookmarkStart w:id="457" w:name="_Toc151193938"/>
      <w:bookmarkStart w:id="458" w:name="_Toc150509301"/>
      <w:bookmarkStart w:id="459" w:name="_Ref467306377"/>
      <w:bookmarkStart w:id="460" w:name="_Toc305158892"/>
      <w:bookmarkStart w:id="461" w:name="_Toc164351644"/>
      <w:bookmarkStart w:id="462" w:name="_Ref467306978"/>
      <w:bookmarkStart w:id="463" w:name="_Toc195842915"/>
      <w:bookmarkStart w:id="464" w:name="_Toc520356175"/>
      <w:bookmarkStart w:id="465" w:name="_Toc226965823"/>
      <w:bookmarkStart w:id="466" w:name="_Toc151193648"/>
      <w:bookmarkStart w:id="467" w:name="_Toc164229391"/>
      <w:bookmarkStart w:id="468" w:name="_Toc264969240"/>
      <w:bookmarkStart w:id="469" w:name="_Ref467307062"/>
      <w:bookmarkStart w:id="470" w:name="_Toc151193720"/>
      <w:bookmarkStart w:id="471" w:name="_Toc164608819"/>
      <w:bookmarkStart w:id="472" w:name="_Toc127151751"/>
      <w:bookmarkStart w:id="473" w:name="_Toc151193864"/>
      <w:bookmarkStart w:id="474" w:name="_Toc226337246"/>
      <w:bookmarkStart w:id="475" w:name="_Toc226309794"/>
      <w:bookmarkStart w:id="476" w:name="_Toc149720843"/>
      <w:bookmarkStart w:id="477" w:name="_Toc127151550"/>
      <w:r>
        <w:rPr>
          <w:rFonts w:hint="eastAsia" w:ascii="宋体" w:hAnsi="宋体" w:eastAsia="宋体" w:cs="宋体"/>
          <w:sz w:val="24"/>
        </w:rPr>
        <w:t>签订合同</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4A9FDB0C">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14:paraId="2174EDAA">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C4E5AF">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14:paraId="427ADE3F">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74370905">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606D2FC8">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441"/>
    <w:bookmarkEnd w:id="442"/>
    <w:bookmarkEnd w:id="443"/>
    <w:p w14:paraId="2E4A35A8">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询问与质疑</w:t>
      </w:r>
    </w:p>
    <w:p w14:paraId="6EAAF59D">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4BA867A0">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供应商对政府采购活动事项有疑问的，可依法向采购人或采购代理机构提出询问，提出形式见《供应商须知资料表》</w:t>
      </w:r>
    </w:p>
    <w:p w14:paraId="01D6D3CD">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05130598">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34506A5A">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7C70AA7">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0AD3391F">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D53FB66">
      <w:pPr>
        <w:numPr>
          <w:ilvl w:val="2"/>
          <w:numId w:val="2"/>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3B4F652E">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3A9790F1">
      <w:pPr>
        <w:numPr>
          <w:ilvl w:val="0"/>
          <w:numId w:val="2"/>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代理费</w:t>
      </w:r>
    </w:p>
    <w:p w14:paraId="753BCEF5">
      <w:pPr>
        <w:numPr>
          <w:ilvl w:val="1"/>
          <w:numId w:val="2"/>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197B4A0E">
      <w:pPr>
        <w:rPr>
          <w:rFonts w:hint="eastAsia" w:ascii="宋体" w:hAnsi="宋体" w:eastAsia="宋体" w:cs="宋体"/>
          <w:b/>
          <w:sz w:val="36"/>
          <w:szCs w:val="36"/>
        </w:rPr>
      </w:pPr>
      <w:bookmarkStart w:id="478" w:name="_Toc305158896"/>
      <w:bookmarkStart w:id="479" w:name="_Toc264969244"/>
      <w:bookmarkStart w:id="480" w:name="_Toc150774759"/>
      <w:bookmarkStart w:id="481" w:name="_Toc353825544"/>
      <w:bookmarkStart w:id="482" w:name="_Toc353873934"/>
      <w:bookmarkStart w:id="483" w:name="_Toc265228392"/>
      <w:bookmarkStart w:id="484" w:name="_Toc353873664"/>
      <w:bookmarkStart w:id="485" w:name="_Toc226965827"/>
      <w:bookmarkStart w:id="486" w:name="_Toc150480792"/>
      <w:bookmarkStart w:id="487" w:name="_Toc142311056"/>
      <w:bookmarkStart w:id="488" w:name="_Toc226337250"/>
      <w:bookmarkStart w:id="489" w:name="_Toc127151554"/>
      <w:bookmarkStart w:id="490" w:name="_Toc305158822"/>
      <w:bookmarkStart w:id="491" w:name="_Toc103153303"/>
      <w:r>
        <w:rPr>
          <w:rFonts w:hint="eastAsia" w:ascii="宋体" w:hAnsi="宋体" w:eastAsia="宋体" w:cs="宋体"/>
          <w:b/>
          <w:sz w:val="36"/>
          <w:szCs w:val="36"/>
        </w:rPr>
        <w:br w:type="page"/>
      </w:r>
    </w:p>
    <w:p w14:paraId="2DD13633">
      <w:pPr>
        <w:spacing w:line="360" w:lineRule="auto"/>
        <w:jc w:val="center"/>
        <w:outlineLvl w:val="0"/>
        <w:rPr>
          <w:rFonts w:hint="eastAsia" w:ascii="宋体" w:hAnsi="宋体" w:eastAsia="宋体" w:cs="宋体"/>
          <w:b/>
          <w:sz w:val="36"/>
          <w:szCs w:val="36"/>
        </w:rPr>
      </w:pPr>
      <w:bookmarkStart w:id="492" w:name="_Toc25366"/>
      <w:r>
        <w:rPr>
          <w:rFonts w:hint="eastAsia" w:ascii="宋体" w:hAnsi="宋体" w:eastAsia="宋体" w:cs="宋体"/>
          <w:b/>
          <w:sz w:val="36"/>
          <w:szCs w:val="36"/>
        </w:rPr>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b/>
          <w:sz w:val="36"/>
          <w:szCs w:val="36"/>
        </w:rPr>
        <w:t>评审方法和评审标准</w:t>
      </w:r>
      <w:bookmarkEnd w:id="491"/>
      <w:bookmarkEnd w:id="492"/>
      <w:bookmarkStart w:id="493" w:name="_Toc487900382"/>
    </w:p>
    <w:p w14:paraId="21F146B2">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一、资格审查程序</w:t>
      </w:r>
    </w:p>
    <w:bookmarkEnd w:id="493"/>
    <w:p w14:paraId="54B4D32D">
      <w:pPr>
        <w:numPr>
          <w:ilvl w:val="0"/>
          <w:numId w:val="5"/>
        </w:numPr>
        <w:tabs>
          <w:tab w:val="left" w:pos="360"/>
        </w:tabs>
        <w:snapToGrid w:val="0"/>
        <w:spacing w:line="360" w:lineRule="auto"/>
        <w:ind w:left="902" w:hanging="902"/>
        <w:outlineLvl w:val="2"/>
        <w:rPr>
          <w:rFonts w:hint="eastAsia" w:ascii="宋体" w:hAnsi="宋体" w:eastAsia="宋体" w:cs="宋体"/>
          <w:sz w:val="24"/>
        </w:rPr>
      </w:pPr>
      <w:bookmarkStart w:id="494" w:name="_Toc149720834"/>
      <w:bookmarkStart w:id="495" w:name="_Toc164229382"/>
      <w:bookmarkStart w:id="496" w:name="_Toc151193855"/>
      <w:bookmarkStart w:id="497" w:name="_Toc164608655"/>
      <w:bookmarkStart w:id="498" w:name="_Toc151190168"/>
      <w:bookmarkStart w:id="499" w:name="_Toc265228379"/>
      <w:bookmarkStart w:id="500" w:name="_Toc305158809"/>
      <w:bookmarkStart w:id="501" w:name="_Toc195842906"/>
      <w:bookmarkStart w:id="502" w:name="_Toc164229236"/>
      <w:bookmarkStart w:id="503" w:name="_Toc127151742"/>
      <w:bookmarkStart w:id="504" w:name="_Toc150774641"/>
      <w:bookmarkStart w:id="505" w:name="_Toc164608810"/>
      <w:bookmarkStart w:id="506" w:name="_Toc150509292"/>
      <w:bookmarkStart w:id="507" w:name="_Toc151193711"/>
      <w:bookmarkStart w:id="508" w:name="_Toc264969231"/>
      <w:bookmarkStart w:id="509" w:name="_Toc142311043"/>
      <w:bookmarkStart w:id="510" w:name="_Toc150774746"/>
      <w:bookmarkStart w:id="511" w:name="_Toc127151541"/>
      <w:bookmarkStart w:id="512" w:name="_Toc151193929"/>
      <w:bookmarkStart w:id="513" w:name="_Toc226965731"/>
      <w:bookmarkStart w:id="514" w:name="_Toc127161455"/>
      <w:bookmarkStart w:id="515" w:name="_Toc150480779"/>
      <w:bookmarkStart w:id="516" w:name="_Toc151193783"/>
      <w:bookmarkStart w:id="517" w:name="_Toc305158883"/>
      <w:bookmarkStart w:id="518" w:name="_Toc164351635"/>
      <w:bookmarkStart w:id="519" w:name="_Toc226337237"/>
      <w:bookmarkStart w:id="520" w:name="_Toc226309785"/>
      <w:bookmarkStart w:id="521" w:name="_Toc151193639"/>
      <w:bookmarkStart w:id="522" w:name="_Toc226965814"/>
      <w:r>
        <w:rPr>
          <w:rFonts w:hint="eastAsia" w:ascii="宋体" w:hAnsi="宋体" w:eastAsia="宋体" w:cs="宋体"/>
          <w:sz w:val="24"/>
        </w:rPr>
        <w:t>响应文件的</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hint="eastAsia" w:ascii="宋体" w:hAnsi="宋体" w:eastAsia="宋体" w:cs="宋体"/>
          <w:sz w:val="24"/>
        </w:rPr>
        <w:t>资格性检查和符合性审查</w:t>
      </w:r>
    </w:p>
    <w:p w14:paraId="59C5D9A4">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02BF309F">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14:paraId="59920885">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14:paraId="2D8E2972">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14"/>
        <w:tblW w:w="54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2"/>
        <w:gridCol w:w="2678"/>
        <w:gridCol w:w="5416"/>
        <w:gridCol w:w="1392"/>
      </w:tblGrid>
      <w:tr w14:paraId="2D29E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blHeader/>
          <w:jc w:val="center"/>
        </w:trPr>
        <w:tc>
          <w:tcPr>
            <w:tcW w:w="452" w:type="pct"/>
            <w:vAlign w:val="center"/>
          </w:tcPr>
          <w:p w14:paraId="06A90CD1">
            <w:pPr>
              <w:tabs>
                <w:tab w:val="left" w:pos="1080"/>
              </w:tabs>
              <w:snapToGrid w:val="0"/>
              <w:jc w:val="center"/>
              <w:rPr>
                <w:rFonts w:hint="eastAsia" w:ascii="宋体" w:hAnsi="宋体" w:eastAsia="宋体" w:cs="宋体"/>
                <w:b/>
                <w:szCs w:val="21"/>
              </w:rPr>
            </w:pPr>
            <w:bookmarkStart w:id="523" w:name="_Hlt487972895"/>
            <w:bookmarkEnd w:id="523"/>
            <w:r>
              <w:rPr>
                <w:rFonts w:hint="eastAsia" w:ascii="宋体" w:hAnsi="宋体" w:eastAsia="宋体" w:cs="宋体"/>
                <w:b/>
                <w:szCs w:val="21"/>
              </w:rPr>
              <w:t>序号</w:t>
            </w:r>
          </w:p>
        </w:tc>
        <w:tc>
          <w:tcPr>
            <w:tcW w:w="1284" w:type="pct"/>
            <w:vAlign w:val="center"/>
          </w:tcPr>
          <w:p w14:paraId="041DFC5D">
            <w:pPr>
              <w:tabs>
                <w:tab w:val="left" w:pos="1080"/>
              </w:tabs>
              <w:snapToGrid w:val="0"/>
              <w:jc w:val="center"/>
              <w:rPr>
                <w:rFonts w:hint="eastAsia" w:ascii="宋体" w:hAnsi="宋体" w:eastAsia="宋体" w:cs="宋体"/>
                <w:b/>
                <w:szCs w:val="21"/>
              </w:rPr>
            </w:pPr>
            <w:r>
              <w:rPr>
                <w:rFonts w:hint="eastAsia" w:ascii="宋体" w:hAnsi="宋体" w:eastAsia="宋体" w:cs="宋体"/>
                <w:b/>
                <w:szCs w:val="21"/>
              </w:rPr>
              <w:t>检查因素</w:t>
            </w:r>
          </w:p>
        </w:tc>
        <w:tc>
          <w:tcPr>
            <w:tcW w:w="2597" w:type="pct"/>
            <w:vAlign w:val="center"/>
          </w:tcPr>
          <w:p w14:paraId="7ADA5116">
            <w:pPr>
              <w:tabs>
                <w:tab w:val="left" w:pos="1080"/>
              </w:tabs>
              <w:snapToGrid w:val="0"/>
              <w:jc w:val="center"/>
              <w:rPr>
                <w:rFonts w:hint="eastAsia" w:ascii="宋体" w:hAnsi="宋体" w:eastAsia="宋体" w:cs="宋体"/>
                <w:b/>
                <w:szCs w:val="21"/>
              </w:rPr>
            </w:pPr>
            <w:r>
              <w:rPr>
                <w:rFonts w:hint="eastAsia" w:ascii="宋体" w:hAnsi="宋体" w:eastAsia="宋体" w:cs="宋体"/>
                <w:b/>
                <w:szCs w:val="21"/>
              </w:rPr>
              <w:t>检查内容</w:t>
            </w:r>
          </w:p>
        </w:tc>
        <w:tc>
          <w:tcPr>
            <w:tcW w:w="667" w:type="pct"/>
            <w:vAlign w:val="center"/>
          </w:tcPr>
          <w:p w14:paraId="7DD333BB">
            <w:pPr>
              <w:tabs>
                <w:tab w:val="left" w:pos="1080"/>
              </w:tabs>
              <w:snapToGrid w:val="0"/>
              <w:jc w:val="center"/>
              <w:rPr>
                <w:rFonts w:hint="eastAsia" w:ascii="宋体" w:hAnsi="宋体" w:eastAsia="宋体" w:cs="宋体"/>
                <w:b/>
                <w:szCs w:val="21"/>
              </w:rPr>
            </w:pPr>
            <w:r>
              <w:rPr>
                <w:rFonts w:hint="eastAsia" w:ascii="宋体" w:hAnsi="宋体" w:eastAsia="宋体" w:cs="宋体"/>
                <w:b/>
                <w:szCs w:val="21"/>
              </w:rPr>
              <w:t>格式要求</w:t>
            </w:r>
          </w:p>
        </w:tc>
      </w:tr>
      <w:tr w14:paraId="3D34B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139E0858">
            <w:pPr>
              <w:tabs>
                <w:tab w:val="left" w:pos="1080"/>
              </w:tabs>
              <w:snapToGrid w:val="0"/>
              <w:jc w:val="center"/>
              <w:rPr>
                <w:rFonts w:hint="eastAsia" w:ascii="宋体" w:hAnsi="宋体" w:eastAsia="宋体" w:cs="宋体"/>
                <w:szCs w:val="21"/>
              </w:rPr>
            </w:pPr>
            <w:r>
              <w:rPr>
                <w:rFonts w:hint="eastAsia" w:ascii="宋体" w:hAnsi="宋体" w:eastAsia="宋体" w:cs="宋体"/>
                <w:szCs w:val="21"/>
              </w:rPr>
              <w:t>1</w:t>
            </w:r>
          </w:p>
        </w:tc>
        <w:tc>
          <w:tcPr>
            <w:tcW w:w="1284" w:type="pct"/>
            <w:vAlign w:val="center"/>
          </w:tcPr>
          <w:p w14:paraId="7597320F">
            <w:pPr>
              <w:tabs>
                <w:tab w:val="left" w:pos="1080"/>
              </w:tabs>
              <w:snapToGrid w:val="0"/>
              <w:jc w:val="left"/>
              <w:rPr>
                <w:rFonts w:hint="eastAsia" w:ascii="宋体" w:hAnsi="宋体" w:eastAsia="宋体" w:cs="宋体"/>
                <w:szCs w:val="21"/>
              </w:rPr>
            </w:pPr>
            <w:r>
              <w:rPr>
                <w:rFonts w:hint="eastAsia" w:ascii="宋体" w:hAnsi="宋体" w:eastAsia="宋体" w:cs="宋体"/>
                <w:szCs w:val="21"/>
              </w:rPr>
              <w:t>满足《中华人民共和国政府采购法》第二十二条规定及法律法规的其他规定</w:t>
            </w:r>
          </w:p>
        </w:tc>
        <w:tc>
          <w:tcPr>
            <w:tcW w:w="2597" w:type="pct"/>
            <w:vAlign w:val="center"/>
          </w:tcPr>
          <w:p w14:paraId="399A1043">
            <w:pPr>
              <w:tabs>
                <w:tab w:val="left" w:pos="1080"/>
              </w:tabs>
              <w:snapToGrid w:val="0"/>
              <w:jc w:val="left"/>
              <w:rPr>
                <w:rFonts w:hint="eastAsia" w:ascii="宋体" w:hAnsi="宋体" w:eastAsia="宋体" w:cs="宋体"/>
                <w:szCs w:val="21"/>
              </w:rPr>
            </w:pPr>
            <w:r>
              <w:rPr>
                <w:rFonts w:hint="eastAsia" w:ascii="宋体" w:hAnsi="宋体" w:eastAsia="宋体" w:cs="宋体"/>
                <w:szCs w:val="21"/>
              </w:rPr>
              <w:t>具体规定见第一章《采购邀请》</w:t>
            </w:r>
          </w:p>
        </w:tc>
        <w:tc>
          <w:tcPr>
            <w:tcW w:w="667" w:type="pct"/>
            <w:vAlign w:val="center"/>
          </w:tcPr>
          <w:p w14:paraId="10888D2A">
            <w:pPr>
              <w:tabs>
                <w:tab w:val="left" w:pos="1080"/>
              </w:tabs>
              <w:snapToGrid w:val="0"/>
              <w:jc w:val="left"/>
              <w:rPr>
                <w:rFonts w:hint="eastAsia" w:ascii="宋体" w:hAnsi="宋体" w:eastAsia="宋体" w:cs="宋体"/>
                <w:szCs w:val="21"/>
              </w:rPr>
            </w:pPr>
          </w:p>
        </w:tc>
      </w:tr>
      <w:tr w14:paraId="2A6CD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375EF5BD">
            <w:pPr>
              <w:tabs>
                <w:tab w:val="left" w:pos="1080"/>
              </w:tabs>
              <w:snapToGrid w:val="0"/>
              <w:jc w:val="center"/>
              <w:rPr>
                <w:rFonts w:hint="eastAsia" w:ascii="宋体" w:hAnsi="宋体" w:eastAsia="宋体" w:cs="宋体"/>
                <w:szCs w:val="21"/>
              </w:rPr>
            </w:pPr>
            <w:r>
              <w:rPr>
                <w:rFonts w:hint="eastAsia" w:ascii="宋体" w:hAnsi="宋体" w:eastAsia="宋体" w:cs="宋体"/>
                <w:szCs w:val="21"/>
              </w:rPr>
              <w:t>1-1</w:t>
            </w:r>
          </w:p>
        </w:tc>
        <w:tc>
          <w:tcPr>
            <w:tcW w:w="1284" w:type="pct"/>
            <w:vAlign w:val="center"/>
          </w:tcPr>
          <w:p w14:paraId="0C03E1BC">
            <w:pPr>
              <w:tabs>
                <w:tab w:val="left" w:pos="1080"/>
              </w:tabs>
              <w:snapToGrid w:val="0"/>
              <w:jc w:val="left"/>
              <w:rPr>
                <w:rFonts w:hint="eastAsia" w:ascii="宋体" w:hAnsi="宋体" w:eastAsia="宋体" w:cs="宋体"/>
                <w:szCs w:val="21"/>
              </w:rPr>
            </w:pPr>
            <w:r>
              <w:rPr>
                <w:rFonts w:hint="eastAsia" w:ascii="宋体" w:hAnsi="宋体" w:eastAsia="宋体" w:cs="宋体"/>
                <w:szCs w:val="21"/>
              </w:rPr>
              <w:t>营业执照等证明文件</w:t>
            </w:r>
          </w:p>
        </w:tc>
        <w:tc>
          <w:tcPr>
            <w:tcW w:w="2597" w:type="pct"/>
            <w:vAlign w:val="center"/>
          </w:tcPr>
          <w:p w14:paraId="52883277">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供应商为企业（包括合伙企业）的，应提供有效的“营业执照”；</w:t>
            </w:r>
          </w:p>
          <w:p w14:paraId="0AC2EB35">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供应商为事业单位的，应提供有效的“事业单位法人证书”；</w:t>
            </w:r>
          </w:p>
          <w:p w14:paraId="3DA2EAE4">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供应商是非企业机构的，应提供有效的“执业许可证”、“登记证书”等证明文件；</w:t>
            </w:r>
          </w:p>
          <w:p w14:paraId="175BBCFA">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供应商是个体工商户的，应提供有效的“个体工商户营业执照”；</w:t>
            </w:r>
          </w:p>
          <w:p w14:paraId="0BF52076">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供应商是自然人的，应提供有效的自然人身份证明。</w:t>
            </w:r>
          </w:p>
          <w:p w14:paraId="4470EF23">
            <w:pPr>
              <w:tabs>
                <w:tab w:val="left" w:pos="1080"/>
              </w:tabs>
              <w:snapToGrid w:val="0"/>
              <w:jc w:val="left"/>
              <w:rPr>
                <w:rFonts w:hint="eastAsia" w:ascii="宋体" w:hAnsi="宋体" w:eastAsia="宋体" w:cs="宋体"/>
                <w:color w:val="000000"/>
                <w:szCs w:val="21"/>
              </w:rPr>
            </w:pPr>
            <w:r>
              <w:rPr>
                <w:rFonts w:hint="eastAsia" w:ascii="宋体" w:hAnsi="宋体" w:eastAsia="宋体" w:cs="宋体"/>
                <w:color w:val="000000"/>
                <w:szCs w:val="21"/>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67" w:type="pct"/>
            <w:vAlign w:val="center"/>
          </w:tcPr>
          <w:p w14:paraId="777B1D0F">
            <w:pPr>
              <w:tabs>
                <w:tab w:val="left" w:pos="1080"/>
              </w:tabs>
              <w:snapToGrid w:val="0"/>
              <w:jc w:val="left"/>
              <w:rPr>
                <w:rFonts w:hint="eastAsia" w:ascii="宋体" w:hAnsi="宋体" w:eastAsia="宋体" w:cs="宋体"/>
                <w:szCs w:val="21"/>
              </w:rPr>
            </w:pPr>
            <w:r>
              <w:rPr>
                <w:rFonts w:hint="eastAsia" w:ascii="宋体" w:hAnsi="宋体" w:eastAsia="宋体" w:cs="宋体"/>
                <w:szCs w:val="21"/>
              </w:rPr>
              <w:t>提供证明文件盖单位公章</w:t>
            </w:r>
          </w:p>
        </w:tc>
      </w:tr>
      <w:tr w14:paraId="65FC6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176E3484">
            <w:pPr>
              <w:tabs>
                <w:tab w:val="left" w:pos="1080"/>
              </w:tabs>
              <w:snapToGrid w:val="0"/>
              <w:jc w:val="center"/>
              <w:rPr>
                <w:rFonts w:hint="eastAsia" w:ascii="宋体" w:hAnsi="宋体" w:eastAsia="宋体" w:cs="宋体"/>
                <w:szCs w:val="21"/>
              </w:rPr>
            </w:pPr>
            <w:r>
              <w:rPr>
                <w:rFonts w:hint="eastAsia" w:ascii="宋体" w:hAnsi="宋体" w:eastAsia="宋体" w:cs="宋体"/>
                <w:szCs w:val="21"/>
              </w:rPr>
              <w:t>1-2</w:t>
            </w:r>
          </w:p>
        </w:tc>
        <w:tc>
          <w:tcPr>
            <w:tcW w:w="1284" w:type="pct"/>
            <w:vAlign w:val="center"/>
          </w:tcPr>
          <w:p w14:paraId="0531678C">
            <w:pPr>
              <w:tabs>
                <w:tab w:val="left" w:pos="1080"/>
              </w:tabs>
              <w:snapToGrid w:val="0"/>
              <w:jc w:val="left"/>
              <w:rPr>
                <w:rFonts w:hint="eastAsia" w:ascii="宋体" w:hAnsi="宋体" w:eastAsia="宋体" w:cs="宋体"/>
                <w:szCs w:val="21"/>
              </w:rPr>
            </w:pPr>
            <w:r>
              <w:rPr>
                <w:rFonts w:hint="eastAsia" w:ascii="宋体" w:hAnsi="宋体" w:eastAsia="宋体" w:cs="宋体"/>
                <w:szCs w:val="21"/>
              </w:rPr>
              <w:t>供应商资格声明书</w:t>
            </w:r>
          </w:p>
        </w:tc>
        <w:tc>
          <w:tcPr>
            <w:tcW w:w="2597" w:type="pct"/>
            <w:vAlign w:val="center"/>
          </w:tcPr>
          <w:p w14:paraId="3E8217C1">
            <w:pPr>
              <w:tabs>
                <w:tab w:val="left" w:pos="1080"/>
              </w:tabs>
              <w:snapToGrid w:val="0"/>
              <w:jc w:val="left"/>
              <w:rPr>
                <w:rFonts w:hint="eastAsia" w:ascii="宋体" w:hAnsi="宋体" w:eastAsia="宋体" w:cs="宋体"/>
                <w:szCs w:val="21"/>
              </w:rPr>
            </w:pPr>
            <w:r>
              <w:rPr>
                <w:rFonts w:hint="eastAsia" w:ascii="宋体" w:hAnsi="宋体" w:eastAsia="宋体" w:cs="宋体"/>
                <w:szCs w:val="21"/>
              </w:rPr>
              <w:t>提供了符合竞争性磋商文件要求的《供应商资格声明书》。</w:t>
            </w:r>
          </w:p>
        </w:tc>
        <w:tc>
          <w:tcPr>
            <w:tcW w:w="667" w:type="pct"/>
            <w:vAlign w:val="center"/>
          </w:tcPr>
          <w:p w14:paraId="6A3142AD">
            <w:pPr>
              <w:tabs>
                <w:tab w:val="left" w:pos="1080"/>
              </w:tabs>
              <w:snapToGrid w:val="0"/>
              <w:jc w:val="left"/>
              <w:rPr>
                <w:rFonts w:hint="eastAsia" w:ascii="宋体" w:hAnsi="宋体" w:eastAsia="宋体" w:cs="宋体"/>
                <w:szCs w:val="21"/>
              </w:rPr>
            </w:pPr>
            <w:r>
              <w:rPr>
                <w:rFonts w:hint="eastAsia" w:ascii="宋体" w:hAnsi="宋体" w:eastAsia="宋体" w:cs="宋体"/>
                <w:szCs w:val="21"/>
              </w:rPr>
              <w:t>格式见《响应文件格式》</w:t>
            </w:r>
          </w:p>
        </w:tc>
      </w:tr>
      <w:tr w14:paraId="62B8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3BA56C2C">
            <w:pPr>
              <w:tabs>
                <w:tab w:val="left" w:pos="1080"/>
              </w:tabs>
              <w:snapToGrid w:val="0"/>
              <w:jc w:val="center"/>
              <w:rPr>
                <w:rFonts w:hint="eastAsia" w:ascii="宋体" w:hAnsi="宋体" w:eastAsia="宋体" w:cs="宋体"/>
                <w:szCs w:val="21"/>
              </w:rPr>
            </w:pPr>
            <w:r>
              <w:rPr>
                <w:rFonts w:hint="eastAsia" w:ascii="宋体" w:hAnsi="宋体" w:eastAsia="宋体" w:cs="宋体"/>
                <w:szCs w:val="21"/>
              </w:rPr>
              <w:t>1-3</w:t>
            </w:r>
          </w:p>
        </w:tc>
        <w:tc>
          <w:tcPr>
            <w:tcW w:w="1284" w:type="pct"/>
            <w:vAlign w:val="center"/>
          </w:tcPr>
          <w:p w14:paraId="1798C9A3">
            <w:pPr>
              <w:tabs>
                <w:tab w:val="left" w:pos="1080"/>
              </w:tabs>
              <w:snapToGrid w:val="0"/>
              <w:rPr>
                <w:rFonts w:hint="eastAsia" w:ascii="宋体" w:hAnsi="宋体" w:eastAsia="宋体" w:cs="宋体"/>
                <w:szCs w:val="21"/>
              </w:rPr>
            </w:pPr>
            <w:r>
              <w:rPr>
                <w:rFonts w:hint="eastAsia" w:ascii="宋体" w:hAnsi="宋体" w:eastAsia="宋体" w:cs="宋体"/>
                <w:szCs w:val="21"/>
              </w:rPr>
              <w:t>供应商信用记录</w:t>
            </w:r>
          </w:p>
        </w:tc>
        <w:tc>
          <w:tcPr>
            <w:tcW w:w="2597" w:type="pct"/>
            <w:vAlign w:val="center"/>
          </w:tcPr>
          <w:p w14:paraId="40D1F174">
            <w:pPr>
              <w:tabs>
                <w:tab w:val="left" w:pos="1080"/>
              </w:tabs>
              <w:snapToGrid w:val="0"/>
              <w:rPr>
                <w:rFonts w:hint="eastAsia" w:ascii="宋体" w:hAnsi="宋体" w:eastAsia="宋体" w:cs="宋体"/>
                <w:szCs w:val="21"/>
              </w:rPr>
            </w:pPr>
            <w:r>
              <w:rPr>
                <w:rFonts w:hint="eastAsia" w:ascii="宋体" w:hAnsi="宋体" w:eastAsia="宋体" w:cs="宋体"/>
                <w:szCs w:val="21"/>
              </w:rPr>
              <w:t>查询渠道：信用中国网站和中国政府采购网（www.creditchina.gov.cn、www.ccgp.gov.cn）；</w:t>
            </w:r>
          </w:p>
          <w:p w14:paraId="39037833">
            <w:pPr>
              <w:tabs>
                <w:tab w:val="left" w:pos="900"/>
                <w:tab w:val="left" w:pos="1980"/>
              </w:tabs>
              <w:snapToGrid w:val="0"/>
              <w:rPr>
                <w:rFonts w:hint="eastAsia" w:ascii="宋体" w:hAnsi="宋体" w:eastAsia="宋体" w:cs="宋体"/>
                <w:szCs w:val="21"/>
              </w:rPr>
            </w:pPr>
            <w:r>
              <w:rPr>
                <w:rFonts w:hint="eastAsia" w:ascii="宋体" w:hAnsi="宋体" w:eastAsia="宋体" w:cs="宋体"/>
                <w:szCs w:val="21"/>
              </w:rPr>
              <w:t>截止时点：</w:t>
            </w:r>
            <w:r>
              <w:rPr>
                <w:rFonts w:hint="eastAsia" w:ascii="宋体" w:hAnsi="宋体" w:eastAsia="宋体" w:cs="宋体"/>
                <w:color w:val="000000"/>
                <w:kern w:val="0"/>
                <w:szCs w:val="21"/>
              </w:rPr>
              <w:t>首次响应文件提交截止时间以后</w:t>
            </w:r>
            <w:r>
              <w:rPr>
                <w:rFonts w:hint="eastAsia" w:ascii="宋体" w:hAnsi="宋体" w:eastAsia="宋体" w:cs="宋体"/>
                <w:szCs w:val="21"/>
              </w:rPr>
              <w:t>、资格性检查阶段采购人或采购代理机构的实际查询时间为准；</w:t>
            </w:r>
          </w:p>
          <w:p w14:paraId="65A20403">
            <w:pPr>
              <w:tabs>
                <w:tab w:val="left" w:pos="900"/>
                <w:tab w:val="left" w:pos="1980"/>
              </w:tabs>
              <w:snapToGrid w:val="0"/>
              <w:rPr>
                <w:rFonts w:hint="eastAsia" w:ascii="宋体" w:hAnsi="宋体" w:eastAsia="宋体" w:cs="宋体"/>
                <w:szCs w:val="21"/>
              </w:rPr>
            </w:pPr>
            <w:r>
              <w:rPr>
                <w:rFonts w:hint="eastAsia" w:ascii="宋体" w:hAnsi="宋体" w:eastAsia="宋体" w:cs="宋体"/>
                <w:szCs w:val="21"/>
              </w:rPr>
              <w:t>信用信息查询记录和证据留存具体方式：查询结果网页打印页作为查询记录和证据，与其他竞争性磋商文件一并保存；</w:t>
            </w:r>
          </w:p>
          <w:p w14:paraId="762548D0">
            <w:pPr>
              <w:tabs>
                <w:tab w:val="left" w:pos="1080"/>
              </w:tabs>
              <w:snapToGrid w:val="0"/>
              <w:rPr>
                <w:rFonts w:hint="eastAsia" w:ascii="宋体" w:hAnsi="宋体" w:eastAsia="宋体" w:cs="宋体"/>
                <w:szCs w:val="21"/>
              </w:rPr>
            </w:pPr>
            <w:r>
              <w:rPr>
                <w:rFonts w:hint="eastAsia" w:ascii="宋体" w:hAnsi="宋体" w:eastAsia="宋体" w:cs="宋体"/>
                <w:szCs w:val="21"/>
              </w:rPr>
              <w:t>信用信息的使用原则：经认定的被列入失信被执行人、重大税收违法案件当事人名单、政府采购严重违法失信行为记录名单的供应商，其</w:t>
            </w:r>
            <w:r>
              <w:rPr>
                <w:rFonts w:hint="eastAsia" w:ascii="宋体" w:hAnsi="宋体" w:eastAsia="宋体" w:cs="宋体"/>
                <w:b/>
                <w:szCs w:val="21"/>
              </w:rPr>
              <w:t>响应无效</w:t>
            </w:r>
            <w:r>
              <w:rPr>
                <w:rFonts w:hint="eastAsia" w:ascii="宋体" w:hAnsi="宋体" w:eastAsia="宋体" w:cs="宋体"/>
                <w:szCs w:val="21"/>
              </w:rPr>
              <w:t>。联合体形式磋商的，联合体成员存在不良信用记录，视同联合体存在不良信用记录。</w:t>
            </w:r>
          </w:p>
        </w:tc>
        <w:tc>
          <w:tcPr>
            <w:tcW w:w="667" w:type="pct"/>
            <w:vAlign w:val="center"/>
          </w:tcPr>
          <w:p w14:paraId="7EF31C79">
            <w:pPr>
              <w:tabs>
                <w:tab w:val="left" w:pos="1080"/>
              </w:tabs>
              <w:snapToGrid w:val="0"/>
              <w:rPr>
                <w:rFonts w:hint="eastAsia" w:ascii="宋体" w:hAnsi="宋体" w:eastAsia="宋体" w:cs="宋体"/>
                <w:szCs w:val="21"/>
              </w:rPr>
            </w:pPr>
            <w:r>
              <w:rPr>
                <w:rFonts w:hint="eastAsia" w:ascii="宋体" w:hAnsi="宋体" w:eastAsia="宋体" w:cs="宋体"/>
                <w:szCs w:val="21"/>
              </w:rPr>
              <w:t>无须供应商提供，由采购人或采购代理机构查询</w:t>
            </w:r>
          </w:p>
        </w:tc>
      </w:tr>
      <w:tr w14:paraId="487AA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47C00EE8">
            <w:pPr>
              <w:tabs>
                <w:tab w:val="left" w:pos="1080"/>
              </w:tabs>
              <w:snapToGrid w:val="0"/>
              <w:jc w:val="center"/>
              <w:rPr>
                <w:rFonts w:hint="eastAsia" w:ascii="宋体" w:hAnsi="宋体" w:eastAsia="宋体" w:cs="宋体"/>
                <w:szCs w:val="21"/>
              </w:rPr>
            </w:pPr>
            <w:r>
              <w:rPr>
                <w:rFonts w:hint="eastAsia" w:ascii="宋体" w:hAnsi="宋体" w:eastAsia="宋体" w:cs="宋体"/>
                <w:szCs w:val="21"/>
              </w:rPr>
              <w:t>2</w:t>
            </w:r>
          </w:p>
        </w:tc>
        <w:tc>
          <w:tcPr>
            <w:tcW w:w="1284" w:type="pct"/>
            <w:vAlign w:val="center"/>
          </w:tcPr>
          <w:p w14:paraId="1B3C5AA4">
            <w:pPr>
              <w:tabs>
                <w:tab w:val="left" w:pos="1080"/>
              </w:tabs>
              <w:snapToGrid w:val="0"/>
              <w:jc w:val="left"/>
              <w:rPr>
                <w:rFonts w:hint="eastAsia" w:ascii="宋体" w:hAnsi="宋体" w:eastAsia="宋体" w:cs="宋体"/>
                <w:szCs w:val="21"/>
              </w:rPr>
            </w:pPr>
            <w:r>
              <w:rPr>
                <w:rFonts w:hint="eastAsia" w:ascii="宋体" w:hAnsi="宋体" w:eastAsia="宋体" w:cs="宋体"/>
                <w:szCs w:val="21"/>
              </w:rPr>
              <w:t>落实政府采购政策需满足的资格要求</w:t>
            </w:r>
          </w:p>
        </w:tc>
        <w:tc>
          <w:tcPr>
            <w:tcW w:w="2597" w:type="pct"/>
            <w:vAlign w:val="center"/>
          </w:tcPr>
          <w:p w14:paraId="43E26DE7">
            <w:pPr>
              <w:tabs>
                <w:tab w:val="left" w:pos="1080"/>
              </w:tabs>
              <w:snapToGrid w:val="0"/>
              <w:jc w:val="left"/>
              <w:rPr>
                <w:rFonts w:hint="eastAsia" w:ascii="宋体" w:hAnsi="宋体" w:eastAsia="宋体" w:cs="宋体"/>
                <w:szCs w:val="21"/>
              </w:rPr>
            </w:pPr>
            <w:r>
              <w:rPr>
                <w:rFonts w:hint="eastAsia" w:ascii="宋体" w:hAnsi="宋体" w:eastAsia="宋体" w:cs="宋体"/>
                <w:szCs w:val="21"/>
              </w:rPr>
              <w:t>具体要求见第一章《采购邀请》</w:t>
            </w:r>
          </w:p>
        </w:tc>
        <w:tc>
          <w:tcPr>
            <w:tcW w:w="667" w:type="pct"/>
            <w:vAlign w:val="center"/>
          </w:tcPr>
          <w:p w14:paraId="03D19F82">
            <w:pPr>
              <w:tabs>
                <w:tab w:val="left" w:pos="1080"/>
              </w:tabs>
              <w:snapToGrid w:val="0"/>
              <w:jc w:val="left"/>
              <w:rPr>
                <w:rFonts w:hint="eastAsia" w:ascii="宋体" w:hAnsi="宋体" w:eastAsia="宋体" w:cs="宋体"/>
                <w:szCs w:val="21"/>
              </w:rPr>
            </w:pPr>
          </w:p>
        </w:tc>
      </w:tr>
      <w:tr w14:paraId="53805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19EDF53B">
            <w:pPr>
              <w:tabs>
                <w:tab w:val="left" w:pos="1080"/>
              </w:tabs>
              <w:snapToGrid w:val="0"/>
              <w:jc w:val="center"/>
              <w:rPr>
                <w:rFonts w:hint="eastAsia" w:ascii="宋体" w:hAnsi="宋体" w:eastAsia="宋体" w:cs="宋体"/>
                <w:szCs w:val="21"/>
              </w:rPr>
            </w:pPr>
            <w:r>
              <w:rPr>
                <w:rFonts w:hint="eastAsia" w:ascii="宋体" w:hAnsi="宋体" w:eastAsia="宋体" w:cs="宋体"/>
                <w:szCs w:val="21"/>
              </w:rPr>
              <w:t>2-1</w:t>
            </w:r>
          </w:p>
        </w:tc>
        <w:tc>
          <w:tcPr>
            <w:tcW w:w="1284" w:type="pct"/>
            <w:vAlign w:val="center"/>
          </w:tcPr>
          <w:p w14:paraId="062691BA">
            <w:pPr>
              <w:tabs>
                <w:tab w:val="left" w:pos="1080"/>
              </w:tabs>
              <w:snapToGrid w:val="0"/>
              <w:jc w:val="left"/>
              <w:rPr>
                <w:rFonts w:hint="eastAsia" w:ascii="宋体" w:hAnsi="宋体" w:eastAsia="宋体" w:cs="宋体"/>
                <w:szCs w:val="21"/>
              </w:rPr>
            </w:pPr>
            <w:r>
              <w:rPr>
                <w:rFonts w:hint="eastAsia" w:ascii="宋体" w:hAnsi="宋体" w:eastAsia="宋体" w:cs="宋体"/>
                <w:szCs w:val="21"/>
              </w:rPr>
              <w:t>中小企业证明文件</w:t>
            </w:r>
          </w:p>
        </w:tc>
        <w:tc>
          <w:tcPr>
            <w:tcW w:w="2597" w:type="pct"/>
            <w:vAlign w:val="center"/>
          </w:tcPr>
          <w:p w14:paraId="1FA1CA69">
            <w:pPr>
              <w:tabs>
                <w:tab w:val="left" w:pos="1080"/>
              </w:tabs>
              <w:snapToGrid w:val="0"/>
              <w:jc w:val="left"/>
              <w:rPr>
                <w:rFonts w:hint="eastAsia" w:ascii="宋体" w:hAnsi="宋体" w:eastAsia="宋体" w:cs="宋体"/>
                <w:szCs w:val="21"/>
              </w:rPr>
            </w:pPr>
            <w:r>
              <w:rPr>
                <w:rFonts w:hint="eastAsia" w:ascii="宋体" w:hAnsi="宋体" w:eastAsia="宋体" w:cs="宋体"/>
                <w:szCs w:val="21"/>
              </w:rPr>
              <w:t>当本项目（包）涉及预留份额专门面向中小企业采购，提供如下资料：</w:t>
            </w:r>
          </w:p>
          <w:p w14:paraId="358F25A4">
            <w:pPr>
              <w:tabs>
                <w:tab w:val="left" w:pos="1080"/>
              </w:tabs>
              <w:snapToGrid w:val="0"/>
              <w:jc w:val="left"/>
              <w:rPr>
                <w:rFonts w:hint="eastAsia" w:ascii="宋体" w:hAnsi="宋体" w:eastAsia="宋体" w:cs="宋体"/>
                <w:szCs w:val="21"/>
              </w:rPr>
            </w:pPr>
            <w:r>
              <w:rPr>
                <w:rFonts w:hint="eastAsia" w:ascii="宋体" w:hAnsi="宋体" w:eastAsia="宋体" w:cs="宋体"/>
                <w:szCs w:val="21"/>
              </w:rPr>
              <w:t>1、供应商单独响应的，应提供《中小企业声明函》或《残疾人福利性单位声明函》或由省级以上监狱管理局、戒毒管理局（含新疆生产建设兵团）出具的属于监狱企业的证明文件。</w:t>
            </w:r>
          </w:p>
          <w:p w14:paraId="5B20F9A8">
            <w:pPr>
              <w:tabs>
                <w:tab w:val="left" w:pos="1080"/>
              </w:tabs>
              <w:snapToGrid w:val="0"/>
              <w:jc w:val="left"/>
              <w:rPr>
                <w:rFonts w:hint="eastAsia" w:ascii="宋体" w:hAnsi="宋体" w:eastAsia="宋体" w:cs="宋体"/>
                <w:szCs w:val="21"/>
              </w:rPr>
            </w:pPr>
            <w:r>
              <w:rPr>
                <w:rFonts w:hint="eastAsia" w:ascii="宋体" w:hAnsi="宋体" w:eastAsia="宋体" w:cs="宋体"/>
                <w:szCs w:val="21"/>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67" w:type="pct"/>
            <w:vAlign w:val="center"/>
          </w:tcPr>
          <w:p w14:paraId="14772E01">
            <w:pPr>
              <w:tabs>
                <w:tab w:val="left" w:pos="1080"/>
              </w:tabs>
              <w:snapToGrid w:val="0"/>
              <w:jc w:val="left"/>
              <w:rPr>
                <w:rFonts w:hint="eastAsia" w:ascii="宋体" w:hAnsi="宋体" w:eastAsia="宋体" w:cs="宋体"/>
                <w:szCs w:val="21"/>
              </w:rPr>
            </w:pPr>
            <w:r>
              <w:rPr>
                <w:rFonts w:hint="eastAsia" w:ascii="宋体" w:hAnsi="宋体" w:eastAsia="宋体" w:cs="宋体"/>
                <w:szCs w:val="21"/>
              </w:rPr>
              <w:t>格式见《响应文件格式》</w:t>
            </w:r>
          </w:p>
        </w:tc>
      </w:tr>
      <w:tr w14:paraId="6677E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643287E5">
            <w:pPr>
              <w:tabs>
                <w:tab w:val="left" w:pos="1080"/>
              </w:tabs>
              <w:snapToGrid w:val="0"/>
              <w:jc w:val="center"/>
              <w:rPr>
                <w:rFonts w:hint="eastAsia" w:ascii="宋体" w:hAnsi="宋体" w:eastAsia="宋体" w:cs="宋体"/>
                <w:szCs w:val="21"/>
              </w:rPr>
            </w:pPr>
            <w:r>
              <w:rPr>
                <w:rFonts w:hint="eastAsia" w:ascii="宋体" w:hAnsi="宋体" w:eastAsia="宋体" w:cs="宋体"/>
                <w:szCs w:val="21"/>
              </w:rPr>
              <w:t>3</w:t>
            </w:r>
          </w:p>
        </w:tc>
        <w:tc>
          <w:tcPr>
            <w:tcW w:w="1284" w:type="pct"/>
            <w:vAlign w:val="center"/>
          </w:tcPr>
          <w:p w14:paraId="6BF516CF">
            <w:pPr>
              <w:tabs>
                <w:tab w:val="left" w:pos="1080"/>
              </w:tabs>
              <w:snapToGrid w:val="0"/>
              <w:jc w:val="left"/>
              <w:rPr>
                <w:rFonts w:hint="eastAsia" w:ascii="宋体" w:hAnsi="宋体" w:eastAsia="宋体" w:cs="宋体"/>
                <w:szCs w:val="21"/>
              </w:rPr>
            </w:pPr>
            <w:r>
              <w:rPr>
                <w:rFonts w:hint="eastAsia" w:ascii="宋体" w:hAnsi="宋体" w:eastAsia="宋体" w:cs="宋体"/>
                <w:szCs w:val="21"/>
              </w:rPr>
              <w:t>本项目的特定资格要求</w:t>
            </w:r>
          </w:p>
        </w:tc>
        <w:tc>
          <w:tcPr>
            <w:tcW w:w="2597" w:type="pct"/>
            <w:vAlign w:val="center"/>
          </w:tcPr>
          <w:p w14:paraId="380CF4CD">
            <w:pPr>
              <w:tabs>
                <w:tab w:val="left" w:pos="1080"/>
              </w:tabs>
              <w:snapToGrid w:val="0"/>
              <w:jc w:val="left"/>
              <w:rPr>
                <w:rFonts w:hint="eastAsia" w:ascii="宋体" w:hAnsi="宋体" w:eastAsia="宋体" w:cs="宋体"/>
                <w:szCs w:val="21"/>
              </w:rPr>
            </w:pPr>
            <w:r>
              <w:rPr>
                <w:rFonts w:hint="eastAsia" w:ascii="宋体" w:hAnsi="宋体" w:eastAsia="宋体" w:cs="宋体"/>
                <w:szCs w:val="21"/>
              </w:rPr>
              <w:t>如有，见第一章《采购邀请》</w:t>
            </w:r>
          </w:p>
        </w:tc>
        <w:tc>
          <w:tcPr>
            <w:tcW w:w="667" w:type="pct"/>
            <w:vAlign w:val="center"/>
          </w:tcPr>
          <w:p w14:paraId="045B5C30">
            <w:pPr>
              <w:tabs>
                <w:tab w:val="left" w:pos="1080"/>
              </w:tabs>
              <w:snapToGrid w:val="0"/>
              <w:jc w:val="left"/>
              <w:rPr>
                <w:rFonts w:hint="eastAsia" w:ascii="宋体" w:hAnsi="宋体" w:eastAsia="宋体" w:cs="宋体"/>
                <w:szCs w:val="21"/>
              </w:rPr>
            </w:pPr>
          </w:p>
        </w:tc>
      </w:tr>
      <w:tr w14:paraId="6356D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61BBEB56">
            <w:pPr>
              <w:tabs>
                <w:tab w:val="left" w:pos="1080"/>
              </w:tabs>
              <w:snapToGrid w:val="0"/>
              <w:jc w:val="center"/>
              <w:rPr>
                <w:rFonts w:hint="eastAsia" w:ascii="宋体" w:hAnsi="宋体" w:eastAsia="宋体" w:cs="宋体"/>
                <w:szCs w:val="21"/>
              </w:rPr>
            </w:pPr>
            <w:r>
              <w:rPr>
                <w:rFonts w:hint="eastAsia" w:ascii="宋体" w:hAnsi="宋体" w:eastAsia="宋体" w:cs="宋体"/>
                <w:szCs w:val="21"/>
              </w:rPr>
              <w:t>3-1</w:t>
            </w:r>
          </w:p>
        </w:tc>
        <w:tc>
          <w:tcPr>
            <w:tcW w:w="1284" w:type="pct"/>
            <w:vAlign w:val="center"/>
          </w:tcPr>
          <w:p w14:paraId="5966ABA3">
            <w:pPr>
              <w:tabs>
                <w:tab w:val="left" w:pos="1080"/>
              </w:tabs>
              <w:snapToGrid w:val="0"/>
              <w:rPr>
                <w:rFonts w:hint="eastAsia" w:ascii="宋体" w:hAnsi="宋体" w:eastAsia="宋体" w:cs="宋体"/>
                <w:szCs w:val="21"/>
              </w:rPr>
            </w:pPr>
            <w:r>
              <w:rPr>
                <w:rFonts w:hint="eastAsia" w:ascii="宋体" w:hAnsi="宋体" w:eastAsia="宋体" w:cs="宋体"/>
                <w:szCs w:val="21"/>
              </w:rPr>
              <w:t>其他特定资格要求</w:t>
            </w:r>
          </w:p>
        </w:tc>
        <w:tc>
          <w:tcPr>
            <w:tcW w:w="2597" w:type="pct"/>
            <w:vAlign w:val="center"/>
          </w:tcPr>
          <w:p w14:paraId="0A2999B9">
            <w:pPr>
              <w:rPr>
                <w:rFonts w:hint="eastAsia" w:ascii="宋体" w:hAnsi="宋体" w:eastAsia="宋体" w:cs="宋体"/>
                <w:szCs w:val="21"/>
              </w:rPr>
            </w:pPr>
            <w:r>
              <w:rPr>
                <w:rFonts w:hint="eastAsia" w:ascii="宋体" w:hAnsi="宋体" w:eastAsia="宋体" w:cs="宋体"/>
                <w:szCs w:val="21"/>
              </w:rPr>
              <w:t>如有，见第一章《采购邀请》</w:t>
            </w:r>
          </w:p>
          <w:p w14:paraId="30451620">
            <w:pPr>
              <w:rPr>
                <w:rFonts w:hint="eastAsia" w:ascii="宋体" w:hAnsi="宋体" w:eastAsia="宋体" w:cs="宋体"/>
                <w:szCs w:val="21"/>
              </w:rPr>
            </w:pPr>
            <w:r>
              <w:rPr>
                <w:rFonts w:hint="eastAsia" w:ascii="宋体" w:hAnsi="宋体" w:eastAsia="宋体" w:cs="宋体"/>
                <w:szCs w:val="21"/>
              </w:rPr>
              <w:t>注：如联合体中有同类资质的供应商按照联合体分工承担相同工作的，均应当提供资质证书电子件或电子证照。</w:t>
            </w:r>
          </w:p>
        </w:tc>
        <w:tc>
          <w:tcPr>
            <w:tcW w:w="667" w:type="pct"/>
            <w:vAlign w:val="center"/>
          </w:tcPr>
          <w:p w14:paraId="28201F9B">
            <w:pPr>
              <w:tabs>
                <w:tab w:val="left" w:pos="1080"/>
              </w:tabs>
              <w:snapToGrid w:val="0"/>
              <w:rPr>
                <w:rFonts w:hint="eastAsia" w:ascii="宋体" w:hAnsi="宋体" w:eastAsia="宋体" w:cs="宋体"/>
                <w:szCs w:val="21"/>
              </w:rPr>
            </w:pPr>
            <w:r>
              <w:rPr>
                <w:rFonts w:hint="eastAsia" w:ascii="宋体" w:hAnsi="宋体" w:eastAsia="宋体" w:cs="宋体"/>
                <w:szCs w:val="21"/>
              </w:rPr>
              <w:t>提供证明文件的复印件盖单位公章</w:t>
            </w:r>
          </w:p>
        </w:tc>
      </w:tr>
      <w:tr w14:paraId="5DB24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2DC9FD97">
            <w:pPr>
              <w:tabs>
                <w:tab w:val="left" w:pos="1080"/>
              </w:tabs>
              <w:snapToGrid w:val="0"/>
              <w:jc w:val="center"/>
              <w:rPr>
                <w:rFonts w:hint="eastAsia" w:ascii="宋体" w:hAnsi="宋体" w:eastAsia="宋体" w:cs="宋体"/>
                <w:szCs w:val="21"/>
              </w:rPr>
            </w:pPr>
            <w:r>
              <w:rPr>
                <w:rFonts w:hint="eastAsia" w:ascii="宋体" w:hAnsi="宋体" w:eastAsia="宋体" w:cs="宋体"/>
                <w:szCs w:val="21"/>
              </w:rPr>
              <w:t>4</w:t>
            </w:r>
          </w:p>
        </w:tc>
        <w:tc>
          <w:tcPr>
            <w:tcW w:w="1284" w:type="pct"/>
            <w:vAlign w:val="center"/>
          </w:tcPr>
          <w:p w14:paraId="192928B8">
            <w:pPr>
              <w:tabs>
                <w:tab w:val="left" w:pos="1080"/>
              </w:tabs>
              <w:snapToGrid w:val="0"/>
              <w:rPr>
                <w:rFonts w:hint="eastAsia" w:ascii="宋体" w:hAnsi="宋体" w:eastAsia="宋体" w:cs="宋体"/>
                <w:szCs w:val="21"/>
              </w:rPr>
            </w:pPr>
            <w:r>
              <w:rPr>
                <w:rFonts w:hint="eastAsia" w:ascii="宋体" w:hAnsi="宋体" w:eastAsia="宋体" w:cs="宋体"/>
                <w:color w:val="000000"/>
                <w:kern w:val="0"/>
                <w:szCs w:val="21"/>
              </w:rPr>
              <w:t>磋商保证金</w:t>
            </w:r>
          </w:p>
        </w:tc>
        <w:tc>
          <w:tcPr>
            <w:tcW w:w="2597" w:type="pct"/>
            <w:vAlign w:val="center"/>
          </w:tcPr>
          <w:p w14:paraId="6749EE29">
            <w:pPr>
              <w:tabs>
                <w:tab w:val="left" w:pos="1080"/>
              </w:tabs>
              <w:snapToGrid w:val="0"/>
              <w:rPr>
                <w:rFonts w:hint="eastAsia" w:ascii="宋体" w:hAnsi="宋体" w:eastAsia="宋体" w:cs="宋体"/>
                <w:color w:val="000000"/>
                <w:szCs w:val="21"/>
              </w:rPr>
            </w:pPr>
            <w:r>
              <w:rPr>
                <w:rFonts w:hint="eastAsia" w:ascii="宋体" w:hAnsi="宋体" w:eastAsia="宋体" w:cs="宋体"/>
                <w:color w:val="000000"/>
                <w:kern w:val="0"/>
                <w:szCs w:val="21"/>
              </w:rPr>
              <w:t>按照竞争性磋商文件的要求提交磋商保证金(如有)。</w:t>
            </w:r>
          </w:p>
        </w:tc>
        <w:tc>
          <w:tcPr>
            <w:tcW w:w="667" w:type="pct"/>
            <w:vAlign w:val="center"/>
          </w:tcPr>
          <w:p w14:paraId="523901F1">
            <w:pPr>
              <w:tabs>
                <w:tab w:val="left" w:pos="1080"/>
              </w:tabs>
              <w:snapToGrid w:val="0"/>
              <w:rPr>
                <w:rFonts w:hint="eastAsia" w:ascii="宋体" w:hAnsi="宋体" w:eastAsia="宋体" w:cs="宋体"/>
                <w:szCs w:val="21"/>
              </w:rPr>
            </w:pPr>
          </w:p>
        </w:tc>
      </w:tr>
      <w:tr w14:paraId="2E4A4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jc w:val="center"/>
        </w:trPr>
        <w:tc>
          <w:tcPr>
            <w:tcW w:w="452" w:type="pct"/>
            <w:vAlign w:val="center"/>
          </w:tcPr>
          <w:p w14:paraId="6DF66038">
            <w:pPr>
              <w:tabs>
                <w:tab w:val="left" w:pos="1080"/>
              </w:tabs>
              <w:snapToGrid w:val="0"/>
              <w:jc w:val="center"/>
              <w:rPr>
                <w:rFonts w:hint="eastAsia" w:ascii="宋体" w:hAnsi="宋体" w:eastAsia="宋体" w:cs="宋体"/>
                <w:szCs w:val="21"/>
              </w:rPr>
            </w:pPr>
            <w:r>
              <w:rPr>
                <w:rFonts w:hint="eastAsia" w:ascii="宋体" w:hAnsi="宋体" w:eastAsia="宋体" w:cs="宋体"/>
                <w:szCs w:val="21"/>
              </w:rPr>
              <w:t>5</w:t>
            </w:r>
          </w:p>
        </w:tc>
        <w:tc>
          <w:tcPr>
            <w:tcW w:w="1284" w:type="pct"/>
            <w:vAlign w:val="center"/>
          </w:tcPr>
          <w:p w14:paraId="4DCDCD93">
            <w:pPr>
              <w:tabs>
                <w:tab w:val="left" w:pos="1080"/>
              </w:tabs>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获取磋商文件</w:t>
            </w:r>
          </w:p>
        </w:tc>
        <w:tc>
          <w:tcPr>
            <w:tcW w:w="2597" w:type="pct"/>
            <w:vAlign w:val="center"/>
          </w:tcPr>
          <w:p w14:paraId="73354AD3">
            <w:pPr>
              <w:tabs>
                <w:tab w:val="left" w:pos="1080"/>
              </w:tabs>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在规定期限内通过北京市政府采购电子交易平台获取所参与包的磋商文件。</w:t>
            </w:r>
          </w:p>
          <w:p w14:paraId="52AFBA40">
            <w:pPr>
              <w:tabs>
                <w:tab w:val="left" w:pos="1080"/>
              </w:tabs>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注：如本项目接受联合体，且供应商为联合体时，联合体中任一成员获取文件即视为满足要求。</w:t>
            </w:r>
          </w:p>
        </w:tc>
        <w:tc>
          <w:tcPr>
            <w:tcW w:w="667" w:type="pct"/>
            <w:vAlign w:val="center"/>
          </w:tcPr>
          <w:p w14:paraId="7FC53E11">
            <w:pPr>
              <w:tabs>
                <w:tab w:val="left" w:pos="1080"/>
              </w:tabs>
              <w:snapToGrid w:val="0"/>
              <w:rPr>
                <w:rFonts w:hint="eastAsia" w:ascii="宋体" w:hAnsi="宋体" w:eastAsia="宋体" w:cs="宋体"/>
                <w:szCs w:val="21"/>
              </w:rPr>
            </w:pPr>
          </w:p>
        </w:tc>
      </w:tr>
    </w:tbl>
    <w:p w14:paraId="79701A03">
      <w:pPr>
        <w:tabs>
          <w:tab w:val="left" w:pos="1080"/>
          <w:tab w:val="left" w:pos="1589"/>
        </w:tabs>
        <w:snapToGrid w:val="0"/>
        <w:spacing w:line="360" w:lineRule="auto"/>
        <w:rPr>
          <w:rFonts w:hint="eastAsia" w:ascii="宋体" w:hAnsi="宋体" w:eastAsia="宋体" w:cs="宋体"/>
          <w:sz w:val="24"/>
        </w:rPr>
      </w:pPr>
    </w:p>
    <w:p w14:paraId="280254D3">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47E60A24">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14"/>
        <w:tblW w:w="55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2293"/>
        <w:gridCol w:w="5081"/>
        <w:gridCol w:w="2273"/>
      </w:tblGrid>
      <w:tr w14:paraId="760B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74" w:type="pct"/>
            <w:shd w:val="clear" w:color="000000" w:fill="FFFFFF"/>
            <w:vAlign w:val="center"/>
          </w:tcPr>
          <w:p w14:paraId="552F0BF9">
            <w:pPr>
              <w:widowControl/>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076" w:type="pct"/>
            <w:shd w:val="clear" w:color="000000" w:fill="FFFFFF"/>
            <w:vAlign w:val="center"/>
          </w:tcPr>
          <w:p w14:paraId="17B3BA59">
            <w:pPr>
              <w:widowControl/>
              <w:jc w:val="center"/>
              <w:rPr>
                <w:rFonts w:hint="eastAsia" w:ascii="宋体" w:hAnsi="宋体" w:eastAsia="宋体" w:cs="宋体"/>
                <w:b/>
                <w:kern w:val="0"/>
                <w:szCs w:val="21"/>
              </w:rPr>
            </w:pPr>
            <w:r>
              <w:rPr>
                <w:rFonts w:hint="eastAsia" w:ascii="宋体" w:hAnsi="宋体" w:eastAsia="宋体" w:cs="宋体"/>
                <w:b/>
                <w:szCs w:val="21"/>
              </w:rPr>
              <w:t>检查</w:t>
            </w:r>
            <w:r>
              <w:rPr>
                <w:rFonts w:hint="eastAsia" w:ascii="宋体" w:hAnsi="宋体" w:eastAsia="宋体" w:cs="宋体"/>
                <w:b/>
                <w:kern w:val="0"/>
                <w:szCs w:val="21"/>
              </w:rPr>
              <w:t>因素</w:t>
            </w:r>
          </w:p>
        </w:tc>
        <w:tc>
          <w:tcPr>
            <w:tcW w:w="2384" w:type="pct"/>
            <w:shd w:val="clear" w:color="000000" w:fill="FFFFFF"/>
            <w:vAlign w:val="center"/>
          </w:tcPr>
          <w:p w14:paraId="6FF5CE6E">
            <w:pPr>
              <w:widowControl/>
              <w:jc w:val="center"/>
              <w:rPr>
                <w:rFonts w:hint="eastAsia" w:ascii="宋体" w:hAnsi="宋体" w:eastAsia="宋体" w:cs="宋体"/>
                <w:b/>
                <w:kern w:val="0"/>
                <w:szCs w:val="21"/>
              </w:rPr>
            </w:pPr>
            <w:r>
              <w:rPr>
                <w:rFonts w:hint="eastAsia" w:ascii="宋体" w:hAnsi="宋体" w:eastAsia="宋体" w:cs="宋体"/>
                <w:b/>
                <w:szCs w:val="21"/>
              </w:rPr>
              <w:t>检查</w:t>
            </w:r>
            <w:r>
              <w:rPr>
                <w:rFonts w:hint="eastAsia" w:ascii="宋体" w:hAnsi="宋体" w:eastAsia="宋体" w:cs="宋体"/>
                <w:b/>
                <w:kern w:val="0"/>
                <w:szCs w:val="21"/>
              </w:rPr>
              <w:t>内容</w:t>
            </w:r>
          </w:p>
        </w:tc>
        <w:tc>
          <w:tcPr>
            <w:tcW w:w="1066" w:type="pct"/>
            <w:shd w:val="clear" w:color="000000" w:fill="FFFFFF"/>
            <w:vAlign w:val="center"/>
          </w:tcPr>
          <w:p w14:paraId="3F98EE3D">
            <w:pPr>
              <w:widowControl/>
              <w:jc w:val="center"/>
              <w:rPr>
                <w:rFonts w:hint="eastAsia" w:ascii="宋体" w:hAnsi="宋体" w:eastAsia="宋体" w:cs="宋体"/>
                <w:b/>
                <w:kern w:val="0"/>
                <w:szCs w:val="21"/>
              </w:rPr>
            </w:pPr>
            <w:r>
              <w:rPr>
                <w:rFonts w:hint="eastAsia" w:ascii="宋体" w:hAnsi="宋体" w:eastAsia="宋体" w:cs="宋体"/>
                <w:b/>
                <w:kern w:val="0"/>
                <w:szCs w:val="21"/>
              </w:rPr>
              <w:t>是否允许澄清、说明或者更正</w:t>
            </w:r>
          </w:p>
        </w:tc>
      </w:tr>
      <w:tr w14:paraId="4D2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60A24F4">
            <w:pPr>
              <w:tabs>
                <w:tab w:val="left" w:pos="1080"/>
              </w:tabs>
              <w:snapToGrid w:val="0"/>
              <w:jc w:val="center"/>
              <w:rPr>
                <w:rFonts w:hint="eastAsia" w:ascii="宋体" w:hAnsi="宋体" w:eastAsia="宋体" w:cs="宋体"/>
                <w:szCs w:val="21"/>
              </w:rPr>
            </w:pPr>
            <w:r>
              <w:rPr>
                <w:rFonts w:hint="eastAsia" w:ascii="宋体" w:hAnsi="宋体" w:eastAsia="宋体" w:cs="宋体"/>
                <w:szCs w:val="21"/>
              </w:rPr>
              <w:t>1</w:t>
            </w:r>
          </w:p>
        </w:tc>
        <w:tc>
          <w:tcPr>
            <w:tcW w:w="1076" w:type="pct"/>
            <w:shd w:val="clear" w:color="000000" w:fill="FFFFFF"/>
            <w:vAlign w:val="center"/>
          </w:tcPr>
          <w:p w14:paraId="4B7B6209">
            <w:pPr>
              <w:tabs>
                <w:tab w:val="left" w:pos="1080"/>
              </w:tabs>
              <w:snapToGrid w:val="0"/>
              <w:rPr>
                <w:rFonts w:hint="eastAsia" w:ascii="宋体" w:hAnsi="宋体" w:eastAsia="宋体" w:cs="宋体"/>
                <w:szCs w:val="21"/>
              </w:rPr>
            </w:pPr>
            <w:r>
              <w:rPr>
                <w:rFonts w:hint="eastAsia" w:ascii="宋体" w:hAnsi="宋体" w:eastAsia="宋体" w:cs="宋体"/>
                <w:szCs w:val="21"/>
              </w:rPr>
              <w:t>响应文件签字盖章</w:t>
            </w:r>
          </w:p>
        </w:tc>
        <w:tc>
          <w:tcPr>
            <w:tcW w:w="2384" w:type="pct"/>
            <w:shd w:val="clear" w:color="000000" w:fill="FFFFFF"/>
            <w:vAlign w:val="center"/>
          </w:tcPr>
          <w:p w14:paraId="07E67AF1">
            <w:pPr>
              <w:tabs>
                <w:tab w:val="left" w:pos="1080"/>
              </w:tabs>
              <w:snapToGrid w:val="0"/>
              <w:rPr>
                <w:rFonts w:hint="eastAsia" w:ascii="宋体" w:hAnsi="宋体" w:eastAsia="宋体" w:cs="宋体"/>
                <w:szCs w:val="21"/>
              </w:rPr>
            </w:pPr>
            <w:r>
              <w:rPr>
                <w:rFonts w:hint="eastAsia" w:ascii="宋体" w:hAnsi="宋体" w:cs="宋体"/>
                <w:szCs w:val="21"/>
                <w:lang w:val="en-US" w:eastAsia="zh-CN"/>
              </w:rPr>
              <w:t>响应</w:t>
            </w:r>
            <w:r>
              <w:rPr>
                <w:rFonts w:hint="eastAsia" w:ascii="宋体" w:hAnsi="宋体" w:eastAsia="宋体" w:cs="宋体"/>
                <w:szCs w:val="21"/>
              </w:rPr>
              <w:t>文件均按磋商文件要求加盖供应商公章，或法定代表人或其委托代理人签字或盖章。</w:t>
            </w:r>
          </w:p>
        </w:tc>
        <w:tc>
          <w:tcPr>
            <w:tcW w:w="1066" w:type="pct"/>
            <w:shd w:val="clear" w:color="000000" w:fill="FFFFFF"/>
            <w:vAlign w:val="center"/>
          </w:tcPr>
          <w:p w14:paraId="498924C4">
            <w:pPr>
              <w:tabs>
                <w:tab w:val="left" w:pos="1080"/>
              </w:tabs>
              <w:snapToGrid w:val="0"/>
              <w:jc w:val="center"/>
              <w:rPr>
                <w:rFonts w:hint="eastAsia" w:ascii="宋体" w:hAnsi="宋体" w:eastAsia="宋体" w:cs="宋体"/>
                <w:szCs w:val="21"/>
              </w:rPr>
            </w:pPr>
            <w:r>
              <w:rPr>
                <w:rFonts w:hint="eastAsia" w:ascii="宋体" w:hAnsi="宋体" w:eastAsia="宋体" w:cs="宋体"/>
                <w:szCs w:val="21"/>
              </w:rPr>
              <w:t>否</w:t>
            </w:r>
          </w:p>
        </w:tc>
      </w:tr>
      <w:tr w14:paraId="5F1B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626C8B38">
            <w:pPr>
              <w:tabs>
                <w:tab w:val="left" w:pos="1080"/>
              </w:tabs>
              <w:snapToGrid w:val="0"/>
              <w:jc w:val="center"/>
              <w:rPr>
                <w:rFonts w:hint="eastAsia" w:ascii="宋体" w:hAnsi="宋体" w:eastAsia="宋体" w:cs="宋体"/>
                <w:szCs w:val="21"/>
              </w:rPr>
            </w:pPr>
            <w:r>
              <w:rPr>
                <w:rFonts w:hint="eastAsia" w:ascii="宋体" w:hAnsi="宋体" w:eastAsia="宋体" w:cs="宋体"/>
                <w:szCs w:val="21"/>
              </w:rPr>
              <w:t>2</w:t>
            </w:r>
          </w:p>
        </w:tc>
        <w:tc>
          <w:tcPr>
            <w:tcW w:w="1076" w:type="pct"/>
            <w:shd w:val="clear" w:color="000000" w:fill="FFFFFF"/>
            <w:vAlign w:val="center"/>
          </w:tcPr>
          <w:p w14:paraId="5E35AAEB">
            <w:pPr>
              <w:tabs>
                <w:tab w:val="left" w:pos="1080"/>
              </w:tabs>
              <w:snapToGrid w:val="0"/>
              <w:rPr>
                <w:rFonts w:hint="eastAsia" w:ascii="宋体" w:hAnsi="宋体" w:eastAsia="宋体" w:cs="宋体"/>
                <w:szCs w:val="21"/>
              </w:rPr>
            </w:pPr>
            <w:r>
              <w:rPr>
                <w:rFonts w:hint="eastAsia" w:ascii="宋体" w:hAnsi="宋体" w:eastAsia="宋体" w:cs="宋体"/>
                <w:szCs w:val="21"/>
              </w:rPr>
              <w:t>磋商报价唯一</w:t>
            </w:r>
          </w:p>
        </w:tc>
        <w:tc>
          <w:tcPr>
            <w:tcW w:w="2384" w:type="pct"/>
            <w:shd w:val="clear" w:color="000000" w:fill="FFFFFF"/>
            <w:vAlign w:val="center"/>
          </w:tcPr>
          <w:p w14:paraId="676D280B">
            <w:pPr>
              <w:tabs>
                <w:tab w:val="left" w:pos="1080"/>
              </w:tabs>
              <w:snapToGrid w:val="0"/>
              <w:rPr>
                <w:rFonts w:hint="eastAsia" w:ascii="宋体" w:hAnsi="宋体" w:eastAsia="宋体" w:cs="宋体"/>
                <w:szCs w:val="21"/>
              </w:rPr>
            </w:pPr>
            <w:r>
              <w:rPr>
                <w:rFonts w:hint="eastAsia" w:ascii="宋体" w:hAnsi="宋体" w:eastAsia="宋体" w:cs="宋体"/>
                <w:szCs w:val="21"/>
              </w:rPr>
              <w:t>供应商是否存在提交两份或多份内容不同的响应文件，或在一份响应文件中对本招标项目报有两个或多个报价</w:t>
            </w:r>
          </w:p>
        </w:tc>
        <w:tc>
          <w:tcPr>
            <w:tcW w:w="1066" w:type="pct"/>
            <w:shd w:val="clear" w:color="000000" w:fill="FFFFFF"/>
            <w:vAlign w:val="center"/>
          </w:tcPr>
          <w:p w14:paraId="61A81BDC">
            <w:pPr>
              <w:tabs>
                <w:tab w:val="left" w:pos="1080"/>
              </w:tabs>
              <w:snapToGrid w:val="0"/>
              <w:jc w:val="center"/>
              <w:rPr>
                <w:rFonts w:hint="eastAsia" w:ascii="宋体" w:hAnsi="宋体" w:eastAsia="宋体" w:cs="宋体"/>
                <w:szCs w:val="21"/>
              </w:rPr>
            </w:pPr>
            <w:r>
              <w:rPr>
                <w:rFonts w:hint="eastAsia" w:ascii="宋体" w:hAnsi="宋体" w:eastAsia="宋体" w:cs="宋体"/>
                <w:szCs w:val="21"/>
              </w:rPr>
              <w:t>否</w:t>
            </w:r>
          </w:p>
        </w:tc>
      </w:tr>
      <w:tr w14:paraId="1C72A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6C8EAB75">
            <w:pPr>
              <w:tabs>
                <w:tab w:val="left" w:pos="1080"/>
              </w:tabs>
              <w:snapToGrid w:val="0"/>
              <w:jc w:val="center"/>
              <w:rPr>
                <w:rFonts w:hint="eastAsia" w:ascii="宋体" w:hAnsi="宋体" w:eastAsia="宋体" w:cs="宋体"/>
                <w:szCs w:val="21"/>
              </w:rPr>
            </w:pPr>
            <w:r>
              <w:rPr>
                <w:rFonts w:hint="eastAsia" w:ascii="宋体" w:hAnsi="宋体" w:eastAsia="宋体" w:cs="宋体"/>
                <w:szCs w:val="21"/>
              </w:rPr>
              <w:t>3</w:t>
            </w:r>
          </w:p>
        </w:tc>
        <w:tc>
          <w:tcPr>
            <w:tcW w:w="1076" w:type="pct"/>
            <w:shd w:val="clear" w:color="000000" w:fill="FFFFFF"/>
            <w:vAlign w:val="center"/>
          </w:tcPr>
          <w:p w14:paraId="5C639F61">
            <w:pPr>
              <w:tabs>
                <w:tab w:val="left" w:pos="1080"/>
              </w:tabs>
              <w:snapToGrid w:val="0"/>
              <w:rPr>
                <w:rFonts w:hint="eastAsia" w:ascii="宋体" w:hAnsi="宋体" w:eastAsia="宋体" w:cs="宋体"/>
                <w:szCs w:val="21"/>
              </w:rPr>
            </w:pPr>
            <w:r>
              <w:rPr>
                <w:rFonts w:hint="eastAsia" w:ascii="宋体" w:hAnsi="宋体" w:eastAsia="宋体" w:cs="宋体"/>
                <w:szCs w:val="21"/>
              </w:rPr>
              <w:t>磋商报价</w:t>
            </w:r>
          </w:p>
        </w:tc>
        <w:tc>
          <w:tcPr>
            <w:tcW w:w="2384" w:type="pct"/>
            <w:shd w:val="clear" w:color="000000" w:fill="FFFFFF"/>
            <w:vAlign w:val="center"/>
          </w:tcPr>
          <w:p w14:paraId="75C8C21B">
            <w:pPr>
              <w:tabs>
                <w:tab w:val="left" w:pos="1080"/>
              </w:tabs>
              <w:snapToGrid w:val="0"/>
              <w:rPr>
                <w:rFonts w:hint="eastAsia" w:ascii="宋体" w:hAnsi="宋体" w:eastAsia="宋体" w:cs="宋体"/>
                <w:szCs w:val="21"/>
              </w:rPr>
            </w:pPr>
            <w:r>
              <w:rPr>
                <w:rFonts w:hint="eastAsia" w:ascii="宋体" w:hAnsi="宋体" w:eastAsia="宋体" w:cs="宋体"/>
                <w:szCs w:val="21"/>
              </w:rPr>
              <w:t>磋商报价未超出磋商文件要求</w:t>
            </w:r>
          </w:p>
        </w:tc>
        <w:tc>
          <w:tcPr>
            <w:tcW w:w="1066" w:type="pct"/>
            <w:shd w:val="clear" w:color="000000" w:fill="FFFFFF"/>
            <w:vAlign w:val="center"/>
          </w:tcPr>
          <w:p w14:paraId="4302E218">
            <w:pPr>
              <w:tabs>
                <w:tab w:val="left" w:pos="1080"/>
              </w:tabs>
              <w:snapToGrid w:val="0"/>
              <w:jc w:val="center"/>
              <w:rPr>
                <w:rFonts w:hint="eastAsia" w:ascii="宋体" w:hAnsi="宋体" w:eastAsia="宋体" w:cs="宋体"/>
                <w:szCs w:val="21"/>
              </w:rPr>
            </w:pPr>
            <w:r>
              <w:rPr>
                <w:rFonts w:hint="eastAsia" w:ascii="宋体" w:hAnsi="宋体" w:eastAsia="宋体" w:cs="宋体"/>
                <w:szCs w:val="21"/>
              </w:rPr>
              <w:t>否</w:t>
            </w:r>
          </w:p>
        </w:tc>
      </w:tr>
      <w:tr w14:paraId="3654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3E49DACA">
            <w:pPr>
              <w:tabs>
                <w:tab w:val="left" w:pos="1080"/>
              </w:tabs>
              <w:snapToGrid w:val="0"/>
              <w:jc w:val="center"/>
              <w:rPr>
                <w:rFonts w:hint="eastAsia" w:ascii="宋体" w:hAnsi="宋体" w:eastAsia="宋体" w:cs="宋体"/>
                <w:szCs w:val="21"/>
              </w:rPr>
            </w:pPr>
            <w:r>
              <w:rPr>
                <w:rFonts w:hint="eastAsia" w:ascii="宋体" w:hAnsi="宋体" w:eastAsia="宋体" w:cs="宋体"/>
                <w:szCs w:val="21"/>
              </w:rPr>
              <w:t>4</w:t>
            </w:r>
          </w:p>
        </w:tc>
        <w:tc>
          <w:tcPr>
            <w:tcW w:w="1076" w:type="pct"/>
            <w:shd w:val="clear" w:color="000000" w:fill="FFFFFF"/>
            <w:vAlign w:val="center"/>
          </w:tcPr>
          <w:p w14:paraId="349190BC">
            <w:pPr>
              <w:tabs>
                <w:tab w:val="left" w:pos="1080"/>
              </w:tabs>
              <w:snapToGrid w:val="0"/>
              <w:rPr>
                <w:rFonts w:hint="eastAsia" w:ascii="宋体" w:hAnsi="宋体" w:eastAsia="宋体" w:cs="宋体"/>
                <w:szCs w:val="21"/>
              </w:rPr>
            </w:pPr>
            <w:r>
              <w:rPr>
                <w:rFonts w:hint="eastAsia" w:ascii="宋体" w:hAnsi="宋体" w:eastAsia="宋体" w:cs="宋体"/>
                <w:szCs w:val="21"/>
              </w:rPr>
              <w:t>是否按磋商文件要求进行密封、装订</w:t>
            </w:r>
          </w:p>
        </w:tc>
        <w:tc>
          <w:tcPr>
            <w:tcW w:w="2384" w:type="pct"/>
            <w:shd w:val="clear" w:color="000000" w:fill="FFFFFF"/>
            <w:vAlign w:val="center"/>
          </w:tcPr>
          <w:p w14:paraId="004DB4BC">
            <w:pPr>
              <w:tabs>
                <w:tab w:val="left" w:pos="1080"/>
              </w:tabs>
              <w:snapToGrid w:val="0"/>
              <w:rPr>
                <w:rFonts w:hint="eastAsia" w:ascii="宋体" w:hAnsi="宋体" w:eastAsia="宋体" w:cs="宋体"/>
                <w:szCs w:val="21"/>
              </w:rPr>
            </w:pPr>
            <w:r>
              <w:rPr>
                <w:rFonts w:hint="eastAsia" w:ascii="宋体" w:hAnsi="宋体" w:eastAsia="宋体" w:cs="宋体"/>
                <w:szCs w:val="21"/>
              </w:rPr>
              <w:t>是否按磋商文件要求进行密封、装订</w:t>
            </w:r>
          </w:p>
        </w:tc>
        <w:tc>
          <w:tcPr>
            <w:tcW w:w="1066" w:type="pct"/>
            <w:shd w:val="clear" w:color="000000" w:fill="FFFFFF"/>
            <w:vAlign w:val="center"/>
          </w:tcPr>
          <w:p w14:paraId="54CE8354">
            <w:pPr>
              <w:tabs>
                <w:tab w:val="left" w:pos="1080"/>
              </w:tabs>
              <w:snapToGrid w:val="0"/>
              <w:jc w:val="center"/>
              <w:rPr>
                <w:rFonts w:hint="eastAsia" w:ascii="宋体" w:hAnsi="宋体" w:eastAsia="宋体" w:cs="宋体"/>
                <w:szCs w:val="21"/>
              </w:rPr>
            </w:pPr>
            <w:r>
              <w:rPr>
                <w:rFonts w:hint="eastAsia" w:ascii="宋体" w:hAnsi="宋体" w:eastAsia="宋体" w:cs="宋体"/>
                <w:szCs w:val="21"/>
              </w:rPr>
              <w:t>否</w:t>
            </w:r>
          </w:p>
        </w:tc>
      </w:tr>
      <w:tr w14:paraId="5ADE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2E452BA">
            <w:pPr>
              <w:tabs>
                <w:tab w:val="left" w:pos="1080"/>
              </w:tabs>
              <w:snapToGrid w:val="0"/>
              <w:jc w:val="center"/>
              <w:rPr>
                <w:rFonts w:hint="eastAsia" w:ascii="宋体" w:hAnsi="宋体" w:eastAsia="宋体" w:cs="宋体"/>
                <w:szCs w:val="21"/>
              </w:rPr>
            </w:pPr>
            <w:r>
              <w:rPr>
                <w:rFonts w:hint="eastAsia" w:ascii="宋体" w:hAnsi="宋体" w:eastAsia="宋体" w:cs="宋体"/>
                <w:szCs w:val="21"/>
              </w:rPr>
              <w:t>5</w:t>
            </w:r>
          </w:p>
        </w:tc>
        <w:tc>
          <w:tcPr>
            <w:tcW w:w="1076" w:type="pct"/>
            <w:shd w:val="clear" w:color="000000" w:fill="FFFFFF"/>
            <w:vAlign w:val="center"/>
          </w:tcPr>
          <w:p w14:paraId="44792EF5">
            <w:pPr>
              <w:tabs>
                <w:tab w:val="left" w:pos="1080"/>
              </w:tabs>
              <w:snapToGrid w:val="0"/>
              <w:rPr>
                <w:rFonts w:hint="eastAsia" w:ascii="宋体" w:hAnsi="宋体" w:eastAsia="宋体" w:cs="宋体"/>
                <w:szCs w:val="21"/>
              </w:rPr>
            </w:pPr>
            <w:r>
              <w:rPr>
                <w:rFonts w:hint="eastAsia" w:ascii="宋体" w:hAnsi="宋体" w:eastAsia="宋体" w:cs="宋体"/>
                <w:szCs w:val="21"/>
              </w:rPr>
              <w:t>磋商有效期</w:t>
            </w:r>
          </w:p>
        </w:tc>
        <w:tc>
          <w:tcPr>
            <w:tcW w:w="2384" w:type="pct"/>
            <w:shd w:val="clear" w:color="000000" w:fill="FFFFFF"/>
            <w:vAlign w:val="center"/>
          </w:tcPr>
          <w:p w14:paraId="7A93CE15">
            <w:pPr>
              <w:tabs>
                <w:tab w:val="left" w:pos="1080"/>
              </w:tabs>
              <w:snapToGrid w:val="0"/>
              <w:rPr>
                <w:rFonts w:hint="eastAsia" w:ascii="宋体" w:hAnsi="宋体" w:eastAsia="宋体" w:cs="宋体"/>
                <w:szCs w:val="21"/>
              </w:rPr>
            </w:pPr>
            <w:r>
              <w:rPr>
                <w:rFonts w:hint="eastAsia" w:ascii="宋体" w:hAnsi="宋体" w:eastAsia="宋体" w:cs="宋体"/>
                <w:szCs w:val="21"/>
              </w:rPr>
              <w:t>磋商有效期满足磋商文件要求</w:t>
            </w:r>
          </w:p>
        </w:tc>
        <w:tc>
          <w:tcPr>
            <w:tcW w:w="1066" w:type="pct"/>
            <w:shd w:val="clear" w:color="000000" w:fill="FFFFFF"/>
            <w:vAlign w:val="center"/>
          </w:tcPr>
          <w:p w14:paraId="5B828EE2">
            <w:pPr>
              <w:tabs>
                <w:tab w:val="left" w:pos="1080"/>
              </w:tabs>
              <w:snapToGrid w:val="0"/>
              <w:jc w:val="center"/>
              <w:rPr>
                <w:rFonts w:hint="eastAsia" w:ascii="宋体" w:hAnsi="宋体" w:eastAsia="宋体" w:cs="宋体"/>
                <w:szCs w:val="21"/>
              </w:rPr>
            </w:pPr>
            <w:r>
              <w:rPr>
                <w:rFonts w:hint="eastAsia" w:ascii="宋体" w:hAnsi="宋体" w:eastAsia="宋体" w:cs="宋体"/>
                <w:szCs w:val="21"/>
              </w:rPr>
              <w:t>否</w:t>
            </w:r>
          </w:p>
        </w:tc>
      </w:tr>
      <w:tr w14:paraId="4DE6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1C76281D">
            <w:pPr>
              <w:tabs>
                <w:tab w:val="left" w:pos="1080"/>
              </w:tabs>
              <w:snapToGrid w:val="0"/>
              <w:jc w:val="center"/>
              <w:rPr>
                <w:rFonts w:hint="eastAsia" w:ascii="宋体" w:hAnsi="宋体" w:eastAsia="宋体" w:cs="宋体"/>
                <w:szCs w:val="21"/>
              </w:rPr>
            </w:pPr>
            <w:r>
              <w:rPr>
                <w:rFonts w:hint="eastAsia" w:ascii="宋体" w:hAnsi="宋体" w:eastAsia="宋体" w:cs="宋体"/>
                <w:szCs w:val="21"/>
              </w:rPr>
              <w:t>6</w:t>
            </w:r>
          </w:p>
        </w:tc>
        <w:tc>
          <w:tcPr>
            <w:tcW w:w="1076" w:type="pct"/>
            <w:shd w:val="clear" w:color="000000" w:fill="FFFFFF"/>
            <w:vAlign w:val="center"/>
          </w:tcPr>
          <w:p w14:paraId="09A4696C">
            <w:pPr>
              <w:tabs>
                <w:tab w:val="left" w:pos="1080"/>
              </w:tabs>
              <w:snapToGrid w:val="0"/>
              <w:rPr>
                <w:rFonts w:hint="eastAsia" w:ascii="宋体" w:hAnsi="宋体" w:eastAsia="宋体" w:cs="宋体"/>
                <w:szCs w:val="21"/>
              </w:rPr>
            </w:pPr>
            <w:r>
              <w:rPr>
                <w:rFonts w:hint="eastAsia" w:ascii="宋体" w:hAnsi="宋体" w:eastAsia="宋体" w:cs="宋体"/>
                <w:szCs w:val="21"/>
              </w:rPr>
              <w:t>合同履行期限</w:t>
            </w:r>
          </w:p>
        </w:tc>
        <w:tc>
          <w:tcPr>
            <w:tcW w:w="2384" w:type="pct"/>
            <w:shd w:val="clear" w:color="000000" w:fill="FFFFFF"/>
            <w:vAlign w:val="center"/>
          </w:tcPr>
          <w:p w14:paraId="48BB82DF">
            <w:pPr>
              <w:tabs>
                <w:tab w:val="left" w:pos="1080"/>
              </w:tabs>
              <w:snapToGrid w:val="0"/>
              <w:rPr>
                <w:rFonts w:hint="eastAsia" w:ascii="宋体" w:hAnsi="宋体" w:eastAsia="宋体" w:cs="宋体"/>
                <w:szCs w:val="21"/>
              </w:rPr>
            </w:pPr>
            <w:r>
              <w:rPr>
                <w:rFonts w:hint="eastAsia" w:ascii="宋体" w:hAnsi="宋体" w:eastAsia="宋体" w:cs="宋体"/>
                <w:szCs w:val="21"/>
              </w:rPr>
              <w:t>服务期（或者工期）是否满足磋商文件要求</w:t>
            </w:r>
          </w:p>
        </w:tc>
        <w:tc>
          <w:tcPr>
            <w:tcW w:w="1066" w:type="pct"/>
            <w:shd w:val="clear" w:color="000000" w:fill="FFFFFF"/>
            <w:vAlign w:val="center"/>
          </w:tcPr>
          <w:p w14:paraId="2C865014">
            <w:pPr>
              <w:tabs>
                <w:tab w:val="left" w:pos="1080"/>
              </w:tabs>
              <w:snapToGrid w:val="0"/>
              <w:jc w:val="center"/>
              <w:rPr>
                <w:rFonts w:hint="eastAsia" w:ascii="宋体" w:hAnsi="宋体" w:eastAsia="宋体" w:cs="宋体"/>
                <w:szCs w:val="21"/>
              </w:rPr>
            </w:pPr>
          </w:p>
        </w:tc>
      </w:tr>
      <w:tr w14:paraId="2469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74" w:type="pct"/>
            <w:shd w:val="clear" w:color="000000" w:fill="FFFFFF"/>
            <w:vAlign w:val="center"/>
          </w:tcPr>
          <w:p w14:paraId="50F596A8">
            <w:pPr>
              <w:tabs>
                <w:tab w:val="left" w:pos="1080"/>
              </w:tabs>
              <w:snapToGrid w:val="0"/>
              <w:spacing w:line="360" w:lineRule="auto"/>
              <w:jc w:val="center"/>
              <w:rPr>
                <w:rFonts w:hint="eastAsia" w:ascii="宋体" w:hAnsi="宋体" w:eastAsia="宋体" w:cs="宋体"/>
                <w:szCs w:val="21"/>
              </w:rPr>
            </w:pPr>
            <w:r>
              <w:rPr>
                <w:rFonts w:hint="eastAsia" w:ascii="宋体" w:hAnsi="宋体" w:eastAsia="宋体" w:cs="宋体"/>
                <w:szCs w:val="21"/>
              </w:rPr>
              <w:t>7</w:t>
            </w:r>
          </w:p>
        </w:tc>
        <w:tc>
          <w:tcPr>
            <w:tcW w:w="1076" w:type="pct"/>
            <w:shd w:val="clear" w:color="000000" w:fill="FFFFFF"/>
            <w:vAlign w:val="center"/>
          </w:tcPr>
          <w:p w14:paraId="77588762">
            <w:pPr>
              <w:tabs>
                <w:tab w:val="left" w:pos="1080"/>
              </w:tabs>
              <w:snapToGrid w:val="0"/>
              <w:spacing w:line="360" w:lineRule="auto"/>
              <w:rPr>
                <w:rFonts w:hint="eastAsia" w:ascii="宋体" w:hAnsi="宋体" w:eastAsia="宋体" w:cs="宋体"/>
                <w:szCs w:val="21"/>
              </w:rPr>
            </w:pPr>
            <w:r>
              <w:rPr>
                <w:rFonts w:hint="eastAsia" w:ascii="宋体" w:hAnsi="宋体" w:eastAsia="宋体" w:cs="宋体"/>
                <w:szCs w:val="21"/>
              </w:rPr>
              <w:t>其他条款</w:t>
            </w:r>
          </w:p>
        </w:tc>
        <w:tc>
          <w:tcPr>
            <w:tcW w:w="2384" w:type="pct"/>
            <w:shd w:val="clear" w:color="000000" w:fill="FFFFFF"/>
            <w:vAlign w:val="center"/>
          </w:tcPr>
          <w:p w14:paraId="254A38CF">
            <w:pPr>
              <w:tabs>
                <w:tab w:val="left" w:pos="1080"/>
              </w:tabs>
              <w:snapToGrid w:val="0"/>
              <w:spacing w:line="360" w:lineRule="auto"/>
              <w:rPr>
                <w:rFonts w:hint="eastAsia" w:ascii="宋体" w:hAnsi="宋体" w:eastAsia="宋体" w:cs="宋体"/>
                <w:szCs w:val="21"/>
              </w:rPr>
            </w:pPr>
            <w:r>
              <w:rPr>
                <w:rFonts w:hint="eastAsia" w:ascii="宋体" w:hAnsi="宋体" w:eastAsia="宋体" w:cs="宋体"/>
                <w:szCs w:val="21"/>
              </w:rPr>
              <w:t>供应商是否存在《政府采购法》等相关法律法规等规定的废标条件</w:t>
            </w:r>
          </w:p>
        </w:tc>
        <w:tc>
          <w:tcPr>
            <w:tcW w:w="1066" w:type="pct"/>
            <w:shd w:val="clear" w:color="000000" w:fill="FFFFFF"/>
            <w:vAlign w:val="center"/>
          </w:tcPr>
          <w:p w14:paraId="4741B7FF">
            <w:pPr>
              <w:tabs>
                <w:tab w:val="left" w:pos="1080"/>
              </w:tabs>
              <w:snapToGrid w:val="0"/>
              <w:spacing w:line="360" w:lineRule="auto"/>
              <w:jc w:val="center"/>
              <w:rPr>
                <w:rFonts w:hint="eastAsia" w:ascii="宋体" w:hAnsi="宋体" w:eastAsia="宋体" w:cs="宋体"/>
                <w:szCs w:val="21"/>
              </w:rPr>
            </w:pPr>
          </w:p>
        </w:tc>
      </w:tr>
    </w:tbl>
    <w:p w14:paraId="5C60A9EE">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5D6B0D10">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14:paraId="18A235F0">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48A86E1">
      <w:pPr>
        <w:numPr>
          <w:ilvl w:val="1"/>
          <w:numId w:val="5"/>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68FE7F2B">
      <w:pPr>
        <w:numPr>
          <w:ilvl w:val="1"/>
          <w:numId w:val="5"/>
        </w:numPr>
        <w:tabs>
          <w:tab w:val="left" w:pos="1080"/>
          <w:tab w:val="left" w:pos="1872"/>
        </w:tabs>
        <w:snapToGrid w:val="0"/>
        <w:spacing w:line="360" w:lineRule="auto"/>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74EC94B8">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21891420">
      <w:pPr>
        <w:numPr>
          <w:ilvl w:val="2"/>
          <w:numId w:val="5"/>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FA558C3">
      <w:pPr>
        <w:numPr>
          <w:ilvl w:val="2"/>
          <w:numId w:val="5"/>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3FE2D213">
      <w:pPr>
        <w:numPr>
          <w:ilvl w:val="2"/>
          <w:numId w:val="5"/>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3ABFE206">
      <w:pPr>
        <w:numPr>
          <w:ilvl w:val="1"/>
          <w:numId w:val="5"/>
        </w:numPr>
        <w:tabs>
          <w:tab w:val="left" w:pos="1980"/>
          <w:tab w:val="clear" w:pos="1589"/>
        </w:tabs>
        <w:snapToGrid w:val="0"/>
        <w:spacing w:line="360" w:lineRule="auto"/>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164C8993">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71B5D70">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3BAA23F1">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0C86BADB">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最后报价的算术修正及政策调整</w:t>
      </w:r>
    </w:p>
    <w:p w14:paraId="4E202E79">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14:paraId="14D2DD47">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028A223A">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77A3BC9D">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w:t>
      </w:r>
    </w:p>
    <w:p w14:paraId="28B1E306">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无，按下述3.2.2-3.2.5项规定修正。</w:t>
      </w:r>
    </w:p>
    <w:p w14:paraId="2C9404C3">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744B9BB4">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单价金额小数点或者百分比有明显错位的，以最后报价一览表的总价为准，并修改单价；</w:t>
      </w:r>
    </w:p>
    <w:p w14:paraId="2E94529B">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33B2C3A0">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221ADEB8">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34EEE399">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14:paraId="5686EE47">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rPr>
        <w:t>_10_</w:t>
      </w:r>
      <w:r>
        <w:rPr>
          <w:rFonts w:hint="eastAsia" w:ascii="宋体" w:hAnsi="宋体" w:eastAsia="宋体" w:cs="宋体"/>
          <w:sz w:val="24"/>
        </w:rPr>
        <w:t>%的扣除，用扣除后的价格参加评审。</w:t>
      </w:r>
    </w:p>
    <w:p w14:paraId="1C1AF9A5">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sz w:val="24"/>
          <w:u w:val="single"/>
        </w:rPr>
        <w:t>___/___</w:t>
      </w:r>
      <w:r>
        <w:rPr>
          <w:rFonts w:hint="eastAsia" w:ascii="宋体" w:hAnsi="宋体" w:eastAsia="宋体" w:cs="宋体"/>
          <w:sz w:val="24"/>
        </w:rPr>
        <w:t>%的扣除，用扣除后的价格参加评审。</w:t>
      </w:r>
    </w:p>
    <w:p w14:paraId="25FE3318">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127BBF35">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470ABE00">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中小企业参加政府采购活动，应当按照竞争性磋商文件给定的格式出具《中小企业声明函》，否则不得享受相关中小企业扶持政策。</w:t>
      </w:r>
    </w:p>
    <w:p w14:paraId="0A17DE8C">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14:paraId="011133FC">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14:paraId="28A2EA5B">
      <w:pPr>
        <w:numPr>
          <w:ilvl w:val="2"/>
          <w:numId w:val="5"/>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5F3E4BE1">
      <w:pPr>
        <w:numPr>
          <w:ilvl w:val="2"/>
          <w:numId w:val="5"/>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rPr>
        <w:t xml:space="preserve">   /   </w:t>
      </w:r>
      <w:r>
        <w:rPr>
          <w:rFonts w:hint="eastAsia" w:ascii="宋体" w:hAnsi="宋体" w:eastAsia="宋体" w:cs="宋体"/>
          <w:sz w:val="24"/>
        </w:rPr>
        <w:t>。</w:t>
      </w:r>
    </w:p>
    <w:p w14:paraId="4DFD871E">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72EBE9BA">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7ACBF162">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69D93CB0">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72F264C7">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3922431C">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04FB0464">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14:paraId="3B81BE74">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rPr>
        <w:t xml:space="preserve">   /   </w:t>
      </w:r>
      <w:r>
        <w:rPr>
          <w:rFonts w:hint="eastAsia" w:ascii="宋体" w:hAnsi="宋体" w:eastAsia="宋体" w:cs="宋体"/>
          <w:sz w:val="24"/>
        </w:rPr>
        <w:t>。</w:t>
      </w:r>
    </w:p>
    <w:p w14:paraId="58806C31">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2FBB4090">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81131FA">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5D72C69C">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w:t>
      </w:r>
    </w:p>
    <w:p w14:paraId="63814C54">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确定</w:t>
      </w:r>
      <w:bookmarkStart w:id="524" w:name="_Toc164608815"/>
      <w:bookmarkStart w:id="525" w:name="_Toc226309790"/>
      <w:bookmarkStart w:id="526" w:name="_Toc127151747"/>
      <w:bookmarkStart w:id="527" w:name="_Toc151193716"/>
      <w:bookmarkStart w:id="528" w:name="_Toc520356170"/>
      <w:bookmarkStart w:id="529" w:name="_Toc264969236"/>
      <w:bookmarkStart w:id="530" w:name="_Toc265228384"/>
      <w:bookmarkStart w:id="531" w:name="_Ref467307010"/>
      <w:bookmarkStart w:id="532" w:name="_Toc127151546"/>
      <w:bookmarkStart w:id="533" w:name="_Toc127161460"/>
      <w:bookmarkStart w:id="534" w:name="_Toc151190173"/>
      <w:bookmarkStart w:id="535" w:name="_Toc150509297"/>
      <w:bookmarkStart w:id="536" w:name="_Toc151193934"/>
      <w:bookmarkStart w:id="537" w:name="_Toc151193644"/>
      <w:bookmarkStart w:id="538" w:name="_Toc142311048"/>
      <w:bookmarkStart w:id="539" w:name="_Toc226965736"/>
      <w:bookmarkStart w:id="540" w:name="_Toc226337242"/>
      <w:bookmarkStart w:id="541" w:name="_Toc151193860"/>
      <w:bookmarkStart w:id="542" w:name="_Toc164608660"/>
      <w:bookmarkStart w:id="543" w:name="_Toc150774751"/>
      <w:bookmarkStart w:id="544" w:name="_Toc150774646"/>
      <w:bookmarkStart w:id="545" w:name="_Toc305158888"/>
      <w:bookmarkStart w:id="546" w:name="_Toc151193788"/>
      <w:bookmarkStart w:id="547" w:name="_Toc164229241"/>
      <w:bookmarkStart w:id="548" w:name="_Toc305158814"/>
      <w:bookmarkStart w:id="549" w:name="_Toc149720839"/>
      <w:bookmarkStart w:id="550" w:name="_Toc195842911"/>
      <w:bookmarkStart w:id="551" w:name="_Toc164229387"/>
      <w:bookmarkStart w:id="552" w:name="_Toc150480784"/>
      <w:bookmarkStart w:id="553" w:name="_Toc226965819"/>
      <w:bookmarkStart w:id="554" w:name="_Toc164351640"/>
      <w:r>
        <w:rPr>
          <w:rFonts w:hint="eastAsia" w:ascii="宋体" w:hAnsi="宋体" w:eastAsia="宋体" w:cs="宋体"/>
          <w:sz w:val="24"/>
        </w:rPr>
        <w:t>成交候选人名单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4E8EA615">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1E9B9BE">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0ACD5ACB">
      <w:pPr>
        <w:numPr>
          <w:ilvl w:val="1"/>
          <w:numId w:val="5"/>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磋商小组要对评分汇总情况进行复核，特别是对排名第一的、报价最低的、响应文件被认定为无效的情形进行重点复核。</w:t>
      </w:r>
    </w:p>
    <w:p w14:paraId="00992C11">
      <w:pPr>
        <w:numPr>
          <w:ilvl w:val="0"/>
          <w:numId w:val="5"/>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报告违法行为</w:t>
      </w:r>
    </w:p>
    <w:p w14:paraId="53542CA6">
      <w:pPr>
        <w:tabs>
          <w:tab w:val="left" w:pos="1080"/>
          <w:tab w:val="left" w:pos="1589"/>
          <w:tab w:val="left" w:pos="2014"/>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p>
    <w:p w14:paraId="06CC7C6B">
      <w:pPr>
        <w:tabs>
          <w:tab w:val="left" w:pos="1080"/>
          <w:tab w:val="left" w:pos="1589"/>
          <w:tab w:val="left" w:pos="2014"/>
        </w:tabs>
        <w:snapToGrid w:val="0"/>
        <w:spacing w:line="360" w:lineRule="auto"/>
        <w:ind w:firstLine="480" w:firstLineChars="200"/>
        <w:rPr>
          <w:rFonts w:hint="eastAsia" w:ascii="宋体" w:hAnsi="宋体" w:eastAsia="宋体" w:cs="宋体"/>
          <w:sz w:val="24"/>
        </w:rPr>
      </w:pPr>
    </w:p>
    <w:p w14:paraId="22B8D4A4">
      <w:pPr>
        <w:tabs>
          <w:tab w:val="left" w:pos="1080"/>
          <w:tab w:val="left" w:pos="1589"/>
          <w:tab w:val="left" w:pos="2014"/>
        </w:tabs>
        <w:snapToGrid w:val="0"/>
        <w:spacing w:line="360" w:lineRule="auto"/>
        <w:ind w:firstLine="480" w:firstLineChars="200"/>
        <w:rPr>
          <w:rFonts w:hint="eastAsia" w:ascii="宋体" w:hAnsi="宋体" w:eastAsia="宋体" w:cs="宋体"/>
          <w:sz w:val="24"/>
        </w:rPr>
      </w:pPr>
    </w:p>
    <w:p w14:paraId="5DD18147">
      <w:pPr>
        <w:tabs>
          <w:tab w:val="left" w:pos="1080"/>
          <w:tab w:val="left" w:pos="1589"/>
          <w:tab w:val="left" w:pos="2014"/>
        </w:tabs>
        <w:snapToGrid w:val="0"/>
        <w:spacing w:line="360" w:lineRule="auto"/>
        <w:ind w:firstLine="480" w:firstLineChars="200"/>
        <w:rPr>
          <w:rFonts w:hint="eastAsia" w:ascii="宋体" w:hAnsi="宋体" w:eastAsia="宋体" w:cs="宋体"/>
          <w:sz w:val="24"/>
        </w:rPr>
      </w:pPr>
    </w:p>
    <w:p w14:paraId="569EB656">
      <w:pPr>
        <w:tabs>
          <w:tab w:val="left" w:pos="1080"/>
          <w:tab w:val="left" w:pos="1589"/>
          <w:tab w:val="left" w:pos="2014"/>
        </w:tabs>
        <w:snapToGrid w:val="0"/>
        <w:spacing w:line="360" w:lineRule="auto"/>
        <w:ind w:firstLine="480" w:firstLineChars="200"/>
        <w:rPr>
          <w:rFonts w:hint="eastAsia" w:ascii="宋体" w:hAnsi="宋体" w:eastAsia="宋体" w:cs="宋体"/>
          <w:sz w:val="24"/>
        </w:rPr>
      </w:pPr>
    </w:p>
    <w:p w14:paraId="04F440E0">
      <w:pPr>
        <w:tabs>
          <w:tab w:val="left" w:pos="1080"/>
          <w:tab w:val="left" w:pos="1589"/>
          <w:tab w:val="left" w:pos="2014"/>
        </w:tabs>
        <w:snapToGrid w:val="0"/>
        <w:spacing w:line="360" w:lineRule="auto"/>
        <w:rPr>
          <w:rFonts w:hint="eastAsia" w:ascii="宋体" w:hAnsi="宋体" w:eastAsia="宋体" w:cs="宋体"/>
          <w:sz w:val="24"/>
        </w:rPr>
      </w:pPr>
    </w:p>
    <w:p w14:paraId="37B8658F">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二、评审标准</w:t>
      </w:r>
    </w:p>
    <w:tbl>
      <w:tblPr>
        <w:tblStyle w:val="3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98"/>
        <w:gridCol w:w="5716"/>
        <w:gridCol w:w="956"/>
      </w:tblGrid>
      <w:tr w14:paraId="227C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2C99D05C">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bookmarkStart w:id="555" w:name="_Hlk128324614"/>
            <w:r>
              <w:rPr>
                <w:rFonts w:hint="eastAsia" w:ascii="宋体" w:hAnsi="宋体" w:eastAsia="宋体" w:cs="宋体"/>
                <w:b/>
                <w:bCs/>
                <w:color w:val="auto"/>
                <w:sz w:val="24"/>
                <w:szCs w:val="32"/>
                <w:highlight w:val="none"/>
              </w:rPr>
              <w:t>序号</w:t>
            </w:r>
          </w:p>
        </w:tc>
        <w:tc>
          <w:tcPr>
            <w:tcW w:w="1798" w:type="dxa"/>
            <w:vAlign w:val="center"/>
          </w:tcPr>
          <w:p w14:paraId="0332F0B6">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评审因素</w:t>
            </w:r>
          </w:p>
        </w:tc>
        <w:tc>
          <w:tcPr>
            <w:tcW w:w="5716" w:type="dxa"/>
            <w:vAlign w:val="center"/>
          </w:tcPr>
          <w:p w14:paraId="640B9E01">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评审标准</w:t>
            </w:r>
          </w:p>
        </w:tc>
        <w:tc>
          <w:tcPr>
            <w:tcW w:w="956" w:type="dxa"/>
            <w:vAlign w:val="center"/>
          </w:tcPr>
          <w:p w14:paraId="68E3AAB7">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分值</w:t>
            </w:r>
          </w:p>
        </w:tc>
      </w:tr>
      <w:tr w14:paraId="4958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2850514D">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一</w:t>
            </w:r>
          </w:p>
        </w:tc>
        <w:tc>
          <w:tcPr>
            <w:tcW w:w="1798" w:type="dxa"/>
            <w:vAlign w:val="center"/>
          </w:tcPr>
          <w:p w14:paraId="6245BDB7">
            <w:pPr>
              <w:adjustRightInd w:val="0"/>
              <w:snapToGrid w:val="0"/>
              <w:spacing w:line="480" w:lineRule="atLeast"/>
              <w:jc w:val="left"/>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技术因素</w:t>
            </w:r>
          </w:p>
        </w:tc>
        <w:tc>
          <w:tcPr>
            <w:tcW w:w="5716" w:type="dxa"/>
            <w:vAlign w:val="center"/>
          </w:tcPr>
          <w:p w14:paraId="73E9864F">
            <w:pPr>
              <w:adjustRightInd w:val="0"/>
              <w:snapToGrid w:val="0"/>
              <w:spacing w:line="480" w:lineRule="atLeast"/>
              <w:jc w:val="center"/>
              <w:textAlignment w:val="baseline"/>
              <w:rPr>
                <w:rFonts w:hint="eastAsia" w:ascii="宋体" w:hAnsi="宋体" w:eastAsia="宋体" w:cs="宋体"/>
                <w:b/>
                <w:bCs/>
                <w:color w:val="auto"/>
                <w:highlight w:val="none"/>
              </w:rPr>
            </w:pPr>
          </w:p>
        </w:tc>
        <w:tc>
          <w:tcPr>
            <w:tcW w:w="956" w:type="dxa"/>
            <w:vAlign w:val="center"/>
          </w:tcPr>
          <w:p w14:paraId="1BE946A7">
            <w:pPr>
              <w:adjustRightInd w:val="0"/>
              <w:snapToGrid w:val="0"/>
              <w:spacing w:line="480" w:lineRule="atLeast"/>
              <w:jc w:val="center"/>
              <w:textAlignment w:val="baseline"/>
              <w:rPr>
                <w:rFonts w:hint="eastAsia" w:ascii="宋体" w:hAnsi="宋体" w:eastAsia="宋体" w:cs="宋体"/>
                <w:b/>
                <w:bCs/>
                <w:color w:val="auto"/>
                <w:highlight w:val="none"/>
              </w:rPr>
            </w:pPr>
            <w:r>
              <w:rPr>
                <w:rFonts w:hint="eastAsia" w:ascii="宋体" w:hAnsi="宋体" w:eastAsia="宋体" w:cs="宋体"/>
                <w:b/>
                <w:bCs/>
                <w:color w:val="auto"/>
                <w:sz w:val="24"/>
                <w:szCs w:val="32"/>
                <w:highlight w:val="none"/>
              </w:rPr>
              <w:t>84</w:t>
            </w:r>
          </w:p>
        </w:tc>
      </w:tr>
      <w:tr w14:paraId="0F12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6FD3C28F">
            <w:pPr>
              <w:adjustRightInd w:val="0"/>
              <w:snapToGrid w:val="0"/>
              <w:spacing w:line="480" w:lineRule="atLeast"/>
              <w:jc w:val="center"/>
              <w:textAlignment w:val="baseline"/>
              <w:rPr>
                <w:rFonts w:hint="eastAsia" w:ascii="宋体" w:hAnsi="宋体" w:eastAsia="宋体" w:cs="宋体"/>
                <w:b/>
                <w:bCs/>
                <w:color w:val="auto"/>
                <w:sz w:val="22"/>
                <w:szCs w:val="28"/>
                <w:highlight w:val="none"/>
              </w:rPr>
            </w:pPr>
            <w:r>
              <w:rPr>
                <w:rFonts w:hint="eastAsia" w:ascii="宋体" w:hAnsi="宋体" w:eastAsia="宋体" w:cs="宋体"/>
                <w:b/>
                <w:bCs/>
                <w:color w:val="auto"/>
                <w:sz w:val="24"/>
                <w:szCs w:val="32"/>
                <w:highlight w:val="none"/>
              </w:rPr>
              <w:t>1</w:t>
            </w:r>
          </w:p>
        </w:tc>
        <w:tc>
          <w:tcPr>
            <w:tcW w:w="1798" w:type="dxa"/>
            <w:vAlign w:val="center"/>
          </w:tcPr>
          <w:p w14:paraId="53599A01">
            <w:pPr>
              <w:adjustRightInd w:val="0"/>
              <w:snapToGrid w:val="0"/>
              <w:spacing w:line="480" w:lineRule="atLeast"/>
              <w:jc w:val="left"/>
              <w:textAlignment w:val="baseline"/>
              <w:rPr>
                <w:rFonts w:hint="eastAsia" w:ascii="宋体" w:hAnsi="宋体" w:eastAsia="宋体" w:cs="宋体"/>
                <w:b/>
                <w:bCs/>
                <w:color w:val="auto"/>
                <w:sz w:val="22"/>
                <w:szCs w:val="28"/>
                <w:highlight w:val="none"/>
              </w:rPr>
            </w:pPr>
            <w:r>
              <w:rPr>
                <w:rFonts w:hint="eastAsia" w:ascii="宋体" w:hAnsi="宋体" w:eastAsia="宋体" w:cs="宋体"/>
                <w:b/>
                <w:color w:val="auto"/>
                <w:sz w:val="24"/>
                <w:szCs w:val="21"/>
                <w:highlight w:val="none"/>
              </w:rPr>
              <w:t>施工组织设计</w:t>
            </w:r>
          </w:p>
        </w:tc>
        <w:tc>
          <w:tcPr>
            <w:tcW w:w="5716" w:type="dxa"/>
            <w:vAlign w:val="center"/>
          </w:tcPr>
          <w:p w14:paraId="7C3A1D32">
            <w:pPr>
              <w:adjustRightInd w:val="0"/>
              <w:snapToGrid w:val="0"/>
              <w:spacing w:line="480" w:lineRule="atLeast"/>
              <w:jc w:val="center"/>
              <w:textAlignment w:val="baseline"/>
              <w:rPr>
                <w:rFonts w:hint="eastAsia" w:ascii="宋体" w:hAnsi="宋体" w:eastAsia="宋体" w:cs="宋体"/>
                <w:b/>
                <w:bCs/>
                <w:color w:val="auto"/>
                <w:highlight w:val="none"/>
              </w:rPr>
            </w:pPr>
          </w:p>
        </w:tc>
        <w:tc>
          <w:tcPr>
            <w:tcW w:w="956" w:type="dxa"/>
            <w:vAlign w:val="center"/>
          </w:tcPr>
          <w:p w14:paraId="50AB9FF3">
            <w:pPr>
              <w:adjustRightInd w:val="0"/>
              <w:snapToGrid w:val="0"/>
              <w:spacing w:line="480" w:lineRule="atLeast"/>
              <w:jc w:val="center"/>
              <w:textAlignment w:val="baseline"/>
              <w:rPr>
                <w:rFonts w:hint="eastAsia" w:ascii="宋体" w:hAnsi="宋体" w:eastAsia="宋体" w:cs="宋体"/>
                <w:b/>
                <w:bCs/>
                <w:color w:val="auto"/>
                <w:highlight w:val="none"/>
              </w:rPr>
            </w:pPr>
          </w:p>
        </w:tc>
      </w:tr>
      <w:tr w14:paraId="5228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68FD938C">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w:t>
            </w:r>
          </w:p>
        </w:tc>
        <w:tc>
          <w:tcPr>
            <w:tcW w:w="1798" w:type="dxa"/>
            <w:vAlign w:val="center"/>
          </w:tcPr>
          <w:p w14:paraId="69AADF06">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施工方案与技术措施</w:t>
            </w:r>
          </w:p>
        </w:tc>
        <w:tc>
          <w:tcPr>
            <w:tcW w:w="5716" w:type="dxa"/>
            <w:vAlign w:val="center"/>
          </w:tcPr>
          <w:p w14:paraId="6BC6B9D1">
            <w:pPr>
              <w:adjustRightInd w:val="0"/>
              <w:snapToGrid w:val="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第一等次：方案内容完整，包括施工方法和作业流程、季节性施工、劳动力计划、施工机具配备等，各部分内容合理清晰，得20分；</w:t>
            </w:r>
          </w:p>
          <w:p w14:paraId="4702A547">
            <w:pPr>
              <w:adjustRightInd w:val="0"/>
              <w:snapToGrid w:val="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第二等次：方案内容完整，包括施工方法和作业流程、季节性施工、劳动力计划、施工机具配备等；各部分描述有欠缺，得15分； </w:t>
            </w:r>
          </w:p>
          <w:p w14:paraId="11AE0FE0">
            <w:pPr>
              <w:adjustRightInd w:val="0"/>
              <w:snapToGrid w:val="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第三等次：方案内容较完整，部分内容描述有欠缺，得10分；</w:t>
            </w:r>
          </w:p>
          <w:p w14:paraId="2CD4FFFB">
            <w:pPr>
              <w:adjustRightInd w:val="0"/>
              <w:snapToGrid w:val="0"/>
              <w:spacing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第四等次：方案内容不完整，部分内容有缺失，得0分。</w:t>
            </w:r>
          </w:p>
        </w:tc>
        <w:tc>
          <w:tcPr>
            <w:tcW w:w="956" w:type="dxa"/>
            <w:vAlign w:val="center"/>
          </w:tcPr>
          <w:p w14:paraId="521973C3">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20</w:t>
            </w:r>
          </w:p>
        </w:tc>
      </w:tr>
      <w:tr w14:paraId="06B8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3D5A51F">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w:t>
            </w:r>
          </w:p>
        </w:tc>
        <w:tc>
          <w:tcPr>
            <w:tcW w:w="1798" w:type="dxa"/>
            <w:vAlign w:val="center"/>
          </w:tcPr>
          <w:p w14:paraId="7E3F3364">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bCs/>
                <w:color w:val="auto"/>
                <w:sz w:val="24"/>
                <w:szCs w:val="28"/>
                <w:highlight w:val="none"/>
              </w:rPr>
              <w:t>质量管理体系与措施</w:t>
            </w:r>
          </w:p>
        </w:tc>
        <w:tc>
          <w:tcPr>
            <w:tcW w:w="5716" w:type="dxa"/>
            <w:vAlign w:val="center"/>
          </w:tcPr>
          <w:p w14:paraId="13FCD2A9">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第一等次：质量目标明确，质量保证体系健全；质量控制关键点、重点明确，针对控制关键点、重点制定了针对性的保障措施，得10分；</w:t>
            </w:r>
          </w:p>
          <w:p w14:paraId="5EADF481">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第二等次：质量目标明确，质量保证体系健全；质量控制关键点、重点明确，但未制定针对性的保障措施，得6分；</w:t>
            </w:r>
          </w:p>
          <w:p w14:paraId="36B76D47">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第三等次：质量目标明确，质量保证体系健全，质量控制关键点、重点不明确，得2分；</w:t>
            </w:r>
          </w:p>
          <w:p w14:paraId="5792A12B">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第四等次：质量目标不明确或者质量保证体系不健全，得0分。</w:t>
            </w:r>
          </w:p>
        </w:tc>
        <w:tc>
          <w:tcPr>
            <w:tcW w:w="956" w:type="dxa"/>
            <w:vAlign w:val="center"/>
          </w:tcPr>
          <w:p w14:paraId="413994D3">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w:t>
            </w:r>
          </w:p>
        </w:tc>
      </w:tr>
      <w:tr w14:paraId="1F391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7681FBD3">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w:t>
            </w:r>
          </w:p>
        </w:tc>
        <w:tc>
          <w:tcPr>
            <w:tcW w:w="1798" w:type="dxa"/>
            <w:vAlign w:val="center"/>
          </w:tcPr>
          <w:p w14:paraId="7BB9B793">
            <w:pPr>
              <w:adjustRightInd w:val="0"/>
              <w:snapToGrid w:val="0"/>
              <w:spacing w:line="480" w:lineRule="atLeast"/>
              <w:jc w:val="left"/>
              <w:textAlignment w:val="baseline"/>
              <w:rPr>
                <w:rFonts w:hint="eastAsia" w:ascii="宋体" w:hAnsi="宋体" w:eastAsia="宋体" w:cs="宋体"/>
                <w:color w:val="auto"/>
                <w:highlight w:val="none"/>
              </w:rPr>
            </w:pPr>
            <w:r>
              <w:rPr>
                <w:rFonts w:hint="eastAsia" w:ascii="宋体" w:hAnsi="宋体" w:eastAsia="宋体" w:cs="宋体"/>
                <w:bCs/>
                <w:color w:val="auto"/>
                <w:sz w:val="24"/>
                <w:szCs w:val="28"/>
                <w:highlight w:val="none"/>
              </w:rPr>
              <w:t>安全管理体系与措施</w:t>
            </w:r>
          </w:p>
        </w:tc>
        <w:tc>
          <w:tcPr>
            <w:tcW w:w="5716" w:type="dxa"/>
            <w:vAlign w:val="center"/>
          </w:tcPr>
          <w:p w14:paraId="4A64A1BB">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针对本项目中的施工作业、用电、防火、吊装、高空、水上作业、有限空间作业、场内外交通等制定了详细的安全管理专项方案；方案内容完整，包括安全教育、人员防护、现场安全措施等内容；安全防护措施到位，得15分。</w:t>
            </w:r>
          </w:p>
          <w:p w14:paraId="0CD78DD3">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针对本项目中的施工作业、用电、防火、吊装、高空、水上作业、有限空间作业、场内外交通等制定了详细的安全管理专项方案；方案内容完整，包括安全教育、人员防护、现场安全措施等内容；安全防护措施简单，保障性较差，得10分；</w:t>
            </w:r>
          </w:p>
          <w:p w14:paraId="337E208A">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第三等次：针对本项目中的施工作业、用电、防火、吊装、高空、水上作业、有限空间作业、场内外交通等制定了安全管理专项方案；方案内容不完整，得5分；</w:t>
            </w:r>
          </w:p>
          <w:p w14:paraId="7956F154">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第四等次：安全管理专项方案没有针对性，与本项目中的施工作业内容结合不紧密，得0分。</w:t>
            </w:r>
          </w:p>
        </w:tc>
        <w:tc>
          <w:tcPr>
            <w:tcW w:w="956" w:type="dxa"/>
            <w:vAlign w:val="center"/>
          </w:tcPr>
          <w:p w14:paraId="163DF638">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15</w:t>
            </w:r>
          </w:p>
        </w:tc>
      </w:tr>
      <w:tr w14:paraId="2738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538899E9">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w:t>
            </w:r>
          </w:p>
        </w:tc>
        <w:tc>
          <w:tcPr>
            <w:tcW w:w="1798" w:type="dxa"/>
            <w:vAlign w:val="center"/>
          </w:tcPr>
          <w:p w14:paraId="07C114D6">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环境保护管理体系与措施</w:t>
            </w:r>
          </w:p>
        </w:tc>
        <w:tc>
          <w:tcPr>
            <w:tcW w:w="5716" w:type="dxa"/>
            <w:vAlign w:val="center"/>
          </w:tcPr>
          <w:p w14:paraId="6234F2A2">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第一等次：结合本项目作业特点，全面识别可能影响周边环境的污染因素，并针对每一项污染因素制定了切实可行的作业现场环境保护措施，得10分；</w:t>
            </w:r>
          </w:p>
          <w:p w14:paraId="199468A1">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第二等次：结合本项目作业特点，全面识别可能影响周边环境的污染因素，并制定了作业现场环境保护措施，措施总体可行，但未与污染因素结合，针对性有欠缺，得6分；</w:t>
            </w:r>
          </w:p>
          <w:p w14:paraId="7ECCD318">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第三等次：污染因素识别不全，或制定的保护措施缺乏可行性，得2分；</w:t>
            </w:r>
          </w:p>
          <w:p w14:paraId="0C2EB918">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第四等次：未识别污染因素，或未制定相应的保护措施，得0分。</w:t>
            </w:r>
          </w:p>
        </w:tc>
        <w:tc>
          <w:tcPr>
            <w:tcW w:w="956" w:type="dxa"/>
            <w:vAlign w:val="center"/>
          </w:tcPr>
          <w:p w14:paraId="4CBD279E">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10</w:t>
            </w:r>
          </w:p>
        </w:tc>
      </w:tr>
      <w:tr w14:paraId="75DC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5022D547">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w:t>
            </w:r>
          </w:p>
        </w:tc>
        <w:tc>
          <w:tcPr>
            <w:tcW w:w="1798" w:type="dxa"/>
            <w:vAlign w:val="center"/>
          </w:tcPr>
          <w:p w14:paraId="7BC0B39A">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工程进度计划与措施</w:t>
            </w:r>
          </w:p>
        </w:tc>
        <w:tc>
          <w:tcPr>
            <w:tcW w:w="5716" w:type="dxa"/>
            <w:vAlign w:val="center"/>
          </w:tcPr>
          <w:p w14:paraId="423D5C02">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第一等次：项目进场、各项工作内容的具体实施时段、项目验收等关键时间节点明确，时间安排合理，并制定了针对性的保障措施，得15分；</w:t>
            </w:r>
          </w:p>
          <w:p w14:paraId="7889C5C2">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第二等次：项目进场、各项工作内容的具体实施时段、项目验收等关键时间节点明确，时间安排合理，但未制定针对性的保障措施，得10分；</w:t>
            </w:r>
          </w:p>
          <w:p w14:paraId="572BC87B">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第三等次：项目进场、各项工作内容的具体实施时段、项目验收等关键时间节点明确，但时间安排存在不合理，得5分；</w:t>
            </w:r>
          </w:p>
          <w:p w14:paraId="54D8A750">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第四等次：项目进场、各项工作内容的具体实施时段、项目验收等关键时间节点不明确，得0分。</w:t>
            </w:r>
          </w:p>
        </w:tc>
        <w:tc>
          <w:tcPr>
            <w:tcW w:w="956" w:type="dxa"/>
            <w:vAlign w:val="center"/>
          </w:tcPr>
          <w:p w14:paraId="029EBDCE">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15</w:t>
            </w:r>
          </w:p>
        </w:tc>
      </w:tr>
      <w:tr w14:paraId="1A45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7E25CF77">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w:t>
            </w:r>
          </w:p>
        </w:tc>
        <w:tc>
          <w:tcPr>
            <w:tcW w:w="1798" w:type="dxa"/>
            <w:vAlign w:val="center"/>
          </w:tcPr>
          <w:p w14:paraId="261740C7">
            <w:pPr>
              <w:adjustRightInd w:val="0"/>
              <w:snapToGrid w:val="0"/>
              <w:spacing w:line="480" w:lineRule="atLeast"/>
              <w:jc w:val="left"/>
              <w:textAlignment w:val="baseline"/>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项目管理机构</w:t>
            </w:r>
          </w:p>
        </w:tc>
        <w:tc>
          <w:tcPr>
            <w:tcW w:w="5716" w:type="dxa"/>
            <w:vAlign w:val="center"/>
          </w:tcPr>
          <w:p w14:paraId="7F6DD44E">
            <w:pPr>
              <w:adjustRightInd w:val="0"/>
              <w:snapToGrid w:val="0"/>
              <w:spacing w:line="240" w:lineRule="auto"/>
              <w:jc w:val="center"/>
              <w:textAlignment w:val="baseline"/>
              <w:rPr>
                <w:rFonts w:hint="eastAsia" w:ascii="宋体" w:hAnsi="宋体" w:eastAsia="宋体" w:cs="宋体"/>
                <w:b/>
                <w:bCs/>
                <w:color w:val="auto"/>
                <w:sz w:val="24"/>
                <w:highlight w:val="none"/>
              </w:rPr>
            </w:pPr>
          </w:p>
        </w:tc>
        <w:tc>
          <w:tcPr>
            <w:tcW w:w="956" w:type="dxa"/>
            <w:vAlign w:val="center"/>
          </w:tcPr>
          <w:p w14:paraId="36BCFB1A">
            <w:pPr>
              <w:adjustRightInd w:val="0"/>
              <w:snapToGrid w:val="0"/>
              <w:spacing w:line="480" w:lineRule="atLeast"/>
              <w:jc w:val="center"/>
              <w:textAlignment w:val="baseline"/>
              <w:rPr>
                <w:rFonts w:hint="eastAsia" w:ascii="宋体" w:hAnsi="宋体" w:eastAsia="宋体" w:cs="宋体"/>
                <w:b/>
                <w:bCs/>
                <w:color w:val="auto"/>
                <w:sz w:val="24"/>
                <w:szCs w:val="32"/>
                <w:highlight w:val="none"/>
              </w:rPr>
            </w:pPr>
          </w:p>
        </w:tc>
      </w:tr>
      <w:tr w14:paraId="7F44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28C9AE34">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w:t>
            </w:r>
          </w:p>
        </w:tc>
        <w:tc>
          <w:tcPr>
            <w:tcW w:w="1798" w:type="dxa"/>
            <w:vAlign w:val="center"/>
          </w:tcPr>
          <w:p w14:paraId="4C130E47">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项目经理职称</w:t>
            </w:r>
          </w:p>
        </w:tc>
        <w:tc>
          <w:tcPr>
            <w:tcW w:w="5716" w:type="dxa"/>
            <w:vAlign w:val="center"/>
          </w:tcPr>
          <w:p w14:paraId="2459D22C">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第一等次：拟派项目经理具有中级及以上职称，得2分；</w:t>
            </w:r>
          </w:p>
          <w:p w14:paraId="5E0FBDC5">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第二等次：拟派项目经理不具有中级及以上职称，得0分。</w:t>
            </w:r>
          </w:p>
        </w:tc>
        <w:tc>
          <w:tcPr>
            <w:tcW w:w="956" w:type="dxa"/>
            <w:vAlign w:val="center"/>
          </w:tcPr>
          <w:p w14:paraId="7B7E91EB">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w:t>
            </w:r>
          </w:p>
        </w:tc>
      </w:tr>
      <w:tr w14:paraId="389E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9613212">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w:t>
            </w:r>
          </w:p>
        </w:tc>
        <w:tc>
          <w:tcPr>
            <w:tcW w:w="1798" w:type="dxa"/>
            <w:vAlign w:val="center"/>
          </w:tcPr>
          <w:p w14:paraId="71C9C229">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担任项目经理业绩</w:t>
            </w:r>
          </w:p>
        </w:tc>
        <w:tc>
          <w:tcPr>
            <w:tcW w:w="5716" w:type="dxa"/>
            <w:vAlign w:val="center"/>
          </w:tcPr>
          <w:p w14:paraId="4150FD7C">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第一等次：2项（含）以上，得6分；</w:t>
            </w:r>
          </w:p>
          <w:p w14:paraId="4C1AF9D4">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第二等次：1项，得3分；</w:t>
            </w:r>
          </w:p>
          <w:p w14:paraId="1F832578">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第三等次：0项，得0分。</w:t>
            </w:r>
          </w:p>
          <w:p w14:paraId="419B29E5">
            <w:pPr>
              <w:adjustRightInd w:val="0"/>
              <w:snapToGrid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注：项目经理业绩指担任水利工程施工项目业绩，须提供有效证明其担任项目经理的中标通知书或合同协议书，以及验收资料或业主证明等相关证明文件</w:t>
            </w:r>
          </w:p>
        </w:tc>
        <w:tc>
          <w:tcPr>
            <w:tcW w:w="956" w:type="dxa"/>
            <w:vAlign w:val="center"/>
          </w:tcPr>
          <w:p w14:paraId="31559C85">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6</w:t>
            </w:r>
          </w:p>
        </w:tc>
      </w:tr>
      <w:tr w14:paraId="04B7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F74C09A">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w:t>
            </w:r>
          </w:p>
        </w:tc>
        <w:tc>
          <w:tcPr>
            <w:tcW w:w="1798" w:type="dxa"/>
            <w:vAlign w:val="center"/>
          </w:tcPr>
          <w:p w14:paraId="2142F88D">
            <w:pPr>
              <w:adjustRightInd w:val="0"/>
              <w:snapToGrid w:val="0"/>
              <w:spacing w:line="480" w:lineRule="atLeast"/>
              <w:jc w:val="left"/>
              <w:textAlignment w:val="baseline"/>
              <w:rPr>
                <w:rFonts w:hint="eastAsia" w:ascii="宋体" w:hAnsi="宋体" w:eastAsia="宋体" w:cs="宋体"/>
                <w:bCs/>
                <w:color w:val="auto"/>
                <w:highlight w:val="none"/>
              </w:rPr>
            </w:pPr>
            <w:r>
              <w:rPr>
                <w:rFonts w:hint="eastAsia" w:ascii="宋体" w:hAnsi="宋体" w:eastAsia="宋体" w:cs="宋体"/>
                <w:color w:val="auto"/>
                <w:sz w:val="24"/>
                <w:szCs w:val="21"/>
                <w:highlight w:val="none"/>
              </w:rPr>
              <w:t>项目管理机构人员构成情况</w:t>
            </w:r>
          </w:p>
        </w:tc>
        <w:tc>
          <w:tcPr>
            <w:tcW w:w="5716" w:type="dxa"/>
            <w:vAlign w:val="center"/>
          </w:tcPr>
          <w:p w14:paraId="232E316C">
            <w:pPr>
              <w:widowControl/>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第一等次：为本项目实施配备的管理人员岗位包括施工、质量、材料、预算、资料管理岗位，得6分；</w:t>
            </w:r>
          </w:p>
          <w:p w14:paraId="5A06BF3A">
            <w:pPr>
              <w:widowControl/>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第二等次：为本项目实施配备的管理人员岗位包括施工、质量、材料、资料管理岗位，得4分；</w:t>
            </w:r>
          </w:p>
          <w:p w14:paraId="631CB9CD">
            <w:pPr>
              <w:widowControl/>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第三等次：为本项目实施配备的管理人员岗位包括施工、质量、资料管理岗位，得2分；</w:t>
            </w:r>
          </w:p>
          <w:p w14:paraId="6DA1FB86">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第四等次：岗位不明确，施工、质量、资料管理岗位有任一缺失，得0分。</w:t>
            </w:r>
          </w:p>
        </w:tc>
        <w:tc>
          <w:tcPr>
            <w:tcW w:w="956" w:type="dxa"/>
            <w:vAlign w:val="center"/>
          </w:tcPr>
          <w:p w14:paraId="60307CA1">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6</w:t>
            </w:r>
          </w:p>
        </w:tc>
      </w:tr>
      <w:tr w14:paraId="3494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344A197F">
            <w:pPr>
              <w:adjustRightInd w:val="0"/>
              <w:snapToGrid w:val="0"/>
              <w:spacing w:line="480" w:lineRule="atLeast"/>
              <w:jc w:val="center"/>
              <w:textAlignment w:val="baseline"/>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二</w:t>
            </w:r>
          </w:p>
        </w:tc>
        <w:tc>
          <w:tcPr>
            <w:tcW w:w="1798" w:type="dxa"/>
            <w:vAlign w:val="center"/>
          </w:tcPr>
          <w:p w14:paraId="1E8F143D">
            <w:pPr>
              <w:adjustRightInd w:val="0"/>
              <w:snapToGrid w:val="0"/>
              <w:spacing w:line="480" w:lineRule="atLeast"/>
              <w:jc w:val="left"/>
              <w:textAlignment w:val="baseline"/>
              <w:rPr>
                <w:rFonts w:hint="eastAsia" w:ascii="宋体" w:hAnsi="宋体" w:eastAsia="宋体" w:cs="宋体"/>
                <w:b/>
                <w:color w:val="auto"/>
                <w:sz w:val="24"/>
                <w:szCs w:val="32"/>
                <w:highlight w:val="none"/>
              </w:rPr>
            </w:pPr>
            <w:r>
              <w:rPr>
                <w:rFonts w:hint="eastAsia" w:ascii="宋体" w:hAnsi="宋体" w:eastAsia="宋体" w:cs="宋体"/>
                <w:b/>
                <w:bCs/>
                <w:color w:val="auto"/>
                <w:sz w:val="24"/>
                <w:szCs w:val="32"/>
                <w:highlight w:val="none"/>
              </w:rPr>
              <w:t>其他因素（供应商履约能力）</w:t>
            </w:r>
          </w:p>
        </w:tc>
        <w:tc>
          <w:tcPr>
            <w:tcW w:w="5716" w:type="dxa"/>
            <w:vAlign w:val="center"/>
          </w:tcPr>
          <w:p w14:paraId="4753DAC7">
            <w:pPr>
              <w:adjustRightInd w:val="0"/>
              <w:snapToGrid w:val="0"/>
              <w:spacing w:line="240" w:lineRule="auto"/>
              <w:jc w:val="center"/>
              <w:textAlignment w:val="baseline"/>
              <w:rPr>
                <w:rFonts w:hint="eastAsia" w:ascii="宋体" w:hAnsi="宋体" w:eastAsia="宋体" w:cs="宋体"/>
                <w:b/>
                <w:color w:val="auto"/>
                <w:sz w:val="24"/>
                <w:highlight w:val="none"/>
              </w:rPr>
            </w:pPr>
          </w:p>
        </w:tc>
        <w:tc>
          <w:tcPr>
            <w:tcW w:w="956" w:type="dxa"/>
            <w:vAlign w:val="center"/>
          </w:tcPr>
          <w:p w14:paraId="013E19B6">
            <w:pPr>
              <w:adjustRightInd w:val="0"/>
              <w:snapToGrid w:val="0"/>
              <w:spacing w:line="480" w:lineRule="atLeast"/>
              <w:jc w:val="center"/>
              <w:textAlignment w:val="baseline"/>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6</w:t>
            </w:r>
          </w:p>
        </w:tc>
      </w:tr>
      <w:tr w14:paraId="2200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7FB25674">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w:t>
            </w:r>
          </w:p>
        </w:tc>
        <w:tc>
          <w:tcPr>
            <w:tcW w:w="1798" w:type="dxa"/>
            <w:vAlign w:val="center"/>
          </w:tcPr>
          <w:p w14:paraId="36B9D4C6">
            <w:pPr>
              <w:adjustRightInd w:val="0"/>
              <w:snapToGrid w:val="0"/>
              <w:spacing w:line="480" w:lineRule="atLeast"/>
              <w:jc w:val="left"/>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21"/>
                <w:highlight w:val="none"/>
              </w:rPr>
              <w:t>类似项目业绩</w:t>
            </w:r>
          </w:p>
        </w:tc>
        <w:tc>
          <w:tcPr>
            <w:tcW w:w="5716" w:type="dxa"/>
            <w:vAlign w:val="center"/>
          </w:tcPr>
          <w:p w14:paraId="721CE29E">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近3年（</w:t>
            </w:r>
            <w:r>
              <w:rPr>
                <w:rFonts w:hint="eastAsia" w:ascii="宋体" w:hAnsi="宋体" w:eastAsia="宋体" w:cs="宋体"/>
                <w:color w:val="auto"/>
                <w:sz w:val="24"/>
                <w:highlight w:val="none"/>
                <w:lang w:val="en-US" w:eastAsia="zh-CN"/>
              </w:rPr>
              <w:t>2022年2月6日至2025年2月5日</w:t>
            </w:r>
            <w:r>
              <w:rPr>
                <w:rFonts w:hint="eastAsia" w:ascii="宋体" w:hAnsi="宋体" w:eastAsia="宋体" w:cs="宋体"/>
                <w:color w:val="auto"/>
                <w:sz w:val="24"/>
                <w:highlight w:val="none"/>
              </w:rPr>
              <w:t>）承担水利工程施工项目经验：</w:t>
            </w:r>
          </w:p>
          <w:p w14:paraId="7700995D">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第一等次：已完成2项（含）以上，得5分；</w:t>
            </w:r>
          </w:p>
          <w:p w14:paraId="73D9AE8E">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第二等次：已完成1项，得3分；</w:t>
            </w:r>
          </w:p>
          <w:p w14:paraId="645C3457">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第三等次：已完成0项，得0分。</w:t>
            </w:r>
          </w:p>
          <w:p w14:paraId="16CFA995">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493E8D2C">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（1）近3年完成指完成时间在此期限内；</w:t>
            </w:r>
          </w:p>
          <w:p w14:paraId="61D39440">
            <w:pPr>
              <w:adjustRightInd w:val="0"/>
              <w:snapToGrid w:val="0"/>
              <w:spacing w:line="24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（2）类似工程指水利工程施工业绩；</w:t>
            </w:r>
          </w:p>
          <w:p w14:paraId="084F2FB2">
            <w:pPr>
              <w:adjustRightInd w:val="0"/>
              <w:snapToGrid w:val="0"/>
              <w:spacing w:line="240" w:lineRule="auto"/>
              <w:textAlignment w:val="baseline"/>
              <w:rPr>
                <w:rFonts w:hint="eastAsia" w:ascii="宋体" w:hAnsi="宋体" w:eastAsia="宋体" w:cs="宋体"/>
                <w:color w:val="auto"/>
                <w:szCs w:val="21"/>
                <w:highlight w:val="none"/>
              </w:rPr>
            </w:pPr>
            <w:r>
              <w:rPr>
                <w:rFonts w:hint="eastAsia" w:ascii="宋体" w:hAnsi="宋体" w:eastAsia="宋体" w:cs="宋体"/>
                <w:color w:val="auto"/>
                <w:sz w:val="24"/>
                <w:highlight w:val="none"/>
              </w:rPr>
              <w:t>（3）须提供中标通知书（或合同协议书）和工程完工证明（或工程竣工验收证书）等有效证明材料。</w:t>
            </w:r>
          </w:p>
        </w:tc>
        <w:tc>
          <w:tcPr>
            <w:tcW w:w="956" w:type="dxa"/>
            <w:vAlign w:val="center"/>
          </w:tcPr>
          <w:p w14:paraId="60F089B9">
            <w:pPr>
              <w:adjustRightInd w:val="0"/>
              <w:snapToGrid w:val="0"/>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w:t>
            </w:r>
          </w:p>
        </w:tc>
      </w:tr>
      <w:tr w14:paraId="43BF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50BB7E21">
            <w:pPr>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2</w:t>
            </w:r>
          </w:p>
        </w:tc>
        <w:tc>
          <w:tcPr>
            <w:tcW w:w="1798" w:type="dxa"/>
            <w:vAlign w:val="center"/>
          </w:tcPr>
          <w:p w14:paraId="2582F74E">
            <w:pPr>
              <w:spacing w:line="480" w:lineRule="atLeast"/>
              <w:jc w:val="center"/>
              <w:textAlignment w:val="baseline"/>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节能产品优先采购</w:t>
            </w:r>
          </w:p>
        </w:tc>
        <w:tc>
          <w:tcPr>
            <w:tcW w:w="5716" w:type="dxa"/>
          </w:tcPr>
          <w:p w14:paraId="0B0DA664">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项目实施中供应商提供的材料设备具有国家确定的认证机构出具的、处于有效期之内的节能产品认证证书。</w:t>
            </w:r>
          </w:p>
          <w:p w14:paraId="55AAD579">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注：（1）投标产品须在本项目采购清单内（在“主要材料和工程设备选用表”内列明），且在国家现行政府采购节能产品目录清单内；</w:t>
            </w:r>
          </w:p>
          <w:p w14:paraId="5CFF3737">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（2）投标产品与节能产品认证证书中的产品型号一致；</w:t>
            </w:r>
          </w:p>
          <w:p w14:paraId="1CCF42AA">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（3）需提供国家确定的认证机构出具的，处于有效期内的节能产品认证证书复印件或扫描件。</w:t>
            </w:r>
          </w:p>
        </w:tc>
        <w:tc>
          <w:tcPr>
            <w:tcW w:w="956" w:type="dxa"/>
            <w:vAlign w:val="center"/>
          </w:tcPr>
          <w:p w14:paraId="611D0720">
            <w:pPr>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0.5</w:t>
            </w:r>
          </w:p>
        </w:tc>
      </w:tr>
      <w:tr w14:paraId="51598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8C20C58">
            <w:pPr>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bCs/>
                <w:color w:val="auto"/>
                <w:sz w:val="24"/>
                <w:highlight w:val="none"/>
              </w:rPr>
              <w:t>3</w:t>
            </w:r>
          </w:p>
        </w:tc>
        <w:tc>
          <w:tcPr>
            <w:tcW w:w="1798" w:type="dxa"/>
            <w:vAlign w:val="center"/>
          </w:tcPr>
          <w:p w14:paraId="2565B74A">
            <w:pPr>
              <w:spacing w:line="480" w:lineRule="atLeast"/>
              <w:jc w:val="center"/>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环保产品优先采购</w:t>
            </w:r>
          </w:p>
        </w:tc>
        <w:tc>
          <w:tcPr>
            <w:tcW w:w="5716" w:type="dxa"/>
          </w:tcPr>
          <w:p w14:paraId="78CC93B5">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项目实施中供应商提供的材料设备在政府采购环境标志产品实施品目清单范围内，且具有国家确定的认证机构出具的、处于有效期之内的环境标志产品认证证书。</w:t>
            </w:r>
          </w:p>
          <w:p w14:paraId="47994F75">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注：（1）投标产品须在本项目采购清单内（在“主要材料和工程设备选用表”内列明），且在国家现行政府采购环保产品目录清单内；</w:t>
            </w:r>
          </w:p>
          <w:p w14:paraId="6518EFB3">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（2）投标产品与环保产品认证证书中的产品型号一致；</w:t>
            </w:r>
          </w:p>
          <w:p w14:paraId="68CD313A">
            <w:pPr>
              <w:adjustRightInd w:val="0"/>
              <w:snapToGrid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（3）需提供国家确定的认证机构出具的，处于有效期内的环境标志产品认证证书复印件或扫描件。</w:t>
            </w:r>
          </w:p>
        </w:tc>
        <w:tc>
          <w:tcPr>
            <w:tcW w:w="956" w:type="dxa"/>
            <w:vAlign w:val="center"/>
          </w:tcPr>
          <w:p w14:paraId="3E1626B1">
            <w:pPr>
              <w:spacing w:line="480" w:lineRule="atLeast"/>
              <w:jc w:val="center"/>
              <w:textAlignment w:val="baseline"/>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0.5</w:t>
            </w:r>
          </w:p>
        </w:tc>
      </w:tr>
      <w:bookmarkEnd w:id="555"/>
    </w:tbl>
    <w:p w14:paraId="64B4D130">
      <w:pPr>
        <w:pStyle w:val="2"/>
        <w:rPr>
          <w:rFonts w:hint="eastAsia" w:ascii="宋体" w:hAnsi="宋体" w:eastAsia="宋体" w:cs="宋体"/>
        </w:rPr>
      </w:pPr>
    </w:p>
    <w:p w14:paraId="321552BD">
      <w:pPr>
        <w:snapToGrid w:val="0"/>
        <w:spacing w:line="360" w:lineRule="auto"/>
        <w:rPr>
          <w:rFonts w:hint="eastAsia" w:ascii="宋体" w:hAnsi="宋体" w:eastAsia="宋体" w:cs="宋体"/>
          <w:sz w:val="24"/>
        </w:rPr>
      </w:pPr>
      <w:r>
        <w:rPr>
          <w:rFonts w:hint="eastAsia" w:ascii="宋体" w:hAnsi="宋体" w:eastAsia="宋体" w:cs="宋体"/>
          <w:sz w:val="24"/>
        </w:rPr>
        <w:t>经济标评分的方法及有关说明（</w:t>
      </w:r>
      <w:r>
        <w:rPr>
          <w:rFonts w:hint="eastAsia" w:ascii="宋体" w:hAnsi="宋体" w:eastAsia="宋体" w:cs="宋体"/>
          <w:sz w:val="24"/>
          <w:lang w:val="en-US" w:eastAsia="zh-CN"/>
        </w:rPr>
        <w:t>1</w:t>
      </w:r>
      <w:r>
        <w:rPr>
          <w:rFonts w:hint="eastAsia" w:ascii="宋体" w:hAnsi="宋体" w:eastAsia="宋体" w:cs="宋体"/>
          <w:sz w:val="24"/>
        </w:rPr>
        <w:t>0分）：</w:t>
      </w:r>
    </w:p>
    <w:p w14:paraId="09F21C07">
      <w:pPr>
        <w:spacing w:line="480" w:lineRule="exact"/>
        <w:rPr>
          <w:rFonts w:hint="eastAsia" w:ascii="宋体" w:hAnsi="宋体" w:eastAsia="宋体" w:cs="宋体"/>
          <w:sz w:val="24"/>
        </w:rPr>
      </w:pPr>
      <w:r>
        <w:rPr>
          <w:rFonts w:hint="eastAsia" w:ascii="宋体" w:hAnsi="宋体" w:eastAsia="宋体" w:cs="宋体"/>
          <w:sz w:val="24"/>
        </w:rPr>
        <w:t>1. 评标价格以人民币计价。</w:t>
      </w:r>
    </w:p>
    <w:p w14:paraId="3AC75361">
      <w:pPr>
        <w:spacing w:line="480" w:lineRule="exact"/>
        <w:rPr>
          <w:rFonts w:hint="eastAsia" w:ascii="宋体" w:hAnsi="宋体" w:eastAsia="宋体" w:cs="宋体"/>
          <w:sz w:val="24"/>
        </w:rPr>
      </w:pPr>
      <w:r>
        <w:rPr>
          <w:rFonts w:hint="eastAsia" w:ascii="宋体" w:hAnsi="宋体" w:eastAsia="宋体" w:cs="宋体"/>
          <w:sz w:val="24"/>
        </w:rPr>
        <w:t>2. 以供应商的二次报价，作为最后磋商报价；</w:t>
      </w:r>
    </w:p>
    <w:p w14:paraId="5FAA23AA">
      <w:pPr>
        <w:spacing w:line="480" w:lineRule="exact"/>
        <w:rPr>
          <w:rFonts w:hint="eastAsia" w:ascii="宋体" w:hAnsi="宋体" w:eastAsia="宋体" w:cs="宋体"/>
          <w:sz w:val="24"/>
        </w:rPr>
      </w:pPr>
      <w:r>
        <w:rPr>
          <w:rFonts w:hint="eastAsia" w:ascii="宋体" w:hAnsi="宋体" w:eastAsia="宋体" w:cs="宋体"/>
          <w:sz w:val="24"/>
        </w:rPr>
        <w:t>3．价格分统一采用低价优先法计算即满足采购文件要求且最后磋商报价最低的有效报价（即除低于成本报价以外的所有报价）为磋商基准价，其价格分为满分。</w:t>
      </w:r>
    </w:p>
    <w:p w14:paraId="75BD99E9">
      <w:pPr>
        <w:spacing w:line="480" w:lineRule="exact"/>
        <w:rPr>
          <w:rFonts w:hint="eastAsia" w:ascii="宋体" w:hAnsi="宋体" w:eastAsia="宋体" w:cs="宋体"/>
          <w:sz w:val="24"/>
        </w:rPr>
      </w:pPr>
      <w:r>
        <w:rPr>
          <w:rFonts w:hint="eastAsia" w:ascii="宋体" w:hAnsi="宋体" w:eastAsia="宋体" w:cs="宋体"/>
          <w:sz w:val="24"/>
        </w:rPr>
        <w:t>4．其他供应商的价格分统一按照以下公式计算：</w:t>
      </w:r>
    </w:p>
    <w:p w14:paraId="671E59C7">
      <w:pPr>
        <w:spacing w:line="480" w:lineRule="exact"/>
        <w:rPr>
          <w:rFonts w:hint="eastAsia" w:ascii="宋体" w:hAnsi="宋体" w:eastAsia="宋体" w:cs="宋体"/>
          <w:sz w:val="24"/>
        </w:rPr>
      </w:pPr>
      <w:r>
        <w:rPr>
          <w:rFonts w:hint="eastAsia" w:ascii="宋体" w:hAnsi="宋体" w:eastAsia="宋体" w:cs="宋体"/>
          <w:sz w:val="24"/>
        </w:rPr>
        <w:t>磋商报价得分=（磋商基准价/最后磋商报价）×</w:t>
      </w:r>
      <w:r>
        <w:rPr>
          <w:rFonts w:hint="eastAsia" w:ascii="宋体" w:hAnsi="宋体" w:eastAsia="宋体" w:cs="宋体"/>
          <w:sz w:val="24"/>
          <w:lang w:val="en-US" w:eastAsia="zh-CN"/>
        </w:rPr>
        <w:t>1</w:t>
      </w:r>
      <w:r>
        <w:rPr>
          <w:rFonts w:hint="eastAsia" w:ascii="宋体" w:hAnsi="宋体" w:eastAsia="宋体" w:cs="宋体"/>
          <w:sz w:val="24"/>
        </w:rPr>
        <w:t>0</w:t>
      </w:r>
    </w:p>
    <w:p w14:paraId="782A2AC4">
      <w:pPr>
        <w:spacing w:line="480" w:lineRule="exact"/>
        <w:rPr>
          <w:rFonts w:hint="eastAsia" w:ascii="宋体" w:hAnsi="宋体" w:eastAsia="宋体" w:cs="宋体"/>
          <w:sz w:val="24"/>
        </w:rPr>
      </w:pPr>
      <w:r>
        <w:rPr>
          <w:rFonts w:hint="eastAsia" w:ascii="宋体" w:hAnsi="宋体" w:eastAsia="宋体" w:cs="宋体"/>
          <w:sz w:val="24"/>
        </w:rPr>
        <w:t>5.最低报价不作为成交的保证。</w:t>
      </w:r>
    </w:p>
    <w:p w14:paraId="5E939E42">
      <w:pPr>
        <w:spacing w:line="480" w:lineRule="exact"/>
        <w:rPr>
          <w:rFonts w:hint="eastAsia" w:ascii="宋体" w:hAnsi="宋体" w:eastAsia="宋体" w:cs="宋体"/>
          <w:sz w:val="24"/>
        </w:rPr>
      </w:pPr>
      <w:r>
        <w:rPr>
          <w:rFonts w:hint="eastAsia" w:ascii="宋体" w:hAnsi="宋体" w:eastAsia="宋体" w:cs="宋体"/>
          <w:sz w:val="24"/>
        </w:rPr>
        <w:t>6.“小型和微型企业产品”的价格按扣除10%后的价格参与评审。</w:t>
      </w:r>
    </w:p>
    <w:p w14:paraId="3F0B69C4">
      <w:pPr>
        <w:spacing w:line="480" w:lineRule="exact"/>
        <w:rPr>
          <w:rFonts w:hint="eastAsia" w:ascii="宋体" w:hAnsi="宋体" w:eastAsia="宋体" w:cs="宋体"/>
          <w:sz w:val="24"/>
        </w:rPr>
      </w:pPr>
      <w:r>
        <w:rPr>
          <w:rFonts w:hint="eastAsia" w:ascii="宋体" w:hAnsi="宋体" w:eastAsia="宋体" w:cs="宋体"/>
          <w:sz w:val="24"/>
        </w:rPr>
        <w:t>6.1符合条件的供应商应按照《政府采购促进中小企业发展管理办法》的规定提供《中小企业声明函》（后附），并对声明的真实性负责。</w:t>
      </w:r>
    </w:p>
    <w:p w14:paraId="50BB2454">
      <w:pPr>
        <w:spacing w:line="480" w:lineRule="exact"/>
        <w:rPr>
          <w:rFonts w:hint="eastAsia" w:ascii="宋体" w:hAnsi="宋体" w:eastAsia="宋体" w:cs="宋体"/>
          <w:sz w:val="24"/>
        </w:rPr>
      </w:pPr>
      <w:r>
        <w:rPr>
          <w:rFonts w:hint="eastAsia" w:ascii="宋体" w:hAnsi="宋体" w:eastAsia="宋体" w:cs="宋体"/>
          <w:sz w:val="24"/>
        </w:rPr>
        <w:t>6.2监狱企业视同小型、微型企业,监狱企业应当提供由省级以上监狱管理局、戒毒管理局(含新疆生产建设兵团)出具的属于监狱企业的证明文件。北京市监狱企业应当提供市监狱管理局、市教育矫治局出具的监狱企业的证明文件。</w:t>
      </w:r>
    </w:p>
    <w:p w14:paraId="1316832E">
      <w:pPr>
        <w:spacing w:line="480" w:lineRule="exact"/>
        <w:rPr>
          <w:rFonts w:hint="eastAsia" w:ascii="宋体" w:hAnsi="宋体" w:eastAsia="宋体" w:cs="宋体"/>
          <w:sz w:val="24"/>
        </w:rPr>
      </w:pPr>
      <w:r>
        <w:rPr>
          <w:rFonts w:hint="eastAsia" w:ascii="宋体" w:hAnsi="宋体" w:eastAsia="宋体" w:cs="宋体"/>
          <w:sz w:val="24"/>
        </w:rPr>
        <w:t>6.3残疾人福利性单位视同小型、微型企业，符合条件的残疾人福利性单位应按照《财政部</w:t>
      </w:r>
      <w:r>
        <w:rPr>
          <w:rFonts w:hint="eastAsia" w:ascii="宋体" w:hAnsi="宋体" w:eastAsia="宋体" w:cs="宋体"/>
          <w:sz w:val="24"/>
          <w:lang w:val="en-US" w:eastAsia="zh-CN"/>
        </w:rPr>
        <w:t xml:space="preserve"> </w:t>
      </w:r>
      <w:r>
        <w:rPr>
          <w:rFonts w:hint="eastAsia" w:ascii="宋体" w:hAnsi="宋体" w:eastAsia="宋体" w:cs="宋体"/>
          <w:sz w:val="24"/>
        </w:rPr>
        <w:t>民政部 中国残疾人联合会关于促进残疾人就业政府采购政策的通知》的规定提供《残疾人福利性单位声明函》（后附），并对声明的真实性负责。</w:t>
      </w:r>
    </w:p>
    <w:p w14:paraId="454F5D1D">
      <w:pPr>
        <w:rPr>
          <w:rFonts w:hint="eastAsia" w:ascii="宋体" w:hAnsi="宋体" w:eastAsia="宋体" w:cs="宋体"/>
          <w:b/>
          <w:sz w:val="36"/>
          <w:szCs w:val="36"/>
        </w:rPr>
      </w:pPr>
      <w:bookmarkStart w:id="556" w:name="_Toc103153304"/>
      <w:r>
        <w:rPr>
          <w:rFonts w:hint="eastAsia" w:ascii="宋体" w:hAnsi="宋体" w:eastAsia="宋体" w:cs="宋体"/>
          <w:b/>
          <w:sz w:val="36"/>
          <w:szCs w:val="36"/>
        </w:rPr>
        <w:br w:type="page"/>
      </w:r>
    </w:p>
    <w:p w14:paraId="5216D7F5">
      <w:pPr>
        <w:spacing w:line="360" w:lineRule="auto"/>
        <w:jc w:val="center"/>
        <w:outlineLvl w:val="0"/>
        <w:rPr>
          <w:rFonts w:hint="eastAsia" w:ascii="宋体" w:hAnsi="宋体" w:eastAsia="宋体" w:cs="宋体"/>
          <w:b/>
          <w:sz w:val="36"/>
          <w:szCs w:val="36"/>
          <w:lang w:val="en-US" w:eastAsia="zh-CN"/>
        </w:rPr>
      </w:pPr>
      <w:bookmarkStart w:id="557" w:name="_Toc15345"/>
      <w:r>
        <w:rPr>
          <w:rFonts w:hint="eastAsia" w:ascii="宋体" w:hAnsi="宋体" w:eastAsia="宋体" w:cs="宋体"/>
          <w:b/>
          <w:sz w:val="36"/>
          <w:szCs w:val="36"/>
        </w:rPr>
        <w:t xml:space="preserve">第四章   </w:t>
      </w:r>
      <w:bookmarkEnd w:id="556"/>
      <w:r>
        <w:rPr>
          <w:rFonts w:hint="eastAsia" w:ascii="宋体" w:hAnsi="宋体" w:eastAsia="宋体" w:cs="宋体"/>
          <w:b/>
          <w:sz w:val="36"/>
          <w:szCs w:val="36"/>
          <w:lang w:val="en-US" w:eastAsia="zh-CN"/>
        </w:rPr>
        <w:t>采购需求</w:t>
      </w:r>
      <w:bookmarkEnd w:id="557"/>
    </w:p>
    <w:p w14:paraId="1250A7F5">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br w:type="page"/>
      </w:r>
    </w:p>
    <w:p w14:paraId="2E320890">
      <w:pPr>
        <w:pStyle w:val="2"/>
        <w:rPr>
          <w:rFonts w:hint="eastAsia" w:ascii="宋体" w:hAnsi="宋体" w:eastAsia="宋体" w:cs="宋体"/>
          <w:highlight w:val="none"/>
        </w:rPr>
      </w:pPr>
    </w:p>
    <w:p w14:paraId="066CE601">
      <w:pPr>
        <w:numPr>
          <w:ilvl w:val="255"/>
          <w:numId w:val="0"/>
        </w:numPr>
        <w:spacing w:line="360" w:lineRule="auto"/>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京密引水渠北台上段强降雨水毁修复工程</w:t>
      </w:r>
    </w:p>
    <w:p w14:paraId="321B0B2B">
      <w:pPr>
        <w:pStyle w:val="2"/>
        <w:rPr>
          <w:rFonts w:hint="eastAsia" w:ascii="宋体" w:hAnsi="宋体" w:eastAsia="宋体" w:cs="宋体"/>
          <w:lang w:eastAsia="zh-CN"/>
        </w:rPr>
      </w:pPr>
    </w:p>
    <w:p w14:paraId="3ADEEA99">
      <w:pPr>
        <w:numPr>
          <w:ilvl w:val="255"/>
          <w:numId w:val="0"/>
        </w:numPr>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采购需求</w:t>
      </w:r>
    </w:p>
    <w:p w14:paraId="14ECF253">
      <w:pPr>
        <w:pStyle w:val="3"/>
        <w:jc w:val="left"/>
        <w:rPr>
          <w:rFonts w:hint="eastAsia" w:ascii="宋体" w:hAnsi="宋体" w:eastAsia="宋体" w:cs="宋体"/>
        </w:rPr>
      </w:pPr>
      <w:r>
        <w:rPr>
          <w:rFonts w:hint="eastAsia" w:ascii="宋体" w:hAnsi="宋体" w:eastAsia="宋体" w:cs="宋体"/>
        </w:rPr>
        <w:t>一、项目概况</w:t>
      </w:r>
    </w:p>
    <w:p w14:paraId="4012DCCB">
      <w:pPr>
        <w:spacing w:line="360" w:lineRule="auto"/>
        <w:ind w:firstLine="484" w:firstLineChars="202"/>
        <w:rPr>
          <w:rFonts w:hint="eastAsia" w:ascii="宋体" w:hAnsi="宋体" w:eastAsia="宋体" w:cs="宋体"/>
          <w:sz w:val="24"/>
          <w:szCs w:val="28"/>
        </w:rPr>
      </w:pPr>
      <w:bookmarkStart w:id="558" w:name="_Toc12243"/>
      <w:r>
        <w:rPr>
          <w:rFonts w:hint="eastAsia" w:ascii="宋体" w:hAnsi="宋体" w:eastAsia="宋体" w:cs="宋体"/>
          <w:sz w:val="24"/>
          <w:szCs w:val="28"/>
        </w:rPr>
        <w:t>京密引水渠，始建于1960年，1966年5月全线通水，是北京市供水“大动脉”，既担负着正向为北京城区输供生活和环境用水的重任，也担负着反向将南水北调来水输至密云水库，并沿途向水厂、城市河湖输水和回补地下水。渠首为龚庄子进水闸，流经怀柔水库、颐和园昆明湖，横贯密云、怀柔、顺义、昌平、海淀5区县，在滨角汇入永定河引水渠，全长105.059km，沿渠共有250余座水工建筑物。设计流量：渠首宫庄子～沙河倒虹吸70m</w:t>
      </w:r>
      <w:r>
        <w:rPr>
          <w:rFonts w:hint="eastAsia" w:ascii="宋体" w:hAnsi="宋体" w:eastAsia="宋体" w:cs="宋体"/>
          <w:sz w:val="24"/>
          <w:szCs w:val="28"/>
          <w:vertAlign w:val="superscript"/>
        </w:rPr>
        <w:t>3</w:t>
      </w:r>
      <w:r>
        <w:rPr>
          <w:rFonts w:hint="eastAsia" w:ascii="宋体" w:hAnsi="宋体" w:eastAsia="宋体" w:cs="宋体"/>
          <w:sz w:val="24"/>
          <w:szCs w:val="28"/>
        </w:rPr>
        <w:t>/s，沙河倒虹吸～李史山节制闸60m</w:t>
      </w:r>
      <w:r>
        <w:rPr>
          <w:rFonts w:hint="eastAsia" w:ascii="宋体" w:hAnsi="宋体" w:eastAsia="宋体" w:cs="宋体"/>
          <w:sz w:val="24"/>
          <w:szCs w:val="28"/>
          <w:vertAlign w:val="superscript"/>
        </w:rPr>
        <w:t>3</w:t>
      </w:r>
      <w:r>
        <w:rPr>
          <w:rFonts w:hint="eastAsia" w:ascii="宋体" w:hAnsi="宋体" w:eastAsia="宋体" w:cs="宋体"/>
          <w:sz w:val="24"/>
          <w:szCs w:val="28"/>
        </w:rPr>
        <w:t>/s，李史山节制闸以下40m</w:t>
      </w:r>
      <w:r>
        <w:rPr>
          <w:rFonts w:hint="eastAsia" w:ascii="宋体" w:hAnsi="宋体" w:eastAsia="宋体" w:cs="宋体"/>
          <w:sz w:val="24"/>
          <w:szCs w:val="28"/>
          <w:vertAlign w:val="superscript"/>
        </w:rPr>
        <w:t>3</w:t>
      </w:r>
      <w:r>
        <w:rPr>
          <w:rFonts w:hint="eastAsia" w:ascii="宋体" w:hAnsi="宋体" w:eastAsia="宋体" w:cs="宋体"/>
          <w:sz w:val="24"/>
          <w:szCs w:val="28"/>
        </w:rPr>
        <w:t>/s，设计水深2.8～3.5m，底宽8～20m，设计边坡1:2～1:2.5，纵坡0.00025～0.000059。</w:t>
      </w:r>
    </w:p>
    <w:bookmarkEnd w:id="558"/>
    <w:p w14:paraId="621AA207">
      <w:pPr>
        <w:pStyle w:val="3"/>
        <w:jc w:val="left"/>
        <w:rPr>
          <w:rFonts w:hint="eastAsia" w:ascii="宋体" w:hAnsi="宋体" w:eastAsia="宋体" w:cs="宋体"/>
        </w:rPr>
      </w:pPr>
      <w:bookmarkStart w:id="559" w:name="_Toc3489_WPSOffice_Level2"/>
      <w:bookmarkStart w:id="560" w:name="_Toc30850"/>
      <w:bookmarkStart w:id="561" w:name="_Toc20791"/>
      <w:bookmarkStart w:id="562" w:name="_Toc19893_WPSOffice_Level2"/>
      <w:r>
        <w:rPr>
          <w:rFonts w:hint="eastAsia" w:ascii="宋体" w:hAnsi="宋体" w:eastAsia="宋体" w:cs="宋体"/>
        </w:rPr>
        <w:t>二、采购标的</w:t>
      </w:r>
    </w:p>
    <w:p w14:paraId="5460D18F">
      <w:pPr>
        <w:pStyle w:val="4"/>
        <w:spacing w:line="240" w:lineRule="auto"/>
        <w:rPr>
          <w:rFonts w:hint="eastAsia" w:ascii="宋体" w:hAnsi="宋体" w:eastAsia="宋体" w:cs="宋体"/>
        </w:rPr>
      </w:pPr>
      <w:bookmarkStart w:id="563" w:name="_Hlk77118757"/>
      <w:r>
        <w:rPr>
          <w:rFonts w:hint="eastAsia" w:ascii="宋体" w:hAnsi="宋体" w:eastAsia="宋体" w:cs="宋体"/>
        </w:rPr>
        <w:t>★</w:t>
      </w:r>
      <w:bookmarkEnd w:id="563"/>
      <w:r>
        <w:rPr>
          <w:rFonts w:hint="eastAsia" w:ascii="宋体" w:hAnsi="宋体" w:eastAsia="宋体" w:cs="宋体"/>
        </w:rPr>
        <w:t>（一）标的名称及内容</w:t>
      </w:r>
    </w:p>
    <w:p w14:paraId="3118BD53">
      <w:pPr>
        <w:spacing w:line="360" w:lineRule="auto"/>
        <w:ind w:firstLine="484" w:firstLineChars="202"/>
        <w:rPr>
          <w:rFonts w:hint="eastAsia" w:ascii="宋体" w:hAnsi="宋体" w:eastAsia="宋体" w:cs="宋体"/>
          <w:sz w:val="24"/>
          <w:szCs w:val="28"/>
          <w:lang w:eastAsia="zh-CN"/>
        </w:rPr>
      </w:pPr>
      <w:r>
        <w:rPr>
          <w:rFonts w:hint="eastAsia" w:ascii="宋体" w:hAnsi="宋体" w:eastAsia="宋体" w:cs="宋体"/>
          <w:sz w:val="24"/>
          <w:szCs w:val="28"/>
        </w:rPr>
        <w:t>标的名称：京密引水渠北台上段强降雨水毁修复工程</w:t>
      </w:r>
    </w:p>
    <w:p w14:paraId="6701D119">
      <w:pPr>
        <w:spacing w:line="360" w:lineRule="auto"/>
        <w:ind w:firstLine="484" w:firstLineChars="202"/>
        <w:rPr>
          <w:rFonts w:hint="eastAsia" w:ascii="宋体" w:hAnsi="宋体" w:eastAsia="宋体" w:cs="宋体"/>
          <w:sz w:val="24"/>
          <w:szCs w:val="28"/>
          <w:lang w:val="en-US" w:eastAsia="zh-CN"/>
        </w:rPr>
      </w:pPr>
      <w:r>
        <w:rPr>
          <w:rFonts w:hint="eastAsia" w:ascii="宋体" w:hAnsi="宋体" w:eastAsia="宋体" w:cs="宋体"/>
          <w:sz w:val="24"/>
          <w:szCs w:val="28"/>
        </w:rPr>
        <w:t>标的内容：对破损渠道进行修复，主要内容包括对渠道衬砌、塌坑冲沟回填、设置排水沟。对212米渠道内坡及部分渠底混凝土预制板进行拆除重新衬砌，对渠堤林带内20余处塌坑、雨淋沟进行开挖回填处理。</w:t>
      </w:r>
    </w:p>
    <w:p w14:paraId="337EEBA3">
      <w:pPr>
        <w:pStyle w:val="4"/>
        <w:spacing w:line="240" w:lineRule="auto"/>
        <w:rPr>
          <w:rFonts w:hint="eastAsia" w:ascii="宋体" w:hAnsi="宋体" w:eastAsia="宋体" w:cs="宋体"/>
          <w:sz w:val="24"/>
          <w:szCs w:val="32"/>
        </w:rPr>
      </w:pPr>
      <w:r>
        <w:rPr>
          <w:rFonts w:hint="eastAsia" w:ascii="宋体" w:hAnsi="宋体" w:eastAsia="宋体" w:cs="宋体"/>
        </w:rPr>
        <w:t>（二）标的预算</w:t>
      </w:r>
      <w:r>
        <w:rPr>
          <w:rFonts w:hint="eastAsia" w:ascii="宋体" w:hAnsi="宋体" w:eastAsia="宋体" w:cs="宋体"/>
          <w:sz w:val="24"/>
          <w:szCs w:val="32"/>
        </w:rPr>
        <w:t xml:space="preserve">    </w:t>
      </w:r>
    </w:p>
    <w:tbl>
      <w:tblPr>
        <w:tblStyle w:val="15"/>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3952"/>
        <w:gridCol w:w="3280"/>
      </w:tblGrid>
      <w:tr w14:paraId="16394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83" w:type="dxa"/>
            <w:vAlign w:val="center"/>
          </w:tcPr>
          <w:p w14:paraId="662B54A8">
            <w:pPr>
              <w:numPr>
                <w:ilvl w:val="255"/>
                <w:numId w:val="0"/>
              </w:numPr>
              <w:jc w:val="center"/>
              <w:rPr>
                <w:rFonts w:hint="eastAsia" w:ascii="宋体" w:hAnsi="宋体" w:eastAsia="宋体" w:cs="宋体"/>
                <w:b/>
                <w:bCs/>
                <w:sz w:val="24"/>
              </w:rPr>
            </w:pPr>
            <w:r>
              <w:rPr>
                <w:rFonts w:hint="eastAsia" w:ascii="宋体" w:hAnsi="宋体" w:eastAsia="宋体" w:cs="宋体"/>
                <w:b/>
                <w:bCs/>
                <w:sz w:val="24"/>
              </w:rPr>
              <w:t>序号</w:t>
            </w:r>
          </w:p>
        </w:tc>
        <w:tc>
          <w:tcPr>
            <w:tcW w:w="3952" w:type="dxa"/>
            <w:vAlign w:val="center"/>
          </w:tcPr>
          <w:p w14:paraId="2494C079">
            <w:pPr>
              <w:numPr>
                <w:ilvl w:val="255"/>
                <w:numId w:val="0"/>
              </w:numPr>
              <w:jc w:val="center"/>
              <w:rPr>
                <w:rFonts w:hint="eastAsia" w:ascii="宋体" w:hAnsi="宋体" w:eastAsia="宋体" w:cs="宋体"/>
                <w:b/>
                <w:bCs/>
                <w:sz w:val="24"/>
              </w:rPr>
            </w:pPr>
            <w:r>
              <w:rPr>
                <w:rFonts w:hint="eastAsia" w:ascii="宋体" w:hAnsi="宋体" w:eastAsia="宋体" w:cs="宋体"/>
                <w:b/>
                <w:bCs/>
                <w:sz w:val="24"/>
              </w:rPr>
              <w:t>标的名称</w:t>
            </w:r>
          </w:p>
        </w:tc>
        <w:tc>
          <w:tcPr>
            <w:tcW w:w="3280" w:type="dxa"/>
            <w:tcBorders>
              <w:bottom w:val="single" w:color="auto" w:sz="4" w:space="0"/>
            </w:tcBorders>
            <w:vAlign w:val="center"/>
          </w:tcPr>
          <w:p w14:paraId="1F6EB4E4">
            <w:pPr>
              <w:numPr>
                <w:ilvl w:val="255"/>
                <w:numId w:val="0"/>
              </w:numPr>
              <w:jc w:val="center"/>
              <w:rPr>
                <w:rFonts w:hint="eastAsia" w:ascii="宋体" w:hAnsi="宋体" w:eastAsia="宋体" w:cs="宋体"/>
                <w:b/>
                <w:bCs/>
                <w:sz w:val="24"/>
              </w:rPr>
            </w:pPr>
            <w:r>
              <w:rPr>
                <w:rFonts w:hint="eastAsia" w:ascii="宋体" w:hAnsi="宋体" w:eastAsia="宋体" w:cs="宋体"/>
                <w:b/>
                <w:bCs/>
                <w:sz w:val="24"/>
              </w:rPr>
              <w:t>标的预算（万元）</w:t>
            </w:r>
          </w:p>
        </w:tc>
      </w:tr>
      <w:tr w14:paraId="3BFF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7FD6A1B2">
            <w:pPr>
              <w:numPr>
                <w:ilvl w:val="255"/>
                <w:numId w:val="0"/>
              </w:numPr>
              <w:jc w:val="center"/>
              <w:rPr>
                <w:rFonts w:hint="eastAsia" w:ascii="宋体" w:hAnsi="宋体" w:eastAsia="宋体" w:cs="宋体"/>
                <w:sz w:val="24"/>
              </w:rPr>
            </w:pPr>
            <w:r>
              <w:rPr>
                <w:rFonts w:hint="eastAsia" w:ascii="宋体" w:hAnsi="宋体" w:eastAsia="宋体" w:cs="宋体"/>
                <w:sz w:val="24"/>
              </w:rPr>
              <w:t>1</w:t>
            </w:r>
          </w:p>
        </w:tc>
        <w:tc>
          <w:tcPr>
            <w:tcW w:w="3952" w:type="dxa"/>
            <w:vAlign w:val="center"/>
          </w:tcPr>
          <w:p w14:paraId="718E2C3F">
            <w:pPr>
              <w:numPr>
                <w:ilvl w:val="255"/>
                <w:numId w:val="0"/>
              </w:numPr>
              <w:jc w:val="center"/>
              <w:rPr>
                <w:rFonts w:hint="eastAsia" w:ascii="宋体" w:hAnsi="宋体" w:eastAsia="宋体" w:cs="宋体"/>
                <w:sz w:val="24"/>
              </w:rPr>
            </w:pPr>
            <w:r>
              <w:rPr>
                <w:rFonts w:hint="eastAsia" w:ascii="宋体" w:hAnsi="宋体" w:eastAsia="宋体" w:cs="宋体"/>
                <w:sz w:val="24"/>
              </w:rPr>
              <w:t>京密引水渠北台上段强降雨</w:t>
            </w:r>
          </w:p>
          <w:p w14:paraId="491BF297">
            <w:pPr>
              <w:numPr>
                <w:ilvl w:val="255"/>
                <w:numId w:val="0"/>
              </w:numPr>
              <w:jc w:val="center"/>
              <w:rPr>
                <w:rFonts w:hint="eastAsia" w:ascii="宋体" w:hAnsi="宋体" w:eastAsia="宋体" w:cs="宋体"/>
                <w:sz w:val="24"/>
              </w:rPr>
            </w:pPr>
            <w:r>
              <w:rPr>
                <w:rFonts w:hint="eastAsia" w:ascii="宋体" w:hAnsi="宋体" w:eastAsia="宋体" w:cs="宋体"/>
                <w:sz w:val="24"/>
              </w:rPr>
              <w:t>水毁修复工程</w:t>
            </w:r>
          </w:p>
        </w:tc>
        <w:tc>
          <w:tcPr>
            <w:tcW w:w="3280" w:type="dxa"/>
            <w:tcBorders>
              <w:top w:val="single" w:color="auto" w:sz="4" w:space="0"/>
              <w:left w:val="nil"/>
              <w:bottom w:val="single" w:color="auto" w:sz="4" w:space="0"/>
              <w:right w:val="single" w:color="auto" w:sz="4" w:space="0"/>
            </w:tcBorders>
            <w:shd w:val="clear" w:color="auto" w:fill="auto"/>
            <w:vAlign w:val="center"/>
          </w:tcPr>
          <w:p w14:paraId="07E5A300">
            <w:pPr>
              <w:numPr>
                <w:ilvl w:val="255"/>
                <w:numId w:val="0"/>
              </w:numPr>
              <w:jc w:val="center"/>
              <w:rPr>
                <w:rFonts w:hint="eastAsia" w:ascii="宋体" w:hAnsi="宋体" w:eastAsia="宋体" w:cs="宋体"/>
                <w:sz w:val="24"/>
              </w:rPr>
            </w:pPr>
            <w:r>
              <w:rPr>
                <w:rFonts w:hint="eastAsia" w:ascii="宋体" w:hAnsi="宋体" w:eastAsia="宋体" w:cs="宋体"/>
                <w:b w:val="0"/>
                <w:bCs w:val="0"/>
                <w:color w:val="auto"/>
                <w:sz w:val="24"/>
                <w:szCs w:val="20"/>
                <w:highlight w:val="none"/>
                <w:lang w:val="en-US" w:eastAsia="zh-CN" w:bidi="ar-SA"/>
              </w:rPr>
              <w:t>173.108052</w:t>
            </w:r>
            <w:r>
              <w:rPr>
                <w:rFonts w:hint="eastAsia" w:ascii="宋体" w:hAnsi="宋体" w:eastAsia="宋体" w:cs="宋体"/>
                <w:sz w:val="24"/>
              </w:rPr>
              <w:t xml:space="preserve"> </w:t>
            </w:r>
          </w:p>
        </w:tc>
      </w:tr>
      <w:tr w14:paraId="2900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151C5E28">
            <w:pPr>
              <w:numPr>
                <w:ilvl w:val="255"/>
                <w:numId w:val="0"/>
              </w:numPr>
              <w:jc w:val="center"/>
              <w:rPr>
                <w:rFonts w:hint="eastAsia" w:ascii="宋体" w:hAnsi="宋体" w:eastAsia="宋体" w:cs="宋体"/>
                <w:b/>
                <w:bCs/>
                <w:sz w:val="24"/>
              </w:rPr>
            </w:pPr>
          </w:p>
        </w:tc>
        <w:tc>
          <w:tcPr>
            <w:tcW w:w="3952" w:type="dxa"/>
            <w:vAlign w:val="center"/>
          </w:tcPr>
          <w:p w14:paraId="114E1253">
            <w:pPr>
              <w:numPr>
                <w:ilvl w:val="255"/>
                <w:numId w:val="0"/>
              </w:numPr>
              <w:jc w:val="center"/>
              <w:rPr>
                <w:rFonts w:hint="eastAsia" w:ascii="宋体" w:hAnsi="宋体" w:eastAsia="宋体" w:cs="宋体"/>
                <w:b/>
                <w:bCs/>
                <w:sz w:val="24"/>
              </w:rPr>
            </w:pPr>
            <w:r>
              <w:rPr>
                <w:rFonts w:hint="eastAsia" w:ascii="宋体" w:hAnsi="宋体" w:eastAsia="宋体" w:cs="宋体"/>
                <w:b/>
                <w:bCs/>
                <w:sz w:val="24"/>
              </w:rPr>
              <w:t>合计</w:t>
            </w:r>
          </w:p>
        </w:tc>
        <w:tc>
          <w:tcPr>
            <w:tcW w:w="3280" w:type="dxa"/>
            <w:tcBorders>
              <w:top w:val="single" w:color="auto" w:sz="4" w:space="0"/>
            </w:tcBorders>
            <w:vAlign w:val="center"/>
          </w:tcPr>
          <w:p w14:paraId="4182AA11">
            <w:pPr>
              <w:widowControl/>
              <w:jc w:val="center"/>
              <w:textAlignment w:val="center"/>
              <w:rPr>
                <w:rFonts w:hint="eastAsia" w:ascii="宋体" w:hAnsi="宋体" w:eastAsia="宋体" w:cs="宋体"/>
                <w:b/>
                <w:bCs/>
                <w:color w:val="000000"/>
                <w:sz w:val="22"/>
                <w:szCs w:val="22"/>
              </w:rPr>
            </w:pPr>
            <w:r>
              <w:rPr>
                <w:rFonts w:hint="eastAsia" w:ascii="宋体" w:hAnsi="宋体" w:eastAsia="宋体" w:cs="宋体"/>
                <w:b w:val="0"/>
                <w:bCs w:val="0"/>
                <w:color w:val="auto"/>
                <w:sz w:val="24"/>
                <w:szCs w:val="20"/>
                <w:highlight w:val="none"/>
                <w:lang w:val="en-US" w:eastAsia="zh-CN" w:bidi="ar-SA"/>
              </w:rPr>
              <w:t>173.108052</w:t>
            </w:r>
            <w:r>
              <w:rPr>
                <w:rFonts w:hint="eastAsia" w:ascii="宋体" w:hAnsi="宋体" w:eastAsia="宋体" w:cs="宋体"/>
                <w:b/>
                <w:bCs/>
                <w:sz w:val="24"/>
              </w:rPr>
              <w:t xml:space="preserve"> </w:t>
            </w:r>
          </w:p>
        </w:tc>
      </w:tr>
    </w:tbl>
    <w:p w14:paraId="46694DFD">
      <w:pPr>
        <w:pStyle w:val="4"/>
        <w:spacing w:line="240" w:lineRule="auto"/>
        <w:rPr>
          <w:rFonts w:hint="eastAsia" w:ascii="宋体" w:hAnsi="宋体" w:eastAsia="宋体" w:cs="宋体"/>
          <w:highlight w:val="none"/>
        </w:rPr>
      </w:pPr>
      <w:r>
        <w:rPr>
          <w:rFonts w:hint="eastAsia" w:ascii="宋体" w:hAnsi="宋体" w:eastAsia="宋体" w:cs="宋体"/>
          <w:highlight w:val="none"/>
        </w:rPr>
        <w:t>（三）采购标的所属行业</w:t>
      </w:r>
    </w:p>
    <w:p w14:paraId="18819D61">
      <w:pPr>
        <w:numPr>
          <w:ilvl w:val="255"/>
          <w:numId w:val="0"/>
        </w:numPr>
        <w:spacing w:line="360" w:lineRule="auto"/>
        <w:ind w:firstLine="480" w:firstLineChars="200"/>
        <w:rPr>
          <w:rFonts w:hint="eastAsia" w:ascii="宋体" w:hAnsi="宋体" w:eastAsia="宋体" w:cs="宋体"/>
          <w:b/>
          <w:bCs/>
          <w:sz w:val="28"/>
          <w:szCs w:val="28"/>
          <w:highlight w:val="none"/>
        </w:rPr>
      </w:pPr>
      <w:r>
        <w:rPr>
          <w:rFonts w:hint="eastAsia" w:ascii="宋体" w:hAnsi="宋体" w:eastAsia="宋体" w:cs="宋体"/>
          <w:sz w:val="24"/>
          <w:highlight w:val="none"/>
        </w:rPr>
        <w:t>采购标的对应的中小企业划分标准所属行业：建筑业。</w:t>
      </w:r>
    </w:p>
    <w:p w14:paraId="4DF67B0B">
      <w:pPr>
        <w:pStyle w:val="3"/>
        <w:jc w:val="left"/>
        <w:rPr>
          <w:rFonts w:hint="eastAsia" w:ascii="宋体" w:hAnsi="宋体" w:eastAsia="宋体" w:cs="宋体"/>
        </w:rPr>
      </w:pPr>
      <w:r>
        <w:rPr>
          <w:rFonts w:hint="eastAsia" w:ascii="宋体" w:hAnsi="宋体" w:eastAsia="宋体" w:cs="宋体"/>
        </w:rPr>
        <w:t>三、落实政府采购政策需满足的要求</w:t>
      </w:r>
    </w:p>
    <w:p w14:paraId="3A0F7226">
      <w:pPr>
        <w:numPr>
          <w:ilvl w:val="255"/>
          <w:numId w:val="0"/>
        </w:numPr>
        <w:spacing w:line="360" w:lineRule="auto"/>
        <w:ind w:firstLine="480"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highlight w:val="none"/>
        </w:rPr>
        <w:t>落实政府采购政策需满足的资格要求：本项目专门面向中小企业采购</w:t>
      </w:r>
      <w:r>
        <w:rPr>
          <w:rFonts w:hint="eastAsia" w:ascii="宋体" w:hAnsi="宋体" w:eastAsia="宋体" w:cs="宋体"/>
          <w:sz w:val="24"/>
        </w:rPr>
        <w:t>；</w:t>
      </w:r>
    </w:p>
    <w:p w14:paraId="51772B39">
      <w:pPr>
        <w:numPr>
          <w:ilvl w:val="255"/>
          <w:numId w:val="0"/>
        </w:numPr>
        <w:spacing w:line="360" w:lineRule="auto"/>
        <w:ind w:firstLine="480" w:firstLineChars="200"/>
        <w:rPr>
          <w:rFonts w:hint="eastAsia" w:ascii="宋体" w:hAnsi="宋体" w:eastAsia="宋体" w:cs="宋体"/>
          <w:sz w:val="24"/>
        </w:rPr>
      </w:pPr>
      <w:r>
        <w:rPr>
          <w:rFonts w:hint="eastAsia" w:ascii="宋体" w:hAnsi="宋体" w:eastAsia="宋体" w:cs="宋体"/>
          <w:sz w:val="24"/>
        </w:rPr>
        <w:t>（二）根据《财政部民政部中国残疾人联合会关于促进残疾人就业政府采购政策的通知》（财库〔2017〕141号），残疾人福利性单位视同小微企业；</w:t>
      </w:r>
    </w:p>
    <w:p w14:paraId="1300045A">
      <w:pPr>
        <w:numPr>
          <w:ilvl w:val="255"/>
          <w:numId w:val="0"/>
        </w:numPr>
        <w:spacing w:line="360" w:lineRule="auto"/>
        <w:ind w:firstLine="480" w:firstLineChars="200"/>
        <w:rPr>
          <w:rFonts w:hint="eastAsia" w:ascii="宋体" w:hAnsi="宋体" w:eastAsia="宋体" w:cs="宋体"/>
          <w:sz w:val="24"/>
        </w:rPr>
      </w:pPr>
      <w:r>
        <w:rPr>
          <w:rFonts w:hint="eastAsia" w:ascii="宋体" w:hAnsi="宋体" w:eastAsia="宋体" w:cs="宋体"/>
          <w:sz w:val="24"/>
        </w:rPr>
        <w:t>（三）根据《关于政府采购支持监狱企业发展有关问题的通知》（财库〔2014〕68号），监狱企业视同小微企业；</w:t>
      </w:r>
    </w:p>
    <w:p w14:paraId="5C216FE4">
      <w:pPr>
        <w:numPr>
          <w:ilvl w:val="255"/>
          <w:numId w:val="0"/>
        </w:numPr>
        <w:spacing w:line="360" w:lineRule="auto"/>
        <w:ind w:firstLine="480" w:firstLineChars="200"/>
        <w:rPr>
          <w:rFonts w:hint="eastAsia" w:ascii="宋体" w:hAnsi="宋体" w:eastAsia="宋体" w:cs="宋体"/>
          <w:b/>
          <w:bCs/>
          <w:sz w:val="24"/>
        </w:rPr>
      </w:pPr>
      <w:bookmarkStart w:id="564" w:name="_Hlk92276208"/>
      <w:r>
        <w:rPr>
          <w:rFonts w:hint="eastAsia" w:ascii="宋体" w:hAnsi="宋体" w:eastAsia="宋体" w:cs="宋体"/>
          <w:sz w:val="24"/>
        </w:rPr>
        <w:t>★</w:t>
      </w:r>
      <w:bookmarkEnd w:id="564"/>
      <w:r>
        <w:rPr>
          <w:rFonts w:hint="eastAsia" w:ascii="宋体" w:hAnsi="宋体" w:eastAsia="宋体" w:cs="宋体"/>
          <w:sz w:val="24"/>
        </w:rPr>
        <w:t>（四）本项目不允许进口产品。</w:t>
      </w:r>
    </w:p>
    <w:p w14:paraId="0C00A144">
      <w:pPr>
        <w:pStyle w:val="3"/>
        <w:jc w:val="left"/>
        <w:rPr>
          <w:rFonts w:hint="eastAsia" w:ascii="宋体" w:hAnsi="宋体" w:eastAsia="宋体" w:cs="宋体"/>
        </w:rPr>
      </w:pPr>
      <w:r>
        <w:rPr>
          <w:rFonts w:hint="eastAsia" w:ascii="宋体" w:hAnsi="宋体" w:eastAsia="宋体" w:cs="宋体"/>
        </w:rPr>
        <w:t>四、工程任务和规模</w:t>
      </w:r>
      <w:bookmarkEnd w:id="559"/>
      <w:bookmarkEnd w:id="560"/>
      <w:bookmarkEnd w:id="561"/>
      <w:bookmarkEnd w:id="562"/>
    </w:p>
    <w:p w14:paraId="4FE04704">
      <w:pPr>
        <w:pStyle w:val="4"/>
        <w:spacing w:line="240" w:lineRule="auto"/>
        <w:rPr>
          <w:rFonts w:hint="eastAsia" w:ascii="宋体" w:hAnsi="宋体" w:eastAsia="宋体" w:cs="宋体"/>
        </w:rPr>
      </w:pPr>
      <w:bookmarkStart w:id="565" w:name="_Toc16994_WPSOffice_Level3"/>
      <w:bookmarkStart w:id="566" w:name="_Toc8964"/>
      <w:bookmarkStart w:id="567" w:name="_Toc30725"/>
      <w:bookmarkStart w:id="568" w:name="_Toc26626_WPSOffice_Level3"/>
      <w:r>
        <w:rPr>
          <w:rFonts w:hint="eastAsia" w:ascii="宋体" w:hAnsi="宋体" w:eastAsia="宋体" w:cs="宋体"/>
        </w:rPr>
        <w:t>（一）工程设计标准</w:t>
      </w:r>
      <w:bookmarkEnd w:id="565"/>
      <w:bookmarkEnd w:id="566"/>
      <w:bookmarkEnd w:id="567"/>
      <w:bookmarkEnd w:id="568"/>
    </w:p>
    <w:p w14:paraId="3324BA3E">
      <w:pPr>
        <w:spacing w:line="360" w:lineRule="auto"/>
        <w:ind w:firstLine="484" w:firstLineChars="202"/>
        <w:rPr>
          <w:rFonts w:hint="eastAsia" w:ascii="宋体" w:hAnsi="宋体" w:cs="宋体"/>
          <w:sz w:val="24"/>
        </w:rPr>
      </w:pPr>
      <w:r>
        <w:rPr>
          <w:rFonts w:hint="eastAsia" w:ascii="宋体" w:hAnsi="宋体" w:cs="宋体"/>
          <w:sz w:val="24"/>
        </w:rPr>
        <w:t>京密引水渠原工程为Ⅰ等工程，建筑物</w:t>
      </w:r>
      <w:r>
        <w:rPr>
          <w:rFonts w:hint="eastAsia" w:ascii="宋体" w:hAnsi="宋体" w:cs="宋体"/>
          <w:sz w:val="24"/>
          <w:lang w:eastAsia="zh-CN"/>
        </w:rPr>
        <w:t>等级</w:t>
      </w:r>
      <w:r>
        <w:rPr>
          <w:rFonts w:hint="eastAsia" w:ascii="宋体" w:hAnsi="宋体" w:cs="宋体"/>
          <w:sz w:val="24"/>
        </w:rPr>
        <w:t>为3级</w:t>
      </w:r>
      <w:r>
        <w:rPr>
          <w:rFonts w:hint="eastAsia" w:ascii="宋体" w:hAnsi="宋体" w:cs="宋体"/>
          <w:sz w:val="24"/>
          <w:lang w:eastAsia="zh-CN"/>
        </w:rPr>
        <w:t>，</w:t>
      </w:r>
      <w:r>
        <w:rPr>
          <w:rFonts w:hint="eastAsia" w:ascii="宋体" w:hAnsi="宋体" w:cs="宋体"/>
          <w:sz w:val="24"/>
        </w:rPr>
        <w:t>本工程为</w:t>
      </w:r>
      <w:r>
        <w:rPr>
          <w:rFonts w:hint="eastAsia" w:ascii="宋体" w:hAnsi="宋体" w:cs="宋体"/>
          <w:sz w:val="24"/>
          <w:lang w:eastAsia="zh-CN"/>
        </w:rPr>
        <w:t>工程修复</w:t>
      </w:r>
      <w:r>
        <w:rPr>
          <w:rFonts w:hint="eastAsia" w:ascii="宋体" w:hAnsi="宋体" w:cs="宋体"/>
          <w:sz w:val="24"/>
        </w:rPr>
        <w:t>项目，设计标准维持原工程设施设计标准。</w:t>
      </w:r>
    </w:p>
    <w:p w14:paraId="5132892A">
      <w:pPr>
        <w:pStyle w:val="4"/>
        <w:spacing w:line="240" w:lineRule="auto"/>
        <w:rPr>
          <w:rFonts w:hint="eastAsia" w:ascii="宋体" w:hAnsi="宋体" w:eastAsia="宋体" w:cs="宋体"/>
        </w:rPr>
      </w:pPr>
      <w:bookmarkStart w:id="569" w:name="_Toc16636_WPSOffice_Level3"/>
      <w:bookmarkStart w:id="570" w:name="_Toc15601"/>
      <w:bookmarkStart w:id="571" w:name="_Toc32628_WPSOffice_Level3"/>
      <w:bookmarkStart w:id="572" w:name="_Toc2554"/>
      <w:bookmarkStart w:id="573" w:name="_Toc11906"/>
      <w:bookmarkStart w:id="574" w:name="_Toc9690_WPSOffice_Level3"/>
      <w:bookmarkStart w:id="575" w:name="_Toc16578_WPSOffice_Level3"/>
      <w:r>
        <w:rPr>
          <w:rFonts w:hint="eastAsia" w:ascii="宋体" w:hAnsi="宋体" w:eastAsia="宋体" w:cs="宋体"/>
        </w:rPr>
        <w:t>（二）工程任务</w:t>
      </w:r>
      <w:bookmarkEnd w:id="569"/>
      <w:bookmarkEnd w:id="570"/>
      <w:bookmarkEnd w:id="571"/>
      <w:r>
        <w:rPr>
          <w:rFonts w:hint="eastAsia" w:ascii="宋体" w:hAnsi="宋体" w:eastAsia="宋体" w:cs="宋体"/>
        </w:rPr>
        <w:t>及建设范围</w:t>
      </w:r>
      <w:bookmarkEnd w:id="572"/>
    </w:p>
    <w:p w14:paraId="43995E46">
      <w:pPr>
        <w:spacing w:line="360" w:lineRule="auto"/>
        <w:ind w:firstLine="484" w:firstLineChars="202"/>
        <w:rPr>
          <w:rFonts w:hint="eastAsia" w:ascii="宋体" w:hAnsi="宋体" w:eastAsia="宋体" w:cs="宋体"/>
          <w:sz w:val="24"/>
          <w:szCs w:val="24"/>
        </w:rPr>
      </w:pPr>
      <w:bookmarkStart w:id="576" w:name="_Toc30685"/>
      <w:r>
        <w:rPr>
          <w:rFonts w:hint="eastAsia" w:ascii="宋体" w:hAnsi="宋体" w:eastAsia="宋体" w:cs="宋体"/>
          <w:sz w:val="24"/>
          <w:szCs w:val="24"/>
        </w:rPr>
        <w:t>通过对渠道衬砌、塌坑冲沟回填、设置排水沟</w:t>
      </w:r>
      <w:r>
        <w:rPr>
          <w:rFonts w:hint="eastAsia" w:ascii="宋体" w:hAnsi="宋体" w:eastAsia="宋体" w:cs="宋体"/>
          <w:sz w:val="24"/>
          <w:szCs w:val="24"/>
          <w:lang w:eastAsia="zh-CN"/>
        </w:rPr>
        <w:t>恢复</w:t>
      </w:r>
      <w:r>
        <w:rPr>
          <w:rFonts w:hint="eastAsia" w:ascii="宋体" w:hAnsi="宋体" w:eastAsia="宋体" w:cs="宋体"/>
          <w:sz w:val="24"/>
          <w:szCs w:val="24"/>
        </w:rPr>
        <w:t>原有工程面貌，保持工程的设计功能。</w:t>
      </w:r>
      <w:bookmarkEnd w:id="576"/>
    </w:p>
    <w:p w14:paraId="1C8DCD37">
      <w:pPr>
        <w:spacing w:line="360" w:lineRule="auto"/>
        <w:ind w:firstLine="484" w:firstLineChars="202"/>
        <w:rPr>
          <w:rFonts w:hint="eastAsia" w:ascii="宋体" w:hAnsi="宋体" w:eastAsia="宋体" w:cs="宋体"/>
          <w:sz w:val="24"/>
          <w:szCs w:val="24"/>
        </w:rPr>
      </w:pPr>
      <w:r>
        <w:rPr>
          <w:rFonts w:hint="eastAsia" w:ascii="宋体" w:hAnsi="宋体" w:eastAsia="宋体" w:cs="宋体"/>
          <w:sz w:val="24"/>
          <w:szCs w:val="24"/>
        </w:rPr>
        <w:t>本工程位置位于怀柔区。本工程建设范围为京密引水渠</w:t>
      </w:r>
      <w:r>
        <w:rPr>
          <w:rFonts w:hint="eastAsia" w:ascii="宋体" w:hAnsi="宋体" w:eastAsia="宋体" w:cs="宋体"/>
          <w:sz w:val="24"/>
          <w:szCs w:val="24"/>
          <w:lang w:eastAsia="zh-CN"/>
        </w:rPr>
        <w:t>北台上段的降雨水毁修复</w:t>
      </w:r>
      <w:r>
        <w:rPr>
          <w:rFonts w:hint="eastAsia" w:ascii="宋体" w:hAnsi="宋体" w:eastAsia="宋体" w:cs="宋体"/>
          <w:sz w:val="24"/>
          <w:szCs w:val="24"/>
        </w:rPr>
        <w:t>。</w:t>
      </w:r>
    </w:p>
    <w:p w14:paraId="1B60C9C4">
      <w:pPr>
        <w:pStyle w:val="4"/>
        <w:spacing w:line="240" w:lineRule="auto"/>
        <w:rPr>
          <w:rFonts w:hint="eastAsia" w:ascii="宋体" w:hAnsi="宋体" w:eastAsia="宋体" w:cs="宋体"/>
        </w:rPr>
      </w:pPr>
      <w:bookmarkStart w:id="577" w:name="_Toc18994"/>
      <w:r>
        <w:rPr>
          <w:rFonts w:hint="eastAsia" w:ascii="宋体" w:hAnsi="宋体" w:eastAsia="宋体" w:cs="宋体"/>
        </w:rPr>
        <w:t>（三）工程</w:t>
      </w:r>
      <w:bookmarkEnd w:id="573"/>
      <w:bookmarkEnd w:id="574"/>
      <w:bookmarkEnd w:id="575"/>
      <w:r>
        <w:rPr>
          <w:rFonts w:hint="eastAsia" w:ascii="宋体" w:hAnsi="宋体" w:eastAsia="宋体" w:cs="宋体"/>
        </w:rPr>
        <w:t>内容、规模</w:t>
      </w:r>
      <w:bookmarkEnd w:id="577"/>
    </w:p>
    <w:p w14:paraId="388AFEBE">
      <w:pPr>
        <w:spacing w:line="360" w:lineRule="auto"/>
        <w:ind w:firstLine="484" w:firstLineChars="202"/>
        <w:rPr>
          <w:rFonts w:hint="eastAsia" w:ascii="宋体" w:hAnsi="宋体" w:eastAsia="宋体" w:cs="宋体"/>
          <w:sz w:val="24"/>
          <w:szCs w:val="24"/>
        </w:rPr>
      </w:pPr>
      <w:bookmarkStart w:id="578" w:name="_Toc28016"/>
      <w:r>
        <w:rPr>
          <w:rFonts w:hint="eastAsia" w:ascii="宋体" w:hAnsi="宋体" w:eastAsia="宋体" w:cs="宋体"/>
          <w:sz w:val="24"/>
          <w:szCs w:val="24"/>
        </w:rPr>
        <w:t>工程内容包括京密引水渠北台上段强降雨水毁修复进行维修，详见下表：</w:t>
      </w:r>
      <w:bookmarkEnd w:id="578"/>
    </w:p>
    <w:p w14:paraId="4679D428">
      <w:pPr>
        <w:spacing w:line="360" w:lineRule="auto"/>
        <w:ind w:firstLine="665" w:firstLineChars="301"/>
        <w:jc w:val="center"/>
        <w:rPr>
          <w:rFonts w:hint="eastAsia" w:ascii="宋体" w:hAnsi="宋体" w:eastAsia="宋体" w:cs="宋体"/>
          <w:b/>
          <w:bCs/>
          <w:sz w:val="22"/>
        </w:rPr>
      </w:pPr>
      <w:r>
        <w:rPr>
          <w:rFonts w:hint="eastAsia" w:ascii="宋体" w:hAnsi="宋体" w:eastAsia="宋体" w:cs="宋体"/>
          <w:b/>
          <w:bCs/>
          <w:sz w:val="22"/>
          <w:szCs w:val="22"/>
        </w:rPr>
        <w:t>表1    工程内容表</w:t>
      </w:r>
    </w:p>
    <w:tbl>
      <w:tblPr>
        <w:tblStyle w:val="14"/>
        <w:tblW w:w="7050" w:type="dxa"/>
        <w:jc w:val="center"/>
        <w:tblLayout w:type="fixed"/>
        <w:tblCellMar>
          <w:top w:w="0" w:type="dxa"/>
          <w:left w:w="108" w:type="dxa"/>
          <w:bottom w:w="0" w:type="dxa"/>
          <w:right w:w="108" w:type="dxa"/>
        </w:tblCellMar>
      </w:tblPr>
      <w:tblGrid>
        <w:gridCol w:w="1237"/>
        <w:gridCol w:w="5813"/>
      </w:tblGrid>
      <w:tr w14:paraId="216DBE3A">
        <w:trPr>
          <w:trHeight w:val="340" w:hRule="atLeast"/>
          <w:tblHeader/>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6896EE8A">
            <w:pPr>
              <w:widowControl/>
              <w:spacing w:line="360" w:lineRule="auto"/>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序号</w:t>
            </w:r>
          </w:p>
        </w:tc>
        <w:tc>
          <w:tcPr>
            <w:tcW w:w="5813" w:type="dxa"/>
            <w:tcBorders>
              <w:top w:val="single" w:color="000000" w:sz="4" w:space="0"/>
              <w:left w:val="single" w:color="000000" w:sz="4" w:space="0"/>
              <w:bottom w:val="single" w:color="000000" w:sz="4" w:space="0"/>
              <w:right w:val="single" w:color="000000" w:sz="4" w:space="0"/>
            </w:tcBorders>
            <w:vAlign w:val="center"/>
          </w:tcPr>
          <w:p w14:paraId="4A7C7DEA">
            <w:pPr>
              <w:widowControl/>
              <w:spacing w:line="360" w:lineRule="auto"/>
              <w:jc w:val="center"/>
              <w:rPr>
                <w:rFonts w:hint="eastAsia" w:ascii="宋体" w:hAnsi="宋体" w:eastAsia="宋体" w:cs="宋体"/>
                <w:b/>
                <w:bCs/>
                <w:kern w:val="0"/>
                <w:sz w:val="22"/>
                <w:szCs w:val="22"/>
              </w:rPr>
            </w:pPr>
            <w:r>
              <w:rPr>
                <w:rFonts w:hint="eastAsia" w:ascii="宋体" w:hAnsi="宋体" w:eastAsia="宋体" w:cs="宋体"/>
                <w:b/>
                <w:bCs/>
                <w:kern w:val="0"/>
                <w:sz w:val="22"/>
                <w:szCs w:val="22"/>
              </w:rPr>
              <w:t>项目名称</w:t>
            </w:r>
          </w:p>
        </w:tc>
      </w:tr>
      <w:tr w14:paraId="6B7D7B15">
        <w:tblPrEx>
          <w:tblCellMar>
            <w:top w:w="0" w:type="dxa"/>
            <w:left w:w="108" w:type="dxa"/>
            <w:bottom w:w="0" w:type="dxa"/>
            <w:right w:w="108" w:type="dxa"/>
          </w:tblCellMar>
        </w:tblPrEx>
        <w:trPr>
          <w:trHeight w:val="373"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387C7A75">
            <w:pPr>
              <w:spacing w:line="360" w:lineRule="auto"/>
              <w:jc w:val="center"/>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5813" w:type="dxa"/>
            <w:tcBorders>
              <w:top w:val="single" w:color="000000" w:sz="4" w:space="0"/>
              <w:left w:val="single" w:color="000000" w:sz="4" w:space="0"/>
              <w:bottom w:val="single" w:color="000000" w:sz="4" w:space="0"/>
              <w:right w:val="single" w:color="000000" w:sz="4" w:space="0"/>
            </w:tcBorders>
            <w:vAlign w:val="center"/>
          </w:tcPr>
          <w:p w14:paraId="5C60892E">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恒王坟桥下游右岸及渠底砼修复</w:t>
            </w:r>
          </w:p>
        </w:tc>
      </w:tr>
      <w:tr w14:paraId="2F15C48D">
        <w:tblPrEx>
          <w:tblCellMar>
            <w:top w:w="0" w:type="dxa"/>
            <w:left w:w="108" w:type="dxa"/>
            <w:bottom w:w="0" w:type="dxa"/>
            <w:right w:w="108" w:type="dxa"/>
          </w:tblCellMar>
        </w:tblPrEx>
        <w:trPr>
          <w:trHeight w:val="394"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18257499">
            <w:pPr>
              <w:spacing w:line="360" w:lineRule="auto"/>
              <w:jc w:val="center"/>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5813" w:type="dxa"/>
            <w:tcBorders>
              <w:top w:val="single" w:color="000000" w:sz="4" w:space="0"/>
              <w:left w:val="single" w:color="000000" w:sz="4" w:space="0"/>
              <w:bottom w:val="single" w:color="000000" w:sz="4" w:space="0"/>
              <w:right w:val="single" w:color="000000" w:sz="4" w:space="0"/>
            </w:tcBorders>
            <w:vAlign w:val="center"/>
          </w:tcPr>
          <w:p w14:paraId="4F1AB454">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西庄公路桥下游左岸及渠底砼修复</w:t>
            </w:r>
          </w:p>
        </w:tc>
      </w:tr>
      <w:tr w14:paraId="02470A46">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795E14D9">
            <w:pPr>
              <w:spacing w:line="360" w:lineRule="auto"/>
              <w:jc w:val="center"/>
              <w:rPr>
                <w:rFonts w:hint="eastAsia" w:ascii="宋体" w:hAnsi="宋体" w:eastAsia="宋体" w:cs="宋体"/>
                <w:kern w:val="0"/>
                <w:sz w:val="22"/>
                <w:szCs w:val="22"/>
                <w:lang w:eastAsia="zh-CN"/>
              </w:rPr>
            </w:pPr>
            <w:r>
              <w:rPr>
                <w:rFonts w:hint="eastAsia" w:ascii="宋体" w:hAnsi="宋体" w:eastAsia="宋体" w:cs="宋体"/>
                <w:kern w:val="0"/>
                <w:sz w:val="22"/>
                <w:szCs w:val="22"/>
                <w:lang w:val="en-US" w:eastAsia="zh-CN"/>
              </w:rPr>
              <w:t>3</w:t>
            </w:r>
          </w:p>
        </w:tc>
        <w:tc>
          <w:tcPr>
            <w:tcW w:w="5813" w:type="dxa"/>
            <w:tcBorders>
              <w:top w:val="single" w:color="000000" w:sz="4" w:space="0"/>
              <w:left w:val="single" w:color="000000" w:sz="4" w:space="0"/>
              <w:bottom w:val="single" w:color="000000" w:sz="4" w:space="0"/>
              <w:right w:val="single" w:color="000000" w:sz="4" w:space="0"/>
            </w:tcBorders>
            <w:vAlign w:val="center"/>
          </w:tcPr>
          <w:p w14:paraId="0B6CEE18">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西望山侧堰分水闸下游至测流桥左右岸冲坑、冲沟回填</w:t>
            </w:r>
          </w:p>
        </w:tc>
      </w:tr>
      <w:tr w14:paraId="7856EC66">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3F2EA23C">
            <w:pPr>
              <w:spacing w:line="360" w:lineRule="auto"/>
              <w:jc w:val="center"/>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4</w:t>
            </w:r>
          </w:p>
        </w:tc>
        <w:tc>
          <w:tcPr>
            <w:tcW w:w="5813" w:type="dxa"/>
            <w:tcBorders>
              <w:top w:val="single" w:color="000000" w:sz="4" w:space="0"/>
              <w:left w:val="single" w:color="000000" w:sz="4" w:space="0"/>
              <w:bottom w:val="single" w:color="000000" w:sz="4" w:space="0"/>
              <w:right w:val="single" w:color="000000" w:sz="4" w:space="0"/>
            </w:tcBorders>
            <w:vAlign w:val="center"/>
          </w:tcPr>
          <w:p w14:paraId="00065414">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跃进桥上下游右岸冲坑、冲沟回填</w:t>
            </w:r>
          </w:p>
        </w:tc>
      </w:tr>
      <w:tr w14:paraId="04A9813A">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2F6661D2">
            <w:pPr>
              <w:spacing w:line="360" w:lineRule="auto"/>
              <w:jc w:val="center"/>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5</w:t>
            </w:r>
          </w:p>
        </w:tc>
        <w:tc>
          <w:tcPr>
            <w:tcW w:w="5813" w:type="dxa"/>
            <w:tcBorders>
              <w:top w:val="single" w:color="000000" w:sz="4" w:space="0"/>
              <w:left w:val="single" w:color="000000" w:sz="4" w:space="0"/>
              <w:bottom w:val="single" w:color="000000" w:sz="4" w:space="0"/>
              <w:right w:val="single" w:color="000000" w:sz="4" w:space="0"/>
            </w:tcBorders>
            <w:vAlign w:val="center"/>
          </w:tcPr>
          <w:p w14:paraId="36D47148">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跃进桥下游右岸肩路缘石整修</w:t>
            </w:r>
          </w:p>
        </w:tc>
      </w:tr>
      <w:tr w14:paraId="0B78261F">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14281A1B">
            <w:pPr>
              <w:spacing w:line="360" w:lineRule="auto"/>
              <w:jc w:val="center"/>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6</w:t>
            </w:r>
          </w:p>
        </w:tc>
        <w:tc>
          <w:tcPr>
            <w:tcW w:w="5813" w:type="dxa"/>
            <w:tcBorders>
              <w:top w:val="single" w:color="000000" w:sz="4" w:space="0"/>
              <w:left w:val="single" w:color="000000" w:sz="4" w:space="0"/>
              <w:bottom w:val="single" w:color="000000" w:sz="4" w:space="0"/>
              <w:right w:val="single" w:color="000000" w:sz="4" w:space="0"/>
            </w:tcBorders>
            <w:vAlign w:val="center"/>
          </w:tcPr>
          <w:p w14:paraId="2E31FD1B">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跃进桥下游右岸铺设排水管</w:t>
            </w:r>
          </w:p>
        </w:tc>
      </w:tr>
      <w:tr w14:paraId="3A35A4E7">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0AA8C933">
            <w:pPr>
              <w:spacing w:line="360" w:lineRule="auto"/>
              <w:jc w:val="center"/>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7</w:t>
            </w:r>
          </w:p>
        </w:tc>
        <w:tc>
          <w:tcPr>
            <w:tcW w:w="5813" w:type="dxa"/>
            <w:tcBorders>
              <w:top w:val="single" w:color="000000" w:sz="4" w:space="0"/>
              <w:left w:val="single" w:color="000000" w:sz="4" w:space="0"/>
              <w:bottom w:val="single" w:color="000000" w:sz="4" w:space="0"/>
              <w:right w:val="single" w:color="000000" w:sz="4" w:space="0"/>
            </w:tcBorders>
            <w:vAlign w:val="center"/>
          </w:tcPr>
          <w:p w14:paraId="21C6E3FF">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跃进桥下游右岸台阶侧墙新建砼帽石</w:t>
            </w:r>
          </w:p>
        </w:tc>
      </w:tr>
      <w:tr w14:paraId="5E286E40">
        <w:tblPrEx>
          <w:tblCellMar>
            <w:top w:w="0" w:type="dxa"/>
            <w:left w:w="108" w:type="dxa"/>
            <w:bottom w:w="0" w:type="dxa"/>
            <w:right w:w="108" w:type="dxa"/>
          </w:tblCellMar>
        </w:tblPrEx>
        <w:trPr>
          <w:trHeight w:val="340" w:hRule="atLeast"/>
          <w:jc w:val="center"/>
        </w:trPr>
        <w:tc>
          <w:tcPr>
            <w:tcW w:w="1237" w:type="dxa"/>
            <w:tcBorders>
              <w:top w:val="single" w:color="000000" w:sz="4" w:space="0"/>
              <w:left w:val="single" w:color="000000" w:sz="4" w:space="0"/>
              <w:bottom w:val="single" w:color="000000" w:sz="4" w:space="0"/>
              <w:right w:val="single" w:color="000000" w:sz="4" w:space="0"/>
            </w:tcBorders>
            <w:vAlign w:val="center"/>
          </w:tcPr>
          <w:p w14:paraId="00552E2B">
            <w:pPr>
              <w:spacing w:line="360" w:lineRule="auto"/>
              <w:jc w:val="center"/>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8</w:t>
            </w:r>
          </w:p>
        </w:tc>
        <w:tc>
          <w:tcPr>
            <w:tcW w:w="5813" w:type="dxa"/>
            <w:tcBorders>
              <w:top w:val="single" w:color="000000" w:sz="4" w:space="0"/>
              <w:left w:val="single" w:color="000000" w:sz="4" w:space="0"/>
              <w:bottom w:val="single" w:color="000000" w:sz="4" w:space="0"/>
              <w:right w:val="single" w:color="000000" w:sz="4" w:space="0"/>
            </w:tcBorders>
            <w:vAlign w:val="center"/>
          </w:tcPr>
          <w:p w14:paraId="01292226">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rPr>
              <w:t>跃进桥下游右岸巡河路外侧新建挡土墙</w:t>
            </w:r>
          </w:p>
        </w:tc>
      </w:tr>
    </w:tbl>
    <w:p w14:paraId="741DCF5A">
      <w:pPr>
        <w:pStyle w:val="4"/>
        <w:numPr>
          <w:ilvl w:val="0"/>
          <w:numId w:val="0"/>
        </w:numPr>
        <w:kinsoku/>
        <w:wordWrap/>
        <w:overflowPunct/>
        <w:topLinePunct w:val="0"/>
        <w:bidi w:val="0"/>
        <w:rPr>
          <w:rFonts w:hint="eastAsia" w:ascii="宋体" w:hAnsi="宋体" w:eastAsia="宋体" w:cs="宋体"/>
          <w:lang w:val="en-US" w:eastAsia="zh-CN"/>
        </w:rPr>
      </w:pPr>
      <w:bookmarkStart w:id="579" w:name="_Toc310558610_WPSOffice_Level2"/>
      <w:r>
        <w:rPr>
          <w:rFonts w:hint="eastAsia" w:ascii="宋体" w:hAnsi="宋体" w:eastAsia="宋体" w:cs="宋体"/>
          <w:b/>
          <w:bCs/>
          <w:kern w:val="2"/>
          <w:sz w:val="32"/>
          <w:szCs w:val="32"/>
          <w:lang w:val="en-US" w:eastAsia="zh-CN" w:bidi="ar-SA"/>
        </w:rPr>
        <w:t>（四）</w:t>
      </w:r>
      <w:r>
        <w:rPr>
          <w:rFonts w:hint="eastAsia" w:ascii="宋体" w:hAnsi="宋体" w:eastAsia="宋体" w:cs="宋体"/>
          <w:lang w:val="en-US" w:eastAsia="zh-CN"/>
        </w:rPr>
        <w:t>工程设计</w:t>
      </w:r>
      <w:bookmarkStart w:id="580" w:name="_Toc11659"/>
      <w:bookmarkStart w:id="581" w:name="_Toc4753"/>
    </w:p>
    <w:bookmarkEnd w:id="580"/>
    <w:bookmarkEnd w:id="581"/>
    <w:p w14:paraId="553F015C">
      <w:pPr>
        <w:pStyle w:val="4"/>
        <w:kinsoku/>
        <w:wordWrap/>
        <w:overflowPunct/>
        <w:topLinePunct w:val="0"/>
        <w:bidi w:val="0"/>
        <w:ind w:left="0" w:leftChars="0" w:firstLine="649" w:firstLineChars="202"/>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北台上段强降雨水毁修复工程</w:t>
      </w:r>
    </w:p>
    <w:p w14:paraId="094C8D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1、工程概况及现状</w:t>
      </w:r>
    </w:p>
    <w:p w14:paraId="4C84A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zh-CN"/>
        </w:rPr>
        <w:t>因2024年</w:t>
      </w:r>
      <w:r>
        <w:rPr>
          <w:rFonts w:hint="eastAsia" w:ascii="宋体" w:hAnsi="宋体" w:eastAsia="宋体" w:cs="宋体"/>
          <w:sz w:val="24"/>
          <w:szCs w:val="24"/>
          <w:lang w:val="en"/>
        </w:rPr>
        <w:t>7</w:t>
      </w:r>
      <w:r>
        <w:rPr>
          <w:rFonts w:hint="eastAsia" w:ascii="宋体" w:hAnsi="宋体" w:eastAsia="宋体" w:cs="宋体"/>
          <w:sz w:val="24"/>
          <w:szCs w:val="24"/>
          <w:lang w:val="en" w:eastAsia="zh-CN"/>
        </w:rPr>
        <w:t>月</w:t>
      </w:r>
      <w:r>
        <w:rPr>
          <w:rFonts w:hint="eastAsia" w:ascii="宋体" w:hAnsi="宋体" w:eastAsia="宋体" w:cs="宋体"/>
          <w:sz w:val="24"/>
          <w:szCs w:val="24"/>
          <w:lang w:val="en-US" w:eastAsia="zh-CN"/>
        </w:rPr>
        <w:t>30</w:t>
      </w:r>
      <w:r>
        <w:rPr>
          <w:rFonts w:hint="eastAsia" w:ascii="宋体" w:hAnsi="宋体" w:eastAsia="宋体" w:cs="宋体"/>
          <w:sz w:val="24"/>
          <w:szCs w:val="24"/>
          <w:lang w:val="zh-CN"/>
        </w:rPr>
        <w:t>日至10日、</w:t>
      </w:r>
      <w:r>
        <w:rPr>
          <w:rFonts w:hint="eastAsia" w:ascii="宋体" w:hAnsi="宋体" w:eastAsia="宋体" w:cs="宋体"/>
          <w:sz w:val="24"/>
          <w:szCs w:val="24"/>
          <w:lang w:val="en-US" w:eastAsia="zh-CN"/>
        </w:rPr>
        <w:t>8月9日至8月10日</w:t>
      </w:r>
      <w:r>
        <w:rPr>
          <w:rFonts w:hint="eastAsia" w:ascii="宋体" w:hAnsi="宋体" w:eastAsia="宋体" w:cs="宋体"/>
          <w:sz w:val="24"/>
          <w:szCs w:val="24"/>
          <w:lang w:val="zh-CN"/>
        </w:rPr>
        <w:t>强降雨，导致恒王坟桥下游右岸及渠底砼、西庄公路桥下游左岸及渠底砼</w:t>
      </w:r>
      <w:r>
        <w:rPr>
          <w:rFonts w:hint="eastAsia" w:ascii="宋体" w:hAnsi="宋体" w:eastAsia="宋体" w:cs="宋体"/>
          <w:sz w:val="24"/>
          <w:szCs w:val="24"/>
          <w:lang w:val="en-US" w:eastAsia="zh-CN"/>
        </w:rPr>
        <w:t>冲毁严重；西望山侧堰分水闸下游至测流桥左右岸、跃进桥上下游右岸渠道土坡形成大量冲沟；跃进桥下游右岸肩坍塌。影响渠道安全运行，危及道路通行</w:t>
      </w:r>
      <w:r>
        <w:rPr>
          <w:rFonts w:hint="eastAsia" w:ascii="宋体" w:hAnsi="宋体" w:eastAsia="宋体" w:cs="宋体"/>
          <w:sz w:val="24"/>
          <w:szCs w:val="24"/>
          <w:lang w:val="zh-CN"/>
        </w:rPr>
        <w:t>。</w:t>
      </w:r>
    </w:p>
    <w:p w14:paraId="57A99E7E">
      <w:pPr>
        <w:widowControl/>
        <w:spacing w:line="360" w:lineRule="auto"/>
        <w:ind w:firstLine="480" w:firstLineChars="200"/>
        <w:rPr>
          <w:rFonts w:hint="eastAsia" w:ascii="宋体" w:hAnsi="宋体" w:eastAsia="宋体" w:cs="宋体"/>
          <w:sz w:val="24"/>
          <w:szCs w:val="24"/>
          <w:highlight w:val="none"/>
          <w:lang w:val="en-US" w:eastAsia="zh-CN"/>
        </w:rPr>
      </w:pPr>
    </w:p>
    <w:tbl>
      <w:tblPr>
        <w:tblStyle w:val="14"/>
        <w:tblW w:w="0" w:type="auto"/>
        <w:tblInd w:w="0" w:type="dxa"/>
        <w:tblLayout w:type="fixed"/>
        <w:tblCellMar>
          <w:top w:w="0" w:type="dxa"/>
          <w:left w:w="108" w:type="dxa"/>
          <w:bottom w:w="0" w:type="dxa"/>
          <w:right w:w="108" w:type="dxa"/>
        </w:tblCellMar>
      </w:tblPr>
      <w:tblGrid>
        <w:gridCol w:w="8400"/>
      </w:tblGrid>
      <w:tr w14:paraId="3F571C72">
        <w:tblPrEx>
          <w:tblCellMar>
            <w:top w:w="0" w:type="dxa"/>
            <w:left w:w="108" w:type="dxa"/>
            <w:bottom w:w="0" w:type="dxa"/>
            <w:right w:w="108" w:type="dxa"/>
          </w:tblCellMar>
        </w:tblPrEx>
        <w:trPr>
          <w:trHeight w:val="4522" w:hRule="atLeast"/>
        </w:trPr>
        <w:tc>
          <w:tcPr>
            <w:tcW w:w="8400" w:type="dxa"/>
            <w:noWrap w:val="0"/>
            <w:vAlign w:val="top"/>
          </w:tcPr>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5"/>
              <w:gridCol w:w="4146"/>
            </w:tblGrid>
            <w:tr w14:paraId="59E4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1" w:hRule="atLeast"/>
              </w:trPr>
              <w:tc>
                <w:tcPr>
                  <w:tcW w:w="4145" w:type="dxa"/>
                  <w:noWrap w:val="0"/>
                  <w:vAlign w:val="top"/>
                </w:tcPr>
                <w:p w14:paraId="18973582">
                  <w:pPr>
                    <w:spacing w:line="560" w:lineRule="exact"/>
                    <w:jc w:val="center"/>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drawing>
                      <wp:anchor distT="0" distB="0" distL="114300" distR="114300" simplePos="0" relativeHeight="251659264" behindDoc="0" locked="0" layoutInCell="1" allowOverlap="1">
                        <wp:simplePos x="0" y="0"/>
                        <wp:positionH relativeFrom="column">
                          <wp:posOffset>-68580</wp:posOffset>
                        </wp:positionH>
                        <wp:positionV relativeFrom="paragraph">
                          <wp:posOffset>32385</wp:posOffset>
                        </wp:positionV>
                        <wp:extent cx="2658745" cy="2078355"/>
                        <wp:effectExtent l="0" t="0" r="8255" b="4445"/>
                        <wp:wrapTopAndBottom/>
                        <wp:docPr id="1" name="图片 7" descr="微信图片_20240813150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微信图片_20240813150231"/>
                                <pic:cNvPicPr>
                                  <a:picLocks noChangeAspect="1"/>
                                </pic:cNvPicPr>
                              </pic:nvPicPr>
                              <pic:blipFill>
                                <a:blip r:embed="rId16"/>
                                <a:stretch>
                                  <a:fillRect/>
                                </a:stretch>
                              </pic:blipFill>
                              <pic:spPr>
                                <a:xfrm>
                                  <a:off x="0" y="0"/>
                                  <a:ext cx="2658745" cy="2078355"/>
                                </a:xfrm>
                                <a:prstGeom prst="rect">
                                  <a:avLst/>
                                </a:prstGeom>
                                <a:noFill/>
                                <a:ln>
                                  <a:noFill/>
                                </a:ln>
                              </pic:spPr>
                            </pic:pic>
                          </a:graphicData>
                        </a:graphic>
                      </wp:anchor>
                    </w:drawing>
                  </w:r>
                  <w:r>
                    <w:rPr>
                      <w:rFonts w:hint="eastAsia" w:ascii="宋体" w:hAnsi="宋体" w:eastAsia="宋体" w:cs="宋体"/>
                      <w:b/>
                      <w:color w:val="auto"/>
                      <w:kern w:val="0"/>
                      <w:sz w:val="24"/>
                      <w:szCs w:val="24"/>
                      <w:lang w:val="en-US" w:eastAsia="zh-CN" w:bidi="ar-SA"/>
                    </w:rPr>
                    <w:t>冲毁堤坡现状（一）</w:t>
                  </w:r>
                </w:p>
              </w:tc>
              <w:tc>
                <w:tcPr>
                  <w:tcW w:w="4146" w:type="dxa"/>
                  <w:noWrap w:val="0"/>
                  <w:vAlign w:val="top"/>
                </w:tcPr>
                <w:p w14:paraId="5C364387">
                  <w:pPr>
                    <w:spacing w:line="560" w:lineRule="exact"/>
                    <w:jc w:val="center"/>
                    <w:rPr>
                      <w:rFonts w:hint="eastAsia" w:ascii="宋体" w:hAnsi="宋体" w:eastAsia="宋体" w:cs="宋体"/>
                      <w:sz w:val="24"/>
                      <w:szCs w:val="24"/>
                    </w:rPr>
                  </w:pPr>
                  <w:r>
                    <w:rPr>
                      <w:rFonts w:hint="eastAsia" w:ascii="宋体" w:hAnsi="宋体" w:eastAsia="宋体" w:cs="宋体"/>
                      <w:b/>
                      <w:color w:val="auto"/>
                      <w:kern w:val="0"/>
                      <w:sz w:val="24"/>
                      <w:szCs w:val="24"/>
                      <w:lang w:val="en-US" w:eastAsia="zh-CN" w:bidi="ar-SA"/>
                    </w:rPr>
                    <w:t>冲毁堤坡现状（二）</w:t>
                  </w:r>
                  <w:r>
                    <w:rPr>
                      <w:rFonts w:hint="eastAsia" w:ascii="宋体" w:hAnsi="宋体" w:eastAsia="宋体" w:cs="宋体"/>
                      <w:color w:val="auto"/>
                      <w:sz w:val="24"/>
                      <w:szCs w:val="24"/>
                      <w:highlight w:val="none"/>
                      <w:lang w:val="en-US" w:eastAsia="zh-CN"/>
                    </w:rPr>
                    <w:drawing>
                      <wp:anchor distT="0" distB="0" distL="114300" distR="114300" simplePos="0" relativeHeight="251660288" behindDoc="0" locked="0" layoutInCell="1" allowOverlap="1">
                        <wp:simplePos x="0" y="0"/>
                        <wp:positionH relativeFrom="column">
                          <wp:posOffset>406400</wp:posOffset>
                        </wp:positionH>
                        <wp:positionV relativeFrom="paragraph">
                          <wp:posOffset>-3665855</wp:posOffset>
                        </wp:positionV>
                        <wp:extent cx="5266690" cy="2131695"/>
                        <wp:effectExtent l="0" t="0" r="3810" b="1905"/>
                        <wp:wrapTopAndBottom/>
                        <wp:docPr id="2" name="图片 8" descr="微信图片_20240813150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微信图片_20240813150239"/>
                                <pic:cNvPicPr>
                                  <a:picLocks noChangeAspect="1"/>
                                </pic:cNvPicPr>
                              </pic:nvPicPr>
                              <pic:blipFill>
                                <a:blip r:embed="rId17"/>
                                <a:stretch>
                                  <a:fillRect/>
                                </a:stretch>
                              </pic:blipFill>
                              <pic:spPr>
                                <a:xfrm>
                                  <a:off x="0" y="0"/>
                                  <a:ext cx="5266690" cy="2131695"/>
                                </a:xfrm>
                                <a:prstGeom prst="rect">
                                  <a:avLst/>
                                </a:prstGeom>
                                <a:noFill/>
                                <a:ln>
                                  <a:noFill/>
                                </a:ln>
                              </pic:spPr>
                            </pic:pic>
                          </a:graphicData>
                        </a:graphic>
                      </wp:anchor>
                    </w:drawing>
                  </w:r>
                </w:p>
              </w:tc>
            </w:tr>
            <w:tr w14:paraId="77C5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4" w:hRule="atLeast"/>
              </w:trPr>
              <w:tc>
                <w:tcPr>
                  <w:tcW w:w="4145" w:type="dxa"/>
                  <w:noWrap w:val="0"/>
                  <w:vAlign w:val="top"/>
                </w:tcPr>
                <w:p w14:paraId="5D7B934A">
                  <w:pPr>
                    <w:spacing w:line="5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0"/>
                      <w:sz w:val="24"/>
                      <w:szCs w:val="24"/>
                      <w:lang w:val="en-US" w:eastAsia="zh-CN" w:bidi="ar-SA"/>
                    </w:rPr>
                    <w:t>冲沟现状（一）</w:t>
                  </w:r>
                  <w:r>
                    <w:rPr>
                      <w:rFonts w:hint="eastAsia" w:ascii="宋体" w:hAnsi="宋体" w:eastAsia="宋体" w:cs="宋体"/>
                      <w:color w:val="auto"/>
                      <w:sz w:val="24"/>
                      <w:szCs w:val="24"/>
                      <w:highlight w:val="none"/>
                      <w:lang w:val="en-US" w:eastAsia="zh-CN"/>
                    </w:rPr>
                    <w:drawing>
                      <wp:anchor distT="0" distB="0" distL="114300" distR="114300" simplePos="0" relativeHeight="251661312" behindDoc="0" locked="0" layoutInCell="1" allowOverlap="1">
                        <wp:simplePos x="0" y="0"/>
                        <wp:positionH relativeFrom="column">
                          <wp:posOffset>-17145</wp:posOffset>
                        </wp:positionH>
                        <wp:positionV relativeFrom="paragraph">
                          <wp:posOffset>25400</wp:posOffset>
                        </wp:positionV>
                        <wp:extent cx="2560955" cy="2172335"/>
                        <wp:effectExtent l="0" t="0" r="4445" b="12065"/>
                        <wp:wrapTopAndBottom/>
                        <wp:docPr id="3" name="图片 3" descr="371de3c995fbf135521c9b2f90521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71de3c995fbf135521c9b2f90521cd"/>
                                <pic:cNvPicPr>
                                  <a:picLocks noChangeAspect="1"/>
                                </pic:cNvPicPr>
                              </pic:nvPicPr>
                              <pic:blipFill>
                                <a:blip r:embed="rId18"/>
                                <a:stretch>
                                  <a:fillRect/>
                                </a:stretch>
                              </pic:blipFill>
                              <pic:spPr>
                                <a:xfrm>
                                  <a:off x="0" y="0"/>
                                  <a:ext cx="2560955" cy="2172335"/>
                                </a:xfrm>
                                <a:prstGeom prst="rect">
                                  <a:avLst/>
                                </a:prstGeom>
                                <a:noFill/>
                                <a:ln>
                                  <a:noFill/>
                                </a:ln>
                              </pic:spPr>
                            </pic:pic>
                          </a:graphicData>
                        </a:graphic>
                      </wp:anchor>
                    </w:drawing>
                  </w:r>
                </w:p>
              </w:tc>
              <w:tc>
                <w:tcPr>
                  <w:tcW w:w="4146" w:type="dxa"/>
                  <w:noWrap w:val="0"/>
                  <w:vAlign w:val="top"/>
                </w:tcPr>
                <w:p w14:paraId="4F7FA3F2">
                  <w:pPr>
                    <w:spacing w:line="560" w:lineRule="exact"/>
                    <w:jc w:val="center"/>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冲沟现状（二）</w:t>
                  </w:r>
                  <w:r>
                    <w:rPr>
                      <w:rFonts w:hint="eastAsia" w:ascii="宋体" w:hAnsi="宋体" w:eastAsia="宋体" w:cs="宋体"/>
                      <w:color w:val="auto"/>
                      <w:sz w:val="24"/>
                      <w:szCs w:val="24"/>
                      <w:highlight w:val="none"/>
                      <w:lang w:val="en-US" w:eastAsia="zh-CN"/>
                    </w:rPr>
                    <w:drawing>
                      <wp:anchor distT="0" distB="0" distL="114300" distR="114300" simplePos="0" relativeHeight="251662336" behindDoc="0" locked="0" layoutInCell="1" allowOverlap="1">
                        <wp:simplePos x="0" y="0"/>
                        <wp:positionH relativeFrom="column">
                          <wp:posOffset>406400</wp:posOffset>
                        </wp:positionH>
                        <wp:positionV relativeFrom="paragraph">
                          <wp:posOffset>-1909445</wp:posOffset>
                        </wp:positionV>
                        <wp:extent cx="2927985" cy="2193925"/>
                        <wp:effectExtent l="0" t="0" r="5715" b="3175"/>
                        <wp:wrapTopAndBottom/>
                        <wp:docPr id="8" name="图片 1619" descr="0e5a415401c27b8e52c6bcf165c8b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19" descr="0e5a415401c27b8e52c6bcf165c8b2b"/>
                                <pic:cNvPicPr>
                                  <a:picLocks noChangeAspect="1"/>
                                </pic:cNvPicPr>
                              </pic:nvPicPr>
                              <pic:blipFill>
                                <a:blip r:embed="rId19"/>
                                <a:stretch>
                                  <a:fillRect/>
                                </a:stretch>
                              </pic:blipFill>
                              <pic:spPr>
                                <a:xfrm>
                                  <a:off x="0" y="0"/>
                                  <a:ext cx="2927985" cy="2193925"/>
                                </a:xfrm>
                                <a:prstGeom prst="rect">
                                  <a:avLst/>
                                </a:prstGeom>
                                <a:noFill/>
                                <a:ln>
                                  <a:noFill/>
                                </a:ln>
                              </pic:spPr>
                            </pic:pic>
                          </a:graphicData>
                        </a:graphic>
                      </wp:anchor>
                    </w:drawing>
                  </w:r>
                </w:p>
              </w:tc>
            </w:tr>
            <w:tr w14:paraId="741B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1" w:hRule="atLeast"/>
              </w:trPr>
              <w:tc>
                <w:tcPr>
                  <w:tcW w:w="4145" w:type="dxa"/>
                  <w:noWrap w:val="0"/>
                  <w:vAlign w:val="top"/>
                </w:tcPr>
                <w:p w14:paraId="784C56A0">
                  <w:pPr>
                    <w:spacing w:line="560" w:lineRule="exact"/>
                    <w:jc w:val="center"/>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冲沟现状（三）</w:t>
                  </w:r>
                  <w:r>
                    <w:rPr>
                      <w:rFonts w:hint="eastAsia" w:ascii="宋体" w:hAnsi="宋体" w:eastAsia="宋体" w:cs="宋体"/>
                      <w:b/>
                      <w:color w:val="auto"/>
                      <w:kern w:val="0"/>
                      <w:sz w:val="24"/>
                      <w:szCs w:val="24"/>
                      <w:lang w:val="en-US" w:eastAsia="zh-CN" w:bidi="ar-SA"/>
                    </w:rPr>
                    <w:drawing>
                      <wp:anchor distT="0" distB="0" distL="114300" distR="114300" simplePos="0" relativeHeight="251663360" behindDoc="0" locked="0" layoutInCell="1" allowOverlap="1">
                        <wp:simplePos x="0" y="0"/>
                        <wp:positionH relativeFrom="column">
                          <wp:posOffset>-39370</wp:posOffset>
                        </wp:positionH>
                        <wp:positionV relativeFrom="paragraph">
                          <wp:posOffset>35560</wp:posOffset>
                        </wp:positionV>
                        <wp:extent cx="3049270" cy="2286635"/>
                        <wp:effectExtent l="0" t="0" r="11430" b="12065"/>
                        <wp:wrapTopAndBottom/>
                        <wp:docPr id="5" name="图片 1620" descr="f0ae3a9687251ae1cdb2320ad04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20" descr="f0ae3a9687251ae1cdb2320ad040568"/>
                                <pic:cNvPicPr>
                                  <a:picLocks noChangeAspect="1"/>
                                </pic:cNvPicPr>
                              </pic:nvPicPr>
                              <pic:blipFill>
                                <a:blip r:embed="rId20"/>
                                <a:stretch>
                                  <a:fillRect/>
                                </a:stretch>
                              </pic:blipFill>
                              <pic:spPr>
                                <a:xfrm>
                                  <a:off x="0" y="0"/>
                                  <a:ext cx="3049270" cy="2286635"/>
                                </a:xfrm>
                                <a:prstGeom prst="rect">
                                  <a:avLst/>
                                </a:prstGeom>
                                <a:noFill/>
                                <a:ln>
                                  <a:noFill/>
                                </a:ln>
                              </pic:spPr>
                            </pic:pic>
                          </a:graphicData>
                        </a:graphic>
                      </wp:anchor>
                    </w:drawing>
                  </w:r>
                </w:p>
              </w:tc>
              <w:tc>
                <w:tcPr>
                  <w:tcW w:w="4146" w:type="dxa"/>
                  <w:noWrap w:val="0"/>
                  <w:vAlign w:val="top"/>
                </w:tcPr>
                <w:p w14:paraId="3255AA1F">
                  <w:pPr>
                    <w:spacing w:line="560" w:lineRule="exact"/>
                    <w:jc w:val="center"/>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冲沟现状（四）</w:t>
                  </w:r>
                  <w:r>
                    <w:rPr>
                      <w:rFonts w:hint="eastAsia" w:ascii="宋体" w:hAnsi="宋体" w:eastAsia="宋体" w:cs="宋体"/>
                      <w:b/>
                      <w:color w:val="auto"/>
                      <w:kern w:val="0"/>
                      <w:sz w:val="24"/>
                      <w:szCs w:val="24"/>
                      <w:lang w:val="en-US" w:eastAsia="zh-CN" w:bidi="ar-SA"/>
                    </w:rPr>
                    <w:drawing>
                      <wp:anchor distT="0" distB="0" distL="114300" distR="114300" simplePos="0" relativeHeight="251664384" behindDoc="0" locked="0" layoutInCell="1" allowOverlap="1">
                        <wp:simplePos x="0" y="0"/>
                        <wp:positionH relativeFrom="column">
                          <wp:posOffset>-48895</wp:posOffset>
                        </wp:positionH>
                        <wp:positionV relativeFrom="paragraph">
                          <wp:posOffset>25400</wp:posOffset>
                        </wp:positionV>
                        <wp:extent cx="3077845" cy="2307590"/>
                        <wp:effectExtent l="0" t="0" r="8255" b="3810"/>
                        <wp:wrapTopAndBottom/>
                        <wp:docPr id="4" name="图片 1621" descr="5c2b6d529b1b8eb84c6896245647f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21" descr="5c2b6d529b1b8eb84c6896245647f19"/>
                                <pic:cNvPicPr>
                                  <a:picLocks noChangeAspect="1"/>
                                </pic:cNvPicPr>
                              </pic:nvPicPr>
                              <pic:blipFill>
                                <a:blip r:embed="rId21"/>
                                <a:stretch>
                                  <a:fillRect/>
                                </a:stretch>
                              </pic:blipFill>
                              <pic:spPr>
                                <a:xfrm>
                                  <a:off x="0" y="0"/>
                                  <a:ext cx="3077845" cy="2307590"/>
                                </a:xfrm>
                                <a:prstGeom prst="rect">
                                  <a:avLst/>
                                </a:prstGeom>
                                <a:noFill/>
                                <a:ln>
                                  <a:noFill/>
                                </a:ln>
                              </pic:spPr>
                            </pic:pic>
                          </a:graphicData>
                        </a:graphic>
                      </wp:anchor>
                    </w:drawing>
                  </w:r>
                </w:p>
              </w:tc>
            </w:tr>
            <w:tr w14:paraId="1FEA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1" w:hRule="atLeast"/>
              </w:trPr>
              <w:tc>
                <w:tcPr>
                  <w:tcW w:w="4145" w:type="dxa"/>
                  <w:noWrap w:val="0"/>
                  <w:vAlign w:val="top"/>
                </w:tcPr>
                <w:p w14:paraId="63D33B16">
                  <w:pPr>
                    <w:spacing w:line="560" w:lineRule="exact"/>
                    <w:jc w:val="center"/>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岸肩现状（一）</w:t>
                  </w:r>
                  <w:r>
                    <w:rPr>
                      <w:rFonts w:hint="eastAsia" w:ascii="宋体" w:hAnsi="宋体" w:eastAsia="宋体" w:cs="宋体"/>
                      <w:b/>
                      <w:color w:val="auto"/>
                      <w:kern w:val="0"/>
                      <w:sz w:val="24"/>
                      <w:szCs w:val="24"/>
                      <w:lang w:val="en-US" w:eastAsia="zh-CN" w:bidi="ar-SA"/>
                    </w:rPr>
                    <w:drawing>
                      <wp:anchor distT="0" distB="0" distL="114300" distR="114300" simplePos="0" relativeHeight="251665408" behindDoc="0" locked="0" layoutInCell="1" allowOverlap="1">
                        <wp:simplePos x="0" y="0"/>
                        <wp:positionH relativeFrom="column">
                          <wp:posOffset>-28575</wp:posOffset>
                        </wp:positionH>
                        <wp:positionV relativeFrom="paragraph">
                          <wp:posOffset>36195</wp:posOffset>
                        </wp:positionV>
                        <wp:extent cx="2964815" cy="2223135"/>
                        <wp:effectExtent l="0" t="0" r="6985" b="12065"/>
                        <wp:wrapTopAndBottom/>
                        <wp:docPr id="6" name="图片 1622" descr="c775c5def0e864e3370c0b163ebf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22" descr="c775c5def0e864e3370c0b163ebf408"/>
                                <pic:cNvPicPr>
                                  <a:picLocks noChangeAspect="1"/>
                                </pic:cNvPicPr>
                              </pic:nvPicPr>
                              <pic:blipFill>
                                <a:blip r:embed="rId22"/>
                                <a:stretch>
                                  <a:fillRect/>
                                </a:stretch>
                              </pic:blipFill>
                              <pic:spPr>
                                <a:xfrm>
                                  <a:off x="0" y="0"/>
                                  <a:ext cx="2964815" cy="2223135"/>
                                </a:xfrm>
                                <a:prstGeom prst="rect">
                                  <a:avLst/>
                                </a:prstGeom>
                                <a:noFill/>
                                <a:ln>
                                  <a:noFill/>
                                </a:ln>
                              </pic:spPr>
                            </pic:pic>
                          </a:graphicData>
                        </a:graphic>
                      </wp:anchor>
                    </w:drawing>
                  </w:r>
                </w:p>
              </w:tc>
              <w:tc>
                <w:tcPr>
                  <w:tcW w:w="4146" w:type="dxa"/>
                  <w:noWrap w:val="0"/>
                  <w:vAlign w:val="top"/>
                </w:tcPr>
                <w:p w14:paraId="1FFFF568">
                  <w:pPr>
                    <w:spacing w:line="560" w:lineRule="exact"/>
                    <w:jc w:val="center"/>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岸肩现状（二）</w:t>
                  </w:r>
                  <w:r>
                    <w:rPr>
                      <w:rFonts w:hint="eastAsia" w:ascii="宋体" w:hAnsi="宋体" w:eastAsia="宋体" w:cs="宋体"/>
                      <w:b/>
                      <w:color w:val="auto"/>
                      <w:kern w:val="0"/>
                      <w:sz w:val="24"/>
                      <w:szCs w:val="24"/>
                      <w:lang w:val="en-US" w:eastAsia="zh-CN" w:bidi="ar-SA"/>
                    </w:rPr>
                    <w:drawing>
                      <wp:anchor distT="0" distB="0" distL="114300" distR="114300" simplePos="0" relativeHeight="251666432" behindDoc="0" locked="0" layoutInCell="1" allowOverlap="1">
                        <wp:simplePos x="0" y="0"/>
                        <wp:positionH relativeFrom="column">
                          <wp:posOffset>-59055</wp:posOffset>
                        </wp:positionH>
                        <wp:positionV relativeFrom="paragraph">
                          <wp:posOffset>36195</wp:posOffset>
                        </wp:positionV>
                        <wp:extent cx="2951480" cy="2212975"/>
                        <wp:effectExtent l="0" t="0" r="7620" b="9525"/>
                        <wp:wrapTopAndBottom/>
                        <wp:docPr id="7" name="图片 1623" descr="b4da548872c0c83fe71728d0796c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23" descr="b4da548872c0c83fe71728d0796c856"/>
                                <pic:cNvPicPr>
                                  <a:picLocks noChangeAspect="1"/>
                                </pic:cNvPicPr>
                              </pic:nvPicPr>
                              <pic:blipFill>
                                <a:blip r:embed="rId23"/>
                                <a:stretch>
                                  <a:fillRect/>
                                </a:stretch>
                              </pic:blipFill>
                              <pic:spPr>
                                <a:xfrm>
                                  <a:off x="0" y="0"/>
                                  <a:ext cx="2951480" cy="2212975"/>
                                </a:xfrm>
                                <a:prstGeom prst="rect">
                                  <a:avLst/>
                                </a:prstGeom>
                                <a:noFill/>
                                <a:ln>
                                  <a:noFill/>
                                </a:ln>
                              </pic:spPr>
                            </pic:pic>
                          </a:graphicData>
                        </a:graphic>
                      </wp:anchor>
                    </w:drawing>
                  </w:r>
                </w:p>
              </w:tc>
            </w:tr>
          </w:tbl>
          <w:p w14:paraId="0ACD6120">
            <w:pPr>
              <w:spacing w:line="560" w:lineRule="exact"/>
              <w:jc w:val="center"/>
              <w:rPr>
                <w:rFonts w:hint="eastAsia" w:ascii="宋体" w:hAnsi="宋体" w:eastAsia="宋体" w:cs="宋体"/>
                <w:sz w:val="24"/>
                <w:szCs w:val="24"/>
              </w:rPr>
            </w:pPr>
          </w:p>
        </w:tc>
      </w:tr>
    </w:tbl>
    <w:p w14:paraId="66227DA6">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、设计方案</w:t>
      </w:r>
    </w:p>
    <w:p w14:paraId="694AEBFD">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）恒王坟桥下游右岸及渠底砼修复、西庄公路桥下游左岸及渠底砼修复</w:t>
      </w:r>
    </w:p>
    <w:p w14:paraId="6CB16EBB">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本次工程衬砌渠道</w:t>
      </w:r>
      <w:r>
        <w:rPr>
          <w:rFonts w:hint="eastAsia" w:ascii="宋体" w:hAnsi="宋体" w:eastAsia="宋体" w:cs="宋体"/>
          <w:sz w:val="24"/>
          <w:szCs w:val="24"/>
          <w:lang w:val="en-US" w:eastAsia="zh-CN"/>
        </w:rPr>
        <w:t>2</w:t>
      </w:r>
      <w:r>
        <w:rPr>
          <w:rFonts w:hint="eastAsia" w:ascii="宋体" w:hAnsi="宋体" w:eastAsia="宋体" w:cs="宋体"/>
          <w:sz w:val="24"/>
          <w:szCs w:val="24"/>
        </w:rPr>
        <w:t>12m，其中，恒王坟桥下游右岸</w:t>
      </w:r>
      <w:r>
        <w:rPr>
          <w:rFonts w:hint="eastAsia" w:ascii="宋体" w:hAnsi="宋体" w:eastAsia="宋体" w:cs="宋体"/>
          <w:sz w:val="24"/>
          <w:szCs w:val="24"/>
          <w:lang w:val="en-US" w:eastAsia="zh-CN"/>
        </w:rPr>
        <w:t>2</w:t>
      </w:r>
      <w:r>
        <w:rPr>
          <w:rFonts w:hint="eastAsia" w:ascii="宋体" w:hAnsi="宋体" w:eastAsia="宋体" w:cs="宋体"/>
          <w:sz w:val="24"/>
          <w:szCs w:val="24"/>
        </w:rPr>
        <w:t>00m，西庄公路桥下游左岸12m</w:t>
      </w:r>
      <w:r>
        <w:rPr>
          <w:rFonts w:hint="eastAsia" w:ascii="宋体" w:hAnsi="宋体" w:eastAsia="宋体" w:cs="宋体"/>
          <w:sz w:val="24"/>
          <w:szCs w:val="24"/>
          <w:lang w:eastAsia="zh-CN"/>
        </w:rPr>
        <w:t>。</w:t>
      </w:r>
      <w:r>
        <w:rPr>
          <w:rFonts w:hint="eastAsia" w:ascii="宋体" w:hAnsi="宋体" w:eastAsia="宋体" w:cs="宋体"/>
          <w:sz w:val="24"/>
          <w:szCs w:val="24"/>
        </w:rPr>
        <w:t>使用机械人工配合拆除现状混凝土板护坡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浆砌石护底及浆砌石护脚</w:t>
      </w:r>
      <w:r>
        <w:rPr>
          <w:rFonts w:hint="eastAsia" w:ascii="宋体" w:hAnsi="宋体" w:eastAsia="宋体" w:cs="宋体"/>
          <w:sz w:val="24"/>
          <w:szCs w:val="24"/>
        </w:rPr>
        <w:t>，现状混凝土板厚度1</w:t>
      </w:r>
      <w:r>
        <w:rPr>
          <w:rFonts w:hint="eastAsia" w:ascii="宋体" w:hAnsi="宋体" w:eastAsia="宋体" w:cs="宋体"/>
          <w:sz w:val="24"/>
          <w:szCs w:val="24"/>
          <w:lang w:val="en-US" w:eastAsia="zh-CN"/>
        </w:rPr>
        <w:t>00m</w:t>
      </w:r>
      <w:r>
        <w:rPr>
          <w:rFonts w:hint="eastAsia" w:ascii="宋体" w:hAnsi="宋体" w:eastAsia="宋体" w:cs="宋体"/>
          <w:sz w:val="24"/>
          <w:szCs w:val="24"/>
        </w:rPr>
        <w:t>m，清挖内坡土方厚度1</w:t>
      </w:r>
      <w:r>
        <w:rPr>
          <w:rFonts w:hint="eastAsia" w:ascii="宋体" w:hAnsi="宋体" w:eastAsia="宋体" w:cs="宋体"/>
          <w:sz w:val="24"/>
          <w:szCs w:val="24"/>
          <w:lang w:val="en-US" w:eastAsia="zh-CN"/>
        </w:rPr>
        <w:t>30m</w:t>
      </w:r>
      <w:r>
        <w:rPr>
          <w:rFonts w:hint="eastAsia" w:ascii="宋体" w:hAnsi="宋体" w:eastAsia="宋体" w:cs="宋体"/>
          <w:sz w:val="24"/>
          <w:szCs w:val="24"/>
        </w:rPr>
        <w:t>m。铺设3</w:t>
      </w:r>
      <w:r>
        <w:rPr>
          <w:rFonts w:hint="eastAsia" w:ascii="宋体" w:hAnsi="宋体" w:eastAsia="宋体" w:cs="宋体"/>
          <w:sz w:val="24"/>
          <w:szCs w:val="24"/>
          <w:lang w:val="en-US" w:eastAsia="zh-CN"/>
        </w:rPr>
        <w:t>0m</w:t>
      </w:r>
      <w:r>
        <w:rPr>
          <w:rFonts w:hint="eastAsia" w:ascii="宋体" w:hAnsi="宋体" w:eastAsia="宋体" w:cs="宋体"/>
          <w:sz w:val="24"/>
          <w:szCs w:val="24"/>
        </w:rPr>
        <w:t>m粗砂找平层、5</w:t>
      </w:r>
      <w:r>
        <w:rPr>
          <w:rFonts w:hint="eastAsia" w:ascii="宋体" w:hAnsi="宋体" w:eastAsia="宋体" w:cs="宋体"/>
          <w:sz w:val="24"/>
          <w:szCs w:val="24"/>
          <w:lang w:val="en-US" w:eastAsia="zh-CN"/>
        </w:rPr>
        <w:t>0m</w:t>
      </w:r>
      <w:r>
        <w:rPr>
          <w:rFonts w:hint="eastAsia" w:ascii="宋体" w:hAnsi="宋体" w:eastAsia="宋体" w:cs="宋体"/>
          <w:sz w:val="24"/>
          <w:szCs w:val="24"/>
        </w:rPr>
        <w:t>m厚聚苯泡沫板（25kg/m</w:t>
      </w:r>
      <w:r>
        <w:rPr>
          <w:rFonts w:hint="eastAsia" w:ascii="宋体" w:hAnsi="宋体" w:eastAsia="宋体" w:cs="宋体"/>
          <w:sz w:val="24"/>
          <w:szCs w:val="24"/>
          <w:vertAlign w:val="superscript"/>
        </w:rPr>
        <w:t>3</w:t>
      </w:r>
      <w:r>
        <w:rPr>
          <w:rFonts w:hint="eastAsia" w:ascii="宋体" w:hAnsi="宋体" w:eastAsia="宋体" w:cs="宋体"/>
          <w:sz w:val="24"/>
          <w:szCs w:val="24"/>
        </w:rPr>
        <w:t>）、复合土工膜（300g/m</w:t>
      </w:r>
      <w:r>
        <w:rPr>
          <w:rFonts w:hint="eastAsia" w:ascii="宋体" w:hAnsi="宋体" w:eastAsia="宋体" w:cs="宋体"/>
          <w:sz w:val="24"/>
          <w:szCs w:val="24"/>
          <w:vertAlign w:val="superscript"/>
        </w:rPr>
        <w:t>2</w:t>
      </w:r>
      <w:r>
        <w:rPr>
          <w:rFonts w:hint="eastAsia" w:ascii="宋体" w:hAnsi="宋体" w:eastAsia="宋体" w:cs="宋体"/>
          <w:sz w:val="24"/>
          <w:szCs w:val="24"/>
        </w:rPr>
        <w:t>/0.3mm/300g/m</w:t>
      </w:r>
      <w:r>
        <w:rPr>
          <w:rFonts w:hint="eastAsia" w:ascii="宋体" w:hAnsi="宋体" w:eastAsia="宋体" w:cs="宋体"/>
          <w:sz w:val="24"/>
          <w:szCs w:val="24"/>
          <w:vertAlign w:val="superscript"/>
        </w:rPr>
        <w:t>2</w:t>
      </w:r>
      <w:r>
        <w:rPr>
          <w:rFonts w:hint="eastAsia" w:ascii="宋体" w:hAnsi="宋体" w:eastAsia="宋体" w:cs="宋体"/>
          <w:sz w:val="24"/>
          <w:szCs w:val="24"/>
        </w:rPr>
        <w:t>）、C25W4F150现浇混凝土护坡厚</w:t>
      </w:r>
      <w:r>
        <w:rPr>
          <w:rFonts w:hint="eastAsia" w:ascii="宋体" w:hAnsi="宋体" w:eastAsia="宋体" w:cs="宋体"/>
          <w:sz w:val="24"/>
          <w:szCs w:val="24"/>
          <w:lang w:val="en-US" w:eastAsia="zh-CN"/>
        </w:rPr>
        <w:t>150mm</w:t>
      </w:r>
      <w:r>
        <w:rPr>
          <w:rFonts w:hint="eastAsia" w:ascii="宋体" w:hAnsi="宋体" w:eastAsia="宋体" w:cs="宋体"/>
          <w:sz w:val="24"/>
          <w:szCs w:val="24"/>
        </w:rPr>
        <w:t>。护脚深0.6m、宽0.4m。</w:t>
      </w:r>
    </w:p>
    <w:p w14:paraId="27147130">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护坡现状肩墙保留使用；护脚采用C25W4F150现浇混凝土，尺寸：宽0.4m，高0.6m；</w:t>
      </w:r>
      <w:r>
        <w:rPr>
          <w:rFonts w:hint="eastAsia" w:ascii="宋体" w:hAnsi="宋体" w:eastAsia="宋体" w:cs="宋体"/>
          <w:sz w:val="24"/>
          <w:szCs w:val="24"/>
          <w:lang w:val="en-US" w:eastAsia="zh-CN"/>
        </w:rPr>
        <w:t>河底先铺设150mm厚砂砾石垫层，再现浇150mm厚</w:t>
      </w:r>
      <w:r>
        <w:rPr>
          <w:rFonts w:hint="eastAsia" w:ascii="宋体" w:hAnsi="宋体" w:eastAsia="宋体" w:cs="宋体"/>
          <w:sz w:val="24"/>
          <w:szCs w:val="24"/>
        </w:rPr>
        <w:t>C25W4F150</w:t>
      </w:r>
      <w:r>
        <w:rPr>
          <w:rFonts w:hint="eastAsia" w:ascii="宋体" w:hAnsi="宋体" w:eastAsia="宋体" w:cs="宋体"/>
          <w:sz w:val="24"/>
          <w:szCs w:val="24"/>
          <w:lang w:val="en-US" w:eastAsia="zh-CN"/>
        </w:rPr>
        <w:t>护底</w:t>
      </w:r>
      <w:r>
        <w:rPr>
          <w:rFonts w:hint="eastAsia" w:ascii="宋体" w:hAnsi="宋体" w:eastAsia="宋体" w:cs="宋体"/>
          <w:sz w:val="24"/>
          <w:szCs w:val="24"/>
        </w:rPr>
        <w:t>。</w:t>
      </w:r>
    </w:p>
    <w:p w14:paraId="6FCA019B">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伸缩缝的设置：分为甲缝、乙缝、丙缝三种型式。</w:t>
      </w:r>
    </w:p>
    <w:p w14:paraId="0D749D66">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甲缝（横缝）：渠道边坡每9m分横缝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河底每4.5m分缝</w:t>
      </w:r>
      <w:r>
        <w:rPr>
          <w:rFonts w:hint="eastAsia" w:ascii="宋体" w:hAnsi="宋体" w:eastAsia="宋体" w:cs="宋体"/>
          <w:sz w:val="24"/>
          <w:szCs w:val="24"/>
        </w:rPr>
        <w:t>；缝宽20mm，内填聚乙烯闭孔泡沫板、外部使用双组份聚硫密封胶封堵。</w:t>
      </w:r>
    </w:p>
    <w:p w14:paraId="068113A8">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甲缝（纵缝）：渠道</w:t>
      </w:r>
      <w:r>
        <w:rPr>
          <w:rFonts w:hint="eastAsia" w:ascii="宋体" w:hAnsi="宋体" w:eastAsia="宋体" w:cs="宋体"/>
          <w:sz w:val="24"/>
          <w:szCs w:val="24"/>
          <w:lang w:val="en-US" w:eastAsia="zh-CN"/>
        </w:rPr>
        <w:t>坡脚</w:t>
      </w:r>
      <w:r>
        <w:rPr>
          <w:rFonts w:hint="eastAsia" w:ascii="宋体" w:hAnsi="宋体" w:eastAsia="宋体" w:cs="宋体"/>
          <w:sz w:val="24"/>
          <w:szCs w:val="24"/>
        </w:rPr>
        <w:t>与渠底、</w:t>
      </w:r>
      <w:r>
        <w:rPr>
          <w:rFonts w:hint="eastAsia" w:ascii="宋体" w:hAnsi="宋体" w:eastAsia="宋体" w:cs="宋体"/>
          <w:sz w:val="24"/>
          <w:szCs w:val="24"/>
          <w:lang w:val="en-US" w:eastAsia="zh-CN"/>
        </w:rPr>
        <w:t>渠底中心线、</w:t>
      </w:r>
      <w:r>
        <w:rPr>
          <w:rFonts w:hint="eastAsia" w:ascii="宋体" w:hAnsi="宋体" w:eastAsia="宋体" w:cs="宋体"/>
          <w:sz w:val="24"/>
          <w:szCs w:val="24"/>
        </w:rPr>
        <w:t>边坡与肩墙接缝</w:t>
      </w:r>
      <w:r>
        <w:rPr>
          <w:rFonts w:hint="eastAsia" w:ascii="宋体" w:hAnsi="宋体" w:eastAsia="宋体" w:cs="宋体"/>
          <w:sz w:val="24"/>
          <w:szCs w:val="24"/>
          <w:lang w:eastAsia="zh-CN"/>
        </w:rPr>
        <w:t>；</w:t>
      </w:r>
      <w:r>
        <w:rPr>
          <w:rFonts w:hint="eastAsia" w:ascii="宋体" w:hAnsi="宋体" w:eastAsia="宋体" w:cs="宋体"/>
          <w:sz w:val="24"/>
          <w:szCs w:val="24"/>
        </w:rPr>
        <w:t>缝宽20mm，内填聚乙烯闭孔泡沫板、外部使用双组份聚硫密封胶封堵。</w:t>
      </w:r>
    </w:p>
    <w:p w14:paraId="7FC5963F">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乙缝（纵缝）：渠道边坡沿坡面自上往下每2m设一道纵缝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坡脚与边坡接缝；</w:t>
      </w:r>
      <w:r>
        <w:rPr>
          <w:rFonts w:hint="eastAsia" w:ascii="宋体" w:hAnsi="宋体" w:eastAsia="宋体" w:cs="宋体"/>
          <w:sz w:val="24"/>
          <w:szCs w:val="24"/>
        </w:rPr>
        <w:t>缝宽20mm，采用沥青木板填缝，填缝顶部距护坡面20mm，为暗缝型式。</w:t>
      </w:r>
    </w:p>
    <w:p w14:paraId="721B984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丙缝（横缝）：渠坡每9m甲缝中间设5仓，每仓中间设4条丙缝，缝距1.8m，缝宽5mm，采用改性沥青防水卷材填缝。</w:t>
      </w:r>
    </w:p>
    <w:p w14:paraId="1C95963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由于恒王坟桥下游右岸渠坡冲刷塌陷严重，须对基础进行砂砾料换填，按渠坡面积50%进行换填，平均深度按0.5m计，施工时根据现场实际情况调整，确保渠坡基础稳定符合规范要求。</w:t>
      </w:r>
    </w:p>
    <w:p w14:paraId="7A63C35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（2）、西望山侧堰分水闸下游至测流桥左右岸、跃进桥上下游右岸冲坑、冲沟回填人工清理淤泥、杂物，然后利用工程开挖土方人工回填夯实，不足土方为外购素土。</w:t>
      </w:r>
    </w:p>
    <w:p w14:paraId="76654C3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（3）、跃进桥下游右岸肩路缘石整修</w:t>
      </w:r>
    </w:p>
    <w:p w14:paraId="050063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拆除损毁的沥青路面及路缘石并回复，再在原路缘石外侧设置高出路面100mmT型路缘石（500*350*100），最后，对新设置的路缘石外侧岸肩进行整修，整修宽度按3m计。</w:t>
      </w:r>
    </w:p>
    <w:p w14:paraId="5C7C1F5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（4）、跃进桥下游右岸铺设排水管</w:t>
      </w:r>
    </w:p>
    <w:p w14:paraId="1D1A269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跃进桥下游右岸巡河路外侧地势较低位置埋设DN300双壁波纹管，排外侧积水至现状排水口，排水管两端设置浆砌石挡墙，墙厚0.5m，长度1.0m，高1.2m，其中基础深0.6m，M7.5水泥砂浆砌筑MU50块石，外露面M10水泥砂浆抹面，厚20mm。</w:t>
      </w:r>
    </w:p>
    <w:p w14:paraId="4E2B77C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（5）、跃进桥下游右岸台阶侧墙新建砼帽石</w:t>
      </w:r>
    </w:p>
    <w:p w14:paraId="1F29B8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跃进桥下游右岸台阶侧墙顶宽0.4m，长33m，墙顶砼凿毛，现浇C25W4F150厚100mm砼帽石。</w:t>
      </w:r>
    </w:p>
    <w:p w14:paraId="5D70899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（6）、跃进桥下游右岸巡河路外侧新建挡土墙</w:t>
      </w:r>
    </w:p>
    <w:p w14:paraId="4505C74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机械开挖路外侧土坡，土坡整理为1：1.5边坡，并夯实，坡脚、岸肩M7.5水泥砂浆砌筑MU50块石防护，坡脚高出路面250mm，岸肩高出地面100mm，外露面M10水泥砂浆抹面，厚20mm。</w:t>
      </w:r>
    </w:p>
    <w:p w14:paraId="7B5C96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、主要工程量</w:t>
      </w:r>
    </w:p>
    <w:p w14:paraId="7B24D0BE">
      <w:pPr>
        <w:pStyle w:val="11"/>
        <w:rPr>
          <w:rFonts w:hint="eastAsia" w:ascii="宋体" w:hAnsi="宋体" w:eastAsia="宋体" w:cs="宋体"/>
          <w:sz w:val="24"/>
          <w:szCs w:val="24"/>
        </w:rPr>
      </w:pPr>
      <w:r>
        <w:rPr>
          <w:rFonts w:hint="eastAsia" w:ascii="宋体" w:hAnsi="宋体" w:eastAsia="宋体" w:cs="宋体"/>
          <w:sz w:val="24"/>
          <w:szCs w:val="24"/>
        </w:rPr>
        <w:t>表</w:t>
      </w:r>
      <w:r>
        <w:rPr>
          <w:rFonts w:hint="eastAsia" w:ascii="宋体" w:hAnsi="宋体" w:eastAsia="宋体" w:cs="宋体"/>
          <w:sz w:val="24"/>
          <w:szCs w:val="24"/>
          <w:lang w:val="en-US" w:eastAsia="zh-CN"/>
        </w:rPr>
        <w:t>5.4.3-8</w:t>
      </w:r>
      <w:r>
        <w:rPr>
          <w:rFonts w:hint="eastAsia" w:ascii="宋体" w:hAnsi="宋体" w:eastAsia="宋体" w:cs="宋体"/>
          <w:sz w:val="24"/>
          <w:szCs w:val="24"/>
        </w:rPr>
        <w:t xml:space="preserve">  主要工程量表</w:t>
      </w:r>
    </w:p>
    <w:tbl>
      <w:tblPr>
        <w:tblStyle w:val="1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3330"/>
        <w:gridCol w:w="896"/>
        <w:gridCol w:w="1357"/>
        <w:gridCol w:w="3008"/>
      </w:tblGrid>
      <w:tr w14:paraId="311D5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blHeader/>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1D6C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序号</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9DD9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名称</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8E6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单位</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84F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数量</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C885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备注</w:t>
            </w:r>
          </w:p>
        </w:tc>
      </w:tr>
      <w:tr w14:paraId="407FB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F2A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5E24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恒王坟桥下游右岸及渠底砼修复</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E70F6">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572C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200.00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884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渠底150m,渠坡200m</w:t>
            </w:r>
          </w:p>
        </w:tc>
      </w:tr>
      <w:tr w14:paraId="35DF4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F1EB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6C29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渠底浆砌石拆除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896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9457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324.00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625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厚300mm，底宽8.0m</w:t>
            </w:r>
          </w:p>
        </w:tc>
      </w:tr>
      <w:tr w14:paraId="0B2A0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622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A0CB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坡脚浆砌石拆除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1A5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E130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96.00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3223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宽0.4m深0.6m</w:t>
            </w:r>
          </w:p>
        </w:tc>
      </w:tr>
      <w:tr w14:paraId="5574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8CA9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③</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31A9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渠坡砼预制块拆除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D51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12F4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220.00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DEE9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坡长11m,厚100mm</w:t>
            </w:r>
          </w:p>
        </w:tc>
      </w:tr>
      <w:tr w14:paraId="3F0B5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F8C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④</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0928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渠坡挖土方</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EC66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4280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286.00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3FC4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利用为回填土，运距25km</w:t>
            </w:r>
          </w:p>
        </w:tc>
      </w:tr>
      <w:tr w14:paraId="1D481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F9E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⑤</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224B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渠底砂砾石垫层</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283B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3058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162.00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D1E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渠底回填砂砾石厚150mm</w:t>
            </w:r>
          </w:p>
        </w:tc>
      </w:tr>
      <w:tr w14:paraId="380D8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1DC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⑥</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B53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渠坡基础换填砂砾料</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E07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A39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550</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F083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坡面50%换填，厚度为0.5m</w:t>
            </w:r>
          </w:p>
        </w:tc>
      </w:tr>
      <w:tr w14:paraId="657C7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19E4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⑦</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ECBE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4D0E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22BA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96.00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E93D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1A292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043B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⑧</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1096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7171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AD1F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162.00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A9A2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63BE1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37D4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⑨</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45C4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349C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4B7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330.00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CFFB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4D92C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42CF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⑩</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4228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甲缝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9BDB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36F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1152.64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5A4B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缝宽20mm，内填聚乙烯闭孔泡沫板120mm、外部30mm使用双组份聚硫密封胶封堵</w:t>
            </w:r>
          </w:p>
        </w:tc>
      </w:tr>
      <w:tr w14:paraId="452A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3C61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⑪</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EBF7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坡脚甲缝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A584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9BD9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36.36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833E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缝宽20mm，内填聚乙烯闭孔泡沫板570mm、外部30mm使用双组份聚硫密封胶封堵</w:t>
            </w:r>
          </w:p>
        </w:tc>
      </w:tr>
      <w:tr w14:paraId="0A92C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8E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⑫</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35A4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乙缝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A86B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8231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1350.00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C3CD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缝宽20mm，采用沥青木板填缝，填缝顶部距护坡面20mm，为暗缝型式</w:t>
            </w:r>
          </w:p>
        </w:tc>
      </w:tr>
      <w:tr w14:paraId="5B9AC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C0B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⑬</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7656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丙缝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EDAB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D83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888.89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69BA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缝宽5mm，采用改性沥青防水卷材填缝</w:t>
            </w:r>
          </w:p>
        </w:tc>
      </w:tr>
      <w:tr w14:paraId="411FF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2C46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⑭</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27BF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聚苯板</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493F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36EE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2200.00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07C7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50mm厚</w:t>
            </w:r>
          </w:p>
        </w:tc>
      </w:tr>
      <w:tr w14:paraId="554E1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965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⑮</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F466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复合防渗土工膜</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5E56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BAD0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2200.00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66BC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300g/m²/0.3mm/300g/m²</w:t>
            </w:r>
          </w:p>
        </w:tc>
      </w:tr>
      <w:tr w14:paraId="63224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BCE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⑯</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DF06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粗砂找平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D97C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030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2200.00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BE94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找平层厚30mm</w:t>
            </w:r>
          </w:p>
        </w:tc>
      </w:tr>
      <w:tr w14:paraId="48C48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A960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⑰</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5F0F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护网拆除安装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BE47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5DE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306D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平均20m拆装一块</w:t>
            </w:r>
          </w:p>
        </w:tc>
      </w:tr>
      <w:tr w14:paraId="142FE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A3E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⑱</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5F59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渣土外运消纳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B614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6CAB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640</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B0BA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25km内</w:t>
            </w:r>
          </w:p>
        </w:tc>
      </w:tr>
      <w:tr w14:paraId="6165D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B67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⑲</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0047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编织袋围堰</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46AE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DFC6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24</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C3BA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围堰高1m，顶宽0.5，边坡1:1，长16m</w:t>
            </w:r>
          </w:p>
        </w:tc>
      </w:tr>
      <w:tr w14:paraId="394FA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898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⑳</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27F4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高强防水布</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F2AF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BA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64</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2158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3722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6798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㉑</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0D81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基坑抽水</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43F5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ADF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1050.60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DC0D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水深按0.5m计,100WQ100-7-4，渗水系数1.2</w:t>
            </w:r>
          </w:p>
        </w:tc>
      </w:tr>
      <w:tr w14:paraId="26BF1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784B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6EB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西庄公路桥下游左岸及渠底砼修复</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E2DCD">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E5C9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021D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08B45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2A07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72B7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渠底浆砌石拆除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791D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0228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25.92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D2FE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厚300mm，底宽8.0m</w:t>
            </w:r>
          </w:p>
        </w:tc>
      </w:tr>
      <w:tr w14:paraId="0D14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0DD5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435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坡脚浆砌石拆除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F9B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3A37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5.76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7EAB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宽0.4m深0.6m</w:t>
            </w:r>
          </w:p>
        </w:tc>
      </w:tr>
      <w:tr w14:paraId="085F6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0277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③</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DB91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渠坡砼预制块拆除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345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0571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13.20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B06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坡长11m,厚100mm</w:t>
            </w:r>
          </w:p>
        </w:tc>
      </w:tr>
      <w:tr w14:paraId="5D0A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065D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④</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23DF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渠坡挖土方</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A712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54B5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17.16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E4B5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利用为回填土，运距25km</w:t>
            </w:r>
          </w:p>
        </w:tc>
      </w:tr>
      <w:tr w14:paraId="688A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1865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⑤</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EDB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砂砾石垫层</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C6AA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0A54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12.96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9054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渠底回填砂砾石厚150mm</w:t>
            </w:r>
          </w:p>
        </w:tc>
      </w:tr>
      <w:tr w14:paraId="552EE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1FF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⑥</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6DED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C0E2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6F05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5.76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5D01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7F947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AE04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⑦</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1DD4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渠底砼浇筑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E5F8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2CFB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12.96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E9C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279E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CC9F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⑧</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702F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渠坡砼浇筑</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CAD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77C8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19.80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FC3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w:t>
            </w:r>
          </w:p>
        </w:tc>
      </w:tr>
      <w:tr w14:paraId="7613C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9045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⑨</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D6B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甲缝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1927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C1E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100.07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6F7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缝宽20mm，内填聚乙烯闭孔泡沫板120mm、外部30mm使用双组份聚硫密封胶封堵</w:t>
            </w:r>
          </w:p>
        </w:tc>
      </w:tr>
      <w:tr w14:paraId="49B26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6D84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⑩</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EDF2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坡脚甲缝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521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6C41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2.93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7C58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缝宽20mm，内填聚乙烯闭孔泡沫板570mm、外部30mm使用双组份聚硫密封胶封堵</w:t>
            </w:r>
          </w:p>
        </w:tc>
      </w:tr>
      <w:tr w14:paraId="66E99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BF04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⑪</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5A46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乙缝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C163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C37B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84.00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A2B4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缝宽20mm，采用沥青木板填缝，填缝顶部距护坡面20mm，为暗缝型式</w:t>
            </w:r>
          </w:p>
        </w:tc>
      </w:tr>
      <w:tr w14:paraId="6BA8D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5682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⑫</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46CC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丙缝</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2FFB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9C60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53.33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1ABC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缝宽5mm，采用改性沥青防水卷材填缝</w:t>
            </w:r>
          </w:p>
        </w:tc>
      </w:tr>
      <w:tr w14:paraId="33B30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3319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⑬</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9107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聚苯板</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B81A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C025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132.00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4400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50mm厚</w:t>
            </w:r>
          </w:p>
        </w:tc>
      </w:tr>
      <w:tr w14:paraId="7EE22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CAA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⑭</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0236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复合防渗土工膜</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AC28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FE7C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132.00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E58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300g/m²/0.3mm/300g/m²</w:t>
            </w:r>
          </w:p>
        </w:tc>
      </w:tr>
      <w:tr w14:paraId="090EA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715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⑮</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EE50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粗砂找平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EE17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A08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132.00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E12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找平层厚30mm</w:t>
            </w:r>
          </w:p>
        </w:tc>
      </w:tr>
      <w:tr w14:paraId="6E951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5DA1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⑯</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C83F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护网拆除安装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E633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30B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highlight w:val="yellow"/>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8C5C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highlight w:val="yellow"/>
                <w:u w:val="none"/>
                <w:lang w:val="en-US" w:eastAsia="zh-CN" w:bidi="ar"/>
              </w:rPr>
            </w:pPr>
          </w:p>
        </w:tc>
      </w:tr>
      <w:tr w14:paraId="5E472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9A35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⑰</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A3B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渣土外运消纳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E9E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E9E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44.88</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C3C3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25km内</w:t>
            </w:r>
          </w:p>
        </w:tc>
      </w:tr>
      <w:tr w14:paraId="02FC6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97EA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⑱</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6AF5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编织袋围堰</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9E7D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8D3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24</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5942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围堰高1m，顶宽0.5，边坡1:1，长16m</w:t>
            </w:r>
          </w:p>
        </w:tc>
      </w:tr>
      <w:tr w14:paraId="089DC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DD10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⑲</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F048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高强防水布</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A779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579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64</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AE83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1EDD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06AB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⑳</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A65E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基坑抽水</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AB2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C0E9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91.80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EF1A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水深按0.5m计,100WQ100-7-4，渗水系数1.2</w:t>
            </w:r>
          </w:p>
        </w:tc>
      </w:tr>
      <w:tr w14:paraId="4227B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769E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C72D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西望山侧堰分水闸下游至测流桥左右岸冲坑、冲沟回填</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E9FB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处</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8AFA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17.00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7BEB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27E36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0404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8FAD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人工清理淤泥、杂物</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16B4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D4B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196.56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505D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外运消纳25km</w:t>
            </w:r>
          </w:p>
        </w:tc>
      </w:tr>
      <w:tr w14:paraId="6194D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D145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BFD5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人工回填土</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28E8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2D4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1586.61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677A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利用开挖土方，不足为外购素土</w:t>
            </w:r>
          </w:p>
        </w:tc>
      </w:tr>
      <w:tr w14:paraId="6F70B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6E23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FD95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跃进桥上下游右岸冲坑、冲沟回填</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9512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处</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5F4B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3.00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3B7C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326C2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2B83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2DB7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人工清理淤泥、杂物</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850F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E79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10.70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9853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外运消纳25km</w:t>
            </w:r>
          </w:p>
        </w:tc>
      </w:tr>
      <w:tr w14:paraId="24F0D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10F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C2A4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人工回填土</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F3FA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E35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143.00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1CB4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利用开挖土方，不足为外购素土</w:t>
            </w:r>
          </w:p>
        </w:tc>
      </w:tr>
      <w:tr w14:paraId="38A73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2E64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97D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跃进桥下游右岸肩路缘石整修</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A350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AA45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319</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FB51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598C6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A010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C42E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路缘石拆除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3EC4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9B1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316</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4B4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59D1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EBE6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151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沥青路面拆除</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AD97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8D7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673E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二灰基层200mm,沥青砼面层80mm</w:t>
            </w:r>
          </w:p>
        </w:tc>
      </w:tr>
      <w:tr w14:paraId="5DA30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DAE1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③</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3D7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土方开挖</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DFB3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C60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38.599</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F804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76879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BA8E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④</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ACCD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土方回填</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0A57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D5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11.484</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22F8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4D981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F431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⑤</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87F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路缘石后背</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A95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29F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5.423</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AB52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C20</w:t>
            </w:r>
          </w:p>
        </w:tc>
      </w:tr>
      <w:tr w14:paraId="206B5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3753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⑥</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C021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路缘石砼垫层</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6D1E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B2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9.57</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C35D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C20,宽300mm，厚100mm</w:t>
            </w:r>
          </w:p>
        </w:tc>
      </w:tr>
      <w:tr w14:paraId="29E43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F6CF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⑦</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6DC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路缘石安装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A913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CEC1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319</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6F27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R型路缘石150*350*500</w:t>
            </w:r>
          </w:p>
        </w:tc>
      </w:tr>
      <w:tr w14:paraId="2F7AE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450C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⑧</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46C8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护网拆除安装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941C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925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20</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CFFD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利用原护网</w:t>
            </w:r>
          </w:p>
        </w:tc>
      </w:tr>
      <w:tr w14:paraId="39FE1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B424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⑨</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5E7F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立柱及砼柱墩拆除安装</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AA3D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FBA3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25</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8565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利用原立柱、砼柱墩</w:t>
            </w:r>
          </w:p>
        </w:tc>
      </w:tr>
      <w:tr w14:paraId="76584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F942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⑩</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25BE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石灰粉煤灰碎石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0D9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80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605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厚200mm，宽2m</w:t>
            </w:r>
          </w:p>
        </w:tc>
      </w:tr>
      <w:tr w14:paraId="7BB7B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BACB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⑪</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A0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乳化沥青透层、下封层</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9F4E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F36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C74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宽2m</w:t>
            </w:r>
          </w:p>
        </w:tc>
      </w:tr>
      <w:tr w14:paraId="0130A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B6F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⑫</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7C4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中粒式沥青混凝土（AC-16C）</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DB4A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57E1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4DC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厚50mm，宽2m</w:t>
            </w:r>
          </w:p>
        </w:tc>
      </w:tr>
      <w:tr w14:paraId="33CC1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830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86F8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乳化粘层沥青</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458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2817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E04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宽2m</w:t>
            </w:r>
          </w:p>
        </w:tc>
      </w:tr>
      <w:tr w14:paraId="5619C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E260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1EA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细粒式沥青混凝土（AC-13C）</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404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FE2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6B2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厚50mm，宽2m</w:t>
            </w:r>
          </w:p>
        </w:tc>
      </w:tr>
      <w:tr w14:paraId="7747D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31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82B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整修路缘石外侧岸肩土方平整</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889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FBD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957</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9BC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平整宽度按3m计</w:t>
            </w:r>
          </w:p>
        </w:tc>
      </w:tr>
      <w:tr w14:paraId="4417B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5CCC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5A79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跃进桥下游右岸铺设排水管</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CB92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352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3792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02545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DE03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921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土方开挖</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143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EBA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9.8</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8627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宽0.5m</w:t>
            </w:r>
          </w:p>
        </w:tc>
      </w:tr>
      <w:tr w14:paraId="0B29B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9A78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0EFFF">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土方回填</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B152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134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7.51 </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8E42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4010C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D70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③</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9EEA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管道铺设</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07B3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CB7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967EB">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DN300双壁波纹管</w:t>
            </w:r>
          </w:p>
        </w:tc>
      </w:tr>
      <w:tr w14:paraId="3221C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47C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④</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0858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两端浆砌石挡墙</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D28B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7201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3A6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墙厚0.5m，长度1.0m，高1.2m，其中基础深0.6m，M7.5水泥砂浆砌筑MU50块石</w:t>
            </w:r>
          </w:p>
        </w:tc>
      </w:tr>
      <w:tr w14:paraId="20E25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965E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⑤</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0C13">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两端挡墙抹面</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DD7A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D61F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2.8</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C4BC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M10水泥砂浆抹面，厚20mm</w:t>
            </w:r>
          </w:p>
        </w:tc>
      </w:tr>
      <w:tr w14:paraId="18FC2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6420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7622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跃进桥下游右岸台阶侧墙新建砼帽石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3881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5B84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33</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185FD">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侧墙顶宽0.4m</w:t>
            </w:r>
          </w:p>
        </w:tc>
      </w:tr>
      <w:tr w14:paraId="4E2CE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405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111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墙顶凿毛</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FE4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8BBB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13.2</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CA984">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14772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F1F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66D4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现浇砼帽石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74E1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488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1.32</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9ED0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C25W4F150砼，厚100mm</w:t>
            </w:r>
          </w:p>
        </w:tc>
      </w:tr>
      <w:tr w14:paraId="314BA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8C7B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1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FB40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跃进桥下游右岸巡河路外侧新建挡土墙</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EAE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8713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160</w:t>
            </w:r>
          </w:p>
        </w:tc>
        <w:tc>
          <w:tcPr>
            <w:tcW w:w="1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ABF2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6403E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4B64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①</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49F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挖土方</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DD2F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EDE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240</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76D5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机械挖土方</w:t>
            </w:r>
          </w:p>
        </w:tc>
      </w:tr>
      <w:tr w14:paraId="4F492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D871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②</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543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填土放</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705C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0774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192</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A280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利用开挖土，余土就近整平</w:t>
            </w:r>
          </w:p>
        </w:tc>
      </w:tr>
      <w:tr w14:paraId="4C096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BD61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③</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D755">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浆砌石</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C93A">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C7E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80</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BDF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M7.5水泥砂浆砌筑MU50块石</w:t>
            </w:r>
          </w:p>
        </w:tc>
      </w:tr>
      <w:tr w14:paraId="3DFB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BC7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④</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701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沥青木板</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CAFE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1069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EBE31">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厚20mm</w:t>
            </w:r>
          </w:p>
        </w:tc>
      </w:tr>
      <w:tr w14:paraId="62576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A70B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⑤</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2397">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砂浆抹面</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40BF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B862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216</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3D3D0">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M10水泥砂浆抹面，厚20mm</w:t>
            </w:r>
          </w:p>
        </w:tc>
      </w:tr>
      <w:tr w14:paraId="58B32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D763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⑥</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14AA">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岸肩砌块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4AE7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3</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896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D91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r w14:paraId="65152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0F9F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⑦</w:t>
            </w:r>
          </w:p>
        </w:tc>
        <w:tc>
          <w:tcPr>
            <w:tcW w:w="1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80CC">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坡改平砌块</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EF16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w:t>
            </w:r>
            <w:r>
              <w:rPr>
                <w:rFonts w:hint="eastAsia" w:ascii="宋体" w:hAnsi="宋体" w:eastAsia="宋体" w:cs="宋体"/>
                <w:i w:val="0"/>
                <w:iCs w:val="0"/>
                <w:color w:val="auto"/>
                <w:kern w:val="0"/>
                <w:sz w:val="24"/>
                <w:szCs w:val="24"/>
                <w:u w:val="none"/>
                <w:vertAlign w:val="superscript"/>
                <w:lang w:val="en-US" w:eastAsia="zh-CN" w:bidi="ar"/>
              </w:rPr>
              <w:t>2</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0EF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360</w:t>
            </w:r>
          </w:p>
        </w:tc>
        <w:tc>
          <w:tcPr>
            <w:tcW w:w="1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781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4"/>
                <w:szCs w:val="24"/>
                <w:u w:val="none"/>
                <w:lang w:val="en-US" w:eastAsia="zh-CN" w:bidi="ar"/>
              </w:rPr>
            </w:pPr>
          </w:p>
        </w:tc>
      </w:tr>
    </w:tbl>
    <w:p w14:paraId="048D287C">
      <w:pPr>
        <w:pStyle w:val="4"/>
        <w:spacing w:line="240" w:lineRule="auto"/>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五</w:t>
      </w:r>
      <w:r>
        <w:rPr>
          <w:rFonts w:hint="eastAsia" w:ascii="宋体" w:hAnsi="宋体" w:eastAsia="宋体" w:cs="宋体"/>
        </w:rPr>
        <w:t>）施工方案</w:t>
      </w:r>
    </w:p>
    <w:p w14:paraId="2E4ADECB">
      <w:pPr>
        <w:pStyle w:val="2"/>
        <w:spacing w:line="360" w:lineRule="auto"/>
        <w:ind w:firstLine="480"/>
        <w:rPr>
          <w:rFonts w:hint="eastAsia" w:ascii="宋体" w:hAnsi="宋体" w:cs="宋体"/>
          <w:sz w:val="24"/>
          <w:szCs w:val="32"/>
        </w:rPr>
      </w:pPr>
      <w:r>
        <w:rPr>
          <w:rFonts w:hint="eastAsia" w:ascii="宋体" w:hAnsi="宋体" w:cs="宋体"/>
          <w:sz w:val="24"/>
          <w:szCs w:val="32"/>
        </w:rPr>
        <w:t>供应商应结合本项目实际编制施工组织设计方案，包括施工方案与技术措施、质量管理体系与措施、安全管理体系与措施、环境保护管理体系与措施、工程进度计划与措施等。</w:t>
      </w:r>
    </w:p>
    <w:p w14:paraId="45449E85">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32"/>
        </w:rPr>
        <w:t>（1）</w:t>
      </w:r>
      <w:r>
        <w:rPr>
          <w:rFonts w:hint="eastAsia" w:ascii="宋体" w:hAnsi="宋体" w:eastAsia="宋体" w:cs="宋体"/>
          <w:sz w:val="24"/>
          <w:szCs w:val="21"/>
        </w:rPr>
        <w:t>施工方案与技术措施</w:t>
      </w:r>
    </w:p>
    <w:p w14:paraId="238DD6BF">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第一等次：方案内容完整，包括施工方法和作业流程、季节性施工、劳动力计划、施工机具配备等内容；施工方法和作业流程合理清晰；</w:t>
      </w:r>
    </w:p>
    <w:p w14:paraId="29CCF28A">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 xml:space="preserve">第二等次：方案内容完整，包括施工方法和作业流程、季节性施工、劳动力计划、施工机具配备等内容；但施工方法和作业流程存在不合理； </w:t>
      </w:r>
    </w:p>
    <w:p w14:paraId="4BBC3EB0">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第三等次：方案内容较完整，包括施工方法和作业流程等主要内容；但季节性施工、劳动力计划、施工机具配备、施工方法和作业流程存在不合理；</w:t>
      </w:r>
    </w:p>
    <w:p w14:paraId="64A1AAD8">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第四等次：方案内容不完整，部分内容有缺失。</w:t>
      </w:r>
    </w:p>
    <w:p w14:paraId="2D5958A8">
      <w:pPr>
        <w:pStyle w:val="2"/>
        <w:spacing w:line="360" w:lineRule="auto"/>
        <w:ind w:firstLine="480"/>
        <w:rPr>
          <w:rFonts w:hint="eastAsia" w:ascii="宋体" w:hAnsi="宋体" w:eastAsia="宋体" w:cs="宋体"/>
          <w:bCs/>
          <w:sz w:val="24"/>
          <w:szCs w:val="28"/>
        </w:rPr>
      </w:pPr>
      <w:r>
        <w:rPr>
          <w:rFonts w:hint="eastAsia" w:ascii="宋体" w:hAnsi="宋体" w:eastAsia="宋体" w:cs="宋体"/>
          <w:bCs/>
          <w:sz w:val="24"/>
          <w:szCs w:val="28"/>
        </w:rPr>
        <w:t>（2）质量管理体系与措施</w:t>
      </w:r>
    </w:p>
    <w:p w14:paraId="2C700010">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第一等次：质量目标明确，质量保证体系健全；质量控制关键点、重点明确，针对控制关键点、重点制定了针对性的保障措施；</w:t>
      </w:r>
    </w:p>
    <w:p w14:paraId="5039FB61">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第二等次：质量目标明确，质量保证体系健全；质量控制关键点、重点明确，但未制定针对性的保障措施；</w:t>
      </w:r>
    </w:p>
    <w:p w14:paraId="283D38F6">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第三等次：质量目标明确，质量保证体系健全，质量控制关键点、重点不明确；</w:t>
      </w:r>
    </w:p>
    <w:p w14:paraId="106BE8F1">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第四等次：质量目标不明确或者质量保证体系不健全。</w:t>
      </w:r>
    </w:p>
    <w:p w14:paraId="370B391F">
      <w:pPr>
        <w:pStyle w:val="2"/>
        <w:spacing w:line="360" w:lineRule="auto"/>
        <w:ind w:firstLine="480"/>
        <w:rPr>
          <w:rFonts w:hint="eastAsia" w:ascii="宋体" w:hAnsi="宋体" w:eastAsia="宋体" w:cs="宋体"/>
          <w:bCs/>
          <w:sz w:val="24"/>
          <w:szCs w:val="28"/>
        </w:rPr>
      </w:pPr>
      <w:r>
        <w:rPr>
          <w:rFonts w:hint="eastAsia" w:ascii="宋体" w:hAnsi="宋体" w:eastAsia="宋体" w:cs="宋体"/>
          <w:bCs/>
          <w:sz w:val="24"/>
          <w:szCs w:val="28"/>
        </w:rPr>
        <w:t>（3）安全管理体系与措施</w:t>
      </w:r>
    </w:p>
    <w:p w14:paraId="70E345FE">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一等次：针对本项目中的施工作业、用电、防火、吊装、高空、水上作业、有限空间作业、场内外交通等制定了详细的安全管理专项方案；方案内容完整，包括安全教育、人员防护、现场安全措施等内容；安全防护措施到位。</w:t>
      </w:r>
    </w:p>
    <w:p w14:paraId="4B65361F">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二等次：针对本项目中的施工作业、用电、防火、吊装、高空、水上作业、有限空间作业、场内外交通等制定了详细的安全管理专项方案；方案内容完整，包括安全教育、人员防护、现场安全措施等内容；安全防护措施简单，保障性较差；</w:t>
      </w:r>
    </w:p>
    <w:p w14:paraId="3FA23696">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第三等次：针对本项目中的施工作业、用电、防火、吊装、高空、水上作业、有限空间作业、场内外交通等制定了安全管理专项方案；方案内容不完整；</w:t>
      </w:r>
    </w:p>
    <w:p w14:paraId="7E00A2BC">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第四等次：安全管理专项方案没有针对性，与本项目中的施工作业内容结合不紧密。</w:t>
      </w:r>
    </w:p>
    <w:p w14:paraId="2A72448C">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（4）环境保护管理体系与措施</w:t>
      </w:r>
    </w:p>
    <w:p w14:paraId="3BEEA1EC">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第一等次：结合本项目作业特点，全面识别可能影响周边环境的污染因素，并针对每一项污染因素制定了切实可行的作业现场环境保护措施；</w:t>
      </w:r>
    </w:p>
    <w:p w14:paraId="6D85666C">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第二等次：结合本项目作业特点，全面识别可能影响周边环境的污染因素，并制定了作业现场环境保护措施，措施总体可行，但未与污染因素结合，针对性有欠缺；</w:t>
      </w:r>
    </w:p>
    <w:p w14:paraId="4A5A5EC4">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第三等次：污染因素识别不全，或制定的保护措施缺乏可行性；</w:t>
      </w:r>
    </w:p>
    <w:p w14:paraId="761F7851">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第四等次：未识别污染因素，或未制定相应的保护措施。</w:t>
      </w:r>
    </w:p>
    <w:p w14:paraId="0876009E">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（5）工程进度计划与措施</w:t>
      </w:r>
    </w:p>
    <w:p w14:paraId="45B66D3D">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第一等次：项目进场、各项工作内容的具体实施时段、项目验收等关键时间节点明确，时间安排合理，并制定了针对性的保障措施；</w:t>
      </w:r>
    </w:p>
    <w:p w14:paraId="3D04937F">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第二等次：项目进场、各项工作内容的具体实施时段、项目验收等关键时间节点明确，时间安排合理，但未制定针对性的保障措施；</w:t>
      </w:r>
    </w:p>
    <w:p w14:paraId="54F6F036">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第三等次：项目进场、各项工作内容的具体实施时段、项目验收等关键时间节点明确，但时间安排存在不合理；</w:t>
      </w:r>
    </w:p>
    <w:p w14:paraId="51E547E6">
      <w:pPr>
        <w:pStyle w:val="2"/>
        <w:spacing w:line="360" w:lineRule="auto"/>
        <w:ind w:firstLine="480"/>
        <w:rPr>
          <w:rFonts w:hint="eastAsia" w:ascii="宋体" w:hAnsi="宋体" w:eastAsia="宋体" w:cs="宋体"/>
          <w:sz w:val="24"/>
          <w:szCs w:val="21"/>
        </w:rPr>
      </w:pPr>
      <w:r>
        <w:rPr>
          <w:rFonts w:hint="eastAsia" w:ascii="宋体" w:hAnsi="宋体" w:eastAsia="宋体" w:cs="宋体"/>
          <w:sz w:val="24"/>
          <w:szCs w:val="21"/>
        </w:rPr>
        <w:t>第四等次：项目进场、各项工作内容的具体实施时段、项目验收等关键时间节点不明确。</w:t>
      </w:r>
    </w:p>
    <w:p w14:paraId="6551612C">
      <w:pPr>
        <w:pStyle w:val="3"/>
        <w:numPr>
          <w:ilvl w:val="0"/>
          <w:numId w:val="6"/>
        </w:numPr>
        <w:jc w:val="both"/>
        <w:rPr>
          <w:rFonts w:hint="eastAsia" w:ascii="宋体" w:hAnsi="宋体" w:eastAsia="宋体" w:cs="宋体"/>
          <w:sz w:val="32"/>
          <w:szCs w:val="21"/>
        </w:rPr>
      </w:pPr>
      <w:r>
        <w:rPr>
          <w:rFonts w:hint="eastAsia" w:ascii="宋体" w:hAnsi="宋体" w:eastAsia="宋体" w:cs="宋体"/>
          <w:sz w:val="32"/>
          <w:szCs w:val="21"/>
        </w:rPr>
        <w:t>商务要求</w:t>
      </w:r>
      <w:bookmarkEnd w:id="579"/>
    </w:p>
    <w:p w14:paraId="7EDEBF0A">
      <w:pPr>
        <w:pStyle w:val="4"/>
        <w:keepNext w:val="0"/>
        <w:keepLines w:val="0"/>
        <w:spacing w:before="0" w:after="0" w:line="360" w:lineRule="auto"/>
        <w:rPr>
          <w:rFonts w:hint="eastAsia" w:ascii="宋体" w:hAnsi="宋体" w:cs="宋体"/>
          <w:sz w:val="28"/>
          <w:szCs w:val="28"/>
        </w:rPr>
      </w:pPr>
      <w:r>
        <w:rPr>
          <w:rFonts w:hint="eastAsia" w:ascii="宋体" w:hAnsi="宋体" w:cs="宋体"/>
          <w:sz w:val="28"/>
          <w:szCs w:val="28"/>
        </w:rPr>
        <w:t>★（一）项目实施期限</w:t>
      </w:r>
    </w:p>
    <w:p w14:paraId="04CC1DE6">
      <w:pPr>
        <w:spacing w:line="360" w:lineRule="auto"/>
        <w:ind w:firstLine="480" w:firstLineChars="200"/>
        <w:rPr>
          <w:rFonts w:hint="eastAsia" w:ascii="宋体" w:hAnsi="宋体" w:cs="宋体"/>
          <w:sz w:val="24"/>
        </w:rPr>
      </w:pPr>
      <w:r>
        <w:rPr>
          <w:rFonts w:hint="eastAsia" w:ascii="宋体" w:hAnsi="宋体" w:cs="宋体"/>
          <w:sz w:val="24"/>
        </w:rPr>
        <w:t>合同履行期限：</w:t>
      </w:r>
      <w:r>
        <w:rPr>
          <w:rFonts w:hint="eastAsia" w:ascii="宋体" w:hAnsi="宋体" w:cs="宋体"/>
          <w:sz w:val="24"/>
          <w:lang w:val="en-US" w:eastAsia="zh-CN"/>
        </w:rPr>
        <w:t>自</w:t>
      </w:r>
      <w:r>
        <w:rPr>
          <w:rFonts w:hint="eastAsia" w:ascii="宋体" w:hAnsi="宋体" w:cs="宋体"/>
          <w:sz w:val="24"/>
        </w:rPr>
        <w:t>合同签订之日起至2025年</w:t>
      </w:r>
      <w:r>
        <w:rPr>
          <w:rFonts w:hint="eastAsia" w:ascii="宋体" w:hAnsi="宋体" w:cs="宋体"/>
          <w:sz w:val="24"/>
          <w:lang w:val="en-US" w:eastAsia="zh-CN"/>
        </w:rPr>
        <w:t>4</w:t>
      </w:r>
      <w:r>
        <w:rPr>
          <w:rFonts w:hint="eastAsia" w:ascii="宋体" w:hAnsi="宋体" w:cs="宋体"/>
          <w:sz w:val="24"/>
        </w:rPr>
        <w:t>月</w:t>
      </w:r>
      <w:r>
        <w:rPr>
          <w:rFonts w:hint="eastAsia" w:ascii="宋体" w:hAnsi="宋体" w:cs="宋体"/>
          <w:sz w:val="24"/>
          <w:lang w:val="en-US" w:eastAsia="zh-CN"/>
        </w:rPr>
        <w:t>25日</w:t>
      </w:r>
      <w:r>
        <w:rPr>
          <w:rFonts w:hint="eastAsia" w:ascii="宋体" w:hAnsi="宋体" w:cs="宋体"/>
          <w:sz w:val="24"/>
        </w:rPr>
        <w:t>。</w:t>
      </w:r>
    </w:p>
    <w:p w14:paraId="0F030518">
      <w:pPr>
        <w:pStyle w:val="4"/>
        <w:keepNext w:val="0"/>
        <w:keepLines w:val="0"/>
        <w:spacing w:before="0" w:after="0" w:line="360" w:lineRule="auto"/>
        <w:rPr>
          <w:rFonts w:hint="eastAsia" w:ascii="宋体" w:hAnsi="宋体" w:cs="宋体"/>
          <w:sz w:val="28"/>
          <w:szCs w:val="28"/>
        </w:rPr>
      </w:pPr>
      <w:r>
        <w:rPr>
          <w:rFonts w:hint="eastAsia" w:ascii="宋体" w:hAnsi="宋体" w:cs="宋体"/>
          <w:sz w:val="28"/>
          <w:szCs w:val="28"/>
        </w:rPr>
        <w:t>★（二）项目实施地点</w:t>
      </w:r>
    </w:p>
    <w:p w14:paraId="37E0F225">
      <w:pPr>
        <w:spacing w:line="360" w:lineRule="auto"/>
        <w:ind w:firstLine="480" w:firstLineChars="200"/>
        <w:rPr>
          <w:rFonts w:hint="eastAsia" w:ascii="宋体" w:hAnsi="宋体" w:cs="宋体"/>
          <w:sz w:val="24"/>
        </w:rPr>
      </w:pPr>
      <w:r>
        <w:rPr>
          <w:rFonts w:hint="eastAsia" w:ascii="宋体" w:hAnsi="宋体" w:cs="宋体"/>
          <w:sz w:val="24"/>
        </w:rPr>
        <w:t>项目实施地点：</w:t>
      </w:r>
      <w:r>
        <w:rPr>
          <w:rFonts w:hint="eastAsia" w:ascii="宋体" w:hAnsi="宋体" w:cs="宋体"/>
          <w:color w:val="auto"/>
          <w:sz w:val="24"/>
          <w:szCs w:val="28"/>
          <w:highlight w:val="none"/>
        </w:rPr>
        <w:t>北京市</w:t>
      </w:r>
      <w:r>
        <w:rPr>
          <w:rFonts w:hint="eastAsia" w:ascii="宋体" w:hAnsi="宋体" w:cs="宋体"/>
          <w:color w:val="auto"/>
          <w:sz w:val="24"/>
          <w:szCs w:val="28"/>
          <w:highlight w:val="none"/>
          <w:lang w:val="en-US" w:eastAsia="zh-CN"/>
        </w:rPr>
        <w:t>怀柔</w:t>
      </w:r>
      <w:r>
        <w:rPr>
          <w:rFonts w:hint="eastAsia" w:ascii="宋体" w:hAnsi="宋体" w:cs="宋体"/>
          <w:color w:val="auto"/>
          <w:sz w:val="24"/>
          <w:szCs w:val="28"/>
          <w:highlight w:val="none"/>
        </w:rPr>
        <w:t>区</w:t>
      </w:r>
      <w:r>
        <w:rPr>
          <w:rFonts w:hint="eastAsia" w:ascii="宋体" w:hAnsi="宋体" w:cs="宋体"/>
          <w:sz w:val="24"/>
        </w:rPr>
        <w:t>。</w:t>
      </w:r>
    </w:p>
    <w:p w14:paraId="4E72EFA3">
      <w:pPr>
        <w:pStyle w:val="4"/>
        <w:keepNext w:val="0"/>
        <w:keepLines w:val="0"/>
        <w:spacing w:before="0" w:after="0" w:line="360" w:lineRule="auto"/>
        <w:rPr>
          <w:rFonts w:hint="eastAsia" w:ascii="宋体" w:hAnsi="宋体" w:cs="宋体"/>
          <w:sz w:val="28"/>
          <w:szCs w:val="28"/>
        </w:rPr>
      </w:pPr>
      <w:r>
        <w:rPr>
          <w:rFonts w:hint="eastAsia" w:ascii="宋体" w:hAnsi="宋体" w:cs="宋体"/>
          <w:sz w:val="28"/>
          <w:szCs w:val="28"/>
        </w:rPr>
        <w:t>★（三）合同价款支付</w:t>
      </w:r>
    </w:p>
    <w:p w14:paraId="323EEF82">
      <w:pPr>
        <w:pStyle w:val="2"/>
        <w:spacing w:line="360" w:lineRule="auto"/>
        <w:ind w:firstLine="480"/>
        <w:rPr>
          <w:rFonts w:hint="eastAsia" w:ascii="宋体" w:hAnsi="宋体" w:cs="Arial"/>
          <w:sz w:val="24"/>
        </w:rPr>
      </w:pPr>
      <w:r>
        <w:rPr>
          <w:rFonts w:hint="eastAsia" w:ascii="宋体" w:hAnsi="宋体" w:cs="Arial"/>
          <w:sz w:val="24"/>
        </w:rPr>
        <w:t>（1）付款进度</w:t>
      </w:r>
    </w:p>
    <w:p w14:paraId="1A966634">
      <w:pPr>
        <w:pStyle w:val="2"/>
        <w:spacing w:line="360" w:lineRule="auto"/>
        <w:ind w:firstLine="480"/>
        <w:rPr>
          <w:rFonts w:hint="eastAsia" w:ascii="宋体" w:hAnsi="宋体" w:cs="Arial"/>
          <w:sz w:val="24"/>
        </w:rPr>
      </w:pPr>
      <w:r>
        <w:rPr>
          <w:rFonts w:hint="eastAsia" w:ascii="宋体" w:hAnsi="宋体" w:cs="Arial"/>
          <w:sz w:val="24"/>
        </w:rPr>
        <w:t>1）预付款：合同生效后30个工作日内支付</w:t>
      </w:r>
      <w:r>
        <w:rPr>
          <w:rFonts w:hint="eastAsia" w:ascii="宋体" w:hAnsi="宋体" w:cs="Arial"/>
          <w:sz w:val="24"/>
          <w:lang w:eastAsia="zh-CN"/>
        </w:rPr>
        <w:t>，发包人向承包人支付签约合同价（不含安全文明施工费）的</w:t>
      </w:r>
      <w:r>
        <w:rPr>
          <w:rFonts w:hint="eastAsia" w:ascii="宋体" w:hAnsi="宋体" w:cs="Arial"/>
          <w:sz w:val="24"/>
          <w:lang w:val="en-US" w:eastAsia="zh-CN"/>
        </w:rPr>
        <w:t>5</w:t>
      </w:r>
      <w:r>
        <w:rPr>
          <w:rFonts w:hint="eastAsia" w:ascii="宋体" w:hAnsi="宋体" w:cs="Arial"/>
          <w:sz w:val="24"/>
          <w:lang w:eastAsia="zh-CN"/>
        </w:rPr>
        <w:t>0%作为预付款</w:t>
      </w:r>
      <w:r>
        <w:rPr>
          <w:rFonts w:hint="eastAsia" w:ascii="宋体" w:hAnsi="宋体" w:cs="Arial"/>
          <w:sz w:val="24"/>
        </w:rPr>
        <w:t>。</w:t>
      </w:r>
      <w:r>
        <w:rPr>
          <w:rFonts w:hint="eastAsia" w:ascii="宋体" w:hAnsi="宋体" w:cs="Arial"/>
          <w:sz w:val="24"/>
          <w:lang w:val="zh-CN"/>
        </w:rPr>
        <w:t>预付款在后期支付时抵作进度款；安全文明施工费随预付款一次性</w:t>
      </w:r>
      <w:r>
        <w:rPr>
          <w:rFonts w:hint="eastAsia" w:ascii="宋体" w:hAnsi="宋体" w:cs="Arial"/>
          <w:sz w:val="24"/>
          <w:lang w:val="en-US" w:eastAsia="zh-CN"/>
        </w:rPr>
        <w:t>全额</w:t>
      </w:r>
      <w:r>
        <w:rPr>
          <w:rFonts w:hint="eastAsia" w:ascii="宋体" w:hAnsi="宋体" w:cs="Arial"/>
          <w:sz w:val="24"/>
          <w:lang w:val="zh-CN"/>
        </w:rPr>
        <w:t>支付。</w:t>
      </w:r>
    </w:p>
    <w:p w14:paraId="1B2685AF">
      <w:pPr>
        <w:pStyle w:val="2"/>
        <w:spacing w:line="360" w:lineRule="auto"/>
        <w:ind w:firstLine="480"/>
        <w:rPr>
          <w:rFonts w:hint="eastAsia" w:ascii="宋体" w:hAnsi="宋体" w:cs="Arial"/>
          <w:sz w:val="24"/>
        </w:rPr>
      </w:pPr>
      <w:r>
        <w:rPr>
          <w:rFonts w:hint="eastAsia" w:ascii="宋体" w:hAnsi="宋体" w:cs="Arial"/>
          <w:sz w:val="24"/>
        </w:rPr>
        <w:t>2）进度款：按照实际完成进度及财政支付要求支付。根据实际完成工作量，据实结算。</w:t>
      </w:r>
    </w:p>
    <w:p w14:paraId="6045E792">
      <w:pPr>
        <w:widowControl/>
        <w:numPr>
          <w:ilvl w:val="255"/>
          <w:numId w:val="0"/>
        </w:numPr>
        <w:snapToGrid w:val="0"/>
        <w:spacing w:line="360" w:lineRule="auto"/>
        <w:ind w:firstLine="480" w:firstLineChars="200"/>
        <w:rPr>
          <w:rFonts w:hint="eastAsia" w:ascii="宋体" w:hAnsi="宋体" w:cs="仿宋_GB2312"/>
          <w:sz w:val="24"/>
          <w:szCs w:val="28"/>
        </w:rPr>
      </w:pPr>
      <w:r>
        <w:rPr>
          <w:rFonts w:hint="eastAsia" w:ascii="宋体" w:hAnsi="宋体" w:cs="仿宋_GB2312"/>
          <w:sz w:val="24"/>
          <w:szCs w:val="28"/>
        </w:rPr>
        <w:t>（2）付款方式：转账支票或汇款方式。</w:t>
      </w:r>
    </w:p>
    <w:p w14:paraId="5B9331A9">
      <w:pPr>
        <w:widowControl/>
        <w:numPr>
          <w:ilvl w:val="255"/>
          <w:numId w:val="0"/>
        </w:numPr>
        <w:snapToGrid w:val="0"/>
        <w:spacing w:line="360" w:lineRule="auto"/>
        <w:ind w:firstLine="480" w:firstLineChars="200"/>
        <w:rPr>
          <w:rFonts w:hint="eastAsia"/>
        </w:rPr>
      </w:pPr>
      <w:r>
        <w:rPr>
          <w:rFonts w:hint="eastAsia" w:ascii="宋体" w:hAnsi="宋体" w:cs="仿宋_GB2312"/>
          <w:sz w:val="24"/>
          <w:szCs w:val="28"/>
        </w:rPr>
        <w:t>（3）支付条件：每期支付时，供应商按照采购人要求开具合法合规的商业发票，采购人收到上述支付申请后15日内将款项支付给供应商。</w:t>
      </w:r>
    </w:p>
    <w:p w14:paraId="17355C2D">
      <w:pPr>
        <w:numPr>
          <w:ilvl w:val="0"/>
          <w:numId w:val="0"/>
        </w:numPr>
        <w:rPr>
          <w:rFonts w:hint="eastAsia"/>
        </w:rPr>
      </w:pPr>
    </w:p>
    <w:p w14:paraId="0DB44F68">
      <w:pPr>
        <w:pStyle w:val="4"/>
        <w:keepNext w:val="0"/>
        <w:keepLines w:val="0"/>
        <w:spacing w:before="0" w:after="0" w:line="360" w:lineRule="auto"/>
        <w:rPr>
          <w:rFonts w:hint="eastAsia" w:ascii="宋体" w:hAnsi="宋体" w:eastAsia="宋体" w:cs="宋体"/>
          <w:b w:val="0"/>
          <w:sz w:val="28"/>
          <w:szCs w:val="28"/>
        </w:rPr>
      </w:pPr>
      <w:bookmarkStart w:id="582" w:name="_Toc910260454_WPSOffice_Level2"/>
      <w:bookmarkStart w:id="583" w:name="_Hlk77069580"/>
      <w:r>
        <w:rPr>
          <w:rFonts w:hint="eastAsia" w:ascii="宋体" w:hAnsi="宋体" w:eastAsia="宋体" w:cs="宋体"/>
          <w:sz w:val="28"/>
          <w:szCs w:val="28"/>
        </w:rPr>
        <w:t>★</w:t>
      </w:r>
      <w:bookmarkEnd w:id="582"/>
      <w:r>
        <w:rPr>
          <w:rFonts w:hint="eastAsia" w:ascii="宋体" w:hAnsi="宋体" w:eastAsia="宋体" w:cs="宋体"/>
          <w:sz w:val="28"/>
          <w:szCs w:val="28"/>
        </w:rPr>
        <w:t>（四）售后服务</w:t>
      </w:r>
    </w:p>
    <w:bookmarkEnd w:id="583"/>
    <w:p w14:paraId="0762BA4E">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color w:val="000000" w:themeColor="text1"/>
          <w:kern w:val="0"/>
          <w:sz w:val="24"/>
          <w14:textFill>
            <w14:solidFill>
              <w14:schemeClr w14:val="tx1"/>
            </w14:solidFill>
          </w14:textFill>
        </w:rPr>
        <w:t>1、</w:t>
      </w:r>
      <w:r>
        <w:rPr>
          <w:rFonts w:hint="eastAsia" w:ascii="宋体" w:hAnsi="宋体" w:eastAsia="宋体" w:cs="宋体"/>
          <w:b/>
          <w:bCs/>
          <w:sz w:val="24"/>
          <w:szCs w:val="28"/>
        </w:rPr>
        <w:t>缺陷责任期（质量保修期）</w:t>
      </w:r>
    </w:p>
    <w:p w14:paraId="6BFF0D49">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本工程缺陷责任期（质量保修期）：自合同工程完工验收合格之日起计算，时间为12个月。</w:t>
      </w:r>
    </w:p>
    <w:p w14:paraId="5FDD5C5D">
      <w:pPr>
        <w:autoSpaceDE w:val="0"/>
        <w:autoSpaceDN w:val="0"/>
        <w:spacing w:line="360" w:lineRule="auto"/>
        <w:ind w:firstLine="482" w:firstLineChars="200"/>
        <w:rPr>
          <w:rFonts w:hint="eastAsia"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2、保修责任</w:t>
      </w:r>
    </w:p>
    <w:p w14:paraId="11D60EAE">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质量保修范围：包括合同工程量清单包含的，以及合同履行过程中变更洽商确认的全部工程项目。</w:t>
      </w:r>
    </w:p>
    <w:p w14:paraId="0BB5BF7A">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质量保修内容：（1）维修内容包括但不限于质量保修期内发现的合同承包范围内的工程质量缺陷和设备运行故障；（2）对质量缺陷和故障的排除须满足相关规程规范的验收标准和使用功能需求。</w:t>
      </w:r>
    </w:p>
    <w:p w14:paraId="090F21C9">
      <w:pPr>
        <w:autoSpaceDE w:val="0"/>
        <w:autoSpaceDN w:val="0"/>
        <w:spacing w:line="360" w:lineRule="auto"/>
        <w:ind w:firstLine="480" w:firstLineChars="200"/>
        <w:rPr>
          <w:rFonts w:hint="eastAsia" w:ascii="宋体" w:hAnsi="宋体" w:eastAsia="宋体" w:cs="宋体"/>
          <w:kern w:val="0"/>
          <w:sz w:val="24"/>
        </w:rPr>
      </w:pPr>
      <w:r>
        <w:rPr>
          <w:rFonts w:hint="eastAsia" w:ascii="宋体" w:hAnsi="宋体" w:eastAsia="宋体" w:cs="宋体"/>
          <w:sz w:val="24"/>
          <w:szCs w:val="28"/>
        </w:rPr>
        <w:t>质量保修责任：（1）属于保修范围、内容的项目，供应商应当在接到保修通知之日起7天内派人保修。供应商不在约定期限内派人保修的，采购人可以委托他人修理，发生的一切费用由供应商承担。（2）发生紧急事故需抢修的，供应商在接到事故通知后，应当立即到达事故现场抢修。（3）对于涉及结构安全的质量问题，应当按照《建设工程质量管理条例》的规定，立即向当地水行政主管部门和有关部门报告，采取安全防范措施，并由原设计人或者具有相应资质等级的设计人提出保修方案，供应商实施保修。</w:t>
      </w:r>
    </w:p>
    <w:p w14:paraId="08A55E70">
      <w:pPr>
        <w:pStyle w:val="4"/>
        <w:keepNext w:val="0"/>
        <w:keepLines w:val="0"/>
        <w:spacing w:before="0" w:after="0" w:line="360" w:lineRule="auto"/>
        <w:rPr>
          <w:rFonts w:hint="eastAsia" w:ascii="宋体" w:hAnsi="宋体" w:eastAsia="宋体" w:cs="宋体"/>
          <w:sz w:val="28"/>
          <w:szCs w:val="28"/>
        </w:rPr>
      </w:pPr>
      <w:bookmarkStart w:id="584" w:name="_Toc98338386"/>
      <w:bookmarkStart w:id="585" w:name="_Toc98432101"/>
      <w:bookmarkStart w:id="586" w:name="_Toc122704542"/>
      <w:bookmarkStart w:id="587" w:name="_Toc123911660"/>
      <w:bookmarkStart w:id="588" w:name="_Toc109049775"/>
      <w:r>
        <w:rPr>
          <w:rFonts w:hint="eastAsia" w:ascii="宋体" w:hAnsi="宋体" w:eastAsia="宋体" w:cs="宋体"/>
          <w:sz w:val="28"/>
          <w:szCs w:val="28"/>
        </w:rPr>
        <w:t>★（五）保险</w:t>
      </w:r>
      <w:bookmarkEnd w:id="584"/>
      <w:bookmarkEnd w:id="585"/>
      <w:bookmarkEnd w:id="586"/>
      <w:bookmarkEnd w:id="587"/>
      <w:bookmarkEnd w:id="588"/>
    </w:p>
    <w:p w14:paraId="21F5D512">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供应商应承诺投保以下保险：</w:t>
      </w:r>
    </w:p>
    <w:p w14:paraId="6BF34636">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1、工程保险</w:t>
      </w:r>
    </w:p>
    <w:p w14:paraId="0FBA22C5">
      <w:pPr>
        <w:widowControl/>
        <w:numPr>
          <w:ilvl w:val="255"/>
          <w:numId w:val="0"/>
        </w:numPr>
        <w:snapToGrid w:val="0"/>
        <w:spacing w:line="360" w:lineRule="auto"/>
        <w:ind w:firstLine="480" w:firstLineChars="200"/>
        <w:rPr>
          <w:rFonts w:hint="eastAsia" w:ascii="宋体" w:hAnsi="宋体" w:eastAsia="宋体" w:cs="宋体"/>
          <w:sz w:val="24"/>
          <w:szCs w:val="28"/>
        </w:rPr>
      </w:pPr>
      <w:bookmarkStart w:id="589" w:name="_Hlk79484901"/>
      <w:r>
        <w:rPr>
          <w:rFonts w:hint="eastAsia" w:ascii="宋体" w:hAnsi="宋体" w:eastAsia="宋体" w:cs="宋体"/>
          <w:sz w:val="24"/>
          <w:szCs w:val="28"/>
        </w:rPr>
        <w:t>供应商应以采购人和供应商的共同名义向双方同意的保险人投保建筑工程一切险或安装工程一切险</w:t>
      </w:r>
      <w:bookmarkEnd w:id="589"/>
      <w:r>
        <w:rPr>
          <w:rFonts w:hint="eastAsia" w:ascii="宋体" w:hAnsi="宋体" w:eastAsia="宋体" w:cs="宋体"/>
          <w:sz w:val="24"/>
          <w:szCs w:val="28"/>
        </w:rPr>
        <w:t>。</w:t>
      </w:r>
    </w:p>
    <w:p w14:paraId="34AAF3B6">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（1）投保内容：合同工程项目在建造过程中因自然灾害或意外事故而引起的一切损失。</w:t>
      </w:r>
    </w:p>
    <w:p w14:paraId="72BA0337">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（2）保险金额：应不低于：</w:t>
      </w:r>
    </w:p>
    <w:p w14:paraId="6BB44882">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1）建筑工程——保险工程建筑完成时的总价值，包括原材料费用、设备费用、建造费、安装费、运输和保险费、关税、其他税项和费用，以及由工程所有人提供的原材料和设备的费用；</w:t>
      </w:r>
    </w:p>
    <w:p w14:paraId="3A7C2CAC">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2）施工用机器、装置和机械设备——重置同型号、同负载的新机器、装置和机械设备所需的费用；</w:t>
      </w:r>
    </w:p>
    <w:p w14:paraId="6CA514C1">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3）其他保险项目——由被保险人与保险人商定的金额。</w:t>
      </w:r>
    </w:p>
    <w:p w14:paraId="7490A5BC">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（3）保险费率：按国家现行规定和保险合同约定费率。</w:t>
      </w:r>
    </w:p>
    <w:p w14:paraId="4D6F8208">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（4）保险期限：自工程开工至完工验收合格，具体按照保险人出具保单中约定为准。</w:t>
      </w:r>
    </w:p>
    <w:p w14:paraId="2EFD37F8">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2、工伤事故保险</w:t>
      </w:r>
    </w:p>
    <w:p w14:paraId="293F2F29">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供应商应依照有关法律规定参加工伤保险，为其履行合同所雇佣的全部人员，缴纳工伤保险费。</w:t>
      </w:r>
    </w:p>
    <w:p w14:paraId="3A6353BB">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3、人身意外伤害险</w:t>
      </w:r>
    </w:p>
    <w:p w14:paraId="686A54C3">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供应商应在整个施工期间为其现场机构雇用的全部人员，投保人身意外伤害险，缴纳保险费。</w:t>
      </w:r>
    </w:p>
    <w:p w14:paraId="5D489BF6">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4、第三者责任险</w:t>
      </w:r>
    </w:p>
    <w:p w14:paraId="27C93EEE">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在工程质量保修责任终止证书颁发前，供应商应以供应商和采购人的共同名义，投保第三者责任险。</w:t>
      </w:r>
    </w:p>
    <w:p w14:paraId="548442C3">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（1）保险费率：</w:t>
      </w:r>
      <w:bookmarkStart w:id="590" w:name="_Hlk79485033"/>
      <w:r>
        <w:rPr>
          <w:rFonts w:hint="eastAsia" w:ascii="宋体" w:hAnsi="宋体" w:eastAsia="宋体" w:cs="宋体"/>
          <w:sz w:val="24"/>
          <w:szCs w:val="28"/>
        </w:rPr>
        <w:t>按国家现行规定和保险合同约定费率</w:t>
      </w:r>
      <w:bookmarkEnd w:id="590"/>
      <w:r>
        <w:rPr>
          <w:rFonts w:hint="eastAsia" w:ascii="宋体" w:hAnsi="宋体" w:eastAsia="宋体" w:cs="宋体"/>
          <w:sz w:val="24"/>
          <w:szCs w:val="28"/>
        </w:rPr>
        <w:t>。</w:t>
      </w:r>
    </w:p>
    <w:p w14:paraId="6C3EF450">
      <w:pPr>
        <w:widowControl/>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（2）保险金额：</w:t>
      </w:r>
      <w:bookmarkStart w:id="591" w:name="_Hlk79485050"/>
      <w:r>
        <w:rPr>
          <w:rFonts w:hint="eastAsia" w:ascii="宋体" w:hAnsi="宋体" w:eastAsia="宋体" w:cs="宋体"/>
          <w:sz w:val="24"/>
          <w:szCs w:val="28"/>
        </w:rPr>
        <w:t>应不低于签约合同总价</w:t>
      </w:r>
      <w:bookmarkEnd w:id="591"/>
      <w:r>
        <w:rPr>
          <w:rFonts w:hint="eastAsia" w:ascii="宋体" w:hAnsi="宋体" w:eastAsia="宋体" w:cs="宋体"/>
          <w:sz w:val="24"/>
          <w:szCs w:val="28"/>
        </w:rPr>
        <w:t>。</w:t>
      </w:r>
    </w:p>
    <w:p w14:paraId="0177777F">
      <w:pPr>
        <w:widowControl/>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5、安全生产责任保险</w:t>
      </w:r>
    </w:p>
    <w:p w14:paraId="3D767066">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承包人除应为其施工设备、进场的材料和工程设备等办理保险外，还应按《中华人民共和国安全生产法》相关要求投保“安全生产责任保险”（简称：安责险）。</w:t>
      </w:r>
    </w:p>
    <w:p w14:paraId="7F60BC0A">
      <w:pPr>
        <w:pStyle w:val="4"/>
        <w:keepNext w:val="0"/>
        <w:keepLines w:val="0"/>
        <w:spacing w:before="0" w:after="0" w:line="360" w:lineRule="auto"/>
        <w:rPr>
          <w:rFonts w:hint="eastAsia" w:ascii="宋体" w:hAnsi="宋体" w:eastAsia="宋体" w:cs="宋体"/>
          <w:sz w:val="28"/>
          <w:szCs w:val="28"/>
        </w:rPr>
      </w:pPr>
      <w:bookmarkStart w:id="592" w:name="_Toc123911661"/>
      <w:bookmarkStart w:id="593" w:name="_Toc98432102"/>
      <w:bookmarkStart w:id="594" w:name="_Toc122704543"/>
      <w:bookmarkStart w:id="595" w:name="_Toc109049776"/>
      <w:bookmarkStart w:id="596" w:name="_Toc98338387"/>
      <w:r>
        <w:rPr>
          <w:rFonts w:hint="eastAsia" w:ascii="宋体" w:hAnsi="宋体" w:eastAsia="宋体" w:cs="宋体"/>
          <w:sz w:val="28"/>
          <w:szCs w:val="28"/>
        </w:rPr>
        <w:t>★（六）保障农民工合法权益</w:t>
      </w:r>
      <w:bookmarkEnd w:id="592"/>
      <w:bookmarkEnd w:id="593"/>
      <w:bookmarkEnd w:id="594"/>
      <w:bookmarkEnd w:id="595"/>
      <w:bookmarkEnd w:id="596"/>
    </w:p>
    <w:p w14:paraId="1D4B51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供应商应认真贯彻落实国家、行业和北京市</w:t>
      </w:r>
      <w:bookmarkStart w:id="597" w:name="_Hlk79480528"/>
      <w:r>
        <w:rPr>
          <w:rFonts w:hint="eastAsia" w:ascii="宋体" w:hAnsi="宋体" w:eastAsia="宋体" w:cs="宋体"/>
          <w:sz w:val="24"/>
          <w:szCs w:val="24"/>
        </w:rPr>
        <w:t>《关于印发北京市工程建设领域保障农民工工资支付工作管理办法的通知》（京人社监发[2021]12号）</w:t>
      </w:r>
      <w:bookmarkEnd w:id="597"/>
      <w:r>
        <w:rPr>
          <w:rFonts w:hint="eastAsia" w:ascii="宋体" w:hAnsi="宋体" w:eastAsia="宋体" w:cs="宋体"/>
          <w:sz w:val="24"/>
          <w:szCs w:val="24"/>
        </w:rPr>
        <w:t>有关规定，严格保障农民工合法权益，不拖欠农民工工资。</w:t>
      </w:r>
    </w:p>
    <w:p w14:paraId="20858870">
      <w:pPr>
        <w:rPr>
          <w:rFonts w:hint="eastAsia" w:ascii="宋体" w:hAnsi="宋体" w:eastAsia="宋体" w:cs="宋体"/>
          <w:sz w:val="24"/>
          <w:szCs w:val="24"/>
        </w:rPr>
      </w:pPr>
      <w:r>
        <w:rPr>
          <w:rFonts w:hint="eastAsia" w:ascii="宋体" w:hAnsi="宋体" w:eastAsia="宋体" w:cs="宋体"/>
          <w:sz w:val="24"/>
          <w:szCs w:val="24"/>
        </w:rPr>
        <w:br w:type="page"/>
      </w:r>
    </w:p>
    <w:p w14:paraId="006CF3A5">
      <w:pPr>
        <w:numPr>
          <w:ilvl w:val="0"/>
          <w:numId w:val="7"/>
        </w:numPr>
        <w:spacing w:line="360" w:lineRule="auto"/>
        <w:jc w:val="center"/>
        <w:outlineLvl w:val="0"/>
        <w:rPr>
          <w:rFonts w:hint="eastAsia" w:ascii="宋体" w:hAnsi="宋体" w:eastAsia="宋体" w:cs="宋体"/>
          <w:b/>
          <w:sz w:val="36"/>
          <w:szCs w:val="36"/>
          <w:lang w:val="en-US" w:eastAsia="zh-CN"/>
        </w:rPr>
      </w:pPr>
      <w:r>
        <w:rPr>
          <w:rFonts w:hint="eastAsia" w:ascii="宋体" w:hAnsi="宋体" w:cs="宋体"/>
          <w:b/>
          <w:sz w:val="36"/>
          <w:szCs w:val="36"/>
          <w:lang w:val="en-US" w:eastAsia="zh-CN"/>
        </w:rPr>
        <w:t xml:space="preserve">   </w:t>
      </w:r>
      <w:bookmarkStart w:id="598" w:name="_Toc20881"/>
      <w:r>
        <w:rPr>
          <w:rFonts w:hint="eastAsia" w:ascii="宋体" w:hAnsi="宋体" w:eastAsia="宋体" w:cs="宋体"/>
          <w:b/>
          <w:sz w:val="36"/>
          <w:szCs w:val="36"/>
          <w:lang w:val="en-US" w:eastAsia="zh-CN"/>
        </w:rPr>
        <w:t>工程量清单</w:t>
      </w:r>
      <w:r>
        <w:rPr>
          <w:rFonts w:hint="eastAsia" w:ascii="宋体" w:hAnsi="宋体" w:cs="宋体"/>
          <w:b/>
          <w:sz w:val="36"/>
          <w:szCs w:val="36"/>
          <w:lang w:val="en-US" w:eastAsia="zh-CN"/>
        </w:rPr>
        <w:t>及图纸另附</w:t>
      </w:r>
      <w:bookmarkEnd w:id="598"/>
    </w:p>
    <w:p w14:paraId="3D6C5F51">
      <w:pPr>
        <w:pStyle w:val="2"/>
        <w:numPr>
          <w:ilvl w:val="0"/>
          <w:numId w:val="0"/>
        </w:numPr>
        <w:rPr>
          <w:rFonts w:hint="default"/>
          <w:lang w:val="en-US" w:eastAsia="zh-CN"/>
        </w:rPr>
      </w:pPr>
    </w:p>
    <w:p w14:paraId="58E25A0A">
      <w:pPr>
        <w:rPr>
          <w:rFonts w:hint="eastAsia" w:ascii="宋体" w:hAnsi="宋体" w:eastAsia="宋体" w:cs="宋体"/>
          <w:spacing w:val="15"/>
          <w:sz w:val="24"/>
        </w:rPr>
      </w:pPr>
      <w:r>
        <w:rPr>
          <w:rFonts w:hint="eastAsia" w:ascii="宋体" w:hAnsi="宋体" w:eastAsia="宋体" w:cs="宋体"/>
          <w:spacing w:val="15"/>
          <w:sz w:val="24"/>
        </w:rPr>
        <w:br w:type="page"/>
      </w:r>
    </w:p>
    <w:p w14:paraId="3BF442CC">
      <w:pPr>
        <w:pStyle w:val="2"/>
        <w:rPr>
          <w:rFonts w:hint="eastAsia"/>
        </w:rPr>
      </w:pPr>
    </w:p>
    <w:p w14:paraId="78FE54E8">
      <w:pPr>
        <w:spacing w:line="360" w:lineRule="auto"/>
        <w:jc w:val="center"/>
        <w:outlineLvl w:val="0"/>
        <w:rPr>
          <w:rFonts w:hint="eastAsia" w:ascii="宋体" w:hAnsi="宋体" w:eastAsia="宋体" w:cs="宋体"/>
          <w:b/>
          <w:sz w:val="36"/>
          <w:szCs w:val="36"/>
        </w:rPr>
      </w:pPr>
      <w:bookmarkStart w:id="599" w:name="_Toc651"/>
      <w:r>
        <w:rPr>
          <w:rFonts w:hint="eastAsia" w:ascii="宋体" w:hAnsi="宋体" w:eastAsia="宋体" w:cs="宋体"/>
          <w:b/>
          <w:sz w:val="36"/>
          <w:szCs w:val="36"/>
        </w:rPr>
        <w:t>第</w:t>
      </w:r>
      <w:r>
        <w:rPr>
          <w:rFonts w:hint="eastAsia" w:ascii="宋体" w:hAnsi="宋体" w:cs="宋体"/>
          <w:b/>
          <w:sz w:val="36"/>
          <w:szCs w:val="36"/>
          <w:lang w:val="en-US" w:eastAsia="zh-CN"/>
        </w:rPr>
        <w:t>六</w:t>
      </w:r>
      <w:r>
        <w:rPr>
          <w:rFonts w:hint="eastAsia" w:ascii="宋体" w:hAnsi="宋体" w:eastAsia="宋体" w:cs="宋体"/>
          <w:b/>
          <w:sz w:val="36"/>
          <w:szCs w:val="36"/>
        </w:rPr>
        <w:t>章   合同草案条款</w:t>
      </w:r>
      <w:bookmarkEnd w:id="599"/>
    </w:p>
    <w:p w14:paraId="1AAC46F9">
      <w:pPr>
        <w:spacing w:before="78" w:line="360" w:lineRule="auto"/>
        <w:ind w:left="12"/>
        <w:rPr>
          <w:rFonts w:hint="eastAsia" w:ascii="宋体" w:hAnsi="宋体" w:eastAsia="宋体" w:cs="宋体"/>
          <w:sz w:val="24"/>
        </w:rPr>
      </w:pPr>
    </w:p>
    <w:p w14:paraId="5856CDC6">
      <w:pPr>
        <w:spacing w:line="360" w:lineRule="auto"/>
        <w:jc w:val="center"/>
        <w:rPr>
          <w:rFonts w:hint="eastAsia" w:ascii="宋体" w:hAnsi="宋体" w:eastAsia="宋体" w:cs="宋体"/>
          <w:b/>
          <w:bCs/>
          <w:color w:val="auto"/>
          <w:sz w:val="52"/>
          <w:szCs w:val="52"/>
          <w:highlight w:val="none"/>
        </w:rPr>
      </w:pPr>
      <w:r>
        <w:rPr>
          <w:rFonts w:hint="eastAsia" w:ascii="宋体" w:hAnsi="宋体" w:eastAsia="宋体" w:cs="宋体"/>
          <w:sz w:val="24"/>
        </w:rPr>
        <w:br w:type="page"/>
      </w:r>
      <w:r>
        <w:rPr>
          <w:rFonts w:hint="eastAsia" w:ascii="宋体" w:hAnsi="宋体" w:eastAsia="宋体" w:cs="宋体"/>
          <w:b/>
          <w:bCs/>
          <w:color w:val="auto"/>
          <w:sz w:val="52"/>
          <w:szCs w:val="52"/>
          <w:highlight w:val="none"/>
        </w:rPr>
        <w:t>京密引水渠北台上段强降雨水毁修复工程</w:t>
      </w:r>
    </w:p>
    <w:p w14:paraId="33EE6E49">
      <w:pPr>
        <w:adjustRightInd w:val="0"/>
        <w:ind w:firstLine="1084" w:firstLineChars="300"/>
        <w:textAlignment w:val="baseline"/>
        <w:rPr>
          <w:rFonts w:hint="eastAsia" w:ascii="宋体" w:hAnsi="宋体" w:eastAsia="宋体" w:cs="宋体"/>
          <w:b/>
          <w:bCs/>
          <w:color w:val="auto"/>
          <w:sz w:val="36"/>
          <w:highlight w:val="none"/>
        </w:rPr>
      </w:pPr>
    </w:p>
    <w:p w14:paraId="4BBB228B">
      <w:pPr>
        <w:pStyle w:val="2"/>
        <w:rPr>
          <w:rFonts w:hint="eastAsia" w:ascii="宋体" w:hAnsi="宋体" w:eastAsia="宋体" w:cs="宋体"/>
          <w:color w:val="auto"/>
          <w:highlight w:val="none"/>
        </w:rPr>
      </w:pPr>
    </w:p>
    <w:p w14:paraId="73F79830">
      <w:pPr>
        <w:pStyle w:val="2"/>
        <w:rPr>
          <w:rFonts w:hint="eastAsia" w:ascii="宋体" w:hAnsi="宋体" w:eastAsia="宋体" w:cs="宋体"/>
          <w:color w:val="auto"/>
          <w:highlight w:val="none"/>
        </w:rPr>
      </w:pPr>
    </w:p>
    <w:p w14:paraId="4FD064AB">
      <w:pPr>
        <w:pStyle w:val="2"/>
        <w:rPr>
          <w:rFonts w:hint="eastAsia" w:ascii="宋体" w:hAnsi="宋体" w:eastAsia="宋体" w:cs="宋体"/>
          <w:color w:val="auto"/>
          <w:highlight w:val="none"/>
        </w:rPr>
      </w:pPr>
    </w:p>
    <w:p w14:paraId="3D01FF39">
      <w:pPr>
        <w:pStyle w:val="2"/>
        <w:rPr>
          <w:rFonts w:hint="eastAsia" w:ascii="宋体" w:hAnsi="宋体" w:eastAsia="宋体" w:cs="宋体"/>
          <w:color w:val="auto"/>
          <w:highlight w:val="none"/>
        </w:rPr>
      </w:pPr>
    </w:p>
    <w:p w14:paraId="451170CF">
      <w:pPr>
        <w:pStyle w:val="2"/>
        <w:rPr>
          <w:rFonts w:hint="eastAsia" w:ascii="宋体" w:hAnsi="宋体" w:eastAsia="宋体" w:cs="宋体"/>
          <w:color w:val="auto"/>
          <w:highlight w:val="none"/>
        </w:rPr>
      </w:pPr>
    </w:p>
    <w:p w14:paraId="0DC69856">
      <w:pPr>
        <w:pStyle w:val="2"/>
        <w:rPr>
          <w:rFonts w:hint="eastAsia" w:ascii="宋体" w:hAnsi="宋体" w:eastAsia="宋体" w:cs="宋体"/>
          <w:color w:val="auto"/>
          <w:highlight w:val="none"/>
        </w:rPr>
      </w:pPr>
    </w:p>
    <w:p w14:paraId="43E6567F">
      <w:pPr>
        <w:pStyle w:val="2"/>
        <w:rPr>
          <w:rFonts w:hint="eastAsia" w:ascii="宋体" w:hAnsi="宋体" w:eastAsia="宋体" w:cs="宋体"/>
          <w:color w:val="auto"/>
          <w:highlight w:val="none"/>
        </w:rPr>
      </w:pPr>
    </w:p>
    <w:p w14:paraId="3C1DD568">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施工合同</w:t>
      </w:r>
    </w:p>
    <w:p w14:paraId="18EF1F5B">
      <w:pPr>
        <w:adjustRightInd w:val="0"/>
        <w:ind w:firstLine="1084" w:firstLineChars="300"/>
        <w:textAlignment w:val="baseline"/>
        <w:rPr>
          <w:rFonts w:hint="eastAsia" w:ascii="宋体" w:hAnsi="宋体" w:eastAsia="宋体" w:cs="宋体"/>
          <w:b/>
          <w:bCs/>
          <w:color w:val="auto"/>
          <w:sz w:val="36"/>
          <w:highlight w:val="none"/>
        </w:rPr>
      </w:pPr>
    </w:p>
    <w:p w14:paraId="2F8B76D7">
      <w:pPr>
        <w:adjustRightInd w:val="0"/>
        <w:textAlignment w:val="baseline"/>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p>
    <w:p w14:paraId="2ADD9FA3">
      <w:pPr>
        <w:adjustRightInd w:val="0"/>
        <w:ind w:firstLine="1084" w:firstLineChars="300"/>
        <w:textAlignment w:val="baseline"/>
        <w:rPr>
          <w:rFonts w:hint="eastAsia" w:ascii="宋体" w:hAnsi="宋体" w:eastAsia="宋体" w:cs="宋体"/>
          <w:b/>
          <w:bCs/>
          <w:color w:val="auto"/>
          <w:sz w:val="36"/>
          <w:highlight w:val="none"/>
        </w:rPr>
      </w:pPr>
    </w:p>
    <w:p w14:paraId="2945F772">
      <w:pPr>
        <w:adjustRightInd w:val="0"/>
        <w:ind w:firstLine="1084" w:firstLineChars="300"/>
        <w:textAlignment w:val="baseline"/>
        <w:rPr>
          <w:rFonts w:hint="eastAsia" w:ascii="宋体" w:hAnsi="宋体" w:eastAsia="宋体" w:cs="宋体"/>
          <w:b/>
          <w:bCs/>
          <w:color w:val="auto"/>
          <w:sz w:val="36"/>
          <w:highlight w:val="none"/>
        </w:rPr>
      </w:pPr>
    </w:p>
    <w:p w14:paraId="644846EE">
      <w:pPr>
        <w:adjustRightInd w:val="0"/>
        <w:ind w:firstLine="1084" w:firstLineChars="300"/>
        <w:textAlignment w:val="baseline"/>
        <w:rPr>
          <w:rFonts w:hint="eastAsia" w:ascii="宋体" w:hAnsi="宋体" w:eastAsia="宋体" w:cs="宋体"/>
          <w:b/>
          <w:bCs/>
          <w:color w:val="auto"/>
          <w:sz w:val="36"/>
          <w:highlight w:val="none"/>
        </w:rPr>
      </w:pPr>
    </w:p>
    <w:p w14:paraId="701E98A9">
      <w:pPr>
        <w:adjustRightInd w:val="0"/>
        <w:ind w:firstLine="1084" w:firstLineChars="300"/>
        <w:textAlignment w:val="baseline"/>
        <w:rPr>
          <w:rFonts w:hint="eastAsia" w:ascii="宋体" w:hAnsi="宋体" w:eastAsia="宋体" w:cs="宋体"/>
          <w:b/>
          <w:bCs/>
          <w:color w:val="auto"/>
          <w:sz w:val="36"/>
          <w:highlight w:val="none"/>
        </w:rPr>
      </w:pPr>
    </w:p>
    <w:p w14:paraId="36016A59">
      <w:pPr>
        <w:adjustRightInd w:val="0"/>
        <w:ind w:firstLine="1084" w:firstLineChars="300"/>
        <w:textAlignment w:val="baseline"/>
        <w:rPr>
          <w:rFonts w:hint="eastAsia" w:ascii="宋体" w:hAnsi="宋体" w:eastAsia="宋体" w:cs="宋体"/>
          <w:b/>
          <w:bCs/>
          <w:color w:val="auto"/>
          <w:sz w:val="36"/>
          <w:highlight w:val="none"/>
        </w:rPr>
      </w:pPr>
    </w:p>
    <w:p w14:paraId="2F790A8E">
      <w:pPr>
        <w:pStyle w:val="2"/>
        <w:rPr>
          <w:rFonts w:hint="eastAsia" w:ascii="宋体" w:hAnsi="宋体" w:eastAsia="宋体" w:cs="宋体"/>
          <w:color w:val="auto"/>
          <w:highlight w:val="none"/>
        </w:rPr>
      </w:pPr>
    </w:p>
    <w:p w14:paraId="798CCE87">
      <w:pPr>
        <w:pStyle w:val="2"/>
        <w:rPr>
          <w:rFonts w:hint="eastAsia" w:ascii="宋体" w:hAnsi="宋体" w:eastAsia="宋体" w:cs="宋体"/>
          <w:color w:val="auto"/>
          <w:highlight w:val="none"/>
        </w:rPr>
      </w:pPr>
    </w:p>
    <w:p w14:paraId="7CC021B1">
      <w:pPr>
        <w:pStyle w:val="2"/>
        <w:rPr>
          <w:rFonts w:hint="eastAsia" w:ascii="宋体" w:hAnsi="宋体" w:eastAsia="宋体" w:cs="宋体"/>
          <w:color w:val="auto"/>
          <w:highlight w:val="none"/>
        </w:rPr>
      </w:pPr>
    </w:p>
    <w:p w14:paraId="7AA5F5E5">
      <w:pPr>
        <w:pStyle w:val="2"/>
        <w:rPr>
          <w:rFonts w:hint="eastAsia" w:ascii="宋体" w:hAnsi="宋体" w:eastAsia="宋体" w:cs="宋体"/>
          <w:color w:val="auto"/>
          <w:highlight w:val="none"/>
        </w:rPr>
      </w:pPr>
    </w:p>
    <w:p w14:paraId="5EA0D228">
      <w:pPr>
        <w:pStyle w:val="2"/>
        <w:rPr>
          <w:rFonts w:hint="eastAsia" w:ascii="宋体" w:hAnsi="宋体" w:eastAsia="宋体" w:cs="宋体"/>
          <w:color w:val="auto"/>
          <w:highlight w:val="none"/>
        </w:rPr>
      </w:pPr>
    </w:p>
    <w:p w14:paraId="651F26D5">
      <w:pPr>
        <w:pStyle w:val="2"/>
        <w:rPr>
          <w:rFonts w:hint="eastAsia" w:ascii="宋体" w:hAnsi="宋体" w:eastAsia="宋体" w:cs="宋体"/>
          <w:color w:val="auto"/>
          <w:highlight w:val="none"/>
        </w:rPr>
      </w:pPr>
    </w:p>
    <w:p w14:paraId="6095953A">
      <w:pPr>
        <w:pStyle w:val="2"/>
        <w:rPr>
          <w:rFonts w:hint="eastAsia" w:ascii="宋体" w:hAnsi="宋体" w:eastAsia="宋体" w:cs="宋体"/>
          <w:color w:val="auto"/>
          <w:highlight w:val="none"/>
        </w:rPr>
      </w:pPr>
    </w:p>
    <w:p w14:paraId="5338710D">
      <w:pPr>
        <w:spacing w:after="120" w:afterLines="50"/>
        <w:ind w:firstLine="56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发包人（甲方）：                       </w:t>
      </w:r>
    </w:p>
    <w:p w14:paraId="2BEADC25">
      <w:pPr>
        <w:pStyle w:val="2"/>
        <w:rPr>
          <w:rFonts w:hint="eastAsia" w:ascii="宋体" w:hAnsi="宋体" w:eastAsia="宋体" w:cs="宋体"/>
          <w:color w:val="auto"/>
          <w:highlight w:val="none"/>
        </w:rPr>
      </w:pPr>
    </w:p>
    <w:p w14:paraId="5FABA5E1">
      <w:pPr>
        <w:spacing w:after="120" w:afterLines="50"/>
        <w:ind w:firstLine="56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承包人（乙方）：                       </w:t>
      </w:r>
    </w:p>
    <w:p w14:paraId="4D721334">
      <w:pPr>
        <w:pStyle w:val="2"/>
        <w:rPr>
          <w:rFonts w:hint="eastAsia" w:ascii="宋体" w:hAnsi="宋体" w:eastAsia="宋体" w:cs="宋体"/>
          <w:color w:val="auto"/>
          <w:highlight w:val="none"/>
        </w:rPr>
      </w:pPr>
    </w:p>
    <w:p w14:paraId="7D8B7F06">
      <w:pPr>
        <w:pStyle w:val="2"/>
        <w:rPr>
          <w:rFonts w:hint="eastAsia" w:ascii="宋体" w:hAnsi="宋体" w:eastAsia="宋体" w:cs="宋体"/>
          <w:color w:val="auto"/>
          <w:highlight w:val="none"/>
        </w:rPr>
      </w:pPr>
    </w:p>
    <w:p w14:paraId="05B99AEA">
      <w:pPr>
        <w:adjustRightInd w:val="0"/>
        <w:ind w:firstLine="1084" w:firstLineChars="300"/>
        <w:textAlignment w:val="baseline"/>
        <w:rPr>
          <w:rFonts w:hint="eastAsia" w:ascii="宋体" w:hAnsi="宋体" w:eastAsia="宋体" w:cs="宋体"/>
          <w:b/>
          <w:bCs/>
          <w:color w:val="auto"/>
          <w:sz w:val="36"/>
          <w:highlight w:val="none"/>
        </w:rPr>
      </w:pPr>
    </w:p>
    <w:p w14:paraId="5BFF6E47">
      <w:pPr>
        <w:adjustRightInd w:val="0"/>
        <w:snapToGrid w:val="0"/>
        <w:spacing w:line="360" w:lineRule="auto"/>
        <w:ind w:firstLine="2249" w:firstLineChars="700"/>
        <w:jc w:val="left"/>
        <w:rPr>
          <w:rFonts w:hint="eastAsia" w:ascii="宋体" w:hAnsi="宋体" w:eastAsia="宋体" w:cs="宋体"/>
          <w:b/>
          <w:color w:val="auto"/>
          <w:sz w:val="32"/>
          <w:szCs w:val="32"/>
          <w:highlight w:val="none"/>
        </w:rPr>
      </w:pPr>
    </w:p>
    <w:p w14:paraId="0B538E13">
      <w:pPr>
        <w:autoSpaceDE w:val="0"/>
        <w:autoSpaceDN w:val="0"/>
        <w:adjustRightInd w:val="0"/>
        <w:snapToGrid w:val="0"/>
        <w:spacing w:after="120" w:afterLines="50"/>
        <w:jc w:val="center"/>
        <w:rPr>
          <w:rFonts w:hint="eastAsia" w:ascii="宋体" w:hAnsi="宋体" w:eastAsia="宋体" w:cs="宋体"/>
          <w:color w:val="auto"/>
          <w:kern w:val="0"/>
          <w:sz w:val="36"/>
          <w:szCs w:val="36"/>
          <w:highlight w:val="none"/>
        </w:rPr>
      </w:pPr>
      <w:bookmarkStart w:id="600" w:name="_Hlk30183816"/>
      <w:r>
        <w:rPr>
          <w:rFonts w:hint="eastAsia" w:ascii="宋体" w:hAnsi="宋体" w:eastAsia="宋体" w:cs="宋体"/>
          <w:b/>
          <w:color w:val="auto"/>
          <w:kern w:val="0"/>
          <w:sz w:val="36"/>
          <w:szCs w:val="36"/>
          <w:highlight w:val="none"/>
        </w:rPr>
        <w:t xml:space="preserve">   年   月</w:t>
      </w:r>
      <w:bookmarkEnd w:id="600"/>
      <w:r>
        <w:rPr>
          <w:rFonts w:hint="eastAsia" w:ascii="宋体" w:hAnsi="宋体" w:eastAsia="宋体" w:cs="宋体"/>
          <w:b/>
          <w:color w:val="auto"/>
          <w:kern w:val="0"/>
          <w:sz w:val="36"/>
          <w:szCs w:val="36"/>
          <w:highlight w:val="none"/>
        </w:rPr>
        <w:t xml:space="preserve">   日</w:t>
      </w:r>
    </w:p>
    <w:p w14:paraId="7A39A8EA">
      <w:pPr>
        <w:spacing w:line="312" w:lineRule="auto"/>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第1节  通用合同条款</w:t>
      </w:r>
    </w:p>
    <w:p w14:paraId="69E4345E">
      <w:pPr>
        <w:spacing w:line="360" w:lineRule="auto"/>
        <w:jc w:val="left"/>
        <w:outlineLvl w:val="2"/>
        <w:rPr>
          <w:rFonts w:hint="eastAsia" w:ascii="宋体" w:hAnsi="宋体" w:eastAsia="宋体" w:cs="宋体"/>
          <w:b/>
          <w:bCs/>
          <w:color w:val="auto"/>
          <w:sz w:val="28"/>
          <w:szCs w:val="28"/>
          <w:highlight w:val="none"/>
        </w:rPr>
      </w:pPr>
      <w:bookmarkStart w:id="601" w:name="_Toc1696229026"/>
      <w:bookmarkStart w:id="602" w:name="_Toc96899323"/>
      <w:bookmarkStart w:id="603" w:name="_Toc12335"/>
      <w:bookmarkStart w:id="604" w:name="_Toc20148311"/>
      <w:bookmarkStart w:id="605" w:name="_Toc229305362"/>
      <w:bookmarkStart w:id="606" w:name="_Toc222029502"/>
      <w:bookmarkStart w:id="607" w:name="_Toc480795977"/>
      <w:bookmarkStart w:id="608" w:name="_Toc491074001"/>
      <w:bookmarkStart w:id="609" w:name="_Toc222033853"/>
      <w:bookmarkStart w:id="610" w:name="_Toc222031004"/>
      <w:bookmarkStart w:id="611" w:name="_Toc257014398"/>
      <w:bookmarkStart w:id="612" w:name="_Toc222032671"/>
      <w:bookmarkStart w:id="613" w:name="_Toc256159898"/>
      <w:bookmarkStart w:id="614" w:name="_Toc221950662"/>
      <w:r>
        <w:rPr>
          <w:rFonts w:hint="eastAsia" w:ascii="宋体" w:hAnsi="宋体" w:eastAsia="宋体" w:cs="宋体"/>
          <w:b/>
          <w:bCs/>
          <w:color w:val="auto"/>
          <w:sz w:val="28"/>
          <w:szCs w:val="28"/>
          <w:highlight w:val="none"/>
        </w:rPr>
        <w:t>1.一般约定</w:t>
      </w:r>
      <w:bookmarkEnd w:id="601"/>
      <w:bookmarkEnd w:id="602"/>
      <w:bookmarkEnd w:id="603"/>
      <w:bookmarkEnd w:id="604"/>
    </w:p>
    <w:p w14:paraId="1ED4D82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1.1词语定义</w:t>
      </w:r>
    </w:p>
    <w:p w14:paraId="439175D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通用合同条款、专用合同条款中的下列词语应具有本款所赋予的含义。</w:t>
      </w:r>
    </w:p>
    <w:p w14:paraId="378D3C7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1.1.1合同</w:t>
      </w:r>
    </w:p>
    <w:p w14:paraId="4440007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1.1.1.1 合同文件（或称合同）：指合同协议书、中标通知书、投标函及投标函附录、专用合同条款、通用合同条款、技术标准和要求、图纸、已标价工程量清单，以及其他合同文件。</w:t>
      </w:r>
    </w:p>
    <w:p w14:paraId="7CA22CC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1.1.1.2 合同协议书：指第1.5款所指的合同协议书。</w:t>
      </w:r>
    </w:p>
    <w:p w14:paraId="7D1B642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1.1.1.3 中标通知书：指发包人通知承包人中标的函件。</w:t>
      </w:r>
    </w:p>
    <w:p w14:paraId="4121E5F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1.1.1.4 投标函：指构成合同文件组成部分的由承包人填写并签署的投标函。</w:t>
      </w:r>
    </w:p>
    <w:p w14:paraId="6F062FF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1.1.1.5 投标函附录：指附在投标函后构成合同文件的投标函附录。</w:t>
      </w:r>
    </w:p>
    <w:p w14:paraId="2E031C9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1.1.1.6 技术标准和要求：指构成合同文件组成部分的名为技术标准和要求（合同技术条款）的文件，包括合同双方当事人约定对其所作的修改或补充。</w:t>
      </w:r>
    </w:p>
    <w:p w14:paraId="75BEFDF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1.1.1.7 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D933B8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1.1.1.8 已标价工程量清单：指构成合同文件组成部分的由承包人按照规定的格式和要求填写并标明价格的工程量清单。</w:t>
      </w:r>
    </w:p>
    <w:p w14:paraId="47B9F2C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1.1.1.9 其他合同文件：指经合同双方当事人确认构成合同文件的其他文件。</w:t>
      </w:r>
    </w:p>
    <w:p w14:paraId="7DD5ED63">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1.1.2合同当事人和人员</w:t>
      </w:r>
    </w:p>
    <w:p w14:paraId="5AC60D4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1.1.2.1 合同当事人：指发包人和（或）承包人。</w:t>
      </w:r>
    </w:p>
    <w:p w14:paraId="1688CB6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1.1.2.2 发包人：指专用合同条款中指明并与承包人在合同协议书中签字的当事人。</w:t>
      </w:r>
    </w:p>
    <w:p w14:paraId="58519DD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1.1.2.3 承包人：指专用合同条款中指明并与发包人在合同协议书中签字的当事人。</w:t>
      </w:r>
    </w:p>
    <w:p w14:paraId="259A906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1.1.2.4 承包人项目经理：指承包人派驻施工场地的全权负责人。</w:t>
      </w:r>
    </w:p>
    <w:p w14:paraId="023795E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1.1.2.5 分包人：指专用合同条款中指明的，从承包人处分包合同中某一部分工程，并与其签订分包合同的分包人。</w:t>
      </w:r>
    </w:p>
    <w:p w14:paraId="4518756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1.1.2.6 监理人：指在专用合同条款中指明的，受发包人委托对合同履行实施管理的法人或其他组织。</w:t>
      </w:r>
    </w:p>
    <w:p w14:paraId="123A1BB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1.1.2.7 总监理工程师（总监）：指由监理人委派常驻施工场地对合同履行实施管理的全权负责人。</w:t>
      </w:r>
    </w:p>
    <w:p w14:paraId="4146C7C8">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1.1.3工程和设备</w:t>
      </w:r>
    </w:p>
    <w:p w14:paraId="19B953D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1.1.3.1 工程：指永久工程和（或）临时工程。</w:t>
      </w:r>
    </w:p>
    <w:p w14:paraId="4C47C1C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1.1.3.2 永久工程：指按合同约定建造并移交给发包人的工程，包括工程设备。</w:t>
      </w:r>
    </w:p>
    <w:p w14:paraId="183D085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1.1.3.3 临时工程：指为完成合同约定的永久工程所修建的各类临时性工程，不包括施工设备。</w:t>
      </w:r>
    </w:p>
    <w:p w14:paraId="775030F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1.1.3.4 单位工程：指专用合同条款中指明特定范围的永久工程。</w:t>
      </w:r>
    </w:p>
    <w:p w14:paraId="7B37568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1.1.3.5 工程设备：指构成或计划构成永久工程一部分的机电设备、金属结构设备、仪器装置及其他类似的设备和装置。</w:t>
      </w:r>
    </w:p>
    <w:p w14:paraId="5FF8202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1.1.3.6 施工设备：指为完成合同约定的各项工作所需的设备、器具和其他物品，不包括临时工程和材料。</w:t>
      </w:r>
    </w:p>
    <w:p w14:paraId="1202464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1.1.3.7 临时设施：指为完成合同约定的各项工作所服务的临时性生产和生活设施。</w:t>
      </w:r>
    </w:p>
    <w:p w14:paraId="3E1EE72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1.1.3.8 承包人设备：指承包人自带的施工设备。</w:t>
      </w:r>
    </w:p>
    <w:p w14:paraId="39C82DD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1.1.3.9 施工场地（或称工地、现场）：指用于合同工程施工的场所，以及在合同中指定作为施工场地组成部分的其他场所，包括永久占地和临时占地。</w:t>
      </w:r>
    </w:p>
    <w:p w14:paraId="62576C9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1.1.3.10 永久占地：指发包人为建设本合同工程永久征用的场地。</w:t>
      </w:r>
    </w:p>
    <w:p w14:paraId="1A8A146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1.1.3.11 临时占地：指发包人为建设本合同工程临时征用，承包人在完工后须按合同要求退还的场地。</w:t>
      </w:r>
    </w:p>
    <w:p w14:paraId="4FDC358C">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1.1.4日期</w:t>
      </w:r>
    </w:p>
    <w:p w14:paraId="14084B1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1.1.4.1 开工通知：指监理人按第11.1款通知承包人开工的函件。</w:t>
      </w:r>
    </w:p>
    <w:p w14:paraId="3F2A6D2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1.1.4.2 开工日期：指监理人按第11.1款发出的开工通知中写明的开工日期。</w:t>
      </w:r>
    </w:p>
    <w:p w14:paraId="72CFD26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1.1.4.3 工期：指承包人在投标函中承诺的完成合同工程所需的期限，包括按第11.3款、第11.4款和第11.6款约定所作的变更。</w:t>
      </w:r>
    </w:p>
    <w:p w14:paraId="29C693F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1.1.4.4 竣工日期：即合同工程完工日期，指第 1.1.4.3 目约定工期届满时的日期。实际完工日期以合同工程完工证书中写明的日期为准。</w:t>
      </w:r>
    </w:p>
    <w:p w14:paraId="47CA457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1.1.4.5 缺陷责任期：即工程质量保修期，指履行第19.2款约定的缺陷责任的期限，包括根据第19.3款约定所作的延长，具体期限由专用合同条款约定。</w:t>
      </w:r>
    </w:p>
    <w:p w14:paraId="72C1CEF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1.1.4.6 基准日期：指投标截止时间前28天的日期。</w:t>
      </w:r>
    </w:p>
    <w:p w14:paraId="58DB427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1.1.4.7 天：除特别指明外，指日历天。合同中按天计算时间的，开始当天不计入，从次日开始计算。期限最后一天的截止时间为当天24：00。</w:t>
      </w:r>
    </w:p>
    <w:p w14:paraId="58F7CFDF">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1.1.5合同价格和费用</w:t>
      </w:r>
    </w:p>
    <w:p w14:paraId="47A8F87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1.1.5.1 签约合同价：指签定合同时合同协议书中写明的，包括了暂列金额、暂估价的合同总金额。</w:t>
      </w:r>
    </w:p>
    <w:p w14:paraId="27FA9D3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1.1.5.2 合同价格：指承包人按合同约定完成了包括缺陷责任期（工程质量保修期）内的全部承包工作后，发包人应付给承包人的金额，包括在履行合同过程中按合同约定进行的变更和调整。</w:t>
      </w:r>
    </w:p>
    <w:p w14:paraId="47AA145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1.1.5.3 费用：指为履行合同所发生的或将要发生的所有合理开支，包括管理费和应分摊的其他费用，但不包括利润。</w:t>
      </w:r>
    </w:p>
    <w:p w14:paraId="70450EB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1.1.5.4 暂列金额：指已标价工程量清单中所列的暂列金额，用于在签订协议书时尚未确定或不可预见变更的施工及其所需材料、工程设备、服务等的金额，包括以计日工方式支付的金额。</w:t>
      </w:r>
    </w:p>
    <w:p w14:paraId="78493F5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1.1.5.5 暂估价：指发包人在工程量清单中给定的用于支付必然发生但暂时不能确定价格的材料、设备以及专业工程的金额。</w:t>
      </w:r>
    </w:p>
    <w:p w14:paraId="7473A4A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1.1.5.6 计日工：指对零星工作采取的一种计价方式，按合同中的计日工子目及其单价计价付款。</w:t>
      </w:r>
    </w:p>
    <w:p w14:paraId="0D9A0EF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1.1.5.7 质量保证金（或称保留金）：指按第17.4.1项约定用于保证在缺陷责任期（工程质量保修期）内履行缺陷修复义务的金额。</w:t>
      </w:r>
    </w:p>
    <w:p w14:paraId="4374D424">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1.1.6其他</w:t>
      </w:r>
    </w:p>
    <w:p w14:paraId="420B0F7C">
      <w:pPr>
        <w:spacing w:line="360" w:lineRule="auto"/>
        <w:rPr>
          <w:rFonts w:hint="eastAsia" w:ascii="宋体" w:hAnsi="宋体" w:eastAsia="宋体" w:cs="宋体"/>
          <w:color w:val="auto"/>
          <w:kern w:val="0"/>
          <w:sz w:val="24"/>
          <w:highlight w:val="none"/>
        </w:rPr>
      </w:pPr>
      <w:bookmarkStart w:id="615" w:name="_Toc486160885"/>
      <w:bookmarkStart w:id="616" w:name="_Toc484015629"/>
      <w:r>
        <w:rPr>
          <w:rFonts w:hint="eastAsia" w:ascii="宋体" w:hAnsi="宋体" w:eastAsia="宋体" w:cs="宋体"/>
          <w:color w:val="auto"/>
          <w:kern w:val="0"/>
          <w:sz w:val="24"/>
          <w:highlight w:val="none"/>
        </w:rPr>
        <w:t>1.1.6.1 书面形式：指合同文件、信函、电报、传真等可以有形地表现所载内容的形式。</w:t>
      </w:r>
      <w:bookmarkEnd w:id="615"/>
      <w:bookmarkEnd w:id="616"/>
    </w:p>
    <w:p w14:paraId="513AA0F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1.2语言文字</w:t>
      </w:r>
    </w:p>
    <w:p w14:paraId="4EB361B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除专用术语外，合同使用的语言文字为中文。必要时专用术语应附有中文注释。</w:t>
      </w:r>
    </w:p>
    <w:p w14:paraId="26490E4B">
      <w:pPr>
        <w:spacing w:line="360" w:lineRule="auto"/>
        <w:jc w:val="left"/>
        <w:rPr>
          <w:rFonts w:hint="eastAsia" w:ascii="宋体" w:hAnsi="宋体" w:eastAsia="宋体" w:cs="宋体"/>
          <w:b/>
          <w:bCs/>
          <w:color w:val="auto"/>
          <w:sz w:val="28"/>
          <w:szCs w:val="28"/>
          <w:highlight w:val="none"/>
        </w:rPr>
      </w:pPr>
      <w:bookmarkStart w:id="617" w:name="_Toc486160886"/>
      <w:bookmarkStart w:id="618" w:name="_Toc484015630"/>
      <w:r>
        <w:rPr>
          <w:rFonts w:hint="eastAsia" w:ascii="宋体" w:hAnsi="宋体" w:eastAsia="宋体" w:cs="宋体"/>
          <w:b/>
          <w:bCs/>
          <w:color w:val="auto"/>
          <w:sz w:val="28"/>
          <w:szCs w:val="28"/>
          <w:highlight w:val="none"/>
        </w:rPr>
        <w:t>1.3法律</w:t>
      </w:r>
      <w:bookmarkEnd w:id="617"/>
      <w:bookmarkEnd w:id="618"/>
    </w:p>
    <w:p w14:paraId="20B470F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适用于合同的法律包括中华人民共和国法律、行政法规、部门规章，以及工程所在地的地方法规、自治条例、单行条例和地方政府规章。</w:t>
      </w:r>
    </w:p>
    <w:p w14:paraId="403165BA">
      <w:pPr>
        <w:spacing w:line="360" w:lineRule="auto"/>
        <w:jc w:val="left"/>
        <w:rPr>
          <w:rFonts w:hint="eastAsia" w:ascii="宋体" w:hAnsi="宋体" w:eastAsia="宋体" w:cs="宋体"/>
          <w:b/>
          <w:bCs/>
          <w:color w:val="auto"/>
          <w:sz w:val="28"/>
          <w:szCs w:val="28"/>
          <w:highlight w:val="none"/>
        </w:rPr>
      </w:pPr>
      <w:bookmarkStart w:id="619" w:name="_Toc486160887"/>
      <w:bookmarkStart w:id="620" w:name="_Toc484015631"/>
      <w:r>
        <w:rPr>
          <w:rFonts w:hint="eastAsia" w:ascii="宋体" w:hAnsi="宋体" w:eastAsia="宋体" w:cs="宋体"/>
          <w:b/>
          <w:bCs/>
          <w:color w:val="auto"/>
          <w:sz w:val="28"/>
          <w:szCs w:val="28"/>
          <w:highlight w:val="none"/>
        </w:rPr>
        <w:t>1.4合同文件的优先顺序</w:t>
      </w:r>
      <w:bookmarkEnd w:id="619"/>
      <w:bookmarkEnd w:id="620"/>
    </w:p>
    <w:p w14:paraId="6903358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组成合同的各项文件应互相解释，互为说明。除专用合同条款另有约定外，解释合同文件的优先顺序如下：</w:t>
      </w:r>
    </w:p>
    <w:p w14:paraId="56B5F1E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（1）合同协议书；</w:t>
      </w:r>
    </w:p>
    <w:p w14:paraId="55454F0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（2）中标通知书；</w:t>
      </w:r>
    </w:p>
    <w:p w14:paraId="0FDAE33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（3）投标函及投标函附录；</w:t>
      </w:r>
    </w:p>
    <w:p w14:paraId="6556FFA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（4）专用合同条款；</w:t>
      </w:r>
    </w:p>
    <w:p w14:paraId="0018242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（5）通用合同条款；</w:t>
      </w:r>
    </w:p>
    <w:p w14:paraId="5E17CCF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（6）技术标准和要求；</w:t>
      </w:r>
    </w:p>
    <w:p w14:paraId="6ECDDB3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（7）图纸；</w:t>
      </w:r>
    </w:p>
    <w:p w14:paraId="3E4468A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（8）已标价工程量清单；</w:t>
      </w:r>
    </w:p>
    <w:p w14:paraId="0E22E84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（9）其他合同文件。</w:t>
      </w:r>
    </w:p>
    <w:p w14:paraId="40B1099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1.5合同协议书</w:t>
      </w:r>
    </w:p>
    <w:p w14:paraId="59108B3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kern w:val="0"/>
          <w:sz w:val="24"/>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6EFB0865">
      <w:pPr>
        <w:spacing w:line="360" w:lineRule="auto"/>
        <w:jc w:val="left"/>
        <w:rPr>
          <w:rFonts w:hint="eastAsia" w:ascii="宋体" w:hAnsi="宋体" w:eastAsia="宋体" w:cs="宋体"/>
          <w:b/>
          <w:bCs/>
          <w:color w:val="auto"/>
          <w:sz w:val="28"/>
          <w:szCs w:val="28"/>
          <w:highlight w:val="none"/>
        </w:rPr>
      </w:pPr>
      <w:bookmarkStart w:id="621" w:name="_Toc486160888"/>
      <w:bookmarkStart w:id="622" w:name="_Toc484015632"/>
      <w:r>
        <w:rPr>
          <w:rFonts w:hint="eastAsia" w:ascii="宋体" w:hAnsi="宋体" w:eastAsia="宋体" w:cs="宋体"/>
          <w:b/>
          <w:bCs/>
          <w:color w:val="auto"/>
          <w:sz w:val="28"/>
          <w:szCs w:val="28"/>
          <w:highlight w:val="none"/>
        </w:rPr>
        <w:t>1.6图纸和承包人文件</w:t>
      </w:r>
      <w:bookmarkEnd w:id="621"/>
      <w:bookmarkEnd w:id="622"/>
    </w:p>
    <w:p w14:paraId="0EBE7E77">
      <w:pPr>
        <w:spacing w:line="360" w:lineRule="auto"/>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1.6.1图纸的提供</w:t>
      </w:r>
    </w:p>
    <w:p w14:paraId="679B854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发包人应按技术标准和要求（合同技术条款）约定的期限和数量将施工图纸以及其他图纸（包括配套说明和有关资料）提供给承包人。由于发包人未按时提供图纸造成工期延误的，按第11.3款的约定办理。</w:t>
      </w:r>
    </w:p>
    <w:p w14:paraId="3316F81B">
      <w:pPr>
        <w:spacing w:line="360" w:lineRule="auto"/>
        <w:jc w:val="left"/>
        <w:rPr>
          <w:rFonts w:hint="eastAsia" w:ascii="宋体" w:hAnsi="宋体" w:eastAsia="宋体" w:cs="宋体"/>
          <w:b/>
          <w:color w:val="auto"/>
          <w:kern w:val="0"/>
          <w:sz w:val="24"/>
          <w:highlight w:val="none"/>
        </w:rPr>
      </w:pPr>
      <w:bookmarkStart w:id="623" w:name="_Toc484015633"/>
      <w:bookmarkStart w:id="624" w:name="_Toc486160889"/>
      <w:r>
        <w:rPr>
          <w:rFonts w:hint="eastAsia" w:ascii="宋体" w:hAnsi="宋体" w:eastAsia="宋体" w:cs="宋体"/>
          <w:b/>
          <w:color w:val="auto"/>
          <w:kern w:val="0"/>
          <w:sz w:val="24"/>
          <w:highlight w:val="none"/>
        </w:rPr>
        <w:t>1.6.2</w:t>
      </w:r>
      <w:r>
        <w:rPr>
          <w:rFonts w:hint="eastAsia" w:ascii="宋体" w:hAnsi="宋体" w:eastAsia="宋体" w:cs="宋体"/>
          <w:b/>
          <w:color w:val="auto"/>
          <w:sz w:val="24"/>
          <w:highlight w:val="none"/>
        </w:rPr>
        <w:t>承包人提供的文件</w:t>
      </w:r>
      <w:bookmarkEnd w:id="623"/>
      <w:bookmarkEnd w:id="624"/>
    </w:p>
    <w:p w14:paraId="588578E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承包人提供的文件应按技术标准和要求（合同技术条款）约定的期限和数量提供给监理人。监理人应按技术标准和要求（合同技术条款）约定的期限批复承包人。</w:t>
      </w:r>
    </w:p>
    <w:p w14:paraId="6A73FF4A">
      <w:pPr>
        <w:spacing w:line="360" w:lineRule="auto"/>
        <w:jc w:val="left"/>
        <w:rPr>
          <w:rFonts w:hint="eastAsia" w:ascii="宋体" w:hAnsi="宋体" w:eastAsia="宋体" w:cs="宋体"/>
          <w:b/>
          <w:color w:val="auto"/>
          <w:kern w:val="0"/>
          <w:sz w:val="24"/>
          <w:highlight w:val="none"/>
        </w:rPr>
      </w:pPr>
      <w:bookmarkStart w:id="625" w:name="_Toc484015634"/>
      <w:bookmarkStart w:id="626" w:name="_Toc486160890"/>
      <w:r>
        <w:rPr>
          <w:rFonts w:hint="eastAsia" w:ascii="宋体" w:hAnsi="宋体" w:eastAsia="宋体" w:cs="宋体"/>
          <w:b/>
          <w:color w:val="auto"/>
          <w:kern w:val="0"/>
          <w:sz w:val="24"/>
          <w:highlight w:val="none"/>
        </w:rPr>
        <w:t>1.6.3</w:t>
      </w:r>
      <w:r>
        <w:rPr>
          <w:rFonts w:hint="eastAsia" w:ascii="宋体" w:hAnsi="宋体" w:eastAsia="宋体" w:cs="宋体"/>
          <w:b/>
          <w:color w:val="auto"/>
          <w:sz w:val="24"/>
          <w:highlight w:val="none"/>
        </w:rPr>
        <w:t>图纸的修改</w:t>
      </w:r>
      <w:bookmarkEnd w:id="625"/>
      <w:bookmarkEnd w:id="626"/>
    </w:p>
    <w:p w14:paraId="54DBC8D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2F983181">
      <w:pPr>
        <w:spacing w:line="360" w:lineRule="auto"/>
        <w:jc w:val="left"/>
        <w:rPr>
          <w:rFonts w:hint="eastAsia" w:ascii="宋体" w:hAnsi="宋体" w:eastAsia="宋体" w:cs="宋体"/>
          <w:b/>
          <w:color w:val="auto"/>
          <w:kern w:val="0"/>
          <w:sz w:val="24"/>
          <w:highlight w:val="none"/>
        </w:rPr>
      </w:pPr>
      <w:bookmarkStart w:id="627" w:name="_Toc484015635"/>
      <w:bookmarkStart w:id="628" w:name="_Toc486160891"/>
      <w:r>
        <w:rPr>
          <w:rFonts w:hint="eastAsia" w:ascii="宋体" w:hAnsi="宋体" w:eastAsia="宋体" w:cs="宋体"/>
          <w:b/>
          <w:color w:val="auto"/>
          <w:kern w:val="0"/>
          <w:sz w:val="24"/>
          <w:highlight w:val="none"/>
        </w:rPr>
        <w:t>1.6.4</w:t>
      </w:r>
      <w:r>
        <w:rPr>
          <w:rFonts w:hint="eastAsia" w:ascii="宋体" w:hAnsi="宋体" w:eastAsia="宋体" w:cs="宋体"/>
          <w:b/>
          <w:color w:val="auto"/>
          <w:sz w:val="24"/>
          <w:highlight w:val="none"/>
        </w:rPr>
        <w:t>图纸的错误</w:t>
      </w:r>
      <w:bookmarkEnd w:id="627"/>
      <w:bookmarkEnd w:id="628"/>
    </w:p>
    <w:p w14:paraId="42A77C0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承包人发现发包人提供的图纸存在明显错误或疏忽，应及时通知监理人。</w:t>
      </w:r>
    </w:p>
    <w:p w14:paraId="13480134">
      <w:pPr>
        <w:spacing w:line="360" w:lineRule="auto"/>
        <w:jc w:val="left"/>
        <w:rPr>
          <w:rFonts w:hint="eastAsia" w:ascii="宋体" w:hAnsi="宋体" w:eastAsia="宋体" w:cs="宋体"/>
          <w:b/>
          <w:color w:val="auto"/>
          <w:kern w:val="0"/>
          <w:sz w:val="24"/>
          <w:highlight w:val="none"/>
        </w:rPr>
      </w:pPr>
      <w:bookmarkStart w:id="629" w:name="_Toc484015636"/>
      <w:bookmarkStart w:id="630" w:name="_Toc486160892"/>
      <w:r>
        <w:rPr>
          <w:rFonts w:hint="eastAsia" w:ascii="宋体" w:hAnsi="宋体" w:eastAsia="宋体" w:cs="宋体"/>
          <w:b/>
          <w:color w:val="auto"/>
          <w:kern w:val="0"/>
          <w:sz w:val="24"/>
          <w:highlight w:val="none"/>
        </w:rPr>
        <w:t>1.6.5</w:t>
      </w:r>
      <w:r>
        <w:rPr>
          <w:rFonts w:hint="eastAsia" w:ascii="宋体" w:hAnsi="宋体" w:eastAsia="宋体" w:cs="宋体"/>
          <w:b/>
          <w:color w:val="auto"/>
          <w:sz w:val="24"/>
          <w:highlight w:val="none"/>
        </w:rPr>
        <w:t>图纸和承包人文件的保管</w:t>
      </w:r>
      <w:bookmarkEnd w:id="629"/>
      <w:bookmarkEnd w:id="630"/>
    </w:p>
    <w:p w14:paraId="123B09B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监理人和承包人均应在施工场地各保存一套完整的包含第1.6.1项、第1.6.2项、第1.6.3项约定内容的图纸和承包人文件。</w:t>
      </w:r>
    </w:p>
    <w:p w14:paraId="16E6D037">
      <w:pPr>
        <w:spacing w:line="360" w:lineRule="auto"/>
        <w:jc w:val="left"/>
        <w:rPr>
          <w:rFonts w:hint="eastAsia" w:ascii="宋体" w:hAnsi="宋体" w:eastAsia="宋体" w:cs="宋体"/>
          <w:b/>
          <w:bCs/>
          <w:color w:val="auto"/>
          <w:sz w:val="28"/>
          <w:szCs w:val="28"/>
          <w:highlight w:val="none"/>
        </w:rPr>
      </w:pPr>
      <w:bookmarkStart w:id="631" w:name="_Toc484015637"/>
      <w:bookmarkStart w:id="632" w:name="_Toc486160893"/>
      <w:r>
        <w:rPr>
          <w:rFonts w:hint="eastAsia" w:ascii="宋体" w:hAnsi="宋体" w:eastAsia="宋体" w:cs="宋体"/>
          <w:b/>
          <w:bCs/>
          <w:color w:val="auto"/>
          <w:sz w:val="28"/>
          <w:szCs w:val="28"/>
          <w:highlight w:val="none"/>
        </w:rPr>
        <w:t>1.7联络</w:t>
      </w:r>
      <w:bookmarkEnd w:id="631"/>
      <w:bookmarkEnd w:id="632"/>
    </w:p>
    <w:p w14:paraId="02D0B9E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1.7.1 与合同有关的通知、批准、证明、证书、指示、要求、请求、同意、意见、确定和决定等，均应采用书面形式。</w:t>
      </w:r>
    </w:p>
    <w:p w14:paraId="45F328F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4D5A2A1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1.7.3 来往函件均应按合同约定的期限及时发出和答复，不得无故扣压和拖延，亦不得拒收。否则，由此造成的后果由责任方负责。</w:t>
      </w:r>
    </w:p>
    <w:p w14:paraId="7E19C58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1.8转让</w:t>
      </w:r>
    </w:p>
    <w:p w14:paraId="1FE0E87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除合同另有约定外，未经对方当事人同意，一方当事人不得将合同权利全部或部分转让给第三人，也不得全部或部分转移合同义务。</w:t>
      </w:r>
    </w:p>
    <w:p w14:paraId="7173C386">
      <w:pPr>
        <w:spacing w:line="360" w:lineRule="auto"/>
        <w:jc w:val="left"/>
        <w:rPr>
          <w:rFonts w:hint="eastAsia" w:ascii="宋体" w:hAnsi="宋体" w:eastAsia="宋体" w:cs="宋体"/>
          <w:b/>
          <w:bCs/>
          <w:color w:val="auto"/>
          <w:sz w:val="28"/>
          <w:szCs w:val="28"/>
          <w:highlight w:val="none"/>
        </w:rPr>
      </w:pPr>
      <w:bookmarkStart w:id="633" w:name="_Toc486160894"/>
      <w:bookmarkStart w:id="634" w:name="_Toc484015638"/>
      <w:r>
        <w:rPr>
          <w:rFonts w:hint="eastAsia" w:ascii="宋体" w:hAnsi="宋体" w:eastAsia="宋体" w:cs="宋体"/>
          <w:b/>
          <w:bCs/>
          <w:color w:val="auto"/>
          <w:sz w:val="28"/>
          <w:szCs w:val="28"/>
          <w:highlight w:val="none"/>
        </w:rPr>
        <w:t>1.9严禁贿赂</w:t>
      </w:r>
      <w:bookmarkEnd w:id="633"/>
      <w:bookmarkEnd w:id="634"/>
    </w:p>
    <w:p w14:paraId="4E9CCAC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合同双方当事人不得以贿赂或变相贿赂的方式，谋取不当利益或损害对方权益。因贿赂造成对方损失的，行为人应赔偿损失，并承担相应的法律责任。</w:t>
      </w:r>
    </w:p>
    <w:p w14:paraId="71726F87">
      <w:pPr>
        <w:spacing w:line="360" w:lineRule="auto"/>
        <w:jc w:val="left"/>
        <w:rPr>
          <w:rFonts w:hint="eastAsia" w:ascii="宋体" w:hAnsi="宋体" w:eastAsia="宋体" w:cs="宋体"/>
          <w:b/>
          <w:bCs/>
          <w:color w:val="auto"/>
          <w:sz w:val="28"/>
          <w:szCs w:val="28"/>
          <w:highlight w:val="none"/>
        </w:rPr>
      </w:pPr>
      <w:bookmarkStart w:id="635" w:name="_Toc486160895"/>
      <w:bookmarkStart w:id="636" w:name="_Toc484015639"/>
      <w:r>
        <w:rPr>
          <w:rFonts w:hint="eastAsia" w:ascii="宋体" w:hAnsi="宋体" w:eastAsia="宋体" w:cs="宋体"/>
          <w:b/>
          <w:bCs/>
          <w:color w:val="auto"/>
          <w:sz w:val="28"/>
          <w:szCs w:val="28"/>
          <w:highlight w:val="none"/>
        </w:rPr>
        <w:t>1.10化石、文物</w:t>
      </w:r>
      <w:bookmarkEnd w:id="635"/>
      <w:bookmarkEnd w:id="636"/>
    </w:p>
    <w:p w14:paraId="230041D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03205E2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1.10.2 承包人发现文物后不及时报告或隐瞒不报，致使文物丢失或损坏的，应赔偿损失，并承担相应的法律责任。</w:t>
      </w:r>
    </w:p>
    <w:p w14:paraId="37FD918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1.11专利技术</w:t>
      </w:r>
    </w:p>
    <w:p w14:paraId="299DAAE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62EA266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1.11.2 承包人在</w:t>
      </w: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中采用专利技术的，专利技术的使用费包含在</w:t>
      </w:r>
      <w:r>
        <w:rPr>
          <w:rFonts w:hint="eastAsia" w:ascii="宋体" w:hAnsi="宋体" w:eastAsia="宋体" w:cs="宋体"/>
          <w:color w:val="auto"/>
          <w:kern w:val="0"/>
          <w:sz w:val="24"/>
          <w:highlight w:val="none"/>
          <w:lang w:eastAsia="zh-CN"/>
        </w:rPr>
        <w:t>响应报价</w:t>
      </w:r>
      <w:r>
        <w:rPr>
          <w:rFonts w:hint="eastAsia" w:ascii="宋体" w:hAnsi="宋体" w:eastAsia="宋体" w:cs="宋体"/>
          <w:color w:val="auto"/>
          <w:kern w:val="0"/>
          <w:sz w:val="24"/>
          <w:highlight w:val="none"/>
        </w:rPr>
        <w:t>内。</w:t>
      </w:r>
    </w:p>
    <w:p w14:paraId="5B8E268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1.11.3 承包人的技术秘密和声明需要保密的资料和信息，发包人和监理人不得为合同以外的目的泄露给他人。</w:t>
      </w:r>
    </w:p>
    <w:p w14:paraId="0CCE46C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1.11.4 合同实施过程中，发包人要求承包人采用专利技术的，发包人应办理相应的使用手续，承包人应按发包人约定的条件使用，并承担使用专利技术的相关试验工作，所需费用由发包人承担。</w:t>
      </w:r>
    </w:p>
    <w:p w14:paraId="3374DC8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1.12图纸和文件的保密</w:t>
      </w:r>
    </w:p>
    <w:p w14:paraId="0DEF8CD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1.12.1发包人提供的图纸和文件，未经发包人同意，承包人不得为合同以外的目的泄露给他人或公开发表与引用。</w:t>
      </w:r>
    </w:p>
    <w:p w14:paraId="227A4AC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1.12.2承包人提供的文件，未经承包人同意，发包人和监理人不得为合同以外的目的泄露给他人或公开发表与引用。</w:t>
      </w:r>
    </w:p>
    <w:p w14:paraId="1B8A087D">
      <w:pPr>
        <w:spacing w:line="360" w:lineRule="auto"/>
        <w:jc w:val="left"/>
        <w:outlineLvl w:val="2"/>
        <w:rPr>
          <w:rFonts w:hint="eastAsia" w:ascii="宋体" w:hAnsi="宋体" w:eastAsia="宋体" w:cs="宋体"/>
          <w:b/>
          <w:bCs/>
          <w:color w:val="auto"/>
          <w:sz w:val="28"/>
          <w:szCs w:val="28"/>
          <w:highlight w:val="none"/>
        </w:rPr>
      </w:pPr>
      <w:bookmarkStart w:id="637" w:name="_Toc20148312"/>
      <w:bookmarkStart w:id="638" w:name="_Toc96899324"/>
      <w:bookmarkStart w:id="639" w:name="_Toc1200"/>
      <w:bookmarkStart w:id="640" w:name="_Toc761465817"/>
      <w:r>
        <w:rPr>
          <w:rFonts w:hint="eastAsia" w:ascii="宋体" w:hAnsi="宋体" w:eastAsia="宋体" w:cs="宋体"/>
          <w:b/>
          <w:bCs/>
          <w:color w:val="auto"/>
          <w:sz w:val="28"/>
          <w:szCs w:val="28"/>
          <w:highlight w:val="none"/>
        </w:rPr>
        <w:t>2.发包人义务</w:t>
      </w:r>
      <w:bookmarkEnd w:id="637"/>
      <w:bookmarkEnd w:id="638"/>
      <w:bookmarkEnd w:id="639"/>
      <w:bookmarkEnd w:id="640"/>
    </w:p>
    <w:p w14:paraId="080BC58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2.1遵守法律</w:t>
      </w:r>
    </w:p>
    <w:p w14:paraId="2A495B3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发包人在履行合同过程中应遵守法律，并保证承包人免于承担因发包人违反法律而引起的任何责任。</w:t>
      </w:r>
    </w:p>
    <w:p w14:paraId="1E5E1304">
      <w:pPr>
        <w:spacing w:line="360" w:lineRule="auto"/>
        <w:jc w:val="left"/>
        <w:rPr>
          <w:rFonts w:hint="eastAsia" w:ascii="宋体" w:hAnsi="宋体" w:eastAsia="宋体" w:cs="宋体"/>
          <w:b/>
          <w:bCs/>
          <w:color w:val="auto"/>
          <w:sz w:val="28"/>
          <w:szCs w:val="28"/>
          <w:highlight w:val="none"/>
        </w:rPr>
      </w:pPr>
      <w:bookmarkStart w:id="641" w:name="_Toc486160897"/>
      <w:bookmarkStart w:id="642" w:name="_Toc484015641"/>
      <w:r>
        <w:rPr>
          <w:rFonts w:hint="eastAsia" w:ascii="宋体" w:hAnsi="宋体" w:eastAsia="宋体" w:cs="宋体"/>
          <w:b/>
          <w:bCs/>
          <w:color w:val="auto"/>
          <w:sz w:val="28"/>
          <w:szCs w:val="28"/>
          <w:highlight w:val="none"/>
        </w:rPr>
        <w:t>2.2发出开工通知</w:t>
      </w:r>
      <w:bookmarkEnd w:id="641"/>
      <w:bookmarkEnd w:id="642"/>
    </w:p>
    <w:p w14:paraId="22FB2E0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发包人应委托监理人按第11.1款的约定向承包人发出开工通知。</w:t>
      </w:r>
    </w:p>
    <w:p w14:paraId="70C48E6C">
      <w:pPr>
        <w:spacing w:line="360" w:lineRule="auto"/>
        <w:jc w:val="left"/>
        <w:rPr>
          <w:rFonts w:hint="eastAsia" w:ascii="宋体" w:hAnsi="宋体" w:eastAsia="宋体" w:cs="宋体"/>
          <w:b/>
          <w:bCs/>
          <w:color w:val="auto"/>
          <w:sz w:val="28"/>
          <w:szCs w:val="28"/>
          <w:highlight w:val="none"/>
        </w:rPr>
      </w:pPr>
      <w:bookmarkStart w:id="643" w:name="_Toc484015642"/>
      <w:bookmarkStart w:id="644" w:name="_Toc486160898"/>
      <w:r>
        <w:rPr>
          <w:rFonts w:hint="eastAsia" w:ascii="宋体" w:hAnsi="宋体" w:eastAsia="宋体" w:cs="宋体"/>
          <w:b/>
          <w:bCs/>
          <w:color w:val="auto"/>
          <w:sz w:val="28"/>
          <w:szCs w:val="28"/>
          <w:highlight w:val="none"/>
        </w:rPr>
        <w:t>2.3提供施工场地</w:t>
      </w:r>
      <w:bookmarkEnd w:id="643"/>
      <w:bookmarkEnd w:id="644"/>
    </w:p>
    <w:p w14:paraId="6F960C7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286F068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2.3.2发包人提供的施工用地范围在专用合同条款中约定。</w:t>
      </w:r>
    </w:p>
    <w:p w14:paraId="5289BFC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14292F95">
      <w:pPr>
        <w:spacing w:line="360" w:lineRule="auto"/>
        <w:jc w:val="left"/>
        <w:rPr>
          <w:rFonts w:hint="eastAsia" w:ascii="宋体" w:hAnsi="宋体" w:eastAsia="宋体" w:cs="宋体"/>
          <w:b/>
          <w:bCs/>
          <w:color w:val="auto"/>
          <w:sz w:val="28"/>
          <w:szCs w:val="28"/>
          <w:highlight w:val="none"/>
        </w:rPr>
      </w:pPr>
      <w:bookmarkStart w:id="645" w:name="_Toc484015643"/>
      <w:bookmarkStart w:id="646" w:name="_Toc486160899"/>
      <w:r>
        <w:rPr>
          <w:rFonts w:hint="eastAsia" w:ascii="宋体" w:hAnsi="宋体" w:eastAsia="宋体" w:cs="宋体"/>
          <w:b/>
          <w:bCs/>
          <w:color w:val="auto"/>
          <w:sz w:val="28"/>
          <w:szCs w:val="28"/>
          <w:highlight w:val="none"/>
        </w:rPr>
        <w:t>2.4协助承包人办理证件和批件</w:t>
      </w:r>
      <w:bookmarkEnd w:id="645"/>
      <w:bookmarkEnd w:id="646"/>
    </w:p>
    <w:p w14:paraId="7EC4264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发包人应协助承包人办理法律规定的有关施工证件和批件。</w:t>
      </w:r>
    </w:p>
    <w:p w14:paraId="5508476B">
      <w:pPr>
        <w:spacing w:line="360" w:lineRule="auto"/>
        <w:jc w:val="left"/>
        <w:rPr>
          <w:rFonts w:hint="eastAsia" w:ascii="宋体" w:hAnsi="宋体" w:eastAsia="宋体" w:cs="宋体"/>
          <w:b/>
          <w:bCs/>
          <w:color w:val="auto"/>
          <w:sz w:val="28"/>
          <w:szCs w:val="28"/>
          <w:highlight w:val="none"/>
        </w:rPr>
      </w:pPr>
      <w:bookmarkStart w:id="647" w:name="_Toc486160900"/>
      <w:bookmarkStart w:id="648" w:name="_Toc484015644"/>
      <w:r>
        <w:rPr>
          <w:rFonts w:hint="eastAsia" w:ascii="宋体" w:hAnsi="宋体" w:eastAsia="宋体" w:cs="宋体"/>
          <w:b/>
          <w:bCs/>
          <w:color w:val="auto"/>
          <w:sz w:val="28"/>
          <w:szCs w:val="28"/>
          <w:highlight w:val="none"/>
        </w:rPr>
        <w:t>2.5组织设计交底</w:t>
      </w:r>
      <w:bookmarkEnd w:id="647"/>
      <w:bookmarkEnd w:id="648"/>
    </w:p>
    <w:p w14:paraId="720DA21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发包人应根据合同进度计划，组织设计单位向承包人进行设计交底。</w:t>
      </w:r>
    </w:p>
    <w:p w14:paraId="604A035E">
      <w:pPr>
        <w:spacing w:line="360" w:lineRule="auto"/>
        <w:jc w:val="left"/>
        <w:rPr>
          <w:rFonts w:hint="eastAsia" w:ascii="宋体" w:hAnsi="宋体" w:eastAsia="宋体" w:cs="宋体"/>
          <w:b/>
          <w:bCs/>
          <w:color w:val="auto"/>
          <w:sz w:val="28"/>
          <w:szCs w:val="28"/>
          <w:highlight w:val="none"/>
        </w:rPr>
      </w:pPr>
      <w:bookmarkStart w:id="649" w:name="_Toc486160901"/>
      <w:bookmarkStart w:id="650" w:name="_Toc484015645"/>
      <w:r>
        <w:rPr>
          <w:rFonts w:hint="eastAsia" w:ascii="宋体" w:hAnsi="宋体" w:eastAsia="宋体" w:cs="宋体"/>
          <w:b/>
          <w:bCs/>
          <w:color w:val="auto"/>
          <w:sz w:val="28"/>
          <w:szCs w:val="28"/>
          <w:highlight w:val="none"/>
        </w:rPr>
        <w:t>2.6支付合同价款</w:t>
      </w:r>
      <w:bookmarkEnd w:id="649"/>
      <w:bookmarkEnd w:id="650"/>
    </w:p>
    <w:p w14:paraId="713B3CF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发包人应按合同约定向承包人及时支付合同价款。</w:t>
      </w:r>
    </w:p>
    <w:p w14:paraId="006F7A80">
      <w:pPr>
        <w:spacing w:line="360" w:lineRule="auto"/>
        <w:jc w:val="left"/>
        <w:rPr>
          <w:rFonts w:hint="eastAsia" w:ascii="宋体" w:hAnsi="宋体" w:eastAsia="宋体" w:cs="宋体"/>
          <w:b/>
          <w:bCs/>
          <w:color w:val="auto"/>
          <w:sz w:val="28"/>
          <w:szCs w:val="28"/>
          <w:highlight w:val="none"/>
        </w:rPr>
      </w:pPr>
      <w:bookmarkStart w:id="651" w:name="_Toc486160902"/>
      <w:bookmarkStart w:id="652" w:name="_Toc484015646"/>
      <w:r>
        <w:rPr>
          <w:rFonts w:hint="eastAsia" w:ascii="宋体" w:hAnsi="宋体" w:eastAsia="宋体" w:cs="宋体"/>
          <w:b/>
          <w:bCs/>
          <w:color w:val="auto"/>
          <w:sz w:val="28"/>
          <w:szCs w:val="28"/>
          <w:highlight w:val="none"/>
        </w:rPr>
        <w:t>2.7组织竣工验收（组织法人验收）</w:t>
      </w:r>
      <w:bookmarkEnd w:id="651"/>
      <w:bookmarkEnd w:id="652"/>
    </w:p>
    <w:p w14:paraId="0E203B1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发包人应按合同约定及时组织法人验收。</w:t>
      </w:r>
    </w:p>
    <w:p w14:paraId="34E4DAF9">
      <w:pPr>
        <w:spacing w:line="360" w:lineRule="auto"/>
        <w:jc w:val="left"/>
        <w:rPr>
          <w:rFonts w:hint="eastAsia" w:ascii="宋体" w:hAnsi="宋体" w:eastAsia="宋体" w:cs="宋体"/>
          <w:b/>
          <w:bCs/>
          <w:color w:val="auto"/>
          <w:sz w:val="28"/>
          <w:szCs w:val="28"/>
          <w:highlight w:val="none"/>
        </w:rPr>
      </w:pPr>
      <w:bookmarkStart w:id="653" w:name="_Toc484015647"/>
      <w:bookmarkStart w:id="654" w:name="_Toc486160903"/>
      <w:r>
        <w:rPr>
          <w:rFonts w:hint="eastAsia" w:ascii="宋体" w:hAnsi="宋体" w:eastAsia="宋体" w:cs="宋体"/>
          <w:b/>
          <w:bCs/>
          <w:color w:val="auto"/>
          <w:sz w:val="28"/>
          <w:szCs w:val="28"/>
          <w:highlight w:val="none"/>
        </w:rPr>
        <w:t>2.8其他义务</w:t>
      </w:r>
      <w:bookmarkEnd w:id="653"/>
      <w:bookmarkEnd w:id="654"/>
    </w:p>
    <w:p w14:paraId="6D50E27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其他义务在专用合同条款中补充约定。</w:t>
      </w:r>
    </w:p>
    <w:p w14:paraId="75EB5146">
      <w:pPr>
        <w:spacing w:line="360" w:lineRule="auto"/>
        <w:jc w:val="left"/>
        <w:outlineLvl w:val="2"/>
        <w:rPr>
          <w:rFonts w:hint="eastAsia" w:ascii="宋体" w:hAnsi="宋体" w:eastAsia="宋体" w:cs="宋体"/>
          <w:b/>
          <w:bCs/>
          <w:color w:val="auto"/>
          <w:sz w:val="28"/>
          <w:szCs w:val="28"/>
          <w:highlight w:val="none"/>
        </w:rPr>
      </w:pPr>
      <w:bookmarkStart w:id="655" w:name="_Toc20148313"/>
      <w:bookmarkStart w:id="656" w:name="_Toc8607"/>
      <w:bookmarkStart w:id="657" w:name="_Toc96899325"/>
      <w:bookmarkStart w:id="658" w:name="_Toc785489351"/>
      <w:r>
        <w:rPr>
          <w:rFonts w:hint="eastAsia" w:ascii="宋体" w:hAnsi="宋体" w:eastAsia="宋体" w:cs="宋体"/>
          <w:b/>
          <w:bCs/>
          <w:color w:val="auto"/>
          <w:sz w:val="28"/>
          <w:szCs w:val="28"/>
          <w:highlight w:val="none"/>
        </w:rPr>
        <w:t>3.监理人</w:t>
      </w:r>
      <w:bookmarkEnd w:id="655"/>
      <w:bookmarkEnd w:id="656"/>
      <w:bookmarkEnd w:id="657"/>
      <w:bookmarkEnd w:id="658"/>
    </w:p>
    <w:p w14:paraId="5857448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3.1监理人的职责和权力</w:t>
      </w:r>
    </w:p>
    <w:p w14:paraId="32DC7F5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5D408F5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3.1.2 监理人发出的任何指示应视为已得到发包人的批准，但监理人无权免除或变更合同约定的发包人和承包人的权利、义务和责任。</w:t>
      </w:r>
    </w:p>
    <w:p w14:paraId="1A109FA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3.1.3 合同约定应由承包人承担的义务和责任，不因监理人对承包人提交文件的审查或批准，对工程、材料和设备的检查和检验，以及为实施监理作出的指示等职务行为而减轻或解除。</w:t>
      </w:r>
    </w:p>
    <w:p w14:paraId="3654173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3.2总监理工程师</w:t>
      </w:r>
    </w:p>
    <w:p w14:paraId="759A6A1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07109F8F">
      <w:pPr>
        <w:spacing w:line="360" w:lineRule="auto"/>
        <w:jc w:val="left"/>
        <w:rPr>
          <w:rFonts w:hint="eastAsia" w:ascii="宋体" w:hAnsi="宋体" w:eastAsia="宋体" w:cs="宋体"/>
          <w:b/>
          <w:bCs/>
          <w:color w:val="auto"/>
          <w:sz w:val="28"/>
          <w:szCs w:val="28"/>
          <w:highlight w:val="none"/>
        </w:rPr>
      </w:pPr>
      <w:bookmarkStart w:id="659" w:name="_Toc484015649"/>
      <w:bookmarkStart w:id="660" w:name="_Toc486160905"/>
      <w:r>
        <w:rPr>
          <w:rFonts w:hint="eastAsia" w:ascii="宋体" w:hAnsi="宋体" w:eastAsia="宋体" w:cs="宋体"/>
          <w:b/>
          <w:bCs/>
          <w:color w:val="auto"/>
          <w:sz w:val="28"/>
          <w:szCs w:val="28"/>
          <w:highlight w:val="none"/>
        </w:rPr>
        <w:t>3.3监理人员</w:t>
      </w:r>
      <w:bookmarkEnd w:id="659"/>
      <w:bookmarkEnd w:id="660"/>
    </w:p>
    <w:p w14:paraId="799F0DA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C529C9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7C802B8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3.3.3 承包人对总监理工程师授权的监理人员发出的指示有疑问的，可向总监理工程师提出书面异议，总监理工程师应在48小时内对该指示予以确认、更改或撤销。</w:t>
      </w:r>
    </w:p>
    <w:p w14:paraId="457E98C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3.3.4 除专用合同条款另有约定外，总监理工程师不应将第3.5款约定应由总监理工程师作出确定的权力授权或委托给其他监理人员。</w:t>
      </w:r>
    </w:p>
    <w:p w14:paraId="609D286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3.4监理人的指示</w:t>
      </w:r>
    </w:p>
    <w:p w14:paraId="41B79C6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3.4.1 监理人应按第3.1款的约定向承包人发出指示，监理人的指示应盖有监理人授权的施工场地机构章，并由总监理工程师或总监理工程师按第3.3.1项约定授权的监理人员签字。</w:t>
      </w:r>
    </w:p>
    <w:p w14:paraId="0543584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3.4.2 承包人收到监理人按第3.4.1项作出的指示后应遵照执行。指示构成变更的，应按第15条处理。</w:t>
      </w:r>
    </w:p>
    <w:p w14:paraId="4D4E2F1E">
      <w:pPr>
        <w:spacing w:line="360" w:lineRule="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EC66C3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3.4.4 除合同另有约定外，承包人只从总监理工程师或按第3.3.1项被授权的监理人员处取得指示。</w:t>
      </w:r>
    </w:p>
    <w:p w14:paraId="78A7A60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3.4.5 由于监理人未能按合同约定发出指示、指示延误或指示错误而导致承包人费用增加和（或）工期延误的，由发包人承担赔偿责任。</w:t>
      </w:r>
    </w:p>
    <w:p w14:paraId="7B348BA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3.5商定或确定</w:t>
      </w:r>
    </w:p>
    <w:p w14:paraId="125582A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3.5.1 合同约定总监理工程师应按照本款对任何事项进行商定或确定时，总监理工程师应与合同当事人协商，尽量达成一致。不能达成一致的，总监理工程师应认真研究后审慎确定。</w:t>
      </w:r>
    </w:p>
    <w:p w14:paraId="14A85BC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7DDD2590">
      <w:pPr>
        <w:spacing w:line="360" w:lineRule="auto"/>
        <w:jc w:val="left"/>
        <w:outlineLvl w:val="2"/>
        <w:rPr>
          <w:rFonts w:hint="eastAsia" w:ascii="宋体" w:hAnsi="宋体" w:eastAsia="宋体" w:cs="宋体"/>
          <w:b/>
          <w:bCs/>
          <w:color w:val="auto"/>
          <w:sz w:val="28"/>
          <w:szCs w:val="28"/>
          <w:highlight w:val="none"/>
        </w:rPr>
      </w:pPr>
      <w:bookmarkStart w:id="661" w:name="_Toc1882395012"/>
      <w:bookmarkStart w:id="662" w:name="_Toc20148314"/>
      <w:bookmarkStart w:id="663" w:name="_Toc96899326"/>
      <w:bookmarkStart w:id="664" w:name="_Toc9260"/>
      <w:r>
        <w:rPr>
          <w:rFonts w:hint="eastAsia" w:ascii="宋体" w:hAnsi="宋体" w:eastAsia="宋体" w:cs="宋体"/>
          <w:b/>
          <w:bCs/>
          <w:color w:val="auto"/>
          <w:sz w:val="28"/>
          <w:szCs w:val="28"/>
          <w:highlight w:val="none"/>
        </w:rPr>
        <w:t>4.承包人</w:t>
      </w:r>
      <w:bookmarkEnd w:id="661"/>
      <w:bookmarkEnd w:id="662"/>
      <w:bookmarkEnd w:id="663"/>
      <w:bookmarkEnd w:id="664"/>
    </w:p>
    <w:p w14:paraId="03D487A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4.1承包人的一般义务</w:t>
      </w:r>
    </w:p>
    <w:p w14:paraId="086D34D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4.1.1遵守法律</w:t>
      </w:r>
    </w:p>
    <w:p w14:paraId="1C6F015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承包人在履行合同过程中应遵守法律，并保证发包人免于承担因承包人违反法律而引起的任何责任。</w:t>
      </w:r>
    </w:p>
    <w:p w14:paraId="4E06FFCC">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4.1.2依法纳税</w:t>
      </w:r>
    </w:p>
    <w:p w14:paraId="5CDF6D5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承包人应按有关法律规定纳税，应缴纳的税金包括在合同价格内。</w:t>
      </w:r>
    </w:p>
    <w:p w14:paraId="07F0C990">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4.1.3完成各项承包工作</w:t>
      </w:r>
    </w:p>
    <w:p w14:paraId="502B99A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p>
    <w:p w14:paraId="4B7A237F">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4.1.4对施工作业和施工方法的完备性负责</w:t>
      </w:r>
    </w:p>
    <w:p w14:paraId="04FC526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承包人应按合同约定的工作内容和施工进度要求，编制施工组织设计和施工措施计划，并对所有施工作业和施工方法的完备性和安全可靠性负责。</w:t>
      </w:r>
    </w:p>
    <w:p w14:paraId="3C9D95E1">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4.1.5保证工程施工和人员的安全</w:t>
      </w:r>
    </w:p>
    <w:p w14:paraId="617D66A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承包人应按第9.2款约定采取施工安全措施，确保工程及其人员、材料、设备和设施的安全，防止因工程施工造成的人身伤害和财产损失。</w:t>
      </w:r>
    </w:p>
    <w:p w14:paraId="4AF25ABA">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4.1.6负责施工场地及其周边环境与生态的保护工作</w:t>
      </w:r>
    </w:p>
    <w:p w14:paraId="3A40FDE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承包人应按照第9.4款约定负责施工场地及其周边环境与生态的保护工作。</w:t>
      </w:r>
    </w:p>
    <w:p w14:paraId="0505754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4.1.7避免施工对公众与他人的利益造成损害</w:t>
      </w:r>
    </w:p>
    <w:p w14:paraId="5653822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2A23B8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4.1.8为</w:t>
      </w:r>
      <w:r>
        <w:rPr>
          <w:rFonts w:hint="eastAsia" w:ascii="宋体" w:hAnsi="宋体" w:eastAsia="宋体" w:cs="宋体"/>
          <w:b/>
          <w:color w:val="auto"/>
          <w:kern w:val="0"/>
          <w:sz w:val="24"/>
          <w:highlight w:val="none"/>
        </w:rPr>
        <w:t>他人</w:t>
      </w:r>
      <w:r>
        <w:rPr>
          <w:rFonts w:hint="eastAsia" w:ascii="宋体" w:hAnsi="宋体" w:eastAsia="宋体" w:cs="宋体"/>
          <w:b/>
          <w:color w:val="auto"/>
          <w:sz w:val="24"/>
          <w:highlight w:val="none"/>
        </w:rPr>
        <w:t>提供方便</w:t>
      </w:r>
    </w:p>
    <w:p w14:paraId="3512ACD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2C8E8CE1">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4.1.9工程的维护和照管</w:t>
      </w:r>
    </w:p>
    <w:p w14:paraId="123CE0F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1E792338">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4.1.10其他义务</w:t>
      </w:r>
    </w:p>
    <w:p w14:paraId="1A08B92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其他义务在专用合同条款中补充约定。</w:t>
      </w:r>
    </w:p>
    <w:p w14:paraId="7B3778FE">
      <w:pPr>
        <w:spacing w:line="360" w:lineRule="auto"/>
        <w:jc w:val="left"/>
        <w:rPr>
          <w:rFonts w:hint="eastAsia" w:ascii="宋体" w:hAnsi="宋体" w:eastAsia="宋体" w:cs="宋体"/>
          <w:b/>
          <w:bCs/>
          <w:color w:val="auto"/>
          <w:sz w:val="28"/>
          <w:szCs w:val="28"/>
          <w:highlight w:val="none"/>
        </w:rPr>
      </w:pPr>
      <w:bookmarkStart w:id="665" w:name="_Toc484015651"/>
      <w:bookmarkStart w:id="666" w:name="_Toc486160907"/>
      <w:r>
        <w:rPr>
          <w:rFonts w:hint="eastAsia" w:ascii="宋体" w:hAnsi="宋体" w:eastAsia="宋体" w:cs="宋体"/>
          <w:b/>
          <w:bCs/>
          <w:color w:val="auto"/>
          <w:sz w:val="28"/>
          <w:szCs w:val="28"/>
          <w:highlight w:val="none"/>
        </w:rPr>
        <w:t>4.2履约担保</w:t>
      </w:r>
      <w:bookmarkEnd w:id="665"/>
      <w:bookmarkEnd w:id="666"/>
    </w:p>
    <w:p w14:paraId="632CDE4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承包人应保证其履约担保在发包人颁发合同工程完工证书前一直有效。发包人应在合同工程完工证书颁发后28天内将履约担保退还给承包人。</w:t>
      </w:r>
    </w:p>
    <w:p w14:paraId="58B93CE6">
      <w:pPr>
        <w:spacing w:line="360" w:lineRule="auto"/>
        <w:jc w:val="left"/>
        <w:rPr>
          <w:rFonts w:hint="eastAsia" w:ascii="宋体" w:hAnsi="宋体" w:eastAsia="宋体" w:cs="宋体"/>
          <w:b/>
          <w:bCs/>
          <w:color w:val="auto"/>
          <w:sz w:val="28"/>
          <w:szCs w:val="28"/>
          <w:highlight w:val="none"/>
        </w:rPr>
      </w:pPr>
      <w:bookmarkStart w:id="667" w:name="_Toc486160908"/>
      <w:bookmarkStart w:id="668" w:name="_Toc484015652"/>
      <w:r>
        <w:rPr>
          <w:rFonts w:hint="eastAsia" w:ascii="宋体" w:hAnsi="宋体" w:eastAsia="宋体" w:cs="宋体"/>
          <w:b/>
          <w:bCs/>
          <w:color w:val="auto"/>
          <w:sz w:val="28"/>
          <w:szCs w:val="28"/>
          <w:highlight w:val="none"/>
        </w:rPr>
        <w:t>4.3分包</w:t>
      </w:r>
      <w:bookmarkEnd w:id="667"/>
      <w:bookmarkEnd w:id="668"/>
    </w:p>
    <w:p w14:paraId="0BDAE2F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4.3.1 承包人不得将其承包的全部工程转包给第三人，或将其承包的全部工程肢解后以分包的名义转包给第三人。</w:t>
      </w:r>
    </w:p>
    <w:p w14:paraId="2F1B67C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4.3.2 承包人不得将工程主体、关键性工作分包给第三人。除专用合同条款另有约定外，未经发包人同意，承包人不得将工程的其他部分或工作分包给第三人。</w:t>
      </w:r>
    </w:p>
    <w:p w14:paraId="24CB49C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4.3.3 分包人的资格能力应与其分包工程的标准和规模相适应。</w:t>
      </w:r>
    </w:p>
    <w:p w14:paraId="47D7866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4.3.4 按投标函附录约定分包工程的，承包人应向发包人和监理人提交分包合同副本。</w:t>
      </w:r>
    </w:p>
    <w:p w14:paraId="105D46F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4.3.5 承包人应与分包人就分包工程向发包人承担连带责任。</w:t>
      </w:r>
    </w:p>
    <w:p w14:paraId="1BC6A87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569994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2187A8C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由指定分包人造成的与其分包工作有关的一切索赔、诉讼和损失赔偿由指定分包人直接对发包人负责，承包人不对此承担责任。</w:t>
      </w:r>
    </w:p>
    <w:p w14:paraId="7A5EC4F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2E177DC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4.3.9 除4.3.7项规定的指定分包外，承包人对其分包项目的实施以及分包人的行为向发包人负全部责任。承包人应对分包项目的工程进度、质量、安全、计量和验收等实施监督和管理。</w:t>
      </w:r>
    </w:p>
    <w:p w14:paraId="7C78F1F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4.3.10 分包人应按专用合同条款的约定设立项目管理机构组织管理分包工程的施工活动。</w:t>
      </w:r>
    </w:p>
    <w:p w14:paraId="7CB4794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4.4联合体</w:t>
      </w:r>
    </w:p>
    <w:p w14:paraId="38E9347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4.4.1 联合体各方应共同与发包人签订合同协议书。联合体各方应为履行合同承担连带责任。</w:t>
      </w:r>
    </w:p>
    <w:p w14:paraId="32264DE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4.4.2 联合体协议经发包人确认后作为合同附件。在履行合同过程中，未经发包人同意，不得修改联合体协议。</w:t>
      </w:r>
    </w:p>
    <w:p w14:paraId="01F2DEC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4.4.3 联合体牵头人负责与发包人和监理人联系，并接受指示，负责组织联合体各成员全面履行合同。</w:t>
      </w:r>
    </w:p>
    <w:p w14:paraId="3BF630F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4.5承包人项目经理</w:t>
      </w:r>
    </w:p>
    <w:p w14:paraId="6DBB702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596D7B3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21F5547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4.5.3 承包人为履行合同发出的一切函件均应盖有承包人授权的施工场地管理机构章，并由承包人项目经理或其授权代表签字。</w:t>
      </w:r>
    </w:p>
    <w:p w14:paraId="056CDDB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4.5.4 承包人项目经理可以授权其下属人员履行其某项职责，但事先应将这些人员的姓名和授权范围通知监理人。</w:t>
      </w:r>
    </w:p>
    <w:p w14:paraId="464AF5D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4.6承包人人员的管理</w:t>
      </w:r>
    </w:p>
    <w:p w14:paraId="7AFFBC2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251D68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4.6.2 为完成合同约定的各项工作，承包人应向施工场地派遣或雇佣足够数量的下列人员：</w:t>
      </w:r>
    </w:p>
    <w:p w14:paraId="7D908B8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（1）具有相应资格的专业技工和合格的普工；</w:t>
      </w:r>
    </w:p>
    <w:p w14:paraId="6DB39BC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（2）具有相应施工经验的技术人员；</w:t>
      </w:r>
    </w:p>
    <w:p w14:paraId="07BC154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（3）具有相应岗位资格的各级管理人员。</w:t>
      </w:r>
    </w:p>
    <w:p w14:paraId="42B5ABF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4.6.3 承包人安排在施工场地的主要管理人员和技术骨干应相对稳定。承包人更换主要管理人员和技术骨干时，应取得监理人的同意。</w:t>
      </w:r>
    </w:p>
    <w:p w14:paraId="02E287E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4.6.4 特殊岗位的工作人员均应持有相应的资格证明，监理人有权随时检查。监理人认为有必要时，可进行现场考核。</w:t>
      </w:r>
    </w:p>
    <w:p w14:paraId="599531D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4.7撤换承包人项目经理和其他人员</w:t>
      </w:r>
    </w:p>
    <w:p w14:paraId="00DB585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承包人应对其项目经理和其他人员进行有效管理。监理人要求撤换不能胜任本职工作、行为不端或玩忽职守的承包人项目经理和其他人员的，承包人应予以撤换。</w:t>
      </w:r>
    </w:p>
    <w:p w14:paraId="1D480C1C">
      <w:pPr>
        <w:spacing w:line="360" w:lineRule="auto"/>
        <w:jc w:val="left"/>
        <w:rPr>
          <w:rFonts w:hint="eastAsia" w:ascii="宋体" w:hAnsi="宋体" w:eastAsia="宋体" w:cs="宋体"/>
          <w:b/>
          <w:bCs/>
          <w:color w:val="auto"/>
          <w:sz w:val="28"/>
          <w:szCs w:val="28"/>
          <w:highlight w:val="none"/>
        </w:rPr>
      </w:pPr>
      <w:bookmarkStart w:id="669" w:name="_Toc486160909"/>
      <w:bookmarkStart w:id="670" w:name="_Toc484015653"/>
      <w:r>
        <w:rPr>
          <w:rFonts w:hint="eastAsia" w:ascii="宋体" w:hAnsi="宋体" w:eastAsia="宋体" w:cs="宋体"/>
          <w:b/>
          <w:bCs/>
          <w:color w:val="auto"/>
          <w:sz w:val="28"/>
          <w:szCs w:val="28"/>
          <w:highlight w:val="none"/>
        </w:rPr>
        <w:t>4.8保障承包人人员的合法权益</w:t>
      </w:r>
      <w:bookmarkEnd w:id="669"/>
      <w:bookmarkEnd w:id="670"/>
    </w:p>
    <w:p w14:paraId="7B04EF1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4.8.1 承包人应与其雇佣的人员签订劳动合同，并按时发放工资。</w:t>
      </w:r>
    </w:p>
    <w:p w14:paraId="4378D4E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48FEE5D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4.8.3 承包人应为其雇佣人员提供必要的食宿条件，以及符合环境保护和卫生要求的生活环境，在远离城镇的施工场地，还应配备必要的伤病防治和急救的医务人员与医疗设施。</w:t>
      </w:r>
    </w:p>
    <w:p w14:paraId="38D6741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E1CDB6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4.8.5承包人应按有关法律规定和合同约定，为其雇佣人员办理保险。</w:t>
      </w:r>
    </w:p>
    <w:p w14:paraId="1784BE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4.8.6承包人应负责处理其雇佣人员因工伤亡事故的善后事宜。</w:t>
      </w:r>
    </w:p>
    <w:p w14:paraId="0314C63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4.9工程价款应专款专用</w:t>
      </w:r>
    </w:p>
    <w:p w14:paraId="656EA90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发包人按合同约定支付给承包人的各项价款应专用于合同工程。</w:t>
      </w:r>
    </w:p>
    <w:p w14:paraId="1CE412F3">
      <w:pPr>
        <w:spacing w:line="360" w:lineRule="auto"/>
        <w:jc w:val="left"/>
        <w:rPr>
          <w:rFonts w:hint="eastAsia" w:ascii="宋体" w:hAnsi="宋体" w:eastAsia="宋体" w:cs="宋体"/>
          <w:b/>
          <w:bCs/>
          <w:color w:val="auto"/>
          <w:sz w:val="28"/>
          <w:szCs w:val="28"/>
          <w:highlight w:val="none"/>
        </w:rPr>
      </w:pPr>
      <w:bookmarkStart w:id="671" w:name="_Toc484015654"/>
      <w:bookmarkStart w:id="672" w:name="_Toc486160910"/>
      <w:r>
        <w:rPr>
          <w:rFonts w:hint="eastAsia" w:ascii="宋体" w:hAnsi="宋体" w:eastAsia="宋体" w:cs="宋体"/>
          <w:b/>
          <w:bCs/>
          <w:color w:val="auto"/>
          <w:sz w:val="28"/>
          <w:szCs w:val="28"/>
          <w:highlight w:val="none"/>
        </w:rPr>
        <w:t>4.10承包人现场查勘</w:t>
      </w:r>
      <w:bookmarkEnd w:id="671"/>
      <w:bookmarkEnd w:id="672"/>
    </w:p>
    <w:p w14:paraId="2C029F3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4.10.1 发包人应将其持有的现场地质勘探资料、水文气象资料提供给承包人，并对其准确性负责。但承包人应对其阅读上述有关资料后所作出的解释和推断负责。</w:t>
      </w:r>
    </w:p>
    <w:p w14:paraId="151DEC6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3E34257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4.11不利物质条件</w:t>
      </w:r>
    </w:p>
    <w:p w14:paraId="76733E9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4.11.1 除专用合同条款另有约定外，不利物质条件是指在施工中遭遇不可预见的外界障碍或自然条件造成施工受阻。</w:t>
      </w:r>
    </w:p>
    <w:p w14:paraId="6A81416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5B06023B">
      <w:pPr>
        <w:spacing w:line="360" w:lineRule="auto"/>
        <w:jc w:val="left"/>
        <w:outlineLvl w:val="2"/>
        <w:rPr>
          <w:rFonts w:hint="eastAsia" w:ascii="宋体" w:hAnsi="宋体" w:eastAsia="宋体" w:cs="宋体"/>
          <w:b/>
          <w:bCs/>
          <w:color w:val="auto"/>
          <w:sz w:val="28"/>
          <w:szCs w:val="28"/>
          <w:highlight w:val="none"/>
        </w:rPr>
      </w:pPr>
      <w:bookmarkStart w:id="673" w:name="_Toc311930883"/>
      <w:bookmarkStart w:id="674" w:name="_Toc22123"/>
      <w:bookmarkStart w:id="675" w:name="_Toc20148315"/>
      <w:bookmarkStart w:id="676" w:name="_Toc96899327"/>
      <w:r>
        <w:rPr>
          <w:rFonts w:hint="eastAsia" w:ascii="宋体" w:hAnsi="宋体" w:eastAsia="宋体" w:cs="宋体"/>
          <w:b/>
          <w:bCs/>
          <w:color w:val="auto"/>
          <w:sz w:val="28"/>
          <w:szCs w:val="28"/>
          <w:highlight w:val="none"/>
        </w:rPr>
        <w:t>5.材料和工程设备</w:t>
      </w:r>
      <w:bookmarkEnd w:id="673"/>
      <w:bookmarkEnd w:id="674"/>
      <w:bookmarkEnd w:id="675"/>
      <w:bookmarkEnd w:id="676"/>
    </w:p>
    <w:p w14:paraId="74C094F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5.1承包人提供的材料和工程设备</w:t>
      </w:r>
    </w:p>
    <w:p w14:paraId="131B8B1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5.1.1 除第5.2款约定由发包人提供的材料和工程设备外，承包人负责采购、运输和保管完成本合同工作所需的材料和工程设备。承包人应对其采购的材料和工程设备负责。</w:t>
      </w:r>
    </w:p>
    <w:p w14:paraId="4756EA5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775C918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7327540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5.2发包人提供的材料和工程设备</w:t>
      </w:r>
    </w:p>
    <w:p w14:paraId="49C81F3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5.2.1 发包人提供的材料和工程设备，应在专用合同条款中写明材料和工程设备的名称、规格、数量、价格、交货方式、交货地点和计划交货日期等。</w:t>
      </w:r>
    </w:p>
    <w:p w14:paraId="75E44E1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5.2.2 承包人应根据合同进度计划的安排，向监理人报送要求发包人交货的日期计划。发包人应按照监理人与合同双方当事人商定的交货日期，向承包人提交材料和工程设备。</w:t>
      </w:r>
    </w:p>
    <w:p w14:paraId="0F1DC6E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04E6EA5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5.2.4 发包人要求向承包人提前交货的，承包人不得拒绝，但发包人应承担承包人由此增加的费用。</w:t>
      </w:r>
    </w:p>
    <w:p w14:paraId="0B505C4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5.2.5 承包人要求更改交货日期或地点的，应事先报请监理人批准。由于承包人要求更改交货时间或地点所增加的费用和（或）工期延误由承包人承担。</w:t>
      </w:r>
    </w:p>
    <w:p w14:paraId="5EB7717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6881DEB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5.3材料和工程设备专用于合同工程</w:t>
      </w:r>
    </w:p>
    <w:p w14:paraId="27505B1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5.3.1 运入施工场地的材料、工程设备，包括备品备件、安装专用工器具与随机资料，必须专用于合同工程，未经监理人同意，承包人不得运出施工场地或挪作他用。</w:t>
      </w:r>
    </w:p>
    <w:p w14:paraId="39ACAFB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6642534B">
      <w:pPr>
        <w:spacing w:line="360" w:lineRule="auto"/>
        <w:jc w:val="left"/>
        <w:rPr>
          <w:rFonts w:hint="eastAsia" w:ascii="宋体" w:hAnsi="宋体" w:eastAsia="宋体" w:cs="宋体"/>
          <w:b/>
          <w:bCs/>
          <w:color w:val="auto"/>
          <w:sz w:val="28"/>
          <w:szCs w:val="28"/>
          <w:highlight w:val="none"/>
        </w:rPr>
      </w:pPr>
      <w:bookmarkStart w:id="677" w:name="_Hlk47366192"/>
      <w:r>
        <w:rPr>
          <w:rFonts w:hint="eastAsia" w:ascii="宋体" w:hAnsi="宋体" w:eastAsia="宋体" w:cs="宋体"/>
          <w:b/>
          <w:bCs/>
          <w:color w:val="auto"/>
          <w:sz w:val="28"/>
          <w:szCs w:val="28"/>
          <w:highlight w:val="none"/>
        </w:rPr>
        <w:t>5.4禁止使用不合格的材料和工程设备</w:t>
      </w:r>
      <w:bookmarkEnd w:id="677"/>
    </w:p>
    <w:p w14:paraId="2A19D04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5.4.1 监理人有权拒绝承包人提供的不合格材料或工程设备，并要求承包人立即进行更换。监理人应在更换后再次进行检查和检验，由此增加的费用和（或）工期延误由承包人承担。</w:t>
      </w:r>
    </w:p>
    <w:p w14:paraId="358B953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5.4.2 监理人发现承包人使用了不合格的材料和工程设备，应即时发出指示要求承包人立即改正，并禁止在工程中继续使用不合格的材料和工程设备。</w:t>
      </w:r>
    </w:p>
    <w:p w14:paraId="7BFC160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5.4.3 发包人提供的材料或工程设备不符合合同要求的，承包人有权拒绝，并可要求发包人更换，由此增加的费用和（或）工期延误由发包人承担。</w:t>
      </w:r>
    </w:p>
    <w:p w14:paraId="7CC8D9EB">
      <w:pPr>
        <w:spacing w:line="360" w:lineRule="auto"/>
        <w:jc w:val="left"/>
        <w:outlineLvl w:val="2"/>
        <w:rPr>
          <w:rFonts w:hint="eastAsia" w:ascii="宋体" w:hAnsi="宋体" w:eastAsia="宋体" w:cs="宋体"/>
          <w:b/>
          <w:bCs/>
          <w:color w:val="auto"/>
          <w:sz w:val="28"/>
          <w:szCs w:val="28"/>
          <w:highlight w:val="none"/>
        </w:rPr>
      </w:pPr>
      <w:bookmarkStart w:id="678" w:name="_Toc96899328"/>
      <w:bookmarkStart w:id="679" w:name="_Toc20148316"/>
      <w:bookmarkStart w:id="680" w:name="_Toc43"/>
      <w:bookmarkStart w:id="681" w:name="_Toc220639190"/>
      <w:r>
        <w:rPr>
          <w:rFonts w:hint="eastAsia" w:ascii="宋体" w:hAnsi="宋体" w:eastAsia="宋体" w:cs="宋体"/>
          <w:b/>
          <w:bCs/>
          <w:color w:val="auto"/>
          <w:sz w:val="28"/>
          <w:szCs w:val="28"/>
          <w:highlight w:val="none"/>
        </w:rPr>
        <w:t>6.施工设备和临时设施</w:t>
      </w:r>
      <w:bookmarkEnd w:id="678"/>
      <w:bookmarkEnd w:id="679"/>
      <w:bookmarkEnd w:id="680"/>
      <w:bookmarkEnd w:id="681"/>
    </w:p>
    <w:p w14:paraId="4995CF6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6.1承包人提供的施工设备和临时设施</w:t>
      </w:r>
    </w:p>
    <w:p w14:paraId="694D4DE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0E08277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6.1.2 除专用合同条款另有约定外，承包人应自行承担修建临时设施的费用，需要临时占地的，应由发包人办理申请手续并承担相应费用。</w:t>
      </w:r>
    </w:p>
    <w:p w14:paraId="7421BBA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6.2发包人提供的施工设备和临时设施</w:t>
      </w:r>
    </w:p>
    <w:p w14:paraId="0D4724C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发包人提供的施工设备或临时设施在专用合同条款中约定。</w:t>
      </w:r>
    </w:p>
    <w:p w14:paraId="4FF7B308">
      <w:pPr>
        <w:spacing w:line="360" w:lineRule="auto"/>
        <w:jc w:val="left"/>
        <w:rPr>
          <w:rFonts w:hint="eastAsia" w:ascii="宋体" w:hAnsi="宋体" w:eastAsia="宋体" w:cs="宋体"/>
          <w:b/>
          <w:bCs/>
          <w:color w:val="auto"/>
          <w:sz w:val="28"/>
          <w:szCs w:val="28"/>
          <w:highlight w:val="none"/>
        </w:rPr>
      </w:pPr>
      <w:bookmarkStart w:id="682" w:name="_Toc486160913"/>
      <w:bookmarkStart w:id="683" w:name="_Toc484015657"/>
      <w:r>
        <w:rPr>
          <w:rFonts w:hint="eastAsia" w:ascii="宋体" w:hAnsi="宋体" w:eastAsia="宋体" w:cs="宋体"/>
          <w:b/>
          <w:bCs/>
          <w:color w:val="auto"/>
          <w:sz w:val="28"/>
          <w:szCs w:val="28"/>
          <w:highlight w:val="none"/>
        </w:rPr>
        <w:t>6.3要求承包人增加或更换施工设备</w:t>
      </w:r>
      <w:bookmarkEnd w:id="682"/>
      <w:bookmarkEnd w:id="683"/>
    </w:p>
    <w:p w14:paraId="4F5607D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承包人使用的施工设备不能满足合同进度计划和（或）质量要求时，监理人有权要求承包人增加或更换施工设备，承包人应及时增加或更换，由此增加的费用和（或）工期延误由承包人承担。</w:t>
      </w:r>
    </w:p>
    <w:p w14:paraId="730EF7D7">
      <w:pPr>
        <w:spacing w:line="360" w:lineRule="auto"/>
        <w:jc w:val="left"/>
        <w:rPr>
          <w:rFonts w:hint="eastAsia" w:ascii="宋体" w:hAnsi="宋体" w:eastAsia="宋体" w:cs="宋体"/>
          <w:b/>
          <w:bCs/>
          <w:color w:val="auto"/>
          <w:sz w:val="28"/>
          <w:szCs w:val="28"/>
          <w:highlight w:val="none"/>
        </w:rPr>
      </w:pPr>
      <w:bookmarkStart w:id="684" w:name="_Toc484015658"/>
      <w:bookmarkStart w:id="685" w:name="_Toc486160914"/>
      <w:r>
        <w:rPr>
          <w:rFonts w:hint="eastAsia" w:ascii="宋体" w:hAnsi="宋体" w:eastAsia="宋体" w:cs="宋体"/>
          <w:b/>
          <w:bCs/>
          <w:color w:val="auto"/>
          <w:sz w:val="28"/>
          <w:szCs w:val="28"/>
          <w:highlight w:val="none"/>
        </w:rPr>
        <w:t>6.4施工设备和临时设施专用于合同工程</w:t>
      </w:r>
      <w:bookmarkEnd w:id="684"/>
      <w:bookmarkEnd w:id="685"/>
    </w:p>
    <w:p w14:paraId="2C47149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2B75CF9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6.4.2 经监理人同意，承包人可根据合同进度计划撤走闲置的施工设备。</w:t>
      </w:r>
    </w:p>
    <w:p w14:paraId="43D0A668">
      <w:pPr>
        <w:spacing w:line="360" w:lineRule="auto"/>
        <w:jc w:val="left"/>
        <w:outlineLvl w:val="2"/>
        <w:rPr>
          <w:rFonts w:hint="eastAsia" w:ascii="宋体" w:hAnsi="宋体" w:eastAsia="宋体" w:cs="宋体"/>
          <w:b/>
          <w:bCs/>
          <w:color w:val="auto"/>
          <w:sz w:val="28"/>
          <w:szCs w:val="28"/>
          <w:highlight w:val="none"/>
        </w:rPr>
      </w:pPr>
      <w:bookmarkStart w:id="686" w:name="_Toc14047"/>
      <w:bookmarkStart w:id="687" w:name="_Toc96899329"/>
      <w:bookmarkStart w:id="688" w:name="_Toc1679347549"/>
      <w:bookmarkStart w:id="689" w:name="_Toc20148317"/>
      <w:r>
        <w:rPr>
          <w:rFonts w:hint="eastAsia" w:ascii="宋体" w:hAnsi="宋体" w:eastAsia="宋体" w:cs="宋体"/>
          <w:b/>
          <w:bCs/>
          <w:color w:val="auto"/>
          <w:sz w:val="28"/>
          <w:szCs w:val="28"/>
          <w:highlight w:val="none"/>
        </w:rPr>
        <w:t>7.交通运输</w:t>
      </w:r>
      <w:bookmarkEnd w:id="686"/>
      <w:bookmarkEnd w:id="687"/>
      <w:bookmarkEnd w:id="688"/>
      <w:bookmarkEnd w:id="689"/>
    </w:p>
    <w:p w14:paraId="4F5AC28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7.1道路通行权和场外设施</w:t>
      </w:r>
    </w:p>
    <w:p w14:paraId="0CFEE0C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09D82619">
      <w:pPr>
        <w:spacing w:line="360" w:lineRule="auto"/>
        <w:jc w:val="left"/>
        <w:rPr>
          <w:rFonts w:hint="eastAsia" w:ascii="宋体" w:hAnsi="宋体" w:eastAsia="宋体" w:cs="宋体"/>
          <w:b/>
          <w:bCs/>
          <w:color w:val="auto"/>
          <w:sz w:val="28"/>
          <w:szCs w:val="28"/>
          <w:highlight w:val="none"/>
        </w:rPr>
      </w:pPr>
      <w:bookmarkStart w:id="690" w:name="_Toc486160916"/>
      <w:bookmarkStart w:id="691" w:name="_Toc484015660"/>
      <w:r>
        <w:rPr>
          <w:rFonts w:hint="eastAsia" w:ascii="宋体" w:hAnsi="宋体" w:eastAsia="宋体" w:cs="宋体"/>
          <w:b/>
          <w:bCs/>
          <w:color w:val="auto"/>
          <w:sz w:val="28"/>
          <w:szCs w:val="28"/>
          <w:highlight w:val="none"/>
        </w:rPr>
        <w:t>7.2场内施工道路</w:t>
      </w:r>
      <w:bookmarkEnd w:id="690"/>
      <w:bookmarkEnd w:id="691"/>
    </w:p>
    <w:p w14:paraId="6E5F2FF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3051545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7.2.2 承包人修建的临时道路和交通设施，应免费提供发包人、监理人以及与本合同有关的其他承包人使用。</w:t>
      </w:r>
    </w:p>
    <w:p w14:paraId="0798AF0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7.3场外交通</w:t>
      </w:r>
    </w:p>
    <w:p w14:paraId="1F8CDF7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7.3.1 承包人车辆外出行驶所需的场外公共道路的通行费、养路费和税款等由承包人承担。</w:t>
      </w:r>
    </w:p>
    <w:p w14:paraId="698A332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7.3.2 承包人应遵守有关交通法规，严格按照道路和桥梁的限制荷重安全行驶，并服从交通管理部门的检查和监督。</w:t>
      </w:r>
    </w:p>
    <w:p w14:paraId="09761E0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7.4超大件和超重件的运输</w:t>
      </w:r>
    </w:p>
    <w:p w14:paraId="4B66780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3A94B36">
      <w:pPr>
        <w:spacing w:line="360" w:lineRule="auto"/>
        <w:jc w:val="left"/>
        <w:rPr>
          <w:rFonts w:hint="eastAsia" w:ascii="宋体" w:hAnsi="宋体" w:eastAsia="宋体" w:cs="宋体"/>
          <w:b/>
          <w:bCs/>
          <w:color w:val="auto"/>
          <w:sz w:val="28"/>
          <w:szCs w:val="28"/>
          <w:highlight w:val="none"/>
        </w:rPr>
      </w:pPr>
      <w:bookmarkStart w:id="692" w:name="_Toc486160917"/>
      <w:bookmarkStart w:id="693" w:name="_Toc484015661"/>
      <w:r>
        <w:rPr>
          <w:rFonts w:hint="eastAsia" w:ascii="宋体" w:hAnsi="宋体" w:eastAsia="宋体" w:cs="宋体"/>
          <w:b/>
          <w:bCs/>
          <w:color w:val="auto"/>
          <w:sz w:val="28"/>
          <w:szCs w:val="28"/>
          <w:highlight w:val="none"/>
        </w:rPr>
        <w:t>7.5道路和桥梁的损坏责任</w:t>
      </w:r>
      <w:bookmarkEnd w:id="692"/>
      <w:bookmarkEnd w:id="693"/>
    </w:p>
    <w:p w14:paraId="6074B71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因承包人运输造成施工场地内外公共道路和桥梁损坏的，由承包人承担修复损坏的全部费用和可能引起的赔偿。</w:t>
      </w:r>
    </w:p>
    <w:p w14:paraId="41AF07E9">
      <w:pPr>
        <w:spacing w:line="360" w:lineRule="auto"/>
        <w:jc w:val="left"/>
        <w:rPr>
          <w:rFonts w:hint="eastAsia" w:ascii="宋体" w:hAnsi="宋体" w:eastAsia="宋体" w:cs="宋体"/>
          <w:b/>
          <w:bCs/>
          <w:color w:val="auto"/>
          <w:sz w:val="28"/>
          <w:szCs w:val="28"/>
          <w:highlight w:val="none"/>
        </w:rPr>
      </w:pPr>
      <w:bookmarkStart w:id="694" w:name="_Toc486160918"/>
      <w:bookmarkStart w:id="695" w:name="_Toc484015662"/>
      <w:r>
        <w:rPr>
          <w:rFonts w:hint="eastAsia" w:ascii="宋体" w:hAnsi="宋体" w:eastAsia="宋体" w:cs="宋体"/>
          <w:b/>
          <w:bCs/>
          <w:color w:val="auto"/>
          <w:sz w:val="28"/>
          <w:szCs w:val="28"/>
          <w:highlight w:val="none"/>
        </w:rPr>
        <w:t>7.6水路和航空运输</w:t>
      </w:r>
      <w:bookmarkEnd w:id="694"/>
      <w:bookmarkEnd w:id="695"/>
    </w:p>
    <w:p w14:paraId="39D580F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本条上述各款的内容适用于水路运输和航空运输，其中“道路”一词的涵义包括河道、航线、船闸、机场、码头、堤防以及水路或航空运输中其他相似结构物；“车辆”一词的涵义包括船舶和飞机等。</w:t>
      </w:r>
    </w:p>
    <w:p w14:paraId="1B7EE0AA">
      <w:pPr>
        <w:spacing w:line="360" w:lineRule="auto"/>
        <w:jc w:val="left"/>
        <w:outlineLvl w:val="2"/>
        <w:rPr>
          <w:rFonts w:hint="eastAsia" w:ascii="宋体" w:hAnsi="宋体" w:eastAsia="宋体" w:cs="宋体"/>
          <w:b/>
          <w:bCs/>
          <w:color w:val="auto"/>
          <w:sz w:val="28"/>
          <w:szCs w:val="28"/>
          <w:highlight w:val="none"/>
        </w:rPr>
      </w:pPr>
      <w:bookmarkStart w:id="696" w:name="_Toc20148318"/>
      <w:bookmarkStart w:id="697" w:name="_Toc96899330"/>
      <w:bookmarkStart w:id="698" w:name="_Toc22168"/>
      <w:bookmarkStart w:id="699" w:name="_Toc1353531017"/>
      <w:r>
        <w:rPr>
          <w:rFonts w:hint="eastAsia" w:ascii="宋体" w:hAnsi="宋体" w:eastAsia="宋体" w:cs="宋体"/>
          <w:b/>
          <w:bCs/>
          <w:color w:val="auto"/>
          <w:sz w:val="28"/>
          <w:szCs w:val="28"/>
          <w:highlight w:val="none"/>
        </w:rPr>
        <w:t>8.测量放线</w:t>
      </w:r>
      <w:bookmarkEnd w:id="696"/>
      <w:bookmarkEnd w:id="697"/>
      <w:bookmarkEnd w:id="698"/>
      <w:bookmarkEnd w:id="699"/>
    </w:p>
    <w:p w14:paraId="10DF897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8.1施工控制网</w:t>
      </w:r>
    </w:p>
    <w:p w14:paraId="34CBEC1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7C205E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8.1.2 承包人应负责管理施工控制网点。施工控制网点丢失或损坏的，承包人应及时修复。承包人应承担施工控制网点的管理与修复费用，并在工程完工后将施工控制网点移交发包人。</w:t>
      </w:r>
    </w:p>
    <w:p w14:paraId="30581B3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8.2施工测量</w:t>
      </w:r>
    </w:p>
    <w:p w14:paraId="10E302A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8.2.1 承包人应负责施工过程中的全部施工测量放线工作，并配置合格的人员、仪器、设备和其他物品。</w:t>
      </w:r>
    </w:p>
    <w:p w14:paraId="434F74D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8.2.2 监理人可以指示承包人进行抽样复测，当复测中发现错误或出现超过合同约定的误差时，承包人应按监理人指示进行修正或补测，并承担相应的复测费用。</w:t>
      </w:r>
    </w:p>
    <w:p w14:paraId="4420BD9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8.3基准资料错误的责任</w:t>
      </w:r>
    </w:p>
    <w:p w14:paraId="6DA1B8D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4D7BE424">
      <w:pPr>
        <w:spacing w:line="360" w:lineRule="auto"/>
        <w:jc w:val="left"/>
        <w:rPr>
          <w:rFonts w:hint="eastAsia" w:ascii="宋体" w:hAnsi="宋体" w:eastAsia="宋体" w:cs="宋体"/>
          <w:b/>
          <w:bCs/>
          <w:color w:val="auto"/>
          <w:sz w:val="28"/>
          <w:szCs w:val="28"/>
          <w:highlight w:val="none"/>
        </w:rPr>
      </w:pPr>
      <w:bookmarkStart w:id="700" w:name="_Toc484015664"/>
      <w:bookmarkStart w:id="701" w:name="_Toc486160920"/>
      <w:r>
        <w:rPr>
          <w:rFonts w:hint="eastAsia" w:ascii="宋体" w:hAnsi="宋体" w:eastAsia="宋体" w:cs="宋体"/>
          <w:b/>
          <w:bCs/>
          <w:color w:val="auto"/>
          <w:sz w:val="28"/>
          <w:szCs w:val="28"/>
          <w:highlight w:val="none"/>
        </w:rPr>
        <w:t>8.4监理人使用施工控制网</w:t>
      </w:r>
      <w:bookmarkEnd w:id="700"/>
      <w:bookmarkEnd w:id="701"/>
    </w:p>
    <w:p w14:paraId="79E4410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监理人需要使用施工控制网的，承包人应提供必要的协助，发包人不再为此支付费用。</w:t>
      </w:r>
    </w:p>
    <w:p w14:paraId="4550E058">
      <w:pPr>
        <w:spacing w:line="360" w:lineRule="auto"/>
        <w:jc w:val="left"/>
        <w:rPr>
          <w:rFonts w:hint="eastAsia" w:ascii="宋体" w:hAnsi="宋体" w:eastAsia="宋体" w:cs="宋体"/>
          <w:b/>
          <w:bCs/>
          <w:color w:val="auto"/>
          <w:sz w:val="28"/>
          <w:szCs w:val="28"/>
          <w:highlight w:val="none"/>
        </w:rPr>
      </w:pPr>
      <w:bookmarkStart w:id="702" w:name="_Toc484015665"/>
      <w:bookmarkStart w:id="703" w:name="_Toc486160921"/>
      <w:r>
        <w:rPr>
          <w:rFonts w:hint="eastAsia" w:ascii="宋体" w:hAnsi="宋体" w:eastAsia="宋体" w:cs="宋体"/>
          <w:b/>
          <w:bCs/>
          <w:color w:val="auto"/>
          <w:sz w:val="28"/>
          <w:szCs w:val="28"/>
          <w:highlight w:val="none"/>
        </w:rPr>
        <w:t>8.5 补充地质勘探</w:t>
      </w:r>
      <w:bookmarkEnd w:id="702"/>
      <w:bookmarkEnd w:id="703"/>
    </w:p>
    <w:p w14:paraId="48B982A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53D3B1D3">
      <w:pPr>
        <w:spacing w:line="360" w:lineRule="auto"/>
        <w:jc w:val="left"/>
        <w:outlineLvl w:val="2"/>
        <w:rPr>
          <w:rFonts w:hint="eastAsia" w:ascii="宋体" w:hAnsi="宋体" w:eastAsia="宋体" w:cs="宋体"/>
          <w:b/>
          <w:bCs/>
          <w:color w:val="auto"/>
          <w:sz w:val="28"/>
          <w:szCs w:val="28"/>
          <w:highlight w:val="none"/>
        </w:rPr>
      </w:pPr>
      <w:bookmarkStart w:id="704" w:name="_Toc19683"/>
      <w:bookmarkStart w:id="705" w:name="_Toc96899331"/>
      <w:bookmarkStart w:id="706" w:name="_Toc1116244628"/>
      <w:bookmarkStart w:id="707" w:name="_Toc20148319"/>
      <w:r>
        <w:rPr>
          <w:rFonts w:hint="eastAsia" w:ascii="宋体" w:hAnsi="宋体" w:eastAsia="宋体" w:cs="宋体"/>
          <w:b/>
          <w:bCs/>
          <w:color w:val="auto"/>
          <w:sz w:val="28"/>
          <w:szCs w:val="28"/>
          <w:highlight w:val="none"/>
        </w:rPr>
        <w:t>9.施工安全、治安保卫和环境保护</w:t>
      </w:r>
      <w:bookmarkEnd w:id="704"/>
      <w:bookmarkEnd w:id="705"/>
      <w:bookmarkEnd w:id="706"/>
      <w:bookmarkEnd w:id="707"/>
    </w:p>
    <w:p w14:paraId="45712B1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9.1发包人的施工安全责任</w:t>
      </w:r>
    </w:p>
    <w:p w14:paraId="7B80B5C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5410885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9.1.2 发包人应对其现场机构雇佣的全部人员的工伤事故承担责任，但由于承包人原因造成发包人人员工伤的，应由承包人承担责任。</w:t>
      </w:r>
    </w:p>
    <w:p w14:paraId="0E82129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9.1.3 发包人应负责赔偿以下各种情况造成的第三者人身伤亡和财产损失：</w:t>
      </w:r>
    </w:p>
    <w:p w14:paraId="67452A9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（1）工程或工程的任何部分对土地的占用所造成的第三者财产损失；</w:t>
      </w:r>
    </w:p>
    <w:p w14:paraId="7EDDBC6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（2）由于发包人原因在施工场地及其毗邻地带造成的第三者人身伤亡和财产损失。</w:t>
      </w:r>
    </w:p>
    <w:p w14:paraId="5F90791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9.1.4 除专用合同条款另有约定外，发包人负责向承包人提供施工现场及施工可能影响的毗邻区域内供水、排水、供电、供气、供热、通讯、广播电视等地下管线资料、气象和水文观测资料、拟建工程可能影响的相邻建筑物地下工程的有关资料，并保证有关资料的真实、准确、完整，满足有关技术规程的要求。</w:t>
      </w:r>
    </w:p>
    <w:p w14:paraId="6DE2973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9.1.5 发包人按照已标价工程量清单所列金额和合同约定的计量支付规定，支付安全作业环境及安全施工措施所需费用。</w:t>
      </w:r>
    </w:p>
    <w:p w14:paraId="4A36C29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9.1.6 发包人负责组织工程参建单位编制保证安全生产的措施方案。工程开工前，就落实保证安全生产的措施进行全面系统的布置，进一步明确承包人的安全生产责任。</w:t>
      </w:r>
    </w:p>
    <w:p w14:paraId="5B3469B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9.1.7发包人负责在拆除工程和爆破工程施工14天前向有关部门或机构报送相关备案资料。</w:t>
      </w:r>
    </w:p>
    <w:p w14:paraId="66D92C9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9.2承包人的施工安全责任</w:t>
      </w:r>
    </w:p>
    <w:p w14:paraId="4788E63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0D99D7A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9.2.2 承包人应加强施工作业安全管理，特别应加强易燃、易爆材料、火工器材、有毒与腐蚀性材料和其他危险品的管理，以及对爆破作业和地下工程施工等危险作业的管理。</w:t>
      </w:r>
    </w:p>
    <w:p w14:paraId="19B32D5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9.2.3 承包人应严格按照国家安全标准制定施工安全操作规程，配备必要的安全生产和劳动保护设施，加强对承包人人员的安全教育，并发放安全工作手册和劳动保护用具。</w:t>
      </w:r>
    </w:p>
    <w:p w14:paraId="093E4CD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9.2.4 承包人应按监理人的指示制定应对灾害的紧急预案，报送监理人审批。承包人还应按预案做好安全检查，配置必要的救助物资和器材，切实保护好有关人员的人身和财产安全。</w:t>
      </w:r>
    </w:p>
    <w:p w14:paraId="1C8CB42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28D7B59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9.2.6 承包人应对其履行合同所雇佣的全部人员，包括分包人人员的工伤事故承担责任，但由于发包人原因造成承包人人员工伤事故的，应由发包人承担责任。</w:t>
      </w:r>
    </w:p>
    <w:p w14:paraId="793330E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9.2.7 由于承包人原因在施工场地内及其毗邻地带造成的第三者人员伤亡和财产损失，由承包人负责赔偿。</w:t>
      </w:r>
    </w:p>
    <w:p w14:paraId="36D4D4D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9.2.8 承包人已标价工程量清单应包含工程安全作业环境及安全施工措施所需费用。</w:t>
      </w:r>
    </w:p>
    <w:p w14:paraId="4245D5B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p>
    <w:p w14:paraId="543C4EA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9.2.10 承包人应当设立安全生产管理机构，施工现场必须有专职安全生产管理人员。</w:t>
      </w:r>
    </w:p>
    <w:p w14:paraId="7973455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9.2.11 承包人应负责对特种作业人员进行专门的安全作业培训，并保证特种作业人员持证上岗。</w:t>
      </w:r>
    </w:p>
    <w:p w14:paraId="2C3FD68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443E20F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9.2.13 承包人在使用施工起重机械和整体提升脚手架、模板等自升式架设设施前，应当组织有关单位进行验收。</w:t>
      </w:r>
    </w:p>
    <w:p w14:paraId="1CC9ADA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9.3治安保卫</w:t>
      </w:r>
    </w:p>
    <w:p w14:paraId="46EA7E9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9.3.1 除合同另有约定外，发包人应与当地公安部门协商，在现场建立治安管理机构或联防组织，统一管理施工场地的治安保卫事项，履行合同工程的治安保卫职责。</w:t>
      </w:r>
    </w:p>
    <w:p w14:paraId="5F90F95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9.3.2 发包人和承包人除应协助现场治安管理机构或联防组织维护施工场地的社会治安外，还应做好包括生活区在内的各自管辖区的治安保卫工作。</w:t>
      </w:r>
    </w:p>
    <w:p w14:paraId="20E4E1C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3E6881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9.4环境保护</w:t>
      </w:r>
    </w:p>
    <w:p w14:paraId="6AA5DF9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9.4.1 承包人在施工过程中，应遵守有关环境保护的法律，履行合同约定的环境保护义务，并对违反法律和合同约定义务所造成的环境破坏、人身伤害和财产损失负责。</w:t>
      </w:r>
    </w:p>
    <w:p w14:paraId="55AC149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9.4.2 承包人应按合同约定的环保工作内容，编制施工环保措施计划，报送监理人审批。</w:t>
      </w:r>
    </w:p>
    <w:p w14:paraId="140A11A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3E06D0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9.4.4 承包人应按合同约定采取有效措施，对施工开挖的边坡及时进行支护，维护排水设施，并进行水土保护，避免因施工造成的地质灾害。</w:t>
      </w:r>
    </w:p>
    <w:p w14:paraId="2E027D0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9.4.5 承包人应按国家饮用水管理标准定期对饮用水源进行监测，防止施工活动污染饮用水源。</w:t>
      </w:r>
    </w:p>
    <w:p w14:paraId="3F6D5DC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9.4.6 承包人应按合同约定，加强对噪声、粉尘、废气、废水和废油的控制，努力降低噪声，控制粉尘和废气浓度，做好废水和废油的治理和排放。</w:t>
      </w:r>
    </w:p>
    <w:p w14:paraId="262DDA5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9.5事故处理</w:t>
      </w:r>
    </w:p>
    <w:p w14:paraId="74F1F1E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9.5.1 发包人负责组织参建单位制定本工程的质量与安全事故应急预案，建立质量与安全事故应急处置指挥部。</w:t>
      </w:r>
    </w:p>
    <w:p w14:paraId="2F5FAD7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9.5.2 承包人应对施工现场易发生重大事故的部位、环节进行监控，配备救援器材、设备，并定期组织演练。</w:t>
      </w:r>
    </w:p>
    <w:p w14:paraId="78496B1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9.5.3 工程开工前，承包人应根据本工程的特点制定施工现场施工质量与安全事故应急预案，并报发包人备案。</w:t>
      </w:r>
    </w:p>
    <w:p w14:paraId="5F0CB76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9.5.4 施工过程中发生事故时，发包人、承包人应立即启动应急预案。</w:t>
      </w:r>
    </w:p>
    <w:p w14:paraId="6511684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9.5.5 事故调查处理由发包人按相关规定履行手续，承包人应配合。</w:t>
      </w:r>
    </w:p>
    <w:p w14:paraId="5E8E421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9.6水土保持</w:t>
      </w:r>
    </w:p>
    <w:p w14:paraId="47BAEEB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9.6.1 发包人应及时向承包人提供水土保持方案。</w:t>
      </w:r>
    </w:p>
    <w:p w14:paraId="70C8B42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9.6.2 承包人在施工过程中，应遵守有关水土保持的法律法规和规章，履行合同约定的水土保持义务，并对其违反法律和合同约定义务所造成的水土流失灾害、人身伤害和财产损失负责。</w:t>
      </w:r>
    </w:p>
    <w:p w14:paraId="0473079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9.6.3 承包人的水土保持措施计划，应满足技术标准和要求（合同技术条款）约定的水土保持要求。</w:t>
      </w:r>
    </w:p>
    <w:p w14:paraId="7AE7E0D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9.7文明工地</w:t>
      </w:r>
    </w:p>
    <w:p w14:paraId="302484B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9.7.1 发包人应按专用合同条款的约定，负责建立创建文明建设工地的组织机构，制定创建文明建设工地的规划和办法。</w:t>
      </w:r>
    </w:p>
    <w:p w14:paraId="528CE3F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9.7.2 承包人应按创建文明建设工地的规划和办法，履行职责，承担相应责任。所需费用应含在已标价工程量清单中。</w:t>
      </w:r>
    </w:p>
    <w:p w14:paraId="4F1E0F4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9.8防汛度汛</w:t>
      </w:r>
    </w:p>
    <w:p w14:paraId="19CB0A4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9.8.1 发包人组织工程参建单位编制本工程的度汛方案和措施。</w:t>
      </w:r>
    </w:p>
    <w:p w14:paraId="640EC9C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9.8.2 承包人应根据发包人编制的本工程度汛方案和措施，制定相应的度汛方案，报送发包人批准后实施。</w:t>
      </w:r>
    </w:p>
    <w:p w14:paraId="60E4D884">
      <w:pPr>
        <w:spacing w:line="360" w:lineRule="auto"/>
        <w:jc w:val="left"/>
        <w:outlineLvl w:val="2"/>
        <w:rPr>
          <w:rFonts w:hint="eastAsia" w:ascii="宋体" w:hAnsi="宋体" w:eastAsia="宋体" w:cs="宋体"/>
          <w:b/>
          <w:bCs/>
          <w:color w:val="auto"/>
          <w:sz w:val="28"/>
          <w:szCs w:val="28"/>
          <w:highlight w:val="none"/>
        </w:rPr>
      </w:pPr>
      <w:bookmarkStart w:id="708" w:name="_Toc96899332"/>
      <w:bookmarkStart w:id="709" w:name="_Toc47944976"/>
      <w:bookmarkStart w:id="710" w:name="_Toc18129"/>
      <w:bookmarkStart w:id="711" w:name="_Toc20148320"/>
      <w:r>
        <w:rPr>
          <w:rFonts w:hint="eastAsia" w:ascii="宋体" w:hAnsi="宋体" w:eastAsia="宋体" w:cs="宋体"/>
          <w:b/>
          <w:bCs/>
          <w:color w:val="auto"/>
          <w:sz w:val="28"/>
          <w:szCs w:val="28"/>
          <w:highlight w:val="none"/>
        </w:rPr>
        <w:t>10.进度计划</w:t>
      </w:r>
      <w:bookmarkEnd w:id="708"/>
      <w:bookmarkEnd w:id="709"/>
      <w:bookmarkEnd w:id="710"/>
      <w:bookmarkEnd w:id="711"/>
    </w:p>
    <w:p w14:paraId="6AD6FD5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10.1合同进度计划</w:t>
      </w:r>
    </w:p>
    <w:p w14:paraId="1B9604F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p>
    <w:p w14:paraId="148E2AFF">
      <w:pPr>
        <w:spacing w:line="360" w:lineRule="auto"/>
        <w:jc w:val="left"/>
        <w:rPr>
          <w:rFonts w:hint="eastAsia" w:ascii="宋体" w:hAnsi="宋体" w:eastAsia="宋体" w:cs="宋体"/>
          <w:b/>
          <w:bCs/>
          <w:color w:val="auto"/>
          <w:sz w:val="28"/>
          <w:szCs w:val="28"/>
          <w:highlight w:val="none"/>
        </w:rPr>
      </w:pPr>
      <w:bookmarkStart w:id="712" w:name="_Toc486160924"/>
      <w:bookmarkStart w:id="713" w:name="_Toc484015668"/>
      <w:r>
        <w:rPr>
          <w:rFonts w:hint="eastAsia" w:ascii="宋体" w:hAnsi="宋体" w:eastAsia="宋体" w:cs="宋体"/>
          <w:b/>
          <w:bCs/>
          <w:color w:val="auto"/>
          <w:sz w:val="28"/>
          <w:szCs w:val="28"/>
          <w:highlight w:val="none"/>
        </w:rPr>
        <w:t>10.2合同进度计划的修订</w:t>
      </w:r>
      <w:bookmarkEnd w:id="712"/>
      <w:bookmarkEnd w:id="713"/>
    </w:p>
    <w:p w14:paraId="3E318CA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5A46FCC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44D0CD36">
      <w:pPr>
        <w:spacing w:line="360" w:lineRule="auto"/>
        <w:jc w:val="left"/>
        <w:rPr>
          <w:rFonts w:hint="eastAsia" w:ascii="宋体" w:hAnsi="宋体" w:eastAsia="宋体" w:cs="宋体"/>
          <w:b/>
          <w:bCs/>
          <w:color w:val="auto"/>
          <w:sz w:val="28"/>
          <w:szCs w:val="28"/>
          <w:highlight w:val="none"/>
        </w:rPr>
      </w:pPr>
      <w:bookmarkStart w:id="714" w:name="_Toc486160925"/>
      <w:bookmarkStart w:id="715" w:name="_Toc484015669"/>
      <w:r>
        <w:rPr>
          <w:rFonts w:hint="eastAsia" w:ascii="宋体" w:hAnsi="宋体" w:eastAsia="宋体" w:cs="宋体"/>
          <w:b/>
          <w:bCs/>
          <w:color w:val="auto"/>
          <w:sz w:val="28"/>
          <w:szCs w:val="28"/>
          <w:highlight w:val="none"/>
        </w:rPr>
        <w:t>10.3单位工程进度计划</w:t>
      </w:r>
      <w:bookmarkEnd w:id="714"/>
      <w:bookmarkEnd w:id="715"/>
    </w:p>
    <w:p w14:paraId="72AAC5E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监理人认为有必要时，承包人应按监理人指示的内容和期限，并根据合同进度计划的进度控制要求，编制单位工程进度计划，提交监理人审批。</w:t>
      </w:r>
    </w:p>
    <w:p w14:paraId="0E0D9C00">
      <w:pPr>
        <w:spacing w:line="360" w:lineRule="auto"/>
        <w:jc w:val="left"/>
        <w:rPr>
          <w:rFonts w:hint="eastAsia" w:ascii="宋体" w:hAnsi="宋体" w:eastAsia="宋体" w:cs="宋体"/>
          <w:b/>
          <w:bCs/>
          <w:color w:val="auto"/>
          <w:sz w:val="28"/>
          <w:szCs w:val="28"/>
          <w:highlight w:val="none"/>
        </w:rPr>
      </w:pPr>
      <w:bookmarkStart w:id="716" w:name="_Toc486160926"/>
      <w:bookmarkStart w:id="717" w:name="_Toc484015670"/>
      <w:r>
        <w:rPr>
          <w:rFonts w:hint="eastAsia" w:ascii="宋体" w:hAnsi="宋体" w:eastAsia="宋体" w:cs="宋体"/>
          <w:b/>
          <w:bCs/>
          <w:color w:val="auto"/>
          <w:sz w:val="28"/>
          <w:szCs w:val="28"/>
          <w:highlight w:val="none"/>
        </w:rPr>
        <w:t>10.4提交资金流估算表</w:t>
      </w:r>
      <w:bookmarkEnd w:id="716"/>
      <w:bookmarkEnd w:id="717"/>
      <w:r>
        <w:rPr>
          <w:rFonts w:hint="eastAsia" w:ascii="宋体" w:hAnsi="宋体" w:eastAsia="宋体" w:cs="宋体"/>
          <w:b/>
          <w:bCs/>
          <w:color w:val="auto"/>
          <w:sz w:val="28"/>
          <w:szCs w:val="28"/>
          <w:highlight w:val="none"/>
        </w:rPr>
        <w:t xml:space="preserve">  </w:t>
      </w:r>
    </w:p>
    <w:p w14:paraId="356FA96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3BAC64ED">
      <w:p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资金流估算表（</w:t>
      </w:r>
      <w:r>
        <w:rPr>
          <w:rFonts w:hint="eastAsia" w:ascii="宋体" w:hAnsi="宋体" w:eastAsia="宋体" w:cs="宋体"/>
          <w:color w:val="auto"/>
          <w:sz w:val="24"/>
          <w:highlight w:val="none"/>
        </w:rPr>
        <w:t>参考格式</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金额单位</w:t>
      </w:r>
    </w:p>
    <w:tbl>
      <w:tblPr>
        <w:tblStyle w:val="14"/>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414"/>
        <w:gridCol w:w="960"/>
        <w:gridCol w:w="1155"/>
        <w:gridCol w:w="1125"/>
        <w:gridCol w:w="870"/>
        <w:gridCol w:w="945"/>
        <w:gridCol w:w="945"/>
        <w:gridCol w:w="1050"/>
        <w:gridCol w:w="1302"/>
      </w:tblGrid>
      <w:tr w14:paraId="7741D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6F3D1A4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w:t>
            </w:r>
          </w:p>
        </w:tc>
        <w:tc>
          <w:tcPr>
            <w:tcW w:w="414" w:type="dxa"/>
            <w:vAlign w:val="center"/>
          </w:tcPr>
          <w:p w14:paraId="4AB93E8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月</w:t>
            </w:r>
          </w:p>
        </w:tc>
        <w:tc>
          <w:tcPr>
            <w:tcW w:w="960" w:type="dxa"/>
            <w:vAlign w:val="center"/>
          </w:tcPr>
          <w:p w14:paraId="48FE80B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w:t>
            </w:r>
          </w:p>
          <w:p w14:paraId="66DE25F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w:t>
            </w:r>
          </w:p>
        </w:tc>
        <w:tc>
          <w:tcPr>
            <w:tcW w:w="1155" w:type="dxa"/>
            <w:vAlign w:val="center"/>
          </w:tcPr>
          <w:p w14:paraId="41705A6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完成工作量付款</w:t>
            </w:r>
          </w:p>
        </w:tc>
        <w:tc>
          <w:tcPr>
            <w:tcW w:w="1125" w:type="dxa"/>
            <w:vAlign w:val="center"/>
          </w:tcPr>
          <w:p w14:paraId="7A75EA3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质量保证金扣留</w:t>
            </w:r>
          </w:p>
        </w:tc>
        <w:tc>
          <w:tcPr>
            <w:tcW w:w="870" w:type="dxa"/>
            <w:vAlign w:val="center"/>
          </w:tcPr>
          <w:p w14:paraId="013240C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材料款</w:t>
            </w:r>
          </w:p>
          <w:p w14:paraId="53D838E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扣除</w:t>
            </w:r>
          </w:p>
        </w:tc>
        <w:tc>
          <w:tcPr>
            <w:tcW w:w="945" w:type="dxa"/>
            <w:vAlign w:val="center"/>
          </w:tcPr>
          <w:p w14:paraId="4B56292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w:t>
            </w:r>
          </w:p>
          <w:p w14:paraId="4810FE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扣还</w:t>
            </w:r>
          </w:p>
        </w:tc>
        <w:tc>
          <w:tcPr>
            <w:tcW w:w="945" w:type="dxa"/>
            <w:vAlign w:val="center"/>
          </w:tcPr>
          <w:p w14:paraId="552D583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1050" w:type="dxa"/>
            <w:vAlign w:val="center"/>
          </w:tcPr>
          <w:p w14:paraId="4B5CB39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应收款</w:t>
            </w:r>
          </w:p>
        </w:tc>
        <w:tc>
          <w:tcPr>
            <w:tcW w:w="1302" w:type="dxa"/>
            <w:vAlign w:val="center"/>
          </w:tcPr>
          <w:p w14:paraId="3D70A0F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累计</w:t>
            </w:r>
          </w:p>
          <w:p w14:paraId="1C192D0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应收款</w:t>
            </w:r>
          </w:p>
        </w:tc>
      </w:tr>
      <w:tr w14:paraId="65629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0B9E2BC5">
            <w:pPr>
              <w:jc w:val="center"/>
              <w:rPr>
                <w:rFonts w:hint="eastAsia" w:ascii="宋体" w:hAnsi="宋体" w:eastAsia="宋体" w:cs="宋体"/>
                <w:color w:val="auto"/>
                <w:sz w:val="24"/>
                <w:highlight w:val="none"/>
              </w:rPr>
            </w:pPr>
          </w:p>
        </w:tc>
        <w:tc>
          <w:tcPr>
            <w:tcW w:w="414" w:type="dxa"/>
            <w:vAlign w:val="center"/>
          </w:tcPr>
          <w:p w14:paraId="07DFF126">
            <w:pPr>
              <w:jc w:val="center"/>
              <w:rPr>
                <w:rFonts w:hint="eastAsia" w:ascii="宋体" w:hAnsi="宋体" w:eastAsia="宋体" w:cs="宋体"/>
                <w:color w:val="auto"/>
                <w:sz w:val="24"/>
                <w:highlight w:val="none"/>
              </w:rPr>
            </w:pPr>
          </w:p>
        </w:tc>
        <w:tc>
          <w:tcPr>
            <w:tcW w:w="960" w:type="dxa"/>
            <w:vAlign w:val="center"/>
          </w:tcPr>
          <w:p w14:paraId="2B1C517B">
            <w:pPr>
              <w:jc w:val="center"/>
              <w:rPr>
                <w:rFonts w:hint="eastAsia" w:ascii="宋体" w:hAnsi="宋体" w:eastAsia="宋体" w:cs="宋体"/>
                <w:color w:val="auto"/>
                <w:sz w:val="24"/>
                <w:highlight w:val="none"/>
              </w:rPr>
            </w:pPr>
          </w:p>
        </w:tc>
        <w:tc>
          <w:tcPr>
            <w:tcW w:w="1155" w:type="dxa"/>
            <w:vAlign w:val="center"/>
          </w:tcPr>
          <w:p w14:paraId="02CA95D1">
            <w:pPr>
              <w:jc w:val="center"/>
              <w:rPr>
                <w:rFonts w:hint="eastAsia" w:ascii="宋体" w:hAnsi="宋体" w:eastAsia="宋体" w:cs="宋体"/>
                <w:color w:val="auto"/>
                <w:sz w:val="24"/>
                <w:highlight w:val="none"/>
              </w:rPr>
            </w:pPr>
          </w:p>
        </w:tc>
        <w:tc>
          <w:tcPr>
            <w:tcW w:w="1125" w:type="dxa"/>
            <w:vAlign w:val="center"/>
          </w:tcPr>
          <w:p w14:paraId="0AAD41FC">
            <w:pPr>
              <w:jc w:val="center"/>
              <w:rPr>
                <w:rFonts w:hint="eastAsia" w:ascii="宋体" w:hAnsi="宋体" w:eastAsia="宋体" w:cs="宋体"/>
                <w:color w:val="auto"/>
                <w:sz w:val="24"/>
                <w:highlight w:val="none"/>
              </w:rPr>
            </w:pPr>
          </w:p>
        </w:tc>
        <w:tc>
          <w:tcPr>
            <w:tcW w:w="870" w:type="dxa"/>
            <w:vAlign w:val="center"/>
          </w:tcPr>
          <w:p w14:paraId="0DE2F16F">
            <w:pPr>
              <w:jc w:val="center"/>
              <w:rPr>
                <w:rFonts w:hint="eastAsia" w:ascii="宋体" w:hAnsi="宋体" w:eastAsia="宋体" w:cs="宋体"/>
                <w:color w:val="auto"/>
                <w:sz w:val="24"/>
                <w:highlight w:val="none"/>
              </w:rPr>
            </w:pPr>
          </w:p>
        </w:tc>
        <w:tc>
          <w:tcPr>
            <w:tcW w:w="945" w:type="dxa"/>
            <w:vAlign w:val="center"/>
          </w:tcPr>
          <w:p w14:paraId="377058D3">
            <w:pPr>
              <w:jc w:val="center"/>
              <w:rPr>
                <w:rFonts w:hint="eastAsia" w:ascii="宋体" w:hAnsi="宋体" w:eastAsia="宋体" w:cs="宋体"/>
                <w:color w:val="auto"/>
                <w:sz w:val="24"/>
                <w:highlight w:val="none"/>
              </w:rPr>
            </w:pPr>
          </w:p>
        </w:tc>
        <w:tc>
          <w:tcPr>
            <w:tcW w:w="945" w:type="dxa"/>
          </w:tcPr>
          <w:p w14:paraId="04085DAF">
            <w:pPr>
              <w:jc w:val="center"/>
              <w:rPr>
                <w:rFonts w:hint="eastAsia" w:ascii="宋体" w:hAnsi="宋体" w:eastAsia="宋体" w:cs="宋体"/>
                <w:color w:val="auto"/>
                <w:sz w:val="24"/>
                <w:highlight w:val="none"/>
              </w:rPr>
            </w:pPr>
          </w:p>
        </w:tc>
        <w:tc>
          <w:tcPr>
            <w:tcW w:w="1050" w:type="dxa"/>
          </w:tcPr>
          <w:p w14:paraId="3C72FF7B">
            <w:pPr>
              <w:jc w:val="center"/>
              <w:rPr>
                <w:rFonts w:hint="eastAsia" w:ascii="宋体" w:hAnsi="宋体" w:eastAsia="宋体" w:cs="宋体"/>
                <w:color w:val="auto"/>
                <w:sz w:val="24"/>
                <w:highlight w:val="none"/>
              </w:rPr>
            </w:pPr>
          </w:p>
        </w:tc>
        <w:tc>
          <w:tcPr>
            <w:tcW w:w="1302" w:type="dxa"/>
            <w:vAlign w:val="center"/>
          </w:tcPr>
          <w:p w14:paraId="2CEE2C59">
            <w:pPr>
              <w:jc w:val="center"/>
              <w:rPr>
                <w:rFonts w:hint="eastAsia" w:ascii="宋体" w:hAnsi="宋体" w:eastAsia="宋体" w:cs="宋体"/>
                <w:color w:val="auto"/>
                <w:sz w:val="24"/>
                <w:highlight w:val="none"/>
              </w:rPr>
            </w:pPr>
          </w:p>
        </w:tc>
      </w:tr>
      <w:tr w14:paraId="744F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447C867C">
            <w:pPr>
              <w:jc w:val="center"/>
              <w:rPr>
                <w:rFonts w:hint="eastAsia" w:ascii="宋体" w:hAnsi="宋体" w:eastAsia="宋体" w:cs="宋体"/>
                <w:color w:val="auto"/>
                <w:sz w:val="24"/>
                <w:highlight w:val="none"/>
              </w:rPr>
            </w:pPr>
          </w:p>
        </w:tc>
        <w:tc>
          <w:tcPr>
            <w:tcW w:w="414" w:type="dxa"/>
            <w:vAlign w:val="center"/>
          </w:tcPr>
          <w:p w14:paraId="01F08973">
            <w:pPr>
              <w:jc w:val="center"/>
              <w:rPr>
                <w:rFonts w:hint="eastAsia" w:ascii="宋体" w:hAnsi="宋体" w:eastAsia="宋体" w:cs="宋体"/>
                <w:color w:val="auto"/>
                <w:sz w:val="24"/>
                <w:highlight w:val="none"/>
              </w:rPr>
            </w:pPr>
          </w:p>
        </w:tc>
        <w:tc>
          <w:tcPr>
            <w:tcW w:w="960" w:type="dxa"/>
            <w:vAlign w:val="center"/>
          </w:tcPr>
          <w:p w14:paraId="7816BFBE">
            <w:pPr>
              <w:jc w:val="center"/>
              <w:rPr>
                <w:rFonts w:hint="eastAsia" w:ascii="宋体" w:hAnsi="宋体" w:eastAsia="宋体" w:cs="宋体"/>
                <w:color w:val="auto"/>
                <w:sz w:val="24"/>
                <w:highlight w:val="none"/>
              </w:rPr>
            </w:pPr>
          </w:p>
        </w:tc>
        <w:tc>
          <w:tcPr>
            <w:tcW w:w="1155" w:type="dxa"/>
            <w:vAlign w:val="center"/>
          </w:tcPr>
          <w:p w14:paraId="07EBDB17">
            <w:pPr>
              <w:jc w:val="center"/>
              <w:rPr>
                <w:rFonts w:hint="eastAsia" w:ascii="宋体" w:hAnsi="宋体" w:eastAsia="宋体" w:cs="宋体"/>
                <w:color w:val="auto"/>
                <w:sz w:val="24"/>
                <w:highlight w:val="none"/>
              </w:rPr>
            </w:pPr>
          </w:p>
        </w:tc>
        <w:tc>
          <w:tcPr>
            <w:tcW w:w="1125" w:type="dxa"/>
            <w:vAlign w:val="center"/>
          </w:tcPr>
          <w:p w14:paraId="0185688D">
            <w:pPr>
              <w:jc w:val="center"/>
              <w:rPr>
                <w:rFonts w:hint="eastAsia" w:ascii="宋体" w:hAnsi="宋体" w:eastAsia="宋体" w:cs="宋体"/>
                <w:color w:val="auto"/>
                <w:sz w:val="24"/>
                <w:highlight w:val="none"/>
              </w:rPr>
            </w:pPr>
          </w:p>
        </w:tc>
        <w:tc>
          <w:tcPr>
            <w:tcW w:w="870" w:type="dxa"/>
            <w:vAlign w:val="center"/>
          </w:tcPr>
          <w:p w14:paraId="4832CC23">
            <w:pPr>
              <w:jc w:val="center"/>
              <w:rPr>
                <w:rFonts w:hint="eastAsia" w:ascii="宋体" w:hAnsi="宋体" w:eastAsia="宋体" w:cs="宋体"/>
                <w:color w:val="auto"/>
                <w:sz w:val="24"/>
                <w:highlight w:val="none"/>
              </w:rPr>
            </w:pPr>
          </w:p>
        </w:tc>
        <w:tc>
          <w:tcPr>
            <w:tcW w:w="945" w:type="dxa"/>
            <w:vAlign w:val="center"/>
          </w:tcPr>
          <w:p w14:paraId="0036611A">
            <w:pPr>
              <w:jc w:val="center"/>
              <w:rPr>
                <w:rFonts w:hint="eastAsia" w:ascii="宋体" w:hAnsi="宋体" w:eastAsia="宋体" w:cs="宋体"/>
                <w:color w:val="auto"/>
                <w:sz w:val="24"/>
                <w:highlight w:val="none"/>
              </w:rPr>
            </w:pPr>
          </w:p>
        </w:tc>
        <w:tc>
          <w:tcPr>
            <w:tcW w:w="945" w:type="dxa"/>
          </w:tcPr>
          <w:p w14:paraId="7FD3438A">
            <w:pPr>
              <w:jc w:val="center"/>
              <w:rPr>
                <w:rFonts w:hint="eastAsia" w:ascii="宋体" w:hAnsi="宋体" w:eastAsia="宋体" w:cs="宋体"/>
                <w:color w:val="auto"/>
                <w:sz w:val="24"/>
                <w:highlight w:val="none"/>
              </w:rPr>
            </w:pPr>
          </w:p>
        </w:tc>
        <w:tc>
          <w:tcPr>
            <w:tcW w:w="1050" w:type="dxa"/>
          </w:tcPr>
          <w:p w14:paraId="372EAA05">
            <w:pPr>
              <w:jc w:val="center"/>
              <w:rPr>
                <w:rFonts w:hint="eastAsia" w:ascii="宋体" w:hAnsi="宋体" w:eastAsia="宋体" w:cs="宋体"/>
                <w:color w:val="auto"/>
                <w:sz w:val="24"/>
                <w:highlight w:val="none"/>
              </w:rPr>
            </w:pPr>
          </w:p>
        </w:tc>
        <w:tc>
          <w:tcPr>
            <w:tcW w:w="1302" w:type="dxa"/>
            <w:vAlign w:val="center"/>
          </w:tcPr>
          <w:p w14:paraId="0D4953A1">
            <w:pPr>
              <w:jc w:val="center"/>
              <w:rPr>
                <w:rFonts w:hint="eastAsia" w:ascii="宋体" w:hAnsi="宋体" w:eastAsia="宋体" w:cs="宋体"/>
                <w:color w:val="auto"/>
                <w:sz w:val="24"/>
                <w:highlight w:val="none"/>
              </w:rPr>
            </w:pPr>
          </w:p>
        </w:tc>
      </w:tr>
      <w:tr w14:paraId="15469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4024808E">
            <w:pPr>
              <w:jc w:val="center"/>
              <w:rPr>
                <w:rFonts w:hint="eastAsia" w:ascii="宋体" w:hAnsi="宋体" w:eastAsia="宋体" w:cs="宋体"/>
                <w:color w:val="auto"/>
                <w:sz w:val="24"/>
                <w:highlight w:val="none"/>
              </w:rPr>
            </w:pPr>
          </w:p>
        </w:tc>
        <w:tc>
          <w:tcPr>
            <w:tcW w:w="414" w:type="dxa"/>
            <w:vAlign w:val="center"/>
          </w:tcPr>
          <w:p w14:paraId="01518DFC">
            <w:pPr>
              <w:jc w:val="center"/>
              <w:rPr>
                <w:rFonts w:hint="eastAsia" w:ascii="宋体" w:hAnsi="宋体" w:eastAsia="宋体" w:cs="宋体"/>
                <w:color w:val="auto"/>
                <w:sz w:val="24"/>
                <w:highlight w:val="none"/>
              </w:rPr>
            </w:pPr>
          </w:p>
        </w:tc>
        <w:tc>
          <w:tcPr>
            <w:tcW w:w="960" w:type="dxa"/>
            <w:vAlign w:val="center"/>
          </w:tcPr>
          <w:p w14:paraId="6F121F87">
            <w:pPr>
              <w:jc w:val="center"/>
              <w:rPr>
                <w:rFonts w:hint="eastAsia" w:ascii="宋体" w:hAnsi="宋体" w:eastAsia="宋体" w:cs="宋体"/>
                <w:color w:val="auto"/>
                <w:sz w:val="24"/>
                <w:highlight w:val="none"/>
              </w:rPr>
            </w:pPr>
          </w:p>
        </w:tc>
        <w:tc>
          <w:tcPr>
            <w:tcW w:w="1155" w:type="dxa"/>
            <w:vAlign w:val="center"/>
          </w:tcPr>
          <w:p w14:paraId="6C4A690F">
            <w:pPr>
              <w:jc w:val="center"/>
              <w:rPr>
                <w:rFonts w:hint="eastAsia" w:ascii="宋体" w:hAnsi="宋体" w:eastAsia="宋体" w:cs="宋体"/>
                <w:color w:val="auto"/>
                <w:sz w:val="24"/>
                <w:highlight w:val="none"/>
              </w:rPr>
            </w:pPr>
          </w:p>
        </w:tc>
        <w:tc>
          <w:tcPr>
            <w:tcW w:w="1125" w:type="dxa"/>
            <w:vAlign w:val="center"/>
          </w:tcPr>
          <w:p w14:paraId="3AF073DB">
            <w:pPr>
              <w:jc w:val="center"/>
              <w:rPr>
                <w:rFonts w:hint="eastAsia" w:ascii="宋体" w:hAnsi="宋体" w:eastAsia="宋体" w:cs="宋体"/>
                <w:color w:val="auto"/>
                <w:sz w:val="24"/>
                <w:highlight w:val="none"/>
              </w:rPr>
            </w:pPr>
          </w:p>
        </w:tc>
        <w:tc>
          <w:tcPr>
            <w:tcW w:w="870" w:type="dxa"/>
            <w:vAlign w:val="center"/>
          </w:tcPr>
          <w:p w14:paraId="05A7345F">
            <w:pPr>
              <w:jc w:val="center"/>
              <w:rPr>
                <w:rFonts w:hint="eastAsia" w:ascii="宋体" w:hAnsi="宋体" w:eastAsia="宋体" w:cs="宋体"/>
                <w:color w:val="auto"/>
                <w:sz w:val="24"/>
                <w:highlight w:val="none"/>
              </w:rPr>
            </w:pPr>
          </w:p>
        </w:tc>
        <w:tc>
          <w:tcPr>
            <w:tcW w:w="945" w:type="dxa"/>
            <w:vAlign w:val="center"/>
          </w:tcPr>
          <w:p w14:paraId="6B7B8BF3">
            <w:pPr>
              <w:jc w:val="center"/>
              <w:rPr>
                <w:rFonts w:hint="eastAsia" w:ascii="宋体" w:hAnsi="宋体" w:eastAsia="宋体" w:cs="宋体"/>
                <w:color w:val="auto"/>
                <w:sz w:val="24"/>
                <w:highlight w:val="none"/>
              </w:rPr>
            </w:pPr>
          </w:p>
        </w:tc>
        <w:tc>
          <w:tcPr>
            <w:tcW w:w="945" w:type="dxa"/>
          </w:tcPr>
          <w:p w14:paraId="5EC31E77">
            <w:pPr>
              <w:jc w:val="center"/>
              <w:rPr>
                <w:rFonts w:hint="eastAsia" w:ascii="宋体" w:hAnsi="宋体" w:eastAsia="宋体" w:cs="宋体"/>
                <w:color w:val="auto"/>
                <w:sz w:val="24"/>
                <w:highlight w:val="none"/>
              </w:rPr>
            </w:pPr>
          </w:p>
        </w:tc>
        <w:tc>
          <w:tcPr>
            <w:tcW w:w="1050" w:type="dxa"/>
          </w:tcPr>
          <w:p w14:paraId="466CBA36">
            <w:pPr>
              <w:jc w:val="center"/>
              <w:rPr>
                <w:rFonts w:hint="eastAsia" w:ascii="宋体" w:hAnsi="宋体" w:eastAsia="宋体" w:cs="宋体"/>
                <w:color w:val="auto"/>
                <w:sz w:val="24"/>
                <w:highlight w:val="none"/>
              </w:rPr>
            </w:pPr>
          </w:p>
        </w:tc>
        <w:tc>
          <w:tcPr>
            <w:tcW w:w="1302" w:type="dxa"/>
            <w:vAlign w:val="center"/>
          </w:tcPr>
          <w:p w14:paraId="05C3FA4A">
            <w:pPr>
              <w:jc w:val="center"/>
              <w:rPr>
                <w:rFonts w:hint="eastAsia" w:ascii="宋体" w:hAnsi="宋体" w:eastAsia="宋体" w:cs="宋体"/>
                <w:color w:val="auto"/>
                <w:sz w:val="24"/>
                <w:highlight w:val="none"/>
              </w:rPr>
            </w:pPr>
          </w:p>
        </w:tc>
      </w:tr>
    </w:tbl>
    <w:p w14:paraId="398E3940">
      <w:pPr>
        <w:spacing w:line="360" w:lineRule="auto"/>
        <w:jc w:val="left"/>
        <w:outlineLvl w:val="2"/>
        <w:rPr>
          <w:rFonts w:hint="eastAsia" w:ascii="宋体" w:hAnsi="宋体" w:eastAsia="宋体" w:cs="宋体"/>
          <w:b/>
          <w:bCs/>
          <w:color w:val="auto"/>
          <w:sz w:val="28"/>
          <w:szCs w:val="28"/>
          <w:highlight w:val="none"/>
        </w:rPr>
      </w:pPr>
      <w:bookmarkStart w:id="718" w:name="_Toc20148321"/>
      <w:bookmarkStart w:id="719" w:name="_Toc27399"/>
      <w:bookmarkStart w:id="720" w:name="_Toc904398674"/>
      <w:bookmarkStart w:id="721" w:name="_Toc96899333"/>
      <w:r>
        <w:rPr>
          <w:rFonts w:hint="eastAsia" w:ascii="宋体" w:hAnsi="宋体" w:eastAsia="宋体" w:cs="宋体"/>
          <w:b/>
          <w:bCs/>
          <w:color w:val="auto"/>
          <w:sz w:val="28"/>
          <w:szCs w:val="28"/>
          <w:highlight w:val="none"/>
        </w:rPr>
        <w:t>11.开工和竣工（完工）</w:t>
      </w:r>
      <w:bookmarkEnd w:id="718"/>
      <w:bookmarkEnd w:id="719"/>
      <w:bookmarkEnd w:id="720"/>
      <w:bookmarkEnd w:id="721"/>
    </w:p>
    <w:p w14:paraId="4346023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11.1开工</w:t>
      </w:r>
    </w:p>
    <w:p w14:paraId="67A2F19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270B787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7E38F16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11.1.3 若发包人未能按合同约定向承包人提供开工的必要条件，承包人有权要求延长工期。监理人应在收到承包人的书面要求后，按第3.5款的约定，与合同双方商定或确定增加的费用和延长的工期。</w:t>
      </w:r>
    </w:p>
    <w:p w14:paraId="7CAF828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045A8CDB">
      <w:pPr>
        <w:spacing w:line="360" w:lineRule="auto"/>
        <w:jc w:val="left"/>
        <w:rPr>
          <w:rFonts w:hint="eastAsia" w:ascii="宋体" w:hAnsi="宋体" w:eastAsia="宋体" w:cs="宋体"/>
          <w:b/>
          <w:bCs/>
          <w:color w:val="auto"/>
          <w:sz w:val="28"/>
          <w:szCs w:val="28"/>
          <w:highlight w:val="none"/>
        </w:rPr>
      </w:pPr>
      <w:bookmarkStart w:id="722" w:name="_Toc484015672"/>
      <w:bookmarkStart w:id="723" w:name="_Toc486160928"/>
      <w:r>
        <w:rPr>
          <w:rFonts w:hint="eastAsia" w:ascii="宋体" w:hAnsi="宋体" w:eastAsia="宋体" w:cs="宋体"/>
          <w:b/>
          <w:bCs/>
          <w:color w:val="auto"/>
          <w:sz w:val="28"/>
          <w:szCs w:val="28"/>
          <w:highlight w:val="none"/>
        </w:rPr>
        <w:t>11.2 竣工（完工）</w:t>
      </w:r>
      <w:bookmarkEnd w:id="722"/>
      <w:bookmarkEnd w:id="723"/>
    </w:p>
    <w:p w14:paraId="5F9EA20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承包人应在第1.1.4.3目约定的期限内完成合同工程。合同工程实际完工日期在合同工程完工证书中明确。</w:t>
      </w:r>
    </w:p>
    <w:p w14:paraId="6A7FEE0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11.3发包人的工期延误</w:t>
      </w:r>
    </w:p>
    <w:p w14:paraId="19DF0DE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在履行合同过程中，由于发包人的下列原因造成工期延误的，承包人有权要求发包人延长工期和（或）增加费用，并支付合理利润。需要修订合同进度计划的，按照第10.2款的约定办理。</w:t>
      </w:r>
    </w:p>
    <w:p w14:paraId="4B586AD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（1）增加合同工作内容；</w:t>
      </w:r>
    </w:p>
    <w:p w14:paraId="5FC3A09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（2）改变合同中任何一项工作的质量要求或其他特性；</w:t>
      </w:r>
    </w:p>
    <w:p w14:paraId="636BA8F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（3）发包人迟延提供材料、工程设备或变更交货地点的；</w:t>
      </w:r>
    </w:p>
    <w:p w14:paraId="71021A1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（4）因发包人原因导致的暂停施工；</w:t>
      </w:r>
    </w:p>
    <w:p w14:paraId="524553D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（5）提供图纸延误；</w:t>
      </w:r>
    </w:p>
    <w:p w14:paraId="2E30925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（6）未按合同约定及时支付预付款、进度款；</w:t>
      </w:r>
    </w:p>
    <w:p w14:paraId="20D5400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（7）发包人造成工期延误的其他原因。</w:t>
      </w:r>
    </w:p>
    <w:p w14:paraId="7C0A6D3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11.4异常恶劣的气候条件</w:t>
      </w:r>
    </w:p>
    <w:p w14:paraId="01230B4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0BC57A1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11.4.2 异常恶劣气候条件造成的工期延误和工程损坏，应由发包人与承包人参照本合同通用合同条款第21.3款的约定协商处理。</w:t>
      </w:r>
    </w:p>
    <w:p w14:paraId="788D0F52">
      <w:pPr>
        <w:spacing w:line="360" w:lineRule="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11.4.3 本合同工程界定异常恶劣气候条件的范围在专用合同条款中约定。</w:t>
      </w:r>
    </w:p>
    <w:p w14:paraId="4E4E10A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11.5承包人的工期延误</w:t>
      </w:r>
    </w:p>
    <w:p w14:paraId="6C9AD2C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1E83651C">
      <w:pPr>
        <w:spacing w:line="360" w:lineRule="auto"/>
        <w:jc w:val="left"/>
        <w:rPr>
          <w:rFonts w:hint="eastAsia" w:ascii="宋体" w:hAnsi="宋体" w:eastAsia="宋体" w:cs="宋体"/>
          <w:b/>
          <w:bCs/>
          <w:color w:val="auto"/>
          <w:sz w:val="28"/>
          <w:szCs w:val="28"/>
          <w:highlight w:val="none"/>
        </w:rPr>
      </w:pPr>
      <w:bookmarkStart w:id="724" w:name="_Toc486160929"/>
      <w:bookmarkStart w:id="725" w:name="_Toc484015673"/>
      <w:r>
        <w:rPr>
          <w:rFonts w:hint="eastAsia" w:ascii="宋体" w:hAnsi="宋体" w:eastAsia="宋体" w:cs="宋体"/>
          <w:b/>
          <w:bCs/>
          <w:color w:val="auto"/>
          <w:sz w:val="28"/>
          <w:szCs w:val="28"/>
          <w:highlight w:val="none"/>
        </w:rPr>
        <w:t>11.6工期提前</w:t>
      </w:r>
      <w:bookmarkEnd w:id="724"/>
      <w:bookmarkEnd w:id="725"/>
    </w:p>
    <w:p w14:paraId="0B546BF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631DE3A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发包人要求提前完工的，双方协商一致后应签订提前完工协议，协议内容包括：</w:t>
      </w:r>
    </w:p>
    <w:p w14:paraId="272F213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（1）提前的时间和修订后的进度计划；</w:t>
      </w:r>
    </w:p>
    <w:p w14:paraId="5963A75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（2）承包人的赶工措施；</w:t>
      </w:r>
    </w:p>
    <w:p w14:paraId="1E0BDC0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（3）发包人为赶工提供的条件；</w:t>
      </w:r>
    </w:p>
    <w:p w14:paraId="0E8F44A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（4）赶工费用（包括利润和奖金）。</w:t>
      </w:r>
    </w:p>
    <w:p w14:paraId="65654C67">
      <w:pPr>
        <w:spacing w:line="360" w:lineRule="auto"/>
        <w:jc w:val="left"/>
        <w:outlineLvl w:val="2"/>
        <w:rPr>
          <w:rFonts w:hint="eastAsia" w:ascii="宋体" w:hAnsi="宋体" w:eastAsia="宋体" w:cs="宋体"/>
          <w:b/>
          <w:bCs/>
          <w:color w:val="auto"/>
          <w:sz w:val="28"/>
          <w:szCs w:val="28"/>
          <w:highlight w:val="none"/>
        </w:rPr>
      </w:pPr>
      <w:bookmarkStart w:id="726" w:name="_Toc96899334"/>
      <w:bookmarkStart w:id="727" w:name="_Toc3857"/>
      <w:bookmarkStart w:id="728" w:name="_Toc2022546220"/>
      <w:bookmarkStart w:id="729" w:name="_Toc20148322"/>
      <w:r>
        <w:rPr>
          <w:rFonts w:hint="eastAsia" w:ascii="宋体" w:hAnsi="宋体" w:eastAsia="宋体" w:cs="宋体"/>
          <w:b/>
          <w:bCs/>
          <w:color w:val="auto"/>
          <w:sz w:val="28"/>
          <w:szCs w:val="28"/>
          <w:highlight w:val="none"/>
        </w:rPr>
        <w:t>12.暂停施工</w:t>
      </w:r>
      <w:bookmarkEnd w:id="726"/>
      <w:bookmarkEnd w:id="727"/>
      <w:bookmarkEnd w:id="728"/>
      <w:bookmarkEnd w:id="729"/>
    </w:p>
    <w:p w14:paraId="7131646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12.1承包人暂停施工的责任</w:t>
      </w:r>
    </w:p>
    <w:p w14:paraId="437550D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因下列暂停施工增加的费用和（或）工期延误由承包人承担：</w:t>
      </w:r>
    </w:p>
    <w:p w14:paraId="2AD1DB8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（1）承包人违约引起的暂停施工；</w:t>
      </w:r>
    </w:p>
    <w:p w14:paraId="7B2C197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（2）由于承包人原因为工程合理施工和安全保障所必需的暂停施工； </w:t>
      </w:r>
    </w:p>
    <w:p w14:paraId="78C87C7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（3）承包人擅自暂停施工；</w:t>
      </w:r>
    </w:p>
    <w:p w14:paraId="370C536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（4）承包人其他原因引起的暂停施工；</w:t>
      </w:r>
    </w:p>
    <w:p w14:paraId="53750B7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（5）专用合同条款约定由承包人承担的其他暂停施工。</w:t>
      </w:r>
    </w:p>
    <w:p w14:paraId="39AD885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12.2发包人暂停施工的责任</w:t>
      </w:r>
    </w:p>
    <w:p w14:paraId="399519B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由于发包人原因引起的暂停施工造成工期延误的，承包人有权要求发包人延长工期和（或）增加费用，并支付合理利润。</w:t>
      </w:r>
    </w:p>
    <w:p w14:paraId="7BC127F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属于下列任何一种情况引起的暂停施工，均为发包人的责任：</w:t>
      </w:r>
    </w:p>
    <w:p w14:paraId="1DFBEA0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（1）由于发包人违约引起的暂停施工；</w:t>
      </w:r>
    </w:p>
    <w:p w14:paraId="39624C4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（2）由于不可抗力的自然或社会因素引起的暂停施工；</w:t>
      </w:r>
    </w:p>
    <w:p w14:paraId="52952FE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（3）专用合同条款中约定的其他由于发包人原因引起的暂停施工。</w:t>
      </w:r>
    </w:p>
    <w:p w14:paraId="0ECD45B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12.3监理人暂停施工指示</w:t>
      </w:r>
    </w:p>
    <w:p w14:paraId="11068BB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4E881E1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0CD47D4C">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12.4暂停施工后的复工</w:t>
      </w:r>
    </w:p>
    <w:p w14:paraId="0C56B6F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0EA07F3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12.4.2 承包人无故拖延和拒绝复工的，由此增加的费用和工期延误由承包人承担；因发包人原因无法按时复工的，承包人有权要求发包人延长工期和（或）增加费用，并支付合理利润。</w:t>
      </w:r>
    </w:p>
    <w:p w14:paraId="234E722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12.5暂停施工持续56天以上</w:t>
      </w:r>
    </w:p>
    <w:p w14:paraId="1EBD004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705432E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12.5.2 由于承包人责任引起的暂停施工，如承包人在收到监理人暂停施工指示后56天内不认真采取有效的复工措施，造成工期延误，可视为承包人违约，应按第22.1款的规定办理。</w:t>
      </w:r>
    </w:p>
    <w:p w14:paraId="48327AD2">
      <w:pPr>
        <w:spacing w:line="360" w:lineRule="auto"/>
        <w:jc w:val="left"/>
        <w:outlineLvl w:val="2"/>
        <w:rPr>
          <w:rFonts w:hint="eastAsia" w:ascii="宋体" w:hAnsi="宋体" w:eastAsia="宋体" w:cs="宋体"/>
          <w:b/>
          <w:bCs/>
          <w:color w:val="auto"/>
          <w:sz w:val="28"/>
          <w:szCs w:val="28"/>
          <w:highlight w:val="none"/>
        </w:rPr>
      </w:pPr>
      <w:bookmarkStart w:id="730" w:name="_Toc20148323"/>
      <w:bookmarkStart w:id="731" w:name="_Toc555194875"/>
      <w:bookmarkStart w:id="732" w:name="_Toc23779"/>
      <w:bookmarkStart w:id="733" w:name="_Toc96899335"/>
      <w:r>
        <w:rPr>
          <w:rFonts w:hint="eastAsia" w:ascii="宋体" w:hAnsi="宋体" w:eastAsia="宋体" w:cs="宋体"/>
          <w:b/>
          <w:bCs/>
          <w:color w:val="auto"/>
          <w:sz w:val="28"/>
          <w:szCs w:val="28"/>
          <w:highlight w:val="none"/>
        </w:rPr>
        <w:t>13.工程质量</w:t>
      </w:r>
      <w:bookmarkEnd w:id="730"/>
      <w:bookmarkEnd w:id="731"/>
      <w:bookmarkEnd w:id="732"/>
      <w:bookmarkEnd w:id="733"/>
    </w:p>
    <w:p w14:paraId="7615920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13.1工程质量要求</w:t>
      </w:r>
    </w:p>
    <w:p w14:paraId="22325F2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13.1.1 工程质量验收按合同约定验收标准执行。</w:t>
      </w:r>
    </w:p>
    <w:p w14:paraId="273E7FE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13.1.2 因承包人原因造成工程质量达不到合同约定验收标准的，监理人有权要求承包人返工直至符合合同要求为止，由此造成的费用增加和（或）工期延误由承包人承担。</w:t>
      </w:r>
    </w:p>
    <w:p w14:paraId="1AC5DDB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13.1.3 因发包人原因造成工程质量达不到合同约定验收标准的，发包人应承担由于承包人返工造成的费用增加和（或）工期延误，并支付承包人合理利润。</w:t>
      </w:r>
    </w:p>
    <w:p w14:paraId="1EF549E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13.2承包人的质量管理</w:t>
      </w:r>
    </w:p>
    <w:p w14:paraId="0DC51D6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64CDF18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13.2.2 承包人应加强对施工人员的质量教育和技术培训，定期考核施工人员的劳动技能，严格执行规范和操作规程。</w:t>
      </w:r>
    </w:p>
    <w:p w14:paraId="0859925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13.3承包人的质量检查</w:t>
      </w:r>
    </w:p>
    <w:p w14:paraId="3FAE844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承包人应按合同约定对材料、工程设备以及工程的所有部位及其施工工艺进行全过程的质量检查和检验，并作详细记录，编制工程质量报表，报送监理人审查。</w:t>
      </w:r>
    </w:p>
    <w:p w14:paraId="34CE686B">
      <w:pPr>
        <w:spacing w:line="360" w:lineRule="auto"/>
        <w:jc w:val="left"/>
        <w:rPr>
          <w:rFonts w:hint="eastAsia" w:ascii="宋体" w:hAnsi="宋体" w:eastAsia="宋体" w:cs="宋体"/>
          <w:b/>
          <w:bCs/>
          <w:color w:val="auto"/>
          <w:sz w:val="28"/>
          <w:szCs w:val="28"/>
          <w:highlight w:val="none"/>
        </w:rPr>
      </w:pPr>
      <w:bookmarkStart w:id="734" w:name="_Toc486160932"/>
      <w:bookmarkStart w:id="735" w:name="_Toc484015676"/>
      <w:r>
        <w:rPr>
          <w:rFonts w:hint="eastAsia" w:ascii="宋体" w:hAnsi="宋体" w:eastAsia="宋体" w:cs="宋体"/>
          <w:b/>
          <w:bCs/>
          <w:color w:val="auto"/>
          <w:sz w:val="28"/>
          <w:szCs w:val="28"/>
          <w:highlight w:val="none"/>
        </w:rPr>
        <w:t>13.4监理人的质量检查</w:t>
      </w:r>
      <w:bookmarkEnd w:id="734"/>
      <w:bookmarkEnd w:id="735"/>
    </w:p>
    <w:p w14:paraId="0827AFF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0B2CB5C">
      <w:pPr>
        <w:spacing w:line="360" w:lineRule="auto"/>
        <w:jc w:val="left"/>
        <w:rPr>
          <w:rFonts w:hint="eastAsia" w:ascii="宋体" w:hAnsi="宋体" w:eastAsia="宋体" w:cs="宋体"/>
          <w:b/>
          <w:bCs/>
          <w:color w:val="auto"/>
          <w:sz w:val="28"/>
          <w:szCs w:val="28"/>
          <w:highlight w:val="none"/>
        </w:rPr>
      </w:pPr>
      <w:bookmarkStart w:id="736" w:name="_Toc486160933"/>
      <w:bookmarkStart w:id="737" w:name="_Toc484015677"/>
      <w:r>
        <w:rPr>
          <w:rFonts w:hint="eastAsia" w:ascii="宋体" w:hAnsi="宋体" w:eastAsia="宋体" w:cs="宋体"/>
          <w:b/>
          <w:bCs/>
          <w:color w:val="auto"/>
          <w:sz w:val="28"/>
          <w:szCs w:val="28"/>
          <w:highlight w:val="none"/>
        </w:rPr>
        <w:t>13.5工程隐蔽部位覆盖前的检查</w:t>
      </w:r>
      <w:bookmarkEnd w:id="736"/>
      <w:bookmarkEnd w:id="737"/>
    </w:p>
    <w:p w14:paraId="37F0DD7F">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13.5.1 通知监理人检查</w:t>
      </w:r>
    </w:p>
    <w:p w14:paraId="4609416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3AF7C4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13.5.2 监理人未到场检查</w:t>
      </w:r>
    </w:p>
    <w:p w14:paraId="67DC02B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2BD86BD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13.5.3 监理人重新检查</w:t>
      </w:r>
    </w:p>
    <w:p w14:paraId="278446D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62D3CF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13.5.4 承包人私自覆盖</w:t>
      </w:r>
    </w:p>
    <w:p w14:paraId="14D2D52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承包人未通知监理人到场检查，私自将工程隐蔽部位覆盖的，监理人有权指示承包人钻孔探测或揭开检查，由此增加的费用和（或）工期延误由承包人承担。</w:t>
      </w:r>
    </w:p>
    <w:p w14:paraId="4FE04E31">
      <w:pPr>
        <w:spacing w:line="360" w:lineRule="auto"/>
        <w:jc w:val="left"/>
        <w:rPr>
          <w:rFonts w:hint="eastAsia" w:ascii="宋体" w:hAnsi="宋体" w:eastAsia="宋体" w:cs="宋体"/>
          <w:b/>
          <w:bCs/>
          <w:color w:val="auto"/>
          <w:sz w:val="28"/>
          <w:szCs w:val="28"/>
          <w:highlight w:val="none"/>
        </w:rPr>
      </w:pPr>
      <w:bookmarkStart w:id="738" w:name="_Toc484015678"/>
      <w:bookmarkStart w:id="739" w:name="_Toc486160934"/>
      <w:r>
        <w:rPr>
          <w:rFonts w:hint="eastAsia" w:ascii="宋体" w:hAnsi="宋体" w:eastAsia="宋体" w:cs="宋体"/>
          <w:b/>
          <w:bCs/>
          <w:color w:val="auto"/>
          <w:sz w:val="28"/>
          <w:szCs w:val="28"/>
          <w:highlight w:val="none"/>
        </w:rPr>
        <w:t>13.6清除不合格工程</w:t>
      </w:r>
      <w:bookmarkEnd w:id="738"/>
      <w:bookmarkEnd w:id="739"/>
    </w:p>
    <w:p w14:paraId="3E84866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2ED4E1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13.6.2 由于发包人提供的材料或工程设备不合格造成的工程不合格，需要承包人采取措施补救的，发包人应承担由此增加的费用和（或）工期延误，并支付承包人合理利润。</w:t>
      </w:r>
    </w:p>
    <w:p w14:paraId="5BDDDD2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13.7质量评定</w:t>
      </w:r>
    </w:p>
    <w:p w14:paraId="1CC3163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13.7.1 发包人应组织承包人进行工程项目划分，并确定单位工程、主要分部工程、重要隐蔽单元工程和关键部位单元工程。</w:t>
      </w:r>
    </w:p>
    <w:p w14:paraId="09B0B69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13.7.2 工程实施过程中，单位工程、主要分部工程、重要隐蔽单元工程和关键部位单元工程的项目划分需要调整时，承包人应报发包人确认。</w:t>
      </w:r>
    </w:p>
    <w:p w14:paraId="095039F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13.7.3 承包人应在单元（工序）工程质量自评合格后，报监理人核定质量等级并签证认可。</w:t>
      </w:r>
    </w:p>
    <w:p w14:paraId="04709EC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D55643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13.7.5 承包人应在分部工程质量自评合格后，报监理人复核和发包人认定。发包人负责按有关规定完成分部工程质量结论报工程质量监督机构核备（核定）手续。</w:t>
      </w:r>
    </w:p>
    <w:p w14:paraId="7E08122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13.7.6 承包人应在单位工程质量自评合格后，报监理人复核和发包人认定。发包人负责按有关规定完成单位工程质量结论报工程质量监督机构核定手续。</w:t>
      </w:r>
    </w:p>
    <w:p w14:paraId="23FE5F3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13.7.7 除专用合同条款另有约定外，工程质量等级分为合格和优良，应分别达到约定的标准。</w:t>
      </w:r>
    </w:p>
    <w:p w14:paraId="448E89D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13.8质量事故处理</w:t>
      </w:r>
    </w:p>
    <w:p w14:paraId="12D497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13.8.1 发生质量事故时，承包人应及时向发包人和监理人报告。</w:t>
      </w:r>
    </w:p>
    <w:p w14:paraId="5E2D022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13.8.2 质量事故调查处理由发包人按相关规定履行手续，承包人应配合。</w:t>
      </w:r>
    </w:p>
    <w:p w14:paraId="66054CD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13.8.3 承包人应对质量缺陷进行备案。发包人委托监理人对质量缺陷备案情况进行监督检查并履行相关手续。</w:t>
      </w:r>
    </w:p>
    <w:p w14:paraId="5773FE9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13.8.4 除专用合同条款另有约定外，工程竣工验收时，发包人负责向竣工验收委员会汇报并提交历次质量缺陷处理的备案资料。</w:t>
      </w:r>
    </w:p>
    <w:p w14:paraId="35E8AD6A">
      <w:pPr>
        <w:spacing w:line="360" w:lineRule="auto"/>
        <w:jc w:val="left"/>
        <w:outlineLvl w:val="2"/>
        <w:rPr>
          <w:rFonts w:hint="eastAsia" w:ascii="宋体" w:hAnsi="宋体" w:eastAsia="宋体" w:cs="宋体"/>
          <w:b/>
          <w:bCs/>
          <w:color w:val="auto"/>
          <w:sz w:val="28"/>
          <w:szCs w:val="28"/>
          <w:highlight w:val="none"/>
        </w:rPr>
      </w:pPr>
      <w:bookmarkStart w:id="740" w:name="_Toc20148324"/>
      <w:bookmarkStart w:id="741" w:name="_Toc96899336"/>
      <w:bookmarkStart w:id="742" w:name="_Toc16841"/>
      <w:bookmarkStart w:id="743" w:name="_Toc909976961"/>
      <w:r>
        <w:rPr>
          <w:rFonts w:hint="eastAsia" w:ascii="宋体" w:hAnsi="宋体" w:eastAsia="宋体" w:cs="宋体"/>
          <w:b/>
          <w:bCs/>
          <w:color w:val="auto"/>
          <w:sz w:val="28"/>
          <w:szCs w:val="28"/>
          <w:highlight w:val="none"/>
        </w:rPr>
        <w:t>14.试验和检验</w:t>
      </w:r>
      <w:bookmarkEnd w:id="740"/>
      <w:bookmarkEnd w:id="741"/>
      <w:bookmarkEnd w:id="742"/>
      <w:bookmarkEnd w:id="743"/>
    </w:p>
    <w:p w14:paraId="57797F2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14.1材料、工程设备和工程的试验和检验</w:t>
      </w:r>
    </w:p>
    <w:p w14:paraId="04566A1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94822A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14.1.2 监理人未按合同约定派员参加试验和检验的，除监理人另有指示外，承包人可自行试验和检验，并应立即将试验和检验结果报送监理人，监理人应签字确认。</w:t>
      </w:r>
    </w:p>
    <w:p w14:paraId="3FF564D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E1FB64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14.1.4 承包人应按相关规定和标准对水泥、钢材等原材料与中间产品质量进行检验，并报监理人复核。</w:t>
      </w:r>
    </w:p>
    <w:p w14:paraId="43CD916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2C92B76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14.1.6 对专用合同条款约定的试块、试件及有关材料，监理人实行见证取样。见证取样资料由承包人制备，记录应真实齐全，监理人、承包人等参与见证取样人员均应在相关文件上签字。</w:t>
      </w:r>
    </w:p>
    <w:p w14:paraId="2951901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14.2现场材料试验</w:t>
      </w:r>
    </w:p>
    <w:p w14:paraId="65411DC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14.2.1 承包人根据合同约定或监理人指示进行的现场材料试验，应由承包人提供试验场所、试验人员、试验设备器材以及其他必要的试验条件。</w:t>
      </w:r>
    </w:p>
    <w:p w14:paraId="4EEDAA4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14.2.2 监理人在必要时可以使用承包人的试验场所、试验设备器材以及其他试验条件，进行以工程质量检查为目的的复核性材料试验，承包人应予以协助。</w:t>
      </w:r>
    </w:p>
    <w:p w14:paraId="55CA82A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14.3现场工艺试验</w:t>
      </w:r>
    </w:p>
    <w:p w14:paraId="2E96F1B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40AF59A8">
      <w:pPr>
        <w:spacing w:line="360" w:lineRule="auto"/>
        <w:jc w:val="left"/>
        <w:outlineLvl w:val="2"/>
        <w:rPr>
          <w:rFonts w:hint="eastAsia" w:ascii="宋体" w:hAnsi="宋体" w:eastAsia="宋体" w:cs="宋体"/>
          <w:b/>
          <w:bCs/>
          <w:color w:val="auto"/>
          <w:sz w:val="28"/>
          <w:szCs w:val="28"/>
          <w:highlight w:val="none"/>
        </w:rPr>
      </w:pPr>
      <w:bookmarkStart w:id="744" w:name="_Toc20148325"/>
      <w:bookmarkStart w:id="745" w:name="_Toc29557"/>
      <w:bookmarkStart w:id="746" w:name="_Toc96899337"/>
      <w:bookmarkStart w:id="747" w:name="_Toc483293850"/>
      <w:r>
        <w:rPr>
          <w:rFonts w:hint="eastAsia" w:ascii="宋体" w:hAnsi="宋体" w:eastAsia="宋体" w:cs="宋体"/>
          <w:b/>
          <w:bCs/>
          <w:color w:val="auto"/>
          <w:sz w:val="28"/>
          <w:szCs w:val="28"/>
          <w:highlight w:val="none"/>
        </w:rPr>
        <w:t>15.变更</w:t>
      </w:r>
      <w:bookmarkEnd w:id="744"/>
      <w:bookmarkEnd w:id="745"/>
      <w:bookmarkEnd w:id="746"/>
      <w:bookmarkEnd w:id="747"/>
    </w:p>
    <w:p w14:paraId="5848BBF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15.1变更的范围和内容</w:t>
      </w:r>
    </w:p>
    <w:p w14:paraId="75CB92A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在履行合同中发生以下情形之一，应按照本款规定进行变更。</w:t>
      </w:r>
    </w:p>
    <w:p w14:paraId="08D121B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（1）取消合同中任何一项工作，但被取消的工作不能转由发包人或其他人实施；</w:t>
      </w:r>
    </w:p>
    <w:p w14:paraId="2031B18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（2）改变合同中任何一项工作的质量或其他特性；</w:t>
      </w:r>
    </w:p>
    <w:p w14:paraId="682D5CE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（3）改变合同工程的基线、标高、位置或尺寸；</w:t>
      </w:r>
    </w:p>
    <w:p w14:paraId="6AFE056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（4）改变合同中任何一项工作的施工时间或改变已批准的施工工艺或顺序；</w:t>
      </w:r>
    </w:p>
    <w:p w14:paraId="279C8C3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（5）为完成工程需要追加的额外工作；</w:t>
      </w:r>
    </w:p>
    <w:p w14:paraId="24DCAE2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（6）增加或减少专用合同条款中约定的关键项目工程量超过其工程总量的一定数量百分比。</w:t>
      </w:r>
    </w:p>
    <w:p w14:paraId="31A8032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上述第（1）～（6）目的变更内容引起工程施工组织和进度计划发生实质性变动和影响其原定的价格时，才予调整该项目的单价。第（6）目情形下单价调整方式在专用合同条款中约定。</w:t>
      </w:r>
    </w:p>
    <w:p w14:paraId="6476277F">
      <w:pPr>
        <w:spacing w:line="360" w:lineRule="auto"/>
        <w:jc w:val="left"/>
        <w:rPr>
          <w:rFonts w:hint="eastAsia" w:ascii="宋体" w:hAnsi="宋体" w:eastAsia="宋体" w:cs="宋体"/>
          <w:b/>
          <w:bCs/>
          <w:color w:val="auto"/>
          <w:sz w:val="28"/>
          <w:szCs w:val="28"/>
          <w:highlight w:val="none"/>
        </w:rPr>
      </w:pPr>
      <w:bookmarkStart w:id="748" w:name="_Toc486160937"/>
      <w:bookmarkStart w:id="749" w:name="_Toc484015681"/>
      <w:r>
        <w:rPr>
          <w:rFonts w:hint="eastAsia" w:ascii="宋体" w:hAnsi="宋体" w:eastAsia="宋体" w:cs="宋体"/>
          <w:b/>
          <w:bCs/>
          <w:color w:val="auto"/>
          <w:sz w:val="28"/>
          <w:szCs w:val="28"/>
          <w:highlight w:val="none"/>
        </w:rPr>
        <w:t>15.2变更权</w:t>
      </w:r>
      <w:bookmarkEnd w:id="748"/>
      <w:bookmarkEnd w:id="749"/>
    </w:p>
    <w:p w14:paraId="4C06E80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在履行合同过程中，经发包人同意，监理人可按第15.3款约定的变更程序向承包人作出变更指示，承包人应遵照执行。没有监理人的变更指示，承包人不得擅自变更。</w:t>
      </w:r>
    </w:p>
    <w:p w14:paraId="5AFEADBE">
      <w:pPr>
        <w:spacing w:line="360" w:lineRule="auto"/>
        <w:jc w:val="left"/>
        <w:rPr>
          <w:rFonts w:hint="eastAsia" w:ascii="宋体" w:hAnsi="宋体" w:eastAsia="宋体" w:cs="宋体"/>
          <w:b/>
          <w:bCs/>
          <w:color w:val="auto"/>
          <w:sz w:val="28"/>
          <w:szCs w:val="28"/>
          <w:highlight w:val="none"/>
        </w:rPr>
      </w:pPr>
      <w:bookmarkStart w:id="750" w:name="_Toc484015682"/>
      <w:bookmarkStart w:id="751" w:name="_Toc486160938"/>
      <w:r>
        <w:rPr>
          <w:rFonts w:hint="eastAsia" w:ascii="宋体" w:hAnsi="宋体" w:eastAsia="宋体" w:cs="宋体"/>
          <w:b/>
          <w:bCs/>
          <w:color w:val="auto"/>
          <w:sz w:val="28"/>
          <w:szCs w:val="28"/>
          <w:highlight w:val="none"/>
        </w:rPr>
        <w:t>15.3变更程序</w:t>
      </w:r>
      <w:bookmarkEnd w:id="750"/>
      <w:bookmarkEnd w:id="751"/>
    </w:p>
    <w:p w14:paraId="5E57206B">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15.3.1 变更的提出</w:t>
      </w:r>
    </w:p>
    <w:p w14:paraId="41A2277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p>
    <w:p w14:paraId="03F8422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（2）在合同履行过程中，发生第15.1款约定情形的，监理人应按照第15.3.3项约定向承包人发出变更指示。</w:t>
      </w:r>
    </w:p>
    <w:p w14:paraId="048EAEB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95F3B8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（4）若承包人收到监理人的变更意向书后认为难以实施此项变更，应立即通知监理人，说明原因并附详细依据。监理人与承包人和发包人协商后确定撤销、改变或不改变原变更意向书。</w:t>
      </w:r>
    </w:p>
    <w:p w14:paraId="40013EE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15.3.2 变更估价</w:t>
      </w:r>
    </w:p>
    <w:p w14:paraId="04E0B2D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4251B91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（2）变更工作影响工期的，承包人应提出调整工期的具体细节。监理人认为有必要时，可要求承包人提交要求提前或延长工期的施工进度计划及相应施工措施等详细资料。</w:t>
      </w:r>
    </w:p>
    <w:p w14:paraId="3577A6B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（3）除专用合同条款对期限另有约定外，监理人收到承包人变更报价书后的14天内，根据第15.4款约定的估价原则，按照第3.5款商定或确定变更价格。</w:t>
      </w:r>
    </w:p>
    <w:p w14:paraId="558BB41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15.3.3 变更指示</w:t>
      </w:r>
    </w:p>
    <w:p w14:paraId="20BD972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（1）变更指示只能由监理人发出。</w:t>
      </w:r>
    </w:p>
    <w:p w14:paraId="5FE5320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（2）变更指示应说明变更的目的、范围、变更内容以及变更的工程量及其进度和技术要求，并附有关图纸和文件。承包人收到变更指示后，应按变更指示进行变更工作。</w:t>
      </w:r>
    </w:p>
    <w:p w14:paraId="2E71BE49">
      <w:pPr>
        <w:spacing w:line="360" w:lineRule="auto"/>
        <w:jc w:val="left"/>
        <w:rPr>
          <w:rFonts w:hint="eastAsia" w:ascii="宋体" w:hAnsi="宋体" w:eastAsia="宋体" w:cs="宋体"/>
          <w:b/>
          <w:bCs/>
          <w:color w:val="auto"/>
          <w:sz w:val="28"/>
          <w:szCs w:val="28"/>
          <w:highlight w:val="none"/>
        </w:rPr>
      </w:pPr>
      <w:bookmarkStart w:id="752" w:name="_Toc484015683"/>
      <w:bookmarkStart w:id="753" w:name="_Toc486160939"/>
      <w:r>
        <w:rPr>
          <w:rFonts w:hint="eastAsia" w:ascii="宋体" w:hAnsi="宋体" w:eastAsia="宋体" w:cs="宋体"/>
          <w:b/>
          <w:bCs/>
          <w:color w:val="auto"/>
          <w:sz w:val="28"/>
          <w:szCs w:val="28"/>
          <w:highlight w:val="none"/>
        </w:rPr>
        <w:t>15.4变更的估价原则</w:t>
      </w:r>
      <w:bookmarkEnd w:id="752"/>
      <w:bookmarkEnd w:id="753"/>
    </w:p>
    <w:p w14:paraId="23F872F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除专用合同条款另有约定外，因变更引起的价格调整按照本款约定处理。</w:t>
      </w:r>
    </w:p>
    <w:p w14:paraId="6837D0B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15.4.1 己标价工程量清单中有适用于变更工作的子目的，采用该子目的单价。</w:t>
      </w:r>
    </w:p>
    <w:p w14:paraId="5674A3D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15.4.2 已标价工程量清单中无适用于变更工作的子目，但有类似子目的，可在合理范围内参照类似子目的单价，由监理人按第3.5款商定或确定变更工作的单价。</w:t>
      </w:r>
    </w:p>
    <w:p w14:paraId="4699A6D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15.4.3 已标价工程量清单中无适用或类似子目的单价，可按照成本加利润的原则，由监理人按第3.5款商定或确定变更工作的单价。</w:t>
      </w:r>
    </w:p>
    <w:p w14:paraId="7264F6A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15.5承包人的合理化建议</w:t>
      </w:r>
    </w:p>
    <w:p w14:paraId="150893C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76959E4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15.5.2 承包人提出的合理化建议降低了合同价格、缩短了工期或者提高了工程经济效益的，发包人可按国家有关规定在专用合同条款中约定给予奖励。</w:t>
      </w:r>
    </w:p>
    <w:p w14:paraId="451590E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15.6暂列金额</w:t>
      </w:r>
    </w:p>
    <w:p w14:paraId="21076C8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暂列金额只能按照监理人的指示使用，并对合同价格进行相应调整。</w:t>
      </w:r>
    </w:p>
    <w:p w14:paraId="02AF08FF">
      <w:pPr>
        <w:spacing w:line="360" w:lineRule="auto"/>
        <w:jc w:val="left"/>
        <w:rPr>
          <w:rFonts w:hint="eastAsia" w:ascii="宋体" w:hAnsi="宋体" w:eastAsia="宋体" w:cs="宋体"/>
          <w:b/>
          <w:bCs/>
          <w:color w:val="auto"/>
          <w:sz w:val="28"/>
          <w:szCs w:val="28"/>
          <w:highlight w:val="none"/>
        </w:rPr>
      </w:pPr>
      <w:bookmarkStart w:id="754" w:name="_Toc484015684"/>
      <w:bookmarkStart w:id="755" w:name="_Toc486160940"/>
      <w:r>
        <w:rPr>
          <w:rFonts w:hint="eastAsia" w:ascii="宋体" w:hAnsi="宋体" w:eastAsia="宋体" w:cs="宋体"/>
          <w:b/>
          <w:bCs/>
          <w:color w:val="auto"/>
          <w:sz w:val="28"/>
          <w:szCs w:val="28"/>
          <w:highlight w:val="none"/>
        </w:rPr>
        <w:t>15.7计日工</w:t>
      </w:r>
      <w:bookmarkEnd w:id="754"/>
      <w:bookmarkEnd w:id="755"/>
    </w:p>
    <w:p w14:paraId="5E6A739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15.7.1 发包人认为有必要时，由监理人通知承包人以计日工方式实施变更的零星工作。其价款按列入已标价工程量清单中的计日工计价子目及其单价进行计算。</w:t>
      </w:r>
    </w:p>
    <w:p w14:paraId="3A18DF8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15.7.2 采用计日工计价的任何一项变更工作，应从暂列金额中支付，承包人应在该项变更的实施过程中，每天提交以下报表和有关凭证报送监理人审批：</w:t>
      </w:r>
    </w:p>
    <w:p w14:paraId="02CD3AB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（1）工作名称、内容和数量；</w:t>
      </w:r>
    </w:p>
    <w:p w14:paraId="4A22C91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（2）投入该工作所有人员的姓名、工种、级别和耗用工时；</w:t>
      </w:r>
    </w:p>
    <w:p w14:paraId="5ADA38D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（3）投入该工作的材料类别和数量；</w:t>
      </w:r>
    </w:p>
    <w:p w14:paraId="4CFE8FD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（4）投入该工作的施工设备型号、台数和耗用台时；</w:t>
      </w:r>
    </w:p>
    <w:p w14:paraId="656F5DB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（5）监理人要求提交的其他资料和凭证。</w:t>
      </w:r>
    </w:p>
    <w:p w14:paraId="37CB8AE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15.7.3 计日工由承包人汇总后，按第17.3.2项的约定列入进度付款申请单，由监理人复核并经发包人同意后列入进度付款。</w:t>
      </w:r>
    </w:p>
    <w:p w14:paraId="045B524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15.8暂估价</w:t>
      </w:r>
    </w:p>
    <w:p w14:paraId="15FE9F5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49F0E78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1E61A4BF">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29577BBC">
      <w:pPr>
        <w:spacing w:line="360" w:lineRule="auto"/>
        <w:jc w:val="left"/>
        <w:outlineLvl w:val="2"/>
        <w:rPr>
          <w:rFonts w:hint="eastAsia" w:ascii="宋体" w:hAnsi="宋体" w:eastAsia="宋体" w:cs="宋体"/>
          <w:b/>
          <w:bCs/>
          <w:color w:val="auto"/>
          <w:sz w:val="28"/>
          <w:szCs w:val="28"/>
          <w:highlight w:val="none"/>
        </w:rPr>
      </w:pPr>
      <w:bookmarkStart w:id="756" w:name="_Toc96899338"/>
      <w:bookmarkStart w:id="757" w:name="_Toc20148326"/>
      <w:bookmarkStart w:id="758" w:name="_Toc1243959347"/>
      <w:bookmarkStart w:id="759" w:name="_Toc6925"/>
      <w:r>
        <w:rPr>
          <w:rFonts w:hint="eastAsia" w:ascii="宋体" w:hAnsi="宋体" w:eastAsia="宋体" w:cs="宋体"/>
          <w:b/>
          <w:bCs/>
          <w:color w:val="auto"/>
          <w:sz w:val="28"/>
          <w:szCs w:val="28"/>
          <w:highlight w:val="none"/>
        </w:rPr>
        <w:t>16.价格调整</w:t>
      </w:r>
      <w:bookmarkEnd w:id="756"/>
      <w:bookmarkEnd w:id="757"/>
      <w:bookmarkEnd w:id="758"/>
      <w:bookmarkEnd w:id="759"/>
    </w:p>
    <w:p w14:paraId="0FB6FB6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16.1物价波动引起的价格调整</w:t>
      </w:r>
    </w:p>
    <w:p w14:paraId="0431C72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由于物价波动原因引起合同价格需要调整的，其价格调整方式在专用合同条款中约定。</w:t>
      </w:r>
    </w:p>
    <w:p w14:paraId="0D94B3D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16.1.1采用价格指数调整价格差额</w:t>
      </w:r>
    </w:p>
    <w:p w14:paraId="0C36F6C8">
      <w:pPr>
        <w:spacing w:line="360" w:lineRule="auto"/>
        <w:rPr>
          <w:rFonts w:hint="eastAsia" w:ascii="宋体" w:hAnsi="宋体" w:eastAsia="宋体" w:cs="宋体"/>
          <w:color w:val="auto"/>
          <w:kern w:val="0"/>
          <w:sz w:val="24"/>
          <w:highlight w:val="none"/>
        </w:rPr>
      </w:pPr>
      <w:bookmarkStart w:id="760" w:name="_Toc486160942"/>
      <w:bookmarkStart w:id="761" w:name="_Toc484015686"/>
      <w:r>
        <w:rPr>
          <w:rFonts w:hint="eastAsia" w:ascii="宋体" w:hAnsi="宋体" w:eastAsia="宋体" w:cs="宋体"/>
          <w:color w:val="auto"/>
          <w:kern w:val="0"/>
          <w:sz w:val="24"/>
          <w:highlight w:val="none"/>
        </w:rPr>
        <w:t>16.1.1.1 价格调整公式</w:t>
      </w:r>
      <w:bookmarkEnd w:id="760"/>
      <w:bookmarkEnd w:id="761"/>
    </w:p>
    <w:p w14:paraId="67A4DC9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因人工、材料和设备等价格波动影响合同价格时，根据投标函附录中的价格指数和权重表约定的数据，按以下公式计算差额并调整合同价格。</w:t>
      </w:r>
    </w:p>
    <w:p w14:paraId="67EA6E7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△P= P0｛A+【B1（Ft1/ Fo1）＋B2（Ft2/ Fo2）＋B3（Ft3/ Fo3）＋…＋Bn（Ftn/ Fon）】-1｝</w:t>
      </w:r>
    </w:p>
    <w:p w14:paraId="44E8263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式中：△P--需调整的价格差额；</w:t>
      </w:r>
    </w:p>
    <w:p w14:paraId="34FA00F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18066A2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A--定值权重（即不调部分的权重）；</w:t>
      </w:r>
    </w:p>
    <w:p w14:paraId="19EA03D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B1；B2；B3……Bn --各可调因子的变值权重（即可调部分的权重）为各可调因子在投标函投标总报价中所占的比例；</w:t>
      </w:r>
    </w:p>
    <w:p w14:paraId="6E1EE0B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Ft1；Ft2；Ft3……Ftn--各可调因子的现行价格指数，指第17.3.3项、第17.5.2项和第17.6.2项约定的付款证书相关周期最后一天的前42天的各可调因子的价格指数；</w:t>
      </w:r>
    </w:p>
    <w:p w14:paraId="372C901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Fo1；Fo2；Fo3……Fon --各可调因子的基本价格指数，指基准日期的各可调因子的价格指数。</w:t>
      </w:r>
    </w:p>
    <w:p w14:paraId="7C4F61E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DA3BAA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16.1.1.2 暂时确定调整差额</w:t>
      </w:r>
    </w:p>
    <w:p w14:paraId="1604048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在计算调整差额时得不到现行价格指数的，可暂用上一次价格指数计算，并在以后的付款中再按实际价格指数进行调整。</w:t>
      </w:r>
    </w:p>
    <w:p w14:paraId="6EBD3A58">
      <w:pPr>
        <w:spacing w:line="360" w:lineRule="auto"/>
        <w:rPr>
          <w:rFonts w:hint="eastAsia" w:ascii="宋体" w:hAnsi="宋体" w:eastAsia="宋体" w:cs="宋体"/>
          <w:color w:val="auto"/>
          <w:kern w:val="0"/>
          <w:sz w:val="24"/>
          <w:highlight w:val="none"/>
        </w:rPr>
      </w:pPr>
      <w:bookmarkStart w:id="762" w:name="_Toc484015687"/>
      <w:bookmarkStart w:id="763" w:name="_Toc486160943"/>
      <w:r>
        <w:rPr>
          <w:rFonts w:hint="eastAsia" w:ascii="宋体" w:hAnsi="宋体" w:eastAsia="宋体" w:cs="宋体"/>
          <w:color w:val="auto"/>
          <w:kern w:val="0"/>
          <w:sz w:val="24"/>
          <w:highlight w:val="none"/>
        </w:rPr>
        <w:t>16.1.1.3 权重的调整</w:t>
      </w:r>
      <w:bookmarkEnd w:id="762"/>
      <w:bookmarkEnd w:id="763"/>
    </w:p>
    <w:p w14:paraId="2051FAE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按第15.1款约定的变更导致原定合同中的权重不合理时，由监理人与承包人和发包人协商后进行调整。</w:t>
      </w:r>
    </w:p>
    <w:p w14:paraId="7691F705">
      <w:pPr>
        <w:spacing w:line="360" w:lineRule="auto"/>
        <w:rPr>
          <w:rFonts w:hint="eastAsia" w:ascii="宋体" w:hAnsi="宋体" w:eastAsia="宋体" w:cs="宋体"/>
          <w:color w:val="auto"/>
          <w:kern w:val="0"/>
          <w:sz w:val="24"/>
          <w:highlight w:val="none"/>
        </w:rPr>
      </w:pPr>
      <w:bookmarkStart w:id="764" w:name="_Toc486160944"/>
      <w:bookmarkStart w:id="765" w:name="_Toc484015688"/>
      <w:r>
        <w:rPr>
          <w:rFonts w:hint="eastAsia" w:ascii="宋体" w:hAnsi="宋体" w:eastAsia="宋体" w:cs="宋体"/>
          <w:color w:val="auto"/>
          <w:kern w:val="0"/>
          <w:sz w:val="24"/>
          <w:highlight w:val="none"/>
        </w:rPr>
        <w:t>16.1.1.4 承包人工期延误后的价格调整</w:t>
      </w:r>
      <w:bookmarkEnd w:id="764"/>
      <w:bookmarkEnd w:id="765"/>
    </w:p>
    <w:p w14:paraId="6D95A82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由于承包人原因未在约定的工期内完工的，则对原约定完工日期后继续施工的工程，在使用第16.1.1.1目价格调整公式时，应采用原约定完工日期与实际完工日期的两个价格指数中较低的一个作为现行价格指数。</w:t>
      </w:r>
    </w:p>
    <w:p w14:paraId="24F00AC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16.1.2  采用造价信息调整价格差额</w:t>
      </w:r>
    </w:p>
    <w:p w14:paraId="0033431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086D28E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工程造价信息的来源以及价格调整的项目和系数在专用合同条款中约定。</w:t>
      </w:r>
    </w:p>
    <w:p w14:paraId="742B6949">
      <w:pPr>
        <w:spacing w:line="360" w:lineRule="auto"/>
        <w:jc w:val="left"/>
        <w:rPr>
          <w:rFonts w:hint="eastAsia" w:ascii="宋体" w:hAnsi="宋体" w:eastAsia="宋体" w:cs="宋体"/>
          <w:b/>
          <w:bCs/>
          <w:color w:val="auto"/>
          <w:sz w:val="28"/>
          <w:szCs w:val="28"/>
          <w:highlight w:val="none"/>
        </w:rPr>
      </w:pPr>
      <w:bookmarkStart w:id="766" w:name="_Toc486160945"/>
      <w:bookmarkStart w:id="767" w:name="_Toc484015689"/>
      <w:r>
        <w:rPr>
          <w:rFonts w:hint="eastAsia" w:ascii="宋体" w:hAnsi="宋体" w:eastAsia="宋体" w:cs="宋体"/>
          <w:b/>
          <w:bCs/>
          <w:color w:val="auto"/>
          <w:sz w:val="28"/>
          <w:szCs w:val="28"/>
          <w:highlight w:val="none"/>
        </w:rPr>
        <w:t>16.2法律变化引起的价格调整</w:t>
      </w:r>
      <w:bookmarkEnd w:id="766"/>
      <w:bookmarkEnd w:id="767"/>
    </w:p>
    <w:p w14:paraId="0F26577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1351898C">
      <w:pPr>
        <w:spacing w:line="360" w:lineRule="auto"/>
        <w:jc w:val="left"/>
        <w:outlineLvl w:val="2"/>
        <w:rPr>
          <w:rFonts w:hint="eastAsia" w:ascii="宋体" w:hAnsi="宋体" w:eastAsia="宋体" w:cs="宋体"/>
          <w:b/>
          <w:bCs/>
          <w:color w:val="auto"/>
          <w:sz w:val="28"/>
          <w:szCs w:val="28"/>
          <w:highlight w:val="none"/>
        </w:rPr>
      </w:pPr>
      <w:bookmarkStart w:id="768" w:name="_Toc96899339"/>
      <w:bookmarkStart w:id="769" w:name="_Toc594837191"/>
      <w:bookmarkStart w:id="770" w:name="_Toc20148327"/>
      <w:bookmarkStart w:id="771" w:name="_Toc5469"/>
      <w:r>
        <w:rPr>
          <w:rFonts w:hint="eastAsia" w:ascii="宋体" w:hAnsi="宋体" w:eastAsia="宋体" w:cs="宋体"/>
          <w:b/>
          <w:bCs/>
          <w:color w:val="auto"/>
          <w:sz w:val="28"/>
          <w:szCs w:val="28"/>
          <w:highlight w:val="none"/>
        </w:rPr>
        <w:t>17.计量与支付</w:t>
      </w:r>
      <w:bookmarkEnd w:id="768"/>
      <w:bookmarkEnd w:id="769"/>
      <w:bookmarkEnd w:id="770"/>
      <w:bookmarkEnd w:id="771"/>
    </w:p>
    <w:p w14:paraId="520B337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17.1计量</w:t>
      </w:r>
    </w:p>
    <w:p w14:paraId="67D5FA2A">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17.1.1 计量单位</w:t>
      </w:r>
    </w:p>
    <w:p w14:paraId="5568D18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计量采用国家法定的计量单位。</w:t>
      </w:r>
    </w:p>
    <w:p w14:paraId="388BCB7C">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17.1.2 计量方法</w:t>
      </w:r>
    </w:p>
    <w:p w14:paraId="1E833D4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结算工程量应按工程量清单中约定的方法计量。</w:t>
      </w:r>
    </w:p>
    <w:p w14:paraId="4047CA5B">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17.1.3 计量周期</w:t>
      </w:r>
    </w:p>
    <w:p w14:paraId="6C723C6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除专用合同条款另有约定外，单价子目已完成工程量按月计量，总价子目的计量周期按批准的支付分解报告确定。</w:t>
      </w:r>
    </w:p>
    <w:p w14:paraId="34619F80">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17.1.4 单价子目的计量</w:t>
      </w:r>
    </w:p>
    <w:p w14:paraId="50031BC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（1）己标价工程量清单中的单价子目工程量为估算工程量。结算工程量是承包人实际完成的，并按合同约定的计量方法进行计量的工程量。</w:t>
      </w:r>
    </w:p>
    <w:p w14:paraId="7708E00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（2）承包人对已完成的工程进行计量，向监理人提交进度付款申请单、已完成工程量报表和有关计量资料。</w:t>
      </w:r>
    </w:p>
    <w:p w14:paraId="0F2421E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A47503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（4）监理人认为有必要时，可通知承包人共同进行联合测量、计量，承包人应遵照执行。</w:t>
      </w:r>
    </w:p>
    <w:p w14:paraId="5B6473F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604CC04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（6）监理人应在收到承包人提交的工程量报表后的7天内进行复核，监理人未在约定时间内复核的，承包人提交的工程量报表中的工程量视为承包人实际完成的工程量，据此计算工程价款。</w:t>
      </w:r>
    </w:p>
    <w:p w14:paraId="1A44D06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17.1.5 总价子目的计量</w:t>
      </w:r>
    </w:p>
    <w:p w14:paraId="72F0CAB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总价子目的分解和计量按照下述约定进行。</w:t>
      </w:r>
    </w:p>
    <w:p w14:paraId="799AE02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（1）总价子目的计量和支付应以总价为基础，不因第16.1款中的因素而进行调整。承包人实际完成的工程量，是进行工程目标管理和控制进度支付的依据。</w:t>
      </w:r>
    </w:p>
    <w:p w14:paraId="571B7E7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10CE964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（3）监理人对承包人提交的上述资料进行复核，以确定分阶段实际完成的工程量和工程形象目标。对其有异议的，可要求承包人按第8.2款约定进行共同复核和抽样复测。</w:t>
      </w:r>
    </w:p>
    <w:p w14:paraId="12F1FE9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（4）除按照第15条约定的变更外，总价子目的工程量是承包人用于结算的最终工程量。</w:t>
      </w:r>
    </w:p>
    <w:p w14:paraId="24F68FA5">
      <w:pPr>
        <w:spacing w:line="360" w:lineRule="auto"/>
        <w:jc w:val="left"/>
        <w:rPr>
          <w:rFonts w:hint="eastAsia" w:ascii="宋体" w:hAnsi="宋体" w:eastAsia="宋体" w:cs="宋体"/>
          <w:b/>
          <w:bCs/>
          <w:color w:val="auto"/>
          <w:sz w:val="28"/>
          <w:szCs w:val="28"/>
          <w:highlight w:val="none"/>
        </w:rPr>
      </w:pPr>
      <w:bookmarkStart w:id="772" w:name="_Toc484015691"/>
      <w:bookmarkStart w:id="773" w:name="_Toc486160947"/>
      <w:r>
        <w:rPr>
          <w:rFonts w:hint="eastAsia" w:ascii="宋体" w:hAnsi="宋体" w:eastAsia="宋体" w:cs="宋体"/>
          <w:b/>
          <w:bCs/>
          <w:color w:val="auto"/>
          <w:sz w:val="28"/>
          <w:szCs w:val="28"/>
          <w:highlight w:val="none"/>
        </w:rPr>
        <w:t>17.2预付款</w:t>
      </w:r>
      <w:bookmarkEnd w:id="772"/>
      <w:bookmarkEnd w:id="773"/>
    </w:p>
    <w:p w14:paraId="54BF706C">
      <w:pPr>
        <w:spacing w:line="360" w:lineRule="auto"/>
        <w:jc w:val="left"/>
        <w:rPr>
          <w:rFonts w:hint="eastAsia" w:ascii="宋体" w:hAnsi="宋体" w:eastAsia="宋体" w:cs="宋体"/>
          <w:b/>
          <w:color w:val="auto"/>
          <w:sz w:val="24"/>
          <w:highlight w:val="none"/>
        </w:rPr>
      </w:pPr>
      <w:bookmarkStart w:id="774" w:name="_Toc484015692"/>
      <w:bookmarkStart w:id="775" w:name="_Toc486160948"/>
      <w:r>
        <w:rPr>
          <w:rFonts w:hint="eastAsia" w:ascii="宋体" w:hAnsi="宋体" w:eastAsia="宋体" w:cs="宋体"/>
          <w:b/>
          <w:color w:val="auto"/>
          <w:sz w:val="24"/>
          <w:highlight w:val="none"/>
        </w:rPr>
        <w:t>17.2.1 预付款</w:t>
      </w:r>
      <w:bookmarkEnd w:id="774"/>
      <w:bookmarkEnd w:id="775"/>
    </w:p>
    <w:p w14:paraId="2330EB4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5DCF695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17.2.2 预付款保函（担保）</w:t>
      </w:r>
    </w:p>
    <w:p w14:paraId="0DB7544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（1）承包人应在收到第一次工程预付款的同时向发包人提交工程预付款担保，担保金额应与第一次工程预付款金额相同，工程预付款担保在第一次工程预付款被发包人扣回前一直有效。</w:t>
      </w:r>
    </w:p>
    <w:p w14:paraId="5988971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（2）工程材料预付款的担保在专用合同条款中约定。</w:t>
      </w:r>
    </w:p>
    <w:p w14:paraId="56EAE2D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（3）预付款担保的担保金额可根据预付款扣回的金额相应递减。</w:t>
      </w:r>
    </w:p>
    <w:p w14:paraId="6702AD96">
      <w:pPr>
        <w:spacing w:line="360" w:lineRule="auto"/>
        <w:jc w:val="left"/>
        <w:rPr>
          <w:rFonts w:hint="eastAsia" w:ascii="宋体" w:hAnsi="宋体" w:eastAsia="宋体" w:cs="宋体"/>
          <w:b/>
          <w:color w:val="auto"/>
          <w:sz w:val="24"/>
          <w:highlight w:val="none"/>
        </w:rPr>
      </w:pPr>
      <w:bookmarkStart w:id="776" w:name="_Toc484015693"/>
      <w:bookmarkStart w:id="777" w:name="_Toc486160949"/>
      <w:r>
        <w:rPr>
          <w:rFonts w:hint="eastAsia" w:ascii="宋体" w:hAnsi="宋体" w:eastAsia="宋体" w:cs="宋体"/>
          <w:b/>
          <w:color w:val="auto"/>
          <w:sz w:val="24"/>
          <w:highlight w:val="none"/>
        </w:rPr>
        <w:t>17.2.3 预付款的扣回与还清</w:t>
      </w:r>
      <w:bookmarkEnd w:id="776"/>
      <w:bookmarkEnd w:id="777"/>
    </w:p>
    <w:p w14:paraId="53DFB86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预付款在进度付款中扣回，扣回与还清办法在专用合同条款中约定。在颁发合同工程完工证书前，由于不可抗力或其他原因解除合同时，预付款尚未扣清的，尚未扣清的预付款余额应作为承包人的到期应付款。 </w:t>
      </w:r>
    </w:p>
    <w:p w14:paraId="2B58B96D">
      <w:pPr>
        <w:spacing w:line="360" w:lineRule="auto"/>
        <w:jc w:val="left"/>
        <w:rPr>
          <w:rFonts w:hint="eastAsia" w:ascii="宋体" w:hAnsi="宋体" w:eastAsia="宋体" w:cs="宋体"/>
          <w:b/>
          <w:bCs/>
          <w:color w:val="auto"/>
          <w:sz w:val="28"/>
          <w:szCs w:val="28"/>
          <w:highlight w:val="none"/>
        </w:rPr>
      </w:pPr>
      <w:bookmarkStart w:id="778" w:name="_Toc484015694"/>
      <w:bookmarkStart w:id="779" w:name="_Toc486160950"/>
      <w:r>
        <w:rPr>
          <w:rFonts w:hint="eastAsia" w:ascii="宋体" w:hAnsi="宋体" w:eastAsia="宋体" w:cs="宋体"/>
          <w:b/>
          <w:bCs/>
          <w:color w:val="auto"/>
          <w:sz w:val="28"/>
          <w:szCs w:val="28"/>
          <w:highlight w:val="none"/>
        </w:rPr>
        <w:t>17.3工程进度付款</w:t>
      </w:r>
      <w:bookmarkEnd w:id="778"/>
      <w:bookmarkEnd w:id="779"/>
    </w:p>
    <w:p w14:paraId="3E95235A">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17.3.1 付款周期</w:t>
      </w:r>
    </w:p>
    <w:p w14:paraId="005E67A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付款周期同计量周期。</w:t>
      </w:r>
    </w:p>
    <w:p w14:paraId="7F50F6A3">
      <w:pPr>
        <w:spacing w:line="360" w:lineRule="auto"/>
        <w:rPr>
          <w:rFonts w:hint="eastAsia" w:ascii="宋体" w:hAnsi="宋体" w:eastAsia="宋体" w:cs="宋体"/>
          <w:b/>
          <w:color w:val="auto"/>
          <w:sz w:val="24"/>
          <w:highlight w:val="none"/>
        </w:rPr>
      </w:pPr>
      <w:bookmarkStart w:id="780" w:name="_Toc484015695"/>
      <w:bookmarkStart w:id="781" w:name="_Toc486160951"/>
      <w:r>
        <w:rPr>
          <w:rFonts w:hint="eastAsia" w:ascii="宋体" w:hAnsi="宋体" w:eastAsia="宋体" w:cs="宋体"/>
          <w:b/>
          <w:color w:val="auto"/>
          <w:sz w:val="24"/>
          <w:highlight w:val="none"/>
        </w:rPr>
        <w:t>17.3.2 进度付款申请单</w:t>
      </w:r>
      <w:bookmarkEnd w:id="780"/>
      <w:bookmarkEnd w:id="781"/>
    </w:p>
    <w:p w14:paraId="383EA67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380E394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（1）截至本次付款周期末已实施工程的价款；</w:t>
      </w:r>
    </w:p>
    <w:p w14:paraId="1F6F6FE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（2）根据第15条应增加和扣减的变更金额；</w:t>
      </w:r>
    </w:p>
    <w:p w14:paraId="1F1884B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（3）根据第23条应增加和扣减的索赔金额；</w:t>
      </w:r>
    </w:p>
    <w:p w14:paraId="014DE20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（4）根据第17.2款约定应支付的预付款和扣减的返还预付款；</w:t>
      </w:r>
    </w:p>
    <w:p w14:paraId="3808717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（5）根据第17.4.1项约定应扣减的质量保证金；</w:t>
      </w:r>
    </w:p>
    <w:p w14:paraId="2D7D963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（6）根据合同应增加和扣减的其他金额。</w:t>
      </w:r>
    </w:p>
    <w:p w14:paraId="6D42B460">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17.3.3 进度付款证书和支付时间</w:t>
      </w:r>
    </w:p>
    <w:p w14:paraId="32BC601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23CF53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（2）发包人应在监理人收到进度付款申请单后的28天内，将进度应付款支付给承包人。发包人不按期支付的，按专用合同条款的约定支付逾期付款违约金。</w:t>
      </w:r>
    </w:p>
    <w:p w14:paraId="46A830B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（3）监理人出具进度付款证书，不应视为监理人己同意、批准或接受了承包人完成的该部分工作。</w:t>
      </w:r>
    </w:p>
    <w:p w14:paraId="620F8E9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（4）进度付款涉及政府投资资金的，按照国库集中支付等国家相关规定和专用合同条款的约定办理。</w:t>
      </w:r>
    </w:p>
    <w:p w14:paraId="69336DB6">
      <w:pPr>
        <w:spacing w:line="360" w:lineRule="auto"/>
        <w:jc w:val="left"/>
        <w:rPr>
          <w:rFonts w:hint="eastAsia" w:ascii="宋体" w:hAnsi="宋体" w:eastAsia="宋体" w:cs="宋体"/>
          <w:b/>
          <w:color w:val="auto"/>
          <w:sz w:val="24"/>
          <w:highlight w:val="none"/>
        </w:rPr>
      </w:pPr>
      <w:bookmarkStart w:id="782" w:name="_Toc486160952"/>
      <w:bookmarkStart w:id="783" w:name="_Toc484015696"/>
      <w:r>
        <w:rPr>
          <w:rFonts w:hint="eastAsia" w:ascii="宋体" w:hAnsi="宋体" w:eastAsia="宋体" w:cs="宋体"/>
          <w:b/>
          <w:color w:val="auto"/>
          <w:sz w:val="24"/>
          <w:highlight w:val="none"/>
        </w:rPr>
        <w:t>17.3.4 工程进度付款的修正</w:t>
      </w:r>
      <w:bookmarkEnd w:id="782"/>
      <w:bookmarkEnd w:id="783"/>
    </w:p>
    <w:p w14:paraId="00CB94C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687227B3">
      <w:pPr>
        <w:spacing w:line="360" w:lineRule="auto"/>
        <w:jc w:val="left"/>
        <w:rPr>
          <w:rFonts w:hint="eastAsia" w:ascii="宋体" w:hAnsi="宋体" w:eastAsia="宋体" w:cs="宋体"/>
          <w:b/>
          <w:bCs/>
          <w:color w:val="auto"/>
          <w:sz w:val="28"/>
          <w:szCs w:val="28"/>
          <w:highlight w:val="none"/>
        </w:rPr>
      </w:pPr>
      <w:bookmarkStart w:id="784" w:name="_Toc484015697"/>
      <w:bookmarkStart w:id="785" w:name="_Toc486160953"/>
      <w:r>
        <w:rPr>
          <w:rFonts w:hint="eastAsia" w:ascii="宋体" w:hAnsi="宋体" w:eastAsia="宋体" w:cs="宋体"/>
          <w:b/>
          <w:bCs/>
          <w:color w:val="auto"/>
          <w:sz w:val="28"/>
          <w:szCs w:val="28"/>
          <w:highlight w:val="none"/>
        </w:rPr>
        <w:t>17.4质量保证金</w:t>
      </w:r>
      <w:bookmarkEnd w:id="784"/>
      <w:bookmarkEnd w:id="785"/>
    </w:p>
    <w:p w14:paraId="7EFD1D2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42306BA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5ED80A6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17.4.3 在第1.1.4.5目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p>
    <w:p w14:paraId="499181C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17.5竣工结算（完工结算）</w:t>
      </w:r>
    </w:p>
    <w:p w14:paraId="14E5D9A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17.5.1  </w:t>
      </w:r>
      <w:r>
        <w:rPr>
          <w:rFonts w:hint="eastAsia" w:ascii="宋体" w:hAnsi="宋体" w:eastAsia="宋体" w:cs="宋体"/>
          <w:b/>
          <w:color w:val="auto"/>
          <w:kern w:val="0"/>
          <w:sz w:val="24"/>
          <w:highlight w:val="none"/>
        </w:rPr>
        <w:t>竣工</w:t>
      </w:r>
      <w:r>
        <w:rPr>
          <w:rFonts w:hint="eastAsia" w:ascii="宋体" w:hAnsi="宋体" w:eastAsia="宋体" w:cs="宋体"/>
          <w:b/>
          <w:color w:val="auto"/>
          <w:sz w:val="24"/>
          <w:highlight w:val="none"/>
        </w:rPr>
        <w:t>（完工）付款申请单</w:t>
      </w:r>
    </w:p>
    <w:p w14:paraId="710618F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3325E46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（2）监理人对完工付款申请单有异议的，有权要求承包人进行修正和提供补充资料。经监理人和承包人协商后，由承包人向监理人提交修正后的完工付款申请单。</w:t>
      </w:r>
    </w:p>
    <w:p w14:paraId="1FBB91B7">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17.5.2  竣工（完工）付款证书及支付时间</w:t>
      </w:r>
    </w:p>
    <w:p w14:paraId="4AD581F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685677D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（2）发包人应在监理人出具完工付款证书后的14天内，将应支付款支付给承包人。发包人不按期支付的，按第17.3.3（2）目的约定，将逾期付款违约金支付给承包人。</w:t>
      </w:r>
    </w:p>
    <w:p w14:paraId="03245F1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（3）承包人对发包人签认的完工付款证书有异议的，发包人可出具完工付款申请单中承包人已同意部分的临时付款证书。存在争议的部分，按第24条的约定办理。</w:t>
      </w:r>
    </w:p>
    <w:p w14:paraId="5988587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（4）完工付款涉及政府投资资金的，按第17.3.3（4）目的约定办理。</w:t>
      </w:r>
    </w:p>
    <w:p w14:paraId="7DE7ACB5">
      <w:pPr>
        <w:spacing w:line="360" w:lineRule="auto"/>
        <w:jc w:val="left"/>
        <w:rPr>
          <w:rFonts w:hint="eastAsia" w:ascii="宋体" w:hAnsi="宋体" w:eastAsia="宋体" w:cs="宋体"/>
          <w:b/>
          <w:bCs/>
          <w:color w:val="auto"/>
          <w:sz w:val="28"/>
          <w:szCs w:val="28"/>
          <w:highlight w:val="none"/>
        </w:rPr>
      </w:pPr>
      <w:bookmarkStart w:id="786" w:name="_Toc484015698"/>
      <w:bookmarkStart w:id="787" w:name="_Toc486160954"/>
      <w:r>
        <w:rPr>
          <w:rFonts w:hint="eastAsia" w:ascii="宋体" w:hAnsi="宋体" w:eastAsia="宋体" w:cs="宋体"/>
          <w:b/>
          <w:bCs/>
          <w:color w:val="auto"/>
          <w:sz w:val="28"/>
          <w:szCs w:val="28"/>
          <w:highlight w:val="none"/>
        </w:rPr>
        <w:t>17.6最终结清</w:t>
      </w:r>
      <w:bookmarkEnd w:id="786"/>
      <w:bookmarkEnd w:id="787"/>
    </w:p>
    <w:p w14:paraId="0D8B4C7C">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17.6.1 最终结清申请单</w:t>
      </w:r>
    </w:p>
    <w:p w14:paraId="1F62E5D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（1）工程质量保修责任终止证书签发后，承包人应按监理人批准的格式提交最终结清申请单。提交最终结清申请单的份数在专用合同条款中约定。</w:t>
      </w:r>
    </w:p>
    <w:p w14:paraId="497A1E6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（2）发包人对最终结清申请单内容有异议的，有权要求承包人进行修正和提供补充资料，由承包人向监理人提交修正后的最终结清申请单。</w:t>
      </w:r>
    </w:p>
    <w:p w14:paraId="1A8D4B6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17.6.2 最终结清证书和支付时间</w:t>
      </w:r>
    </w:p>
    <w:p w14:paraId="0D34D46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3C063A7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（2）发包人应在监理人出具最终结清证书后的14天内，将应支付款支付给承包人。发包人不按期支付的，按第17.3.3（2）目的约定，将逾期付款违约金支付给承包人。</w:t>
      </w:r>
    </w:p>
    <w:p w14:paraId="27109DE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（3）承包人对发包人签认的最终结清证书有异议的，按第24条的约定办理。</w:t>
      </w:r>
    </w:p>
    <w:p w14:paraId="16EEE8E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（4）最终结清付款涉及政府投资资金的，按第17.3.3（4）目的约定办理。</w:t>
      </w:r>
    </w:p>
    <w:p w14:paraId="187B289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17.7竣工财务决算</w:t>
      </w:r>
    </w:p>
    <w:p w14:paraId="1F29B5D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发包人负责编制本工程项目竣工财务决算，承包人应按专用合同条款的约定提供竣工财务决算编制所需的相关材料。</w:t>
      </w:r>
    </w:p>
    <w:p w14:paraId="003829B6">
      <w:pPr>
        <w:spacing w:line="360" w:lineRule="auto"/>
        <w:jc w:val="left"/>
        <w:rPr>
          <w:rFonts w:hint="eastAsia" w:ascii="宋体" w:hAnsi="宋体" w:eastAsia="宋体" w:cs="宋体"/>
          <w:b/>
          <w:bCs/>
          <w:color w:val="auto"/>
          <w:sz w:val="28"/>
          <w:szCs w:val="28"/>
          <w:highlight w:val="none"/>
        </w:rPr>
      </w:pPr>
      <w:bookmarkStart w:id="788" w:name="_Toc484015699"/>
      <w:bookmarkStart w:id="789" w:name="_Toc486160955"/>
      <w:r>
        <w:rPr>
          <w:rFonts w:hint="eastAsia" w:ascii="宋体" w:hAnsi="宋体" w:eastAsia="宋体" w:cs="宋体"/>
          <w:b/>
          <w:bCs/>
          <w:color w:val="auto"/>
          <w:sz w:val="28"/>
          <w:szCs w:val="28"/>
          <w:highlight w:val="none"/>
        </w:rPr>
        <w:t>17.8审计</w:t>
      </w:r>
      <w:bookmarkEnd w:id="788"/>
      <w:bookmarkEnd w:id="789"/>
    </w:p>
    <w:p w14:paraId="49B264C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发包人负责完成本工程竣工审计手续，承包人应完成相关配合工作。</w:t>
      </w:r>
    </w:p>
    <w:p w14:paraId="62247BFA">
      <w:pPr>
        <w:spacing w:line="360" w:lineRule="auto"/>
        <w:jc w:val="left"/>
        <w:outlineLvl w:val="2"/>
        <w:rPr>
          <w:rFonts w:hint="eastAsia" w:ascii="宋体" w:hAnsi="宋体" w:eastAsia="宋体" w:cs="宋体"/>
          <w:b/>
          <w:bCs/>
          <w:color w:val="auto"/>
          <w:sz w:val="28"/>
          <w:szCs w:val="28"/>
          <w:highlight w:val="none"/>
        </w:rPr>
      </w:pPr>
      <w:bookmarkStart w:id="790" w:name="_Toc96899340"/>
      <w:bookmarkStart w:id="791" w:name="_Toc20148328"/>
      <w:bookmarkStart w:id="792" w:name="_Toc7763"/>
      <w:bookmarkStart w:id="793" w:name="_Toc2078799918"/>
      <w:r>
        <w:rPr>
          <w:rFonts w:hint="eastAsia" w:ascii="宋体" w:hAnsi="宋体" w:eastAsia="宋体" w:cs="宋体"/>
          <w:b/>
          <w:bCs/>
          <w:color w:val="auto"/>
          <w:sz w:val="28"/>
          <w:szCs w:val="28"/>
          <w:highlight w:val="none"/>
        </w:rPr>
        <w:t>18.竣工验收（验收）</w:t>
      </w:r>
      <w:bookmarkEnd w:id="790"/>
      <w:bookmarkEnd w:id="791"/>
      <w:bookmarkEnd w:id="792"/>
      <w:bookmarkEnd w:id="793"/>
    </w:p>
    <w:p w14:paraId="1794040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18.1验收工作分类</w:t>
      </w:r>
    </w:p>
    <w:p w14:paraId="32F92A4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3CD87795">
      <w:pPr>
        <w:spacing w:line="360" w:lineRule="auto"/>
        <w:jc w:val="left"/>
        <w:rPr>
          <w:rFonts w:hint="eastAsia" w:ascii="宋体" w:hAnsi="宋体" w:eastAsia="宋体" w:cs="宋体"/>
          <w:b/>
          <w:bCs/>
          <w:color w:val="auto"/>
          <w:sz w:val="28"/>
          <w:szCs w:val="28"/>
          <w:highlight w:val="none"/>
        </w:rPr>
      </w:pPr>
      <w:bookmarkStart w:id="794" w:name="_Toc484015701"/>
      <w:bookmarkStart w:id="795" w:name="_Toc486160957"/>
      <w:r>
        <w:rPr>
          <w:rFonts w:hint="eastAsia" w:ascii="宋体" w:hAnsi="宋体" w:eastAsia="宋体" w:cs="宋体"/>
          <w:b/>
          <w:bCs/>
          <w:color w:val="auto"/>
          <w:sz w:val="28"/>
          <w:szCs w:val="28"/>
          <w:highlight w:val="none"/>
        </w:rPr>
        <w:t>18.2分部工程验收</w:t>
      </w:r>
      <w:bookmarkEnd w:id="794"/>
      <w:bookmarkEnd w:id="795"/>
    </w:p>
    <w:p w14:paraId="07FCDED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18.2.1 分部工程具备验收条件时，承包人应向发包人提交验收申请报告，发包人应在收到验收申请报告之日起10个工作日内决定是否同意进行验收。</w:t>
      </w:r>
    </w:p>
    <w:p w14:paraId="10633BB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18.2.2 除专用合同条款另有约定外，监理人主持分部工程验收，承包人应派符合条件的代表参加验收工作组。</w:t>
      </w:r>
    </w:p>
    <w:p w14:paraId="7256D9C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18.2.3 分部工程验收通过后，发包人向承包人发送分部工程验收鉴定书。承包人应及时完成分部工程验收鉴定书载明应由承包人处理的遗留问题。</w:t>
      </w:r>
    </w:p>
    <w:p w14:paraId="6932160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18.3单位工程验收</w:t>
      </w:r>
    </w:p>
    <w:p w14:paraId="71F5E26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18.3.1 单位工程具备验收条件时，承包人应向发包人提交验收申请报告，发包人应在收到验收申请报告之日起10个工作日内决定是否同意进行验收。</w:t>
      </w:r>
    </w:p>
    <w:p w14:paraId="790D24B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18.3.2 发包人主持单位工程验收，承包人应派符合条件的代表参加验收工作组。</w:t>
      </w:r>
    </w:p>
    <w:p w14:paraId="144836A2">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18.3.3 单位工程验收通过后，发包人向承包人发送单位工程验收鉴定书。承包人应及时完成单位工程验收鉴定书载明应由承包人处理的遗留问题。</w:t>
      </w:r>
    </w:p>
    <w:p w14:paraId="1954D88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18.3.4 需提前投入使用的单位工程在专用合同条款中明确。 </w:t>
      </w:r>
    </w:p>
    <w:p w14:paraId="6311F7C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18.4合同工程完工验收</w:t>
      </w:r>
    </w:p>
    <w:p w14:paraId="0B5F3C8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18.4.1 合同工程具备验收条件时，承包人应向发包人提交验收申请报告，发包人应在收到验收申请报告之日起20个工作日内决定是否同意进行验收。</w:t>
      </w:r>
    </w:p>
    <w:p w14:paraId="4D7D31F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18.4.2 发包人主持合同工程完工验收，承包人应派代表参加验收工作组。</w:t>
      </w:r>
    </w:p>
    <w:p w14:paraId="6634599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18.4.3 合同工程完工验收通过后，发包人向承包人发送合同工程完工验收鉴定书。承包人应及时完成合同工程完工验收鉴定书载明应由承包人处理的遗留问题。</w:t>
      </w:r>
    </w:p>
    <w:p w14:paraId="59F256A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63B3070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18.5阶段验收</w:t>
      </w:r>
    </w:p>
    <w:p w14:paraId="5E41740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18.5.1 工程建设具备阶段验收条件时，发包人负责提出阶段验收申请报告。承包人应派代表参加阶段验收，并作为被验收单位在验收鉴定书上签字。阶段验收的具体类别在专用合同条款中约定。</w:t>
      </w:r>
    </w:p>
    <w:p w14:paraId="1FF1A31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18.5.2 承包人应及时完成阶段验收鉴定书载明应由承包人处理的遗留问题。</w:t>
      </w:r>
    </w:p>
    <w:p w14:paraId="21A0E6E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18.6专项验收</w:t>
      </w:r>
    </w:p>
    <w:p w14:paraId="7524BDC8">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18.6.1 发包人负责提出专项验收申请报告。承包人应按专项验收的相关规定参加专项验收。专项验收的具体类别在专用合同条款中约定。</w:t>
      </w:r>
    </w:p>
    <w:p w14:paraId="2EC932B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18.6.2 承包人应及时完成专项验收成果性文件载明应由承包人处理的遗留问题。</w:t>
      </w:r>
    </w:p>
    <w:p w14:paraId="65EEDF3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18.7竣工验收</w:t>
      </w:r>
    </w:p>
    <w:p w14:paraId="2D11D19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18.7.1 申请竣工验收前，发包人组织竣工验收自查，承包人应派代表参加。</w:t>
      </w:r>
    </w:p>
    <w:p w14:paraId="4D1AF17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18.7.2 竣工验收分为竣工技术预验收和竣工验收两个阶段。发包人应通知承包人派代表参加技术预验收和竣工验收。</w:t>
      </w:r>
    </w:p>
    <w:p w14:paraId="59340CA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18.7.3专用合同条款约定工程需要进行技术鉴定的，承包人应提交有关资料并完成配合工作。</w:t>
      </w:r>
    </w:p>
    <w:p w14:paraId="217A3C9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18.7.4 竣工验收需要进行质量检测的，所需费用由发包人承担，但因承包人原因造成质量不合格的除外。</w:t>
      </w:r>
    </w:p>
    <w:p w14:paraId="23263E4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18.7.5 工程质量保修期满以及竣工验收遗留问题和尾工处理完成并通过验收后，发包人负责将处理情况和验收成果报送竣工验收主持单位，申请领取工程竣工证书，并发送承包人。</w:t>
      </w:r>
    </w:p>
    <w:p w14:paraId="278568C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18.8施工期运行</w:t>
      </w:r>
    </w:p>
    <w:p w14:paraId="0EAC3B4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412F412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18.8.2 在施工期运行中发现工程或工程设备损坏或存在缺陷的，由承包人按第19.2款约定进行修复。</w:t>
      </w:r>
    </w:p>
    <w:p w14:paraId="33AE871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18.9试运行 </w:t>
      </w:r>
    </w:p>
    <w:p w14:paraId="23ED394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18.9.1 除专用合同条款另有约定外，承包人应按规定进行工程及工程设备试运行，负责提供试运行所需的人员、器材和必要的条件，并承担全部试运行费用。</w:t>
      </w:r>
    </w:p>
    <w:p w14:paraId="39936C6E">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BC6434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18.10竣工（完工）清场</w:t>
      </w:r>
    </w:p>
    <w:p w14:paraId="51CAB6F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18.10.1 工程项目竣工（完工）清场的工作范围和内容在技术标准和要求（合同技术条款）中约定。</w:t>
      </w:r>
    </w:p>
    <w:p w14:paraId="7D56AE2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18.10.2 承包人未按监理人的要求恢复临时占地，或者场地清理未达到合同约定的，发包人有权委托其他人恢复或清理，所发生的金额从拟支付给承包人的款项中扣除。</w:t>
      </w:r>
    </w:p>
    <w:p w14:paraId="5DB7DE2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18.11施工队伍的撤离</w:t>
      </w:r>
    </w:p>
    <w:p w14:paraId="5B8CE2B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56AD7D02">
      <w:pPr>
        <w:spacing w:line="360" w:lineRule="auto"/>
        <w:jc w:val="left"/>
        <w:outlineLvl w:val="2"/>
        <w:rPr>
          <w:rFonts w:hint="eastAsia" w:ascii="宋体" w:hAnsi="宋体" w:eastAsia="宋体" w:cs="宋体"/>
          <w:b/>
          <w:bCs/>
          <w:color w:val="auto"/>
          <w:sz w:val="28"/>
          <w:szCs w:val="28"/>
          <w:highlight w:val="none"/>
        </w:rPr>
      </w:pPr>
      <w:bookmarkStart w:id="796" w:name="_Toc31282"/>
      <w:bookmarkStart w:id="797" w:name="_Toc96899341"/>
      <w:bookmarkStart w:id="798" w:name="_Toc20148329"/>
      <w:bookmarkStart w:id="799" w:name="_Toc1376222508"/>
      <w:r>
        <w:rPr>
          <w:rFonts w:hint="eastAsia" w:ascii="宋体" w:hAnsi="宋体" w:eastAsia="宋体" w:cs="宋体"/>
          <w:b/>
          <w:bCs/>
          <w:color w:val="auto"/>
          <w:sz w:val="28"/>
          <w:szCs w:val="28"/>
          <w:highlight w:val="none"/>
        </w:rPr>
        <w:t>19.缺陷责任与保修责任</w:t>
      </w:r>
      <w:bookmarkEnd w:id="796"/>
      <w:bookmarkEnd w:id="797"/>
      <w:bookmarkEnd w:id="798"/>
      <w:bookmarkEnd w:id="799"/>
    </w:p>
    <w:p w14:paraId="636AF7C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19.1缺陷责任期（工程质量保修期）的起算时间</w:t>
      </w:r>
    </w:p>
    <w:p w14:paraId="0546D9A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条款中约定。</w:t>
      </w:r>
    </w:p>
    <w:p w14:paraId="385637FB">
      <w:pPr>
        <w:spacing w:line="360" w:lineRule="auto"/>
        <w:jc w:val="left"/>
        <w:rPr>
          <w:rFonts w:hint="eastAsia" w:ascii="宋体" w:hAnsi="宋体" w:eastAsia="宋体" w:cs="宋体"/>
          <w:b/>
          <w:bCs/>
          <w:color w:val="auto"/>
          <w:sz w:val="28"/>
          <w:szCs w:val="28"/>
          <w:highlight w:val="none"/>
        </w:rPr>
      </w:pPr>
      <w:bookmarkStart w:id="800" w:name="_Toc484015703"/>
      <w:bookmarkStart w:id="801" w:name="_Toc486160959"/>
      <w:r>
        <w:rPr>
          <w:rFonts w:hint="eastAsia" w:ascii="宋体" w:hAnsi="宋体" w:eastAsia="宋体" w:cs="宋体"/>
          <w:b/>
          <w:bCs/>
          <w:color w:val="auto"/>
          <w:sz w:val="28"/>
          <w:szCs w:val="28"/>
          <w:highlight w:val="none"/>
        </w:rPr>
        <w:t>19.2缺陷责任</w:t>
      </w:r>
      <w:bookmarkEnd w:id="800"/>
      <w:bookmarkEnd w:id="801"/>
    </w:p>
    <w:p w14:paraId="397A722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19.2.1 承包人应在缺陷责任期（工程质量保修期）内对已交付使用的工程承担缺陷责任。</w:t>
      </w:r>
    </w:p>
    <w:p w14:paraId="7F3BC846">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19.2.2 缺陷责任期（工程质量保修期）内，发包人对己接收使用的工程负责日常维护工作。发包人在使用过程中，发现已接收的工程存在新的缺陷或已修复的缺陷部位或部件又遭损坏的，承包人应负责修复，直至检验合格为止。</w:t>
      </w:r>
    </w:p>
    <w:p w14:paraId="23A92F83">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3840074B">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19.2.4 承包人不能在合理时间内修复缺陷的，发包人可自行修复或委托其他人修复，所需费用和利润的承担，按第19.2.3项约定办理。</w:t>
      </w:r>
    </w:p>
    <w:p w14:paraId="2414775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19.3缺陷责任期（工程质量保修期）的延长</w:t>
      </w:r>
    </w:p>
    <w:p w14:paraId="766C7EE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p>
    <w:p w14:paraId="3FC65620">
      <w:pPr>
        <w:spacing w:line="360" w:lineRule="auto"/>
        <w:jc w:val="left"/>
        <w:rPr>
          <w:rFonts w:hint="eastAsia" w:ascii="宋体" w:hAnsi="宋体" w:eastAsia="宋体" w:cs="宋体"/>
          <w:b/>
          <w:bCs/>
          <w:color w:val="auto"/>
          <w:sz w:val="28"/>
          <w:szCs w:val="28"/>
          <w:highlight w:val="none"/>
        </w:rPr>
      </w:pPr>
      <w:bookmarkStart w:id="802" w:name="_Toc484015704"/>
      <w:bookmarkStart w:id="803" w:name="_Toc486160960"/>
      <w:r>
        <w:rPr>
          <w:rFonts w:hint="eastAsia" w:ascii="宋体" w:hAnsi="宋体" w:eastAsia="宋体" w:cs="宋体"/>
          <w:b/>
          <w:bCs/>
          <w:color w:val="auto"/>
          <w:sz w:val="28"/>
          <w:szCs w:val="28"/>
          <w:highlight w:val="none"/>
        </w:rPr>
        <w:t>19.4进一步试验和试运行</w:t>
      </w:r>
      <w:bookmarkEnd w:id="802"/>
      <w:bookmarkEnd w:id="803"/>
    </w:p>
    <w:p w14:paraId="4A33F5F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任何一项缺陷或损坏修复后，经检查证明其影响了工程或工程设备的使用性能，承包人应重新进行合同约定的试验和试运行，试验和试运行的全部费用应由责任方承担。</w:t>
      </w:r>
    </w:p>
    <w:p w14:paraId="6DB94373">
      <w:pPr>
        <w:spacing w:line="360" w:lineRule="auto"/>
        <w:jc w:val="left"/>
        <w:rPr>
          <w:rFonts w:hint="eastAsia" w:ascii="宋体" w:hAnsi="宋体" w:eastAsia="宋体" w:cs="宋体"/>
          <w:b/>
          <w:bCs/>
          <w:color w:val="auto"/>
          <w:sz w:val="28"/>
          <w:szCs w:val="28"/>
          <w:highlight w:val="none"/>
        </w:rPr>
      </w:pPr>
      <w:bookmarkStart w:id="804" w:name="_Toc484015705"/>
      <w:bookmarkStart w:id="805" w:name="_Toc486160961"/>
      <w:r>
        <w:rPr>
          <w:rFonts w:hint="eastAsia" w:ascii="宋体" w:hAnsi="宋体" w:eastAsia="宋体" w:cs="宋体"/>
          <w:b/>
          <w:bCs/>
          <w:color w:val="auto"/>
          <w:sz w:val="28"/>
          <w:szCs w:val="28"/>
          <w:highlight w:val="none"/>
        </w:rPr>
        <w:t>19.5承包人的进入权</w:t>
      </w:r>
      <w:bookmarkEnd w:id="804"/>
      <w:bookmarkEnd w:id="805"/>
    </w:p>
    <w:p w14:paraId="487A477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缺陷责任期（工程质量保修期）内承包人为缺陷修复工作需要，有权进入工程现场，但应遵守发包人的保安和保密规定。</w:t>
      </w:r>
    </w:p>
    <w:p w14:paraId="6A3EE253">
      <w:pPr>
        <w:spacing w:line="360" w:lineRule="auto"/>
        <w:jc w:val="left"/>
        <w:rPr>
          <w:rFonts w:hint="eastAsia" w:ascii="宋体" w:hAnsi="宋体" w:eastAsia="宋体" w:cs="宋体"/>
          <w:b/>
          <w:bCs/>
          <w:color w:val="auto"/>
          <w:sz w:val="28"/>
          <w:szCs w:val="28"/>
          <w:highlight w:val="none"/>
        </w:rPr>
      </w:pPr>
      <w:bookmarkStart w:id="806" w:name="_Toc486160962"/>
      <w:bookmarkStart w:id="807" w:name="_Toc484015706"/>
      <w:r>
        <w:rPr>
          <w:rFonts w:hint="eastAsia" w:ascii="宋体" w:hAnsi="宋体" w:eastAsia="宋体" w:cs="宋体"/>
          <w:b/>
          <w:bCs/>
          <w:color w:val="auto"/>
          <w:sz w:val="28"/>
          <w:szCs w:val="28"/>
          <w:highlight w:val="none"/>
        </w:rPr>
        <w:t>19.6缺陷责任期终止证书（工程质量保修责任终止证书）</w:t>
      </w:r>
      <w:bookmarkEnd w:id="806"/>
      <w:bookmarkEnd w:id="807"/>
    </w:p>
    <w:p w14:paraId="16F551A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合同工程完工验收或投入使用验收后，发包人与承包人应办理工程交接手续，承包人应向发包人递交工程质量保修书。</w:t>
      </w:r>
    </w:p>
    <w:p w14:paraId="77356C9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缺陷责任期（工程质量保修期）满后30个工作日内，发包人应向承包人颁发工程质量保修责任终止证书，并退还剩余的质量保证金，但保修责任范围内的质量缺陷未处理完成的应除外。</w:t>
      </w:r>
    </w:p>
    <w:p w14:paraId="28351790">
      <w:pPr>
        <w:spacing w:line="360" w:lineRule="auto"/>
        <w:jc w:val="left"/>
        <w:rPr>
          <w:rFonts w:hint="eastAsia" w:ascii="宋体" w:hAnsi="宋体" w:eastAsia="宋体" w:cs="宋体"/>
          <w:b/>
          <w:bCs/>
          <w:color w:val="auto"/>
          <w:sz w:val="28"/>
          <w:szCs w:val="28"/>
          <w:highlight w:val="none"/>
        </w:rPr>
      </w:pPr>
      <w:bookmarkStart w:id="808" w:name="_Toc484015707"/>
      <w:bookmarkStart w:id="809" w:name="_Toc486160963"/>
      <w:r>
        <w:rPr>
          <w:rFonts w:hint="eastAsia" w:ascii="宋体" w:hAnsi="宋体" w:eastAsia="宋体" w:cs="宋体"/>
          <w:b/>
          <w:bCs/>
          <w:color w:val="auto"/>
          <w:sz w:val="28"/>
          <w:szCs w:val="28"/>
          <w:highlight w:val="none"/>
        </w:rPr>
        <w:t>19.7保修责任</w:t>
      </w:r>
      <w:bookmarkEnd w:id="808"/>
      <w:bookmarkEnd w:id="809"/>
    </w:p>
    <w:p w14:paraId="1696473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合同当事人根据有关法律规定，在专用合同条款中约定工程质量保修范围、期限和责任。保修期自实际完工日期起计算。在全部工程完工验收前，已经发包人提前验收的单位工程，其保修期的起算日期相应提前。</w:t>
      </w:r>
    </w:p>
    <w:p w14:paraId="1C69216B">
      <w:pPr>
        <w:spacing w:line="360" w:lineRule="auto"/>
        <w:jc w:val="left"/>
        <w:outlineLvl w:val="2"/>
        <w:rPr>
          <w:rFonts w:hint="eastAsia" w:ascii="宋体" w:hAnsi="宋体" w:eastAsia="宋体" w:cs="宋体"/>
          <w:b/>
          <w:bCs/>
          <w:color w:val="auto"/>
          <w:sz w:val="28"/>
          <w:szCs w:val="28"/>
          <w:highlight w:val="none"/>
        </w:rPr>
      </w:pPr>
      <w:bookmarkStart w:id="810" w:name="_Toc9984"/>
      <w:bookmarkStart w:id="811" w:name="_Toc20148330"/>
      <w:bookmarkStart w:id="812" w:name="_Toc1318928791"/>
      <w:bookmarkStart w:id="813" w:name="_Toc96899342"/>
      <w:r>
        <w:rPr>
          <w:rFonts w:hint="eastAsia" w:ascii="宋体" w:hAnsi="宋体" w:eastAsia="宋体" w:cs="宋体"/>
          <w:b/>
          <w:bCs/>
          <w:color w:val="auto"/>
          <w:sz w:val="28"/>
          <w:szCs w:val="28"/>
          <w:highlight w:val="none"/>
        </w:rPr>
        <w:t>20.保险</w:t>
      </w:r>
      <w:bookmarkEnd w:id="810"/>
      <w:bookmarkEnd w:id="811"/>
      <w:bookmarkEnd w:id="812"/>
      <w:bookmarkEnd w:id="813"/>
    </w:p>
    <w:p w14:paraId="04A9363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20.1工程保险</w:t>
      </w:r>
    </w:p>
    <w:p w14:paraId="231D553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00608F57">
      <w:pPr>
        <w:spacing w:line="360" w:lineRule="auto"/>
        <w:jc w:val="left"/>
        <w:rPr>
          <w:rFonts w:hint="eastAsia" w:ascii="宋体" w:hAnsi="宋体" w:eastAsia="宋体" w:cs="宋体"/>
          <w:b/>
          <w:bCs/>
          <w:color w:val="auto"/>
          <w:sz w:val="28"/>
          <w:szCs w:val="28"/>
          <w:highlight w:val="none"/>
        </w:rPr>
      </w:pPr>
      <w:bookmarkStart w:id="814" w:name="_Toc484015709"/>
      <w:bookmarkStart w:id="815" w:name="_Toc486160965"/>
      <w:r>
        <w:rPr>
          <w:rFonts w:hint="eastAsia" w:ascii="宋体" w:hAnsi="宋体" w:eastAsia="宋体" w:cs="宋体"/>
          <w:b/>
          <w:bCs/>
          <w:color w:val="auto"/>
          <w:sz w:val="28"/>
          <w:szCs w:val="28"/>
          <w:highlight w:val="none"/>
        </w:rPr>
        <w:t>20.2人员工伤事故的保险</w:t>
      </w:r>
      <w:bookmarkEnd w:id="814"/>
      <w:bookmarkEnd w:id="815"/>
    </w:p>
    <w:p w14:paraId="2A2FBFC3">
      <w:pPr>
        <w:spacing w:line="360" w:lineRule="auto"/>
        <w:jc w:val="left"/>
        <w:rPr>
          <w:rFonts w:hint="eastAsia" w:ascii="宋体" w:hAnsi="宋体" w:eastAsia="宋体" w:cs="宋体"/>
          <w:b/>
          <w:color w:val="auto"/>
          <w:sz w:val="24"/>
          <w:highlight w:val="none"/>
        </w:rPr>
      </w:pPr>
      <w:bookmarkStart w:id="816" w:name="_Toc484015710"/>
      <w:bookmarkStart w:id="817" w:name="_Toc486160966"/>
      <w:r>
        <w:rPr>
          <w:rFonts w:hint="eastAsia" w:ascii="宋体" w:hAnsi="宋体" w:eastAsia="宋体" w:cs="宋体"/>
          <w:b/>
          <w:color w:val="auto"/>
          <w:sz w:val="24"/>
          <w:highlight w:val="none"/>
        </w:rPr>
        <w:t>20.2.1 承包人员工伤事故的保险</w:t>
      </w:r>
      <w:bookmarkEnd w:id="816"/>
      <w:bookmarkEnd w:id="817"/>
    </w:p>
    <w:p w14:paraId="241208A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承包人应依照有关法律规定参加工伤保险，为其履行合同所雇佣的全部人员，缴纳工伤保险费，并要求其分包人也进行此项保险。</w:t>
      </w:r>
    </w:p>
    <w:p w14:paraId="52C9411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20.2.2 发包人员工伤事故的保险</w:t>
      </w:r>
    </w:p>
    <w:p w14:paraId="4F1D4E7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发包人应依照有关法律规定参加工伤保险，为其现场机构雇佣的全部人员，缴纳工伤保险费，并要求其监理人也进行此项保险。</w:t>
      </w:r>
    </w:p>
    <w:p w14:paraId="4EC87E4F">
      <w:pPr>
        <w:spacing w:line="360" w:lineRule="auto"/>
        <w:jc w:val="left"/>
        <w:rPr>
          <w:rFonts w:hint="eastAsia" w:ascii="宋体" w:hAnsi="宋体" w:eastAsia="宋体" w:cs="宋体"/>
          <w:b/>
          <w:bCs/>
          <w:color w:val="auto"/>
          <w:sz w:val="28"/>
          <w:szCs w:val="28"/>
          <w:highlight w:val="none"/>
        </w:rPr>
      </w:pPr>
      <w:bookmarkStart w:id="818" w:name="_Toc486160967"/>
      <w:bookmarkStart w:id="819" w:name="_Toc484015711"/>
      <w:r>
        <w:rPr>
          <w:rFonts w:hint="eastAsia" w:ascii="宋体" w:hAnsi="宋体" w:eastAsia="宋体" w:cs="宋体"/>
          <w:b/>
          <w:bCs/>
          <w:color w:val="auto"/>
          <w:sz w:val="28"/>
          <w:szCs w:val="28"/>
          <w:highlight w:val="none"/>
        </w:rPr>
        <w:t>20.3人身意外伤害险</w:t>
      </w:r>
      <w:bookmarkEnd w:id="818"/>
      <w:bookmarkEnd w:id="819"/>
    </w:p>
    <w:p w14:paraId="1F59B50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20.3.1 发包人应在整个施工期间为其现场机构雇用的全部人员，投保人身意外伤害险，缴纳保险费，并要求其监理人也进行此项保险。</w:t>
      </w:r>
    </w:p>
    <w:p w14:paraId="139AE10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20.3.2 承包人应在整个施工期间为其现场机构雇用的全部人员，投保人身意外伤害险，缴纳保险费，并要求其分包人也进行此项保险。</w:t>
      </w:r>
    </w:p>
    <w:p w14:paraId="255D0E1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20.4第三者责任险</w:t>
      </w:r>
    </w:p>
    <w:p w14:paraId="39F1F0F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10CF211">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20.4.2 在工程质量保修责任终止证书颁发前，承包人应以承包人和发包人的共同名义，投保第20.4.1项约定的第三者责任险，其保险费率、保险金额等有关内容在专用合同条款中约定。</w:t>
      </w:r>
    </w:p>
    <w:p w14:paraId="49E62C5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20.5其他保险</w:t>
      </w:r>
    </w:p>
    <w:p w14:paraId="01AA473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除专用合同条款另有约定外，承包人应为其施工设备、进场的材料和工程设备等办理保险。</w:t>
      </w:r>
    </w:p>
    <w:p w14:paraId="32129DC3">
      <w:pPr>
        <w:spacing w:line="360" w:lineRule="auto"/>
        <w:jc w:val="left"/>
        <w:rPr>
          <w:rFonts w:hint="eastAsia" w:ascii="宋体" w:hAnsi="宋体" w:eastAsia="宋体" w:cs="宋体"/>
          <w:b/>
          <w:bCs/>
          <w:color w:val="auto"/>
          <w:sz w:val="28"/>
          <w:szCs w:val="28"/>
          <w:highlight w:val="none"/>
        </w:rPr>
      </w:pPr>
      <w:bookmarkStart w:id="820" w:name="_Toc486160968"/>
      <w:bookmarkStart w:id="821" w:name="_Toc484015712"/>
      <w:r>
        <w:rPr>
          <w:rFonts w:hint="eastAsia" w:ascii="宋体" w:hAnsi="宋体" w:eastAsia="宋体" w:cs="宋体"/>
          <w:b/>
          <w:bCs/>
          <w:color w:val="auto"/>
          <w:sz w:val="28"/>
          <w:szCs w:val="28"/>
          <w:highlight w:val="none"/>
        </w:rPr>
        <w:t>20.6对各项保险的一般要求</w:t>
      </w:r>
      <w:bookmarkEnd w:id="820"/>
      <w:bookmarkEnd w:id="821"/>
    </w:p>
    <w:p w14:paraId="2F8ADFBB">
      <w:pPr>
        <w:spacing w:line="360" w:lineRule="auto"/>
        <w:jc w:val="left"/>
        <w:rPr>
          <w:rFonts w:hint="eastAsia" w:ascii="宋体" w:hAnsi="宋体" w:eastAsia="宋体" w:cs="宋体"/>
          <w:b/>
          <w:color w:val="auto"/>
          <w:sz w:val="24"/>
          <w:highlight w:val="none"/>
        </w:rPr>
      </w:pPr>
      <w:bookmarkStart w:id="822" w:name="_Toc484015713"/>
      <w:bookmarkStart w:id="823" w:name="_Toc486160969"/>
      <w:r>
        <w:rPr>
          <w:rFonts w:hint="eastAsia" w:ascii="宋体" w:hAnsi="宋体" w:eastAsia="宋体" w:cs="宋体"/>
          <w:b/>
          <w:color w:val="auto"/>
          <w:sz w:val="24"/>
          <w:highlight w:val="none"/>
        </w:rPr>
        <w:t>20.6.1 保险</w:t>
      </w:r>
      <w:r>
        <w:rPr>
          <w:rFonts w:hint="eastAsia" w:ascii="宋体" w:hAnsi="宋体" w:eastAsia="宋体" w:cs="宋体"/>
          <w:b/>
          <w:color w:val="auto"/>
          <w:kern w:val="0"/>
          <w:sz w:val="24"/>
          <w:highlight w:val="none"/>
        </w:rPr>
        <w:t>凭证</w:t>
      </w:r>
      <w:bookmarkEnd w:id="822"/>
      <w:bookmarkEnd w:id="823"/>
    </w:p>
    <w:p w14:paraId="45E85CD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承包人应在专用合同条款约定的期限内向发包人提交各项保险生效的证据和保险单副本，保险单必须与专用合同条款约定的条件保持一致。</w:t>
      </w:r>
    </w:p>
    <w:p w14:paraId="1E12D61E">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20.6.2 保险合同条款的变动</w:t>
      </w:r>
    </w:p>
    <w:p w14:paraId="1619726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承包人需要变动保险合同条款时，应事先征得发包人同意，并通知监理人。保险人作出变动的，承包人应在收到保险人通知后立即通知发包人和监理人。</w:t>
      </w:r>
    </w:p>
    <w:p w14:paraId="33C43522">
      <w:pPr>
        <w:spacing w:line="360" w:lineRule="auto"/>
        <w:jc w:val="left"/>
        <w:rPr>
          <w:rFonts w:hint="eastAsia" w:ascii="宋体" w:hAnsi="宋体" w:eastAsia="宋体" w:cs="宋体"/>
          <w:b/>
          <w:color w:val="auto"/>
          <w:sz w:val="24"/>
          <w:highlight w:val="none"/>
        </w:rPr>
      </w:pPr>
      <w:bookmarkStart w:id="824" w:name="_Toc484015714"/>
      <w:bookmarkStart w:id="825" w:name="_Toc486160970"/>
      <w:r>
        <w:rPr>
          <w:rFonts w:hint="eastAsia" w:ascii="宋体" w:hAnsi="宋体" w:eastAsia="宋体" w:cs="宋体"/>
          <w:b/>
          <w:color w:val="auto"/>
          <w:sz w:val="24"/>
          <w:highlight w:val="none"/>
        </w:rPr>
        <w:t>20.6.3 持续保险</w:t>
      </w:r>
      <w:bookmarkEnd w:id="824"/>
      <w:bookmarkEnd w:id="825"/>
    </w:p>
    <w:p w14:paraId="009C766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承包人应与保险人保持联系，使保险人能够随时了解工程实施中的变动，并确保按保险合同条款要求持续保险。</w:t>
      </w:r>
    </w:p>
    <w:p w14:paraId="2609D13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20.6.4 保险金不足的补偿</w:t>
      </w:r>
    </w:p>
    <w:p w14:paraId="2322B3A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保险金不足以补偿损失时，应由承包人和发包人各自负责补偿的范围和金额在专用合同条款中约定。</w:t>
      </w:r>
    </w:p>
    <w:p w14:paraId="644A28D4">
      <w:pPr>
        <w:spacing w:line="360" w:lineRule="auto"/>
        <w:jc w:val="left"/>
        <w:rPr>
          <w:rFonts w:hint="eastAsia" w:ascii="宋体" w:hAnsi="宋体" w:eastAsia="宋体" w:cs="宋体"/>
          <w:b/>
          <w:color w:val="auto"/>
          <w:sz w:val="24"/>
          <w:highlight w:val="none"/>
        </w:rPr>
      </w:pPr>
      <w:bookmarkStart w:id="826" w:name="_Toc486160971"/>
      <w:bookmarkStart w:id="827" w:name="_Toc484015715"/>
      <w:r>
        <w:rPr>
          <w:rFonts w:hint="eastAsia" w:ascii="宋体" w:hAnsi="宋体" w:eastAsia="宋体" w:cs="宋体"/>
          <w:b/>
          <w:color w:val="auto"/>
          <w:sz w:val="24"/>
          <w:highlight w:val="none"/>
        </w:rPr>
        <w:t>20.6.5 未按约定投保的补救</w:t>
      </w:r>
      <w:bookmarkEnd w:id="826"/>
      <w:bookmarkEnd w:id="827"/>
    </w:p>
    <w:p w14:paraId="0622461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（1）由于负有投保义务的一方当事人未按合同约定办理保险，或未能使保险持续有效的，另一方当事人可代为办理，所需费用由对方当事人承担。</w:t>
      </w:r>
    </w:p>
    <w:p w14:paraId="707FAA2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（2）由于负有投保义务的一方当事人未按合同约定办理某项保险，导致受益人未能得到保险人的赔偿，原应从该项保险得到的保险金应由负有投保义务的一方当事人支付。</w:t>
      </w:r>
    </w:p>
    <w:p w14:paraId="6D254EA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20.6.6 报告义务</w:t>
      </w:r>
    </w:p>
    <w:p w14:paraId="7F3F1AE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当保险事故发生时，投保人应按照保险单规定的条件和期限及时向保险人报告。</w:t>
      </w:r>
    </w:p>
    <w:p w14:paraId="1388A057">
      <w:pPr>
        <w:spacing w:line="360" w:lineRule="auto"/>
        <w:jc w:val="left"/>
        <w:rPr>
          <w:rFonts w:hint="eastAsia" w:ascii="宋体" w:hAnsi="宋体" w:eastAsia="宋体" w:cs="宋体"/>
          <w:b/>
          <w:bCs/>
          <w:color w:val="auto"/>
          <w:sz w:val="28"/>
          <w:szCs w:val="28"/>
          <w:highlight w:val="none"/>
        </w:rPr>
      </w:pPr>
      <w:bookmarkStart w:id="828" w:name="_Toc484015716"/>
      <w:bookmarkStart w:id="829" w:name="_Toc486160972"/>
      <w:r>
        <w:rPr>
          <w:rFonts w:hint="eastAsia" w:ascii="宋体" w:hAnsi="宋体" w:eastAsia="宋体" w:cs="宋体"/>
          <w:b/>
          <w:bCs/>
          <w:color w:val="auto"/>
          <w:sz w:val="28"/>
          <w:szCs w:val="28"/>
          <w:highlight w:val="none"/>
        </w:rPr>
        <w:t>20.7风险责任的转移</w:t>
      </w:r>
      <w:bookmarkEnd w:id="828"/>
      <w:bookmarkEnd w:id="829"/>
    </w:p>
    <w:p w14:paraId="50C8A37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p>
    <w:p w14:paraId="7CD56440">
      <w:pPr>
        <w:spacing w:line="360" w:lineRule="auto"/>
        <w:jc w:val="left"/>
        <w:outlineLvl w:val="2"/>
        <w:rPr>
          <w:rFonts w:hint="eastAsia" w:ascii="宋体" w:hAnsi="宋体" w:eastAsia="宋体" w:cs="宋体"/>
          <w:b/>
          <w:bCs/>
          <w:color w:val="auto"/>
          <w:sz w:val="28"/>
          <w:szCs w:val="28"/>
          <w:highlight w:val="none"/>
        </w:rPr>
      </w:pPr>
      <w:bookmarkStart w:id="830" w:name="_Toc5393629"/>
      <w:bookmarkStart w:id="831" w:name="_Toc96899343"/>
      <w:bookmarkStart w:id="832" w:name="_Toc20148331"/>
      <w:bookmarkStart w:id="833" w:name="_Toc12611"/>
      <w:r>
        <w:rPr>
          <w:rFonts w:hint="eastAsia" w:ascii="宋体" w:hAnsi="宋体" w:eastAsia="宋体" w:cs="宋体"/>
          <w:b/>
          <w:bCs/>
          <w:color w:val="auto"/>
          <w:sz w:val="28"/>
          <w:szCs w:val="28"/>
          <w:highlight w:val="none"/>
        </w:rPr>
        <w:t>21.不可抗力</w:t>
      </w:r>
      <w:bookmarkEnd w:id="830"/>
      <w:bookmarkEnd w:id="831"/>
      <w:bookmarkEnd w:id="832"/>
      <w:bookmarkEnd w:id="833"/>
    </w:p>
    <w:p w14:paraId="2A3DC1B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21.1不可抗力的确认</w:t>
      </w:r>
    </w:p>
    <w:p w14:paraId="5BC47A55">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21.1.1 不可抗力是指承包人和发包人在订立合同时不可预见，在工程施工过程中不可避免发生并不能克服的自然灾害和社会突发性事件，如地震、海啸、瘟疫、水灾、骚乱、暴动、战争和专用合同条款约定的其他情形。</w:t>
      </w:r>
    </w:p>
    <w:p w14:paraId="3D206E4D">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2DB5289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21.2不可抗力的通知</w:t>
      </w:r>
    </w:p>
    <w:p w14:paraId="06FAA40C">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21.2.1 合同一方当事人遇到不可抗力事件，使其履行合同义务受到阻碍时，应立即通知合同另一方当事人和监理人，书面说明不可抗力和受阻碍的详细情况，并提供必要的证明。</w:t>
      </w:r>
    </w:p>
    <w:p w14:paraId="31016144">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5AAE435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21.3不可抗力后果及其处理</w:t>
      </w:r>
    </w:p>
    <w:p w14:paraId="52E18419">
      <w:pPr>
        <w:spacing w:line="360" w:lineRule="auto"/>
        <w:jc w:val="left"/>
        <w:rPr>
          <w:rFonts w:hint="eastAsia" w:ascii="宋体" w:hAnsi="宋体" w:eastAsia="宋体" w:cs="宋体"/>
          <w:b/>
          <w:color w:val="auto"/>
          <w:sz w:val="24"/>
          <w:highlight w:val="none"/>
        </w:rPr>
      </w:pPr>
      <w:bookmarkStart w:id="834" w:name="_Toc486160974"/>
      <w:bookmarkStart w:id="835" w:name="_Toc484015718"/>
      <w:r>
        <w:rPr>
          <w:rFonts w:hint="eastAsia" w:ascii="宋体" w:hAnsi="宋体" w:eastAsia="宋体" w:cs="宋体"/>
          <w:b/>
          <w:color w:val="auto"/>
          <w:sz w:val="24"/>
          <w:highlight w:val="none"/>
        </w:rPr>
        <w:t>21.3.1 不可抗力造成损害的责任</w:t>
      </w:r>
      <w:bookmarkEnd w:id="834"/>
      <w:bookmarkEnd w:id="835"/>
    </w:p>
    <w:p w14:paraId="72FD606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除专用合同条款另有约定外，不可抗力导致的人员伤亡、财产损失、费用增加和（或）工期延误等后果，由合同双方按以下原则承担：</w:t>
      </w:r>
    </w:p>
    <w:p w14:paraId="17790B3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（1）永久工程，包括己运至施工场地的材料和工程设备的损害，以及因工程损害造成的第三者人员伤亡和财产损失由发包人承担；</w:t>
      </w:r>
    </w:p>
    <w:p w14:paraId="13D33BC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（2）承包人设备的损坏由承包人承担；</w:t>
      </w:r>
    </w:p>
    <w:p w14:paraId="764AD9A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（3）发包人和承包人各自承担其人员伤亡和其他财产损失及其相关费用；</w:t>
      </w:r>
    </w:p>
    <w:p w14:paraId="4237E23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（4）承包人的停工损失由承包人承担，但停工期间应监理人要求照管工程和清理、修复工程的金额由发包人承担；</w:t>
      </w:r>
    </w:p>
    <w:p w14:paraId="4672A44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（5）不能按期完工的，应合理延长工期，承包人不需支付逾期完工违约金。发包人要求赶工的，承包人应采取赶工措施，赶工费用由发包人承担。</w:t>
      </w:r>
    </w:p>
    <w:p w14:paraId="01D6DE8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21.3.2 延迟履行期间发生的不可抗力</w:t>
      </w:r>
    </w:p>
    <w:p w14:paraId="3F45245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合同一方当事人延迟履行，在延迟履行期间发生不可抗力的，不免除其责任。</w:t>
      </w:r>
    </w:p>
    <w:p w14:paraId="2742BEAA">
      <w:pPr>
        <w:spacing w:line="360" w:lineRule="auto"/>
        <w:jc w:val="left"/>
        <w:rPr>
          <w:rFonts w:hint="eastAsia" w:ascii="宋体" w:hAnsi="宋体" w:eastAsia="宋体" w:cs="宋体"/>
          <w:b/>
          <w:color w:val="auto"/>
          <w:sz w:val="24"/>
          <w:highlight w:val="none"/>
        </w:rPr>
      </w:pPr>
      <w:bookmarkStart w:id="836" w:name="_Toc484015719"/>
      <w:bookmarkStart w:id="837" w:name="_Toc486160975"/>
      <w:r>
        <w:rPr>
          <w:rFonts w:hint="eastAsia" w:ascii="宋体" w:hAnsi="宋体" w:eastAsia="宋体" w:cs="宋体"/>
          <w:b/>
          <w:color w:val="auto"/>
          <w:sz w:val="24"/>
          <w:highlight w:val="none"/>
        </w:rPr>
        <w:t>21.3.3 避免和</w:t>
      </w:r>
      <w:r>
        <w:rPr>
          <w:rFonts w:hint="eastAsia" w:ascii="宋体" w:hAnsi="宋体" w:eastAsia="宋体" w:cs="宋体"/>
          <w:b/>
          <w:color w:val="auto"/>
          <w:kern w:val="0"/>
          <w:sz w:val="24"/>
          <w:highlight w:val="none"/>
        </w:rPr>
        <w:t>减少</w:t>
      </w:r>
      <w:r>
        <w:rPr>
          <w:rFonts w:hint="eastAsia" w:ascii="宋体" w:hAnsi="宋体" w:eastAsia="宋体" w:cs="宋体"/>
          <w:b/>
          <w:color w:val="auto"/>
          <w:sz w:val="24"/>
          <w:highlight w:val="none"/>
        </w:rPr>
        <w:t>不可抗力损失</w:t>
      </w:r>
      <w:bookmarkEnd w:id="836"/>
      <w:bookmarkEnd w:id="837"/>
    </w:p>
    <w:p w14:paraId="20C2331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不可抗力发生后，发包人和承包人均应采取措施尽量避免和减少损失的扩大，任何一方没有采取有效措施导致损失扩大的，应对扩大的损失承担责任。</w:t>
      </w:r>
    </w:p>
    <w:p w14:paraId="5FF7D137">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21.3.4 因不可抗力解除合同</w:t>
      </w:r>
    </w:p>
    <w:p w14:paraId="5D93556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58759D00">
      <w:pPr>
        <w:spacing w:line="360" w:lineRule="auto"/>
        <w:jc w:val="left"/>
        <w:outlineLvl w:val="2"/>
        <w:rPr>
          <w:rFonts w:hint="eastAsia" w:ascii="宋体" w:hAnsi="宋体" w:eastAsia="宋体" w:cs="宋体"/>
          <w:b/>
          <w:bCs/>
          <w:color w:val="auto"/>
          <w:sz w:val="28"/>
          <w:szCs w:val="28"/>
          <w:highlight w:val="none"/>
        </w:rPr>
      </w:pPr>
      <w:bookmarkStart w:id="838" w:name="_Toc10915"/>
      <w:bookmarkStart w:id="839" w:name="_Toc20148332"/>
      <w:bookmarkStart w:id="840" w:name="_Toc96899344"/>
      <w:bookmarkStart w:id="841" w:name="_Toc1722899665"/>
      <w:r>
        <w:rPr>
          <w:rFonts w:hint="eastAsia" w:ascii="宋体" w:hAnsi="宋体" w:eastAsia="宋体" w:cs="宋体"/>
          <w:b/>
          <w:bCs/>
          <w:color w:val="auto"/>
          <w:sz w:val="28"/>
          <w:szCs w:val="28"/>
          <w:highlight w:val="none"/>
        </w:rPr>
        <w:t>22.违约</w:t>
      </w:r>
      <w:bookmarkEnd w:id="838"/>
      <w:bookmarkEnd w:id="839"/>
      <w:bookmarkEnd w:id="840"/>
      <w:bookmarkEnd w:id="841"/>
    </w:p>
    <w:p w14:paraId="13153A9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22.1承包人违约</w:t>
      </w:r>
    </w:p>
    <w:p w14:paraId="587E2DA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22.1.1 承包人违约的情形</w:t>
      </w:r>
    </w:p>
    <w:p w14:paraId="7966A2F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在履行合同过程中发生的下列情况属承包人违约：</w:t>
      </w:r>
    </w:p>
    <w:p w14:paraId="341403F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（1）承包人违反第1.8款或第4.3款的约定，私自将合同的全部或部分权利转让给其他人，或私自将合同的全部或部分义务转移给其他人；</w:t>
      </w:r>
    </w:p>
    <w:p w14:paraId="787AA8B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（2）承包人违反第5.3款或第6.4款的约定，未经监理人批准，私自将已按合同约定进入施工场地的施工设备、临时设施或材料撤离施工场地；</w:t>
      </w:r>
    </w:p>
    <w:p w14:paraId="06146595">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（3）承包人违反第5.4款的约定使用了不合格材料或工程设备，工程质量达不到标准要求，又拒绝清除不合格工程；</w:t>
      </w:r>
    </w:p>
    <w:p w14:paraId="3A68B30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（4）承包人未能按合同进度计划及时完成合同约定的工作，已造成或预期造成工期延误；</w:t>
      </w:r>
    </w:p>
    <w:p w14:paraId="0F03194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（5）承包人在缺陷责任期（工程质量保修期）内，未能对工程接收证书所列的缺陷清单的内容或缺陷责任期（工程质量保修期）内发生的缺陷进行修复，而又拒绝按监理人指示再进行修补；</w:t>
      </w:r>
    </w:p>
    <w:p w14:paraId="1104FAD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（6）承包人无法继续履行或明确表示不履行或实质上己停止履行合同；</w:t>
      </w:r>
    </w:p>
    <w:p w14:paraId="0D663FF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（7）承包人不按合同约定履行义务的其他情况。</w:t>
      </w:r>
    </w:p>
    <w:p w14:paraId="725201E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22.1.2 对承包人违约的处理</w:t>
      </w:r>
    </w:p>
    <w:p w14:paraId="0DF3017E">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（1）承包人发生第22.1.1（6）目约定的违约情况时，发包人可通知承包人立即解除合同，并按有关法律处理。</w:t>
      </w:r>
    </w:p>
    <w:p w14:paraId="4B508B7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（2）承包人发生除第22.1.1（6）目约定以外的其他违约情况时，监理人可向承包人发出整改通知，要求其在指定的期限内改正。承包人应承担其违约所引起的费用增加和（或）工期延误。</w:t>
      </w:r>
    </w:p>
    <w:p w14:paraId="1AFFE0C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（3）经检查证明承包人已采取了有效措施纠正违约行为，具备复工条件的，可由监理人签发复工通知复工。</w:t>
      </w:r>
    </w:p>
    <w:p w14:paraId="0566A53C">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22.1.3 承包人违约解除合同</w:t>
      </w:r>
    </w:p>
    <w:p w14:paraId="1127E76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3674410">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22.1.4 合同解除后的估价、付款和结清</w:t>
      </w:r>
    </w:p>
    <w:p w14:paraId="0D525E5A">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（1）合同解除后，监理人按第3.5款商定或确定承包人实际完成工作的价值，以及承包人已提供的材料、施工设备、工程设备和临时工程等的价值。</w:t>
      </w:r>
    </w:p>
    <w:p w14:paraId="532C97E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（2）合同解除后，发包人应暂停对承包人的一切付款，查清各项付款和已扣款金额，包括承包人应支付的违约金。</w:t>
      </w:r>
    </w:p>
    <w:p w14:paraId="391E27E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（3）合同解除后，发包人应按第23.4款的约定向承包人索赔由于解除合同给发包人造成的损失。</w:t>
      </w:r>
    </w:p>
    <w:p w14:paraId="681707D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（4）合同双方确认上述往来款项后，出具最终结清付款证书，结清全部合同款项。</w:t>
      </w:r>
    </w:p>
    <w:p w14:paraId="0AF8944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（5）发包人和承包人未能就解除合同后的结清达成一致而形成争议的，按第24条的约定办理。</w:t>
      </w:r>
    </w:p>
    <w:p w14:paraId="0794E39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22.1.5 协议利益的转让</w:t>
      </w:r>
    </w:p>
    <w:p w14:paraId="2317C97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因承包人违约解除合同的，发包人有权要求承包人将其为实施合同而签订的材料和设备的订货协议或任何服务协议利益转让给发包人，并在解除合同后的14天内，依法办理转让手续。</w:t>
      </w:r>
    </w:p>
    <w:p w14:paraId="38A68F9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22.1.6 紧急情况下无能力或不愿进行抢救</w:t>
      </w:r>
    </w:p>
    <w:p w14:paraId="59C8AAD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13E2A60">
      <w:pPr>
        <w:spacing w:line="360" w:lineRule="auto"/>
        <w:jc w:val="left"/>
        <w:rPr>
          <w:rFonts w:hint="eastAsia" w:ascii="宋体" w:hAnsi="宋体" w:eastAsia="宋体" w:cs="宋体"/>
          <w:b/>
          <w:bCs/>
          <w:color w:val="auto"/>
          <w:sz w:val="28"/>
          <w:szCs w:val="28"/>
          <w:highlight w:val="none"/>
        </w:rPr>
      </w:pPr>
      <w:bookmarkStart w:id="842" w:name="_Toc484015721"/>
      <w:bookmarkStart w:id="843" w:name="_Toc486160977"/>
      <w:r>
        <w:rPr>
          <w:rFonts w:hint="eastAsia" w:ascii="宋体" w:hAnsi="宋体" w:eastAsia="宋体" w:cs="宋体"/>
          <w:b/>
          <w:bCs/>
          <w:color w:val="auto"/>
          <w:sz w:val="28"/>
          <w:szCs w:val="28"/>
          <w:highlight w:val="none"/>
        </w:rPr>
        <w:t>22.2发包人违约</w:t>
      </w:r>
      <w:bookmarkEnd w:id="842"/>
      <w:bookmarkEnd w:id="843"/>
    </w:p>
    <w:p w14:paraId="5A6F54FE">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22.2.1 发包人违约的情形</w:t>
      </w:r>
    </w:p>
    <w:p w14:paraId="733B049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在履行合同过程中发生的下列情形，属发包人违约：</w:t>
      </w:r>
    </w:p>
    <w:p w14:paraId="7B4EFBF4">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（1）发包人未能按合同约定支付预付款或合同价款，或拖延、拒绝批准付款申请和支付凭证，导致付款延误的；</w:t>
      </w:r>
    </w:p>
    <w:p w14:paraId="469FDEE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（2）发包人原因造成停工的；</w:t>
      </w:r>
    </w:p>
    <w:p w14:paraId="415C709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（3）监理人无正当理由没有在约定期限内发出复工指示，导致承包人无法复工的；</w:t>
      </w:r>
    </w:p>
    <w:p w14:paraId="4F17840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（4）发包人无法继续履行或明确表示不履行或实质上已停止履行合同的；</w:t>
      </w:r>
    </w:p>
    <w:p w14:paraId="5B74348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（5）发包人不履行合同约定其他义务的。</w:t>
      </w:r>
    </w:p>
    <w:p w14:paraId="5A959F23">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22.2.2 承包人有权暂停施工</w:t>
      </w:r>
    </w:p>
    <w:p w14:paraId="5098165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6C087B0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22.2.3 发包人违约解除合同</w:t>
      </w:r>
    </w:p>
    <w:p w14:paraId="2C0FCB9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（1）发生第22.2.1（4）目的违约情况时，承包人可书面通知发包人解除合同。</w:t>
      </w:r>
    </w:p>
    <w:p w14:paraId="63CBA70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2255F6A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22.2.4 解除合同后的付款</w:t>
      </w:r>
    </w:p>
    <w:p w14:paraId="5E2237E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因发包人违约解除合同的，发包人应在解除合同后28天内向承包人支付下列金额，承包人应在此期限内及时向发包人提交要求支付下列金额的有关资料和凭证：</w:t>
      </w:r>
    </w:p>
    <w:p w14:paraId="3105510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（1）合同解除日以前所完成工作的价款；</w:t>
      </w:r>
    </w:p>
    <w:p w14:paraId="29B7EAE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（2）承包人为该工程施工订购并已付款的材料、工程设备和其他物品的金额。发包人付还后，该材料、工程设备和其他物品归发包人所有；</w:t>
      </w:r>
    </w:p>
    <w:p w14:paraId="6CF7817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（3）承包人为完成工程所发生的，而发包人未支付的金额；</w:t>
      </w:r>
    </w:p>
    <w:p w14:paraId="59EE733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（4）承包人撤离施工场地以及遣散承包人人员的金额；</w:t>
      </w:r>
    </w:p>
    <w:p w14:paraId="4FCC94B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（5）由于解除合同应赔偿的承包人损失；</w:t>
      </w:r>
    </w:p>
    <w:p w14:paraId="11148C5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（6）按合同约定在合同解除日前应支付给承包人的其他金额。</w:t>
      </w:r>
    </w:p>
    <w:p w14:paraId="757AC458">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发包人应按本项约定支付上述金额并退还质量保证金和履约担保，但有权要求承包人支付应偿还给发包人的各项金额。</w:t>
      </w:r>
    </w:p>
    <w:p w14:paraId="1C5C2FA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22.2.5 解除</w:t>
      </w:r>
      <w:r>
        <w:rPr>
          <w:rFonts w:hint="eastAsia" w:ascii="宋体" w:hAnsi="宋体" w:eastAsia="宋体" w:cs="宋体"/>
          <w:b/>
          <w:color w:val="auto"/>
          <w:kern w:val="0"/>
          <w:sz w:val="24"/>
          <w:highlight w:val="none"/>
        </w:rPr>
        <w:t>合同</w:t>
      </w:r>
      <w:r>
        <w:rPr>
          <w:rFonts w:hint="eastAsia" w:ascii="宋体" w:hAnsi="宋体" w:eastAsia="宋体" w:cs="宋体"/>
          <w:b/>
          <w:color w:val="auto"/>
          <w:sz w:val="24"/>
          <w:highlight w:val="none"/>
        </w:rPr>
        <w:t>后的承包人撤离</w:t>
      </w:r>
    </w:p>
    <w:p w14:paraId="4A314A4F">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p>
    <w:p w14:paraId="4A0BA1AE">
      <w:pPr>
        <w:spacing w:line="360" w:lineRule="auto"/>
        <w:jc w:val="left"/>
        <w:rPr>
          <w:rFonts w:hint="eastAsia" w:ascii="宋体" w:hAnsi="宋体" w:eastAsia="宋体" w:cs="宋体"/>
          <w:b/>
          <w:bCs/>
          <w:color w:val="auto"/>
          <w:sz w:val="28"/>
          <w:szCs w:val="28"/>
          <w:highlight w:val="none"/>
        </w:rPr>
      </w:pPr>
      <w:bookmarkStart w:id="844" w:name="_Toc484015722"/>
      <w:bookmarkStart w:id="845" w:name="_Toc486160978"/>
      <w:r>
        <w:rPr>
          <w:rFonts w:hint="eastAsia" w:ascii="宋体" w:hAnsi="宋体" w:eastAsia="宋体" w:cs="宋体"/>
          <w:b/>
          <w:bCs/>
          <w:color w:val="auto"/>
          <w:sz w:val="28"/>
          <w:szCs w:val="28"/>
          <w:highlight w:val="none"/>
        </w:rPr>
        <w:t>22.3第三人造成的违约</w:t>
      </w:r>
      <w:bookmarkEnd w:id="844"/>
      <w:bookmarkEnd w:id="845"/>
    </w:p>
    <w:p w14:paraId="2F3DE11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在履行合同过程中，一方当事人因第三人的原因造成违约的，应当向对方当事人承担违约责任。一方当事人和第三人之间的纠纷，依照法律规定或者按照约定解决。</w:t>
      </w:r>
    </w:p>
    <w:p w14:paraId="52A387D5">
      <w:pPr>
        <w:spacing w:line="360" w:lineRule="auto"/>
        <w:jc w:val="left"/>
        <w:outlineLvl w:val="2"/>
        <w:rPr>
          <w:rFonts w:hint="eastAsia" w:ascii="宋体" w:hAnsi="宋体" w:eastAsia="宋体" w:cs="宋体"/>
          <w:b/>
          <w:bCs/>
          <w:color w:val="auto"/>
          <w:sz w:val="28"/>
          <w:szCs w:val="28"/>
          <w:highlight w:val="none"/>
        </w:rPr>
      </w:pPr>
      <w:bookmarkStart w:id="846" w:name="_Toc1244940556"/>
      <w:bookmarkStart w:id="847" w:name="_Toc96899345"/>
      <w:bookmarkStart w:id="848" w:name="_Toc22392"/>
      <w:bookmarkStart w:id="849" w:name="_Toc20148333"/>
      <w:r>
        <w:rPr>
          <w:rFonts w:hint="eastAsia" w:ascii="宋体" w:hAnsi="宋体" w:eastAsia="宋体" w:cs="宋体"/>
          <w:b/>
          <w:bCs/>
          <w:color w:val="auto"/>
          <w:sz w:val="28"/>
          <w:szCs w:val="28"/>
          <w:highlight w:val="none"/>
        </w:rPr>
        <w:t>23.索赔</w:t>
      </w:r>
      <w:bookmarkEnd w:id="846"/>
      <w:bookmarkEnd w:id="847"/>
      <w:bookmarkEnd w:id="848"/>
      <w:bookmarkEnd w:id="849"/>
    </w:p>
    <w:p w14:paraId="495CFA7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23.1承包人索赔的提出</w:t>
      </w:r>
    </w:p>
    <w:p w14:paraId="5A3788B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根据合同约定，承包人认为有权得到追加付款和（或）延长工期的，应按以下程序向发包人提出索赔：</w:t>
      </w:r>
    </w:p>
    <w:p w14:paraId="31BA89B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1B05C69">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（2）承包人应在发出索赔意向通知书后28天内，向监理人正式递交索赔通知书。索赔通知书应详细说明索赔理由以及要求追加的付款金额和（或）延长的工期，并附必要的记录和证明材料；</w:t>
      </w:r>
    </w:p>
    <w:p w14:paraId="1B3421EB">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（3）索赔事件具有连续影响的，承包人应按合理时间间隔继续递交延续索赔通知，说明连续影响的实际情况和记录，列出累计的追加付款金额和（或）工期延长天数；</w:t>
      </w:r>
    </w:p>
    <w:p w14:paraId="189FA45D">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（4）在索赔事件影响结束后的28天内，承包人应向监理人递交最终索赔通知书，说明最终要求索赔的追加付款金额和延长的工期，并附必要的记录和证明材料。</w:t>
      </w:r>
    </w:p>
    <w:p w14:paraId="630377BF">
      <w:pPr>
        <w:spacing w:line="360" w:lineRule="auto"/>
        <w:jc w:val="left"/>
        <w:rPr>
          <w:rFonts w:hint="eastAsia" w:ascii="宋体" w:hAnsi="宋体" w:eastAsia="宋体" w:cs="宋体"/>
          <w:b/>
          <w:bCs/>
          <w:color w:val="auto"/>
          <w:sz w:val="28"/>
          <w:szCs w:val="28"/>
          <w:highlight w:val="none"/>
        </w:rPr>
      </w:pPr>
      <w:bookmarkStart w:id="850" w:name="_Toc484015724"/>
      <w:bookmarkStart w:id="851" w:name="_Toc486160980"/>
      <w:r>
        <w:rPr>
          <w:rFonts w:hint="eastAsia" w:ascii="宋体" w:hAnsi="宋体" w:eastAsia="宋体" w:cs="宋体"/>
          <w:b/>
          <w:bCs/>
          <w:color w:val="auto"/>
          <w:sz w:val="28"/>
          <w:szCs w:val="28"/>
          <w:highlight w:val="none"/>
        </w:rPr>
        <w:t>23.2承包人索赔处理程序</w:t>
      </w:r>
      <w:bookmarkEnd w:id="850"/>
      <w:bookmarkEnd w:id="851"/>
    </w:p>
    <w:p w14:paraId="33342D9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（1）监理人收到承包人提交的索赔通知书后，应及时审查索赔通知书的内容、查验承包人的记录和证明材料，必要时监理人可要求承包人提交全部原始记录副本。</w:t>
      </w:r>
    </w:p>
    <w:p w14:paraId="3F02526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（2）监理人应按第3.5款商定或确定追加的付款和（或）延长的工期，并在收到上述索赔通知书或有关索赔的进一步证明材料后的42天内，将索赔处理结果答复承包人。</w:t>
      </w:r>
    </w:p>
    <w:p w14:paraId="5B928AF7">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（3）承包人接受索赔处理结果的，发包人应在作出索赔处理结果答复后28天内完成赔付。承包人不接受索赔处理结果的，按第24条的约定办理。</w:t>
      </w:r>
    </w:p>
    <w:p w14:paraId="06275E6D">
      <w:pPr>
        <w:spacing w:line="360" w:lineRule="auto"/>
        <w:jc w:val="left"/>
        <w:rPr>
          <w:rFonts w:hint="eastAsia" w:ascii="宋体" w:hAnsi="宋体" w:eastAsia="宋体" w:cs="宋体"/>
          <w:b/>
          <w:bCs/>
          <w:color w:val="auto"/>
          <w:sz w:val="28"/>
          <w:szCs w:val="28"/>
          <w:highlight w:val="none"/>
        </w:rPr>
      </w:pPr>
      <w:bookmarkStart w:id="852" w:name="_Toc486160981"/>
      <w:bookmarkStart w:id="853" w:name="_Toc484015725"/>
      <w:r>
        <w:rPr>
          <w:rFonts w:hint="eastAsia" w:ascii="宋体" w:hAnsi="宋体" w:eastAsia="宋体" w:cs="宋体"/>
          <w:b/>
          <w:bCs/>
          <w:color w:val="auto"/>
          <w:sz w:val="28"/>
          <w:szCs w:val="28"/>
          <w:highlight w:val="none"/>
        </w:rPr>
        <w:t>23.3承包人提出索赔的期限</w:t>
      </w:r>
      <w:bookmarkEnd w:id="852"/>
      <w:bookmarkEnd w:id="853"/>
    </w:p>
    <w:p w14:paraId="3394FAD8">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23.3.1 承包人按第17.5款的约定接受了完工付款证书后，应被认为已无权再提出在合同工程完工证书颁发前所发生的任何索赔。</w:t>
      </w:r>
    </w:p>
    <w:p w14:paraId="59FA3779">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23.3.2 承包人按第17.6款的约定提交的最终结清申请单中，只限于提出合同工程完工证书颁发后发生的索赔。提出索赔的期限自接受最终结清证书时终止。</w:t>
      </w:r>
    </w:p>
    <w:p w14:paraId="7D89706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23.4发包人的索赔</w:t>
      </w:r>
    </w:p>
    <w:p w14:paraId="4B92F246">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23.4.1 发生索赔事件后，监理人应及时书面通知承包人，详细说明发包人有权得到的索赔金额和（或）延长缺陷责任期（工程质量保修期）的细节和依据。发包人提出索赔的期限和要求与第23.3款的约定相同，延长缺陷责任期（工程质量保修期）的通知应在缺陷责任期（工程质量保修期）届满前发出。</w:t>
      </w:r>
    </w:p>
    <w:p w14:paraId="29F5EB2B">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p>
    <w:p w14:paraId="4644414E">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3E630B39">
      <w:pPr>
        <w:spacing w:line="360" w:lineRule="auto"/>
        <w:jc w:val="left"/>
        <w:outlineLvl w:val="2"/>
        <w:rPr>
          <w:rFonts w:hint="eastAsia" w:ascii="宋体" w:hAnsi="宋体" w:eastAsia="宋体" w:cs="宋体"/>
          <w:b/>
          <w:bCs/>
          <w:color w:val="auto"/>
          <w:sz w:val="28"/>
          <w:szCs w:val="28"/>
          <w:highlight w:val="none"/>
        </w:rPr>
      </w:pPr>
      <w:bookmarkStart w:id="854" w:name="_Toc96899346"/>
      <w:bookmarkStart w:id="855" w:name="_Toc8655"/>
      <w:bookmarkStart w:id="856" w:name="_Toc91188879"/>
      <w:bookmarkStart w:id="857" w:name="_Toc20148334"/>
      <w:r>
        <w:rPr>
          <w:rFonts w:hint="eastAsia" w:ascii="宋体" w:hAnsi="宋体" w:eastAsia="宋体" w:cs="宋体"/>
          <w:b/>
          <w:bCs/>
          <w:color w:val="auto"/>
          <w:sz w:val="28"/>
          <w:szCs w:val="28"/>
          <w:highlight w:val="none"/>
        </w:rPr>
        <w:t>24.争议的解决</w:t>
      </w:r>
      <w:bookmarkEnd w:id="854"/>
      <w:bookmarkEnd w:id="855"/>
      <w:bookmarkEnd w:id="856"/>
      <w:bookmarkEnd w:id="857"/>
    </w:p>
    <w:p w14:paraId="4EB8AA9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24.l争议的解决方式</w:t>
      </w:r>
    </w:p>
    <w:p w14:paraId="18E230F6">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06BF28A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（1）向约定的仲裁委员会申请仲裁；</w:t>
      </w:r>
    </w:p>
    <w:p w14:paraId="77230C91">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（2）向有管辖权的人民法院提起诉讼。</w:t>
      </w:r>
    </w:p>
    <w:p w14:paraId="289AE96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24.2友好解决</w:t>
      </w:r>
    </w:p>
    <w:p w14:paraId="5DA2ED23">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在提请争议评审、仲裁或者诉讼前，以及在争议评审、仲裁或诉讼过程中，发包人和承包人均可共同努力友好协商解决争议。</w:t>
      </w:r>
    </w:p>
    <w:p w14:paraId="332ED12B">
      <w:pPr>
        <w:spacing w:line="360" w:lineRule="auto"/>
        <w:jc w:val="left"/>
        <w:rPr>
          <w:rFonts w:hint="eastAsia" w:ascii="宋体" w:hAnsi="宋体" w:eastAsia="宋体" w:cs="宋体"/>
          <w:b/>
          <w:bCs/>
          <w:color w:val="auto"/>
          <w:sz w:val="28"/>
          <w:szCs w:val="28"/>
          <w:highlight w:val="none"/>
        </w:rPr>
      </w:pPr>
      <w:bookmarkStart w:id="858" w:name="_Toc484015727"/>
      <w:bookmarkStart w:id="859" w:name="_Toc486160983"/>
      <w:r>
        <w:rPr>
          <w:rFonts w:hint="eastAsia" w:ascii="宋体" w:hAnsi="宋体" w:eastAsia="宋体" w:cs="宋体"/>
          <w:b/>
          <w:bCs/>
          <w:color w:val="auto"/>
          <w:sz w:val="28"/>
          <w:szCs w:val="28"/>
          <w:highlight w:val="none"/>
        </w:rPr>
        <w:t>24.3争议评审</w:t>
      </w:r>
      <w:bookmarkEnd w:id="858"/>
      <w:bookmarkEnd w:id="859"/>
    </w:p>
    <w:p w14:paraId="42E832B6">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24.3.1 采用争议评审的，发包人和承包人应在开工日后的28天内或在争议发生后，协商成立争议评审组。争议评审组由有合同管理和工程实践经验的专家组成。</w:t>
      </w:r>
    </w:p>
    <w:p w14:paraId="03E1FA20">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24.3.2 合同双方的争议，应首先由申请人向争议评审组提交一份详细的评审申请报告，并附必要的文件、图纸和证明材料，申请人还应将上述报告的副本同时提交给被申请人和监理人。</w:t>
      </w:r>
    </w:p>
    <w:p w14:paraId="2CCC1D58">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24.3.3 被申请人在收到申请人评审申请报告副本后的28天内，向争议评审组提交一份答辩报告，并附证明材料。被申请人应将答辩报告的副本同时提交给申请人和监理人。</w:t>
      </w:r>
    </w:p>
    <w:p w14:paraId="1D332B22">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7D7B7E2D">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0F8B1392">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24.3.6 发包人和承包人接受评审意见的，由监理人根据评审意见拟定执行协议，经争议双方签字后作为合同的补充文件，并遵照执行。</w:t>
      </w:r>
    </w:p>
    <w:p w14:paraId="41EDC817">
      <w:pPr>
        <w:spacing w:line="355" w:lineRule="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2E1A5C7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24.4仲裁 </w:t>
      </w:r>
    </w:p>
    <w:p w14:paraId="40777DB5">
      <w:pPr>
        <w:spacing w:line="355"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24.4.1若合同双方商定直接向仲裁机构申请仲裁，应签订仲裁协议并约定仲裁机构。</w:t>
      </w:r>
    </w:p>
    <w:p w14:paraId="1CA158E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24.4.2若合同双方未能达成仲裁协议，则本合同的仲裁条款无效，任一方均有权向人民法院提起诉讼。</w:t>
      </w:r>
    </w:p>
    <w:bookmarkEnd w:id="605"/>
    <w:bookmarkEnd w:id="606"/>
    <w:bookmarkEnd w:id="607"/>
    <w:bookmarkEnd w:id="608"/>
    <w:bookmarkEnd w:id="609"/>
    <w:bookmarkEnd w:id="610"/>
    <w:bookmarkEnd w:id="611"/>
    <w:bookmarkEnd w:id="612"/>
    <w:bookmarkEnd w:id="613"/>
    <w:bookmarkEnd w:id="614"/>
    <w:p w14:paraId="30EBD6B4">
      <w:pPr>
        <w:spacing w:line="360" w:lineRule="auto"/>
        <w:rPr>
          <w:rFonts w:hint="eastAsia" w:ascii="宋体" w:hAnsi="宋体" w:eastAsia="宋体" w:cs="宋体"/>
          <w:color w:val="auto"/>
          <w:szCs w:val="22"/>
          <w:highlight w:val="none"/>
        </w:rPr>
        <w:sectPr>
          <w:footerReference r:id="rId9" w:type="default"/>
          <w:pgSz w:w="11906" w:h="16838"/>
          <w:pgMar w:top="2098" w:right="1191" w:bottom="1984" w:left="1304" w:header="851" w:footer="992" w:gutter="0"/>
          <w:cols w:space="720" w:num="1"/>
          <w:docGrid w:linePitch="312" w:charSpace="0"/>
        </w:sectPr>
      </w:pPr>
    </w:p>
    <w:p w14:paraId="5B47B988">
      <w:pPr>
        <w:keepNext/>
        <w:keepLines/>
        <w:spacing w:line="360" w:lineRule="auto"/>
        <w:jc w:val="center"/>
        <w:outlineLvl w:val="1"/>
        <w:rPr>
          <w:rFonts w:hint="eastAsia" w:ascii="宋体" w:hAnsi="宋体" w:eastAsia="宋体" w:cs="宋体"/>
          <w:b/>
          <w:bCs/>
          <w:color w:val="auto"/>
          <w:sz w:val="32"/>
          <w:szCs w:val="32"/>
          <w:highlight w:val="none"/>
        </w:rPr>
      </w:pPr>
      <w:bookmarkStart w:id="860" w:name="_Toc221948340"/>
      <w:bookmarkStart w:id="861" w:name="_Toc93482635"/>
      <w:bookmarkStart w:id="862" w:name="_Toc222032695"/>
      <w:bookmarkStart w:id="863" w:name="_Toc222029526"/>
      <w:bookmarkStart w:id="864" w:name="_Toc536524543"/>
      <w:bookmarkStart w:id="865" w:name="_Toc96899347"/>
      <w:bookmarkStart w:id="866" w:name="_Toc221951110"/>
      <w:bookmarkStart w:id="867" w:name="_Toc480796077"/>
      <w:bookmarkStart w:id="868" w:name="_Toc104740334"/>
      <w:bookmarkStart w:id="869" w:name="_Toc66978589"/>
      <w:bookmarkStart w:id="870" w:name="_Toc15669"/>
      <w:bookmarkStart w:id="871" w:name="_Toc491074025"/>
      <w:bookmarkStart w:id="872" w:name="_Toc222033877"/>
      <w:bookmarkStart w:id="873" w:name="_Toc2693"/>
      <w:bookmarkStart w:id="874" w:name="_Toc100756868"/>
      <w:bookmarkStart w:id="875" w:name="_Toc222031028"/>
      <w:bookmarkStart w:id="876" w:name="_Toc229305386"/>
      <w:bookmarkStart w:id="877" w:name="_Hlk108530165"/>
      <w:r>
        <w:rPr>
          <w:rFonts w:hint="eastAsia" w:ascii="宋体" w:hAnsi="宋体" w:eastAsia="宋体" w:cs="宋体"/>
          <w:b/>
          <w:bCs/>
          <w:color w:val="auto"/>
          <w:sz w:val="32"/>
          <w:szCs w:val="32"/>
          <w:highlight w:val="none"/>
        </w:rPr>
        <w:t>第2节  专用合同条款</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28F03CC3">
      <w:pPr>
        <w:spacing w:line="360" w:lineRule="auto"/>
        <w:jc w:val="left"/>
        <w:outlineLvl w:val="2"/>
        <w:rPr>
          <w:rFonts w:hint="eastAsia" w:ascii="宋体" w:hAnsi="宋体" w:eastAsia="宋体" w:cs="宋体"/>
          <w:b/>
          <w:bCs/>
          <w:color w:val="auto"/>
          <w:sz w:val="28"/>
          <w:szCs w:val="28"/>
          <w:highlight w:val="none"/>
        </w:rPr>
      </w:pPr>
      <w:bookmarkStart w:id="878" w:name="_Toc96899348"/>
      <w:bookmarkStart w:id="879" w:name="_Toc104740335"/>
      <w:bookmarkStart w:id="880" w:name="_Toc29935"/>
      <w:bookmarkStart w:id="881" w:name="_Toc491074026"/>
      <w:r>
        <w:rPr>
          <w:rFonts w:hint="eastAsia" w:ascii="宋体" w:hAnsi="宋体" w:eastAsia="宋体" w:cs="宋体"/>
          <w:b/>
          <w:bCs/>
          <w:color w:val="auto"/>
          <w:sz w:val="28"/>
          <w:szCs w:val="28"/>
          <w:highlight w:val="none"/>
        </w:rPr>
        <w:t>1.一般约定</w:t>
      </w:r>
      <w:bookmarkEnd w:id="878"/>
      <w:bookmarkEnd w:id="879"/>
      <w:bookmarkEnd w:id="880"/>
    </w:p>
    <w:p w14:paraId="5B68385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 词语定义</w:t>
      </w:r>
    </w:p>
    <w:p w14:paraId="2747A3E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合同当事人和人员</w:t>
      </w:r>
    </w:p>
    <w:p w14:paraId="034BA6D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1.1.2.2 发包人：</w:t>
      </w:r>
      <w:r>
        <w:rPr>
          <w:rFonts w:hint="eastAsia" w:ascii="宋体" w:hAnsi="宋体" w:eastAsia="宋体" w:cs="宋体"/>
          <w:color w:val="auto"/>
          <w:sz w:val="24"/>
          <w:highlight w:val="none"/>
          <w:u w:val="single"/>
        </w:rPr>
        <w:t xml:space="preserve">           北京市水利工程管理中心             </w:t>
      </w:r>
      <w:r>
        <w:rPr>
          <w:rFonts w:hint="eastAsia" w:ascii="宋体" w:hAnsi="宋体" w:eastAsia="宋体" w:cs="宋体"/>
          <w:color w:val="auto"/>
          <w:sz w:val="24"/>
          <w:highlight w:val="none"/>
        </w:rPr>
        <w:t>。</w:t>
      </w:r>
    </w:p>
    <w:p w14:paraId="1426009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1.1.2.3 承包人：</w:t>
      </w:r>
      <w:r>
        <w:rPr>
          <w:rFonts w:hint="eastAsia" w:ascii="宋体" w:hAnsi="宋体" w:eastAsia="宋体" w:cs="宋体"/>
          <w:color w:val="auto"/>
          <w:sz w:val="24"/>
          <w:highlight w:val="none"/>
          <w:u w:val="single"/>
        </w:rPr>
        <w:t xml:space="preserve">         （签约后填入承包人的名称）         </w:t>
      </w:r>
      <w:r>
        <w:rPr>
          <w:rFonts w:hint="eastAsia" w:ascii="宋体" w:hAnsi="宋体" w:eastAsia="宋体" w:cs="宋体"/>
          <w:color w:val="auto"/>
          <w:sz w:val="24"/>
          <w:highlight w:val="none"/>
        </w:rPr>
        <w:t>。</w:t>
      </w:r>
    </w:p>
    <w:p w14:paraId="63D5A29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1.1.2.5 分包人：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2871A36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1.1.2.6 监理人：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251B75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1.1.4 日期</w:t>
      </w:r>
    </w:p>
    <w:p w14:paraId="62002909">
      <w:pPr>
        <w:adjustRightInd w:val="0"/>
        <w:snapToGrid w:val="0"/>
        <w:spacing w:line="360" w:lineRule="auto"/>
        <w:ind w:firstLine="480" w:firstLineChars="200"/>
        <w:rPr>
          <w:rFonts w:hint="eastAsia" w:ascii="宋体" w:hAnsi="宋体" w:eastAsia="宋体" w:cs="宋体"/>
          <w:color w:val="auto"/>
          <w:sz w:val="24"/>
          <w:highlight w:val="none"/>
          <w:u w:val="single"/>
        </w:rPr>
      </w:pPr>
      <w:bookmarkStart w:id="882" w:name="_Toc302297832"/>
      <w:bookmarkStart w:id="883" w:name="_Toc480795819"/>
      <w:bookmarkStart w:id="884" w:name="_Toc480796078"/>
      <w:bookmarkStart w:id="885" w:name="_Toc294601449"/>
      <w:bookmarkStart w:id="886" w:name="_Toc302324304"/>
      <w:bookmarkStart w:id="887" w:name="_Toc476582108"/>
      <w:bookmarkStart w:id="888" w:name="_Toc295295159"/>
      <w:r>
        <w:rPr>
          <w:rFonts w:hint="eastAsia" w:ascii="宋体" w:hAnsi="宋体" w:eastAsia="宋体" w:cs="宋体"/>
          <w:color w:val="auto"/>
          <w:sz w:val="24"/>
          <w:highlight w:val="none"/>
        </w:rPr>
        <w:t>1.1.4.5 缺陷责任期（工程质量保修期）：</w:t>
      </w:r>
      <w:bookmarkEnd w:id="882"/>
      <w:bookmarkEnd w:id="883"/>
      <w:bookmarkEnd w:id="884"/>
      <w:bookmarkEnd w:id="885"/>
      <w:bookmarkEnd w:id="886"/>
      <w:bookmarkEnd w:id="887"/>
      <w:bookmarkEnd w:id="888"/>
      <w:r>
        <w:rPr>
          <w:rFonts w:hint="eastAsia" w:ascii="宋体" w:hAnsi="宋体" w:eastAsia="宋体" w:cs="宋体"/>
          <w:color w:val="auto"/>
          <w:sz w:val="24"/>
          <w:highlight w:val="none"/>
          <w:u w:val="single"/>
        </w:rPr>
        <w:t xml:space="preserve"> 12个月 </w:t>
      </w:r>
      <w:r>
        <w:rPr>
          <w:rFonts w:hint="eastAsia" w:ascii="宋体" w:hAnsi="宋体" w:eastAsia="宋体" w:cs="宋体"/>
          <w:color w:val="auto"/>
          <w:sz w:val="24"/>
          <w:highlight w:val="none"/>
        </w:rPr>
        <w:t>。</w:t>
      </w:r>
    </w:p>
    <w:p w14:paraId="369617F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 合同文件的优先顺序</w:t>
      </w:r>
    </w:p>
    <w:p w14:paraId="649B3EF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进入合同文件的各项文件及其优先顺序是：</w:t>
      </w:r>
    </w:p>
    <w:p w14:paraId="30D36FF2">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（1）合同协议书（包括补充协议）；</w:t>
      </w:r>
    </w:p>
    <w:p w14:paraId="053239CB">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（2）中标通知书；</w:t>
      </w:r>
    </w:p>
    <w:p w14:paraId="441CCFF6">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所做出的澄清或说明；</w:t>
      </w:r>
    </w:p>
    <w:p w14:paraId="46BA99D1">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（4）投标函及投标函附录；</w:t>
      </w:r>
    </w:p>
    <w:p w14:paraId="7690155E">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（5）专用合同条款；</w:t>
      </w:r>
    </w:p>
    <w:p w14:paraId="08C2D96D">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（6）通用合同条款；</w:t>
      </w:r>
    </w:p>
    <w:p w14:paraId="74AD7325">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（7）技术标准和要求（合同技术条款）；</w:t>
      </w:r>
    </w:p>
    <w:p w14:paraId="5D05964C">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（8）已标价的工程量清单；</w:t>
      </w:r>
    </w:p>
    <w:p w14:paraId="74F18A25">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（9）工程建设项目廉政合同、安全生产协议书、非道路移动机械使用承诺书、扬尘污染防治工作承诺书、北京市工程建设项目保障农民工工资支付工作承诺书；</w:t>
      </w:r>
    </w:p>
    <w:p w14:paraId="2879BFD3">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（10）经双方确认进入合同的其他文件。</w:t>
      </w:r>
    </w:p>
    <w:p w14:paraId="6C5EB48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 联络</w:t>
      </w:r>
    </w:p>
    <w:p w14:paraId="6EE04C3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 来往函件均应按技术标准和要求（合同技术条款）约定的期限送达</w:t>
      </w:r>
      <w:r>
        <w:rPr>
          <w:rFonts w:hint="eastAsia" w:ascii="宋体" w:hAnsi="宋体" w:eastAsia="宋体" w:cs="宋体"/>
          <w:color w:val="auto"/>
          <w:sz w:val="24"/>
          <w:highlight w:val="none"/>
          <w:u w:val="single"/>
        </w:rPr>
        <w:t xml:space="preserve"> 发包人和承包人现场管理机构所在地 </w:t>
      </w:r>
      <w:r>
        <w:rPr>
          <w:rFonts w:hint="eastAsia" w:ascii="宋体" w:hAnsi="宋体" w:eastAsia="宋体" w:cs="宋体"/>
          <w:color w:val="auto"/>
          <w:sz w:val="24"/>
          <w:highlight w:val="none"/>
        </w:rPr>
        <w:t>。</w:t>
      </w:r>
    </w:p>
    <w:p w14:paraId="5E12DFB5">
      <w:pPr>
        <w:spacing w:line="360" w:lineRule="auto"/>
        <w:jc w:val="left"/>
        <w:outlineLvl w:val="2"/>
        <w:rPr>
          <w:rFonts w:hint="eastAsia" w:ascii="宋体" w:hAnsi="宋体" w:eastAsia="宋体" w:cs="宋体"/>
          <w:b/>
          <w:bCs/>
          <w:color w:val="auto"/>
          <w:sz w:val="28"/>
          <w:szCs w:val="28"/>
          <w:highlight w:val="none"/>
        </w:rPr>
      </w:pPr>
      <w:bookmarkStart w:id="889" w:name="_Toc104740336"/>
      <w:bookmarkStart w:id="890" w:name="_Toc1137"/>
      <w:bookmarkStart w:id="891" w:name="_Toc96899349"/>
      <w:r>
        <w:rPr>
          <w:rFonts w:hint="eastAsia" w:ascii="宋体" w:hAnsi="宋体" w:eastAsia="宋体" w:cs="宋体"/>
          <w:b/>
          <w:bCs/>
          <w:color w:val="auto"/>
          <w:sz w:val="28"/>
          <w:szCs w:val="28"/>
          <w:highlight w:val="none"/>
        </w:rPr>
        <w:t>2.发包人义务</w:t>
      </w:r>
      <w:bookmarkEnd w:id="889"/>
      <w:bookmarkEnd w:id="890"/>
      <w:bookmarkEnd w:id="891"/>
    </w:p>
    <w:p w14:paraId="65A6AD5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2.3 提供施工场地</w:t>
      </w:r>
    </w:p>
    <w:p w14:paraId="1417602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2.3.2 发包人提供的施工场地范围为：</w:t>
      </w:r>
      <w:r>
        <w:rPr>
          <w:rFonts w:hint="eastAsia" w:ascii="宋体" w:hAnsi="宋体" w:eastAsia="宋体" w:cs="宋体"/>
          <w:color w:val="auto"/>
          <w:sz w:val="24"/>
          <w:highlight w:val="none"/>
          <w:u w:val="single"/>
        </w:rPr>
        <w:t>根据具体施工项目需求由发包人及时提供给承包人</w:t>
      </w:r>
      <w:r>
        <w:rPr>
          <w:rFonts w:hint="eastAsia" w:ascii="宋体" w:hAnsi="宋体" w:eastAsia="宋体" w:cs="宋体"/>
          <w:color w:val="auto"/>
          <w:sz w:val="24"/>
          <w:highlight w:val="none"/>
        </w:rPr>
        <w:t>。</w:t>
      </w:r>
    </w:p>
    <w:p w14:paraId="6C407926">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2.3.3 承包人自行勘察的施工场地范围为：</w:t>
      </w:r>
      <w:r>
        <w:rPr>
          <w:rFonts w:hint="eastAsia" w:ascii="宋体" w:hAnsi="宋体" w:eastAsia="宋体" w:cs="宋体"/>
          <w:color w:val="auto"/>
          <w:sz w:val="24"/>
          <w:highlight w:val="none"/>
          <w:u w:val="single"/>
        </w:rPr>
        <w:t>承包人自行确定</w:t>
      </w:r>
      <w:r>
        <w:rPr>
          <w:rFonts w:hint="eastAsia" w:ascii="宋体" w:hAnsi="宋体" w:eastAsia="宋体" w:cs="宋体"/>
          <w:bCs/>
          <w:color w:val="auto"/>
          <w:sz w:val="24"/>
          <w:highlight w:val="none"/>
        </w:rPr>
        <w:t>。</w:t>
      </w:r>
    </w:p>
    <w:p w14:paraId="0186228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2.8 其他义务</w:t>
      </w:r>
    </w:p>
    <w:p w14:paraId="17D6D92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（1）发包人应加强对承包人按时足额支付农民工工资的监督。</w:t>
      </w:r>
    </w:p>
    <w:p w14:paraId="32EA87DF">
      <w:pPr>
        <w:adjustRightInd w:val="0"/>
        <w:snapToGrid w:val="0"/>
        <w:spacing w:line="360" w:lineRule="auto"/>
        <w:ind w:firstLine="480" w:firstLineChars="200"/>
        <w:rPr>
          <w:rFonts w:hint="eastAsia" w:ascii="宋体" w:hAnsi="宋体" w:eastAsia="宋体" w:cs="宋体"/>
          <w:color w:val="auto"/>
          <w:sz w:val="24"/>
          <w:highlight w:val="none"/>
        </w:rPr>
      </w:pPr>
      <w:bookmarkStart w:id="892" w:name="_Toc104740337"/>
      <w:bookmarkStart w:id="893" w:name="_Toc96899350"/>
      <w:r>
        <w:rPr>
          <w:rFonts w:hint="eastAsia" w:ascii="宋体" w:hAnsi="宋体" w:eastAsia="宋体" w:cs="宋体"/>
          <w:color w:val="auto"/>
          <w:sz w:val="24"/>
          <w:highlight w:val="none"/>
        </w:rPr>
        <w:t>（2）发包人应督促承包人按期缴纳工伤保险和安责险。</w:t>
      </w:r>
    </w:p>
    <w:p w14:paraId="1E1D26C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（3）发包人参照《北京市建筑垃圾处置管理规定》北京市人民政府令第293号要求执行。</w:t>
      </w:r>
    </w:p>
    <w:p w14:paraId="77AF2F5C">
      <w:pPr>
        <w:spacing w:line="360" w:lineRule="auto"/>
        <w:jc w:val="left"/>
        <w:outlineLvl w:val="2"/>
        <w:rPr>
          <w:rFonts w:hint="eastAsia" w:ascii="宋体" w:hAnsi="宋体" w:eastAsia="宋体" w:cs="宋体"/>
          <w:b/>
          <w:bCs/>
          <w:color w:val="auto"/>
          <w:sz w:val="28"/>
          <w:szCs w:val="28"/>
          <w:highlight w:val="none"/>
        </w:rPr>
      </w:pPr>
      <w:bookmarkStart w:id="894" w:name="_Toc29832"/>
      <w:r>
        <w:rPr>
          <w:rFonts w:hint="eastAsia" w:ascii="宋体" w:hAnsi="宋体" w:eastAsia="宋体" w:cs="宋体"/>
          <w:b/>
          <w:bCs/>
          <w:color w:val="auto"/>
          <w:sz w:val="28"/>
          <w:szCs w:val="28"/>
          <w:highlight w:val="none"/>
        </w:rPr>
        <w:t>3.监理人</w:t>
      </w:r>
      <w:bookmarkEnd w:id="892"/>
      <w:bookmarkEnd w:id="893"/>
      <w:bookmarkEnd w:id="894"/>
    </w:p>
    <w:p w14:paraId="3C1365E2">
      <w:pPr>
        <w:spacing w:line="360" w:lineRule="auto"/>
        <w:jc w:val="left"/>
        <w:rPr>
          <w:rFonts w:hint="eastAsia" w:ascii="宋体" w:hAnsi="宋体" w:eastAsia="宋体" w:cs="宋体"/>
          <w:b/>
          <w:bCs/>
          <w:color w:val="auto"/>
          <w:sz w:val="28"/>
          <w:szCs w:val="28"/>
          <w:highlight w:val="none"/>
        </w:rPr>
      </w:pPr>
      <w:bookmarkStart w:id="895" w:name="_Toc96899351"/>
      <w:bookmarkStart w:id="896" w:name="_Toc104740338"/>
      <w:r>
        <w:rPr>
          <w:rFonts w:hint="eastAsia" w:ascii="宋体" w:hAnsi="宋体" w:eastAsia="宋体" w:cs="宋体"/>
          <w:b/>
          <w:bCs/>
          <w:color w:val="auto"/>
          <w:sz w:val="28"/>
          <w:szCs w:val="28"/>
          <w:highlight w:val="none"/>
        </w:rPr>
        <w:t>3.1 监理人的职责和权力</w:t>
      </w:r>
    </w:p>
    <w:p w14:paraId="37ED6CB3">
      <w:pPr>
        <w:adjustRightInd w:val="0"/>
        <w:snapToGrid w:val="0"/>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3.1.1 监理人须根据发包人事先批准的权力范围行使权力，发包人批准的权力范围：</w:t>
      </w:r>
    </w:p>
    <w:p w14:paraId="0461ECCE">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（1）按第4.5款和4.6款的规定，批准人员的更换；</w:t>
      </w:r>
    </w:p>
    <w:p w14:paraId="10461E2C">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（2）按第11.3款、第11.4款的规定，确定延长工期；</w:t>
      </w:r>
    </w:p>
    <w:p w14:paraId="5BAAE4C2">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（3）按第12.3款的规定，作出暂停施工的指示；</w:t>
      </w:r>
    </w:p>
    <w:p w14:paraId="2D9954D2">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（4）按第15条的规定，作出任何变更；</w:t>
      </w:r>
    </w:p>
    <w:p w14:paraId="44A92BE3">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（5）按第23.2款的规定，作出索赔的处理；</w:t>
      </w:r>
    </w:p>
    <w:p w14:paraId="49C6B6FF">
      <w:pPr>
        <w:adjustRightInd w:val="0"/>
        <w:snapToGrid w:val="0"/>
        <w:spacing w:line="360" w:lineRule="auto"/>
        <w:ind w:firstLine="484" w:firstLineChars="2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（6）合同范围变更以及重大技术变更；</w:t>
      </w:r>
    </w:p>
    <w:p w14:paraId="532076E7">
      <w:pPr>
        <w:adjustRightInd w:val="0"/>
        <w:snapToGrid w:val="0"/>
        <w:spacing w:line="360" w:lineRule="auto"/>
        <w:ind w:firstLine="484" w:firstLineChars="202"/>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（7）采用新技术、新材料、新工艺。</w:t>
      </w:r>
    </w:p>
    <w:p w14:paraId="2AD5BBCB">
      <w:pPr>
        <w:spacing w:line="360" w:lineRule="auto"/>
        <w:jc w:val="left"/>
        <w:outlineLvl w:val="2"/>
        <w:rPr>
          <w:rFonts w:hint="eastAsia" w:ascii="宋体" w:hAnsi="宋体" w:eastAsia="宋体" w:cs="宋体"/>
          <w:b/>
          <w:bCs/>
          <w:color w:val="auto"/>
          <w:sz w:val="28"/>
          <w:szCs w:val="28"/>
          <w:highlight w:val="none"/>
        </w:rPr>
      </w:pPr>
      <w:bookmarkStart w:id="897" w:name="_Toc16476"/>
      <w:r>
        <w:rPr>
          <w:rFonts w:hint="eastAsia" w:ascii="宋体" w:hAnsi="宋体" w:eastAsia="宋体" w:cs="宋体"/>
          <w:b/>
          <w:bCs/>
          <w:color w:val="auto"/>
          <w:sz w:val="28"/>
          <w:szCs w:val="28"/>
          <w:highlight w:val="none"/>
        </w:rPr>
        <w:t>4.承包人</w:t>
      </w:r>
      <w:bookmarkEnd w:id="895"/>
      <w:bookmarkEnd w:id="896"/>
      <w:bookmarkEnd w:id="897"/>
    </w:p>
    <w:p w14:paraId="502FCA4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4.1 承包人的一般义务</w:t>
      </w:r>
    </w:p>
    <w:p w14:paraId="4DDC83FA">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4.1.10 其他义务</w:t>
      </w:r>
    </w:p>
    <w:p w14:paraId="7E50CC6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（1）本工程在设计度汛标准内的安全度汛由承包人负责，并承担由此发生的一切费用。</w:t>
      </w:r>
    </w:p>
    <w:p w14:paraId="54D12EB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承包人应按照北京市生态环境局关于设定禁止高排放非道路移动机械使用区域的要求，在相关区域禁止使用不符合第三阶段及以上排放标准的非道路移动机械（包括挖掘机、装载机、挖掘装载机、叉车、推土机、平地机、压路机、摊铺机、铣刨机、钻机、打桩机、起重机等），否则，将自行承担相应法律后果和一切处罚。工程开工前及实施过程中，承包人应做好非道路移动机械的维护保养，其一切费用包含在相应工程项目总价或单价中。</w:t>
      </w:r>
    </w:p>
    <w:p w14:paraId="5914DCD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（3）承包人应按照《北京市机动车和非道路移动机械排放污染防治条例》的要求，使用在本市进行信息编码登记且符合排放标准的非道路移动机械，否则，将自行承担相应法律后果和一切处罚。</w:t>
      </w:r>
    </w:p>
    <w:p w14:paraId="5E1D629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承包人应加强扬尘污染防治技术措施应用。承包人应按照国家及北京市的有关规定，制定切实可行的扬尘污染防治措施，全面负责施工现场扬尘污染防治工作。工程实施过程中，接受有关部门的监督管理。同时，承包人对违反有关规定，造成扬尘污染防治工作不力的，也应接受有关部门依法做出的相应处罚。</w:t>
      </w:r>
    </w:p>
    <w:p w14:paraId="6760C7B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（5）承包人应严格执行北京市交通委员会、北京市城市管理委员会等有关部门对运输车辆、建筑垃圾管理的有关规定及要求。</w:t>
      </w:r>
    </w:p>
    <w:p w14:paraId="4D660AE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（6）承包人应认真贯彻落实《保障农民工工资支付条例》（国务院第 724 号令）、《工程建设领域农民工工资专用账户管理暂行办法》（人社部发〔2021〕53号）、《工程建设领域农民工工资保证金规定》（人社部〔2021〕65号）、《北京市人民政府关于健全完善保障农民工工资支付制度机制建设的意见》（京政发〔2020〕26号）、《北京市工程建设领域保障农民工工资支付工作管理办法》（京人社监发[2021]12号）、《北京市工程建设领域农民工工资保证金实施办法》（京人社监发〔2021〕36号）、《北京市水务局关于转发&lt;工程建设领域农民工工资专用账户管理暂行办法&gt;的通知》和《北京市水务局关于转发&lt;工程建设领域农民工工资保证金规定&gt;的通知》等国家、行业和北京市的有关规定，严格保障农民工合法权益，不拖欠农民工工资。设立农民工实名制、工资保证金、工资专户，实行银行代发等，并接受发包人或有关部门的监管。承包人未按要求执行有关规定的，不得进入施工现场。承包人应按照北京市水务局《关于转发&lt;劳动合同示范文本&gt;的通知》（详见北京市水务局官网通知公告栏）要求，使用示范文本规范劳动合同签订。</w:t>
      </w:r>
    </w:p>
    <w:p w14:paraId="332DF948">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依据《关于做好本市公路水运水利机场工程建设项目参加工伤保险工作的通知》（京人社工发〔2018〕229号）的有关规定，承包人在进场施工前，应按项目办理工伤保险。办理开工备案时，向发包人提交《社会保险登记证》，作为保证工程施工安全的具体措施。</w:t>
      </w:r>
    </w:p>
    <w:p w14:paraId="35D5DC1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承包人应参照执行北京市住房和城乡建设委员会关于印发《建设工程施工现场生活区设置和管理导则》和《北京市建设工程施工现场安全生产标准化管理图集（生活区设置和管理分册）的通知》（京建发〔2020〕289 号）等有关标准、规范和文件的规定，遵守施工现场生活区设置和管理的有关要求，规范施工现场生活区宿舍、食堂、盥洗间、淋浴间、厕所等的设置和管理，生活污水要达标排放。</w:t>
      </w:r>
    </w:p>
    <w:p w14:paraId="15D5DEC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承包人应遵守国家和北京市关于建筑垃圾、生活垃圾分类管理的有关规定和要求，编制施工现场的建筑垃圾处理方案，明确建筑垃圾运输车辆进出施工现场的管理制度、具体负责人、检查人员和检查登记方法、投诉举报途径、突发事件处理程序等，并报城市管理部门备案。</w:t>
      </w:r>
    </w:p>
    <w:p w14:paraId="25DA79F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承包人应当按照城市管理部门的规定对建筑垃圾进行资源化利用或者处置，并根据建筑垃圾运输服务合同的约定，通知建筑垃圾运输服务单位及时清运施工产生的建筑垃圾；对需要在施工现场贮存的建筑垃圾，应当按照规定采取密闭式垃圾站或者防尘网遮盖等扬尘防治措施。</w:t>
      </w:r>
    </w:p>
    <w:p w14:paraId="62CDE2F2">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（10）承包人应优先采用节能型的施工工艺和高性能用能设备，提高能源利用效率和效益，减少对环境的影响。</w:t>
      </w:r>
    </w:p>
    <w:p w14:paraId="61D775F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承包人应严格运输车辆管理，将运输车辆管理纳入项目经理责任制，严禁无准运证、密闭装置破损、排放不达标的车辆进入工地，严禁超量装载、车身不洁、车轮带泥的车辆驶出工地，做到“三不进、两不出”（不达标禁止进入工地、无准运证禁止进入工地、密闭装置损坏禁止进入工地，车厢未密闭禁止驶出工地、车身不洁禁止驶出工地），对施工垃圾装载处置的具体管理负责。</w:t>
      </w:r>
    </w:p>
    <w:p w14:paraId="4AA2669E">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承包人应统一设置《建筑垃圾处置责任公示牌》，公示建设单位、施工单位、运输企业、现场责任人、渣土消纳证编号、渣土消纳场所名称、监督电话等内容，以及施工现场建筑垃圾处理方案概要和发包人的建筑垃圾消纳情况备案信息等内容。</w:t>
      </w:r>
    </w:p>
    <w:p w14:paraId="531FCDD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（12）承包人在有限空间作业前，须编制专题施工方案，制定操作规程，并落实各项防护措施，经监理人审批、报发包人备案后方可实施。</w:t>
      </w:r>
    </w:p>
    <w:p w14:paraId="0C550D74">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（13）承包人应严格执行《北京市大气污染防治条例》、《建设工程扬尘污染防治规范》、《建设工程施工现场安全防护、场容卫生及消防保卫标准》（DB11/945--2012）、《水利工程绿色施工规范》（DB11/</w:t>
      </w:r>
      <w:r>
        <w:rPr>
          <w:rFonts w:hint="eastAsia" w:ascii="宋体" w:hAnsi="宋体" w:eastAsia="宋体" w:cs="宋体"/>
          <w:color w:val="auto"/>
          <w:sz w:val="24"/>
          <w:highlight w:val="none"/>
        </w:rPr>
        <w:t xml:space="preserve">T </w:t>
      </w:r>
      <w:r>
        <w:rPr>
          <w:rFonts w:hint="eastAsia" w:ascii="宋体" w:hAnsi="宋体" w:eastAsia="宋体" w:cs="宋体"/>
          <w:bCs/>
          <w:color w:val="auto"/>
          <w:sz w:val="24"/>
          <w:highlight w:val="none"/>
        </w:rPr>
        <w:t>1776--2020）、《北京市建筑垃圾处置管理规定》等有关标准、规范和文件的规定，做好绿色施工措施。</w:t>
      </w:r>
    </w:p>
    <w:p w14:paraId="07C978C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（14）按照《关于进一步加强建筑废弃物资源化综合利用工作的意见》（京建发[2018]7号）的要求，在技术指标符合设计要求及满足使用功能的前提下，率先在指定工程部位选用建筑废弃物再生产品。</w:t>
      </w:r>
    </w:p>
    <w:p w14:paraId="1125159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（15）承包人应按照北京市水务局《关于进一步加强水利工程起重机械使用管理的通知》（京水务安文[2020]38 号）的要求，加强起重机械的使用管理。</w:t>
      </w:r>
    </w:p>
    <w:p w14:paraId="333C520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（16）承包人应严格执行《北京市水利工程运行维护作业涉水安全管理规程（试行）》的规定，防范涉水安全风险，做好涉水安全措施。</w:t>
      </w:r>
    </w:p>
    <w:p w14:paraId="4507473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（17）承包人制定强压力容器、压力管道等特种设备安全防护制度，加强人员安全培训，按国家及地方相关规定持证上岗。</w:t>
      </w:r>
    </w:p>
    <w:p w14:paraId="1EA1E32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（18）承包人应尊重工程所在地的风俗习惯。</w:t>
      </w:r>
    </w:p>
    <w:p w14:paraId="2F6C817F">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（19）承包人自行考虑施工用水、用电及通讯，费用包含在合同价中。</w:t>
      </w:r>
    </w:p>
    <w:p w14:paraId="0CED505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（20）承包人负责办理施工临时用地、临时设施、临时交通等各项审批手续。</w:t>
      </w:r>
    </w:p>
    <w:p w14:paraId="7B3A7153">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（21）承包人负责处理施工过程中与地方产生的所有矛盾与争议。</w:t>
      </w:r>
    </w:p>
    <w:p w14:paraId="70F4EE2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（22）按发包人要求设立</w:t>
      </w:r>
      <w:bookmarkStart w:id="898" w:name="_Hlk92717306"/>
      <w:r>
        <w:rPr>
          <w:rFonts w:hint="eastAsia" w:ascii="宋体" w:hAnsi="宋体" w:eastAsia="宋体" w:cs="宋体"/>
          <w:bCs/>
          <w:color w:val="auto"/>
          <w:sz w:val="24"/>
          <w:highlight w:val="none"/>
        </w:rPr>
        <w:t>农民工工资专用</w:t>
      </w:r>
      <w:bookmarkEnd w:id="898"/>
      <w:r>
        <w:rPr>
          <w:rFonts w:hint="eastAsia" w:ascii="宋体" w:hAnsi="宋体" w:eastAsia="宋体" w:cs="宋体"/>
          <w:bCs/>
          <w:color w:val="auto"/>
          <w:sz w:val="24"/>
          <w:highlight w:val="none"/>
        </w:rPr>
        <w:t>账户，并接受发包人的监管。</w:t>
      </w:r>
    </w:p>
    <w:p w14:paraId="0758436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承包人应加强应急抢险能力建设。项目实施过程中如出现应急抢险事项，承包人应在能力范围内积极配合发包人开展应急抢险工作；如承包人具备应急抢险能力的，由承包人承担抢险工作，实际发生工作量及资金等以发包人审核为准。</w:t>
      </w:r>
    </w:p>
    <w:p w14:paraId="6A3A22B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4.2履约担保</w:t>
      </w:r>
    </w:p>
    <w:p w14:paraId="3A52C637">
      <w:pPr>
        <w:adjustRightInd w:val="0"/>
        <w:snapToGrid w:val="0"/>
        <w:spacing w:line="360" w:lineRule="auto"/>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通用合同条款不适用。本工程按以下条款执行：</w:t>
      </w:r>
    </w:p>
    <w:p w14:paraId="0D11C79A">
      <w:pPr>
        <w:adjustRightInd w:val="0"/>
        <w:snapToGrid w:val="0"/>
        <w:spacing w:line="360" w:lineRule="auto"/>
        <w:ind w:firstLine="480" w:firstLineChars="200"/>
        <w:rPr>
          <w:rFonts w:hint="eastAsia" w:ascii="宋体" w:hAnsi="宋体" w:eastAsia="宋体" w:cs="宋体"/>
          <w:bCs/>
          <w:color w:val="auto"/>
          <w:sz w:val="24"/>
          <w:highlight w:val="none"/>
          <w:u w:val="single"/>
          <w:lang w:val="zh-CN"/>
        </w:rPr>
      </w:pPr>
      <w:r>
        <w:rPr>
          <w:rFonts w:hint="eastAsia" w:ascii="宋体" w:hAnsi="宋体" w:eastAsia="宋体" w:cs="宋体"/>
          <w:bCs/>
          <w:color w:val="auto"/>
          <w:sz w:val="24"/>
          <w:highlight w:val="none"/>
          <w:lang w:val="zh-CN"/>
        </w:rPr>
        <w:t>承包人提供履约保证金：签约合同价的10%，</w:t>
      </w:r>
      <w:r>
        <w:rPr>
          <w:rFonts w:hint="eastAsia" w:ascii="宋体" w:hAnsi="宋体" w:eastAsia="宋体" w:cs="宋体"/>
          <w:color w:val="auto"/>
          <w:sz w:val="24"/>
          <w:highlight w:val="none"/>
          <w:u w:val="single"/>
        </w:rPr>
        <w:t>即人民币（大写）：        （小写）：¥          元</w:t>
      </w:r>
      <w:r>
        <w:rPr>
          <w:rFonts w:hint="eastAsia" w:ascii="宋体" w:hAnsi="宋体" w:eastAsia="宋体" w:cs="宋体"/>
          <w:bCs/>
          <w:color w:val="auto"/>
          <w:sz w:val="24"/>
          <w:highlight w:val="none"/>
          <w:lang w:val="zh-CN"/>
        </w:rPr>
        <w:t>。</w:t>
      </w:r>
    </w:p>
    <w:p w14:paraId="61250A9D">
      <w:pPr>
        <w:adjustRightInd w:val="0"/>
        <w:snapToGrid w:val="0"/>
        <w:spacing w:line="360" w:lineRule="auto"/>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履约担保的形式：</w:t>
      </w:r>
      <w:r>
        <w:rPr>
          <w:rFonts w:hint="eastAsia" w:ascii="宋体" w:hAnsi="宋体" w:eastAsia="宋体" w:cs="宋体"/>
          <w:bCs/>
          <w:color w:val="auto"/>
          <w:sz w:val="24"/>
          <w:highlight w:val="none"/>
          <w:u w:val="single"/>
          <w:lang w:val="zh-CN"/>
        </w:rPr>
        <w:t xml:space="preserve">                    </w:t>
      </w:r>
      <w:r>
        <w:rPr>
          <w:rFonts w:hint="eastAsia" w:ascii="宋体" w:hAnsi="宋体" w:eastAsia="宋体" w:cs="宋体"/>
          <w:bCs/>
          <w:color w:val="auto"/>
          <w:sz w:val="24"/>
          <w:highlight w:val="none"/>
          <w:lang w:val="zh-CN"/>
        </w:rPr>
        <w:t>。  银行保函、担保（包括电子保函）、支票、银行汇票、电汇、现金等（签订合同时按照实际递交形式选填）；</w:t>
      </w:r>
    </w:p>
    <w:p w14:paraId="24E55704">
      <w:pPr>
        <w:adjustRightInd w:val="0"/>
        <w:snapToGrid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履约保证期限：履约保证期限于本合同期限届满并承包人履行完本合同约定的全部义务后终止。</w:t>
      </w:r>
    </w:p>
    <w:p w14:paraId="083070C0">
      <w:pPr>
        <w:adjustRightInd w:val="0"/>
        <w:snapToGrid w:val="0"/>
        <w:spacing w:line="360" w:lineRule="auto"/>
        <w:ind w:firstLine="480" w:firstLineChars="200"/>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履约担保的退还：在</w:t>
      </w:r>
      <w:r>
        <w:rPr>
          <w:rFonts w:hint="eastAsia" w:ascii="宋体" w:hAnsi="宋体" w:eastAsia="宋体" w:cs="宋体"/>
          <w:color w:val="auto"/>
          <w:sz w:val="24"/>
          <w:highlight w:val="none"/>
        </w:rPr>
        <w:t>合同工程完工</w:t>
      </w:r>
      <w:r>
        <w:rPr>
          <w:rFonts w:hint="eastAsia" w:ascii="宋体" w:hAnsi="宋体" w:eastAsia="宋体" w:cs="宋体"/>
          <w:color w:val="auto"/>
          <w:sz w:val="24"/>
          <w:szCs w:val="28"/>
          <w:highlight w:val="none"/>
        </w:rPr>
        <w:t>验收合格且资料移交后30日内，发包人将履约保证金退还给承包人。履约保证金采用支票、汇票、电汇、转账、现金形式的，以支票或汇票方式退还；采用保函形式的，合同期满自行作废，不再退还。发包人</w:t>
      </w:r>
      <w:r>
        <w:rPr>
          <w:rFonts w:hint="eastAsia" w:ascii="宋体" w:hAnsi="宋体" w:eastAsia="宋体" w:cs="宋体"/>
          <w:color w:val="auto"/>
          <w:sz w:val="24"/>
          <w:highlight w:val="none"/>
        </w:rPr>
        <w:t>逾期退还履约保证金，应以未退还的履约保证金为基数、按照中国人民银行的同期贷款利率及逾期天数向承包人支付违约金</w:t>
      </w:r>
      <w:r>
        <w:rPr>
          <w:rFonts w:hint="eastAsia" w:ascii="宋体" w:hAnsi="宋体" w:eastAsia="宋体" w:cs="宋体"/>
          <w:color w:val="auto"/>
          <w:sz w:val="24"/>
          <w:szCs w:val="28"/>
          <w:highlight w:val="none"/>
        </w:rPr>
        <w:t>。</w:t>
      </w:r>
    </w:p>
    <w:p w14:paraId="779BA90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本工程履约担保执行</w:t>
      </w:r>
      <w:r>
        <w:rPr>
          <w:rFonts w:hint="eastAsia" w:ascii="宋体" w:hAnsi="宋体" w:eastAsia="宋体" w:cs="宋体"/>
          <w:color w:val="auto"/>
          <w:sz w:val="24"/>
          <w:highlight w:val="none"/>
        </w:rPr>
        <w:t>《北京市公共资源交易担保金融服务管理办法（试行）》的相关规定。</w:t>
      </w:r>
    </w:p>
    <w:p w14:paraId="6DF253F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4.3 分包</w:t>
      </w:r>
    </w:p>
    <w:p w14:paraId="1C9D134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4.3.2 除劳务作业本项目不允许工程分包。</w:t>
      </w:r>
    </w:p>
    <w:p w14:paraId="2E77786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4.4 联合体</w:t>
      </w:r>
    </w:p>
    <w:p w14:paraId="377B0EC1">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iCs/>
          <w:color w:val="auto"/>
          <w:sz w:val="24"/>
          <w:highlight w:val="none"/>
        </w:rPr>
        <w:t>通用条款不适用。</w:t>
      </w:r>
      <w:r>
        <w:rPr>
          <w:rFonts w:hint="eastAsia" w:ascii="宋体" w:hAnsi="宋体" w:eastAsia="宋体" w:cs="宋体"/>
          <w:bCs/>
          <w:color w:val="auto"/>
          <w:sz w:val="24"/>
          <w:highlight w:val="none"/>
          <w:lang w:val="zh-CN"/>
        </w:rPr>
        <w:t>本工程按以下条款执行：</w:t>
      </w:r>
      <w:r>
        <w:rPr>
          <w:rFonts w:hint="eastAsia" w:ascii="宋体" w:hAnsi="宋体" w:eastAsia="宋体" w:cs="宋体"/>
          <w:iCs/>
          <w:color w:val="auto"/>
          <w:sz w:val="24"/>
          <w:highlight w:val="none"/>
        </w:rPr>
        <w:t>本次招标</w:t>
      </w:r>
      <w:r>
        <w:rPr>
          <w:rFonts w:hint="eastAsia" w:ascii="宋体" w:hAnsi="宋体" w:eastAsia="宋体" w:cs="宋体"/>
          <w:iCs/>
          <w:color w:val="auto"/>
          <w:sz w:val="24"/>
          <w:highlight w:val="none"/>
          <w:u w:val="single"/>
        </w:rPr>
        <w:t>不接受</w:t>
      </w:r>
      <w:r>
        <w:rPr>
          <w:rFonts w:hint="eastAsia" w:ascii="宋体" w:hAnsi="宋体" w:eastAsia="宋体" w:cs="宋体"/>
          <w:iCs/>
          <w:color w:val="auto"/>
          <w:sz w:val="24"/>
          <w:highlight w:val="none"/>
        </w:rPr>
        <w:t>联合体投标。</w:t>
      </w:r>
    </w:p>
    <w:p w14:paraId="6071106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4.5 承包人项目经理</w:t>
      </w:r>
    </w:p>
    <w:p w14:paraId="77766A9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本款补充第4.5.5项：</w:t>
      </w:r>
    </w:p>
    <w:p w14:paraId="35948CCC">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4.5.5 承包人须派</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中明确的项目经理进驻施工现场。承包人如需更换项目经理或主要负责人，须经发包人书面同意，未经发包人书面同意，本合同实施期间内项目经理或主要负责人不得更换，否则，承包人应向发包人支付违约金 5 万元人民币/人次。项目经理在工程主体施工期间，现场工作天数每月不得少于10天，发包人将根据考勤记录进行考评，每差一天承包人应向发包人支付违约金5000元人民币（发包人批准的除外）。</w:t>
      </w:r>
    </w:p>
    <w:p w14:paraId="0832EF89">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4.6 承包人人员的管理</w:t>
      </w:r>
    </w:p>
    <w:p w14:paraId="3DE4E93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应在合同签订后3天内，向发包人提交承包人在施工场地的管理机构以及人员安排的报告，其内容应包括管理机构的设置、各主要岗位的技术和管理人员名单及其资格，以及各工种技术工人的安排状况。承包人应及时向发包人提交施工场地人员变动情况的报告。</w:t>
      </w:r>
    </w:p>
    <w:p w14:paraId="66E000C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4.6.3 承包人安排在施工场地的主要管理人员和技术骨干应相对稳定。承包人更换主要管理人员和技术骨干时，应取得发包人的同意。</w:t>
      </w:r>
    </w:p>
    <w:p w14:paraId="16466F2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承包人须派</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明确的项目经理、技术负责人、安全负责人和特种作业人员进驻施工现场。签订合同后3个工作日内，承包人应将项目经理、技术负责人、安全负责人和特种作业人员的信息报送发包人备案。在项目实施过程中，承包人应配合发包人对上述人员持证上岗情况进行检查。</w:t>
      </w:r>
    </w:p>
    <w:p w14:paraId="285D92D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本款补充第4.6.5项、第4.6.6项、第4.6.7项：</w:t>
      </w:r>
    </w:p>
    <w:p w14:paraId="7F9B666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4.6.5 尽管承包人已按约定派遣了上述各类人员，但若这些人员仍不能满足合同进度计划和（或）质量、安全生产要求时，发包人有权要求承包人继续增派这类人员，并书面通知承包人。承包人在接到上述通知后应立即执行发包人的指示，不得无故拖延，否则由此增加的费用和工期延误所造成的损失由承包人承担。</w:t>
      </w:r>
    </w:p>
    <w:p w14:paraId="3CC0484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4.6.6 承包人须派</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中明确的技术负责人进驻施工现场。承包人如需更换技术负责人，须经发包人书面同意，未经发包人书面同意，本合同实施期间内技术负责人不得更换，否则，承包人应向发包人支付违约金 5 万元人民币/人次。技术负责人在工程主体施工期间，现场工作天数每月不得少于15天，发包人将根据考勤记录进行考评，每差一天承包人应向发包人支付违约金5000元人民币（发包人批准的除外）。</w:t>
      </w:r>
    </w:p>
    <w:p w14:paraId="1C4645B9">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4.6.7 </w:t>
      </w:r>
      <w:bookmarkStart w:id="899" w:name="_Hlk95396746"/>
      <w:r>
        <w:rPr>
          <w:rFonts w:hint="eastAsia" w:ascii="宋体" w:hAnsi="宋体" w:eastAsia="宋体" w:cs="宋体"/>
          <w:bCs/>
          <w:color w:val="auto"/>
          <w:sz w:val="24"/>
          <w:highlight w:val="none"/>
        </w:rPr>
        <w:t>承包人须派</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中明确的其他主要管理人员（包括安全管理人员、质量管理人员）进驻施工现场。</w:t>
      </w:r>
      <w:bookmarkStart w:id="900" w:name="_Hlk99799419"/>
      <w:r>
        <w:rPr>
          <w:rFonts w:hint="eastAsia" w:ascii="宋体" w:hAnsi="宋体" w:eastAsia="宋体" w:cs="宋体"/>
          <w:bCs/>
          <w:color w:val="auto"/>
          <w:sz w:val="24"/>
          <w:highlight w:val="none"/>
        </w:rPr>
        <w:t>承包人如需更换以上人员，须经发包人书面同意，未经发包人书面同意，本合同实施期间内上述人员不得更换，否则，承包人应向发包人支付违约金</w:t>
      </w:r>
      <w:r>
        <w:rPr>
          <w:rFonts w:hint="eastAsia" w:ascii="宋体" w:hAnsi="宋体" w:eastAsia="宋体" w:cs="宋体"/>
          <w:bCs/>
          <w:color w:val="auto"/>
          <w:sz w:val="24"/>
          <w:highlight w:val="none"/>
          <w:u w:val="single"/>
        </w:rPr>
        <w:t xml:space="preserve"> 1 </w:t>
      </w:r>
      <w:r>
        <w:rPr>
          <w:rFonts w:hint="eastAsia" w:ascii="宋体" w:hAnsi="宋体" w:eastAsia="宋体" w:cs="宋体"/>
          <w:bCs/>
          <w:color w:val="auto"/>
          <w:sz w:val="24"/>
          <w:highlight w:val="none"/>
        </w:rPr>
        <w:t>万元人民币/人次。</w:t>
      </w:r>
      <w:bookmarkEnd w:id="899"/>
      <w:bookmarkEnd w:id="900"/>
      <w:r>
        <w:rPr>
          <w:rFonts w:hint="eastAsia" w:ascii="宋体" w:hAnsi="宋体" w:eastAsia="宋体" w:cs="宋体"/>
          <w:bCs/>
          <w:color w:val="auto"/>
          <w:sz w:val="24"/>
          <w:highlight w:val="none"/>
        </w:rPr>
        <w:t>其他主要管理人员</w:t>
      </w:r>
      <w:r>
        <w:rPr>
          <w:rFonts w:hint="eastAsia" w:ascii="宋体" w:hAnsi="宋体" w:eastAsia="宋体" w:cs="宋体"/>
          <w:color w:val="auto"/>
          <w:sz w:val="24"/>
          <w:highlight w:val="none"/>
        </w:rPr>
        <w:t>在工程主体施工期间，现场工作天数每月不得少于22天，发包人将根据考勤记录进行考评，每人每差一天承包人应向发包人支付违约金5000元人民币（发包人批准的除外）。</w:t>
      </w:r>
    </w:p>
    <w:p w14:paraId="01A3483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4.11 不利物质条件</w:t>
      </w:r>
    </w:p>
    <w:p w14:paraId="5FA4E40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4.11.1 </w:t>
      </w:r>
      <w:r>
        <w:rPr>
          <w:rFonts w:hint="eastAsia" w:ascii="宋体" w:hAnsi="宋体" w:eastAsia="宋体" w:cs="宋体"/>
          <w:color w:val="auto"/>
          <w:sz w:val="24"/>
          <w:highlight w:val="none"/>
        </w:rPr>
        <w:t>不利物质条件的范围：本项不作另行约定。</w:t>
      </w:r>
    </w:p>
    <w:p w14:paraId="146E61EF">
      <w:pPr>
        <w:spacing w:line="360" w:lineRule="auto"/>
        <w:jc w:val="left"/>
        <w:outlineLvl w:val="2"/>
        <w:rPr>
          <w:rFonts w:hint="eastAsia" w:ascii="宋体" w:hAnsi="宋体" w:eastAsia="宋体" w:cs="宋体"/>
          <w:b/>
          <w:bCs/>
          <w:color w:val="auto"/>
          <w:sz w:val="28"/>
          <w:szCs w:val="28"/>
          <w:highlight w:val="none"/>
        </w:rPr>
      </w:pPr>
      <w:bookmarkStart w:id="901" w:name="_Toc96899352"/>
      <w:bookmarkStart w:id="902" w:name="_Toc104740339"/>
      <w:bookmarkStart w:id="903" w:name="_Toc24775"/>
      <w:r>
        <w:rPr>
          <w:rFonts w:hint="eastAsia" w:ascii="宋体" w:hAnsi="宋体" w:eastAsia="宋体" w:cs="宋体"/>
          <w:b/>
          <w:bCs/>
          <w:color w:val="auto"/>
          <w:sz w:val="28"/>
          <w:szCs w:val="28"/>
          <w:highlight w:val="none"/>
        </w:rPr>
        <w:t>5.材料和工程设备</w:t>
      </w:r>
      <w:bookmarkEnd w:id="901"/>
      <w:bookmarkEnd w:id="902"/>
      <w:bookmarkEnd w:id="903"/>
    </w:p>
    <w:p w14:paraId="2B79FBD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5.1承包人提供的材料和工程设备</w:t>
      </w:r>
    </w:p>
    <w:p w14:paraId="4533EC46">
      <w:pPr>
        <w:adjustRightInd w:val="0"/>
        <w:snapToGrid w:val="0"/>
        <w:spacing w:line="360" w:lineRule="auto"/>
        <w:ind w:firstLine="480" w:firstLineChars="200"/>
        <w:rPr>
          <w:rFonts w:hint="eastAsia" w:ascii="宋体" w:hAnsi="宋体" w:eastAsia="宋体" w:cs="宋体"/>
          <w:bCs/>
          <w:color w:val="auto"/>
          <w:sz w:val="24"/>
          <w:highlight w:val="none"/>
        </w:rPr>
      </w:pPr>
      <w:bookmarkStart w:id="904" w:name="_Hlk92717337"/>
      <w:r>
        <w:rPr>
          <w:rFonts w:hint="eastAsia" w:ascii="宋体" w:hAnsi="宋体" w:eastAsia="宋体" w:cs="宋体"/>
          <w:bCs/>
          <w:color w:val="auto"/>
          <w:sz w:val="24"/>
          <w:highlight w:val="none"/>
        </w:rPr>
        <w:t>本款补充第5.1.4项、5.1.5项：</w:t>
      </w:r>
    </w:p>
    <w:p w14:paraId="346C7BF5">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5.1.4 </w:t>
      </w:r>
      <w:bookmarkStart w:id="905" w:name="_Hlk80626892"/>
      <w:r>
        <w:rPr>
          <w:rFonts w:hint="eastAsia" w:ascii="宋体" w:hAnsi="宋体" w:eastAsia="宋体" w:cs="宋体"/>
          <w:bCs/>
          <w:color w:val="auto"/>
          <w:sz w:val="24"/>
          <w:highlight w:val="none"/>
        </w:rPr>
        <w:t>按照建筑外墙涂装、道路、钢结构制造行业等政府投资建设工程推广水性漆替代油性漆的有关要求，本项目涉及部位须使用水性漆</w:t>
      </w:r>
      <w:bookmarkEnd w:id="905"/>
      <w:r>
        <w:rPr>
          <w:rFonts w:hint="eastAsia" w:ascii="宋体" w:hAnsi="宋体" w:eastAsia="宋体" w:cs="宋体"/>
          <w:bCs/>
          <w:color w:val="auto"/>
          <w:sz w:val="24"/>
          <w:highlight w:val="none"/>
        </w:rPr>
        <w:t>。</w:t>
      </w:r>
    </w:p>
    <w:bookmarkEnd w:id="904"/>
    <w:p w14:paraId="60F7DED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5.1.5 施工过程中使用的涂料、清洗剂等须严格执行《建筑类涂料与胶粘剂挥发性有机化合物含量限值标准》（DB 11/3005-2017）、《工业防护涂料中有害物质限量》（GB 30981-2020）强制性标准。</w:t>
      </w:r>
    </w:p>
    <w:p w14:paraId="3540270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5.2 发包人提供的材料和工程设备</w:t>
      </w:r>
    </w:p>
    <w:p w14:paraId="1F08983D">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5.2.1 发包人提供的材料和工程设备：</w:t>
      </w:r>
      <w:r>
        <w:rPr>
          <w:rFonts w:hint="eastAsia" w:ascii="宋体" w:hAnsi="宋体" w:eastAsia="宋体" w:cs="宋体"/>
          <w:bCs/>
          <w:color w:val="auto"/>
          <w:sz w:val="24"/>
          <w:highlight w:val="none"/>
          <w:u w:val="single"/>
        </w:rPr>
        <w:t xml:space="preserve"> 无 </w:t>
      </w:r>
      <w:r>
        <w:rPr>
          <w:rFonts w:hint="eastAsia" w:ascii="宋体" w:hAnsi="宋体" w:eastAsia="宋体" w:cs="宋体"/>
          <w:bCs/>
          <w:color w:val="auto"/>
          <w:sz w:val="24"/>
          <w:highlight w:val="none"/>
        </w:rPr>
        <w:t>。</w:t>
      </w:r>
    </w:p>
    <w:p w14:paraId="262D6D74">
      <w:pPr>
        <w:spacing w:line="360" w:lineRule="auto"/>
        <w:jc w:val="left"/>
        <w:outlineLvl w:val="2"/>
        <w:rPr>
          <w:rFonts w:hint="eastAsia" w:ascii="宋体" w:hAnsi="宋体" w:eastAsia="宋体" w:cs="宋体"/>
          <w:b/>
          <w:bCs/>
          <w:color w:val="auto"/>
          <w:sz w:val="28"/>
          <w:szCs w:val="28"/>
          <w:highlight w:val="none"/>
        </w:rPr>
      </w:pPr>
      <w:bookmarkStart w:id="906" w:name="_Toc96899353"/>
      <w:bookmarkStart w:id="907" w:name="_Toc11074"/>
      <w:bookmarkStart w:id="908" w:name="_Toc104740340"/>
      <w:r>
        <w:rPr>
          <w:rFonts w:hint="eastAsia" w:ascii="宋体" w:hAnsi="宋体" w:eastAsia="宋体" w:cs="宋体"/>
          <w:b/>
          <w:bCs/>
          <w:color w:val="auto"/>
          <w:sz w:val="28"/>
          <w:szCs w:val="28"/>
          <w:highlight w:val="none"/>
        </w:rPr>
        <w:t>6.施工设备和临时设施</w:t>
      </w:r>
      <w:bookmarkEnd w:id="906"/>
      <w:bookmarkEnd w:id="907"/>
      <w:bookmarkEnd w:id="908"/>
    </w:p>
    <w:p w14:paraId="21DC950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6.2 发包人提供的施工设备和临时设施</w:t>
      </w:r>
    </w:p>
    <w:p w14:paraId="53D7AD7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（1）发包人提供的施工设备：</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w:t>
      </w:r>
    </w:p>
    <w:p w14:paraId="0959879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（2）发包人提供的临时设施：</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w:t>
      </w:r>
    </w:p>
    <w:p w14:paraId="67726616">
      <w:pPr>
        <w:spacing w:line="360" w:lineRule="auto"/>
        <w:jc w:val="left"/>
        <w:outlineLvl w:val="2"/>
        <w:rPr>
          <w:rFonts w:hint="eastAsia" w:ascii="宋体" w:hAnsi="宋体" w:eastAsia="宋体" w:cs="宋体"/>
          <w:b/>
          <w:bCs/>
          <w:color w:val="auto"/>
          <w:sz w:val="28"/>
          <w:szCs w:val="28"/>
          <w:highlight w:val="none"/>
        </w:rPr>
      </w:pPr>
      <w:bookmarkStart w:id="909" w:name="_Toc104740341"/>
      <w:bookmarkStart w:id="910" w:name="_Toc96899354"/>
      <w:bookmarkStart w:id="911" w:name="_Toc25168"/>
      <w:r>
        <w:rPr>
          <w:rFonts w:hint="eastAsia" w:ascii="宋体" w:hAnsi="宋体" w:eastAsia="宋体" w:cs="宋体"/>
          <w:b/>
          <w:bCs/>
          <w:color w:val="auto"/>
          <w:sz w:val="28"/>
          <w:szCs w:val="28"/>
          <w:highlight w:val="none"/>
        </w:rPr>
        <w:t>7.交通运输</w:t>
      </w:r>
      <w:bookmarkEnd w:id="909"/>
      <w:bookmarkEnd w:id="910"/>
      <w:bookmarkEnd w:id="911"/>
    </w:p>
    <w:p w14:paraId="2714A76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7.1 道路通行权和场外设施</w:t>
      </w:r>
    </w:p>
    <w:p w14:paraId="2DAAF990">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7.1.1 道路通行权和场外设施的约定：</w:t>
      </w:r>
      <w:r>
        <w:rPr>
          <w:rFonts w:hint="eastAsia" w:ascii="宋体" w:hAnsi="宋体" w:eastAsia="宋体" w:cs="宋体"/>
          <w:color w:val="auto"/>
          <w:sz w:val="24"/>
          <w:highlight w:val="none"/>
          <w:u w:val="single"/>
        </w:rPr>
        <w:t>发包人为承包人施工车辆办理进入施工区域的通行备案；除备案车辆外，承包人不得带领其他车辆进入发包人工程设施范围。</w:t>
      </w:r>
    </w:p>
    <w:p w14:paraId="572D3FE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7.4超大件和超重件的运输</w:t>
      </w:r>
    </w:p>
    <w:p w14:paraId="558B9C80">
      <w:pPr>
        <w:widowControl/>
        <w:shd w:val="clear" w:color="auto" w:fill="FFFFFF"/>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u w:val="single"/>
        </w:rPr>
        <w:t>对于超大件和超重件运输的约定：超大件和超重件运输时应符合相关法律和规定，报相关部门审批，所产生的相关费用由承包人承担。运输超大件或超重件所需的道路和桥梁临时加固改造费用和其他有关费用由承包人承担。运输过程中造成对道路、桥梁损坏的，由承包人承担赔偿责任。</w:t>
      </w:r>
    </w:p>
    <w:p w14:paraId="466165A8">
      <w:pPr>
        <w:spacing w:line="360" w:lineRule="auto"/>
        <w:jc w:val="left"/>
        <w:outlineLvl w:val="2"/>
        <w:rPr>
          <w:rFonts w:hint="eastAsia" w:ascii="宋体" w:hAnsi="宋体" w:eastAsia="宋体" w:cs="宋体"/>
          <w:b/>
          <w:bCs/>
          <w:color w:val="auto"/>
          <w:sz w:val="28"/>
          <w:szCs w:val="28"/>
          <w:highlight w:val="none"/>
        </w:rPr>
      </w:pPr>
      <w:bookmarkStart w:id="912" w:name="_Toc96899355"/>
      <w:bookmarkStart w:id="913" w:name="_Toc104740342"/>
      <w:bookmarkStart w:id="914" w:name="_Toc27798"/>
      <w:r>
        <w:rPr>
          <w:rFonts w:hint="eastAsia" w:ascii="宋体" w:hAnsi="宋体" w:eastAsia="宋体" w:cs="宋体"/>
          <w:b/>
          <w:bCs/>
          <w:color w:val="auto"/>
          <w:sz w:val="28"/>
          <w:szCs w:val="28"/>
          <w:highlight w:val="none"/>
        </w:rPr>
        <w:t>8.测量放线</w:t>
      </w:r>
      <w:bookmarkEnd w:id="912"/>
      <w:bookmarkEnd w:id="913"/>
      <w:bookmarkEnd w:id="914"/>
    </w:p>
    <w:p w14:paraId="7FC264A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8.1 施工控制网</w:t>
      </w:r>
    </w:p>
    <w:p w14:paraId="4DD522B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8.1.1 施工控制网的约定：</w:t>
      </w:r>
      <w:r>
        <w:rPr>
          <w:rFonts w:hint="eastAsia" w:ascii="宋体" w:hAnsi="宋体" w:eastAsia="宋体" w:cs="宋体"/>
          <w:color w:val="auto"/>
          <w:sz w:val="24"/>
          <w:highlight w:val="none"/>
          <w:u w:val="single"/>
        </w:rPr>
        <w:t>由承包人负责测设</w:t>
      </w:r>
      <w:r>
        <w:rPr>
          <w:rFonts w:hint="eastAsia" w:ascii="宋体" w:hAnsi="宋体" w:eastAsia="宋体" w:cs="宋体"/>
          <w:color w:val="auto"/>
          <w:sz w:val="24"/>
          <w:highlight w:val="none"/>
        </w:rPr>
        <w:t>。</w:t>
      </w:r>
    </w:p>
    <w:p w14:paraId="7052AF46">
      <w:pPr>
        <w:spacing w:line="360" w:lineRule="auto"/>
        <w:jc w:val="left"/>
        <w:outlineLvl w:val="2"/>
        <w:rPr>
          <w:rFonts w:hint="eastAsia" w:ascii="宋体" w:hAnsi="宋体" w:eastAsia="宋体" w:cs="宋体"/>
          <w:b/>
          <w:bCs/>
          <w:color w:val="auto"/>
          <w:sz w:val="28"/>
          <w:szCs w:val="28"/>
          <w:highlight w:val="none"/>
        </w:rPr>
      </w:pPr>
      <w:bookmarkStart w:id="915" w:name="_Toc96899356"/>
      <w:bookmarkStart w:id="916" w:name="_Toc9893"/>
      <w:bookmarkStart w:id="917" w:name="_Toc104740343"/>
      <w:r>
        <w:rPr>
          <w:rFonts w:hint="eastAsia" w:ascii="宋体" w:hAnsi="宋体" w:eastAsia="宋体" w:cs="宋体"/>
          <w:b/>
          <w:bCs/>
          <w:color w:val="auto"/>
          <w:sz w:val="28"/>
          <w:szCs w:val="28"/>
          <w:highlight w:val="none"/>
        </w:rPr>
        <w:t>9.施工安全、治安保卫和环境保护</w:t>
      </w:r>
      <w:bookmarkEnd w:id="915"/>
      <w:bookmarkEnd w:id="916"/>
      <w:bookmarkEnd w:id="917"/>
    </w:p>
    <w:p w14:paraId="01AA92B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9.1 发包人的施工安全责任</w:t>
      </w:r>
    </w:p>
    <w:p w14:paraId="4DBB499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9.1.4 发包人提供</w:t>
      </w:r>
      <w:r>
        <w:rPr>
          <w:rFonts w:hint="eastAsia" w:ascii="宋体" w:hAnsi="宋体" w:eastAsia="宋体" w:cs="宋体"/>
          <w:color w:val="auto"/>
          <w:sz w:val="24"/>
          <w:highlight w:val="none"/>
          <w:u w:val="single"/>
        </w:rPr>
        <w:t xml:space="preserve"> 实施方案中有关施工安全的 </w:t>
      </w:r>
      <w:r>
        <w:rPr>
          <w:rFonts w:hint="eastAsia" w:ascii="宋体" w:hAnsi="宋体" w:eastAsia="宋体" w:cs="宋体"/>
          <w:color w:val="auto"/>
          <w:sz w:val="24"/>
          <w:highlight w:val="none"/>
        </w:rPr>
        <w:t>资料，其余资料由承包人负责收集。</w:t>
      </w:r>
    </w:p>
    <w:p w14:paraId="0251EA9C">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9.2 承包人的施工安全责任</w:t>
      </w:r>
    </w:p>
    <w:p w14:paraId="6E9B7D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9.2.12 下列工程应编制专项施工方案：</w:t>
      </w:r>
      <w:r>
        <w:rPr>
          <w:rFonts w:hint="eastAsia" w:ascii="宋体" w:hAnsi="宋体" w:eastAsia="宋体" w:cs="宋体"/>
          <w:color w:val="auto"/>
          <w:sz w:val="24"/>
          <w:highlight w:val="none"/>
          <w:u w:val="single"/>
        </w:rPr>
        <w:t>承包人在施工前应按照《水利水电工程施工安全管理导则》SL721-2015附录A对达到一定规模的危险性较大的单项工程编制专项施工方案；对于超过一定规模的危险性较大的单项工程施工单位应组织专家对专项施工方案进行审查论证。</w:t>
      </w:r>
    </w:p>
    <w:p w14:paraId="1E62DF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本款补充：</w:t>
      </w:r>
    </w:p>
    <w:p w14:paraId="6B0DBAB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9.2.14承包人在施工前应按照《水利水电工程施工安全管理导则》SL721-2015制定施工安全技术措施，杜绝群死、群伤的重特大事故发生，避免较大事故发生，减少一般事故发生，实现事故死亡率“零”的目标。</w:t>
      </w:r>
    </w:p>
    <w:p w14:paraId="051108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承包人应当成立安全生产领导小组，设置安全生产管理机构，配备专职安全生产管理人员，并报发包人备案。</w:t>
      </w:r>
    </w:p>
    <w:p w14:paraId="6D6AF1C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9.2.15 隐患排查治理：应按规定建立健全事故隐患排查治理制度，开展隐患排查治理，定期公布隐患治理情况。</w:t>
      </w:r>
    </w:p>
    <w:p w14:paraId="57FCEF0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9.2.16 承包人应开展风险分级管控并制订风险管控方案，报监理人审定，发包人备案，具体要求：</w:t>
      </w:r>
    </w:p>
    <w:p w14:paraId="0E27CFB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根据水利部、北京市等有关规定，辨识风险、评定风险等级、实施分级管控并制订相关措施。对重大危险源的安全状况进行定期检查、评估和监控，并做好记录。</w:t>
      </w:r>
    </w:p>
    <w:p w14:paraId="44FE961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9.2.17合同履行过程中发生的承包人任何人身伤害、安全生产、交通安全事故、财产损失及行政责任等均由承包人自行承担解决。</w:t>
      </w:r>
    </w:p>
    <w:p w14:paraId="41E9B0F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9.7 文明工地</w:t>
      </w:r>
    </w:p>
    <w:p w14:paraId="2CB1BA3F">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补充条款：各类工地要做到工地周边围档、物料堆放覆盖、土方开挖湿法作业、路面硬化、出入车辆清洗、渣土车辆密闭运输“六个百分之百”，对工地出口两侧各100米路面实行“三包”（包干净、包秩序、包美化），专人进行冲洗保洁，确保扬尘不出院、路面不见土、车辆不带泥、周边不起尘。按要求实现围挡、苫盖、喷淋、运输车辆清洗和路面硬化、安装颗粒物在线监测和视频监控系统。所需费用包含在《工程量清单》相应项目单价或总价中，发包人不另行支付。</w:t>
      </w:r>
      <w:bookmarkStart w:id="918" w:name="_Hlk92717362"/>
    </w:p>
    <w:p w14:paraId="5927EA7A">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承包人应严格执行《北京市大气污染防治条例》、《建设工程扬尘污染防治规范》、《建设工程施工现场安全防护、场容卫生及消防保卫标准》（DB11/945--2012）、</w:t>
      </w:r>
      <w:r>
        <w:rPr>
          <w:rFonts w:hint="eastAsia" w:ascii="宋体" w:hAnsi="宋体" w:eastAsia="宋体" w:cs="宋体"/>
          <w:bCs/>
          <w:color w:val="auto"/>
          <w:sz w:val="24"/>
          <w:highlight w:val="none"/>
        </w:rPr>
        <w:t>《水利工程绿色施工规范》（DB11/</w:t>
      </w:r>
      <w:r>
        <w:rPr>
          <w:rFonts w:hint="eastAsia" w:ascii="宋体" w:hAnsi="宋体" w:eastAsia="宋体" w:cs="宋体"/>
          <w:color w:val="auto"/>
          <w:sz w:val="24"/>
          <w:highlight w:val="none"/>
        </w:rPr>
        <w:t xml:space="preserve">T </w:t>
      </w:r>
      <w:r>
        <w:rPr>
          <w:rFonts w:hint="eastAsia" w:ascii="宋体" w:hAnsi="宋体" w:eastAsia="宋体" w:cs="宋体"/>
          <w:bCs/>
          <w:color w:val="auto"/>
          <w:sz w:val="24"/>
          <w:highlight w:val="none"/>
        </w:rPr>
        <w:t>1776--2020）</w:t>
      </w:r>
      <w:r>
        <w:rPr>
          <w:rFonts w:hint="eastAsia" w:ascii="宋体" w:hAnsi="宋体" w:eastAsia="宋体" w:cs="宋体"/>
          <w:color w:val="auto"/>
          <w:sz w:val="24"/>
          <w:szCs w:val="21"/>
          <w:highlight w:val="none"/>
        </w:rPr>
        <w:t>、</w:t>
      </w:r>
      <w:r>
        <w:rPr>
          <w:rFonts w:hint="eastAsia" w:ascii="宋体" w:hAnsi="宋体" w:eastAsia="宋体" w:cs="宋体"/>
          <w:bCs/>
          <w:color w:val="auto"/>
          <w:sz w:val="24"/>
          <w:highlight w:val="none"/>
        </w:rPr>
        <w:t>《北京市建筑垃圾处置管理规定》</w:t>
      </w:r>
      <w:r>
        <w:rPr>
          <w:rFonts w:hint="eastAsia" w:ascii="宋体" w:hAnsi="宋体" w:eastAsia="宋体" w:cs="宋体"/>
          <w:color w:val="auto"/>
          <w:sz w:val="24"/>
          <w:szCs w:val="21"/>
          <w:highlight w:val="none"/>
        </w:rPr>
        <w:t>等有关标准、规范和文件的规定，做好绿色施工措施；满足文明施工相关规范要求，妥善解决施工过程中的扰民及民扰问题。</w:t>
      </w:r>
      <w:bookmarkEnd w:id="918"/>
    </w:p>
    <w:p w14:paraId="04D69EBE">
      <w:pPr>
        <w:spacing w:line="360" w:lineRule="auto"/>
        <w:jc w:val="left"/>
        <w:outlineLvl w:val="2"/>
        <w:rPr>
          <w:rFonts w:hint="eastAsia" w:ascii="宋体" w:hAnsi="宋体" w:eastAsia="宋体" w:cs="宋体"/>
          <w:b/>
          <w:bCs/>
          <w:color w:val="auto"/>
          <w:sz w:val="28"/>
          <w:szCs w:val="28"/>
          <w:highlight w:val="none"/>
        </w:rPr>
      </w:pPr>
      <w:bookmarkStart w:id="919" w:name="_Toc104740344"/>
      <w:bookmarkStart w:id="920" w:name="_Toc96899357"/>
      <w:bookmarkStart w:id="921" w:name="_Toc30792"/>
      <w:r>
        <w:rPr>
          <w:rFonts w:hint="eastAsia" w:ascii="宋体" w:hAnsi="宋体" w:eastAsia="宋体" w:cs="宋体"/>
          <w:b/>
          <w:bCs/>
          <w:color w:val="auto"/>
          <w:sz w:val="28"/>
          <w:szCs w:val="28"/>
          <w:highlight w:val="none"/>
        </w:rPr>
        <w:t>11.开工和竣工（完工）</w:t>
      </w:r>
      <w:bookmarkEnd w:id="919"/>
      <w:bookmarkEnd w:id="920"/>
      <w:bookmarkEnd w:id="921"/>
    </w:p>
    <w:p w14:paraId="0D19C463">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11.4 异常恶劣的气候条件 </w:t>
      </w:r>
    </w:p>
    <w:p w14:paraId="7AC6790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11.4.3 本合同工程界定异常恶劣气候条件的范围为： </w:t>
      </w:r>
    </w:p>
    <w:p w14:paraId="00F8D88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（1）日降雨量大于</w:t>
      </w:r>
      <w:r>
        <w:rPr>
          <w:rFonts w:hint="eastAsia" w:ascii="宋体" w:hAnsi="宋体" w:eastAsia="宋体" w:cs="宋体"/>
          <w:color w:val="auto"/>
          <w:sz w:val="24"/>
          <w:highlight w:val="none"/>
          <w:u w:val="single"/>
        </w:rPr>
        <w:t xml:space="preserve"> 50 </w:t>
      </w:r>
      <w:r>
        <w:rPr>
          <w:rFonts w:hint="eastAsia" w:ascii="宋体" w:hAnsi="宋体" w:eastAsia="宋体" w:cs="宋体"/>
          <w:color w:val="auto"/>
          <w:sz w:val="24"/>
          <w:highlight w:val="none"/>
        </w:rPr>
        <w:t>mm的雨日连续</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天以上；</w:t>
      </w:r>
    </w:p>
    <w:p w14:paraId="65503FC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（2）风速大于</w:t>
      </w:r>
      <w:r>
        <w:rPr>
          <w:rFonts w:hint="eastAsia" w:ascii="宋体" w:hAnsi="宋体" w:eastAsia="宋体" w:cs="宋体"/>
          <w:color w:val="auto"/>
          <w:sz w:val="24"/>
          <w:highlight w:val="none"/>
          <w:u w:val="single"/>
        </w:rPr>
        <w:t xml:space="preserve"> 17.2 </w:t>
      </w:r>
      <w:r>
        <w:rPr>
          <w:rFonts w:hint="eastAsia" w:ascii="宋体" w:hAnsi="宋体" w:eastAsia="宋体" w:cs="宋体"/>
          <w:color w:val="auto"/>
          <w:sz w:val="24"/>
          <w:highlight w:val="none"/>
        </w:rPr>
        <w:t>m/s的</w:t>
      </w:r>
      <w:r>
        <w:rPr>
          <w:rFonts w:hint="eastAsia" w:ascii="宋体" w:hAnsi="宋体" w:eastAsia="宋体" w:cs="宋体"/>
          <w:color w:val="auto"/>
          <w:sz w:val="24"/>
          <w:highlight w:val="none"/>
          <w:u w:val="single"/>
        </w:rPr>
        <w:t xml:space="preserve"> 8 </w:t>
      </w:r>
      <w:r>
        <w:rPr>
          <w:rFonts w:hint="eastAsia" w:ascii="宋体" w:hAnsi="宋体" w:eastAsia="宋体" w:cs="宋体"/>
          <w:color w:val="auto"/>
          <w:sz w:val="24"/>
          <w:highlight w:val="none"/>
        </w:rPr>
        <w:t>级以上台风灾害；</w:t>
      </w:r>
    </w:p>
    <w:p w14:paraId="67C2A80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（3）日气温超过</w:t>
      </w:r>
      <w:r>
        <w:rPr>
          <w:rFonts w:hint="eastAsia" w:ascii="宋体" w:hAnsi="宋体" w:eastAsia="宋体" w:cs="宋体"/>
          <w:color w:val="auto"/>
          <w:sz w:val="24"/>
          <w:highlight w:val="none"/>
          <w:u w:val="single"/>
        </w:rPr>
        <w:t xml:space="preserve"> 38 </w:t>
      </w:r>
      <w:r>
        <w:rPr>
          <w:rFonts w:hint="eastAsia" w:ascii="宋体" w:hAnsi="宋体" w:eastAsia="宋体" w:cs="宋体"/>
          <w:color w:val="auto"/>
          <w:sz w:val="24"/>
          <w:highlight w:val="none"/>
        </w:rPr>
        <w:t>℃的高温连续</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天以上；</w:t>
      </w:r>
    </w:p>
    <w:p w14:paraId="70EEC60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（4）日气温低于</w:t>
      </w:r>
      <w:r>
        <w:rPr>
          <w:rFonts w:hint="eastAsia" w:ascii="宋体" w:hAnsi="宋体" w:eastAsia="宋体" w:cs="宋体"/>
          <w:color w:val="auto"/>
          <w:sz w:val="24"/>
          <w:highlight w:val="none"/>
          <w:u w:val="single"/>
        </w:rPr>
        <w:t xml:space="preserve"> -20 </w:t>
      </w:r>
      <w:r>
        <w:rPr>
          <w:rFonts w:hint="eastAsia" w:ascii="宋体" w:hAnsi="宋体" w:eastAsia="宋体" w:cs="宋体"/>
          <w:color w:val="auto"/>
          <w:sz w:val="24"/>
          <w:highlight w:val="none"/>
        </w:rPr>
        <w:t>℃的严寒连续</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天以上；</w:t>
      </w:r>
    </w:p>
    <w:p w14:paraId="5D8DA666">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（5）造成工程损坏的冰雹和大雪灾害：</w:t>
      </w:r>
      <w:r>
        <w:rPr>
          <w:rFonts w:hint="eastAsia" w:ascii="宋体" w:hAnsi="宋体" w:eastAsia="宋体" w:cs="宋体"/>
          <w:color w:val="auto"/>
          <w:sz w:val="24"/>
          <w:highlight w:val="none"/>
          <w:u w:val="single"/>
        </w:rPr>
        <w:t xml:space="preserve"> 30年一遇 </w:t>
      </w:r>
      <w:r>
        <w:rPr>
          <w:rFonts w:hint="eastAsia" w:ascii="宋体" w:hAnsi="宋体" w:eastAsia="宋体" w:cs="宋体"/>
          <w:color w:val="auto"/>
          <w:sz w:val="24"/>
          <w:highlight w:val="none"/>
        </w:rPr>
        <w:t>；</w:t>
      </w:r>
    </w:p>
    <w:p w14:paraId="60C9D2BE">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11.5 承包人工期延误 </w:t>
      </w:r>
    </w:p>
    <w:p w14:paraId="40EB7670">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逾期完工违约金计算方法：</w:t>
      </w:r>
      <w:r>
        <w:rPr>
          <w:rFonts w:hint="eastAsia" w:ascii="宋体" w:hAnsi="宋体" w:eastAsia="宋体" w:cs="宋体"/>
          <w:bCs/>
          <w:color w:val="auto"/>
          <w:sz w:val="24"/>
          <w:highlight w:val="none"/>
          <w:u w:val="single"/>
        </w:rPr>
        <w:t xml:space="preserve"> 每延误工期一天，支付违约金为签约合同价的0.2% </w:t>
      </w:r>
      <w:r>
        <w:rPr>
          <w:rFonts w:hint="eastAsia" w:ascii="宋体" w:hAnsi="宋体" w:eastAsia="宋体" w:cs="宋体"/>
          <w:bCs/>
          <w:color w:val="auto"/>
          <w:sz w:val="24"/>
          <w:highlight w:val="none"/>
        </w:rPr>
        <w:t>。</w:t>
      </w:r>
    </w:p>
    <w:p w14:paraId="3DC0F3E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（2）逾期完工违约金的总限额为</w:t>
      </w:r>
      <w:r>
        <w:rPr>
          <w:rFonts w:hint="eastAsia" w:ascii="宋体" w:hAnsi="宋体" w:eastAsia="宋体" w:cs="宋体"/>
          <w:color w:val="auto"/>
          <w:sz w:val="24"/>
          <w:highlight w:val="none"/>
          <w:u w:val="single"/>
        </w:rPr>
        <w:t xml:space="preserve"> 签约合同价的2% 。</w:t>
      </w:r>
    </w:p>
    <w:p w14:paraId="55AC5488">
      <w:pPr>
        <w:spacing w:line="360" w:lineRule="auto"/>
        <w:jc w:val="left"/>
        <w:rPr>
          <w:rFonts w:hint="eastAsia" w:ascii="宋体" w:hAnsi="宋体" w:eastAsia="宋体" w:cs="宋体"/>
          <w:b/>
          <w:bCs/>
          <w:color w:val="auto"/>
          <w:sz w:val="28"/>
          <w:szCs w:val="28"/>
          <w:highlight w:val="none"/>
        </w:rPr>
      </w:pPr>
      <w:bookmarkStart w:id="922" w:name="_Toc492904583"/>
      <w:bookmarkStart w:id="923" w:name="_Toc493159557"/>
      <w:bookmarkStart w:id="924" w:name="_Toc492380782"/>
      <w:r>
        <w:rPr>
          <w:rFonts w:hint="eastAsia" w:ascii="宋体" w:hAnsi="宋体" w:eastAsia="宋体" w:cs="宋体"/>
          <w:b/>
          <w:bCs/>
          <w:color w:val="auto"/>
          <w:sz w:val="28"/>
          <w:szCs w:val="28"/>
          <w:highlight w:val="none"/>
        </w:rPr>
        <w:t>11.6 工期提前</w:t>
      </w:r>
      <w:bookmarkEnd w:id="922"/>
      <w:bookmarkEnd w:id="923"/>
      <w:bookmarkEnd w:id="924"/>
    </w:p>
    <w:p w14:paraId="4CC2544B">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工期提前的奖金约定：</w:t>
      </w:r>
      <w:r>
        <w:rPr>
          <w:rFonts w:hint="eastAsia" w:ascii="宋体" w:hAnsi="宋体" w:eastAsia="宋体" w:cs="宋体"/>
          <w:color w:val="auto"/>
          <w:sz w:val="24"/>
          <w:szCs w:val="21"/>
          <w:highlight w:val="none"/>
          <w:u w:val="single"/>
        </w:rPr>
        <w:t xml:space="preserve">     无      </w:t>
      </w:r>
      <w:r>
        <w:rPr>
          <w:rFonts w:hint="eastAsia" w:ascii="宋体" w:hAnsi="宋体" w:eastAsia="宋体" w:cs="宋体"/>
          <w:color w:val="auto"/>
          <w:sz w:val="24"/>
          <w:szCs w:val="21"/>
          <w:highlight w:val="none"/>
        </w:rPr>
        <w:t>。</w:t>
      </w:r>
    </w:p>
    <w:p w14:paraId="16F0840D">
      <w:pPr>
        <w:spacing w:line="360" w:lineRule="auto"/>
        <w:jc w:val="left"/>
        <w:outlineLvl w:val="2"/>
        <w:rPr>
          <w:rFonts w:hint="eastAsia" w:ascii="宋体" w:hAnsi="宋体" w:eastAsia="宋体" w:cs="宋体"/>
          <w:b/>
          <w:bCs/>
          <w:color w:val="auto"/>
          <w:sz w:val="28"/>
          <w:szCs w:val="28"/>
          <w:highlight w:val="none"/>
        </w:rPr>
      </w:pPr>
      <w:bookmarkStart w:id="925" w:name="_Toc9373"/>
      <w:bookmarkStart w:id="926" w:name="_Toc104740345"/>
      <w:bookmarkStart w:id="927" w:name="_Toc96899358"/>
      <w:r>
        <w:rPr>
          <w:rFonts w:hint="eastAsia" w:ascii="宋体" w:hAnsi="宋体" w:eastAsia="宋体" w:cs="宋体"/>
          <w:b/>
          <w:bCs/>
          <w:color w:val="auto"/>
          <w:sz w:val="28"/>
          <w:szCs w:val="28"/>
          <w:highlight w:val="none"/>
        </w:rPr>
        <w:t>12.暂停施工</w:t>
      </w:r>
      <w:bookmarkEnd w:id="925"/>
      <w:bookmarkEnd w:id="926"/>
      <w:bookmarkEnd w:id="927"/>
    </w:p>
    <w:p w14:paraId="3A1D0E6C">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12.1 承包人暂停施工的责任</w:t>
      </w:r>
    </w:p>
    <w:p w14:paraId="04D26B4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（5）承包人承担暂停施工责任的其他情形：</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 xml:space="preserve">现场气候条件引起的必要停工（第11.4款规定的异常恶劣气候条件除外） </w:t>
      </w:r>
      <w:r>
        <w:rPr>
          <w:rFonts w:hint="eastAsia" w:ascii="宋体" w:hAnsi="宋体" w:eastAsia="宋体" w:cs="宋体"/>
          <w:color w:val="auto"/>
          <w:sz w:val="24"/>
          <w:highlight w:val="none"/>
        </w:rPr>
        <w:t>。</w:t>
      </w:r>
    </w:p>
    <w:p w14:paraId="1CF898A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12.2 发包人暂停施工的责任</w:t>
      </w:r>
    </w:p>
    <w:p w14:paraId="31F4223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（3）发包人承担暂停施工责任的其他情形：</w:t>
      </w:r>
      <w:r>
        <w:rPr>
          <w:rFonts w:hint="eastAsia" w:ascii="宋体" w:hAnsi="宋体" w:eastAsia="宋体" w:cs="宋体"/>
          <w:color w:val="auto"/>
          <w:sz w:val="24"/>
          <w:highlight w:val="none"/>
          <w:u w:val="single"/>
        </w:rPr>
        <w:t>因空气重污染、重要节假日、会议等的停工</w:t>
      </w:r>
      <w:r>
        <w:rPr>
          <w:rFonts w:hint="eastAsia" w:ascii="宋体" w:hAnsi="宋体" w:eastAsia="宋体" w:cs="宋体"/>
          <w:color w:val="auto"/>
          <w:sz w:val="24"/>
          <w:highlight w:val="none"/>
        </w:rPr>
        <w:t>。</w:t>
      </w:r>
    </w:p>
    <w:p w14:paraId="7354619C">
      <w:pPr>
        <w:spacing w:line="360" w:lineRule="auto"/>
        <w:jc w:val="left"/>
        <w:outlineLvl w:val="2"/>
        <w:rPr>
          <w:rFonts w:hint="eastAsia" w:ascii="宋体" w:hAnsi="宋体" w:eastAsia="宋体" w:cs="宋体"/>
          <w:b/>
          <w:bCs/>
          <w:color w:val="auto"/>
          <w:sz w:val="28"/>
          <w:szCs w:val="28"/>
          <w:highlight w:val="none"/>
        </w:rPr>
      </w:pPr>
      <w:bookmarkStart w:id="928" w:name="_Toc96899359"/>
      <w:bookmarkStart w:id="929" w:name="_Toc104740346"/>
      <w:bookmarkStart w:id="930" w:name="_Toc6611"/>
      <w:r>
        <w:rPr>
          <w:rFonts w:hint="eastAsia" w:ascii="宋体" w:hAnsi="宋体" w:eastAsia="宋体" w:cs="宋体"/>
          <w:b/>
          <w:bCs/>
          <w:color w:val="auto"/>
          <w:sz w:val="28"/>
          <w:szCs w:val="28"/>
          <w:highlight w:val="none"/>
        </w:rPr>
        <w:t>13.工程质量</w:t>
      </w:r>
      <w:bookmarkEnd w:id="928"/>
      <w:bookmarkEnd w:id="929"/>
      <w:bookmarkEnd w:id="930"/>
    </w:p>
    <w:p w14:paraId="0B545982">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13.7 质量评定</w:t>
      </w:r>
    </w:p>
    <w:p w14:paraId="3FFD9A5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13.7.4 重要隐蔽单元工程和关键部位单元工程质量评定的约定：</w:t>
      </w:r>
      <w:r>
        <w:rPr>
          <w:rFonts w:hint="eastAsia" w:ascii="宋体" w:hAnsi="宋体" w:eastAsia="宋体" w:cs="宋体"/>
          <w:color w:val="auto"/>
          <w:sz w:val="24"/>
          <w:highlight w:val="none"/>
          <w:u w:val="single"/>
        </w:rPr>
        <w:t>执行《水利水电工程施工质量检验与评定规程》（SL176-2007）等相关规范</w:t>
      </w:r>
      <w:r>
        <w:rPr>
          <w:rFonts w:hint="eastAsia" w:ascii="宋体" w:hAnsi="宋体" w:eastAsia="宋体" w:cs="宋体"/>
          <w:color w:val="auto"/>
          <w:sz w:val="24"/>
          <w:highlight w:val="none"/>
        </w:rPr>
        <w:t>。</w:t>
      </w:r>
    </w:p>
    <w:p w14:paraId="071AFDB6">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13.7.7 工程合格标准为：</w:t>
      </w:r>
      <w:r>
        <w:rPr>
          <w:rFonts w:hint="eastAsia" w:ascii="宋体" w:hAnsi="宋体" w:eastAsia="宋体" w:cs="宋体"/>
          <w:color w:val="auto"/>
          <w:sz w:val="24"/>
          <w:highlight w:val="none"/>
          <w:u w:val="single"/>
        </w:rPr>
        <w:t>达到《水利水电工程施工质量检验与评定规程》（SL176-2007）合格标准</w:t>
      </w:r>
      <w:r>
        <w:rPr>
          <w:rFonts w:hint="eastAsia" w:ascii="宋体" w:hAnsi="宋体" w:eastAsia="宋体" w:cs="宋体"/>
          <w:color w:val="auto"/>
          <w:sz w:val="24"/>
          <w:highlight w:val="none"/>
        </w:rPr>
        <w:t>，优良标准为：</w:t>
      </w:r>
      <w:r>
        <w:rPr>
          <w:rFonts w:hint="eastAsia" w:ascii="宋体" w:hAnsi="宋体" w:eastAsia="宋体" w:cs="宋体"/>
          <w:color w:val="auto"/>
          <w:sz w:val="24"/>
          <w:highlight w:val="none"/>
          <w:u w:val="single"/>
        </w:rPr>
        <w:t>达到《水利水电工程施工质量检验与评定规程》（SL176-2007）优良标准</w:t>
      </w:r>
      <w:r>
        <w:rPr>
          <w:rFonts w:hint="eastAsia" w:ascii="宋体" w:hAnsi="宋体" w:eastAsia="宋体" w:cs="宋体"/>
          <w:color w:val="auto"/>
          <w:sz w:val="24"/>
          <w:highlight w:val="none"/>
        </w:rPr>
        <w:t>。达到优良的奖金为：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w:t>
      </w:r>
    </w:p>
    <w:p w14:paraId="6B498AA5">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13.8 质量事故处理</w:t>
      </w:r>
    </w:p>
    <w:p w14:paraId="11CA5D7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13.8.4 本项不作另行约定。</w:t>
      </w:r>
    </w:p>
    <w:p w14:paraId="5D9F9AE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本款后补充：</w:t>
      </w:r>
    </w:p>
    <w:p w14:paraId="03CC920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13.8.5 因承包人原因造成地下管线、地上构筑物发生损坏的，由承包人承担相应责任和费用。</w:t>
      </w:r>
    </w:p>
    <w:p w14:paraId="09D85155">
      <w:pPr>
        <w:spacing w:line="360" w:lineRule="auto"/>
        <w:jc w:val="left"/>
        <w:outlineLvl w:val="2"/>
        <w:rPr>
          <w:rFonts w:hint="eastAsia" w:ascii="宋体" w:hAnsi="宋体" w:eastAsia="宋体" w:cs="宋体"/>
          <w:b/>
          <w:bCs/>
          <w:color w:val="auto"/>
          <w:sz w:val="28"/>
          <w:szCs w:val="28"/>
          <w:highlight w:val="none"/>
        </w:rPr>
      </w:pPr>
      <w:bookmarkStart w:id="931" w:name="_Toc104740347"/>
      <w:bookmarkStart w:id="932" w:name="_Toc29125"/>
      <w:bookmarkStart w:id="933" w:name="_Toc96899360"/>
      <w:r>
        <w:rPr>
          <w:rFonts w:hint="eastAsia" w:ascii="宋体" w:hAnsi="宋体" w:eastAsia="宋体" w:cs="宋体"/>
          <w:b/>
          <w:bCs/>
          <w:color w:val="auto"/>
          <w:sz w:val="28"/>
          <w:szCs w:val="28"/>
          <w:highlight w:val="none"/>
        </w:rPr>
        <w:t>14.试验和检验</w:t>
      </w:r>
      <w:bookmarkEnd w:id="931"/>
      <w:bookmarkEnd w:id="932"/>
      <w:bookmarkEnd w:id="933"/>
    </w:p>
    <w:p w14:paraId="4E195FF7">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14.1 材料、工程设备和工程的试验和检验</w:t>
      </w:r>
    </w:p>
    <w:p w14:paraId="19DED67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14.1.5 金属结构设备进场后的交货检查和验收中，承包人负责</w:t>
      </w:r>
      <w:r>
        <w:rPr>
          <w:rFonts w:hint="eastAsia" w:ascii="宋体" w:hAnsi="宋体" w:eastAsia="宋体" w:cs="宋体"/>
          <w:color w:val="auto"/>
          <w:sz w:val="24"/>
          <w:highlight w:val="none"/>
          <w:u w:val="single"/>
        </w:rPr>
        <w:t xml:space="preserve"> 组织发包人进行交货检查和验收 </w:t>
      </w:r>
      <w:r>
        <w:rPr>
          <w:rFonts w:hint="eastAsia" w:ascii="宋体" w:hAnsi="宋体" w:eastAsia="宋体" w:cs="宋体"/>
          <w:color w:val="auto"/>
          <w:sz w:val="24"/>
          <w:highlight w:val="none"/>
        </w:rPr>
        <w:t>。</w:t>
      </w:r>
    </w:p>
    <w:p w14:paraId="6EB0E256">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14.1.6 本工程实行见证取样的试块、试件及有关材料：</w:t>
      </w:r>
      <w:r>
        <w:rPr>
          <w:rFonts w:hint="eastAsia" w:ascii="宋体" w:hAnsi="宋体" w:eastAsia="宋体" w:cs="宋体"/>
          <w:color w:val="auto"/>
          <w:sz w:val="24"/>
          <w:szCs w:val="21"/>
          <w:highlight w:val="none"/>
          <w:u w:val="single"/>
        </w:rPr>
        <w:t xml:space="preserve">见证取样和送检工作应按照《北京市水利工程见证取样和送检管理规定》执行 </w:t>
      </w:r>
      <w:r>
        <w:rPr>
          <w:rFonts w:hint="eastAsia" w:ascii="宋体" w:hAnsi="宋体" w:eastAsia="宋体" w:cs="宋体"/>
          <w:color w:val="auto"/>
          <w:sz w:val="24"/>
          <w:szCs w:val="21"/>
          <w:highlight w:val="none"/>
        </w:rPr>
        <w:t>。</w:t>
      </w:r>
    </w:p>
    <w:p w14:paraId="623DEB67">
      <w:pPr>
        <w:spacing w:line="360" w:lineRule="auto"/>
        <w:jc w:val="left"/>
        <w:outlineLvl w:val="2"/>
        <w:rPr>
          <w:rFonts w:hint="eastAsia" w:ascii="宋体" w:hAnsi="宋体" w:eastAsia="宋体" w:cs="宋体"/>
          <w:b/>
          <w:bCs/>
          <w:color w:val="auto"/>
          <w:sz w:val="28"/>
          <w:szCs w:val="28"/>
          <w:highlight w:val="none"/>
        </w:rPr>
      </w:pPr>
      <w:bookmarkStart w:id="934" w:name="_Toc96899361"/>
      <w:bookmarkStart w:id="935" w:name="_Toc4257"/>
      <w:bookmarkStart w:id="936" w:name="_Toc104740348"/>
      <w:r>
        <w:rPr>
          <w:rFonts w:hint="eastAsia" w:ascii="宋体" w:hAnsi="宋体" w:eastAsia="宋体" w:cs="宋体"/>
          <w:b/>
          <w:bCs/>
          <w:color w:val="auto"/>
          <w:sz w:val="28"/>
          <w:szCs w:val="28"/>
          <w:highlight w:val="none"/>
        </w:rPr>
        <w:t>15.变更</w:t>
      </w:r>
      <w:bookmarkEnd w:id="934"/>
      <w:bookmarkEnd w:id="935"/>
      <w:bookmarkEnd w:id="936"/>
    </w:p>
    <w:p w14:paraId="7CB7E31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15.1 变更的范围和内容</w:t>
      </w:r>
    </w:p>
    <w:p w14:paraId="7459D4E4">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增加或减少合同中关键项目（全部项目）的工程量，偏差超过±15%的进行单价调整。单价调整方式：</w:t>
      </w:r>
      <w:r>
        <w:rPr>
          <w:rFonts w:hint="eastAsia" w:ascii="宋体" w:hAnsi="宋体" w:eastAsia="宋体" w:cs="宋体"/>
          <w:color w:val="auto"/>
          <w:sz w:val="24"/>
          <w:highlight w:val="none"/>
          <w:u w:val="single"/>
        </w:rPr>
        <w:t xml:space="preserve">由监理人审查提出意见，发包人委托第三方造价机构审定 </w:t>
      </w:r>
      <w:r>
        <w:rPr>
          <w:rFonts w:hint="eastAsia" w:ascii="宋体" w:hAnsi="宋体" w:eastAsia="宋体" w:cs="宋体"/>
          <w:color w:val="auto"/>
          <w:sz w:val="24"/>
          <w:highlight w:val="none"/>
        </w:rPr>
        <w:t>。</w:t>
      </w:r>
    </w:p>
    <w:p w14:paraId="6FEF72D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本款后补充：</w:t>
      </w:r>
    </w:p>
    <w:p w14:paraId="41C9609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本项目在实施过程中可能因规划调整发生重大设计变更，承包人应按照本合同条款的规定积极配合发包人完成变更手续，并承担相应的风险，不得因此索赔或终止合同。</w:t>
      </w:r>
    </w:p>
    <w:p w14:paraId="6234F023">
      <w:pPr>
        <w:spacing w:line="360" w:lineRule="auto"/>
        <w:jc w:val="left"/>
        <w:rPr>
          <w:rFonts w:hint="eastAsia" w:ascii="宋体" w:hAnsi="宋体" w:eastAsia="宋体" w:cs="宋体"/>
          <w:b/>
          <w:bCs/>
          <w:color w:val="auto"/>
          <w:sz w:val="28"/>
          <w:szCs w:val="28"/>
          <w:highlight w:val="none"/>
        </w:rPr>
      </w:pPr>
      <w:bookmarkStart w:id="937" w:name="_Toc480796095"/>
      <w:bookmarkStart w:id="938" w:name="_Toc492380793"/>
      <w:bookmarkStart w:id="939" w:name="_Toc493159568"/>
      <w:bookmarkStart w:id="940" w:name="_Toc476582125"/>
      <w:bookmarkStart w:id="941" w:name="_Toc492904594"/>
      <w:bookmarkStart w:id="942" w:name="_Toc480795836"/>
      <w:r>
        <w:rPr>
          <w:rFonts w:hint="eastAsia" w:ascii="宋体" w:hAnsi="宋体" w:eastAsia="宋体" w:cs="宋体"/>
          <w:b/>
          <w:bCs/>
          <w:color w:val="auto"/>
          <w:sz w:val="28"/>
          <w:szCs w:val="28"/>
          <w:highlight w:val="none"/>
        </w:rPr>
        <w:t>15.5 承包人的合理化建议</w:t>
      </w:r>
      <w:bookmarkEnd w:id="937"/>
      <w:bookmarkEnd w:id="938"/>
      <w:bookmarkEnd w:id="939"/>
      <w:bookmarkEnd w:id="940"/>
      <w:bookmarkEnd w:id="941"/>
      <w:bookmarkEnd w:id="942"/>
    </w:p>
    <w:p w14:paraId="28FBFAAB">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943" w:name="_Toc476582126"/>
      <w:bookmarkStart w:id="944" w:name="_Toc480796096"/>
      <w:bookmarkStart w:id="945" w:name="_Toc480795837"/>
      <w:r>
        <w:rPr>
          <w:rFonts w:hint="eastAsia" w:ascii="宋体" w:hAnsi="宋体" w:eastAsia="宋体" w:cs="宋体"/>
          <w:color w:val="auto"/>
          <w:sz w:val="24"/>
          <w:szCs w:val="21"/>
          <w:highlight w:val="none"/>
        </w:rPr>
        <w:t>15.5.2 承包人实现合理化建议的奖励金额为：</w:t>
      </w:r>
      <w:r>
        <w:rPr>
          <w:rFonts w:hint="eastAsia" w:ascii="宋体" w:hAnsi="宋体" w:eastAsia="宋体" w:cs="宋体"/>
          <w:color w:val="auto"/>
          <w:sz w:val="24"/>
          <w:szCs w:val="21"/>
          <w:highlight w:val="none"/>
          <w:u w:val="single"/>
        </w:rPr>
        <w:t xml:space="preserve"> 无 </w:t>
      </w:r>
      <w:r>
        <w:rPr>
          <w:rFonts w:hint="eastAsia" w:ascii="宋体" w:hAnsi="宋体" w:eastAsia="宋体" w:cs="宋体"/>
          <w:color w:val="auto"/>
          <w:sz w:val="24"/>
          <w:szCs w:val="21"/>
          <w:highlight w:val="none"/>
        </w:rPr>
        <w:t>。</w:t>
      </w:r>
      <w:bookmarkEnd w:id="943"/>
      <w:bookmarkEnd w:id="944"/>
      <w:bookmarkEnd w:id="945"/>
    </w:p>
    <w:p w14:paraId="78F36A67">
      <w:pPr>
        <w:spacing w:line="360" w:lineRule="auto"/>
        <w:jc w:val="left"/>
        <w:rPr>
          <w:rFonts w:hint="eastAsia" w:ascii="宋体" w:hAnsi="宋体" w:eastAsia="宋体" w:cs="宋体"/>
          <w:b/>
          <w:bCs/>
          <w:color w:val="auto"/>
          <w:sz w:val="28"/>
          <w:szCs w:val="28"/>
          <w:highlight w:val="none"/>
        </w:rPr>
      </w:pPr>
      <w:bookmarkStart w:id="946" w:name="_Toc492380794"/>
      <w:bookmarkStart w:id="947" w:name="_Toc492904595"/>
      <w:bookmarkStart w:id="948" w:name="_Toc493159569"/>
      <w:r>
        <w:rPr>
          <w:rFonts w:hint="eastAsia" w:ascii="宋体" w:hAnsi="宋体" w:eastAsia="宋体" w:cs="宋体"/>
          <w:b/>
          <w:bCs/>
          <w:color w:val="auto"/>
          <w:sz w:val="28"/>
          <w:szCs w:val="28"/>
          <w:highlight w:val="none"/>
        </w:rPr>
        <w:t>15.8 暂估价</w:t>
      </w:r>
      <w:bookmarkEnd w:id="946"/>
      <w:bookmarkEnd w:id="947"/>
      <w:bookmarkEnd w:id="948"/>
    </w:p>
    <w:p w14:paraId="70E1CB87">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15.8.1（1）暂估价项目：</w:t>
      </w:r>
      <w:r>
        <w:rPr>
          <w:rFonts w:hint="eastAsia" w:ascii="宋体" w:hAnsi="宋体" w:eastAsia="宋体" w:cs="宋体"/>
          <w:color w:val="auto"/>
          <w:sz w:val="24"/>
          <w:szCs w:val="21"/>
          <w:highlight w:val="none"/>
          <w:u w:val="single"/>
        </w:rPr>
        <w:t xml:space="preserve">  无   </w:t>
      </w:r>
      <w:r>
        <w:rPr>
          <w:rFonts w:hint="eastAsia" w:ascii="宋体" w:hAnsi="宋体" w:eastAsia="宋体" w:cs="宋体"/>
          <w:color w:val="auto"/>
          <w:sz w:val="24"/>
          <w:szCs w:val="21"/>
          <w:highlight w:val="none"/>
        </w:rPr>
        <w:t>。</w:t>
      </w:r>
    </w:p>
    <w:p w14:paraId="2CF90EB0">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（2）发包人和承包人以招标方式选择暂估价项目承包人或分包人时，双方的权利义务关系：</w:t>
      </w:r>
      <w:r>
        <w:rPr>
          <w:rFonts w:hint="eastAsia" w:ascii="宋体" w:hAnsi="宋体" w:eastAsia="宋体" w:cs="宋体"/>
          <w:color w:val="auto"/>
          <w:sz w:val="24"/>
          <w:szCs w:val="21"/>
          <w:highlight w:val="none"/>
          <w:u w:val="single"/>
        </w:rPr>
        <w:t xml:space="preserve">无 </w:t>
      </w:r>
      <w:r>
        <w:rPr>
          <w:rFonts w:hint="eastAsia" w:ascii="宋体" w:hAnsi="宋体" w:eastAsia="宋体" w:cs="宋体"/>
          <w:color w:val="auto"/>
          <w:sz w:val="24"/>
          <w:szCs w:val="21"/>
          <w:highlight w:val="none"/>
        </w:rPr>
        <w:t>。</w:t>
      </w:r>
    </w:p>
    <w:p w14:paraId="6197BD9A">
      <w:pPr>
        <w:spacing w:line="360" w:lineRule="auto"/>
        <w:jc w:val="left"/>
        <w:outlineLvl w:val="2"/>
        <w:rPr>
          <w:rFonts w:hint="eastAsia" w:ascii="宋体" w:hAnsi="宋体" w:eastAsia="宋体" w:cs="宋体"/>
          <w:b/>
          <w:bCs/>
          <w:color w:val="auto"/>
          <w:sz w:val="28"/>
          <w:szCs w:val="28"/>
          <w:highlight w:val="none"/>
        </w:rPr>
      </w:pPr>
      <w:bookmarkStart w:id="949" w:name="_Toc104740349"/>
      <w:bookmarkStart w:id="950" w:name="_Toc96899362"/>
      <w:bookmarkStart w:id="951" w:name="_Toc6053"/>
      <w:r>
        <w:rPr>
          <w:rFonts w:hint="eastAsia" w:ascii="宋体" w:hAnsi="宋体" w:eastAsia="宋体" w:cs="宋体"/>
          <w:b/>
          <w:bCs/>
          <w:color w:val="auto"/>
          <w:sz w:val="28"/>
          <w:szCs w:val="28"/>
          <w:highlight w:val="none"/>
        </w:rPr>
        <w:t>16.价格调整</w:t>
      </w:r>
      <w:bookmarkEnd w:id="949"/>
      <w:bookmarkEnd w:id="950"/>
      <w:bookmarkEnd w:id="951"/>
    </w:p>
    <w:p w14:paraId="37756C8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16.1 物价波动引起的价格调整</w:t>
      </w:r>
    </w:p>
    <w:p w14:paraId="04863CFF">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952" w:name="_Toc491074041"/>
      <w:r>
        <w:rPr>
          <w:rFonts w:hint="eastAsia" w:ascii="宋体" w:hAnsi="宋体" w:eastAsia="宋体" w:cs="宋体"/>
          <w:bCs/>
          <w:color w:val="auto"/>
          <w:sz w:val="24"/>
          <w:szCs w:val="21"/>
          <w:highlight w:val="none"/>
        </w:rPr>
        <w:t>物价波动引起的价格调整方式：</w:t>
      </w:r>
      <w:r>
        <w:rPr>
          <w:rFonts w:hint="eastAsia" w:ascii="宋体" w:hAnsi="宋体" w:eastAsia="宋体" w:cs="宋体"/>
          <w:color w:val="auto"/>
          <w:sz w:val="24"/>
          <w:szCs w:val="21"/>
          <w:highlight w:val="none"/>
          <w:u w:val="single"/>
        </w:rPr>
        <w:t xml:space="preserve"> 不予调整  </w:t>
      </w:r>
      <w:r>
        <w:rPr>
          <w:rFonts w:hint="eastAsia" w:ascii="宋体" w:hAnsi="宋体" w:eastAsia="宋体" w:cs="宋体"/>
          <w:color w:val="auto"/>
          <w:sz w:val="24"/>
          <w:szCs w:val="21"/>
          <w:highlight w:val="none"/>
        </w:rPr>
        <w:t>。</w:t>
      </w:r>
    </w:p>
    <w:p w14:paraId="67B641B8">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16.1.2 采用造价信息调整价格差额</w:t>
      </w:r>
    </w:p>
    <w:p w14:paraId="09FF9A5D">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工程造价信息的来源：</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w:t>
      </w:r>
    </w:p>
    <w:p w14:paraId="5B2F8BA4">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价格调整的项目和系数：</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w:t>
      </w:r>
    </w:p>
    <w:bookmarkEnd w:id="952"/>
    <w:p w14:paraId="0341B305">
      <w:pPr>
        <w:spacing w:line="360" w:lineRule="auto"/>
        <w:jc w:val="left"/>
        <w:outlineLvl w:val="2"/>
        <w:rPr>
          <w:rFonts w:hint="eastAsia" w:ascii="宋体" w:hAnsi="宋体" w:eastAsia="宋体" w:cs="宋体"/>
          <w:b/>
          <w:bCs/>
          <w:color w:val="auto"/>
          <w:sz w:val="28"/>
          <w:szCs w:val="28"/>
          <w:highlight w:val="none"/>
        </w:rPr>
      </w:pPr>
      <w:bookmarkStart w:id="953" w:name="_Toc4287"/>
      <w:r>
        <w:rPr>
          <w:rFonts w:hint="eastAsia" w:ascii="宋体" w:hAnsi="宋体" w:eastAsia="宋体" w:cs="宋体"/>
          <w:b/>
          <w:bCs/>
          <w:color w:val="auto"/>
          <w:sz w:val="28"/>
          <w:szCs w:val="28"/>
          <w:highlight w:val="none"/>
        </w:rPr>
        <w:t>17.计量与支付</w:t>
      </w:r>
      <w:bookmarkEnd w:id="953"/>
    </w:p>
    <w:p w14:paraId="7CACBE7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17.1计量</w:t>
      </w:r>
    </w:p>
    <w:p w14:paraId="32EA372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17.1.3 计量周期</w:t>
      </w:r>
    </w:p>
    <w:p w14:paraId="76E18C4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通用合同条款不适用。本工程按以下条款执行：以每个单项完工时间作为计量周期。</w:t>
      </w:r>
      <w:r>
        <w:rPr>
          <w:rFonts w:hint="eastAsia" w:ascii="宋体" w:hAnsi="宋体" w:eastAsia="宋体" w:cs="宋体"/>
          <w:color w:val="auto"/>
          <w:sz w:val="24"/>
          <w:highlight w:val="none"/>
        </w:rPr>
        <w:t xml:space="preserve"> </w:t>
      </w:r>
    </w:p>
    <w:p w14:paraId="159CB147">
      <w:pPr>
        <w:spacing w:line="360" w:lineRule="auto"/>
        <w:jc w:val="left"/>
        <w:rPr>
          <w:rFonts w:hint="eastAsia" w:ascii="宋体" w:hAnsi="宋体" w:eastAsia="宋体" w:cs="宋体"/>
          <w:b/>
          <w:bCs/>
          <w:color w:val="auto"/>
          <w:sz w:val="28"/>
          <w:szCs w:val="28"/>
          <w:highlight w:val="none"/>
        </w:rPr>
      </w:pPr>
      <w:bookmarkStart w:id="954" w:name="_Toc104740351"/>
      <w:r>
        <w:rPr>
          <w:rFonts w:hint="eastAsia" w:ascii="宋体" w:hAnsi="宋体" w:eastAsia="宋体" w:cs="宋体"/>
          <w:b/>
          <w:bCs/>
          <w:color w:val="auto"/>
          <w:sz w:val="28"/>
          <w:szCs w:val="28"/>
          <w:highlight w:val="none"/>
        </w:rPr>
        <w:t>17.2 预付款</w:t>
      </w:r>
      <w:bookmarkEnd w:id="954"/>
    </w:p>
    <w:p w14:paraId="17BBF54C">
      <w:pPr>
        <w:adjustRightInd w:val="0"/>
        <w:snapToGrid w:val="0"/>
        <w:spacing w:line="360" w:lineRule="auto"/>
        <w:ind w:firstLine="480" w:firstLineChars="200"/>
        <w:rPr>
          <w:rFonts w:hint="eastAsia" w:ascii="宋体" w:hAnsi="宋体" w:eastAsia="宋体" w:cs="宋体"/>
          <w:color w:val="auto"/>
          <w:sz w:val="24"/>
          <w:highlight w:val="none"/>
        </w:rPr>
      </w:pPr>
      <w:bookmarkStart w:id="955" w:name="_Toc493159574"/>
      <w:bookmarkStart w:id="956" w:name="_Toc480796098"/>
      <w:bookmarkStart w:id="957" w:name="_Toc476582128"/>
      <w:bookmarkStart w:id="958" w:name="_Toc295295176"/>
      <w:bookmarkStart w:id="959" w:name="_Toc492380799"/>
      <w:bookmarkStart w:id="960" w:name="_Toc302297849"/>
      <w:bookmarkStart w:id="961" w:name="_Toc294601466"/>
      <w:bookmarkStart w:id="962" w:name="_Toc480795839"/>
      <w:bookmarkStart w:id="963" w:name="_Toc302324321"/>
      <w:bookmarkStart w:id="964" w:name="_Toc492904600"/>
      <w:bookmarkStart w:id="965" w:name="_Toc476582129"/>
      <w:bookmarkStart w:id="966" w:name="_Toc493159575"/>
      <w:bookmarkStart w:id="967" w:name="_Hlk496184261"/>
      <w:bookmarkStart w:id="968" w:name="_Toc492904601"/>
      <w:bookmarkStart w:id="969" w:name="_Toc492380800"/>
      <w:r>
        <w:rPr>
          <w:rFonts w:hint="eastAsia" w:ascii="宋体" w:hAnsi="宋体" w:eastAsia="宋体" w:cs="宋体"/>
          <w:color w:val="auto"/>
          <w:sz w:val="24"/>
          <w:highlight w:val="none"/>
        </w:rPr>
        <w:t>17.2.1  预付款的额度和预付办法：</w:t>
      </w:r>
    </w:p>
    <w:p w14:paraId="1339B5A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预付款：合同生效后30个工作日内支付</w:t>
      </w:r>
      <w:r>
        <w:rPr>
          <w:rFonts w:hint="eastAsia" w:ascii="宋体" w:hAnsi="宋体" w:eastAsia="宋体" w:cs="宋体"/>
          <w:color w:val="auto"/>
          <w:sz w:val="24"/>
          <w:highlight w:val="none"/>
          <w:lang w:eastAsia="zh-CN"/>
        </w:rPr>
        <w:t>，发包人向承包人支付签约合同价（不含安全文明施工费）的50%作为预付款。</w:t>
      </w:r>
    </w:p>
    <w:p w14:paraId="7E48A86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预付款在后期支付时抵作进度款；</w:t>
      </w:r>
      <w:r>
        <w:rPr>
          <w:rFonts w:hint="eastAsia" w:ascii="宋体" w:hAnsi="宋体" w:eastAsia="宋体" w:cs="宋体"/>
          <w:color w:val="auto"/>
          <w:sz w:val="24"/>
          <w:highlight w:val="none"/>
        </w:rPr>
        <w:t>安全文明施工费随预付款一次性全额支付。</w:t>
      </w:r>
    </w:p>
    <w:p w14:paraId="439DE91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17.2.2  预付款保函（担保）</w:t>
      </w:r>
    </w:p>
    <w:p w14:paraId="3A831E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通用合同条款不适用。本工程按以下条款执行：</w:t>
      </w:r>
      <w:r>
        <w:rPr>
          <w:rFonts w:hint="eastAsia" w:ascii="宋体" w:hAnsi="宋体" w:eastAsia="宋体" w:cs="宋体"/>
          <w:color w:val="auto"/>
          <w:sz w:val="24"/>
          <w:highlight w:val="none"/>
        </w:rPr>
        <w:t>本工程不需提交预付款保函。</w:t>
      </w:r>
    </w:p>
    <w:p w14:paraId="0836330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17.2.3  预付款的扣回与还清</w:t>
      </w:r>
    </w:p>
    <w:bookmarkEnd w:id="955"/>
    <w:bookmarkEnd w:id="956"/>
    <w:bookmarkEnd w:id="957"/>
    <w:bookmarkEnd w:id="958"/>
    <w:bookmarkEnd w:id="959"/>
    <w:bookmarkEnd w:id="960"/>
    <w:bookmarkEnd w:id="961"/>
    <w:bookmarkEnd w:id="962"/>
    <w:bookmarkEnd w:id="963"/>
    <w:bookmarkEnd w:id="964"/>
    <w:p w14:paraId="6D1981A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预付款在后续工作中抵作进度款。</w:t>
      </w:r>
    </w:p>
    <w:p w14:paraId="2A5D918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17.3 工程进度付款</w:t>
      </w:r>
    </w:p>
    <w:p w14:paraId="477910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17.3.3 进度付款证书和支付时间</w:t>
      </w:r>
    </w:p>
    <w:p w14:paraId="38D183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（2）发包人不按期支付的，按中国人民银行规定的一年期贷款利率计算的利息支付给承包人。</w:t>
      </w:r>
    </w:p>
    <w:p w14:paraId="00411A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在通用条款基础上增加：</w:t>
      </w:r>
    </w:p>
    <w:p w14:paraId="1F142F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bookmarkStart w:id="970" w:name="_Hlk106267646"/>
      <w:r>
        <w:rPr>
          <w:rFonts w:hint="eastAsia" w:ascii="宋体" w:hAnsi="宋体" w:eastAsia="宋体" w:cs="宋体"/>
          <w:color w:val="auto"/>
          <w:sz w:val="24"/>
          <w:highlight w:val="none"/>
        </w:rPr>
        <w:t>按照实际完成进度及财政支付要求支付。</w:t>
      </w:r>
      <w:bookmarkEnd w:id="970"/>
    </w:p>
    <w:p w14:paraId="1CD2485C">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（6）工程最终结算以第三方工程造价咨询机构审核结果为准。</w:t>
      </w:r>
    </w:p>
    <w:p w14:paraId="3048D64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17.4 质量保证金</w:t>
      </w:r>
      <w:bookmarkEnd w:id="965"/>
      <w:bookmarkEnd w:id="966"/>
      <w:bookmarkEnd w:id="967"/>
      <w:bookmarkEnd w:id="968"/>
      <w:bookmarkEnd w:id="969"/>
    </w:p>
    <w:p w14:paraId="0951D5D7">
      <w:pPr>
        <w:snapToGrid w:val="0"/>
        <w:spacing w:line="348"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17.4.1本项修改为：</w:t>
      </w:r>
      <w:r>
        <w:rPr>
          <w:rFonts w:hint="eastAsia" w:ascii="宋体" w:hAnsi="宋体" w:eastAsia="宋体" w:cs="宋体"/>
          <w:color w:val="auto"/>
          <w:sz w:val="24"/>
          <w:szCs w:val="28"/>
          <w:highlight w:val="none"/>
        </w:rPr>
        <w:t>合同工程完工验收合格且资料移交后30日内</w:t>
      </w:r>
      <w:r>
        <w:rPr>
          <w:rFonts w:hint="eastAsia" w:ascii="宋体" w:hAnsi="宋体" w:eastAsia="宋体" w:cs="宋体"/>
          <w:color w:val="auto"/>
          <w:sz w:val="24"/>
          <w:highlight w:val="none"/>
        </w:rPr>
        <w:t>，发包人返还承包人履约保证金，同时，承包人向发包人支付工程价款结算总额的3%作为质量保证金。质量保证金可采用由中华人民共和国境内注册的商业银行（县、市级支行及以上银行）出具的质量保证保函或具有担保能力的专业担保机构出具的质量保证担保书或中国保险监督管理委员会批准的保险机构出具的工程质量保险或转账、电汇、支票的方式递交。17.4.2本项修改为：在第1.1.4.5目约定的缺陷责任期（工程质量保修期）满后，发包人和承包人应按照《住房城乡建设部财政部关于印发建设工程质量保证金管理办法的通知》（建质〔2017〕138号）的有关要求，办理质量保证金返还手续。</w:t>
      </w:r>
    </w:p>
    <w:p w14:paraId="7D2F019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17.5完工结算</w:t>
      </w:r>
    </w:p>
    <w:p w14:paraId="13A3C6CE">
      <w:pPr>
        <w:tabs>
          <w:tab w:val="left" w:pos="4169"/>
        </w:tabs>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17.5.1完工付款申请单 </w:t>
      </w:r>
      <w:r>
        <w:rPr>
          <w:rFonts w:hint="eastAsia" w:ascii="宋体" w:hAnsi="宋体" w:eastAsia="宋体" w:cs="宋体"/>
          <w:color w:val="auto"/>
          <w:sz w:val="24"/>
          <w:highlight w:val="none"/>
        </w:rPr>
        <w:tab/>
      </w:r>
    </w:p>
    <w:p w14:paraId="4D28693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（1）承包人应提交完工付款申请单一式</w:t>
      </w:r>
      <w:r>
        <w:rPr>
          <w:rFonts w:hint="eastAsia" w:ascii="宋体" w:hAnsi="宋体" w:eastAsia="宋体" w:cs="宋体"/>
          <w:color w:val="auto"/>
          <w:sz w:val="24"/>
          <w:highlight w:val="none"/>
          <w:u w:val="single"/>
        </w:rPr>
        <w:t xml:space="preserve"> 4 </w:t>
      </w:r>
      <w:r>
        <w:rPr>
          <w:rFonts w:hint="eastAsia" w:ascii="宋体" w:hAnsi="宋体" w:eastAsia="宋体" w:cs="宋体"/>
          <w:color w:val="auto"/>
          <w:sz w:val="24"/>
          <w:highlight w:val="none"/>
        </w:rPr>
        <w:t>份。</w:t>
      </w:r>
    </w:p>
    <w:p w14:paraId="7D020B84">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17.6 最终结清</w:t>
      </w:r>
    </w:p>
    <w:p w14:paraId="5A1C53E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17.6.1 最终结清申请单</w:t>
      </w:r>
    </w:p>
    <w:p w14:paraId="2E96102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（1）承包人应提交最终结清申请单一式</w:t>
      </w:r>
      <w:r>
        <w:rPr>
          <w:rFonts w:hint="eastAsia" w:ascii="宋体" w:hAnsi="宋体" w:eastAsia="宋体" w:cs="宋体"/>
          <w:color w:val="auto"/>
          <w:sz w:val="24"/>
          <w:highlight w:val="none"/>
          <w:u w:val="single"/>
        </w:rPr>
        <w:t xml:space="preserve"> 4 </w:t>
      </w:r>
      <w:r>
        <w:rPr>
          <w:rFonts w:hint="eastAsia" w:ascii="宋体" w:hAnsi="宋体" w:eastAsia="宋体" w:cs="宋体"/>
          <w:color w:val="auto"/>
          <w:sz w:val="24"/>
          <w:highlight w:val="none"/>
        </w:rPr>
        <w:t>份。</w:t>
      </w:r>
    </w:p>
    <w:p w14:paraId="54111BC1">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17.7 竣工财务决算</w:t>
      </w:r>
    </w:p>
    <w:p w14:paraId="31537EA6">
      <w:pPr>
        <w:adjustRightInd w:val="0"/>
        <w:snapToGrid w:val="0"/>
        <w:spacing w:line="360" w:lineRule="auto"/>
        <w:ind w:firstLine="480" w:firstLineChars="200"/>
        <w:rPr>
          <w:rFonts w:hint="eastAsia" w:ascii="宋体" w:hAnsi="宋体" w:eastAsia="宋体" w:cs="宋体"/>
          <w:color w:val="auto"/>
          <w:sz w:val="24"/>
          <w:szCs w:val="21"/>
          <w:highlight w:val="none"/>
          <w:u w:val="single"/>
        </w:rPr>
      </w:pPr>
      <w:r>
        <w:rPr>
          <w:rFonts w:hint="eastAsia" w:ascii="宋体" w:hAnsi="宋体" w:eastAsia="宋体" w:cs="宋体"/>
          <w:color w:val="auto"/>
          <w:sz w:val="24"/>
          <w:highlight w:val="none"/>
        </w:rPr>
        <w:t>承包人应为竣工财务决算编制提供的资料：</w:t>
      </w:r>
      <w:r>
        <w:rPr>
          <w:rFonts w:hint="eastAsia" w:ascii="宋体" w:hAnsi="宋体" w:eastAsia="宋体" w:cs="宋体"/>
          <w:color w:val="auto"/>
          <w:sz w:val="24"/>
          <w:szCs w:val="21"/>
          <w:highlight w:val="none"/>
          <w:u w:val="single"/>
        </w:rPr>
        <w:t>满足水利基本建设项目竣工财务决算编制规程要求。</w:t>
      </w:r>
    </w:p>
    <w:p w14:paraId="2E54D850">
      <w:pPr>
        <w:spacing w:line="360" w:lineRule="auto"/>
        <w:jc w:val="left"/>
        <w:outlineLvl w:val="2"/>
        <w:rPr>
          <w:rFonts w:hint="eastAsia" w:ascii="宋体" w:hAnsi="宋体" w:eastAsia="宋体" w:cs="宋体"/>
          <w:b/>
          <w:bCs/>
          <w:color w:val="auto"/>
          <w:sz w:val="28"/>
          <w:szCs w:val="28"/>
          <w:highlight w:val="none"/>
        </w:rPr>
      </w:pPr>
      <w:bookmarkStart w:id="971" w:name="_Toc4150"/>
      <w:bookmarkStart w:id="972" w:name="_Toc104740352"/>
      <w:r>
        <w:rPr>
          <w:rFonts w:hint="eastAsia" w:ascii="宋体" w:hAnsi="宋体" w:eastAsia="宋体" w:cs="宋体"/>
          <w:b/>
          <w:bCs/>
          <w:color w:val="auto"/>
          <w:sz w:val="28"/>
          <w:szCs w:val="28"/>
          <w:highlight w:val="none"/>
        </w:rPr>
        <w:t>18.验收</w:t>
      </w:r>
      <w:bookmarkEnd w:id="971"/>
      <w:bookmarkEnd w:id="972"/>
    </w:p>
    <w:p w14:paraId="5FECED64">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18.1 验收工作分类</w:t>
      </w:r>
    </w:p>
    <w:p w14:paraId="79272AC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本工程法人验收包括：</w:t>
      </w:r>
      <w:r>
        <w:rPr>
          <w:rFonts w:hint="eastAsia" w:ascii="宋体" w:hAnsi="宋体" w:eastAsia="宋体" w:cs="宋体"/>
          <w:color w:val="auto"/>
          <w:sz w:val="24"/>
          <w:highlight w:val="none"/>
          <w:u w:val="single"/>
          <w:lang w:eastAsia="zh-CN"/>
        </w:rPr>
        <w:t>分项</w:t>
      </w:r>
      <w:r>
        <w:rPr>
          <w:rFonts w:hint="eastAsia" w:ascii="宋体" w:hAnsi="宋体" w:eastAsia="宋体" w:cs="宋体"/>
          <w:color w:val="auto"/>
          <w:sz w:val="24"/>
          <w:highlight w:val="none"/>
          <w:u w:val="single"/>
        </w:rPr>
        <w:t>工程验收、</w:t>
      </w:r>
      <w:r>
        <w:rPr>
          <w:rFonts w:hint="eastAsia" w:ascii="宋体" w:hAnsi="宋体" w:eastAsia="宋体" w:cs="宋体"/>
          <w:color w:val="auto"/>
          <w:sz w:val="24"/>
          <w:highlight w:val="none"/>
          <w:u w:val="single"/>
          <w:lang w:eastAsia="zh-CN"/>
        </w:rPr>
        <w:t>完工</w:t>
      </w:r>
      <w:r>
        <w:rPr>
          <w:rFonts w:hint="eastAsia" w:ascii="宋体" w:hAnsi="宋体" w:eastAsia="宋体" w:cs="宋体"/>
          <w:color w:val="auto"/>
          <w:sz w:val="24"/>
          <w:highlight w:val="none"/>
          <w:u w:val="single"/>
        </w:rPr>
        <w:t>验收、合同验收</w:t>
      </w:r>
      <w:r>
        <w:rPr>
          <w:rFonts w:hint="eastAsia" w:ascii="宋体" w:hAnsi="宋体" w:eastAsia="宋体" w:cs="宋体"/>
          <w:color w:val="auto"/>
          <w:sz w:val="24"/>
          <w:highlight w:val="none"/>
        </w:rPr>
        <w:t>。验收条件为：</w:t>
      </w:r>
      <w:r>
        <w:rPr>
          <w:rFonts w:hint="eastAsia" w:ascii="宋体" w:hAnsi="宋体" w:eastAsia="宋体" w:cs="宋体"/>
          <w:color w:val="auto"/>
          <w:sz w:val="24"/>
          <w:highlight w:val="none"/>
          <w:u w:val="single"/>
        </w:rPr>
        <w:t>1.完成项目实施方案和合同约定的各项内容；2.有完整的技术档案和管理资料</w:t>
      </w:r>
      <w:r>
        <w:rPr>
          <w:rFonts w:hint="eastAsia" w:ascii="宋体" w:hAnsi="宋体" w:eastAsia="宋体" w:cs="宋体"/>
          <w:color w:val="auto"/>
          <w:sz w:val="24"/>
          <w:highlight w:val="none"/>
        </w:rPr>
        <w:t>。验收程序为：</w:t>
      </w:r>
      <w:r>
        <w:rPr>
          <w:rFonts w:hint="eastAsia" w:ascii="宋体" w:hAnsi="宋体" w:eastAsia="宋体" w:cs="宋体"/>
          <w:color w:val="auto"/>
          <w:sz w:val="24"/>
          <w:highlight w:val="none"/>
          <w:u w:val="single"/>
        </w:rPr>
        <w:t>由发包人按《水利工程日常维修养护费工程维护项目管理实施细则》的相关规定组织验收</w:t>
      </w:r>
      <w:r>
        <w:rPr>
          <w:rFonts w:hint="eastAsia" w:ascii="宋体" w:hAnsi="宋体" w:eastAsia="宋体" w:cs="宋体"/>
          <w:color w:val="auto"/>
          <w:sz w:val="24"/>
          <w:highlight w:val="none"/>
        </w:rPr>
        <w:t>。</w:t>
      </w:r>
    </w:p>
    <w:p w14:paraId="5DDCD29B">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18.2 分部工程验收</w:t>
      </w:r>
    </w:p>
    <w:p w14:paraId="3FA7FDDC">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18.2.2 </w:t>
      </w:r>
      <w:r>
        <w:rPr>
          <w:rFonts w:hint="eastAsia" w:ascii="宋体" w:hAnsi="宋体" w:eastAsia="宋体" w:cs="宋体"/>
          <w:color w:val="auto"/>
          <w:sz w:val="24"/>
          <w:highlight w:val="none"/>
        </w:rPr>
        <w:t>本工程由发包人主持的分部工程验收为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，其余由</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none"/>
          <w:lang w:val="en-US" w:eastAsia="zh-CN"/>
        </w:rPr>
        <w:t xml:space="preserve"> </w:t>
      </w:r>
      <w:r>
        <w:rPr>
          <w:rFonts w:hint="eastAsia" w:ascii="宋体" w:hAnsi="宋体" w:eastAsia="宋体" w:cs="宋体"/>
          <w:color w:val="auto"/>
          <w:sz w:val="24"/>
          <w:szCs w:val="21"/>
          <w:highlight w:val="none"/>
        </w:rPr>
        <w:t>主持。</w:t>
      </w:r>
    </w:p>
    <w:p w14:paraId="7B90E373">
      <w:pPr>
        <w:spacing w:line="360" w:lineRule="auto"/>
        <w:jc w:val="left"/>
        <w:rPr>
          <w:rFonts w:hint="eastAsia" w:ascii="宋体" w:hAnsi="宋体" w:eastAsia="宋体" w:cs="宋体"/>
          <w:b/>
          <w:bCs/>
          <w:color w:val="auto"/>
          <w:sz w:val="28"/>
          <w:szCs w:val="28"/>
          <w:highlight w:val="none"/>
        </w:rPr>
      </w:pPr>
      <w:bookmarkStart w:id="973" w:name="_Toc302546008"/>
      <w:bookmarkStart w:id="974" w:name="_Toc493159582"/>
      <w:bookmarkStart w:id="975" w:name="_Toc301627101"/>
      <w:bookmarkStart w:id="976" w:name="_Toc294601470"/>
      <w:bookmarkStart w:id="977" w:name="_Toc301858040"/>
      <w:bookmarkStart w:id="978" w:name="_Toc492380807"/>
      <w:bookmarkStart w:id="979" w:name="_Toc297543111"/>
      <w:bookmarkStart w:id="980" w:name="_Toc313525885"/>
      <w:bookmarkStart w:id="981" w:name="_Toc492904608"/>
      <w:r>
        <w:rPr>
          <w:rFonts w:hint="eastAsia" w:ascii="宋体" w:hAnsi="宋体" w:eastAsia="宋体" w:cs="宋体"/>
          <w:b/>
          <w:bCs/>
          <w:color w:val="auto"/>
          <w:sz w:val="28"/>
          <w:szCs w:val="28"/>
          <w:highlight w:val="none"/>
        </w:rPr>
        <w:t>18.3 单位工程验收</w:t>
      </w:r>
      <w:bookmarkEnd w:id="973"/>
      <w:bookmarkEnd w:id="974"/>
      <w:bookmarkEnd w:id="975"/>
      <w:bookmarkEnd w:id="976"/>
      <w:bookmarkEnd w:id="977"/>
      <w:bookmarkEnd w:id="978"/>
      <w:bookmarkEnd w:id="979"/>
      <w:bookmarkEnd w:id="980"/>
      <w:bookmarkEnd w:id="981"/>
    </w:p>
    <w:p w14:paraId="0CB87F75">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18.3.4 提前投入使用的单位工程包括：</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w:t>
      </w:r>
    </w:p>
    <w:p w14:paraId="2A61C8DF">
      <w:pPr>
        <w:spacing w:line="360" w:lineRule="auto"/>
        <w:jc w:val="left"/>
        <w:rPr>
          <w:rFonts w:hint="eastAsia" w:ascii="宋体" w:hAnsi="宋体" w:eastAsia="宋体" w:cs="宋体"/>
          <w:b/>
          <w:bCs/>
          <w:color w:val="auto"/>
          <w:sz w:val="28"/>
          <w:szCs w:val="28"/>
          <w:highlight w:val="none"/>
        </w:rPr>
      </w:pPr>
      <w:bookmarkStart w:id="982" w:name="_Toc297543112"/>
      <w:bookmarkStart w:id="983" w:name="_Toc301858041"/>
      <w:bookmarkStart w:id="984" w:name="_Toc480795845"/>
      <w:bookmarkStart w:id="985" w:name="_Toc294601471"/>
      <w:bookmarkStart w:id="986" w:name="_Toc492904609"/>
      <w:bookmarkStart w:id="987" w:name="_Toc476582135"/>
      <w:bookmarkStart w:id="988" w:name="_Toc301627102"/>
      <w:bookmarkStart w:id="989" w:name="_Toc401765742"/>
      <w:bookmarkStart w:id="990" w:name="_Toc302546009"/>
      <w:bookmarkStart w:id="991" w:name="_Toc313525886"/>
      <w:bookmarkStart w:id="992" w:name="_Toc492380808"/>
      <w:bookmarkStart w:id="993" w:name="_Toc480796104"/>
      <w:bookmarkStart w:id="994" w:name="_Toc493159583"/>
      <w:r>
        <w:rPr>
          <w:rFonts w:hint="eastAsia" w:ascii="宋体" w:hAnsi="宋体" w:eastAsia="宋体" w:cs="宋体"/>
          <w:b/>
          <w:bCs/>
          <w:color w:val="auto"/>
          <w:sz w:val="28"/>
          <w:szCs w:val="28"/>
          <w:highlight w:val="none"/>
        </w:rPr>
        <w:t>18.5 阶段验收</w:t>
      </w:r>
      <w:bookmarkEnd w:id="982"/>
      <w:bookmarkEnd w:id="983"/>
      <w:bookmarkEnd w:id="984"/>
      <w:bookmarkEnd w:id="985"/>
      <w:bookmarkEnd w:id="986"/>
      <w:bookmarkEnd w:id="987"/>
      <w:bookmarkEnd w:id="988"/>
      <w:bookmarkEnd w:id="989"/>
      <w:bookmarkEnd w:id="990"/>
      <w:bookmarkEnd w:id="991"/>
      <w:bookmarkEnd w:id="992"/>
      <w:bookmarkEnd w:id="993"/>
      <w:bookmarkEnd w:id="994"/>
    </w:p>
    <w:p w14:paraId="5169EC34">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995" w:name="_Toc480796105"/>
      <w:bookmarkStart w:id="996" w:name="_Toc476582136"/>
      <w:bookmarkStart w:id="997" w:name="_Toc480795846"/>
      <w:r>
        <w:rPr>
          <w:rFonts w:hint="eastAsia" w:ascii="宋体" w:hAnsi="宋体" w:eastAsia="宋体" w:cs="宋体"/>
          <w:color w:val="auto"/>
          <w:sz w:val="24"/>
          <w:szCs w:val="21"/>
          <w:highlight w:val="none"/>
        </w:rPr>
        <w:t>18.5.1 本合同工程阶段验收类别包括：</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w:t>
      </w:r>
      <w:bookmarkEnd w:id="995"/>
      <w:bookmarkEnd w:id="996"/>
      <w:bookmarkEnd w:id="997"/>
    </w:p>
    <w:p w14:paraId="240A0F8B">
      <w:pPr>
        <w:spacing w:line="360" w:lineRule="auto"/>
        <w:jc w:val="left"/>
        <w:rPr>
          <w:rFonts w:hint="eastAsia" w:ascii="宋体" w:hAnsi="宋体" w:eastAsia="宋体" w:cs="宋体"/>
          <w:b/>
          <w:bCs/>
          <w:color w:val="auto"/>
          <w:sz w:val="28"/>
          <w:szCs w:val="28"/>
          <w:highlight w:val="none"/>
        </w:rPr>
      </w:pPr>
      <w:bookmarkStart w:id="998" w:name="_Toc313525887"/>
      <w:bookmarkStart w:id="999" w:name="_Toc480795847"/>
      <w:bookmarkStart w:id="1000" w:name="_Toc297543113"/>
      <w:bookmarkStart w:id="1001" w:name="_Toc294601472"/>
      <w:bookmarkStart w:id="1002" w:name="_Toc401765743"/>
      <w:bookmarkStart w:id="1003" w:name="_Toc493159584"/>
      <w:bookmarkStart w:id="1004" w:name="_Toc301627103"/>
      <w:bookmarkStart w:id="1005" w:name="_Toc476582137"/>
      <w:bookmarkStart w:id="1006" w:name="_Toc302546010"/>
      <w:bookmarkStart w:id="1007" w:name="_Toc492904610"/>
      <w:bookmarkStart w:id="1008" w:name="_Toc480796106"/>
      <w:bookmarkStart w:id="1009" w:name="_Toc492380809"/>
      <w:bookmarkStart w:id="1010" w:name="_Toc301858042"/>
      <w:r>
        <w:rPr>
          <w:rFonts w:hint="eastAsia" w:ascii="宋体" w:hAnsi="宋体" w:eastAsia="宋体" w:cs="宋体"/>
          <w:b/>
          <w:bCs/>
          <w:color w:val="auto"/>
          <w:sz w:val="28"/>
          <w:szCs w:val="28"/>
          <w:highlight w:val="none"/>
        </w:rPr>
        <w:t>18.6 专项验收</w:t>
      </w:r>
      <w:bookmarkEnd w:id="998"/>
      <w:bookmarkEnd w:id="999"/>
      <w:bookmarkEnd w:id="1000"/>
      <w:bookmarkEnd w:id="1001"/>
      <w:bookmarkEnd w:id="1002"/>
      <w:bookmarkEnd w:id="1003"/>
      <w:bookmarkEnd w:id="1004"/>
      <w:bookmarkEnd w:id="1005"/>
      <w:bookmarkEnd w:id="1006"/>
      <w:bookmarkEnd w:id="1007"/>
      <w:bookmarkEnd w:id="1008"/>
      <w:bookmarkEnd w:id="1009"/>
      <w:bookmarkEnd w:id="1010"/>
    </w:p>
    <w:p w14:paraId="472C6169">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18.6.2 本合同工程专项验收类别包括：</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w:t>
      </w:r>
    </w:p>
    <w:p w14:paraId="5F82423D">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18.7 竣工验收</w:t>
      </w:r>
    </w:p>
    <w:p w14:paraId="475C606C">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1011" w:name="_Toc301627104"/>
      <w:bookmarkStart w:id="1012" w:name="_Toc297543114"/>
      <w:bookmarkStart w:id="1013" w:name="_Toc492380811"/>
      <w:bookmarkStart w:id="1014" w:name="_Toc492904612"/>
      <w:bookmarkStart w:id="1015" w:name="_Toc302546012"/>
      <w:bookmarkStart w:id="1016" w:name="_Toc294601473"/>
      <w:bookmarkStart w:id="1017" w:name="_Toc313525889"/>
      <w:bookmarkStart w:id="1018" w:name="_Toc493159586"/>
      <w:bookmarkStart w:id="1019" w:name="_Toc480795849"/>
      <w:bookmarkStart w:id="1020" w:name="_Toc301858043"/>
      <w:bookmarkStart w:id="1021" w:name="_Toc401765745"/>
      <w:bookmarkStart w:id="1022" w:name="_Toc480796108"/>
      <w:bookmarkStart w:id="1023" w:name="_Toc476582139"/>
      <w:r>
        <w:rPr>
          <w:rFonts w:hint="eastAsia" w:ascii="宋体" w:hAnsi="宋体" w:eastAsia="宋体" w:cs="宋体"/>
          <w:color w:val="auto"/>
          <w:sz w:val="24"/>
          <w:szCs w:val="21"/>
          <w:highlight w:val="none"/>
        </w:rPr>
        <w:t>本工程不需要做竣工验收。</w:t>
      </w:r>
    </w:p>
    <w:p w14:paraId="250FD38D">
      <w:pPr>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18.8 施工期运行</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14:paraId="38525F94">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18.8.1 需要在施工期运行的单位工程或工程设备为：</w:t>
      </w:r>
      <w:r>
        <w:rPr>
          <w:rFonts w:hint="eastAsia" w:ascii="宋体" w:hAnsi="宋体" w:eastAsia="宋体" w:cs="宋体"/>
          <w:color w:val="auto"/>
          <w:sz w:val="24"/>
          <w:szCs w:val="21"/>
          <w:highlight w:val="none"/>
          <w:u w:val="single"/>
        </w:rPr>
        <w:t xml:space="preserve">       /       </w:t>
      </w:r>
      <w:r>
        <w:rPr>
          <w:rFonts w:hint="eastAsia" w:ascii="宋体" w:hAnsi="宋体" w:eastAsia="宋体" w:cs="宋体"/>
          <w:color w:val="auto"/>
          <w:sz w:val="24"/>
          <w:szCs w:val="21"/>
          <w:highlight w:val="none"/>
        </w:rPr>
        <w:t xml:space="preserve">。 </w:t>
      </w:r>
    </w:p>
    <w:p w14:paraId="79CAE2F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18.9 试运行   </w:t>
      </w:r>
    </w:p>
    <w:p w14:paraId="3F12A5F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18.9.1 本项不作另行约定。</w:t>
      </w:r>
    </w:p>
    <w:p w14:paraId="3B5AD774">
      <w:pPr>
        <w:spacing w:line="360" w:lineRule="auto"/>
        <w:jc w:val="left"/>
        <w:outlineLvl w:val="2"/>
        <w:rPr>
          <w:rFonts w:hint="eastAsia" w:ascii="宋体" w:hAnsi="宋体" w:eastAsia="宋体" w:cs="宋体"/>
          <w:b/>
          <w:bCs/>
          <w:color w:val="auto"/>
          <w:sz w:val="28"/>
          <w:szCs w:val="28"/>
          <w:highlight w:val="none"/>
        </w:rPr>
      </w:pPr>
      <w:bookmarkStart w:id="1024" w:name="_Toc96899364"/>
      <w:bookmarkStart w:id="1025" w:name="_Toc20975"/>
      <w:bookmarkStart w:id="1026" w:name="_Toc104740353"/>
      <w:r>
        <w:rPr>
          <w:rFonts w:hint="eastAsia" w:ascii="宋体" w:hAnsi="宋体" w:eastAsia="宋体" w:cs="宋体"/>
          <w:b/>
          <w:bCs/>
          <w:color w:val="auto"/>
          <w:sz w:val="28"/>
          <w:szCs w:val="28"/>
          <w:highlight w:val="none"/>
        </w:rPr>
        <w:t>19.缺陷责任与保修责任</w:t>
      </w:r>
      <w:bookmarkEnd w:id="1024"/>
      <w:bookmarkEnd w:id="1025"/>
      <w:bookmarkEnd w:id="1026"/>
    </w:p>
    <w:p w14:paraId="02AECDD0">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19.1 缺陷责任期（工程质量保修期）的起算时间</w:t>
      </w:r>
    </w:p>
    <w:p w14:paraId="63FA79E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本工程缺陷责任期计算如下：</w:t>
      </w:r>
      <w:r>
        <w:rPr>
          <w:rFonts w:hint="eastAsia" w:ascii="宋体" w:hAnsi="宋体" w:eastAsia="宋体" w:cs="宋体"/>
          <w:color w:val="auto"/>
          <w:sz w:val="24"/>
          <w:highlight w:val="none"/>
          <w:u w:val="single"/>
        </w:rPr>
        <w:t>从工程通过合同工程完工验收后开始计算，时间为12个月</w:t>
      </w:r>
      <w:r>
        <w:rPr>
          <w:rFonts w:hint="eastAsia" w:ascii="宋体" w:hAnsi="宋体" w:eastAsia="宋体" w:cs="宋体"/>
          <w:color w:val="auto"/>
          <w:sz w:val="24"/>
          <w:highlight w:val="none"/>
        </w:rPr>
        <w:t>。</w:t>
      </w:r>
    </w:p>
    <w:p w14:paraId="3474E6C0">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19.7保修责任</w:t>
      </w:r>
    </w:p>
    <w:p w14:paraId="6499097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本工程保修范围：</w:t>
      </w:r>
      <w:r>
        <w:rPr>
          <w:rFonts w:hint="eastAsia" w:ascii="宋体" w:hAnsi="宋体" w:eastAsia="宋体" w:cs="宋体"/>
          <w:color w:val="auto"/>
          <w:sz w:val="24"/>
          <w:highlight w:val="none"/>
          <w:u w:val="single"/>
        </w:rPr>
        <w:t>包括合同工程量清单包含的，以及合同履行过程中变更洽商确认的全部工程项目。</w:t>
      </w:r>
    </w:p>
    <w:p w14:paraId="65B4C4FB">
      <w:pPr>
        <w:widowControl/>
        <w:snapToGrid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保修责任：</w:t>
      </w:r>
      <w:r>
        <w:rPr>
          <w:rFonts w:hint="eastAsia" w:ascii="宋体" w:hAnsi="宋体" w:eastAsia="宋体" w:cs="宋体"/>
          <w:color w:val="auto"/>
          <w:sz w:val="24"/>
          <w:szCs w:val="28"/>
          <w:highlight w:val="none"/>
        </w:rPr>
        <w:t>（1）属于保修范围、内容的项目，供应商应当在接到保修通知之日起7天内派人保修。供应商不在约定期限内派人保修的，采购人可以委托他人修理，发生的一切费用由供应商承担。（2）发生紧急事故需抢修的，供应商在接到事故通知后，应当立即到达事故现场抢修。（3）对于涉及结构安全的质量问题，应当按照《建设工程质量管理条例》的规定，立即向当地水行政主管部门和有关部门报告，采取安全防范措施，并由原设计人或者具有相应资质等级的设计人提出保修方案，供应商实施保修。</w:t>
      </w:r>
    </w:p>
    <w:p w14:paraId="6129A2CD">
      <w:pPr>
        <w:spacing w:line="360" w:lineRule="auto"/>
        <w:jc w:val="left"/>
        <w:outlineLvl w:val="2"/>
        <w:rPr>
          <w:rFonts w:hint="eastAsia" w:ascii="宋体" w:hAnsi="宋体" w:eastAsia="宋体" w:cs="宋体"/>
          <w:b/>
          <w:bCs/>
          <w:color w:val="auto"/>
          <w:sz w:val="28"/>
          <w:szCs w:val="28"/>
          <w:highlight w:val="none"/>
        </w:rPr>
      </w:pPr>
      <w:bookmarkStart w:id="1027" w:name="_Toc104740354"/>
      <w:bookmarkStart w:id="1028" w:name="_Toc96899365"/>
      <w:bookmarkStart w:id="1029" w:name="_Toc2838"/>
      <w:r>
        <w:rPr>
          <w:rFonts w:hint="eastAsia" w:ascii="宋体" w:hAnsi="宋体" w:eastAsia="宋体" w:cs="宋体"/>
          <w:b/>
          <w:bCs/>
          <w:color w:val="auto"/>
          <w:sz w:val="28"/>
          <w:szCs w:val="28"/>
          <w:highlight w:val="none"/>
        </w:rPr>
        <w:t>20.保险</w:t>
      </w:r>
      <w:bookmarkEnd w:id="1027"/>
      <w:bookmarkEnd w:id="1028"/>
      <w:bookmarkEnd w:id="1029"/>
    </w:p>
    <w:p w14:paraId="2BEB69EC">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20.1 工程保险</w:t>
      </w:r>
    </w:p>
    <w:p w14:paraId="04D329FB">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（1）投保内容：</w:t>
      </w:r>
      <w:bookmarkStart w:id="1030" w:name="_Hlk79484947"/>
      <w:r>
        <w:rPr>
          <w:rFonts w:hint="eastAsia" w:ascii="宋体" w:hAnsi="宋体" w:eastAsia="宋体" w:cs="宋体"/>
          <w:color w:val="auto"/>
          <w:sz w:val="24"/>
          <w:szCs w:val="28"/>
          <w:highlight w:val="none"/>
        </w:rPr>
        <w:t>合同工程项目在建造过程中因自然灾害或意外事故而引起的一切损失。</w:t>
      </w:r>
      <w:bookmarkEnd w:id="1030"/>
    </w:p>
    <w:p w14:paraId="77964CC6">
      <w:pPr>
        <w:widowControl/>
        <w:spacing w:line="360" w:lineRule="auto"/>
        <w:ind w:firstLine="480" w:firstLineChars="200"/>
        <w:rPr>
          <w:rFonts w:hint="eastAsia" w:ascii="宋体" w:hAnsi="宋体" w:eastAsia="宋体" w:cs="宋体"/>
          <w:color w:val="auto"/>
          <w:sz w:val="24"/>
          <w:szCs w:val="28"/>
          <w:highlight w:val="none"/>
        </w:rPr>
      </w:pPr>
      <w:bookmarkStart w:id="1031" w:name="_Hlk79484974"/>
      <w:r>
        <w:rPr>
          <w:rFonts w:hint="eastAsia" w:ascii="宋体" w:hAnsi="宋体" w:eastAsia="宋体" w:cs="宋体"/>
          <w:color w:val="auto"/>
          <w:sz w:val="24"/>
          <w:szCs w:val="28"/>
          <w:highlight w:val="none"/>
        </w:rPr>
        <w:t>（2）保险金额：应不低于：</w:t>
      </w:r>
    </w:p>
    <w:p w14:paraId="369B5B93">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1）建筑工程——保险工程建筑完成时的总价值，包括原材料费用、设备费用、建造费、安装费、运输和保险费、关税、其他税项和费用，以及由工程所有人提供的原材料和设备的费用；</w:t>
      </w:r>
    </w:p>
    <w:p w14:paraId="772054B3">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2）施工用机器、装置和机械设备——重置同型号、同负载的新机器、装置和机械设备所需的费用；</w:t>
      </w:r>
    </w:p>
    <w:p w14:paraId="71F840F6">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3）其他保险项目——由被保险人与保险人商定的金额。</w:t>
      </w:r>
    </w:p>
    <w:p w14:paraId="30BCB1CC">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（3）保险费率：按国家现行规定和保险合同约定费率。</w:t>
      </w:r>
    </w:p>
    <w:p w14:paraId="658FD59A">
      <w:pPr>
        <w:widowControl/>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（4）保险期限：自工程开工至完工验收合格，具体按照保险人出具保单中约定为准。</w:t>
      </w:r>
      <w:bookmarkEnd w:id="1031"/>
    </w:p>
    <w:p w14:paraId="7384C3DA">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20.4 第三者责任险</w:t>
      </w:r>
    </w:p>
    <w:p w14:paraId="7D1A412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20.4.2第三者责任险保险费率：</w:t>
      </w:r>
      <w:r>
        <w:rPr>
          <w:rFonts w:hint="eastAsia" w:ascii="宋体" w:hAnsi="宋体" w:eastAsia="宋体" w:cs="宋体"/>
          <w:color w:val="auto"/>
          <w:sz w:val="24"/>
          <w:szCs w:val="21"/>
          <w:highlight w:val="none"/>
          <w:u w:val="single"/>
        </w:rPr>
        <w:t>按国家现行规定和保险合同约定费率</w:t>
      </w:r>
      <w:r>
        <w:rPr>
          <w:rFonts w:hint="eastAsia" w:ascii="宋体" w:hAnsi="宋体" w:eastAsia="宋体" w:cs="宋体"/>
          <w:color w:val="auto"/>
          <w:sz w:val="24"/>
          <w:highlight w:val="none"/>
        </w:rPr>
        <w:t xml:space="preserve">； </w:t>
      </w:r>
    </w:p>
    <w:p w14:paraId="0422DEDA">
      <w:pPr>
        <w:adjustRightInd w:val="0"/>
        <w:snapToGrid w:val="0"/>
        <w:spacing w:line="360" w:lineRule="auto"/>
        <w:ind w:firstLine="1200" w:firstLineChars="5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第三者责任险保险金额：</w:t>
      </w:r>
      <w:r>
        <w:rPr>
          <w:rFonts w:hint="eastAsia" w:ascii="宋体" w:hAnsi="宋体" w:eastAsia="宋体" w:cs="宋体"/>
          <w:color w:val="auto"/>
          <w:sz w:val="24"/>
          <w:szCs w:val="21"/>
          <w:highlight w:val="none"/>
          <w:u w:val="single"/>
        </w:rPr>
        <w:t>应不低于签约合同总价</w:t>
      </w:r>
      <w:r>
        <w:rPr>
          <w:rFonts w:hint="eastAsia" w:ascii="宋体" w:hAnsi="宋体" w:eastAsia="宋体" w:cs="宋体"/>
          <w:color w:val="auto"/>
          <w:sz w:val="24"/>
          <w:highlight w:val="none"/>
        </w:rPr>
        <w:t>。</w:t>
      </w:r>
    </w:p>
    <w:p w14:paraId="01EB4A43">
      <w:pPr>
        <w:spacing w:line="360" w:lineRule="auto"/>
        <w:jc w:val="left"/>
        <w:rPr>
          <w:rFonts w:hint="eastAsia" w:ascii="宋体" w:hAnsi="宋体" w:eastAsia="宋体" w:cs="宋体"/>
          <w:b/>
          <w:bCs/>
          <w:color w:val="auto"/>
          <w:sz w:val="28"/>
          <w:szCs w:val="28"/>
          <w:highlight w:val="none"/>
        </w:rPr>
      </w:pPr>
      <w:bookmarkStart w:id="1032" w:name="_Toc401765747"/>
      <w:bookmarkStart w:id="1033" w:name="_Toc493159593"/>
      <w:bookmarkStart w:id="1034" w:name="_Toc480796112"/>
      <w:bookmarkStart w:id="1035" w:name="_Toc313525895"/>
      <w:bookmarkStart w:id="1036" w:name="_Toc476582143"/>
      <w:bookmarkStart w:id="1037" w:name="_Toc302546018"/>
      <w:bookmarkStart w:id="1038" w:name="_Toc492380818"/>
      <w:bookmarkStart w:id="1039" w:name="_Toc492904619"/>
      <w:bookmarkStart w:id="1040" w:name="_Toc480795853"/>
      <w:r>
        <w:rPr>
          <w:rFonts w:hint="eastAsia" w:ascii="宋体" w:hAnsi="宋体" w:eastAsia="宋体" w:cs="宋体"/>
          <w:b/>
          <w:bCs/>
          <w:color w:val="auto"/>
          <w:sz w:val="28"/>
          <w:szCs w:val="28"/>
          <w:highlight w:val="none"/>
        </w:rPr>
        <w:t>20.5 其他保险</w:t>
      </w:r>
      <w:bookmarkEnd w:id="1032"/>
      <w:bookmarkEnd w:id="1033"/>
      <w:bookmarkEnd w:id="1034"/>
      <w:bookmarkEnd w:id="1035"/>
      <w:bookmarkEnd w:id="1036"/>
      <w:bookmarkEnd w:id="1037"/>
      <w:bookmarkEnd w:id="1038"/>
      <w:bookmarkEnd w:id="1039"/>
      <w:bookmarkEnd w:id="1040"/>
    </w:p>
    <w:p w14:paraId="7827DCF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需要投保的其他内容：承包人除应为其施工设备、进场的材料和工程设备等办理保险外，还应按《中华人民共和国安全生产法》相关要求投保“安全生产责任保险”（简称：安责险）。</w:t>
      </w:r>
    </w:p>
    <w:p w14:paraId="2281AB2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保险金额、保险费率和保险期限：按照保单中明确的内容，保险期限不能低于合同履行期限。</w:t>
      </w:r>
    </w:p>
    <w:p w14:paraId="0E70EE98">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20.6 对各项保险的一般要求</w:t>
      </w:r>
    </w:p>
    <w:p w14:paraId="07805B8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20.6.1 保险凭证</w:t>
      </w:r>
    </w:p>
    <w:p w14:paraId="53EA99F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承包人提交保险凭证的期限：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u w:val="single"/>
        </w:rPr>
        <w:t xml:space="preserve">承包人应在接到开工通知后28天内提交 </w:t>
      </w:r>
      <w:r>
        <w:rPr>
          <w:rFonts w:hint="eastAsia" w:ascii="宋体" w:hAnsi="宋体" w:eastAsia="宋体" w:cs="宋体"/>
          <w:color w:val="auto"/>
          <w:sz w:val="24"/>
          <w:highlight w:val="none"/>
        </w:rPr>
        <w:t>。</w:t>
      </w:r>
    </w:p>
    <w:p w14:paraId="57D89C4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保险条件：</w:t>
      </w:r>
      <w:r>
        <w:rPr>
          <w:rFonts w:hint="eastAsia" w:ascii="宋体" w:hAnsi="宋体" w:eastAsia="宋体" w:cs="宋体"/>
          <w:color w:val="auto"/>
          <w:sz w:val="24"/>
          <w:highlight w:val="none"/>
          <w:u w:val="single"/>
        </w:rPr>
        <w:t>符合保险单的要求</w:t>
      </w:r>
      <w:r>
        <w:rPr>
          <w:rFonts w:hint="eastAsia" w:ascii="宋体" w:hAnsi="宋体" w:eastAsia="宋体" w:cs="宋体"/>
          <w:color w:val="auto"/>
          <w:sz w:val="24"/>
          <w:highlight w:val="none"/>
        </w:rPr>
        <w:t>。</w:t>
      </w:r>
    </w:p>
    <w:p w14:paraId="4FAD1EF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20.6.4 保险金不足的补偿</w:t>
      </w:r>
    </w:p>
    <w:p w14:paraId="536C129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承包人负责补偿的范围与金额：</w:t>
      </w:r>
      <w:r>
        <w:rPr>
          <w:rFonts w:hint="eastAsia" w:ascii="宋体" w:hAnsi="宋体" w:eastAsia="宋体" w:cs="宋体"/>
          <w:color w:val="auto"/>
          <w:sz w:val="24"/>
          <w:highlight w:val="none"/>
          <w:u w:val="single"/>
        </w:rPr>
        <w:t>因承包人原因在施工中造成任意第三方人身及财产损害的，承包人应承担全部的责任并赔偿、补偿相应的损失。</w:t>
      </w:r>
    </w:p>
    <w:p w14:paraId="7C4EFED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发包人负责补偿的范围与金额：</w:t>
      </w:r>
      <w:r>
        <w:rPr>
          <w:rFonts w:hint="eastAsia" w:ascii="宋体" w:hAnsi="宋体" w:eastAsia="宋体" w:cs="宋体"/>
          <w:color w:val="auto"/>
          <w:sz w:val="24"/>
          <w:highlight w:val="none"/>
          <w:u w:val="single"/>
        </w:rPr>
        <w:t>双方协商确定</w:t>
      </w:r>
      <w:r>
        <w:rPr>
          <w:rFonts w:hint="eastAsia" w:ascii="宋体" w:hAnsi="宋体" w:eastAsia="宋体" w:cs="宋体"/>
          <w:color w:val="auto"/>
          <w:sz w:val="24"/>
          <w:highlight w:val="none"/>
        </w:rPr>
        <w:t>。</w:t>
      </w:r>
    </w:p>
    <w:p w14:paraId="16434241">
      <w:pPr>
        <w:spacing w:line="360" w:lineRule="auto"/>
        <w:jc w:val="left"/>
        <w:outlineLvl w:val="2"/>
        <w:rPr>
          <w:rFonts w:hint="eastAsia" w:ascii="宋体" w:hAnsi="宋体" w:eastAsia="宋体" w:cs="宋体"/>
          <w:b/>
          <w:bCs/>
          <w:color w:val="auto"/>
          <w:sz w:val="28"/>
          <w:szCs w:val="28"/>
          <w:highlight w:val="none"/>
        </w:rPr>
      </w:pPr>
      <w:bookmarkStart w:id="1041" w:name="_Toc96899366"/>
      <w:bookmarkStart w:id="1042" w:name="_Toc26785"/>
      <w:bookmarkStart w:id="1043" w:name="_Toc104740355"/>
      <w:bookmarkStart w:id="1044" w:name="_Toc491074045"/>
      <w:bookmarkStart w:id="1045" w:name="_Toc491074046"/>
      <w:r>
        <w:rPr>
          <w:rFonts w:hint="eastAsia" w:ascii="宋体" w:hAnsi="宋体" w:eastAsia="宋体" w:cs="宋体"/>
          <w:b/>
          <w:bCs/>
          <w:color w:val="auto"/>
          <w:sz w:val="28"/>
          <w:szCs w:val="28"/>
          <w:highlight w:val="none"/>
        </w:rPr>
        <w:t>21.不可抗力</w:t>
      </w:r>
      <w:bookmarkEnd w:id="1041"/>
      <w:bookmarkEnd w:id="1042"/>
      <w:bookmarkEnd w:id="1043"/>
      <w:bookmarkEnd w:id="1044"/>
    </w:p>
    <w:p w14:paraId="7C652736">
      <w:pPr>
        <w:spacing w:line="360" w:lineRule="auto"/>
        <w:jc w:val="left"/>
        <w:rPr>
          <w:rFonts w:hint="eastAsia" w:ascii="宋体" w:hAnsi="宋体" w:eastAsia="宋体" w:cs="宋体"/>
          <w:b/>
          <w:bCs/>
          <w:color w:val="auto"/>
          <w:sz w:val="28"/>
          <w:szCs w:val="28"/>
          <w:highlight w:val="none"/>
        </w:rPr>
      </w:pPr>
      <w:bookmarkStart w:id="1046" w:name="_Toc492380821"/>
      <w:bookmarkStart w:id="1047" w:name="_Toc493159596"/>
      <w:bookmarkStart w:id="1048" w:name="_Toc492904622"/>
      <w:r>
        <w:rPr>
          <w:rFonts w:hint="eastAsia" w:ascii="宋体" w:hAnsi="宋体" w:eastAsia="宋体" w:cs="宋体"/>
          <w:b/>
          <w:bCs/>
          <w:color w:val="auto"/>
          <w:sz w:val="28"/>
          <w:szCs w:val="28"/>
          <w:highlight w:val="none"/>
        </w:rPr>
        <w:t>21.1不可抗力的确认</w:t>
      </w:r>
      <w:bookmarkEnd w:id="1046"/>
      <w:bookmarkEnd w:id="1047"/>
      <w:bookmarkEnd w:id="1048"/>
    </w:p>
    <w:p w14:paraId="450A0884">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21.1.1 不可抗力的其他情形：</w:t>
      </w:r>
      <w:r>
        <w:rPr>
          <w:rFonts w:hint="eastAsia" w:ascii="宋体" w:hAnsi="宋体" w:eastAsia="宋体" w:cs="宋体"/>
          <w:color w:val="auto"/>
          <w:sz w:val="24"/>
          <w:szCs w:val="21"/>
          <w:highlight w:val="none"/>
          <w:u w:val="single"/>
        </w:rPr>
        <w:t>因空气重污染、重要节假日、会议等的停工</w:t>
      </w:r>
      <w:r>
        <w:rPr>
          <w:rFonts w:hint="eastAsia" w:ascii="宋体" w:hAnsi="宋体" w:eastAsia="宋体" w:cs="宋体"/>
          <w:color w:val="auto"/>
          <w:sz w:val="24"/>
          <w:szCs w:val="21"/>
          <w:highlight w:val="none"/>
        </w:rPr>
        <w:t>。</w:t>
      </w:r>
    </w:p>
    <w:p w14:paraId="36409EDE">
      <w:pPr>
        <w:spacing w:line="360" w:lineRule="auto"/>
        <w:jc w:val="left"/>
        <w:outlineLvl w:val="2"/>
        <w:rPr>
          <w:rFonts w:hint="eastAsia" w:ascii="宋体" w:hAnsi="宋体" w:eastAsia="宋体" w:cs="宋体"/>
          <w:b/>
          <w:bCs/>
          <w:color w:val="auto"/>
          <w:sz w:val="28"/>
          <w:szCs w:val="28"/>
          <w:highlight w:val="none"/>
        </w:rPr>
      </w:pPr>
      <w:bookmarkStart w:id="1049" w:name="_Toc104740356"/>
      <w:bookmarkStart w:id="1050" w:name="_Toc83798293"/>
      <w:bookmarkStart w:id="1051" w:name="_Toc26930"/>
      <w:bookmarkStart w:id="1052" w:name="_Toc96899367"/>
      <w:bookmarkStart w:id="1053" w:name="_Toc85185248"/>
      <w:bookmarkStart w:id="1054" w:name="_Toc80630384"/>
      <w:r>
        <w:rPr>
          <w:rFonts w:hint="eastAsia" w:ascii="宋体" w:hAnsi="宋体" w:eastAsia="宋体" w:cs="宋体"/>
          <w:b/>
          <w:bCs/>
          <w:color w:val="auto"/>
          <w:sz w:val="28"/>
          <w:szCs w:val="28"/>
          <w:highlight w:val="none"/>
        </w:rPr>
        <w:t>22.违约</w:t>
      </w:r>
      <w:bookmarkEnd w:id="1049"/>
      <w:bookmarkEnd w:id="1050"/>
      <w:bookmarkEnd w:id="1051"/>
      <w:bookmarkEnd w:id="1052"/>
      <w:bookmarkEnd w:id="1053"/>
      <w:bookmarkEnd w:id="1054"/>
    </w:p>
    <w:p w14:paraId="53699A86">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22.1承包人违约</w:t>
      </w:r>
    </w:p>
    <w:p w14:paraId="798259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在通用合同条款基础上增加以下内容：</w:t>
      </w:r>
    </w:p>
    <w:p w14:paraId="2FB751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未经发包人书面同意并加盖公章，承包人不得将本工程转包、分包或部分转包给任意第三方，否则发包人有权单方面解除本合同。承包人应赔偿发包人因此遭受的全部损失，同时应向发包人支付相当于合同总价款 10%的违约金。</w:t>
      </w:r>
    </w:p>
    <w:p w14:paraId="5A2E2D8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由于承包人原因造成工期延误，承包人应按照合同约定逾期违约金计算方法和最高限额支付逾期违约金。承包人支付逾期违约金，不免除承包人完成工程及修补缺陷的义务。因承包人原因造成本工程项目的阶段性工期逾期10天或造成总工期逾期15 天及以上时，发包人有权单方面解除本合同，承包人应向发包人支付相当于合同总价款 10%的违约金。承包人还应当赔偿由此给发包人因此造成的全部损失。</w:t>
      </w:r>
    </w:p>
    <w:p w14:paraId="055FF83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指派的负责人或技术人员未实际参与工程工作或者未经发包人书面同意并加盖公章，承包人擅自更换项目负责经理的，发包人有权单方面解除本合同。承包人应赔偿发包人合同总价款10%的金额作为违约金，同时还应当赔偿发包人因此造成的全部损失。</w:t>
      </w:r>
    </w:p>
    <w:p w14:paraId="63F53E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施工工作不满足合同约定的质量标准，应在发包人要求的期限内负责整改，为此导致交付迟延的，除按照前款规定承担违约责任。还应承担修复、修理、继续施工或退回重做等方式进行处理，直至工程达到约定的质量标准，经整改后，工程质量依然不合格的，发包人有权单方面解除本合同，承包人应按合同总价款的10%向发包人支付违约金，同时还应当赔偿发包人因此造成的全部损失。</w:t>
      </w:r>
    </w:p>
    <w:p w14:paraId="796149A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（5）承包人不得超越“合同”约定，以发包人名义从事其他活动，否则发包人有权单方面解除本合同，承包人应按合同总价款的10%向发包人支付违约金，同时还应当赔偿发包人因此造成的全部损失。</w:t>
      </w:r>
    </w:p>
    <w:p w14:paraId="48301DC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（6）承包人违反本合同约定的保密义务的，发包人有权单方面解除本合同并按照合同约定总价款的10%向承包人收取违约金，同时还应当赔偿发包人因此造成的全部损失。</w:t>
      </w:r>
    </w:p>
    <w:p w14:paraId="787DF4B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因承包人提供的工作成果侵犯第三方合法权益（包括但不限于知识产权在内的一切权利），发包人有权单方面解除本合同并按照合同约定总价款的10%向承包人收取违约金，同时承包人还应当赔偿发包人因此造成的全部损失。</w:t>
      </w:r>
    </w:p>
    <w:p w14:paraId="10ED07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承包人违反本合同约定，使用或处分因履行本合同所形成的技术及其相关知识产权的，发包人有权单方面解除本协议，承包人应按合同总价款的10%向发包人支付违约金，同时还应当赔偿发包人因此造成的全部损失。</w:t>
      </w:r>
    </w:p>
    <w:p w14:paraId="01AA252E">
      <w:pPr>
        <w:spacing w:line="360" w:lineRule="auto"/>
        <w:ind w:firstLine="480" w:firstLineChars="200"/>
        <w:rPr>
          <w:rFonts w:hint="eastAsia" w:ascii="宋体" w:hAnsi="宋体" w:eastAsia="宋体" w:cs="宋体"/>
          <w:color w:val="auto"/>
          <w:sz w:val="24"/>
          <w:highlight w:val="none"/>
        </w:rPr>
      </w:pPr>
      <w:bookmarkStart w:id="1055" w:name="_Hlk95397143"/>
      <w:bookmarkStart w:id="1056" w:name="_Hlk95397222"/>
      <w:r>
        <w:rPr>
          <w:rFonts w:hint="eastAsia" w:ascii="宋体" w:hAnsi="宋体" w:eastAsia="宋体" w:cs="宋体"/>
          <w:color w:val="auto"/>
          <w:sz w:val="24"/>
          <w:highlight w:val="none"/>
        </w:rPr>
        <w:t>（9）承包人因未与其聘用的员工签订劳动合同或未按期支付员工工资、交纳社会保险等原因或未支付农民工工资及保险费用引发劳资纠纷事件影响发包人工作和本工程项目正常进行的，发包人有权单方面解除本合同，承包人应当赔偿发包人因此遭受的其他损失，同时应向发包人支付相当于全部损失10%的违约金。</w:t>
      </w:r>
      <w:bookmarkEnd w:id="1055"/>
    </w:p>
    <w:p w14:paraId="7998EB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（10）承包人未按规定使用非道路移动机械，应当向发包人支付合同总价款10%的违约金，并赔偿发包人因此造成的全部损失。</w:t>
      </w:r>
    </w:p>
    <w:p w14:paraId="21A6B5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（11）承包人未按《北京市建筑垃圾处置管理规定》及本合同的约定，在符合要求的垃圾处置场所进行垃圾处置，应当向发包人支付合同总价款10%的违约金，并赔偿发包人因此造成的全部损失。</w:t>
      </w:r>
    </w:p>
    <w:p w14:paraId="240B33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（12）承包人未按空气重污染应急预案要求，落实施工现场扬尘控制措施，受到监管部门处罚的，应当向发包人支付合同总价款10%的违约金，并赔偿发包人因此造成的全部损失。</w:t>
      </w:r>
    </w:p>
    <w:p w14:paraId="0EE2818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承包人未按要求办理工伤保险和安责险的，发包人有权扣除合同价款中相应费用作为违约金。发包人扣除违约金并不减免承包人保险义务，因承包人未办理保险造成发包人损失的，承包人应当赔偿发包人全部损失，同时向发包人支付合同价款10%作为违约金。</w:t>
      </w:r>
      <w:bookmarkEnd w:id="1056"/>
    </w:p>
    <w:p w14:paraId="3DC21D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因承包人原因在施工中造成任意第三方人身及财产损害的，承包人应承担全部的责任并赔偿相应的损失，同时发包人有权单方面解除本合同，承包人应当向发包人支付合同总价款10%的违约金，并赔偿发包人因此造成的全部损失。</w:t>
      </w:r>
    </w:p>
    <w:p w14:paraId="162CE07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发包人有权立即单方面解除本合同，承包人应按照合同总价款的10%向发包人支付违约金，同时还应当赔偿发包人因此造成的全部损失。</w:t>
      </w:r>
    </w:p>
    <w:p w14:paraId="3FDFBCB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（16）除本条（1）—（15）项约定的违约责任外，承包人未按合同第4.1.10款约定的其他事项履行义务，给发包人造成损失的，承包人应赔偿发包人因此造成的全部损失，同时向发包人支付合同价款2%的违约金。</w:t>
      </w:r>
    </w:p>
    <w:p w14:paraId="16523CC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（17）合同生效后，承包人不得无故单独终止或解除合同，否则承包人应双倍返还发包人已支付的合同款，同时还应当赔偿发包人因此造成的全部损失。</w:t>
      </w:r>
    </w:p>
    <w:p w14:paraId="2603EF5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（18）本合同约定的赔偿金、补偿金、违约金可从发包人应付工程款中直接扣除。</w:t>
      </w:r>
    </w:p>
    <w:p w14:paraId="4D7D77A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违约方应当向守约方承担的上述赔偿责任以及守约方可能代为向第三方先行赔付后向违约方进行追偿的范围，均包括但不限于：给守约方造成的直接经济损失及预期利益、损害赔偿金、违约金、罚金、守约方为解决纠纷发生的各项费用（包括但不限于守约方为此或督促违约方履行相关义务而支付的诉讼费/仲裁费、公证费、鉴定费、保全费、担保费、差旅费、调查费、律师费（以北京市律师行业收费标准为限计算律师费）、交通费、被第三方追责产生的一切费用）。</w:t>
      </w:r>
    </w:p>
    <w:p w14:paraId="406515CF">
      <w:pPr>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22.4 合同解除</w:t>
      </w:r>
    </w:p>
    <w:p w14:paraId="2AABF0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22.4.1 双方协商一致的，可以解除本合同。</w:t>
      </w:r>
    </w:p>
    <w:p w14:paraId="04839E8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22.4.2 因不可抗力导致合同目的无法实现的，可以解除本合同。</w:t>
      </w:r>
    </w:p>
    <w:p w14:paraId="358F5F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22.4.3 发包人有权在下列情形下单方面解除本合同：</w:t>
      </w:r>
    </w:p>
    <w:p w14:paraId="73B274A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（1）承包人丧失履约能力或明确表示不能继续完成施工作业的；</w:t>
      </w:r>
    </w:p>
    <w:p w14:paraId="3AAD546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（2）由于承包人施工工作不满足合同约定的质量标准，发包人提出整改，经整改后不合格的；</w:t>
      </w:r>
    </w:p>
    <w:p w14:paraId="7C580E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（3）未经发包人书面同意并加盖公章，因承包人原因造成本工程项目的阶段性工期逾期 10 天或造成总工期逾期 15 天及以上的；</w:t>
      </w:r>
    </w:p>
    <w:p w14:paraId="0EB25E5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（4）未经发包人书面同意并加盖公章，承包人将本工程转包、分包或部分转包给任意第三方的；</w:t>
      </w:r>
    </w:p>
    <w:p w14:paraId="5167AD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（5）承包人超越“合同”约定，以发包人名义从事其他活动的；</w:t>
      </w:r>
    </w:p>
    <w:p w14:paraId="770035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（6）承包人指派的负责人或技术人员未实际参与本合同的施工工程或者未经发包人书面同意并加盖公章，承包人擅自更换本合同项目经理的；</w:t>
      </w:r>
    </w:p>
    <w:p w14:paraId="5E6BC24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（7）承包人违反本合同约定的保密义务，包括但不限于承包人未妥善保管发包人提供的背景材料、技术资料、数据等，有复印、扫描等保存发包人资料行为，或者有侵害发包人商业秘密、知识产权等情形的；</w:t>
      </w:r>
    </w:p>
    <w:p w14:paraId="201E04C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（8）承包人提供的工作成果侵犯第三方合法权益（包括但不限于知识产权在内的一切权利）；</w:t>
      </w:r>
    </w:p>
    <w:p w14:paraId="798E65D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（9）承包人违反本合同约定，使用或处分因履行本合同所形成的相关知识产权的；</w:t>
      </w:r>
    </w:p>
    <w:p w14:paraId="6CB28B5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（10）承包人未与其工作人员签订劳动合同或未按时支付工资、缴纳社会保险等引发劳资纠纷等事件影响发包人工作和工程项目正常进行的；</w:t>
      </w:r>
    </w:p>
    <w:p w14:paraId="11D5B8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（11）在本合同履行过程中有腐败和欺诈行为的。“腐败行为”和“欺诈行为”定义如下：</w:t>
      </w:r>
    </w:p>
    <w:p w14:paraId="7BB055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“腐败行为”是指提供/给予/接受或索取任何有价值的东西来影响发包人在合同签订、履行过程中的行为。</w:t>
      </w:r>
    </w:p>
    <w:p w14:paraId="7EDA8F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“欺诈行为”是指为了影响合同签订、履行过程，以谎报事实的方法，损害发包人的利益的行为。</w:t>
      </w:r>
    </w:p>
    <w:p w14:paraId="4053BC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（12）因承包人原因在施工中造成任意第三方人身及财产损害的；</w:t>
      </w:r>
    </w:p>
    <w:p w14:paraId="49C63CD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w:t>
      </w:r>
    </w:p>
    <w:p w14:paraId="78EB42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发包人单独行使解除本合同权利时，仅需单方面向本合同合同协议书中约定的承包人通讯地址发出书面解除合同通知，即通知内容到达本合同附件一合同协议书中约定的承包人通讯地址，本合同即解除。本合同合同协议书中约定的通讯地址为双方认可的通讯地址。任何一方变更通讯地址，应自变更之日起3日内，书面将变更后的地址通知另一方。若变更方不履行上述通知义务的，应对此造成的一切后果承担法律责任。上述双方确认的通讯地址，仲裁机构、人民法院可直接邮寄送达相关文件及司法文书。</w:t>
      </w:r>
    </w:p>
    <w:p w14:paraId="7FE16D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发包人、承包人双方因履行本合同而相互发出或提供的所有通知、文件、资料等，均应按照本合同合同协议书中所列明的通讯地址、联系电话、传真号码、电子邮件等通知方式进行送达。通过邮寄方式的，挂号寄出或者投邮当日视为送达，被退回的以退回之日视为送达；通过快递方式的，以签收之日视为送达，拒收或无人接收的以快递员写明的拒收或无人接收情况之日视为送达；通过传真或电子邮件方式的，以发出之日视为送达。</w:t>
      </w:r>
    </w:p>
    <w:p w14:paraId="56074B1B">
      <w:pPr>
        <w:spacing w:line="360" w:lineRule="auto"/>
        <w:jc w:val="left"/>
        <w:outlineLvl w:val="2"/>
        <w:rPr>
          <w:rFonts w:hint="eastAsia" w:ascii="宋体" w:hAnsi="宋体" w:eastAsia="宋体" w:cs="宋体"/>
          <w:b/>
          <w:bCs/>
          <w:color w:val="auto"/>
          <w:sz w:val="28"/>
          <w:szCs w:val="28"/>
          <w:highlight w:val="none"/>
        </w:rPr>
      </w:pPr>
      <w:bookmarkStart w:id="1057" w:name="_Toc96899368"/>
      <w:bookmarkStart w:id="1058" w:name="_Toc104740357"/>
      <w:bookmarkStart w:id="1059" w:name="_Toc16216"/>
      <w:r>
        <w:rPr>
          <w:rFonts w:hint="eastAsia" w:ascii="宋体" w:hAnsi="宋体" w:eastAsia="宋体" w:cs="宋体"/>
          <w:b/>
          <w:bCs/>
          <w:color w:val="auto"/>
          <w:sz w:val="28"/>
          <w:szCs w:val="28"/>
          <w:highlight w:val="none"/>
        </w:rPr>
        <w:t>24.争议</w:t>
      </w:r>
      <w:bookmarkEnd w:id="1045"/>
      <w:bookmarkEnd w:id="1057"/>
      <w:bookmarkEnd w:id="1058"/>
      <w:bookmarkEnd w:id="1059"/>
    </w:p>
    <w:p w14:paraId="4B19727C">
      <w:pPr>
        <w:spacing w:line="360" w:lineRule="auto"/>
        <w:jc w:val="left"/>
        <w:rPr>
          <w:rFonts w:hint="eastAsia" w:ascii="宋体" w:hAnsi="宋体" w:eastAsia="宋体" w:cs="宋体"/>
          <w:b/>
          <w:bCs/>
          <w:color w:val="auto"/>
          <w:sz w:val="28"/>
          <w:szCs w:val="28"/>
          <w:highlight w:val="none"/>
        </w:rPr>
      </w:pPr>
      <w:bookmarkStart w:id="1060" w:name="_Toc492380823"/>
      <w:bookmarkStart w:id="1061" w:name="_Toc492904624"/>
      <w:bookmarkStart w:id="1062" w:name="_Toc493159598"/>
      <w:r>
        <w:rPr>
          <w:rFonts w:hint="eastAsia" w:ascii="宋体" w:hAnsi="宋体" w:eastAsia="宋体" w:cs="宋体"/>
          <w:b/>
          <w:bCs/>
          <w:color w:val="auto"/>
          <w:sz w:val="28"/>
          <w:szCs w:val="28"/>
          <w:highlight w:val="none"/>
        </w:rPr>
        <w:t>24.1 争议的解决</w:t>
      </w:r>
      <w:bookmarkEnd w:id="1060"/>
      <w:bookmarkEnd w:id="1061"/>
      <w:bookmarkEnd w:id="1062"/>
    </w:p>
    <w:p w14:paraId="4762083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合同当事人友好协商解决不成、不愿提请争议评审或不接受争议评审组意见的，约定的合同争议解决方式：</w:t>
      </w:r>
      <w:r>
        <w:rPr>
          <w:rFonts w:hint="eastAsia" w:ascii="宋体" w:hAnsi="宋体" w:eastAsia="宋体" w:cs="宋体"/>
          <w:color w:val="auto"/>
          <w:sz w:val="24"/>
          <w:highlight w:val="none"/>
          <w:lang w:val="zh-CN"/>
        </w:rPr>
        <w:t>依法向</w:t>
      </w:r>
      <w:r>
        <w:rPr>
          <w:rFonts w:hint="eastAsia" w:ascii="宋体" w:hAnsi="宋体" w:eastAsia="宋体" w:cs="宋体"/>
          <w:color w:val="auto"/>
          <w:sz w:val="24"/>
          <w:highlight w:val="none"/>
          <w:u w:val="single"/>
          <w:lang w:val="zh-CN"/>
        </w:rPr>
        <w:t xml:space="preserve">  </w:t>
      </w:r>
      <w:r>
        <w:rPr>
          <w:rFonts w:hint="eastAsia" w:ascii="宋体" w:hAnsi="宋体" w:eastAsia="宋体" w:cs="宋体"/>
          <w:b/>
          <w:color w:val="auto"/>
          <w:sz w:val="24"/>
          <w:highlight w:val="none"/>
          <w:u w:val="single"/>
          <w:lang w:val="zh-CN"/>
        </w:rPr>
        <w:t>北京市怀柔区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人民法院提起诉讼</w:t>
      </w:r>
      <w:r>
        <w:rPr>
          <w:rFonts w:hint="eastAsia" w:ascii="宋体" w:hAnsi="宋体" w:eastAsia="宋体" w:cs="宋体"/>
          <w:color w:val="auto"/>
          <w:sz w:val="24"/>
          <w:highlight w:val="none"/>
        </w:rPr>
        <w:t>。</w:t>
      </w:r>
    </w:p>
    <w:p w14:paraId="4BFB8C64">
      <w:pPr>
        <w:spacing w:line="360" w:lineRule="auto"/>
        <w:jc w:val="left"/>
        <w:outlineLvl w:val="2"/>
        <w:rPr>
          <w:rFonts w:hint="eastAsia" w:ascii="宋体" w:hAnsi="宋体" w:eastAsia="宋体" w:cs="宋体"/>
          <w:b/>
          <w:bCs/>
          <w:color w:val="auto"/>
          <w:sz w:val="28"/>
          <w:szCs w:val="28"/>
          <w:highlight w:val="none"/>
        </w:rPr>
      </w:pPr>
      <w:bookmarkStart w:id="1063" w:name="_Toc96899369"/>
      <w:bookmarkStart w:id="1064" w:name="_Toc104740358"/>
      <w:bookmarkStart w:id="1065" w:name="_Toc2823"/>
      <w:r>
        <w:rPr>
          <w:rFonts w:hint="eastAsia" w:ascii="宋体" w:hAnsi="宋体" w:eastAsia="宋体" w:cs="宋体"/>
          <w:b/>
          <w:bCs/>
          <w:color w:val="auto"/>
          <w:sz w:val="28"/>
          <w:szCs w:val="28"/>
          <w:highlight w:val="none"/>
        </w:rPr>
        <w:t>25.其他</w:t>
      </w:r>
      <w:bookmarkEnd w:id="1063"/>
      <w:bookmarkEnd w:id="1064"/>
      <w:bookmarkEnd w:id="1065"/>
    </w:p>
    <w:p w14:paraId="01F5B67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25.1合同双方应认真落实北京市人民政府关于《北京市空气重污染应急预案》（京政发[2018]24号）的要求，履行各自责任。</w:t>
      </w:r>
    </w:p>
    <w:p w14:paraId="7CD17E5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25.2发包人对施工工地扬尘污染控制工作负总责，要及时支付安全防护、文明施工措施费用，并组织和督促承包人、监理人落实扬尘控制措施。及时向主管部门汇总上报管控的动态信息和数据。</w:t>
      </w:r>
    </w:p>
    <w:p w14:paraId="09BBF0F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25.3承包人对施工现场扬尘污染控制负主体责任，应当认真落实施工现场扬尘控制措施，保证安全防护、绿色文明施工措施费用的投入。</w:t>
      </w:r>
    </w:p>
    <w:p w14:paraId="5B7268A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25.4监理人对施工现场扬尘污染控制负监理责任，应当督促施工单位在各个施工环节和施工现场严格执行各项扬尘控制措施。</w:t>
      </w:r>
    </w:p>
    <w:p w14:paraId="3283E01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25.5具体空气重污染预警分级及措施要求详见《北京市空气重污染应急水务系统分预案（2018年修订）》（京水务建管[2018]248号）。</w:t>
      </w:r>
      <w:bookmarkEnd w:id="881"/>
    </w:p>
    <w:p w14:paraId="1E6AEA8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25.6疫情防控要求：承包人需遵守北京市和本工程属地政府对新型冠状病毒疫情防护防控的相关要求。</w:t>
      </w:r>
    </w:p>
    <w:p w14:paraId="73E7FD1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25.7合同中所有标准如有最新标准则按最新标准执行。</w:t>
      </w:r>
    </w:p>
    <w:p w14:paraId="73B4F5EA">
      <w:pPr>
        <w:adjustRightInd w:val="0"/>
        <w:snapToGrid w:val="0"/>
        <w:spacing w:line="360" w:lineRule="auto"/>
        <w:ind w:firstLine="480" w:firstLineChars="200"/>
        <w:rPr>
          <w:rFonts w:hint="eastAsia" w:ascii="宋体" w:hAnsi="宋体" w:eastAsia="宋体" w:cs="宋体"/>
          <w:color w:val="auto"/>
          <w:sz w:val="24"/>
          <w:highlight w:val="none"/>
        </w:rPr>
      </w:pPr>
      <w:bookmarkStart w:id="1066" w:name="_Hlk108098092"/>
      <w:r>
        <w:rPr>
          <w:rFonts w:hint="eastAsia" w:ascii="宋体" w:hAnsi="宋体" w:eastAsia="宋体" w:cs="宋体"/>
          <w:color w:val="auto"/>
          <w:sz w:val="24"/>
          <w:highlight w:val="none"/>
        </w:rPr>
        <w:t>25.8为了规范农民工工资支付行为，保障农民工按时足额获得工资，根据《保障农民工工资支付条例》及有关法律规定，增加如下条款：</w:t>
      </w:r>
    </w:p>
    <w:p w14:paraId="1490325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人工费支付周期</w:t>
      </w:r>
    </w:p>
    <w:p w14:paraId="74E5B63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承包人按月计量核算申请人工费，支付周期原则上不超过一个月，工程项目建设过程中因不可抗力等情况出现停工且无需支付人工工资的，可暂停申请拨付人工费。</w:t>
      </w:r>
    </w:p>
    <w:p w14:paraId="47FBA88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人工费支付方式</w:t>
      </w:r>
    </w:p>
    <w:p w14:paraId="653108C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①发包人支付人工费与工程款实行分账管理，承包人在支付时申请人工费，申请原则为当期计量支付项目中包含的人工费，经监理审核无误后，由发包人将人工费直接支付到农民工工资专用账户中。</w:t>
      </w:r>
    </w:p>
    <w:p w14:paraId="48533ED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 如当期计量支付项目中包含的人工费不足以支付当期农民工工资的，应按当期实际发生的人工费经监理审核后，由发包人通过银行代发支付到农民工工资专用账户中。</w:t>
      </w:r>
    </w:p>
    <w:p w14:paraId="25EAC15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农民工支付资料备案</w:t>
      </w:r>
    </w:p>
    <w:p w14:paraId="5FA4E75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承包人每月将农民工工资支付的资料报备监理备案。</w:t>
      </w:r>
    </w:p>
    <w:p w14:paraId="57E84AE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 向发包人报告农民工工资用户名、开户银行、账号。</w:t>
      </w:r>
    </w:p>
    <w:bookmarkEnd w:id="877"/>
    <w:bookmarkEnd w:id="1066"/>
    <w:p w14:paraId="4EFD1624">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2DA7B379">
      <w:pPr>
        <w:pStyle w:val="2"/>
        <w:rPr>
          <w:rFonts w:hint="eastAsia" w:ascii="宋体" w:hAnsi="宋体" w:eastAsia="宋体" w:cs="宋体"/>
          <w:color w:val="auto"/>
          <w:highlight w:val="none"/>
        </w:rPr>
      </w:pPr>
    </w:p>
    <w:p w14:paraId="455F44B8">
      <w:pPr>
        <w:keepNext/>
        <w:keepLines/>
        <w:adjustRightInd w:val="0"/>
        <w:snapToGrid w:val="0"/>
        <w:spacing w:line="360" w:lineRule="auto"/>
        <w:jc w:val="center"/>
        <w:outlineLvl w:val="1"/>
        <w:rPr>
          <w:rFonts w:hint="eastAsia" w:ascii="宋体" w:hAnsi="宋体" w:eastAsia="宋体" w:cs="宋体"/>
          <w:b/>
          <w:bCs/>
          <w:color w:val="auto"/>
          <w:sz w:val="32"/>
          <w:szCs w:val="32"/>
          <w:highlight w:val="none"/>
        </w:rPr>
      </w:pPr>
      <w:bookmarkStart w:id="1067" w:name="_Toc31874"/>
      <w:bookmarkStart w:id="1068" w:name="_Toc93482636"/>
      <w:bookmarkStart w:id="1069" w:name="_Toc100756869"/>
      <w:bookmarkStart w:id="1070" w:name="_Toc21629"/>
      <w:bookmarkStart w:id="1071" w:name="_Toc104740359"/>
      <w:bookmarkStart w:id="1072" w:name="_Toc96899370"/>
      <w:r>
        <w:rPr>
          <w:rFonts w:hint="eastAsia" w:ascii="宋体" w:hAnsi="宋体" w:eastAsia="宋体" w:cs="宋体"/>
          <w:b/>
          <w:bCs/>
          <w:color w:val="auto"/>
          <w:sz w:val="32"/>
          <w:szCs w:val="32"/>
          <w:highlight w:val="none"/>
        </w:rPr>
        <w:t>第3节  合同协议书及附件格式</w:t>
      </w:r>
      <w:bookmarkEnd w:id="1067"/>
      <w:bookmarkEnd w:id="1068"/>
      <w:bookmarkEnd w:id="1069"/>
      <w:bookmarkEnd w:id="1070"/>
      <w:bookmarkEnd w:id="1071"/>
      <w:bookmarkEnd w:id="1072"/>
    </w:p>
    <w:p w14:paraId="54EAC06F">
      <w:pPr>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合同协议书</w:t>
      </w:r>
    </w:p>
    <w:p w14:paraId="2C0EE122">
      <w:pPr>
        <w:rPr>
          <w:rFonts w:hint="eastAsia" w:ascii="宋体" w:hAnsi="宋体" w:eastAsia="宋体" w:cs="宋体"/>
          <w:color w:val="auto"/>
          <w:highlight w:val="none"/>
        </w:rPr>
      </w:pPr>
    </w:p>
    <w:p w14:paraId="68080FE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北京市水利工程管理中心</w:t>
      </w:r>
      <w:r>
        <w:rPr>
          <w:rFonts w:hint="eastAsia" w:ascii="宋体" w:hAnsi="宋体" w:eastAsia="宋体" w:cs="宋体"/>
          <w:color w:val="auto"/>
          <w:sz w:val="24"/>
          <w:highlight w:val="none"/>
        </w:rPr>
        <w:t>（发包人名称，以下简称“发包人”）为实施</w:t>
      </w:r>
      <w:r>
        <w:rPr>
          <w:rFonts w:hint="eastAsia" w:ascii="宋体" w:hAnsi="宋体" w:eastAsia="宋体" w:cs="宋体"/>
          <w:color w:val="auto"/>
          <w:sz w:val="24"/>
          <w:highlight w:val="none"/>
          <w:u w:val="single"/>
        </w:rPr>
        <w:t xml:space="preserve">  京密引水渠北台上段强降雨水毁修复工程  </w:t>
      </w:r>
      <w:r>
        <w:rPr>
          <w:rFonts w:hint="eastAsia" w:ascii="宋体" w:hAnsi="宋体" w:eastAsia="宋体" w:cs="宋体"/>
          <w:color w:val="auto"/>
          <w:sz w:val="24"/>
          <w:highlight w:val="none"/>
        </w:rPr>
        <w:t>（项目名称），已接受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（标段名称）的投标，并确定为中标人。发包人和承包人共同达成如下协议。</w:t>
      </w:r>
    </w:p>
    <w:p w14:paraId="3667D52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1.下列文件一起构成合同文件：</w:t>
      </w:r>
    </w:p>
    <w:p w14:paraId="480782FC">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（1）合同协议书（包括补充协议）；</w:t>
      </w:r>
    </w:p>
    <w:p w14:paraId="7830CD4C">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（2）中标通知书；</w:t>
      </w:r>
    </w:p>
    <w:p w14:paraId="0B1745FD">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（3）中标人对</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所做出的澄清或说明；</w:t>
      </w:r>
    </w:p>
    <w:p w14:paraId="3337E35C">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（4）投标函及投标函附录； </w:t>
      </w:r>
    </w:p>
    <w:p w14:paraId="56A0FED9">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（5）专用合同条款；</w:t>
      </w:r>
    </w:p>
    <w:p w14:paraId="55767F38">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（6）通用合同条款；</w:t>
      </w:r>
    </w:p>
    <w:p w14:paraId="213341C4">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（7）技术标准和要求（合同技术条款）；</w:t>
      </w:r>
    </w:p>
    <w:p w14:paraId="4D87B80B">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（8）已标价的工程量清单；</w:t>
      </w:r>
    </w:p>
    <w:p w14:paraId="7318AB63">
      <w:pPr>
        <w:tabs>
          <w:tab w:val="left" w:pos="1117"/>
        </w:tabs>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（9）工程建设项目廉政合同、安全生产协议书、非道路移动机械使用承诺书、扬尘污染防治工作承诺书、北京市工程建设项目保障农民工工资支付工作承诺书</w:t>
      </w:r>
      <w:bookmarkStart w:id="1073" w:name="_Hlk108098146"/>
      <w:r>
        <w:rPr>
          <w:rFonts w:hint="eastAsia" w:ascii="宋体" w:hAnsi="宋体" w:eastAsia="宋体" w:cs="宋体"/>
          <w:bCs/>
          <w:color w:val="auto"/>
          <w:sz w:val="24"/>
          <w:highlight w:val="none"/>
        </w:rPr>
        <w:t>、履约担保、质量保证保函；</w:t>
      </w:r>
    </w:p>
    <w:bookmarkEnd w:id="1073"/>
    <w:p w14:paraId="5245C267">
      <w:pPr>
        <w:tabs>
          <w:tab w:val="left" w:pos="1117"/>
        </w:tabs>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（10）经双方确认进入合同的其他文件。</w:t>
      </w:r>
    </w:p>
    <w:p w14:paraId="2D218DC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上述文件互相补充和解释，如有不明确或不一致之处，以合同约定次序在先者为准。</w:t>
      </w:r>
    </w:p>
    <w:p w14:paraId="13356289">
      <w:pPr>
        <w:widowControl/>
        <w:shd w:val="clear" w:color="auto" w:fill="FFFFFF"/>
        <w:spacing w:line="360" w:lineRule="auto"/>
        <w:ind w:firstLine="48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3.</w:t>
      </w:r>
      <w:r>
        <w:rPr>
          <w:rFonts w:hint="eastAsia" w:ascii="宋体" w:hAnsi="宋体" w:eastAsia="宋体" w:cs="宋体"/>
          <w:bCs/>
          <w:color w:val="auto"/>
          <w:sz w:val="24"/>
          <w:highlight w:val="none"/>
        </w:rPr>
        <w:t>工程地点：</w:t>
      </w:r>
      <w:r>
        <w:rPr>
          <w:rFonts w:hint="eastAsia" w:ascii="宋体" w:hAnsi="宋体" w:eastAsia="宋体" w:cs="宋体"/>
          <w:color w:val="auto"/>
          <w:sz w:val="24"/>
          <w:szCs w:val="28"/>
          <w:highlight w:val="none"/>
        </w:rPr>
        <w:t>北京市</w:t>
      </w:r>
      <w:r>
        <w:rPr>
          <w:rFonts w:hint="eastAsia" w:ascii="宋体" w:hAnsi="宋体" w:eastAsia="宋体" w:cs="宋体"/>
          <w:color w:val="auto"/>
          <w:sz w:val="24"/>
          <w:szCs w:val="28"/>
          <w:highlight w:val="none"/>
          <w:lang w:val="en-US" w:eastAsia="zh-CN"/>
        </w:rPr>
        <w:t>怀柔</w:t>
      </w:r>
      <w:r>
        <w:rPr>
          <w:rFonts w:hint="eastAsia" w:ascii="宋体" w:hAnsi="宋体" w:eastAsia="宋体" w:cs="宋体"/>
          <w:color w:val="auto"/>
          <w:sz w:val="24"/>
          <w:szCs w:val="28"/>
          <w:highlight w:val="none"/>
        </w:rPr>
        <w:t>区。</w:t>
      </w:r>
    </w:p>
    <w:p w14:paraId="2CAD1E52">
      <w:pPr>
        <w:adjustRightInd w:val="0"/>
        <w:snapToGrid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bCs/>
          <w:color w:val="auto"/>
          <w:sz w:val="24"/>
          <w:highlight w:val="none"/>
        </w:rPr>
        <w:t>4.工程内容：本次工程内容主要包括以下项目：</w:t>
      </w:r>
    </w:p>
    <w:p w14:paraId="6876B732">
      <w:pPr>
        <w:widowControl/>
        <w:adjustRightInd w:val="0"/>
        <w:snapToGrid w:val="0"/>
        <w:spacing w:line="360" w:lineRule="auto"/>
        <w:ind w:firstLine="506"/>
        <w:rPr>
          <w:rFonts w:hint="eastAsia" w:ascii="宋体" w:hAnsi="宋体" w:eastAsia="宋体" w:cs="宋体"/>
          <w:bCs/>
          <w:color w:val="auto"/>
          <w:kern w:val="16"/>
          <w:sz w:val="24"/>
          <w:highlight w:val="none"/>
        </w:rPr>
      </w:pPr>
      <w:r>
        <w:rPr>
          <w:rFonts w:hint="eastAsia" w:ascii="宋体" w:hAnsi="宋体" w:eastAsia="宋体" w:cs="宋体"/>
          <w:bCs/>
          <w:color w:val="auto"/>
          <w:kern w:val="16"/>
          <w:sz w:val="24"/>
          <w:highlight w:val="none"/>
        </w:rPr>
        <w:t>对破损渠道进行修复，主要内容包括对渠道衬砌、塌坑冲沟回填、设置排水沟。对212米渠道内坡及部分渠底混凝土预制板进行拆除重新衬砌，对渠堤林带内20余处塌坑、雨淋沟进行开挖回填处理。</w:t>
      </w:r>
    </w:p>
    <w:p w14:paraId="4EE2AF17">
      <w:pPr>
        <w:adjustRightInd w:val="0"/>
        <w:snapToGrid w:val="0"/>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5.</w:t>
      </w:r>
      <w:r>
        <w:rPr>
          <w:rFonts w:hint="eastAsia" w:ascii="宋体" w:hAnsi="宋体" w:eastAsia="宋体" w:cs="宋体"/>
          <w:bCs/>
          <w:color w:val="auto"/>
          <w:sz w:val="24"/>
          <w:highlight w:val="none"/>
        </w:rPr>
        <w:t>工程承包范围：京密引水渠</w:t>
      </w:r>
      <w:r>
        <w:rPr>
          <w:rFonts w:hint="eastAsia" w:ascii="宋体" w:hAnsi="宋体" w:eastAsia="宋体" w:cs="宋体"/>
          <w:bCs/>
          <w:color w:val="auto"/>
          <w:sz w:val="24"/>
          <w:highlight w:val="none"/>
          <w:lang w:eastAsia="zh-CN"/>
        </w:rPr>
        <w:t>京密引水渠北台上段强降雨水毁修复工程</w:t>
      </w:r>
      <w:r>
        <w:rPr>
          <w:rFonts w:hint="eastAsia" w:ascii="宋体" w:hAnsi="宋体" w:eastAsia="宋体" w:cs="宋体"/>
          <w:color w:val="auto"/>
          <w:sz w:val="24"/>
          <w:szCs w:val="28"/>
          <w:highlight w:val="none"/>
        </w:rPr>
        <w:t>施工，包括工程量清单、技术条款及设计图纸所示的全部工程内容。</w:t>
      </w:r>
    </w:p>
    <w:p w14:paraId="2932202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 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元</w:t>
      </w:r>
      <w:r>
        <w:rPr>
          <w:rFonts w:hint="eastAsia" w:ascii="宋体" w:hAnsi="宋体" w:eastAsia="宋体" w:cs="宋体"/>
          <w:color w:val="auto"/>
          <w:sz w:val="24"/>
          <w:highlight w:val="none"/>
        </w:rPr>
        <w:t>）。</w:t>
      </w:r>
    </w:p>
    <w:p w14:paraId="1DAB25DD">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 合同形式：</w:t>
      </w:r>
      <w:r>
        <w:rPr>
          <w:rFonts w:hint="eastAsia" w:ascii="宋体" w:hAnsi="宋体" w:eastAsia="宋体" w:cs="宋体"/>
          <w:color w:val="auto"/>
          <w:sz w:val="24"/>
          <w:highlight w:val="none"/>
          <w:u w:val="single"/>
        </w:rPr>
        <w:t xml:space="preserve">  固定单价合同   </w:t>
      </w:r>
      <w:r>
        <w:rPr>
          <w:rFonts w:hint="eastAsia" w:ascii="宋体" w:hAnsi="宋体" w:eastAsia="宋体" w:cs="宋体"/>
          <w:color w:val="auto"/>
          <w:sz w:val="24"/>
          <w:highlight w:val="none"/>
        </w:rPr>
        <w:t>。</w:t>
      </w:r>
    </w:p>
    <w:p w14:paraId="2B97F66C">
      <w:pPr>
        <w:adjustRightInd w:val="0"/>
        <w:snapToGrid w:val="0"/>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8. 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5DD4FA2">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 工程质量符合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合格</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rPr>
        <w:t>标准。</w:t>
      </w:r>
    </w:p>
    <w:p w14:paraId="0670B61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 安全文明施工管理目标等级：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参照标准化达标工地等级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5F8815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承包人承诺按合同约定承担工程的实施、完成及缺陷修复。</w:t>
      </w:r>
    </w:p>
    <w:p w14:paraId="5D1FE8E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 发包人承诺按合同约定的条件、时间和方式向承包人支付合同价款。</w:t>
      </w:r>
    </w:p>
    <w:p w14:paraId="5861914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承包人应按照发包人指示开工，</w:t>
      </w:r>
      <w:r>
        <w:rPr>
          <w:rFonts w:hint="eastAsia" w:ascii="宋体" w:hAnsi="宋体" w:eastAsia="宋体" w:cs="宋体"/>
          <w:color w:val="auto"/>
          <w:sz w:val="24"/>
          <w:szCs w:val="22"/>
          <w:highlight w:val="none"/>
        </w:rPr>
        <w:t>计划开工日期为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2024年3月1日</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，计划完工日期为：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2024年4月20日</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，工期为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50</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日。</w:t>
      </w:r>
    </w:p>
    <w:p w14:paraId="5D6C62F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份，自双方法定代表人或委托代理人签字并加盖单位公章或合同专用章后生效。</w:t>
      </w:r>
    </w:p>
    <w:p w14:paraId="13AC4C6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15.合同未尽事宜，双方另行签订补充协议。补充协议是合同的有效组成部分，与本合同具有同等法律效力。</w:t>
      </w:r>
    </w:p>
    <w:p w14:paraId="3AAF6D8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16.若承包人违反其内部章程或其内部其他规定而签署本合同，因此而产生的责任由承包人承担，承包人不得以此为由对抗本合同项下责任的承担和义务的履行。</w:t>
      </w:r>
    </w:p>
    <w:p w14:paraId="635655D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17.附件属于本合同有效部分，与本合同具有同等法律效力，具体附件以实际需要进行签订。</w:t>
      </w:r>
    </w:p>
    <w:p w14:paraId="3EE38AB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附件一：工程建设项目廉政合同</w:t>
      </w:r>
    </w:p>
    <w:p w14:paraId="1B2F3C0F">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附件二：安全生产协议书</w:t>
      </w:r>
    </w:p>
    <w:p w14:paraId="6E4ABD2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附件三：非道路移动机械使用承诺书</w:t>
      </w:r>
    </w:p>
    <w:p w14:paraId="5D51365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附件四：扬尘污染防治工作承诺书</w:t>
      </w:r>
    </w:p>
    <w:p w14:paraId="4D713531">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附件五：北京工程建设项目保障农民工工资支付工作承诺书</w:t>
      </w:r>
    </w:p>
    <w:p w14:paraId="0AB7F9C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附件六：履约担保</w:t>
      </w:r>
    </w:p>
    <w:p w14:paraId="444429BD">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附件七：质量保证保函</w:t>
      </w:r>
    </w:p>
    <w:p w14:paraId="2CBB9CC6">
      <w:pPr>
        <w:tabs>
          <w:tab w:val="left" w:pos="4820"/>
        </w:tabs>
        <w:spacing w:line="360" w:lineRule="auto"/>
        <w:ind w:firstLine="484" w:firstLineChars="202"/>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北京市水利工程管理中心    </w:t>
      </w:r>
      <w:r>
        <w:rPr>
          <w:rFonts w:hint="eastAsia" w:ascii="宋体" w:hAnsi="宋体" w:eastAsia="宋体" w:cs="宋体"/>
          <w:color w:val="auto"/>
          <w:sz w:val="24"/>
          <w:highlight w:val="none"/>
        </w:rPr>
        <w:t xml:space="preserve">   承包人：</w:t>
      </w:r>
      <w:r>
        <w:rPr>
          <w:rFonts w:hint="eastAsia" w:ascii="宋体" w:hAnsi="宋体" w:eastAsia="宋体" w:cs="宋体"/>
          <w:color w:val="auto"/>
          <w:sz w:val="24"/>
          <w:highlight w:val="none"/>
          <w:u w:val="single"/>
        </w:rPr>
        <w:t xml:space="preserve">                 </w:t>
      </w:r>
    </w:p>
    <w:p w14:paraId="55643044">
      <w:pPr>
        <w:tabs>
          <w:tab w:val="left" w:pos="4820"/>
        </w:tabs>
        <w:spacing w:line="360" w:lineRule="auto"/>
        <w:ind w:firstLine="1684" w:firstLineChars="702"/>
        <w:rPr>
          <w:rFonts w:hint="eastAsia" w:ascii="宋体" w:hAnsi="宋体" w:eastAsia="宋体" w:cs="宋体"/>
          <w:color w:val="auto"/>
          <w:sz w:val="24"/>
          <w:highlight w:val="none"/>
        </w:rPr>
      </w:pPr>
      <w:r>
        <w:rPr>
          <w:rFonts w:hint="eastAsia" w:ascii="宋体" w:hAnsi="宋体" w:eastAsia="宋体" w:cs="宋体"/>
          <w:color w:val="auto"/>
          <w:sz w:val="24"/>
          <w:highlight w:val="none"/>
        </w:rPr>
        <w:t>（盖章）                      （盖章）</w:t>
      </w:r>
    </w:p>
    <w:p w14:paraId="48C3B6DC">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                          法定代表人</w:t>
      </w:r>
    </w:p>
    <w:p w14:paraId="6CC61D1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5AF04192">
      <w:pPr>
        <w:spacing w:line="360" w:lineRule="auto"/>
        <w:ind w:firstLine="484" w:firstLineChars="202"/>
        <w:rPr>
          <w:rFonts w:hint="eastAsia" w:ascii="宋体" w:hAnsi="宋体" w:eastAsia="宋体" w:cs="宋体"/>
          <w:color w:val="auto"/>
          <w:sz w:val="24"/>
          <w:highlight w:val="none"/>
        </w:rPr>
      </w:pPr>
    </w:p>
    <w:p w14:paraId="74E22F2B">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经办人：</w:t>
      </w:r>
    </w:p>
    <w:p w14:paraId="75600108">
      <w:pPr>
        <w:tabs>
          <w:tab w:val="center" w:pos="4535"/>
        </w:tabs>
        <w:spacing w:line="360" w:lineRule="auto"/>
        <w:ind w:firstLine="484" w:firstLineChars="202"/>
        <w:rPr>
          <w:rFonts w:hint="eastAsia" w:ascii="宋体" w:hAnsi="宋体" w:eastAsia="宋体" w:cs="宋体"/>
          <w:color w:val="auto"/>
          <w:sz w:val="24"/>
          <w:highlight w:val="none"/>
        </w:rPr>
      </w:pPr>
    </w:p>
    <w:p w14:paraId="13809A9D">
      <w:pPr>
        <w:pStyle w:val="2"/>
        <w:ind w:firstLine="480"/>
        <w:rPr>
          <w:rFonts w:hint="eastAsia" w:ascii="宋体" w:hAnsi="宋体" w:eastAsia="宋体" w:cs="宋体"/>
          <w:color w:val="auto"/>
          <w:sz w:val="24"/>
          <w:highlight w:val="none"/>
        </w:rPr>
      </w:pPr>
    </w:p>
    <w:p w14:paraId="183909BD">
      <w:pPr>
        <w:pStyle w:val="2"/>
        <w:ind w:firstLine="480"/>
        <w:rPr>
          <w:rFonts w:hint="eastAsia" w:ascii="宋体" w:hAnsi="宋体" w:eastAsia="宋体" w:cs="宋体"/>
          <w:color w:val="auto"/>
          <w:sz w:val="24"/>
          <w:highlight w:val="none"/>
        </w:rPr>
      </w:pPr>
    </w:p>
    <w:p w14:paraId="368B14BC">
      <w:pPr>
        <w:spacing w:line="360" w:lineRule="auto"/>
        <w:ind w:firstLine="484" w:firstLineChars="202"/>
        <w:rPr>
          <w:rFonts w:hint="eastAsia" w:ascii="宋体" w:hAnsi="宋体" w:eastAsia="宋体" w:cs="宋体"/>
          <w:color w:val="auto"/>
          <w:sz w:val="24"/>
          <w:highlight w:val="none"/>
        </w:rPr>
      </w:pPr>
    </w:p>
    <w:p w14:paraId="3179EE45">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发包人地址：                        承包人地址：</w:t>
      </w:r>
    </w:p>
    <w:p w14:paraId="2E8B7043">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                          联系电话：</w:t>
      </w:r>
    </w:p>
    <w:p w14:paraId="4C6058BB">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                          传    真：</w:t>
      </w:r>
    </w:p>
    <w:p w14:paraId="5C2A1879">
      <w:pPr>
        <w:spacing w:line="360" w:lineRule="auto"/>
        <w:ind w:firstLine="484" w:firstLineChars="202"/>
        <w:rPr>
          <w:rFonts w:hint="eastAsia" w:ascii="宋体" w:hAnsi="宋体" w:eastAsia="宋体" w:cs="宋体"/>
          <w:color w:val="auto"/>
          <w:sz w:val="24"/>
          <w:highlight w:val="none"/>
        </w:rPr>
      </w:pPr>
    </w:p>
    <w:p w14:paraId="201C9F45">
      <w:pPr>
        <w:spacing w:line="360" w:lineRule="auto"/>
        <w:ind w:firstLine="1440" w:firstLineChars="6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E0EFB78">
      <w:pPr>
        <w:widowControl/>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70602486">
      <w:pPr>
        <w:spacing w:line="312" w:lineRule="auto"/>
        <w:outlineLvl w:val="2"/>
        <w:rPr>
          <w:rFonts w:hint="eastAsia" w:ascii="宋体" w:hAnsi="宋体" w:eastAsia="宋体" w:cs="宋体"/>
          <w:b/>
          <w:color w:val="auto"/>
          <w:sz w:val="24"/>
          <w:highlight w:val="none"/>
        </w:rPr>
      </w:pPr>
      <w:bookmarkStart w:id="1074" w:name="_Toc104740363"/>
      <w:bookmarkStart w:id="1075" w:name="_Toc96899374"/>
      <w:bookmarkStart w:id="1076" w:name="_Toc13614"/>
      <w:r>
        <w:rPr>
          <w:rFonts w:hint="eastAsia" w:ascii="宋体" w:hAnsi="宋体" w:eastAsia="宋体" w:cs="宋体"/>
          <w:b/>
          <w:color w:val="auto"/>
          <w:sz w:val="24"/>
          <w:highlight w:val="none"/>
        </w:rPr>
        <w:t>附件一：</w:t>
      </w:r>
      <w:bookmarkStart w:id="1077" w:name="_Hlk16757721"/>
      <w:r>
        <w:rPr>
          <w:rFonts w:hint="eastAsia" w:ascii="宋体" w:hAnsi="宋体" w:eastAsia="宋体" w:cs="宋体"/>
          <w:b/>
          <w:color w:val="auto"/>
          <w:sz w:val="24"/>
          <w:highlight w:val="none"/>
        </w:rPr>
        <w:t>工程建设项目廉政合同</w:t>
      </w:r>
      <w:bookmarkEnd w:id="1074"/>
      <w:bookmarkEnd w:id="1075"/>
      <w:bookmarkEnd w:id="1076"/>
      <w:bookmarkEnd w:id="1077"/>
    </w:p>
    <w:p w14:paraId="58C3F81B">
      <w:pPr>
        <w:spacing w:line="312" w:lineRule="auto"/>
        <w:rPr>
          <w:rFonts w:hint="eastAsia" w:ascii="宋体" w:hAnsi="宋体" w:eastAsia="宋体" w:cs="宋体"/>
          <w:color w:val="auto"/>
          <w:highlight w:val="none"/>
        </w:rPr>
      </w:pPr>
    </w:p>
    <w:p w14:paraId="29F68899">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工程建设项目廉政合同</w:t>
      </w:r>
    </w:p>
    <w:p w14:paraId="39D2FBCA">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工程项目名称：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E14A68D">
      <w:pPr>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委托人（甲方）：</w:t>
      </w:r>
      <w:r>
        <w:rPr>
          <w:rFonts w:hint="eastAsia" w:ascii="宋体" w:hAnsi="宋体" w:eastAsia="宋体" w:cs="宋体"/>
          <w:color w:val="auto"/>
          <w:sz w:val="24"/>
          <w:highlight w:val="none"/>
          <w:u w:val="single"/>
        </w:rPr>
        <w:t>北京市水利工程管理中心北京市京密引水管理处</w:t>
      </w:r>
      <w:r>
        <w:rPr>
          <w:rFonts w:hint="eastAsia" w:ascii="宋体" w:hAnsi="宋体" w:eastAsia="宋体" w:cs="宋体"/>
          <w:color w:val="auto"/>
          <w:sz w:val="24"/>
          <w:highlight w:val="none"/>
        </w:rPr>
        <w:t xml:space="preserve">                    </w:t>
      </w:r>
    </w:p>
    <w:p w14:paraId="1D32CE5A">
      <w:pPr>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受托人（乙方）：</w:t>
      </w:r>
      <w:r>
        <w:rPr>
          <w:rFonts w:hint="eastAsia" w:ascii="宋体" w:hAnsi="宋体" w:eastAsia="宋体" w:cs="宋体"/>
          <w:color w:val="auto"/>
          <w:sz w:val="24"/>
          <w:highlight w:val="none"/>
          <w:u w:val="single"/>
        </w:rPr>
        <w:t xml:space="preserve">                                          </w:t>
      </w:r>
    </w:p>
    <w:p w14:paraId="171701F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加强工程建设中的廉政建设，规范工程建设项目甲乙双方的各项活动，防止发生各种谋取不正当利益的违法违纪行为，保护国家、集体和当事人的合法权益，根据国家有关工程建设的法律法规和廉政建设责任制规定，特订立本廉政合同。</w:t>
      </w:r>
    </w:p>
    <w:p w14:paraId="2764676F">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第一条  甲乙双方的责任</w:t>
      </w:r>
    </w:p>
    <w:p w14:paraId="5BAEFA9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（一）应严格遵守国家关于市场准入、项目招标投标、工程建设、施工安装和市场活动的有关法律、法规，相关政策，以及廉政建设的各项规定。</w:t>
      </w:r>
    </w:p>
    <w:p w14:paraId="0A4B86F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（二）严格执行建设工程项目承发包合同文件，自觉按合同办事。</w:t>
      </w:r>
    </w:p>
    <w:p w14:paraId="7D5B4D2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14:paraId="1C122A5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（四）发现对方在业务活动中有违规、违纪、违法行为的，应及时提醒对方，情节严重的，应向其上级主管部门或纪检监察、司法等有关机关举报。</w:t>
      </w:r>
    </w:p>
    <w:p w14:paraId="6EB0330B">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第二条  甲方的责任</w:t>
      </w:r>
    </w:p>
    <w:p w14:paraId="77386F2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甲方的领导和从事该建设工程项目的工作人员，在工程建设的事前、事中、事后应遵守以下规定：</w:t>
      </w:r>
    </w:p>
    <w:p w14:paraId="60D4627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（一）不准向乙方和相关单位索要或接受回扣、礼金、有价证券、贵重物品和好处费、感谢费等。</w:t>
      </w:r>
    </w:p>
    <w:p w14:paraId="31ADF54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（二）不准在乙方和相关单位报销任何应由甲方或个人支付的费用。</w:t>
      </w:r>
    </w:p>
    <w:p w14:paraId="0C48308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（三）不准要求、暗示或接受乙方和相关单位为个人装修住房、婚丧嫁娶、配偶子女的工作安排以及出国（境）、旅游等提供方便。</w:t>
      </w:r>
    </w:p>
    <w:p w14:paraId="467D887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（四）不准参加有可能影响公正执行公务的乙方和相关单位的宴请、健身、娱乐等活动。</w:t>
      </w:r>
    </w:p>
    <w:p w14:paraId="1C410F0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不准向乙方介绍或为配偶、子女、亲属参与同甲方项目工程施工合同有关的设备、材料工程分包、劳务等经济活动。不得以任何理由要求乙方和相关单位推荐分包单位和要求乙方购买项目工程施工合同约定以外的材料、设备等。</w:t>
      </w:r>
    </w:p>
    <w:p w14:paraId="6FD7D7AC">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第三条  乙方的责任</w:t>
      </w:r>
    </w:p>
    <w:p w14:paraId="1BEED2D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14:paraId="10B42AF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（一）不准以任何理由向甲方、相关单位及其工作人员索要、接受或赠送礼金、有价证券、贵重物品和回扣、好处费、感谢费等。</w:t>
      </w:r>
    </w:p>
    <w:p w14:paraId="4453439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（二）不准以任何理由为甲方和相关单位报销应由对方或个人支付的费用。</w:t>
      </w:r>
    </w:p>
    <w:p w14:paraId="4A34AD8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（三）不准接受或暗示为甲方、相关单位或个人装修住房、婚丧嫁娶、配偶子女的工作安排以及出国（境）、旅游等提供方便。</w:t>
      </w:r>
    </w:p>
    <w:p w14:paraId="16D81A5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（四）不准以任何理由为甲方、相关单位或个人组织有可能影响公正执行公务的宴请、健身、娱乐等活动。</w:t>
      </w:r>
    </w:p>
    <w:p w14:paraId="71E272E7">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第四条  违约责任 </w:t>
      </w:r>
    </w:p>
    <w:p w14:paraId="7A8B020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工作人员有违反本合同第一、二条责任行为的，按照管理权限，依据有关法律法规和规定给予党纪、政纪处分或组织处理；涉嫌犯罪的，移交司法机关追究刑事责任；给乙方单位造成经济损失的，应予以赔偿。</w:t>
      </w:r>
    </w:p>
    <w:p w14:paraId="248D64F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工作人员有违反本合同第一、三条责任行为的，按照管理权限，依据有关法律法规和规定给予党纪、政纪处分或组织处理；涉嫌犯罪的，移交司法机关追究刑事责任；给甲方单位造成经济损失的，应予以赔偿。</w:t>
      </w:r>
    </w:p>
    <w:p w14:paraId="56C469BB">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第五条  其他</w:t>
      </w:r>
    </w:p>
    <w:p w14:paraId="149ED01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（一）本协议作为工程施工合同的附件，与工程施工合同具有同等法律效力。经双方签署后立即生效。</w:t>
      </w:r>
    </w:p>
    <w:p w14:paraId="7AFA440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（二）本协议的有效期为双方签署之日起至该工程项目竣工验收合格时止。</w:t>
      </w:r>
    </w:p>
    <w:p w14:paraId="56374EC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（三）本协议一式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份，由甲乙双方各执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份，送交甲乙双方的监督部门各壹份。</w:t>
      </w:r>
    </w:p>
    <w:p w14:paraId="394E1D6A">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rPr>
      </w:pPr>
    </w:p>
    <w:p w14:paraId="7757E556">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（本页是签订页，无正文）</w:t>
      </w:r>
    </w:p>
    <w:p w14:paraId="2A1A7443">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rPr>
      </w:pPr>
    </w:p>
    <w:p w14:paraId="323D3BE9">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甲方单位：</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 xml:space="preserve">（盖章）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乙方单位：</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（盖章）</w:t>
      </w:r>
    </w:p>
    <w:p w14:paraId="07B07EDC">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1161CA52">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负责人</w:t>
      </w:r>
      <w:r>
        <w:rPr>
          <w:rFonts w:hint="eastAsia" w:ascii="宋体" w:hAnsi="宋体" w:eastAsia="宋体" w:cs="宋体"/>
          <w:color w:val="auto"/>
          <w:sz w:val="24"/>
          <w:szCs w:val="28"/>
          <w:highlight w:val="none"/>
        </w:rPr>
        <w:t xml:space="preserve"> ：                       </w:t>
      </w:r>
      <w:r>
        <w:rPr>
          <w:rFonts w:hint="eastAsia" w:ascii="宋体" w:hAnsi="宋体" w:eastAsia="宋体" w:cs="宋体"/>
          <w:color w:val="auto"/>
          <w:sz w:val="24"/>
          <w:szCs w:val="28"/>
          <w:highlight w:val="none"/>
          <w:lang w:val="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法定代表人</w:t>
      </w:r>
    </w:p>
    <w:p w14:paraId="64954D0E">
      <w:pPr>
        <w:autoSpaceDE w:val="0"/>
        <w:autoSpaceDN w:val="0"/>
        <w:adjustRightInd w:val="0"/>
        <w:snapToGrid w:val="0"/>
        <w:spacing w:line="480" w:lineRule="atLeast"/>
        <w:ind w:firstLine="1440" w:firstLineChars="6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或委托代理人：</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（签字或盖章）</w:t>
      </w:r>
    </w:p>
    <w:p w14:paraId="6D0BD63D">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6581DD75">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030E0B25">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经办人：</w:t>
      </w:r>
    </w:p>
    <w:p w14:paraId="4D979FD4">
      <w:pPr>
        <w:tabs>
          <w:tab w:val="center" w:pos="4535"/>
        </w:tabs>
        <w:spacing w:line="360" w:lineRule="auto"/>
        <w:ind w:firstLine="484" w:firstLineChars="202"/>
        <w:rPr>
          <w:rFonts w:hint="eastAsia" w:ascii="宋体" w:hAnsi="宋体" w:eastAsia="宋体" w:cs="宋体"/>
          <w:color w:val="auto"/>
          <w:sz w:val="24"/>
          <w:highlight w:val="none"/>
          <w:u w:val="single"/>
        </w:rPr>
      </w:pPr>
    </w:p>
    <w:p w14:paraId="27F6CBE6">
      <w:pPr>
        <w:pStyle w:val="2"/>
        <w:rPr>
          <w:rFonts w:hint="eastAsia" w:ascii="宋体" w:hAnsi="宋体" w:eastAsia="宋体" w:cs="宋体"/>
          <w:color w:val="auto"/>
          <w:highlight w:val="none"/>
        </w:rPr>
      </w:pPr>
    </w:p>
    <w:p w14:paraId="7446E88D">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rPr>
      </w:pPr>
    </w:p>
    <w:p w14:paraId="0833E66E">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rPr>
      </w:pPr>
    </w:p>
    <w:p w14:paraId="426D19CA">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lang w:val="zh-CN"/>
        </w:rPr>
        <w:t>地</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地</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u w:val="single"/>
        </w:rPr>
        <w:t xml:space="preserve">                     </w:t>
      </w:r>
    </w:p>
    <w:p w14:paraId="36FFE6DF">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u w:val="single"/>
          <w:lang w:val="zh-CN"/>
        </w:rPr>
      </w:pPr>
      <w:r>
        <w:rPr>
          <w:rFonts w:hint="eastAsia" w:ascii="宋体" w:hAnsi="宋体" w:eastAsia="宋体" w:cs="宋体"/>
          <w:color w:val="auto"/>
          <w:sz w:val="24"/>
          <w:szCs w:val="28"/>
          <w:highlight w:val="none"/>
          <w:lang w:val="zh-CN"/>
        </w:rPr>
        <w:t>电      话：</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 xml:space="preserve">      电      话：</w:t>
      </w:r>
      <w:r>
        <w:rPr>
          <w:rFonts w:hint="eastAsia" w:ascii="宋体" w:hAnsi="宋体" w:eastAsia="宋体" w:cs="宋体"/>
          <w:color w:val="auto"/>
          <w:sz w:val="24"/>
          <w:szCs w:val="28"/>
          <w:highlight w:val="none"/>
          <w:u w:val="single"/>
          <w:lang w:val="zh-CN"/>
        </w:rPr>
        <w:t xml:space="preserve">                     </w:t>
      </w:r>
    </w:p>
    <w:p w14:paraId="0E481895">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日      期：</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年</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月</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日      日      期：</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年</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月</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日</w:t>
      </w:r>
    </w:p>
    <w:p w14:paraId="5F1E739D">
      <w:pPr>
        <w:autoSpaceDE w:val="0"/>
        <w:autoSpaceDN w:val="0"/>
        <w:adjustRightInd w:val="0"/>
        <w:snapToGrid w:val="0"/>
        <w:spacing w:line="480" w:lineRule="atLeast"/>
        <w:rPr>
          <w:rFonts w:hint="eastAsia" w:ascii="宋体" w:hAnsi="宋体" w:eastAsia="宋体" w:cs="宋体"/>
          <w:color w:val="auto"/>
          <w:sz w:val="24"/>
          <w:szCs w:val="28"/>
          <w:highlight w:val="none"/>
          <w:lang w:val="zh-CN"/>
        </w:rPr>
      </w:pPr>
    </w:p>
    <w:p w14:paraId="132B2E5A">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20FBCF82">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21A5C8F3">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甲方监督部门：</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（盖章）      乙方监督部门：</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（盖章）</w:t>
      </w:r>
    </w:p>
    <w:p w14:paraId="48CEE719">
      <w:pPr>
        <w:autoSpaceDE w:val="0"/>
        <w:autoSpaceDN w:val="0"/>
        <w:adjustRightInd w:val="0"/>
        <w:snapToGrid w:val="0"/>
        <w:spacing w:line="480" w:lineRule="atLeas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lang w:val="zh-CN"/>
        </w:rPr>
        <w:t>日      期：</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年</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月</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日      日      期：</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年</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月</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日</w:t>
      </w:r>
    </w:p>
    <w:p w14:paraId="2AE89B35">
      <w:pPr>
        <w:widowControl/>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74BB7D4">
      <w:pPr>
        <w:widowControl/>
        <w:adjustRightInd w:val="0"/>
        <w:snapToGrid w:val="0"/>
        <w:spacing w:line="360" w:lineRule="auto"/>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58344D1">
      <w:pPr>
        <w:spacing w:line="312" w:lineRule="auto"/>
        <w:outlineLvl w:val="2"/>
        <w:rPr>
          <w:rFonts w:hint="eastAsia" w:ascii="宋体" w:hAnsi="宋体" w:eastAsia="宋体" w:cs="宋体"/>
          <w:b/>
          <w:color w:val="auto"/>
          <w:sz w:val="24"/>
          <w:highlight w:val="none"/>
        </w:rPr>
      </w:pPr>
      <w:bookmarkStart w:id="1078" w:name="_Toc104740364"/>
      <w:bookmarkStart w:id="1079" w:name="_Toc491074053"/>
      <w:bookmarkStart w:id="1080" w:name="_Toc96899375"/>
      <w:bookmarkStart w:id="1081" w:name="_Toc15251"/>
      <w:r>
        <w:rPr>
          <w:rFonts w:hint="eastAsia" w:ascii="宋体" w:hAnsi="宋体" w:eastAsia="宋体" w:cs="宋体"/>
          <w:b/>
          <w:color w:val="auto"/>
          <w:sz w:val="24"/>
          <w:highlight w:val="none"/>
        </w:rPr>
        <w:t>附件二：安全生产协议书</w:t>
      </w:r>
      <w:bookmarkEnd w:id="1078"/>
      <w:bookmarkEnd w:id="1079"/>
      <w:bookmarkEnd w:id="1080"/>
      <w:bookmarkEnd w:id="1081"/>
    </w:p>
    <w:p w14:paraId="2E77CD17">
      <w:pPr>
        <w:tabs>
          <w:tab w:val="left" w:pos="2200"/>
        </w:tabs>
        <w:snapToGrid w:val="0"/>
        <w:spacing w:line="360" w:lineRule="auto"/>
        <w:ind w:firstLine="643" w:firstLineChars="200"/>
        <w:contextualSpacing/>
        <w:jc w:val="center"/>
        <w:rPr>
          <w:rFonts w:hint="eastAsia" w:ascii="宋体" w:hAnsi="宋体" w:eastAsia="宋体" w:cs="宋体"/>
          <w:b/>
          <w:color w:val="auto"/>
          <w:sz w:val="32"/>
          <w:szCs w:val="20"/>
          <w:highlight w:val="none"/>
        </w:rPr>
      </w:pPr>
      <w:bookmarkStart w:id="1082" w:name="_Hlk16757822"/>
      <w:r>
        <w:rPr>
          <w:rFonts w:hint="eastAsia" w:ascii="宋体" w:hAnsi="宋体" w:eastAsia="宋体" w:cs="宋体"/>
          <w:b/>
          <w:color w:val="auto"/>
          <w:sz w:val="32"/>
          <w:szCs w:val="20"/>
          <w:highlight w:val="none"/>
        </w:rPr>
        <w:t>安全生产协议书</w:t>
      </w:r>
      <w:bookmarkEnd w:id="1082"/>
    </w:p>
    <w:p w14:paraId="7E30E42B">
      <w:pPr>
        <w:snapToGrid w:val="0"/>
        <w:spacing w:line="480" w:lineRule="atLeast"/>
        <w:rPr>
          <w:rFonts w:hint="eastAsia" w:ascii="宋体" w:hAnsi="宋体" w:eastAsia="宋体" w:cs="宋体"/>
          <w:color w:val="auto"/>
          <w:sz w:val="24"/>
          <w:szCs w:val="21"/>
          <w:highlight w:val="none"/>
        </w:rPr>
      </w:pPr>
    </w:p>
    <w:p w14:paraId="0BA99510">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43D81E7">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委托人（甲方）：</w:t>
      </w:r>
      <w:r>
        <w:rPr>
          <w:rFonts w:hint="eastAsia" w:ascii="宋体" w:hAnsi="宋体" w:eastAsia="宋体" w:cs="宋体"/>
          <w:color w:val="auto"/>
          <w:sz w:val="24"/>
          <w:highlight w:val="none"/>
          <w:u w:val="single"/>
        </w:rPr>
        <w:t>北京市水利工程管理中心北京市京密引水管理处</w:t>
      </w:r>
      <w:r>
        <w:rPr>
          <w:rFonts w:hint="eastAsia" w:ascii="宋体" w:hAnsi="宋体" w:eastAsia="宋体" w:cs="宋体"/>
          <w:color w:val="auto"/>
          <w:sz w:val="24"/>
          <w:highlight w:val="none"/>
        </w:rPr>
        <w:t xml:space="preserve">                  </w:t>
      </w:r>
    </w:p>
    <w:p w14:paraId="5D7A8D9A">
      <w:pPr>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受托人（乙方）：</w:t>
      </w:r>
      <w:r>
        <w:rPr>
          <w:rFonts w:hint="eastAsia" w:ascii="宋体" w:hAnsi="宋体" w:eastAsia="宋体" w:cs="宋体"/>
          <w:color w:val="auto"/>
          <w:sz w:val="24"/>
          <w:highlight w:val="none"/>
          <w:u w:val="single"/>
        </w:rPr>
        <w:t xml:space="preserve">                                          </w:t>
      </w:r>
    </w:p>
    <w:p w14:paraId="67CFF71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为贯彻“安全第一，预防为主”的方针，确保</w:t>
      </w:r>
      <w:r>
        <w:rPr>
          <w:rFonts w:hint="eastAsia" w:ascii="宋体" w:hAnsi="宋体" w:eastAsia="宋体" w:cs="宋体"/>
          <w:color w:val="auto"/>
          <w:sz w:val="24"/>
          <w:highlight w:val="none"/>
          <w:u w:val="single"/>
        </w:rPr>
        <w:t xml:space="preserve"> 京密引水渠北台上段强降雨水毁修复工程 </w:t>
      </w:r>
      <w:r>
        <w:rPr>
          <w:rFonts w:hint="eastAsia" w:ascii="宋体" w:hAnsi="宋体" w:eastAsia="宋体" w:cs="宋体"/>
          <w:color w:val="auto"/>
          <w:sz w:val="24"/>
          <w:highlight w:val="none"/>
        </w:rPr>
        <w:t>工程的施工安全，按照国务院、水利部及北京市关于安全生产方面有关法律法规，甲、乙双方经充分协商，特签订本安全生产协议书。</w:t>
      </w:r>
    </w:p>
    <w:p w14:paraId="14D4616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一、本安全生产协议书作为</w:t>
      </w:r>
      <w:r>
        <w:rPr>
          <w:rFonts w:hint="eastAsia" w:ascii="宋体" w:hAnsi="宋体" w:eastAsia="宋体" w:cs="宋体"/>
          <w:color w:val="auto"/>
          <w:sz w:val="24"/>
          <w:highlight w:val="none"/>
          <w:u w:val="single"/>
        </w:rPr>
        <w:t xml:space="preserve"> 京密引水渠北台上段强降雨水毁修复工程 </w:t>
      </w:r>
      <w:r>
        <w:rPr>
          <w:rFonts w:hint="eastAsia" w:ascii="宋体" w:hAnsi="宋体" w:eastAsia="宋体" w:cs="宋体"/>
          <w:color w:val="auto"/>
          <w:sz w:val="24"/>
          <w:highlight w:val="none"/>
        </w:rPr>
        <w:t>工程施工总承包工程合同书的附件，与该合同具有同等效力。</w:t>
      </w:r>
    </w:p>
    <w:p w14:paraId="5D00184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必须依法取得相应等级的资质证书及安全生产许可证后，方可从事其资质许可范围内的水利工程施工，乙方的法定代表人、项目经理、安全生产负责人、现场专职安全员及各级管理人员应对本工程安全生产工作各负其责。</w:t>
      </w:r>
    </w:p>
    <w:p w14:paraId="5D31B93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三、乙方在施工中必须严格执行</w:t>
      </w:r>
      <w:r>
        <w:rPr>
          <w:rFonts w:hint="eastAsia" w:ascii="宋体" w:hAnsi="宋体" w:eastAsia="宋体" w:cs="宋体"/>
          <w:color w:val="auto"/>
          <w:kern w:val="0"/>
          <w:sz w:val="24"/>
          <w:highlight w:val="none"/>
        </w:rPr>
        <w:t>《建设工程安全生产管理条例》（国务院令第393号）、《水利工程建设安全生产管理规定》（水利部令第26号）以及国家、行业、北京市有关规定</w:t>
      </w:r>
      <w:r>
        <w:rPr>
          <w:rFonts w:hint="eastAsia" w:ascii="宋体" w:hAnsi="宋体" w:eastAsia="宋体" w:cs="宋体"/>
          <w:color w:val="auto"/>
          <w:sz w:val="24"/>
          <w:highlight w:val="none"/>
        </w:rPr>
        <w:t>，甲方将按照有关规定履行监督管理职责，并依据以上规定和标准对施工过程进行安全检查及奖惩。</w:t>
      </w:r>
    </w:p>
    <w:p w14:paraId="761A504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14:paraId="0DD4A85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乙方施工人员中的电工、焊工及垂直运输、高处作业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400EB47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六、乙方在施工过程中，必须采取有效保护措施，保证地下管线和周边地表构造物的安全。若造成地下管线和地表构造物的损坏，乙方承担全部责任。</w:t>
      </w:r>
    </w:p>
    <w:p w14:paraId="1946439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28ACEA2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八、施工过程中若发生人员伤亡（含刑事案件）、火灾、爆炸等事故，乙方必须立即按有关规定及时上报甲方及其政府主管部门。</w:t>
      </w:r>
    </w:p>
    <w:p w14:paraId="446ED29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九、乙方所有的安全生产管理活动均应及时记录，形成可追溯文件。</w:t>
      </w:r>
    </w:p>
    <w:p w14:paraId="176A2EC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十、本协议未尽事宜，依据有关法规、规章处理，法规、规章没有明确规定的，经双方协商处理解决。</w:t>
      </w:r>
    </w:p>
    <w:p w14:paraId="3943606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十一、本协议自签订之日起生效。</w:t>
      </w:r>
    </w:p>
    <w:p w14:paraId="2193168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十二、本协议书一式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份，合同履行期间有效。</w:t>
      </w:r>
    </w:p>
    <w:p w14:paraId="0C791D36">
      <w:pPr>
        <w:snapToGrid w:val="0"/>
        <w:spacing w:line="360" w:lineRule="auto"/>
        <w:ind w:firstLine="480" w:firstLineChars="200"/>
        <w:contextualSpacing/>
        <w:rPr>
          <w:rFonts w:hint="eastAsia" w:ascii="宋体" w:hAnsi="宋体" w:eastAsia="宋体" w:cs="宋体"/>
          <w:color w:val="auto"/>
          <w:sz w:val="24"/>
          <w:highlight w:val="none"/>
        </w:rPr>
      </w:pPr>
    </w:p>
    <w:p w14:paraId="71B19AD8">
      <w:pPr>
        <w:snapToGrid w:val="0"/>
        <w:spacing w:line="360" w:lineRule="auto"/>
        <w:ind w:firstLine="480" w:firstLineChars="200"/>
        <w:contextualSpacing/>
        <w:rPr>
          <w:rFonts w:hint="eastAsia" w:ascii="宋体" w:hAnsi="宋体" w:eastAsia="宋体" w:cs="宋体"/>
          <w:color w:val="auto"/>
          <w:sz w:val="24"/>
          <w:highlight w:val="none"/>
        </w:rPr>
      </w:pPr>
    </w:p>
    <w:p w14:paraId="5BBD4926">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甲方：</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 xml:space="preserve">（盖章）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乙方：</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（盖章）</w:t>
      </w:r>
    </w:p>
    <w:p w14:paraId="076820BB">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020D70B7">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负责人</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法定代表人</w:t>
      </w:r>
    </w:p>
    <w:p w14:paraId="7687FEA1">
      <w:pPr>
        <w:autoSpaceDE w:val="0"/>
        <w:autoSpaceDN w:val="0"/>
        <w:adjustRightInd w:val="0"/>
        <w:snapToGrid w:val="0"/>
        <w:spacing w:line="480" w:lineRule="atLeast"/>
        <w:ind w:firstLine="1200" w:firstLineChars="5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 xml:space="preserve">（签字或盖章）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或委托代理人：</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single"/>
          <w:lang w:val="zh-CN"/>
        </w:rPr>
        <w:t xml:space="preserve">    </w:t>
      </w:r>
      <w:r>
        <w:rPr>
          <w:rFonts w:hint="eastAsia" w:ascii="宋体" w:hAnsi="宋体" w:eastAsia="宋体" w:cs="宋体"/>
          <w:color w:val="auto"/>
          <w:sz w:val="24"/>
          <w:szCs w:val="28"/>
          <w:highlight w:val="none"/>
          <w:lang w:val="zh-CN"/>
        </w:rPr>
        <w:t>（签字或盖章）</w:t>
      </w:r>
    </w:p>
    <w:p w14:paraId="126E1F0E">
      <w:pPr>
        <w:autoSpaceDE w:val="0"/>
        <w:autoSpaceDN w:val="0"/>
        <w:adjustRightInd w:val="0"/>
        <w:snapToGrid w:val="0"/>
        <w:spacing w:line="480" w:lineRule="atLeast"/>
        <w:ind w:firstLine="480" w:firstLineChars="200"/>
        <w:rPr>
          <w:rFonts w:hint="eastAsia" w:ascii="宋体" w:hAnsi="宋体" w:eastAsia="宋体" w:cs="宋体"/>
          <w:color w:val="auto"/>
          <w:sz w:val="24"/>
          <w:szCs w:val="28"/>
          <w:highlight w:val="none"/>
          <w:lang w:val="zh-CN"/>
        </w:rPr>
      </w:pPr>
    </w:p>
    <w:p w14:paraId="5F37C1F0">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经办人：</w:t>
      </w:r>
    </w:p>
    <w:p w14:paraId="75EA0B8E">
      <w:pPr>
        <w:snapToGrid w:val="0"/>
        <w:spacing w:line="480" w:lineRule="atLeast"/>
        <w:rPr>
          <w:rFonts w:hint="eastAsia" w:ascii="宋体" w:hAnsi="宋体" w:eastAsia="宋体" w:cs="宋体"/>
          <w:color w:val="auto"/>
          <w:sz w:val="24"/>
          <w:szCs w:val="21"/>
          <w:highlight w:val="none"/>
        </w:rPr>
      </w:pPr>
    </w:p>
    <w:p w14:paraId="76C13BA8">
      <w:pPr>
        <w:pStyle w:val="2"/>
        <w:rPr>
          <w:rFonts w:hint="eastAsia" w:ascii="宋体" w:hAnsi="宋体" w:eastAsia="宋体" w:cs="宋体"/>
          <w:color w:val="auto"/>
          <w:highlight w:val="none"/>
        </w:rPr>
      </w:pPr>
    </w:p>
    <w:p w14:paraId="7895E885">
      <w:pPr>
        <w:pStyle w:val="2"/>
        <w:rPr>
          <w:rFonts w:hint="eastAsia" w:ascii="宋体" w:hAnsi="宋体" w:eastAsia="宋体" w:cs="宋体"/>
          <w:color w:val="auto"/>
          <w:highlight w:val="none"/>
        </w:rPr>
      </w:pPr>
    </w:p>
    <w:p w14:paraId="5F397BF2">
      <w:pPr>
        <w:pStyle w:val="2"/>
        <w:rPr>
          <w:rFonts w:hint="eastAsia" w:ascii="宋体" w:hAnsi="宋体" w:eastAsia="宋体" w:cs="宋体"/>
          <w:color w:val="auto"/>
          <w:highlight w:val="none"/>
        </w:rPr>
      </w:pPr>
    </w:p>
    <w:p w14:paraId="01B3F256">
      <w:pPr>
        <w:pStyle w:val="2"/>
        <w:rPr>
          <w:rFonts w:hint="eastAsia" w:ascii="宋体" w:hAnsi="宋体" w:eastAsia="宋体" w:cs="宋体"/>
          <w:color w:val="auto"/>
          <w:highlight w:val="none"/>
        </w:rPr>
      </w:pPr>
    </w:p>
    <w:p w14:paraId="6B79A995">
      <w:pPr>
        <w:snapToGrid w:val="0"/>
        <w:spacing w:line="480" w:lineRule="atLeast"/>
        <w:rPr>
          <w:rFonts w:hint="eastAsia" w:ascii="宋体" w:hAnsi="宋体" w:eastAsia="宋体" w:cs="宋体"/>
          <w:color w:val="auto"/>
          <w:sz w:val="24"/>
          <w:szCs w:val="21"/>
          <w:highlight w:val="none"/>
        </w:rPr>
      </w:pPr>
    </w:p>
    <w:p w14:paraId="1AC5F21E">
      <w:pPr>
        <w:snapToGrid w:val="0"/>
        <w:spacing w:line="480" w:lineRule="atLeast"/>
        <w:ind w:firstLine="5280" w:firstLineChars="2200"/>
        <w:rPr>
          <w:rFonts w:hint="eastAsia" w:ascii="宋体" w:hAnsi="宋体" w:eastAsia="宋体" w:cs="宋体"/>
          <w:bCs/>
          <w:color w:val="auto"/>
          <w:sz w:val="24"/>
          <w:szCs w:val="28"/>
          <w:highlight w:val="none"/>
        </w:rPr>
      </w:pPr>
      <w:r>
        <w:rPr>
          <w:rFonts w:hint="eastAsia" w:ascii="宋体" w:hAnsi="宋体" w:eastAsia="宋体" w:cs="宋体"/>
          <w:color w:val="auto"/>
          <w:sz w:val="24"/>
          <w:szCs w:val="21"/>
          <w:highlight w:val="none"/>
        </w:rPr>
        <w:t>签订日期：</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年</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月</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日</w:t>
      </w:r>
    </w:p>
    <w:p w14:paraId="4B09A5E9">
      <w:pPr>
        <w:snapToGrid w:val="0"/>
        <w:spacing w:line="360" w:lineRule="auto"/>
        <w:ind w:firstLine="720" w:firstLineChars="300"/>
        <w:contextualSpacing/>
        <w:rPr>
          <w:rFonts w:hint="eastAsia" w:ascii="宋体" w:hAnsi="宋体" w:eastAsia="宋体" w:cs="宋体"/>
          <w:color w:val="auto"/>
          <w:sz w:val="24"/>
          <w:highlight w:val="none"/>
        </w:rPr>
      </w:pPr>
    </w:p>
    <w:p w14:paraId="65932745">
      <w:pPr>
        <w:spacing w:line="312" w:lineRule="auto"/>
        <w:outlineLvl w:val="2"/>
        <w:rPr>
          <w:rFonts w:hint="eastAsia" w:ascii="宋体" w:hAnsi="宋体" w:eastAsia="宋体" w:cs="宋体"/>
          <w:b/>
          <w:color w:val="auto"/>
          <w:sz w:val="24"/>
          <w:highlight w:val="none"/>
        </w:rPr>
        <w:sectPr>
          <w:pgSz w:w="11906" w:h="16838"/>
          <w:pgMar w:top="1418" w:right="1418" w:bottom="1418" w:left="1418" w:header="851" w:footer="992" w:gutter="0"/>
          <w:cols w:space="720" w:num="1"/>
          <w:docGrid w:linePitch="312" w:charSpace="0"/>
        </w:sectPr>
      </w:pPr>
    </w:p>
    <w:p w14:paraId="78BF5BB3">
      <w:pPr>
        <w:spacing w:line="312" w:lineRule="auto"/>
        <w:outlineLvl w:val="2"/>
        <w:rPr>
          <w:rFonts w:hint="eastAsia" w:ascii="宋体" w:hAnsi="宋体" w:eastAsia="宋体" w:cs="宋体"/>
          <w:b/>
          <w:color w:val="auto"/>
          <w:sz w:val="24"/>
          <w:highlight w:val="none"/>
        </w:rPr>
      </w:pPr>
      <w:bookmarkStart w:id="1083" w:name="_Toc96899376"/>
      <w:bookmarkStart w:id="1084" w:name="_Toc30502"/>
      <w:bookmarkStart w:id="1085" w:name="_Toc104740365"/>
      <w:r>
        <w:rPr>
          <w:rFonts w:hint="eastAsia" w:ascii="宋体" w:hAnsi="宋体" w:eastAsia="宋体" w:cs="宋体"/>
          <w:b/>
          <w:color w:val="auto"/>
          <w:sz w:val="24"/>
          <w:highlight w:val="none"/>
        </w:rPr>
        <w:t>附件三：非道路移动机械使用承诺书</w:t>
      </w:r>
      <w:bookmarkEnd w:id="1083"/>
      <w:bookmarkEnd w:id="1084"/>
      <w:bookmarkEnd w:id="1085"/>
    </w:p>
    <w:p w14:paraId="50219968">
      <w:pPr>
        <w:spacing w:line="312" w:lineRule="auto"/>
        <w:rPr>
          <w:rFonts w:hint="eastAsia" w:ascii="宋体" w:hAnsi="宋体" w:eastAsia="宋体" w:cs="宋体"/>
          <w:color w:val="auto"/>
          <w:highlight w:val="none"/>
        </w:rPr>
      </w:pPr>
    </w:p>
    <w:p w14:paraId="41FD76DC">
      <w:pPr>
        <w:spacing w:line="312"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非道路移动机械使用承诺书</w:t>
      </w:r>
    </w:p>
    <w:p w14:paraId="6E7357E0">
      <w:pPr>
        <w:spacing w:line="312" w:lineRule="auto"/>
        <w:rPr>
          <w:rFonts w:hint="eastAsia" w:ascii="宋体" w:hAnsi="宋体" w:eastAsia="宋体" w:cs="宋体"/>
          <w:color w:val="auto"/>
          <w:highlight w:val="none"/>
        </w:rPr>
      </w:pPr>
    </w:p>
    <w:p w14:paraId="128A3D0D">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北京市水利工程管理中心</w:t>
      </w:r>
      <w:r>
        <w:rPr>
          <w:rFonts w:hint="eastAsia" w:ascii="宋体" w:hAnsi="宋体" w:eastAsia="宋体" w:cs="宋体"/>
          <w:bCs/>
          <w:color w:val="auto"/>
          <w:sz w:val="24"/>
          <w:highlight w:val="none"/>
        </w:rPr>
        <w:t>（发包人名称）：</w:t>
      </w:r>
    </w:p>
    <w:p w14:paraId="32A82421">
      <w:pPr>
        <w:adjustRightInd w:val="0"/>
        <w:snapToGrid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我方作为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段名称）的承包人，作出如下承诺：严格按照北京市生态环境局关于设定禁止高排放非道路移动机械使用区域的要求，在相关区域内，不使用不符合第三阶段及以上排放标准的非道路移动机械（包括挖掘机、装载机、挖掘装载机、叉车、推土机、平地机、压路机、摊铺机、铣刨机、钻机、打桩机、起重机等）；严格按照《北京市机动车和非道路移动机械排放污染防治条例》的要求，使用在本市进行信息编码登记且符合排放标准的非道路移动机械。否则，我方自行承担相应法律后果和有关行政管理部门依法做出的处罚。</w:t>
      </w:r>
    </w:p>
    <w:p w14:paraId="10E1EBDE">
      <w:pPr>
        <w:adjustRightInd w:val="0"/>
        <w:snapToGrid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特此承诺。</w:t>
      </w:r>
    </w:p>
    <w:p w14:paraId="7A8DE24A">
      <w:pPr>
        <w:adjustRightInd w:val="0"/>
        <w:snapToGrid w:val="0"/>
        <w:spacing w:line="360" w:lineRule="auto"/>
        <w:ind w:firstLine="480"/>
        <w:rPr>
          <w:rFonts w:hint="eastAsia" w:ascii="宋体" w:hAnsi="宋体" w:eastAsia="宋体" w:cs="宋体"/>
          <w:bCs/>
          <w:color w:val="auto"/>
          <w:sz w:val="24"/>
          <w:highlight w:val="none"/>
        </w:rPr>
      </w:pPr>
    </w:p>
    <w:p w14:paraId="5B2F109F">
      <w:pPr>
        <w:adjustRightInd w:val="0"/>
        <w:snapToGrid w:val="0"/>
        <w:spacing w:line="360" w:lineRule="auto"/>
        <w:ind w:firstLine="480"/>
        <w:rPr>
          <w:rFonts w:hint="eastAsia" w:ascii="宋体" w:hAnsi="宋体" w:eastAsia="宋体" w:cs="宋体"/>
          <w:bCs/>
          <w:color w:val="auto"/>
          <w:sz w:val="24"/>
          <w:highlight w:val="none"/>
        </w:rPr>
      </w:pPr>
    </w:p>
    <w:p w14:paraId="0CF3BEBB">
      <w:pPr>
        <w:adjustRightInd w:val="0"/>
        <w:snapToGrid w:val="0"/>
        <w:spacing w:line="360" w:lineRule="auto"/>
        <w:ind w:firstLine="480"/>
        <w:rPr>
          <w:rFonts w:hint="eastAsia" w:ascii="宋体" w:hAnsi="宋体" w:eastAsia="宋体" w:cs="宋体"/>
          <w:bCs/>
          <w:color w:val="auto"/>
          <w:sz w:val="24"/>
          <w:highlight w:val="none"/>
        </w:rPr>
      </w:pPr>
    </w:p>
    <w:p w14:paraId="717E1BA4">
      <w:pPr>
        <w:adjustRightInd w:val="0"/>
        <w:snapToGrid w:val="0"/>
        <w:spacing w:line="36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承包人：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（名称并盖单位公章）</w:t>
      </w:r>
    </w:p>
    <w:p w14:paraId="4094AFE2">
      <w:pPr>
        <w:adjustRightInd w:val="0"/>
        <w:snapToGrid w:val="0"/>
        <w:spacing w:line="360" w:lineRule="auto"/>
        <w:ind w:firstLine="3600" w:firstLineChars="15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（签名） </w:t>
      </w:r>
    </w:p>
    <w:p w14:paraId="42E4A40C">
      <w:pPr>
        <w:adjustRightInd w:val="0"/>
        <w:snapToGrid w:val="0"/>
        <w:spacing w:line="360" w:lineRule="auto"/>
        <w:ind w:firstLine="5640" w:firstLineChars="2350"/>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DA042F8">
      <w:pPr>
        <w:spacing w:line="312" w:lineRule="auto"/>
        <w:ind w:firstLine="480"/>
        <w:rPr>
          <w:rFonts w:hint="eastAsia" w:ascii="宋体" w:hAnsi="宋体" w:eastAsia="宋体" w:cs="宋体"/>
          <w:bCs/>
          <w:color w:val="auto"/>
          <w:szCs w:val="21"/>
          <w:highlight w:val="none"/>
          <w:u w:val="single"/>
        </w:rPr>
      </w:pPr>
    </w:p>
    <w:p w14:paraId="5F8506ED">
      <w:pPr>
        <w:spacing w:line="312" w:lineRule="auto"/>
        <w:ind w:firstLine="480"/>
        <w:rPr>
          <w:rFonts w:hint="eastAsia" w:ascii="宋体" w:hAnsi="宋体" w:eastAsia="宋体" w:cs="宋体"/>
          <w:bCs/>
          <w:color w:val="auto"/>
          <w:szCs w:val="21"/>
          <w:highlight w:val="none"/>
          <w:u w:val="single"/>
        </w:rPr>
      </w:pPr>
    </w:p>
    <w:p w14:paraId="6AD67AE9">
      <w:pPr>
        <w:spacing w:line="312" w:lineRule="auto"/>
        <w:ind w:firstLine="480"/>
        <w:rPr>
          <w:rFonts w:hint="eastAsia" w:ascii="宋体" w:hAnsi="宋体" w:eastAsia="宋体" w:cs="宋体"/>
          <w:bCs/>
          <w:color w:val="auto"/>
          <w:szCs w:val="21"/>
          <w:highlight w:val="none"/>
          <w:u w:val="single"/>
        </w:rPr>
      </w:pPr>
    </w:p>
    <w:p w14:paraId="50C25657">
      <w:pPr>
        <w:spacing w:line="312" w:lineRule="auto"/>
        <w:outlineLvl w:val="2"/>
        <w:rPr>
          <w:rFonts w:hint="eastAsia" w:ascii="宋体" w:hAnsi="宋体" w:eastAsia="宋体" w:cs="宋体"/>
          <w:color w:val="auto"/>
          <w:highlight w:val="none"/>
        </w:rPr>
        <w:sectPr>
          <w:headerReference r:id="rId11" w:type="first"/>
          <w:footerReference r:id="rId13" w:type="first"/>
          <w:headerReference r:id="rId10" w:type="even"/>
          <w:footerReference r:id="rId12" w:type="even"/>
          <w:pgSz w:w="11906" w:h="16838"/>
          <w:pgMar w:top="1418" w:right="1418" w:bottom="1418" w:left="1418" w:header="851" w:footer="992" w:gutter="0"/>
          <w:cols w:space="720" w:num="1"/>
          <w:docGrid w:linePitch="312" w:charSpace="0"/>
        </w:sectPr>
      </w:pPr>
    </w:p>
    <w:p w14:paraId="799D5139">
      <w:pPr>
        <w:spacing w:line="312" w:lineRule="auto"/>
        <w:outlineLvl w:val="2"/>
        <w:rPr>
          <w:rFonts w:hint="eastAsia" w:ascii="宋体" w:hAnsi="宋体" w:eastAsia="宋体" w:cs="宋体"/>
          <w:b/>
          <w:color w:val="auto"/>
          <w:sz w:val="24"/>
          <w:highlight w:val="none"/>
        </w:rPr>
      </w:pPr>
      <w:bookmarkStart w:id="1086" w:name="_Toc4509"/>
      <w:bookmarkStart w:id="1087" w:name="_Toc96899377"/>
      <w:bookmarkStart w:id="1088" w:name="_Toc104740366"/>
      <w:r>
        <w:rPr>
          <w:rFonts w:hint="eastAsia" w:ascii="宋体" w:hAnsi="宋体" w:eastAsia="宋体" w:cs="宋体"/>
          <w:b/>
          <w:color w:val="auto"/>
          <w:sz w:val="24"/>
          <w:highlight w:val="none"/>
        </w:rPr>
        <w:t>附件四：扬尘污染防治工作承诺书</w:t>
      </w:r>
      <w:bookmarkEnd w:id="1086"/>
      <w:bookmarkEnd w:id="1087"/>
      <w:bookmarkEnd w:id="1088"/>
    </w:p>
    <w:p w14:paraId="078C3626">
      <w:pPr>
        <w:rPr>
          <w:rFonts w:hint="eastAsia" w:ascii="宋体" w:hAnsi="宋体" w:eastAsia="宋体" w:cs="宋体"/>
          <w:color w:val="auto"/>
          <w:highlight w:val="none"/>
        </w:rPr>
      </w:pPr>
    </w:p>
    <w:p w14:paraId="68C01556">
      <w:pPr>
        <w:widowControl/>
        <w:spacing w:line="312"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扬尘污染防治工作承诺书</w:t>
      </w:r>
    </w:p>
    <w:p w14:paraId="17309E2A">
      <w:pPr>
        <w:adjustRightInd w:val="0"/>
        <w:snapToGrid w:val="0"/>
        <w:spacing w:line="360" w:lineRule="auto"/>
        <w:rPr>
          <w:rFonts w:hint="eastAsia" w:ascii="宋体" w:hAnsi="宋体" w:eastAsia="宋体" w:cs="宋体"/>
          <w:bCs/>
          <w:color w:val="auto"/>
          <w:sz w:val="24"/>
          <w:highlight w:val="none"/>
          <w:u w:val="single"/>
        </w:rPr>
      </w:pPr>
    </w:p>
    <w:p w14:paraId="0CA7A638">
      <w:pPr>
        <w:adjustRightInd w:val="0"/>
        <w:snapToGri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北京市水利工程管理中心</w:t>
      </w:r>
      <w:r>
        <w:rPr>
          <w:rFonts w:hint="eastAsia" w:ascii="宋体" w:hAnsi="宋体" w:eastAsia="宋体" w:cs="宋体"/>
          <w:bCs/>
          <w:color w:val="auto"/>
          <w:sz w:val="24"/>
          <w:highlight w:val="none"/>
        </w:rPr>
        <w:t>（发包人名称）：</w:t>
      </w:r>
    </w:p>
    <w:p w14:paraId="41DEB1D0">
      <w:pPr>
        <w:adjustRightInd w:val="0"/>
        <w:snapToGrid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我方作为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段名称）的承包人，作出如下承诺：对扬尘污染防治工作负主体责任，做好“六个百分百”，周边围挡100%搭设、物料堆放100%覆盖、土方开挖100%湿法作业、路面100%硬化、出入车辆100%清洗、渣土车100%密闭运输；工地出口两侧各100米路面实行“三包”：包干净、包秩序、包美化；保持路面湿润（雨雪天除外），确保扬尘不出院、路面不见土、车辆不带泥、周边不起尘，并同步安装颗粒物在线监测、视频监测系统，与市住建委监管平台联网，接受有关部门的监督。如违反承诺，我方自行承担相应法律后果和有关行政管理部门依法做出的处罚，并按合同违约条款的约定，接受发包人的处罚。</w:t>
      </w:r>
    </w:p>
    <w:p w14:paraId="7DBDE6F1">
      <w:pPr>
        <w:adjustRightInd w:val="0"/>
        <w:snapToGrid w:val="0"/>
        <w:spacing w:line="360" w:lineRule="auto"/>
        <w:ind w:firstLine="480"/>
        <w:rPr>
          <w:rFonts w:hint="eastAsia" w:ascii="宋体" w:hAnsi="宋体" w:eastAsia="宋体" w:cs="宋体"/>
          <w:bCs/>
          <w:color w:val="auto"/>
          <w:sz w:val="24"/>
          <w:highlight w:val="none"/>
        </w:rPr>
      </w:pPr>
    </w:p>
    <w:p w14:paraId="52FB1B7C">
      <w:pPr>
        <w:adjustRightInd w:val="0"/>
        <w:snapToGrid w:val="0"/>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特此承诺。</w:t>
      </w:r>
    </w:p>
    <w:p w14:paraId="37ECE3F2">
      <w:pPr>
        <w:spacing w:line="360" w:lineRule="auto"/>
        <w:rPr>
          <w:rFonts w:hint="eastAsia" w:ascii="宋体" w:hAnsi="宋体" w:eastAsia="宋体" w:cs="宋体"/>
          <w:color w:val="auto"/>
          <w:sz w:val="24"/>
          <w:highlight w:val="none"/>
        </w:rPr>
      </w:pPr>
    </w:p>
    <w:p w14:paraId="36E7F901">
      <w:pPr>
        <w:spacing w:line="360" w:lineRule="auto"/>
        <w:rPr>
          <w:rFonts w:hint="eastAsia" w:ascii="宋体" w:hAnsi="宋体" w:eastAsia="宋体" w:cs="宋体"/>
          <w:color w:val="auto"/>
          <w:sz w:val="24"/>
          <w:highlight w:val="none"/>
        </w:rPr>
      </w:pPr>
    </w:p>
    <w:p w14:paraId="16221259">
      <w:pPr>
        <w:spacing w:line="360" w:lineRule="auto"/>
        <w:rPr>
          <w:rFonts w:hint="eastAsia" w:ascii="宋体" w:hAnsi="宋体" w:eastAsia="宋体" w:cs="宋体"/>
          <w:color w:val="auto"/>
          <w:sz w:val="24"/>
          <w:highlight w:val="none"/>
        </w:rPr>
      </w:pPr>
    </w:p>
    <w:p w14:paraId="1117A5C4">
      <w:pPr>
        <w:adjustRightInd w:val="0"/>
        <w:snapToGrid w:val="0"/>
        <w:spacing w:line="360" w:lineRule="auto"/>
        <w:ind w:firstLine="4080" w:firstLineChars="17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承包人：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（名称并盖单位公章）</w:t>
      </w:r>
    </w:p>
    <w:p w14:paraId="38D346C8">
      <w:pPr>
        <w:adjustRightInd w:val="0"/>
        <w:snapToGrid w:val="0"/>
        <w:spacing w:line="360" w:lineRule="auto"/>
        <w:ind w:firstLine="4080" w:firstLineChars="17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（签名） </w:t>
      </w:r>
    </w:p>
    <w:p w14:paraId="33235484">
      <w:pPr>
        <w:adjustRightInd w:val="0"/>
        <w:snapToGrid w:val="0"/>
        <w:spacing w:line="360" w:lineRule="auto"/>
        <w:ind w:firstLine="4200" w:firstLineChars="1750"/>
        <w:rPr>
          <w:rFonts w:hint="eastAsia" w:ascii="宋体" w:hAnsi="宋体" w:eastAsia="宋体" w:cs="宋体"/>
          <w:color w:val="auto"/>
          <w:sz w:val="24"/>
          <w:highlight w:val="none"/>
        </w:rPr>
        <w:sectPr>
          <w:pgSz w:w="11906" w:h="16838"/>
          <w:pgMar w:top="1418" w:right="1418" w:bottom="1418" w:left="1418" w:header="851" w:footer="992" w:gutter="0"/>
          <w:cols w:space="720" w:num="1"/>
          <w:docGrid w:type="linesAndChars" w:linePitch="312" w:charSpace="0"/>
        </w:sect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4681ADB">
      <w:pPr>
        <w:spacing w:line="312" w:lineRule="auto"/>
        <w:outlineLvl w:val="2"/>
        <w:rPr>
          <w:rFonts w:hint="eastAsia" w:ascii="宋体" w:hAnsi="宋体" w:eastAsia="宋体" w:cs="宋体"/>
          <w:b/>
          <w:color w:val="auto"/>
          <w:sz w:val="24"/>
          <w:highlight w:val="none"/>
        </w:rPr>
      </w:pPr>
      <w:bookmarkStart w:id="1089" w:name="_Toc96899378"/>
      <w:bookmarkStart w:id="1090" w:name="_Toc104740367"/>
      <w:bookmarkStart w:id="1091" w:name="_Toc28244"/>
      <w:r>
        <w:rPr>
          <w:rFonts w:hint="eastAsia" w:ascii="宋体" w:hAnsi="宋体" w:eastAsia="宋体" w:cs="宋体"/>
          <w:b/>
          <w:color w:val="auto"/>
          <w:sz w:val="24"/>
          <w:highlight w:val="none"/>
        </w:rPr>
        <w:t>附件五：北京市工程建设项目保障农民工工资支付工作承诺书</w:t>
      </w:r>
      <w:bookmarkEnd w:id="1089"/>
      <w:bookmarkEnd w:id="1090"/>
      <w:bookmarkEnd w:id="1091"/>
    </w:p>
    <w:p w14:paraId="52E0EBAA">
      <w:pPr>
        <w:rPr>
          <w:rFonts w:hint="eastAsia" w:ascii="宋体" w:hAnsi="宋体" w:eastAsia="宋体" w:cs="宋体"/>
          <w:color w:val="auto"/>
          <w:highlight w:val="none"/>
        </w:rPr>
      </w:pPr>
    </w:p>
    <w:p w14:paraId="7F9630CE">
      <w:pPr>
        <w:widowControl/>
        <w:spacing w:line="312"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北京市工程建设项目</w:t>
      </w:r>
    </w:p>
    <w:p w14:paraId="4F988BC8">
      <w:pPr>
        <w:widowControl/>
        <w:spacing w:line="312"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保障农民工工资支付工作承诺书</w:t>
      </w:r>
    </w:p>
    <w:p w14:paraId="12627B91">
      <w:pPr>
        <w:rPr>
          <w:rFonts w:hint="eastAsia" w:ascii="宋体" w:hAnsi="宋体" w:eastAsia="宋体" w:cs="宋体"/>
          <w:color w:val="auto"/>
          <w:highlight w:val="none"/>
        </w:rPr>
      </w:pPr>
    </w:p>
    <w:p w14:paraId="31F52D46">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2D4F46C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项目地址：</w:t>
      </w:r>
      <w:r>
        <w:rPr>
          <w:rFonts w:hint="eastAsia" w:ascii="宋体" w:hAnsi="宋体" w:eastAsia="宋体" w:cs="宋体"/>
          <w:color w:val="auto"/>
          <w:sz w:val="24"/>
          <w:highlight w:val="none"/>
          <w:u w:val="single"/>
        </w:rPr>
        <w:t xml:space="preserve">                    </w:t>
      </w:r>
    </w:p>
    <w:p w14:paraId="698DF7B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w:t>
      </w:r>
      <w:r>
        <w:rPr>
          <w:rFonts w:hint="eastAsia" w:ascii="宋体" w:hAnsi="宋体" w:eastAsia="宋体" w:cs="宋体"/>
          <w:color w:val="auto"/>
          <w:sz w:val="24"/>
          <w:highlight w:val="none"/>
          <w:u w:val="single"/>
        </w:rPr>
        <w:t xml:space="preserve">                      </w:t>
      </w:r>
    </w:p>
    <w:p w14:paraId="4F2846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为保障农民工工资支付，作为总承包企业（专业承包企业），我单位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（企业名称）现作出郑重承诺，保证遵守以下内容，切实维护本工程项目中农民工的合法权益：</w:t>
      </w:r>
    </w:p>
    <w:p w14:paraId="315DA7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一、在工程项目全面实施实名制管理，按月收集并确认《工资表》《考勤表》和《施工人员变更情况周统计表》。</w:t>
      </w:r>
    </w:p>
    <w:p w14:paraId="7D725C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二、按照本市有关规定按月足额支付农民工工资。</w:t>
      </w:r>
    </w:p>
    <w:p w14:paraId="5F8422B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14:paraId="5CA22F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39B2E4D">
      <w:pPr>
        <w:spacing w:line="360" w:lineRule="auto"/>
        <w:rPr>
          <w:rFonts w:hint="eastAsia" w:ascii="宋体" w:hAnsi="宋体" w:eastAsia="宋体" w:cs="宋体"/>
          <w:color w:val="auto"/>
          <w:sz w:val="24"/>
          <w:highlight w:val="none"/>
        </w:rPr>
      </w:pPr>
    </w:p>
    <w:p w14:paraId="2B55C775">
      <w:pPr>
        <w:spacing w:line="360" w:lineRule="auto"/>
        <w:rPr>
          <w:rFonts w:hint="eastAsia" w:ascii="宋体" w:hAnsi="宋体" w:eastAsia="宋体" w:cs="宋体"/>
          <w:color w:val="auto"/>
          <w:sz w:val="24"/>
          <w:highlight w:val="none"/>
        </w:rPr>
      </w:pPr>
    </w:p>
    <w:p w14:paraId="75AF6D9D">
      <w:pPr>
        <w:spacing w:line="360" w:lineRule="auto"/>
        <w:rPr>
          <w:rFonts w:hint="eastAsia" w:ascii="宋体" w:hAnsi="宋体" w:eastAsia="宋体" w:cs="宋体"/>
          <w:color w:val="auto"/>
          <w:sz w:val="24"/>
          <w:highlight w:val="none"/>
        </w:rPr>
      </w:pPr>
    </w:p>
    <w:p w14:paraId="1D3B1938">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承诺单位（加盖企业公章或项目部公章）：</w:t>
      </w:r>
      <w:r>
        <w:rPr>
          <w:rFonts w:hint="eastAsia" w:ascii="宋体" w:hAnsi="宋体" w:eastAsia="宋体" w:cs="宋体"/>
          <w:color w:val="auto"/>
          <w:sz w:val="24"/>
          <w:highlight w:val="none"/>
          <w:u w:val="single"/>
        </w:rPr>
        <w:t xml:space="preserve">                        </w:t>
      </w:r>
    </w:p>
    <w:p w14:paraId="12E679AC">
      <w:pPr>
        <w:snapToGrid w:val="0"/>
        <w:spacing w:line="360" w:lineRule="auto"/>
        <w:ind w:firstLine="480" w:firstLineChars="200"/>
        <w:rPr>
          <w:rFonts w:hint="eastAsia" w:ascii="宋体" w:hAnsi="宋体" w:eastAsia="宋体" w:cs="宋体"/>
          <w:color w:val="auto"/>
          <w:sz w:val="24"/>
          <w:highlight w:val="none"/>
        </w:rPr>
      </w:pPr>
    </w:p>
    <w:p w14:paraId="5DFE98F0">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企业法定代表人或委托代理人签字：</w:t>
      </w:r>
      <w:r>
        <w:rPr>
          <w:rFonts w:hint="eastAsia" w:ascii="宋体" w:hAnsi="宋体" w:eastAsia="宋体" w:cs="宋体"/>
          <w:color w:val="auto"/>
          <w:sz w:val="24"/>
          <w:highlight w:val="none"/>
          <w:u w:val="single"/>
        </w:rPr>
        <w:t xml:space="preserve">                             </w:t>
      </w:r>
    </w:p>
    <w:p w14:paraId="1563D634">
      <w:pPr>
        <w:snapToGrid w:val="0"/>
        <w:spacing w:line="360" w:lineRule="auto"/>
        <w:ind w:firstLine="480" w:firstLineChars="200"/>
        <w:rPr>
          <w:rFonts w:hint="eastAsia" w:ascii="宋体" w:hAnsi="宋体" w:eastAsia="宋体" w:cs="宋体"/>
          <w:color w:val="auto"/>
          <w:sz w:val="24"/>
          <w:highlight w:val="none"/>
        </w:rPr>
      </w:pPr>
    </w:p>
    <w:p w14:paraId="5FB5407E">
      <w:pPr>
        <w:rPr>
          <w:rFonts w:hint="eastAsia" w:ascii="宋体" w:hAnsi="宋体" w:eastAsia="宋体" w:cs="宋体"/>
          <w:color w:val="auto"/>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p>
    <w:p w14:paraId="5EC45774">
      <w:pPr>
        <w:rPr>
          <w:rFonts w:hint="eastAsia" w:ascii="宋体" w:hAnsi="宋体" w:eastAsia="宋体" w:cs="宋体"/>
          <w:color w:val="auto"/>
          <w:highlight w:val="none"/>
        </w:rPr>
      </w:pPr>
    </w:p>
    <w:p w14:paraId="43CE2883">
      <w:pPr>
        <w:pStyle w:val="10"/>
        <w:rPr>
          <w:rFonts w:hint="eastAsia" w:ascii="宋体" w:hAnsi="宋体" w:eastAsia="宋体" w:cs="宋体"/>
          <w:color w:val="auto"/>
          <w:highlight w:val="none"/>
        </w:rPr>
      </w:pPr>
    </w:p>
    <w:p w14:paraId="73BFBE92">
      <w:pPr>
        <w:pStyle w:val="10"/>
        <w:jc w:val="both"/>
        <w:rPr>
          <w:rFonts w:hint="eastAsia" w:ascii="宋体" w:hAnsi="宋体" w:eastAsia="宋体" w:cs="宋体"/>
          <w:color w:val="auto"/>
          <w:highlight w:val="none"/>
        </w:rPr>
      </w:pPr>
    </w:p>
    <w:p w14:paraId="4E3BA4D4">
      <w:pPr>
        <w:spacing w:line="312"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附件六：履约担保</w:t>
      </w:r>
    </w:p>
    <w:p w14:paraId="1E049D37">
      <w:pPr>
        <w:widowControl/>
        <w:spacing w:line="312"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履约担保</w:t>
      </w:r>
    </w:p>
    <w:p w14:paraId="08EE0784">
      <w:pPr>
        <w:widowControl/>
        <w:spacing w:line="312" w:lineRule="auto"/>
        <w:jc w:val="left"/>
        <w:rPr>
          <w:rFonts w:hint="eastAsia" w:ascii="宋体" w:hAnsi="宋体" w:eastAsia="宋体" w:cs="宋体"/>
          <w:color w:val="auto"/>
          <w:kern w:val="0"/>
          <w:sz w:val="20"/>
          <w:szCs w:val="20"/>
          <w:highlight w:val="none"/>
        </w:rPr>
      </w:pPr>
    </w:p>
    <w:p w14:paraId="6C0788BA">
      <w:pPr>
        <w:widowControl/>
        <w:spacing w:line="312"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（发包人名称）：</w:t>
      </w:r>
    </w:p>
    <w:p w14:paraId="7269F825">
      <w:pPr>
        <w:widowControl/>
        <w:spacing w:line="312" w:lineRule="auto"/>
        <w:jc w:val="left"/>
        <w:rPr>
          <w:rFonts w:hint="eastAsia" w:ascii="宋体" w:hAnsi="宋体" w:eastAsia="宋体" w:cs="宋体"/>
          <w:color w:val="auto"/>
          <w:kern w:val="0"/>
          <w:sz w:val="24"/>
          <w:highlight w:val="none"/>
        </w:rPr>
      </w:pPr>
    </w:p>
    <w:p w14:paraId="1C63F370">
      <w:pPr>
        <w:widowControl/>
        <w:spacing w:line="312"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鉴于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（发包人名称，以下简称“发包人”）接受</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（承包人名称，以下简称“承包人”）于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（标段名称）的投标。我方愿意无条件地、不可撤销地就承包人履行与你方订立的合同，向你方提供担保。</w:t>
      </w:r>
    </w:p>
    <w:p w14:paraId="48256513">
      <w:pPr>
        <w:widowControl/>
        <w:spacing w:line="312"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 担保金额人民币（大写）</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元（¥</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10F10471">
      <w:pPr>
        <w:widowControl/>
        <w:spacing w:line="312"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 担保有效期自发包人与承包人签订的合同生效之日起至发包人签发合同工程完工证书之日止。</w:t>
      </w:r>
    </w:p>
    <w:p w14:paraId="37E3F73B">
      <w:pPr>
        <w:widowControl/>
        <w:spacing w:line="312"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 在本担保有效期内，因承包人违反合同约定的义务给你方造成经济损失时，我方在收到你方以书面形式提出的在担保金额内的赔偿要求后，无条件地在7天内予以支付。</w:t>
      </w:r>
    </w:p>
    <w:p w14:paraId="0D3D9A12">
      <w:pPr>
        <w:widowControl/>
        <w:spacing w:line="312"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 发包人和承包人按《合同条款》第15条变更合同时，我方承担本担保规定的义务不变。</w:t>
      </w:r>
    </w:p>
    <w:p w14:paraId="15CCDA5D">
      <w:pPr>
        <w:widowControl/>
        <w:spacing w:line="312" w:lineRule="auto"/>
        <w:jc w:val="left"/>
        <w:rPr>
          <w:rFonts w:hint="eastAsia" w:ascii="宋体" w:hAnsi="宋体" w:eastAsia="宋体" w:cs="宋体"/>
          <w:color w:val="auto"/>
          <w:kern w:val="0"/>
          <w:sz w:val="24"/>
          <w:highlight w:val="none"/>
        </w:rPr>
      </w:pPr>
    </w:p>
    <w:p w14:paraId="16C8B556">
      <w:pPr>
        <w:widowControl/>
        <w:spacing w:line="312" w:lineRule="auto"/>
        <w:jc w:val="left"/>
        <w:rPr>
          <w:rFonts w:hint="eastAsia" w:ascii="宋体" w:hAnsi="宋体" w:eastAsia="宋体" w:cs="宋体"/>
          <w:color w:val="auto"/>
          <w:kern w:val="0"/>
          <w:sz w:val="24"/>
          <w:highlight w:val="none"/>
        </w:rPr>
      </w:pPr>
    </w:p>
    <w:p w14:paraId="7A50F1AF">
      <w:pPr>
        <w:widowControl/>
        <w:spacing w:line="312" w:lineRule="auto"/>
        <w:ind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担 保 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（盖单位章）</w:t>
      </w:r>
    </w:p>
    <w:p w14:paraId="5C7D99A1">
      <w:pPr>
        <w:widowControl/>
        <w:spacing w:line="312" w:lineRule="auto"/>
        <w:ind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（签字）</w:t>
      </w:r>
    </w:p>
    <w:p w14:paraId="62D39A61">
      <w:pPr>
        <w:widowControl/>
        <w:spacing w:line="312" w:lineRule="auto"/>
        <w:ind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p>
    <w:p w14:paraId="5C3D35F8">
      <w:pPr>
        <w:widowControl/>
        <w:spacing w:line="312" w:lineRule="auto"/>
        <w:ind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ab/>
      </w:r>
      <w:r>
        <w:rPr>
          <w:rFonts w:hint="eastAsia" w:ascii="宋体" w:hAnsi="宋体" w:eastAsia="宋体" w:cs="宋体"/>
          <w:color w:val="auto"/>
          <w:kern w:val="0"/>
          <w:sz w:val="24"/>
          <w:highlight w:val="none"/>
          <w:u w:val="single"/>
        </w:rPr>
        <w:t xml:space="preserve">     </w:t>
      </w:r>
    </w:p>
    <w:p w14:paraId="485D7825">
      <w:pPr>
        <w:widowControl/>
        <w:spacing w:line="312" w:lineRule="auto"/>
        <w:ind w:firstLine="3259" w:firstLineChars="1358"/>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电    话：</w:t>
      </w:r>
      <w:r>
        <w:rPr>
          <w:rFonts w:hint="eastAsia" w:ascii="宋体" w:hAnsi="宋体" w:eastAsia="宋体" w:cs="宋体"/>
          <w:color w:val="auto"/>
          <w:kern w:val="0"/>
          <w:sz w:val="24"/>
          <w:highlight w:val="none"/>
          <w:u w:val="single"/>
        </w:rPr>
        <w:t xml:space="preserve">                                </w:t>
      </w:r>
    </w:p>
    <w:p w14:paraId="7AB85197">
      <w:pPr>
        <w:widowControl/>
        <w:spacing w:line="312" w:lineRule="auto"/>
        <w:ind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    真：</w:t>
      </w:r>
      <w:r>
        <w:rPr>
          <w:rFonts w:hint="eastAsia" w:ascii="宋体" w:hAnsi="宋体" w:eastAsia="宋体" w:cs="宋体"/>
          <w:color w:val="auto"/>
          <w:kern w:val="0"/>
          <w:sz w:val="24"/>
          <w:highlight w:val="none"/>
          <w:u w:val="single"/>
        </w:rPr>
        <w:t xml:space="preserve">                                </w:t>
      </w:r>
    </w:p>
    <w:p w14:paraId="5878B585">
      <w:pPr>
        <w:widowControl/>
        <w:spacing w:line="312" w:lineRule="auto"/>
        <w:ind w:right="-2" w:firstLine="3259" w:firstLineChars="1358"/>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599AEF7">
      <w:pPr>
        <w:pStyle w:val="10"/>
        <w:jc w:val="both"/>
        <w:rPr>
          <w:rFonts w:hint="eastAsia" w:ascii="宋体" w:hAnsi="宋体" w:eastAsia="宋体" w:cs="宋体"/>
          <w:color w:val="auto"/>
          <w:highlight w:val="none"/>
        </w:rPr>
      </w:pPr>
    </w:p>
    <w:p w14:paraId="48D1E6FA">
      <w:pPr>
        <w:spacing w:line="312" w:lineRule="auto"/>
        <w:outlineLvl w:val="2"/>
        <w:rPr>
          <w:rFonts w:hint="eastAsia" w:ascii="宋体" w:hAnsi="宋体" w:eastAsia="宋体" w:cs="宋体"/>
          <w:b/>
          <w:color w:val="auto"/>
          <w:sz w:val="24"/>
          <w:highlight w:val="none"/>
        </w:rPr>
        <w:sectPr>
          <w:pgSz w:w="11906" w:h="16838"/>
          <w:pgMar w:top="1440" w:right="1800" w:bottom="1440" w:left="1800" w:header="851" w:footer="992" w:gutter="0"/>
          <w:cols w:space="720" w:num="1"/>
          <w:docGrid w:type="lines" w:linePitch="312" w:charSpace="0"/>
        </w:sectPr>
      </w:pPr>
    </w:p>
    <w:p w14:paraId="79CB2371">
      <w:pPr>
        <w:spacing w:line="312"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附件七：质量保证保函</w:t>
      </w:r>
    </w:p>
    <w:p w14:paraId="7AAED70F">
      <w:pPr>
        <w:widowControl/>
        <w:spacing w:line="312" w:lineRule="auto"/>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质量保证保函</w:t>
      </w:r>
    </w:p>
    <w:p w14:paraId="17EF1B41">
      <w:pPr>
        <w:widowControl/>
        <w:spacing w:line="360" w:lineRule="auto"/>
        <w:ind w:firstLine="480" w:firstLineChars="200"/>
        <w:textAlignment w:val="baseline"/>
        <w:rPr>
          <w:rFonts w:hint="eastAsia" w:ascii="宋体" w:hAnsi="宋体" w:eastAsia="宋体" w:cs="宋体"/>
          <w:color w:val="auto"/>
          <w:sz w:val="24"/>
          <w:highlight w:val="none"/>
        </w:rPr>
      </w:pPr>
    </w:p>
    <w:p w14:paraId="664D168D">
      <w:pPr>
        <w:widowControl/>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w:t>
      </w:r>
    </w:p>
    <w:p w14:paraId="39F6B36E">
      <w:pPr>
        <w:widowControl/>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日签订的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（标段名称）承包合同，承包人需向你方提交一份质量保证保函，我方愿意就承包人履行修复缺陷责任给承包人提供担保。</w:t>
      </w:r>
    </w:p>
    <w:p w14:paraId="0789739A">
      <w:pPr>
        <w:widowControl/>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 担保金额人民币（大写）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915E758">
      <w:pPr>
        <w:widowControl/>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 本担保有效期自你方将质量保证金全部支付给承包人之日起，至本合同工程质量保修期届满之日满止。</w:t>
      </w:r>
    </w:p>
    <w:p w14:paraId="529B1C8E">
      <w:pPr>
        <w:widowControl/>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 在本担保有效期内，因承包人未履行修复缺陷责任，我方在收到你方以书面形式提出的在担保金额内的赔偿要求后，无条件地在7天内予以支付。</w:t>
      </w:r>
    </w:p>
    <w:p w14:paraId="225DB7BE">
      <w:pPr>
        <w:widowControl/>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4. 发包人和承包人按《合同条款》第19.3款延长缺陷责任期（工程质量保修期）时，我方承担本担保规定的义务不变。</w:t>
      </w:r>
    </w:p>
    <w:p w14:paraId="7A85CBC7">
      <w:pPr>
        <w:widowControl/>
        <w:spacing w:line="360" w:lineRule="auto"/>
        <w:ind w:firstLine="4500" w:firstLineChars="1875"/>
        <w:textAlignment w:val="baseline"/>
        <w:rPr>
          <w:rFonts w:hint="eastAsia" w:ascii="宋体" w:hAnsi="宋体" w:eastAsia="宋体" w:cs="宋体"/>
          <w:color w:val="auto"/>
          <w:sz w:val="24"/>
          <w:highlight w:val="none"/>
        </w:rPr>
      </w:pPr>
    </w:p>
    <w:p w14:paraId="5BB213BD">
      <w:pPr>
        <w:widowControl/>
        <w:spacing w:line="360" w:lineRule="auto"/>
        <w:ind w:firstLine="4500" w:firstLineChars="1875"/>
        <w:textAlignment w:val="baseline"/>
        <w:rPr>
          <w:rFonts w:hint="eastAsia" w:ascii="宋体" w:hAnsi="宋体" w:eastAsia="宋体" w:cs="宋体"/>
          <w:color w:val="auto"/>
          <w:sz w:val="24"/>
          <w:highlight w:val="none"/>
        </w:rPr>
      </w:pPr>
    </w:p>
    <w:p w14:paraId="67A38E5A">
      <w:pPr>
        <w:widowControl/>
        <w:spacing w:line="360" w:lineRule="auto"/>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担 保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1DA9C48">
      <w:pPr>
        <w:widowControl/>
        <w:spacing w:line="360" w:lineRule="auto"/>
        <w:jc w:val="righ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BB7F0B0">
      <w:pPr>
        <w:widowControl/>
        <w:spacing w:line="360" w:lineRule="auto"/>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0A76CE31">
      <w:pPr>
        <w:widowControl/>
        <w:spacing w:line="360" w:lineRule="auto"/>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76E6CEEA">
      <w:pPr>
        <w:widowControl/>
        <w:spacing w:line="360" w:lineRule="auto"/>
        <w:ind w:firstLine="4080" w:firstLineChars="1700"/>
        <w:textAlignment w:val="baseline"/>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p>
    <w:p w14:paraId="4231E8D4">
      <w:pPr>
        <w:widowControl/>
        <w:spacing w:line="360" w:lineRule="auto"/>
        <w:ind w:firstLine="4080" w:firstLineChars="1700"/>
        <w:textAlignment w:val="baseline"/>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p>
    <w:p w14:paraId="02FD2024">
      <w:pPr>
        <w:widowControl/>
        <w:spacing w:line="360" w:lineRule="auto"/>
        <w:jc w:val="right"/>
        <w:textAlignment w:val="baseline"/>
        <w:rPr>
          <w:rFonts w:hint="eastAsia" w:ascii="宋体" w:hAnsi="宋体" w:eastAsia="宋体" w:cs="宋体"/>
          <w:b/>
          <w:color w:val="auto"/>
          <w:sz w:val="36"/>
          <w:szCs w:val="36"/>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DC4EA53">
      <w:pPr>
        <w:rPr>
          <w:rFonts w:hint="eastAsia" w:ascii="宋体" w:hAnsi="宋体" w:eastAsia="宋体" w:cs="宋体"/>
        </w:rPr>
      </w:pPr>
    </w:p>
    <w:p w14:paraId="775128B7">
      <w:pPr>
        <w:widowControl/>
        <w:jc w:val="left"/>
        <w:rPr>
          <w:rFonts w:hint="eastAsia" w:ascii="宋体" w:hAnsi="宋体" w:eastAsia="宋体" w:cs="宋体"/>
          <w:sz w:val="24"/>
        </w:rPr>
      </w:pPr>
    </w:p>
    <w:p w14:paraId="64C20100">
      <w:pPr>
        <w:spacing w:line="360" w:lineRule="auto"/>
        <w:jc w:val="center"/>
        <w:outlineLvl w:val="0"/>
        <w:rPr>
          <w:rFonts w:hint="eastAsia" w:ascii="宋体" w:hAnsi="宋体" w:eastAsia="宋体" w:cs="宋体"/>
          <w:b/>
          <w:sz w:val="36"/>
          <w:szCs w:val="36"/>
        </w:rPr>
      </w:pPr>
      <w:bookmarkStart w:id="1092" w:name="_Toc103153309"/>
      <w:bookmarkStart w:id="1093" w:name="_Toc25277"/>
      <w:r>
        <w:rPr>
          <w:rFonts w:hint="eastAsia" w:ascii="宋体" w:hAnsi="宋体" w:eastAsia="宋体" w:cs="宋体"/>
          <w:b/>
          <w:sz w:val="36"/>
          <w:szCs w:val="36"/>
        </w:rPr>
        <w:t>第</w:t>
      </w:r>
      <w:r>
        <w:rPr>
          <w:rFonts w:hint="eastAsia" w:ascii="宋体" w:hAnsi="宋体" w:cs="宋体"/>
          <w:b/>
          <w:sz w:val="36"/>
          <w:szCs w:val="36"/>
          <w:lang w:val="en-US" w:eastAsia="zh-CN"/>
        </w:rPr>
        <w:t>七</w:t>
      </w:r>
      <w:r>
        <w:rPr>
          <w:rFonts w:hint="eastAsia" w:ascii="宋体" w:hAnsi="宋体" w:eastAsia="宋体" w:cs="宋体"/>
          <w:b/>
          <w:sz w:val="36"/>
          <w:szCs w:val="36"/>
        </w:rPr>
        <w:t>章   响应文件格式</w:t>
      </w:r>
      <w:bookmarkEnd w:id="1092"/>
      <w:bookmarkEnd w:id="1093"/>
    </w:p>
    <w:p w14:paraId="142F688A">
      <w:pPr>
        <w:spacing w:before="78" w:line="360" w:lineRule="auto"/>
        <w:ind w:left="12"/>
        <w:rPr>
          <w:rFonts w:hint="eastAsia" w:ascii="宋体" w:hAnsi="宋体" w:eastAsia="宋体" w:cs="宋体"/>
          <w:sz w:val="24"/>
        </w:rPr>
      </w:pPr>
    </w:p>
    <w:p w14:paraId="0058B5B4">
      <w:pPr>
        <w:widowControl/>
        <w:jc w:val="left"/>
        <w:rPr>
          <w:rFonts w:hint="eastAsia" w:ascii="宋体" w:hAnsi="宋体" w:eastAsia="宋体" w:cs="宋体"/>
          <w:sz w:val="24"/>
        </w:rPr>
      </w:pPr>
      <w:r>
        <w:rPr>
          <w:rFonts w:hint="eastAsia" w:ascii="宋体" w:hAnsi="宋体" w:eastAsia="宋体" w:cs="宋体"/>
          <w:sz w:val="24"/>
        </w:rPr>
        <w:br w:type="page"/>
      </w:r>
    </w:p>
    <w:p w14:paraId="18E13A95">
      <w:pPr>
        <w:widowControl/>
        <w:jc w:val="left"/>
        <w:rPr>
          <w:rFonts w:hint="eastAsia" w:ascii="宋体" w:hAnsi="宋体" w:eastAsia="宋体" w:cs="宋体"/>
          <w:b/>
          <w:sz w:val="32"/>
          <w:szCs w:val="32"/>
        </w:rPr>
      </w:pPr>
      <w:r>
        <w:rPr>
          <w:rFonts w:hint="eastAsia" w:ascii="宋体" w:hAnsi="宋体" w:eastAsia="宋体" w:cs="宋体"/>
          <w:b/>
          <w:spacing w:val="20"/>
          <w:sz w:val="32"/>
          <w:szCs w:val="32"/>
        </w:rPr>
        <w:t>响应文件</w:t>
      </w:r>
      <w:r>
        <w:rPr>
          <w:rFonts w:hint="eastAsia" w:ascii="宋体" w:hAnsi="宋体" w:eastAsia="宋体" w:cs="宋体"/>
          <w:b/>
          <w:sz w:val="32"/>
          <w:szCs w:val="32"/>
        </w:rPr>
        <w:t>封面（非实质性格式）</w:t>
      </w:r>
    </w:p>
    <w:p w14:paraId="57650F77">
      <w:pPr>
        <w:jc w:val="center"/>
        <w:rPr>
          <w:rFonts w:hint="eastAsia" w:ascii="宋体" w:hAnsi="宋体" w:eastAsia="宋体" w:cs="宋体"/>
          <w:szCs w:val="21"/>
        </w:rPr>
      </w:pPr>
    </w:p>
    <w:p w14:paraId="36F8A29F">
      <w:pPr>
        <w:jc w:val="center"/>
        <w:rPr>
          <w:rFonts w:hint="eastAsia" w:ascii="宋体" w:hAnsi="宋体" w:eastAsia="宋体" w:cs="宋体"/>
          <w:szCs w:val="21"/>
        </w:rPr>
      </w:pPr>
    </w:p>
    <w:p w14:paraId="50A7EDEB">
      <w:pPr>
        <w:jc w:val="center"/>
        <w:rPr>
          <w:rFonts w:hint="eastAsia" w:ascii="宋体" w:hAnsi="宋体" w:eastAsia="宋体" w:cs="宋体"/>
          <w:szCs w:val="21"/>
        </w:rPr>
      </w:pPr>
    </w:p>
    <w:p w14:paraId="648233F0">
      <w:pPr>
        <w:jc w:val="center"/>
        <w:rPr>
          <w:rFonts w:hint="eastAsia" w:ascii="宋体" w:hAnsi="宋体" w:eastAsia="宋体" w:cs="宋体"/>
          <w:szCs w:val="21"/>
        </w:rPr>
      </w:pPr>
    </w:p>
    <w:p w14:paraId="0B62BE3B">
      <w:pPr>
        <w:jc w:val="center"/>
        <w:rPr>
          <w:rFonts w:hint="eastAsia" w:ascii="宋体" w:hAnsi="宋体" w:eastAsia="宋体" w:cs="宋体"/>
          <w:szCs w:val="21"/>
        </w:rPr>
      </w:pPr>
    </w:p>
    <w:p w14:paraId="3B21DF38">
      <w:pPr>
        <w:jc w:val="center"/>
        <w:rPr>
          <w:rFonts w:hint="eastAsia" w:ascii="宋体" w:hAnsi="宋体" w:eastAsia="宋体" w:cs="宋体"/>
          <w:szCs w:val="21"/>
        </w:rPr>
      </w:pPr>
    </w:p>
    <w:p w14:paraId="4B6A9F90">
      <w:pPr>
        <w:jc w:val="center"/>
        <w:rPr>
          <w:rFonts w:hint="eastAsia" w:ascii="宋体" w:hAnsi="宋体" w:eastAsia="宋体" w:cs="宋体"/>
          <w:szCs w:val="21"/>
        </w:rPr>
      </w:pPr>
    </w:p>
    <w:p w14:paraId="74F9C4F9">
      <w:pPr>
        <w:jc w:val="center"/>
        <w:rPr>
          <w:rFonts w:hint="eastAsia" w:ascii="宋体" w:hAnsi="宋体" w:eastAsia="宋体" w:cs="宋体"/>
          <w:szCs w:val="21"/>
        </w:rPr>
      </w:pPr>
    </w:p>
    <w:p w14:paraId="5C063889">
      <w:pPr>
        <w:jc w:val="center"/>
        <w:rPr>
          <w:rFonts w:hint="eastAsia" w:ascii="宋体" w:hAnsi="宋体" w:eastAsia="宋体" w:cs="宋体"/>
          <w:szCs w:val="21"/>
        </w:rPr>
      </w:pPr>
    </w:p>
    <w:p w14:paraId="33867533">
      <w:pPr>
        <w:jc w:val="center"/>
        <w:rPr>
          <w:rFonts w:hint="eastAsia" w:ascii="宋体" w:hAnsi="宋体" w:eastAsia="宋体" w:cs="宋体"/>
          <w:szCs w:val="21"/>
        </w:rPr>
      </w:pPr>
    </w:p>
    <w:p w14:paraId="24318813">
      <w:pPr>
        <w:jc w:val="center"/>
        <w:rPr>
          <w:rFonts w:hint="eastAsia" w:ascii="宋体" w:hAnsi="宋体" w:eastAsia="宋体" w:cs="宋体"/>
          <w:szCs w:val="21"/>
        </w:rPr>
      </w:pPr>
    </w:p>
    <w:p w14:paraId="0F9528B5">
      <w:pPr>
        <w:jc w:val="center"/>
        <w:rPr>
          <w:rFonts w:hint="eastAsia" w:ascii="宋体" w:hAnsi="宋体" w:eastAsia="宋体" w:cs="宋体"/>
          <w:szCs w:val="21"/>
        </w:rPr>
      </w:pPr>
    </w:p>
    <w:p w14:paraId="5AD8FEAD">
      <w:pPr>
        <w:jc w:val="center"/>
        <w:rPr>
          <w:rFonts w:hint="eastAsia" w:ascii="宋体" w:hAnsi="宋体" w:eastAsia="宋体" w:cs="宋体"/>
          <w:szCs w:val="21"/>
        </w:rPr>
      </w:pPr>
    </w:p>
    <w:p w14:paraId="6ABCF986">
      <w:pPr>
        <w:jc w:val="center"/>
        <w:rPr>
          <w:rFonts w:hint="eastAsia" w:ascii="宋体" w:hAnsi="宋体" w:eastAsia="宋体" w:cs="宋体"/>
          <w:szCs w:val="21"/>
        </w:rPr>
      </w:pPr>
    </w:p>
    <w:p w14:paraId="43F1C648">
      <w:pPr>
        <w:jc w:val="center"/>
        <w:rPr>
          <w:rFonts w:hint="eastAsia" w:ascii="宋体" w:hAnsi="宋体" w:eastAsia="宋体" w:cs="宋体"/>
          <w:b/>
          <w:spacing w:val="60"/>
          <w:sz w:val="56"/>
          <w:szCs w:val="56"/>
        </w:rPr>
      </w:pPr>
      <w:r>
        <w:rPr>
          <w:rFonts w:hint="eastAsia" w:ascii="宋体" w:hAnsi="宋体" w:eastAsia="宋体" w:cs="宋体"/>
          <w:b/>
          <w:spacing w:val="60"/>
          <w:sz w:val="56"/>
          <w:szCs w:val="56"/>
        </w:rPr>
        <w:t>响 应 文 件</w:t>
      </w:r>
    </w:p>
    <w:p w14:paraId="74C5E302">
      <w:pPr>
        <w:jc w:val="center"/>
        <w:rPr>
          <w:rFonts w:hint="eastAsia" w:ascii="宋体" w:hAnsi="宋体" w:eastAsia="宋体" w:cs="宋体"/>
          <w:b/>
          <w:spacing w:val="60"/>
          <w:sz w:val="52"/>
          <w:szCs w:val="52"/>
        </w:rPr>
      </w:pPr>
    </w:p>
    <w:p w14:paraId="0B80D80C">
      <w:pPr>
        <w:ind w:firstLine="542" w:firstLineChars="150"/>
        <w:rPr>
          <w:rFonts w:hint="eastAsia" w:ascii="宋体" w:hAnsi="宋体" w:eastAsia="宋体" w:cs="宋体"/>
          <w:b/>
          <w:spacing w:val="20"/>
          <w:sz w:val="32"/>
          <w:szCs w:val="32"/>
        </w:rPr>
      </w:pPr>
    </w:p>
    <w:p w14:paraId="0A366EC1">
      <w:pPr>
        <w:ind w:firstLine="542" w:firstLineChars="150"/>
        <w:rPr>
          <w:rFonts w:hint="eastAsia" w:ascii="宋体" w:hAnsi="宋体" w:eastAsia="宋体" w:cs="宋体"/>
          <w:b/>
          <w:spacing w:val="20"/>
          <w:sz w:val="32"/>
          <w:szCs w:val="32"/>
        </w:rPr>
      </w:pPr>
    </w:p>
    <w:p w14:paraId="0A5DA3AF">
      <w:pPr>
        <w:ind w:firstLine="542" w:firstLineChars="150"/>
        <w:rPr>
          <w:rFonts w:hint="eastAsia" w:ascii="宋体" w:hAnsi="宋体" w:eastAsia="宋体" w:cs="宋体"/>
          <w:b/>
          <w:spacing w:val="20"/>
          <w:sz w:val="32"/>
          <w:szCs w:val="32"/>
        </w:rPr>
      </w:pPr>
    </w:p>
    <w:p w14:paraId="2DE1238C">
      <w:pPr>
        <w:ind w:firstLine="542" w:firstLineChars="150"/>
        <w:rPr>
          <w:rFonts w:hint="eastAsia" w:ascii="宋体" w:hAnsi="宋体" w:eastAsia="宋体" w:cs="宋体"/>
          <w:b/>
          <w:spacing w:val="20"/>
          <w:sz w:val="32"/>
          <w:szCs w:val="32"/>
        </w:rPr>
      </w:pPr>
    </w:p>
    <w:p w14:paraId="061C56EA">
      <w:pPr>
        <w:ind w:firstLine="542" w:firstLineChars="150"/>
        <w:rPr>
          <w:rFonts w:hint="eastAsia" w:ascii="宋体" w:hAnsi="宋体" w:eastAsia="宋体" w:cs="宋体"/>
          <w:b/>
          <w:spacing w:val="20"/>
          <w:sz w:val="32"/>
          <w:szCs w:val="32"/>
        </w:rPr>
      </w:pPr>
    </w:p>
    <w:p w14:paraId="7F75093B">
      <w:pPr>
        <w:spacing w:line="480" w:lineRule="auto"/>
        <w:ind w:firstLine="723" w:firstLineChars="200"/>
        <w:rPr>
          <w:rFonts w:hint="eastAsia" w:ascii="宋体" w:hAnsi="宋体" w:eastAsia="宋体" w:cs="宋体"/>
          <w:b/>
          <w:spacing w:val="20"/>
          <w:sz w:val="32"/>
          <w:szCs w:val="32"/>
        </w:rPr>
      </w:pPr>
      <w:r>
        <w:rPr>
          <w:rFonts w:hint="eastAsia" w:ascii="宋体" w:hAnsi="宋体" w:eastAsia="宋体" w:cs="宋体"/>
          <w:b/>
          <w:spacing w:val="20"/>
          <w:sz w:val="32"/>
          <w:szCs w:val="32"/>
        </w:rPr>
        <w:t xml:space="preserve">项目名称： </w:t>
      </w:r>
    </w:p>
    <w:p w14:paraId="653169DC">
      <w:pPr>
        <w:spacing w:line="480" w:lineRule="auto"/>
        <w:ind w:firstLine="723" w:firstLineChars="200"/>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14:paraId="6E28613E">
      <w:pPr>
        <w:spacing w:line="360" w:lineRule="auto"/>
        <w:ind w:firstLine="723" w:firstLineChars="200"/>
        <w:jc w:val="left"/>
        <w:rPr>
          <w:rFonts w:hint="eastAsia" w:ascii="宋体" w:hAnsi="宋体" w:eastAsia="宋体" w:cs="宋体"/>
          <w:b/>
          <w:spacing w:val="20"/>
          <w:sz w:val="32"/>
          <w:szCs w:val="32"/>
        </w:rPr>
      </w:pPr>
      <w:r>
        <w:rPr>
          <w:rFonts w:hint="eastAsia" w:ascii="宋体" w:hAnsi="宋体" w:eastAsia="宋体" w:cs="宋体"/>
          <w:b/>
          <w:spacing w:val="20"/>
          <w:sz w:val="32"/>
          <w:szCs w:val="32"/>
        </w:rPr>
        <w:t>供应商名称：</w:t>
      </w:r>
    </w:p>
    <w:p w14:paraId="11C87BC2">
      <w:pPr>
        <w:spacing w:before="78" w:line="360" w:lineRule="auto"/>
        <w:ind w:left="12"/>
        <w:rPr>
          <w:rFonts w:hint="eastAsia" w:ascii="宋体" w:hAnsi="宋体" w:eastAsia="宋体" w:cs="宋体"/>
          <w:sz w:val="24"/>
        </w:rPr>
      </w:pPr>
    </w:p>
    <w:p w14:paraId="419BFBA1">
      <w:pPr>
        <w:widowControl/>
        <w:jc w:val="left"/>
        <w:rPr>
          <w:rFonts w:hint="eastAsia" w:ascii="宋体" w:hAnsi="宋体" w:eastAsia="宋体" w:cs="宋体"/>
          <w:sz w:val="24"/>
        </w:rPr>
      </w:pPr>
      <w:r>
        <w:rPr>
          <w:rFonts w:hint="eastAsia" w:ascii="宋体" w:hAnsi="宋体" w:eastAsia="宋体" w:cs="宋体"/>
          <w:sz w:val="24"/>
        </w:rPr>
        <w:br w:type="page"/>
      </w:r>
    </w:p>
    <w:p w14:paraId="605663FA">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满足《中华人民共和国政府采购法》第二十二条规定及法律法规的其他规定</w:t>
      </w:r>
    </w:p>
    <w:p w14:paraId="655FB780">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14:paraId="328CDFC4">
      <w:pPr>
        <w:spacing w:before="78" w:line="360" w:lineRule="auto"/>
        <w:ind w:left="12"/>
        <w:rPr>
          <w:rFonts w:hint="eastAsia" w:ascii="宋体" w:hAnsi="宋体" w:eastAsia="宋体" w:cs="宋体"/>
          <w:sz w:val="24"/>
        </w:rPr>
      </w:pPr>
    </w:p>
    <w:p w14:paraId="3D082FE8">
      <w:pPr>
        <w:widowControl/>
        <w:jc w:val="left"/>
        <w:rPr>
          <w:rFonts w:hint="eastAsia" w:ascii="宋体" w:hAnsi="宋体" w:eastAsia="宋体" w:cs="宋体"/>
          <w:sz w:val="24"/>
        </w:rPr>
      </w:pPr>
      <w:r>
        <w:rPr>
          <w:rFonts w:hint="eastAsia" w:ascii="宋体" w:hAnsi="宋体" w:eastAsia="宋体" w:cs="宋体"/>
          <w:sz w:val="24"/>
        </w:rPr>
        <w:br w:type="page"/>
      </w:r>
    </w:p>
    <w:p w14:paraId="1D1330AE">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1-2 供应商资格声明书（实质性格式）</w:t>
      </w:r>
    </w:p>
    <w:p w14:paraId="6C12832F">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供应商资格声明书</w:t>
      </w:r>
    </w:p>
    <w:p w14:paraId="622A3A91">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w:t>
      </w:r>
    </w:p>
    <w:p w14:paraId="2DF50603">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1FA89658">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20AAC573">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0B3BD202">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157BF0E9">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C28E497">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066B5D19">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37F4AD80">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91E6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2F03DA">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712FA98E">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76C8A8B3">
            <w:pPr>
              <w:jc w:val="center"/>
              <w:rPr>
                <w:rFonts w:hint="eastAsia" w:ascii="宋体" w:hAnsi="宋体" w:eastAsia="宋体" w:cs="宋体"/>
                <w:sz w:val="24"/>
              </w:rPr>
            </w:pPr>
            <w:r>
              <w:rPr>
                <w:rFonts w:hint="eastAsia" w:ascii="宋体" w:hAnsi="宋体" w:eastAsia="宋体" w:cs="宋体"/>
                <w:sz w:val="24"/>
              </w:rPr>
              <w:t>相互关系</w:t>
            </w:r>
          </w:p>
        </w:tc>
      </w:tr>
      <w:tr w14:paraId="3E389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EFA44C2">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17CDE344">
            <w:pPr>
              <w:jc w:val="center"/>
              <w:rPr>
                <w:rFonts w:hint="eastAsia" w:ascii="宋体" w:hAnsi="宋体" w:eastAsia="宋体" w:cs="宋体"/>
                <w:sz w:val="24"/>
              </w:rPr>
            </w:pPr>
          </w:p>
        </w:tc>
        <w:tc>
          <w:tcPr>
            <w:tcW w:w="2976" w:type="dxa"/>
            <w:vAlign w:val="center"/>
          </w:tcPr>
          <w:p w14:paraId="6A315DE2">
            <w:pPr>
              <w:jc w:val="center"/>
              <w:rPr>
                <w:rFonts w:hint="eastAsia" w:ascii="宋体" w:hAnsi="宋体" w:eastAsia="宋体" w:cs="宋体"/>
                <w:sz w:val="24"/>
              </w:rPr>
            </w:pPr>
          </w:p>
        </w:tc>
      </w:tr>
      <w:tr w14:paraId="1AE90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436ACF">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15DAFE05">
            <w:pPr>
              <w:jc w:val="center"/>
              <w:rPr>
                <w:rFonts w:hint="eastAsia" w:ascii="宋体" w:hAnsi="宋体" w:eastAsia="宋体" w:cs="宋体"/>
                <w:sz w:val="24"/>
              </w:rPr>
            </w:pPr>
          </w:p>
        </w:tc>
        <w:tc>
          <w:tcPr>
            <w:tcW w:w="2976" w:type="dxa"/>
            <w:vAlign w:val="center"/>
          </w:tcPr>
          <w:p w14:paraId="446A2C57">
            <w:pPr>
              <w:jc w:val="center"/>
              <w:rPr>
                <w:rFonts w:hint="eastAsia" w:ascii="宋体" w:hAnsi="宋体" w:eastAsia="宋体" w:cs="宋体"/>
                <w:sz w:val="24"/>
              </w:rPr>
            </w:pPr>
          </w:p>
        </w:tc>
      </w:tr>
      <w:tr w14:paraId="3C3A7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A6FD2B">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074C292C">
            <w:pPr>
              <w:jc w:val="center"/>
              <w:rPr>
                <w:rFonts w:hint="eastAsia" w:ascii="宋体" w:hAnsi="宋体" w:eastAsia="宋体" w:cs="宋体"/>
                <w:sz w:val="24"/>
              </w:rPr>
            </w:pPr>
          </w:p>
        </w:tc>
        <w:tc>
          <w:tcPr>
            <w:tcW w:w="2976" w:type="dxa"/>
            <w:vAlign w:val="center"/>
          </w:tcPr>
          <w:p w14:paraId="66F6A2B7">
            <w:pPr>
              <w:jc w:val="center"/>
              <w:rPr>
                <w:rFonts w:hint="eastAsia" w:ascii="宋体" w:hAnsi="宋体" w:eastAsia="宋体" w:cs="宋体"/>
                <w:sz w:val="24"/>
              </w:rPr>
            </w:pPr>
          </w:p>
        </w:tc>
      </w:tr>
    </w:tbl>
    <w:p w14:paraId="1341CFDE">
      <w:pPr>
        <w:rPr>
          <w:rFonts w:hint="eastAsia" w:ascii="宋体" w:hAnsi="宋体" w:eastAsia="宋体" w:cs="宋体"/>
        </w:rPr>
      </w:pPr>
    </w:p>
    <w:p w14:paraId="70B2E5C1">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1ADFB14D">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26C8B43">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5F2B290A">
      <w:pPr>
        <w:spacing w:line="360" w:lineRule="auto"/>
        <w:rPr>
          <w:rFonts w:hint="eastAsia" w:ascii="宋体" w:hAnsi="宋体" w:eastAsia="宋体" w:cs="宋体"/>
          <w:sz w:val="18"/>
          <w:szCs w:val="18"/>
        </w:rPr>
      </w:pPr>
      <w:r>
        <w:rPr>
          <w:rFonts w:hint="eastAsia" w:ascii="宋体" w:hAnsi="宋体" w:eastAsia="宋体" w:cs="宋体"/>
          <w:sz w:val="18"/>
          <w:szCs w:val="18"/>
        </w:rPr>
        <w:t>说明：供应商承诺不实的，依据《政府采购法》第七十七条“提供虚假材料谋取中标、成交的”有关规定予以处理。</w:t>
      </w:r>
    </w:p>
    <w:p w14:paraId="2486B708">
      <w:pPr>
        <w:spacing w:line="360" w:lineRule="auto"/>
        <w:outlineLvl w:val="2"/>
        <w:rPr>
          <w:rFonts w:hint="eastAsia" w:ascii="宋体" w:hAnsi="宋体" w:eastAsia="宋体" w:cs="宋体"/>
          <w:bCs/>
          <w:color w:val="000000"/>
        </w:rPr>
      </w:pPr>
      <w:bookmarkStart w:id="1094" w:name="_Toc22371"/>
      <w:bookmarkStart w:id="1095" w:name="_Toc99553167"/>
      <w:r>
        <w:rPr>
          <w:rFonts w:hint="eastAsia" w:ascii="宋体" w:hAnsi="宋体" w:eastAsia="宋体" w:cs="宋体"/>
          <w:bCs/>
          <w:color w:val="000000"/>
        </w:rPr>
        <w:t>1-3 提供供应商及其法定代表人、项目负责人近三年</w:t>
      </w:r>
      <w:r>
        <w:rPr>
          <w:rFonts w:hint="eastAsia" w:ascii="宋体" w:hAnsi="宋体" w:cs="宋体"/>
          <w:bCs/>
          <w:color w:val="000000"/>
          <w:lang w:eastAsia="zh-CN"/>
        </w:rPr>
        <w:t>（</w:t>
      </w:r>
      <w:r>
        <w:rPr>
          <w:rFonts w:hint="eastAsia" w:ascii="宋体" w:hAnsi="宋体" w:cs="宋体"/>
          <w:bCs/>
          <w:color w:val="000000"/>
          <w:lang w:val="en-US" w:eastAsia="zh-CN"/>
        </w:rPr>
        <w:t>2022年2月6日至2025年2月5日</w:t>
      </w:r>
      <w:r>
        <w:rPr>
          <w:rFonts w:hint="eastAsia" w:ascii="宋体" w:hAnsi="宋体" w:cs="宋体"/>
          <w:bCs/>
          <w:color w:val="000000"/>
          <w:lang w:eastAsia="zh-CN"/>
        </w:rPr>
        <w:t>）</w:t>
      </w:r>
      <w:r>
        <w:rPr>
          <w:rFonts w:hint="eastAsia" w:ascii="宋体" w:hAnsi="宋体" w:eastAsia="宋体" w:cs="宋体"/>
          <w:bCs/>
          <w:color w:val="000000"/>
        </w:rPr>
        <w:t>没有行贿犯罪记录的承诺并加盖供应商公章或从“中国裁判文书网”上自行查询，将查询结果打印并加盖供应商供应商公章</w:t>
      </w:r>
      <w:bookmarkEnd w:id="1094"/>
      <w:bookmarkEnd w:id="1095"/>
    </w:p>
    <w:p w14:paraId="6947076A">
      <w:pPr>
        <w:widowControl/>
        <w:jc w:val="left"/>
        <w:rPr>
          <w:rFonts w:hint="eastAsia" w:ascii="宋体" w:hAnsi="宋体" w:eastAsia="宋体" w:cs="宋体"/>
          <w:bCs/>
          <w:color w:val="000000"/>
        </w:rPr>
      </w:pPr>
      <w:r>
        <w:rPr>
          <w:rFonts w:hint="eastAsia" w:ascii="宋体" w:hAnsi="宋体" w:eastAsia="宋体" w:cs="宋体"/>
          <w:bCs/>
          <w:color w:val="000000"/>
        </w:rPr>
        <w:br w:type="page"/>
      </w:r>
    </w:p>
    <w:p w14:paraId="2F1765E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14:paraId="00F30A42">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p>
    <w:p w14:paraId="7AB1D8A6">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14:paraId="55A41B1A">
      <w:pPr>
        <w:tabs>
          <w:tab w:val="left" w:pos="5580"/>
        </w:tabs>
        <w:spacing w:line="360" w:lineRule="auto"/>
        <w:rPr>
          <w:rFonts w:hint="eastAsia" w:ascii="宋体" w:hAnsi="宋体" w:eastAsia="宋体" w:cs="宋体"/>
          <w:sz w:val="24"/>
        </w:rPr>
      </w:pPr>
      <w:r>
        <w:rPr>
          <w:rFonts w:hint="eastAsia" w:ascii="宋体" w:hAnsi="宋体" w:eastAsia="宋体" w:cs="宋体"/>
          <w:sz w:val="24"/>
        </w:rPr>
        <w:t>（1）如本项目（包）不专门面向中小企业预留采购份额，供应商非必须提供；当小微企业拟享受中小企业扶持政策时，仍应提供《中小企业声明函》，</w:t>
      </w:r>
      <w:r>
        <w:rPr>
          <w:rFonts w:hint="eastAsia" w:ascii="宋体" w:hAnsi="宋体" w:eastAsia="宋体" w:cs="宋体"/>
          <w:color w:val="000000"/>
          <w:sz w:val="24"/>
        </w:rPr>
        <w:t>否则不得享受相关中小企业扶持政策</w:t>
      </w:r>
      <w:r>
        <w:rPr>
          <w:rFonts w:hint="eastAsia" w:ascii="宋体" w:hAnsi="宋体" w:eastAsia="宋体" w:cs="宋体"/>
          <w:sz w:val="24"/>
        </w:rPr>
        <w:t>。</w:t>
      </w:r>
    </w:p>
    <w:p w14:paraId="662F3552">
      <w:pPr>
        <w:tabs>
          <w:tab w:val="left" w:pos="5580"/>
        </w:tabs>
        <w:spacing w:line="360" w:lineRule="auto"/>
        <w:rPr>
          <w:rFonts w:hint="eastAsia" w:ascii="宋体" w:hAnsi="宋体" w:eastAsia="宋体" w:cs="宋体"/>
          <w:sz w:val="24"/>
        </w:rPr>
      </w:pPr>
      <w:r>
        <w:rPr>
          <w:rFonts w:hint="eastAsia" w:ascii="宋体" w:hAnsi="宋体" w:eastAsia="宋体" w:cs="宋体"/>
          <w:sz w:val="24"/>
        </w:rPr>
        <w:t>（2）如本项目（包）专门面向中小/小微企业采购，须提供《中小企业声明函》（实质性格式）。</w:t>
      </w:r>
    </w:p>
    <w:p w14:paraId="5D7DFA62">
      <w:pPr>
        <w:tabs>
          <w:tab w:val="left" w:pos="5580"/>
        </w:tabs>
        <w:spacing w:line="360" w:lineRule="auto"/>
        <w:rPr>
          <w:rFonts w:hint="eastAsia" w:ascii="宋体" w:hAnsi="宋体" w:eastAsia="宋体" w:cs="宋体"/>
          <w:sz w:val="24"/>
        </w:rPr>
      </w:pPr>
      <w:r>
        <w:rPr>
          <w:rFonts w:hint="eastAsia" w:ascii="宋体" w:hAnsi="宋体" w:eastAsia="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B8B7B63">
      <w:pPr>
        <w:tabs>
          <w:tab w:val="left" w:pos="5580"/>
        </w:tabs>
        <w:spacing w:line="360" w:lineRule="auto"/>
        <w:rPr>
          <w:rFonts w:hint="eastAsia" w:ascii="宋体" w:hAnsi="宋体" w:eastAsia="宋体" w:cs="宋体"/>
          <w:sz w:val="24"/>
        </w:rPr>
      </w:pPr>
      <w:r>
        <w:rPr>
          <w:rFonts w:hint="eastAsia" w:ascii="宋体" w:hAnsi="宋体" w:eastAsia="宋体" w:cs="宋体"/>
          <w:sz w:val="24"/>
        </w:rPr>
        <w:t>（4）其他</w:t>
      </w:r>
    </w:p>
    <w:p w14:paraId="24CF11BF">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1）中小企业参加政府采购活动，应当出具此格式文件。《中小企业声明函》由参加政府采购活动的供应商出具。联合体响应的，《中小企业声明函》由牵头人出具。</w:t>
      </w:r>
    </w:p>
    <w:p w14:paraId="3AB015C7">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3D0EB85">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3）对于多标的的采购项目，供应商应充分、准确地了解所投产品制造企业信息。对相关情况了解不清楚的，不建议填报本声明函。</w:t>
      </w:r>
    </w:p>
    <w:p w14:paraId="589B34C6">
      <w:pPr>
        <w:tabs>
          <w:tab w:val="left" w:pos="5580"/>
        </w:tabs>
        <w:spacing w:line="360" w:lineRule="auto"/>
        <w:rPr>
          <w:rFonts w:hint="eastAsia" w:ascii="宋体" w:hAnsi="宋体" w:eastAsia="宋体" w:cs="宋体"/>
          <w:sz w:val="24"/>
        </w:rPr>
      </w:pPr>
      <w:r>
        <w:rPr>
          <w:rFonts w:hint="eastAsia" w:ascii="宋体" w:hAnsi="宋体" w:eastAsia="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D1B7F01">
      <w:pPr>
        <w:tabs>
          <w:tab w:val="left" w:pos="5580"/>
        </w:tabs>
        <w:spacing w:line="360" w:lineRule="auto"/>
        <w:rPr>
          <w:rFonts w:hint="eastAsia" w:ascii="宋体" w:hAnsi="宋体" w:eastAsia="宋体" w:cs="宋体"/>
          <w:sz w:val="24"/>
        </w:rPr>
      </w:pPr>
    </w:p>
    <w:p w14:paraId="7BD05077">
      <w:pPr>
        <w:widowControl/>
        <w:jc w:val="left"/>
        <w:rPr>
          <w:rFonts w:hint="eastAsia" w:ascii="宋体" w:hAnsi="宋体" w:eastAsia="宋体" w:cs="宋体"/>
          <w:sz w:val="24"/>
        </w:rPr>
      </w:pPr>
      <w:r>
        <w:rPr>
          <w:rFonts w:hint="eastAsia" w:ascii="宋体" w:hAnsi="宋体" w:eastAsia="宋体" w:cs="宋体"/>
          <w:sz w:val="24"/>
        </w:rPr>
        <w:br w:type="page"/>
      </w:r>
    </w:p>
    <w:p w14:paraId="0EE3FA45">
      <w:pPr>
        <w:spacing w:before="117" w:line="360" w:lineRule="auto"/>
        <w:jc w:val="center"/>
        <w:rPr>
          <w:rFonts w:hint="eastAsia" w:ascii="宋体" w:hAnsi="宋体" w:eastAsia="宋体" w:cs="宋体"/>
          <w:b/>
          <w:bCs/>
          <w:spacing w:val="20"/>
          <w:sz w:val="36"/>
          <w:szCs w:val="36"/>
        </w:rPr>
      </w:pPr>
      <w:r>
        <w:rPr>
          <w:rFonts w:hint="eastAsia" w:ascii="宋体" w:hAnsi="宋体" w:eastAsia="宋体" w:cs="宋体"/>
          <w:b/>
          <w:bCs/>
          <w:spacing w:val="21"/>
          <w:sz w:val="36"/>
          <w:szCs w:val="36"/>
        </w:rPr>
        <w:t>中小企业声明函(工程、服务)格</w:t>
      </w:r>
      <w:r>
        <w:rPr>
          <w:rFonts w:hint="eastAsia" w:ascii="宋体" w:hAnsi="宋体" w:eastAsia="宋体" w:cs="宋体"/>
          <w:b/>
          <w:bCs/>
          <w:spacing w:val="20"/>
          <w:sz w:val="36"/>
          <w:szCs w:val="36"/>
        </w:rPr>
        <w:t>式</w:t>
      </w:r>
    </w:p>
    <w:p w14:paraId="42C4E4F3">
      <w:pPr>
        <w:spacing w:before="117" w:line="360" w:lineRule="auto"/>
        <w:jc w:val="center"/>
        <w:rPr>
          <w:rFonts w:hint="eastAsia" w:ascii="宋体" w:hAnsi="宋体" w:eastAsia="宋体" w:cs="宋体"/>
          <w:b/>
          <w:bCs/>
          <w:sz w:val="36"/>
          <w:szCs w:val="36"/>
        </w:rPr>
      </w:pPr>
    </w:p>
    <w:p w14:paraId="4A5A44ED">
      <w:pPr>
        <w:spacing w:before="78" w:line="360" w:lineRule="auto"/>
        <w:ind w:left="117" w:firstLine="505"/>
        <w:rPr>
          <w:rFonts w:hint="eastAsia" w:ascii="宋体" w:hAnsi="宋体" w:eastAsia="宋体" w:cs="宋体"/>
          <w:sz w:val="24"/>
        </w:rPr>
      </w:pPr>
      <w:r>
        <w:rPr>
          <w:rFonts w:hint="eastAsia" w:ascii="宋体" w:hAnsi="宋体" w:eastAsia="宋体" w:cs="宋体"/>
          <w:spacing w:val="11"/>
          <w:sz w:val="24"/>
        </w:rPr>
        <w:t>本公司</w:t>
      </w:r>
      <w:r>
        <w:rPr>
          <w:rFonts w:hint="eastAsia" w:ascii="宋体" w:hAnsi="宋体" w:eastAsia="宋体" w:cs="宋体"/>
          <w:spacing w:val="11"/>
          <w:sz w:val="24"/>
          <w:u w:val="single"/>
        </w:rPr>
        <w:t xml:space="preserve">         </w:t>
      </w:r>
      <w:r>
        <w:rPr>
          <w:rFonts w:hint="eastAsia" w:ascii="宋体" w:hAnsi="宋体" w:eastAsia="宋体" w:cs="宋体"/>
          <w:spacing w:val="11"/>
          <w:sz w:val="24"/>
        </w:rPr>
        <w:t>府采购促进中小企业发展管理办法》(</w:t>
      </w:r>
      <w:r>
        <w:rPr>
          <w:rFonts w:hint="eastAsia" w:ascii="宋体" w:hAnsi="宋体" w:eastAsia="宋体" w:cs="宋体"/>
          <w:spacing w:val="9"/>
          <w:sz w:val="24"/>
        </w:rPr>
        <w:t>财</w:t>
      </w:r>
      <w:r>
        <w:rPr>
          <w:rFonts w:hint="eastAsia" w:ascii="宋体" w:hAnsi="宋体" w:eastAsia="宋体" w:cs="宋体"/>
          <w:spacing w:val="18"/>
          <w:sz w:val="24"/>
        </w:rPr>
        <w:t>库</w:t>
      </w:r>
      <w:r>
        <w:rPr>
          <w:rFonts w:hint="eastAsia" w:ascii="宋体" w:hAnsi="宋体" w:eastAsia="宋体" w:cs="宋体"/>
          <w:spacing w:val="12"/>
          <w:sz w:val="24"/>
        </w:rPr>
        <w:t>﹝2020﹞46号)的规定，本公司</w:t>
      </w:r>
      <w:r>
        <w:rPr>
          <w:rFonts w:hint="eastAsia" w:ascii="宋体" w:hAnsi="宋体" w:eastAsia="宋体" w:cs="宋体"/>
          <w:spacing w:val="12"/>
          <w:sz w:val="24"/>
          <w:u w:val="single"/>
        </w:rPr>
        <w:t xml:space="preserve">        </w:t>
      </w:r>
      <w:r>
        <w:rPr>
          <w:rFonts w:hint="eastAsia" w:ascii="宋体" w:hAnsi="宋体" w:eastAsia="宋体" w:cs="宋体"/>
          <w:spacing w:val="12"/>
          <w:sz w:val="24"/>
        </w:rPr>
        <w:t>参加(单位名称)</w:t>
      </w:r>
      <w:r>
        <w:rPr>
          <w:rFonts w:hint="eastAsia" w:ascii="宋体" w:hAnsi="宋体" w:eastAsia="宋体" w:cs="宋体"/>
          <w:spacing w:val="12"/>
          <w:sz w:val="24"/>
          <w:u w:val="single"/>
        </w:rPr>
        <w:t xml:space="preserve">      </w:t>
      </w:r>
      <w:r>
        <w:rPr>
          <w:rFonts w:hint="eastAsia" w:ascii="宋体" w:hAnsi="宋体" w:eastAsia="宋体" w:cs="宋体"/>
          <w:spacing w:val="12"/>
          <w:sz w:val="24"/>
        </w:rPr>
        <w:t>的(项目名称)</w:t>
      </w:r>
      <w:r>
        <w:rPr>
          <w:rFonts w:hint="eastAsia" w:ascii="宋体" w:hAnsi="宋体" w:eastAsia="宋体" w:cs="宋体"/>
          <w:sz w:val="24"/>
          <w:u w:val="single"/>
        </w:rPr>
        <w:t xml:space="preserve">        </w:t>
      </w:r>
      <w:r>
        <w:rPr>
          <w:rFonts w:hint="eastAsia" w:ascii="宋体" w:hAnsi="宋体" w:eastAsia="宋体" w:cs="宋体"/>
          <w:spacing w:val="15"/>
          <w:sz w:val="24"/>
        </w:rPr>
        <w:t>采购活动，工程的施工单位全部为符合政策要求的中小企业(或者：服务全部由</w:t>
      </w:r>
      <w:r>
        <w:rPr>
          <w:rFonts w:hint="eastAsia" w:ascii="宋体" w:hAnsi="宋体" w:eastAsia="宋体" w:cs="宋体"/>
          <w:spacing w:val="13"/>
          <w:sz w:val="24"/>
        </w:rPr>
        <w:t>符</w:t>
      </w:r>
      <w:r>
        <w:rPr>
          <w:rFonts w:hint="eastAsia" w:ascii="宋体" w:hAnsi="宋体" w:eastAsia="宋体" w:cs="宋体"/>
          <w:spacing w:val="22"/>
          <w:sz w:val="24"/>
        </w:rPr>
        <w:t>合</w:t>
      </w:r>
      <w:r>
        <w:rPr>
          <w:rFonts w:hint="eastAsia" w:ascii="宋体" w:hAnsi="宋体" w:eastAsia="宋体" w:cs="宋体"/>
          <w:spacing w:val="11"/>
          <w:sz w:val="24"/>
        </w:rPr>
        <w:t>政策要求的中小企业承接)。相关企业(含联合体中的中小企业、签订分包意向协</w:t>
      </w:r>
      <w:r>
        <w:rPr>
          <w:rFonts w:hint="eastAsia" w:ascii="宋体" w:hAnsi="宋体" w:eastAsia="宋体" w:cs="宋体"/>
          <w:spacing w:val="13"/>
          <w:sz w:val="24"/>
        </w:rPr>
        <w:t>议</w:t>
      </w:r>
      <w:r>
        <w:rPr>
          <w:rFonts w:hint="eastAsia" w:ascii="宋体" w:hAnsi="宋体" w:eastAsia="宋体" w:cs="宋体"/>
          <w:spacing w:val="9"/>
          <w:sz w:val="24"/>
        </w:rPr>
        <w:t>的中小企业)的具体情况如下：</w:t>
      </w:r>
    </w:p>
    <w:p w14:paraId="72A86B2B">
      <w:pPr>
        <w:spacing w:before="1" w:line="360" w:lineRule="auto"/>
        <w:ind w:left="121" w:right="56" w:firstLine="517"/>
        <w:rPr>
          <w:rFonts w:hint="eastAsia" w:ascii="宋体" w:hAnsi="宋体" w:eastAsia="宋体" w:cs="宋体"/>
          <w:sz w:val="24"/>
        </w:rPr>
      </w:pPr>
      <w:r>
        <w:rPr>
          <w:rFonts w:hint="eastAsia" w:ascii="宋体" w:hAnsi="宋体" w:eastAsia="宋体" w:cs="宋体"/>
          <w:spacing w:val="8"/>
          <w:sz w:val="24"/>
        </w:rPr>
        <w:t xml:space="preserve">1. </w:t>
      </w:r>
      <w:r>
        <w:rPr>
          <w:rFonts w:hint="eastAsia" w:ascii="宋体" w:hAnsi="宋体" w:eastAsia="宋体" w:cs="宋体"/>
          <w:spacing w:val="8"/>
          <w:sz w:val="24"/>
          <w:u w:val="single"/>
        </w:rPr>
        <w:t xml:space="preserve">  (标的名称)  </w:t>
      </w:r>
      <w:r>
        <w:rPr>
          <w:rFonts w:hint="eastAsia" w:ascii="宋体" w:hAnsi="宋体" w:eastAsia="宋体" w:cs="宋体"/>
          <w:spacing w:val="8"/>
          <w:sz w:val="24"/>
        </w:rPr>
        <w:t xml:space="preserve"> ，属于</w:t>
      </w:r>
      <w:r>
        <w:rPr>
          <w:rFonts w:hint="eastAsia" w:ascii="宋体" w:hAnsi="宋体" w:eastAsia="宋体" w:cs="宋体"/>
          <w:spacing w:val="8"/>
          <w:sz w:val="24"/>
          <w:u w:val="single"/>
        </w:rPr>
        <w:t xml:space="preserve"> (采购文件中明确的所属行业) </w:t>
      </w:r>
      <w:r>
        <w:rPr>
          <w:rFonts w:hint="eastAsia" w:ascii="宋体" w:hAnsi="宋体" w:eastAsia="宋体" w:cs="宋体"/>
          <w:spacing w:val="8"/>
          <w:sz w:val="24"/>
        </w:rPr>
        <w:t>行业；承建(承</w:t>
      </w:r>
      <w:r>
        <w:rPr>
          <w:rFonts w:hint="eastAsia" w:ascii="宋体" w:hAnsi="宋体" w:eastAsia="宋体" w:cs="宋体"/>
          <w:spacing w:val="7"/>
          <w:sz w:val="24"/>
        </w:rPr>
        <w:t>接</w:t>
      </w:r>
      <w:r>
        <w:rPr>
          <w:rFonts w:hint="eastAsia" w:ascii="宋体" w:hAnsi="宋体" w:eastAsia="宋体" w:cs="宋体"/>
          <w:sz w:val="24"/>
        </w:rPr>
        <w:t xml:space="preserve">) </w:t>
      </w:r>
      <w:r>
        <w:rPr>
          <w:rFonts w:hint="eastAsia" w:ascii="宋体" w:hAnsi="宋体" w:eastAsia="宋体" w:cs="宋体"/>
          <w:spacing w:val="-4"/>
          <w:sz w:val="24"/>
        </w:rPr>
        <w:t>企业为</w:t>
      </w:r>
      <w:r>
        <w:rPr>
          <w:rFonts w:hint="eastAsia" w:ascii="宋体" w:hAnsi="宋体" w:eastAsia="宋体" w:cs="宋体"/>
          <w:spacing w:val="-4"/>
          <w:sz w:val="24"/>
          <w:u w:val="single"/>
        </w:rPr>
        <w:t xml:space="preserve"> (企业名称)</w:t>
      </w:r>
      <w:r>
        <w:rPr>
          <w:rFonts w:hint="eastAsia" w:ascii="宋体" w:hAnsi="宋体" w:eastAsia="宋体" w:cs="宋体"/>
          <w:spacing w:val="-4"/>
          <w:sz w:val="24"/>
        </w:rPr>
        <w:t>，从业人员</w:t>
      </w:r>
      <w:r>
        <w:rPr>
          <w:rFonts w:hint="eastAsia" w:ascii="宋体" w:hAnsi="宋体" w:eastAsia="宋体" w:cs="宋体"/>
          <w:spacing w:val="-4"/>
          <w:sz w:val="24"/>
          <w:u w:val="single"/>
        </w:rPr>
        <w:t>______</w:t>
      </w:r>
      <w:r>
        <w:rPr>
          <w:rFonts w:hint="eastAsia" w:ascii="宋体" w:hAnsi="宋体" w:eastAsia="宋体" w:cs="宋体"/>
          <w:spacing w:val="-4"/>
          <w:sz w:val="24"/>
        </w:rPr>
        <w:t>人，营业收入为</w:t>
      </w:r>
      <w:r>
        <w:rPr>
          <w:rFonts w:hint="eastAsia" w:ascii="宋体" w:hAnsi="宋体" w:eastAsia="宋体" w:cs="宋体"/>
          <w:spacing w:val="-4"/>
          <w:sz w:val="24"/>
          <w:u w:val="single"/>
        </w:rPr>
        <w:t>______</w:t>
      </w:r>
      <w:r>
        <w:rPr>
          <w:rFonts w:hint="eastAsia" w:ascii="宋体" w:hAnsi="宋体" w:eastAsia="宋体" w:cs="宋体"/>
          <w:spacing w:val="-4"/>
          <w:sz w:val="24"/>
        </w:rPr>
        <w:t>万元，资产总额为</w:t>
      </w:r>
      <w:r>
        <w:rPr>
          <w:rFonts w:hint="eastAsia" w:ascii="宋体" w:hAnsi="宋体" w:eastAsia="宋体" w:cs="宋体"/>
          <w:spacing w:val="-4"/>
          <w:sz w:val="24"/>
          <w:u w:val="single"/>
        </w:rPr>
        <w:t>____</w:t>
      </w:r>
      <w:r>
        <w:rPr>
          <w:rFonts w:hint="eastAsia" w:ascii="宋体" w:hAnsi="宋体" w:eastAsia="宋体" w:cs="宋体"/>
          <w:sz w:val="24"/>
          <w:u w:val="single"/>
        </w:rPr>
        <w:t xml:space="preserve">__ </w:t>
      </w:r>
      <w:r>
        <w:rPr>
          <w:rFonts w:hint="eastAsia" w:ascii="宋体" w:hAnsi="宋体" w:eastAsia="宋体" w:cs="宋体"/>
          <w:spacing w:val="15"/>
          <w:sz w:val="24"/>
        </w:rPr>
        <w:t>万</w:t>
      </w:r>
      <w:r>
        <w:rPr>
          <w:rFonts w:hint="eastAsia" w:ascii="宋体" w:hAnsi="宋体" w:eastAsia="宋体" w:cs="宋体"/>
          <w:spacing w:val="10"/>
          <w:sz w:val="24"/>
        </w:rPr>
        <w:t xml:space="preserve">元 </w:t>
      </w:r>
      <w:r>
        <w:rPr>
          <w:rFonts w:hint="eastAsia" w:ascii="宋体" w:hAnsi="宋体" w:eastAsia="宋体" w:cs="宋体"/>
          <w:spacing w:val="10"/>
          <w:position w:val="6"/>
          <w:sz w:val="16"/>
          <w:szCs w:val="16"/>
        </w:rPr>
        <w:t xml:space="preserve">1 </w:t>
      </w:r>
      <w:r>
        <w:rPr>
          <w:rFonts w:hint="eastAsia" w:ascii="宋体" w:hAnsi="宋体" w:eastAsia="宋体" w:cs="宋体"/>
          <w:spacing w:val="10"/>
          <w:sz w:val="24"/>
        </w:rPr>
        <w:t>，属于(中型企业、小型企业、微型企业)；</w:t>
      </w:r>
    </w:p>
    <w:p w14:paraId="7015AEEB">
      <w:pPr>
        <w:spacing w:before="182" w:line="360" w:lineRule="auto"/>
        <w:ind w:left="116" w:right="61" w:firstLine="532"/>
        <w:rPr>
          <w:rFonts w:hint="eastAsia" w:ascii="宋体" w:hAnsi="宋体" w:eastAsia="宋体" w:cs="宋体"/>
          <w:sz w:val="24"/>
        </w:rPr>
      </w:pPr>
      <w:r>
        <w:rPr>
          <w:rFonts w:hint="eastAsia" w:ascii="宋体" w:hAnsi="宋体" w:eastAsia="宋体" w:cs="宋体"/>
          <w:spacing w:val="20"/>
          <w:sz w:val="24"/>
        </w:rPr>
        <w:t>以上</w:t>
      </w:r>
      <w:r>
        <w:rPr>
          <w:rFonts w:hint="eastAsia" w:ascii="宋体" w:hAnsi="宋体" w:eastAsia="宋体" w:cs="宋体"/>
          <w:spacing w:val="15"/>
          <w:sz w:val="24"/>
        </w:rPr>
        <w:t>企</w:t>
      </w:r>
      <w:r>
        <w:rPr>
          <w:rFonts w:hint="eastAsia" w:ascii="宋体" w:hAnsi="宋体" w:eastAsia="宋体" w:cs="宋体"/>
          <w:spacing w:val="10"/>
          <w:sz w:val="24"/>
        </w:rPr>
        <w:t>业，不属于大企业的分支机构，不存在控股股东为大企业的情形，也不</w:t>
      </w:r>
      <w:r>
        <w:rPr>
          <w:rFonts w:hint="eastAsia" w:ascii="宋体" w:hAnsi="宋体" w:eastAsia="宋体" w:cs="宋体"/>
          <w:sz w:val="24"/>
        </w:rPr>
        <w:t xml:space="preserve"> </w:t>
      </w:r>
      <w:r>
        <w:rPr>
          <w:rFonts w:hint="eastAsia" w:ascii="宋体" w:hAnsi="宋体" w:eastAsia="宋体" w:cs="宋体"/>
          <w:spacing w:val="15"/>
          <w:sz w:val="24"/>
        </w:rPr>
        <w:t>存</w:t>
      </w:r>
      <w:r>
        <w:rPr>
          <w:rFonts w:hint="eastAsia" w:ascii="宋体" w:hAnsi="宋体" w:eastAsia="宋体" w:cs="宋体"/>
          <w:spacing w:val="10"/>
          <w:sz w:val="24"/>
        </w:rPr>
        <w:t>在与大企业的负责人为同一人的情形。</w:t>
      </w:r>
    </w:p>
    <w:p w14:paraId="605489B8">
      <w:pPr>
        <w:spacing w:line="360" w:lineRule="auto"/>
        <w:ind w:left="622"/>
        <w:rPr>
          <w:rFonts w:hint="eastAsia" w:ascii="宋体" w:hAnsi="宋体" w:eastAsia="宋体" w:cs="宋体"/>
          <w:spacing w:val="20"/>
          <w:sz w:val="24"/>
        </w:rPr>
      </w:pPr>
      <w:r>
        <w:rPr>
          <w:rFonts w:hint="eastAsia" w:ascii="宋体" w:hAnsi="宋体" w:eastAsia="宋体" w:cs="宋体"/>
          <w:spacing w:val="20"/>
          <w:sz w:val="24"/>
        </w:rPr>
        <w:t>本企业对上述声明内容的真实性负责。如有虚假，将依法承担相应责任。</w:t>
      </w:r>
    </w:p>
    <w:p w14:paraId="0DE338AF">
      <w:pPr>
        <w:spacing w:line="360" w:lineRule="auto"/>
        <w:rPr>
          <w:rFonts w:hint="eastAsia" w:ascii="宋体" w:hAnsi="宋体" w:eastAsia="宋体" w:cs="宋体"/>
        </w:rPr>
      </w:pPr>
    </w:p>
    <w:p w14:paraId="3EB05169">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单位名称（盖章）：</w:t>
      </w:r>
      <w:r>
        <w:rPr>
          <w:rFonts w:hint="eastAsia" w:ascii="宋体" w:hAnsi="宋体" w:eastAsia="宋体" w:cs="宋体"/>
          <w:sz w:val="24"/>
        </w:rPr>
        <w:t>______</w:t>
      </w:r>
    </w:p>
    <w:p w14:paraId="1ABE8446">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日  期：</w:t>
      </w:r>
      <w:r>
        <w:rPr>
          <w:rFonts w:hint="eastAsia" w:ascii="宋体" w:hAnsi="宋体" w:eastAsia="宋体" w:cs="宋体"/>
          <w:sz w:val="24"/>
        </w:rPr>
        <w:t>______</w:t>
      </w:r>
    </w:p>
    <w:p w14:paraId="24C894EE">
      <w:pPr>
        <w:spacing w:before="65" w:line="360" w:lineRule="auto"/>
        <w:ind w:left="124"/>
        <w:rPr>
          <w:rFonts w:hint="eastAsia" w:ascii="宋体" w:hAnsi="宋体" w:eastAsia="宋体" w:cs="宋体"/>
          <w:szCs w:val="21"/>
        </w:rPr>
      </w:pPr>
      <w:r>
        <w:rPr>
          <w:rFonts w:hint="eastAsia" w:ascii="宋体" w:hAnsi="宋体" w:eastAsia="宋体" w:cs="宋体"/>
          <w:spacing w:val="14"/>
          <w:position w:val="5"/>
          <w:szCs w:val="21"/>
        </w:rPr>
        <w:t>1</w:t>
      </w:r>
      <w:r>
        <w:rPr>
          <w:rFonts w:hint="eastAsia" w:ascii="宋体" w:hAnsi="宋体" w:eastAsia="宋体" w:cs="宋体"/>
          <w:spacing w:val="9"/>
          <w:position w:val="5"/>
          <w:szCs w:val="21"/>
        </w:rPr>
        <w:t xml:space="preserve"> </w:t>
      </w:r>
      <w:r>
        <w:rPr>
          <w:rFonts w:hint="eastAsia" w:ascii="宋体" w:hAnsi="宋体" w:eastAsia="宋体" w:cs="宋体"/>
          <w:spacing w:val="9"/>
          <w:szCs w:val="21"/>
        </w:rPr>
        <w:t>从业人员、营业收入、资产总额填报上一年度数据，无上一年度数据的新成立企业可不填报。</w:t>
      </w:r>
    </w:p>
    <w:p w14:paraId="540CC7A5">
      <w:pPr>
        <w:tabs>
          <w:tab w:val="left" w:pos="5580"/>
        </w:tabs>
        <w:spacing w:line="360" w:lineRule="auto"/>
        <w:rPr>
          <w:rFonts w:hint="eastAsia" w:ascii="宋体" w:hAnsi="宋体" w:eastAsia="宋体" w:cs="宋体"/>
          <w:sz w:val="24"/>
        </w:rPr>
      </w:pPr>
    </w:p>
    <w:p w14:paraId="72711809">
      <w:pPr>
        <w:widowControl/>
        <w:jc w:val="left"/>
        <w:rPr>
          <w:rFonts w:hint="eastAsia" w:ascii="宋体" w:hAnsi="宋体" w:eastAsia="宋体" w:cs="宋体"/>
          <w:sz w:val="24"/>
        </w:rPr>
      </w:pPr>
      <w:r>
        <w:rPr>
          <w:rFonts w:hint="eastAsia" w:ascii="宋体" w:hAnsi="宋体" w:eastAsia="宋体" w:cs="宋体"/>
          <w:sz w:val="24"/>
        </w:rPr>
        <w:br w:type="page"/>
      </w:r>
    </w:p>
    <w:p w14:paraId="19ED0B31">
      <w:pPr>
        <w:spacing w:before="312" w:beforeLines="100" w:after="312"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14:paraId="36066573">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本单位郑重声明，根据《财政部民政部中国残疾人联合会关于促进残疾人就业政府采购政策的通知》（财库</w:t>
      </w:r>
      <w:r>
        <w:rPr>
          <w:rFonts w:hint="eastAsia" w:ascii="宋体" w:hAnsi="宋体" w:eastAsia="宋体" w:cs="宋体"/>
          <w:sz w:val="24"/>
        </w:rPr>
        <w:t>〔2017〕141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14:paraId="45C13EEC">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432E3628">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w:t>
      </w:r>
      <w:r>
        <w:rPr>
          <w:rFonts w:hint="eastAsia" w:ascii="宋体" w:hAnsi="宋体" w:eastAsia="宋体" w:cs="宋体"/>
          <w:sz w:val="24"/>
        </w:rPr>
        <w:t>______</w:t>
      </w:r>
      <w:r>
        <w:rPr>
          <w:rFonts w:hint="eastAsia" w:ascii="宋体" w:hAnsi="宋体" w:eastAsia="宋体" w:cs="宋体"/>
          <w:spacing w:val="6"/>
          <w:sz w:val="24"/>
        </w:rPr>
        <w:t>单位的</w:t>
      </w:r>
      <w:r>
        <w:rPr>
          <w:rFonts w:hint="eastAsia" w:ascii="宋体" w:hAnsi="宋体" w:eastAsia="宋体" w:cs="宋体"/>
          <w:sz w:val="24"/>
        </w:rPr>
        <w:t>______</w:t>
      </w:r>
      <w:r>
        <w:rPr>
          <w:rFonts w:hint="eastAsia" w:ascii="宋体" w:hAnsi="宋体" w:eastAsia="宋体" w:cs="宋体"/>
          <w:spacing w:val="6"/>
          <w:sz w:val="24"/>
        </w:rPr>
        <w:t>项目采购活动提供本单位制造的货物（由本单位承担工程/提供服务），或者提供其他残疾人福利性单位制造的货物（不包括使用非残疾人福利性单位注册商标的货物）。</w:t>
      </w:r>
    </w:p>
    <w:p w14:paraId="147B1E8D">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73953104">
      <w:pPr>
        <w:spacing w:line="588" w:lineRule="exact"/>
        <w:ind w:firstLine="504" w:firstLineChars="200"/>
        <w:rPr>
          <w:rFonts w:hint="eastAsia" w:ascii="宋体" w:hAnsi="宋体" w:eastAsia="宋体" w:cs="宋体"/>
          <w:spacing w:val="6"/>
          <w:sz w:val="24"/>
        </w:rPr>
      </w:pPr>
    </w:p>
    <w:p w14:paraId="493E9B53">
      <w:pPr>
        <w:spacing w:line="588" w:lineRule="exact"/>
        <w:ind w:firstLine="504" w:firstLineChars="200"/>
        <w:rPr>
          <w:rFonts w:hint="eastAsia" w:ascii="宋体" w:hAnsi="宋体" w:eastAsia="宋体" w:cs="宋体"/>
          <w:spacing w:val="6"/>
          <w:sz w:val="24"/>
        </w:rPr>
      </w:pPr>
    </w:p>
    <w:p w14:paraId="34B3BA45">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单位名称（盖章）：</w:t>
      </w:r>
      <w:r>
        <w:rPr>
          <w:rFonts w:hint="eastAsia" w:ascii="宋体" w:hAnsi="宋体" w:eastAsia="宋体" w:cs="宋体"/>
          <w:sz w:val="24"/>
        </w:rPr>
        <w:t>______</w:t>
      </w:r>
    </w:p>
    <w:p w14:paraId="5C103EB4">
      <w:pPr>
        <w:tabs>
          <w:tab w:val="left" w:pos="4860"/>
        </w:tabs>
        <w:spacing w:line="588" w:lineRule="exact"/>
        <w:ind w:right="1560"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日  期：</w:t>
      </w:r>
      <w:r>
        <w:rPr>
          <w:rFonts w:hint="eastAsia" w:ascii="宋体" w:hAnsi="宋体" w:eastAsia="宋体" w:cs="宋体"/>
          <w:sz w:val="24"/>
        </w:rPr>
        <w:t>______</w:t>
      </w:r>
    </w:p>
    <w:p w14:paraId="770DF05B">
      <w:pPr>
        <w:tabs>
          <w:tab w:val="left" w:pos="5580"/>
        </w:tabs>
        <w:spacing w:line="360" w:lineRule="auto"/>
        <w:rPr>
          <w:rFonts w:hint="eastAsia" w:ascii="宋体" w:hAnsi="宋体" w:eastAsia="宋体" w:cs="宋体"/>
          <w:sz w:val="24"/>
        </w:rPr>
      </w:pPr>
    </w:p>
    <w:p w14:paraId="74A87A27">
      <w:pPr>
        <w:widowControl/>
        <w:jc w:val="left"/>
        <w:rPr>
          <w:rFonts w:hint="eastAsia" w:ascii="宋体" w:hAnsi="宋体" w:eastAsia="宋体" w:cs="宋体"/>
          <w:sz w:val="24"/>
        </w:rPr>
      </w:pPr>
      <w:r>
        <w:rPr>
          <w:rFonts w:hint="eastAsia" w:ascii="宋体" w:hAnsi="宋体" w:eastAsia="宋体" w:cs="宋体"/>
          <w:sz w:val="24"/>
        </w:rPr>
        <w:br w:type="page"/>
      </w:r>
    </w:p>
    <w:p w14:paraId="41E64EFB">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2-2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14:paraId="3C437BB1">
      <w:pPr>
        <w:tabs>
          <w:tab w:val="left" w:pos="5580"/>
        </w:tabs>
        <w:spacing w:line="360" w:lineRule="auto"/>
        <w:rPr>
          <w:rFonts w:hint="eastAsia" w:ascii="宋体" w:hAnsi="宋体" w:eastAsia="宋体" w:cs="宋体"/>
          <w:sz w:val="24"/>
        </w:rPr>
      </w:pPr>
    </w:p>
    <w:p w14:paraId="201744B9">
      <w:pPr>
        <w:widowControl/>
        <w:jc w:val="left"/>
        <w:rPr>
          <w:rFonts w:hint="eastAsia" w:ascii="宋体" w:hAnsi="宋体" w:eastAsia="宋体" w:cs="宋体"/>
          <w:sz w:val="24"/>
        </w:rPr>
      </w:pPr>
      <w:r>
        <w:rPr>
          <w:rFonts w:hint="eastAsia" w:ascii="宋体" w:hAnsi="宋体" w:eastAsia="宋体" w:cs="宋体"/>
          <w:sz w:val="24"/>
        </w:rPr>
        <w:br w:type="page"/>
      </w:r>
    </w:p>
    <w:p w14:paraId="6BB7994C">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3 本项目的特定资格要求（如有）</w:t>
      </w:r>
    </w:p>
    <w:p w14:paraId="04FEF9E0">
      <w:pPr>
        <w:spacing w:line="360" w:lineRule="auto"/>
        <w:outlineLvl w:val="2"/>
        <w:rPr>
          <w:rFonts w:hint="eastAsia" w:ascii="宋体" w:hAnsi="宋体" w:eastAsia="宋体" w:cs="宋体"/>
          <w:sz w:val="24"/>
          <w:szCs w:val="20"/>
        </w:rPr>
      </w:pPr>
      <w:r>
        <w:rPr>
          <w:rFonts w:hint="eastAsia" w:ascii="宋体" w:hAnsi="宋体" w:eastAsia="宋体" w:cs="宋体"/>
          <w:color w:val="000000"/>
          <w:sz w:val="24"/>
          <w:szCs w:val="20"/>
        </w:rPr>
        <w:t>3-1其他</w:t>
      </w:r>
      <w:r>
        <w:rPr>
          <w:rFonts w:hint="eastAsia" w:ascii="宋体" w:hAnsi="宋体" w:eastAsia="宋体" w:cs="宋体"/>
          <w:sz w:val="24"/>
          <w:szCs w:val="20"/>
        </w:rPr>
        <w:t>特定资格要求</w:t>
      </w:r>
    </w:p>
    <w:p w14:paraId="11D1F997">
      <w:pPr>
        <w:tabs>
          <w:tab w:val="left" w:pos="5580"/>
        </w:tabs>
        <w:spacing w:line="360" w:lineRule="auto"/>
        <w:rPr>
          <w:rFonts w:hint="eastAsia" w:ascii="宋体" w:hAnsi="宋体" w:eastAsia="宋体" w:cs="宋体"/>
          <w:sz w:val="24"/>
        </w:rPr>
      </w:pPr>
    </w:p>
    <w:p w14:paraId="56E3105D">
      <w:pPr>
        <w:widowControl/>
        <w:jc w:val="left"/>
        <w:rPr>
          <w:rFonts w:hint="eastAsia" w:ascii="宋体" w:hAnsi="宋体" w:eastAsia="宋体" w:cs="宋体"/>
          <w:sz w:val="24"/>
        </w:rPr>
      </w:pPr>
      <w:r>
        <w:rPr>
          <w:rFonts w:hint="eastAsia" w:ascii="宋体" w:hAnsi="宋体" w:eastAsia="宋体" w:cs="宋体"/>
          <w:sz w:val="24"/>
        </w:rPr>
        <w:br w:type="page"/>
      </w:r>
    </w:p>
    <w:p w14:paraId="730EE99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4 磋商保证金凭证/交款单据电子件（如有）</w:t>
      </w:r>
    </w:p>
    <w:p w14:paraId="09F40A45">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本项目投标保证金响应要求政策，参与本项目的供应商递交保证金时需提交投标担保函（保险）替代现金方式，以此之外方式递交保证金的，需由供应商出具说明函。</w:t>
      </w:r>
    </w:p>
    <w:p w14:paraId="20F4D55B">
      <w:pPr>
        <w:tabs>
          <w:tab w:val="left" w:pos="5580"/>
        </w:tabs>
        <w:spacing w:line="360" w:lineRule="auto"/>
        <w:rPr>
          <w:rFonts w:hint="eastAsia" w:ascii="宋体" w:hAnsi="宋体" w:eastAsia="宋体" w:cs="宋体"/>
          <w:sz w:val="24"/>
        </w:rPr>
      </w:pPr>
    </w:p>
    <w:p w14:paraId="3FB7A961">
      <w:pPr>
        <w:widowControl/>
        <w:jc w:val="left"/>
        <w:rPr>
          <w:rFonts w:hint="eastAsia" w:ascii="宋体" w:hAnsi="宋体" w:eastAsia="宋体" w:cs="宋体"/>
          <w:sz w:val="24"/>
        </w:rPr>
      </w:pPr>
      <w:r>
        <w:rPr>
          <w:rFonts w:hint="eastAsia" w:ascii="宋体" w:hAnsi="宋体" w:eastAsia="宋体" w:cs="宋体"/>
          <w:sz w:val="24"/>
        </w:rPr>
        <w:br w:type="page"/>
      </w:r>
    </w:p>
    <w:p w14:paraId="3F6573D9">
      <w:pPr>
        <w:tabs>
          <w:tab w:val="left" w:pos="360"/>
        </w:tabs>
        <w:snapToGrid w:val="0"/>
        <w:spacing w:line="360" w:lineRule="auto"/>
        <w:outlineLvl w:val="1"/>
        <w:rPr>
          <w:rFonts w:hint="eastAsia" w:ascii="宋体" w:hAnsi="宋体" w:eastAsia="宋体" w:cs="宋体"/>
          <w:sz w:val="24"/>
        </w:rPr>
      </w:pPr>
      <w:bookmarkStart w:id="1096" w:name="_Toc480942349"/>
      <w:bookmarkStart w:id="1097" w:name="_Ref467988698"/>
      <w:bookmarkStart w:id="1098" w:name="_Toc142311058"/>
      <w:bookmarkStart w:id="1099" w:name="_Toc226309800"/>
      <w:bookmarkStart w:id="1100" w:name="_Toc226965829"/>
      <w:bookmarkStart w:id="1101" w:name="_Toc150774761"/>
      <w:bookmarkStart w:id="1102" w:name="_Toc226337252"/>
      <w:bookmarkStart w:id="1103" w:name="_Toc127151556"/>
      <w:bookmarkStart w:id="1104" w:name="_Toc520356217"/>
      <w:bookmarkStart w:id="1105" w:name="_Toc150480794"/>
      <w:bookmarkStart w:id="1106" w:name="_Toc226965746"/>
      <w:bookmarkStart w:id="1107" w:name="_Toc195842921"/>
      <w:r>
        <w:rPr>
          <w:rFonts w:hint="eastAsia" w:ascii="宋体" w:hAnsi="宋体" w:eastAsia="宋体" w:cs="宋体"/>
          <w:sz w:val="24"/>
        </w:rPr>
        <w:t xml:space="preserve">5 </w:t>
      </w:r>
      <w:bookmarkEnd w:id="1096"/>
      <w:bookmarkEnd w:id="1097"/>
      <w:r>
        <w:rPr>
          <w:rFonts w:hint="eastAsia" w:ascii="宋体" w:hAnsi="宋体" w:eastAsia="宋体" w:cs="宋体"/>
          <w:sz w:val="24"/>
        </w:rPr>
        <w:t>响应书</w:t>
      </w:r>
      <w:bookmarkEnd w:id="1098"/>
      <w:bookmarkEnd w:id="1099"/>
      <w:bookmarkEnd w:id="1100"/>
      <w:bookmarkEnd w:id="1101"/>
      <w:bookmarkEnd w:id="1102"/>
      <w:bookmarkEnd w:id="1103"/>
      <w:bookmarkEnd w:id="1104"/>
      <w:bookmarkEnd w:id="1105"/>
      <w:bookmarkEnd w:id="1106"/>
      <w:bookmarkEnd w:id="1107"/>
    </w:p>
    <w:p w14:paraId="14233E30">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响应书</w:t>
      </w:r>
    </w:p>
    <w:p w14:paraId="4AFD4766">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w:t>
      </w:r>
    </w:p>
    <w:p w14:paraId="3A8C8E44">
      <w:pPr>
        <w:tabs>
          <w:tab w:val="left" w:pos="5580"/>
        </w:tabs>
        <w:spacing w:line="360" w:lineRule="auto"/>
        <w:rPr>
          <w:rFonts w:hint="eastAsia" w:ascii="宋体" w:hAnsi="宋体" w:eastAsia="宋体" w:cs="宋体"/>
          <w:color w:val="000000"/>
          <w:sz w:val="24"/>
          <w:szCs w:val="20"/>
        </w:rPr>
      </w:pPr>
    </w:p>
    <w:p w14:paraId="4D7A933B">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w:t>
      </w:r>
      <w:r>
        <w:rPr>
          <w:rFonts w:hint="eastAsia" w:ascii="宋体" w:hAnsi="宋体" w:eastAsia="宋体" w:cs="宋体"/>
          <w:i/>
          <w:iCs/>
          <w:sz w:val="24"/>
          <w:u w:val="single"/>
        </w:rPr>
        <w:t>______</w:t>
      </w:r>
      <w:r>
        <w:rPr>
          <w:rFonts w:hint="eastAsia" w:ascii="宋体" w:hAnsi="宋体" w:eastAsia="宋体" w:cs="宋体"/>
          <w:color w:val="000000"/>
          <w:sz w:val="24"/>
          <w:szCs w:val="20"/>
        </w:rPr>
        <w:t>（项目名称，项目编号）组织的采购活动，并对此项目进行磋商。</w:t>
      </w:r>
    </w:p>
    <w:p w14:paraId="486564DD">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已详细审查全部竞争性磋商文件</w:t>
      </w:r>
      <w:r>
        <w:rPr>
          <w:rFonts w:hint="eastAsia" w:ascii="宋体" w:hAnsi="宋体" w:eastAsia="宋体" w:cs="宋体"/>
          <w:color w:val="000000"/>
          <w:sz w:val="24"/>
          <w:szCs w:val="20"/>
        </w:rPr>
        <w:t>，自愿参与磋商并承诺如下：</w:t>
      </w:r>
    </w:p>
    <w:p w14:paraId="11FB90B5">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（1）本响应有效期为自提交响应文件的截止之日起</w:t>
      </w:r>
      <w:r>
        <w:rPr>
          <w:rFonts w:hint="eastAsia" w:ascii="宋体" w:hAnsi="宋体" w:eastAsia="宋体" w:cs="宋体"/>
          <w:sz w:val="24"/>
          <w:u w:val="single"/>
        </w:rPr>
        <w:t>______</w:t>
      </w:r>
      <w:r>
        <w:rPr>
          <w:rFonts w:hint="eastAsia" w:ascii="宋体" w:hAnsi="宋体" w:eastAsia="宋体" w:cs="宋体"/>
          <w:color w:val="000000"/>
          <w:sz w:val="24"/>
          <w:szCs w:val="20"/>
        </w:rPr>
        <w:t>个日历日。</w:t>
      </w:r>
    </w:p>
    <w:p w14:paraId="206DA58C">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（2）除合同条款及采购需求偏离表列出的偏离外，我方响应竞争性磋商文件的全部要求。</w:t>
      </w:r>
    </w:p>
    <w:p w14:paraId="3D52202A">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14:paraId="33C1D5DB">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（4）如我方成交，我方将在法律规定的期限内与你方签订合同，按照竞争性磋商文件要求提交履约保证金，并在合同约定的期限内完成合同规定的全部义务。</w:t>
      </w:r>
    </w:p>
    <w:p w14:paraId="71B34478">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sz w:val="24"/>
          <w:u w:val="single"/>
        </w:rPr>
        <w:t>______</w:t>
      </w:r>
      <w:r>
        <w:rPr>
          <w:rFonts w:hint="eastAsia" w:ascii="宋体" w:hAnsi="宋体" w:eastAsia="宋体" w:cs="宋体"/>
          <w:color w:val="000000"/>
          <w:sz w:val="24"/>
        </w:rPr>
        <w:t>。</w:t>
      </w:r>
    </w:p>
    <w:p w14:paraId="1D5154F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与本磋商有关的一切正式往来信函请寄：</w:t>
      </w:r>
    </w:p>
    <w:p w14:paraId="113D840E">
      <w:pPr>
        <w:tabs>
          <w:tab w:val="left" w:pos="5580"/>
        </w:tabs>
        <w:spacing w:line="360" w:lineRule="auto"/>
        <w:ind w:left="420"/>
        <w:rPr>
          <w:rFonts w:hint="eastAsia" w:ascii="宋体" w:hAnsi="宋体" w:eastAsia="宋体" w:cs="宋体"/>
          <w:color w:val="000000"/>
          <w:sz w:val="24"/>
          <w:szCs w:val="20"/>
        </w:rPr>
      </w:pPr>
    </w:p>
    <w:p w14:paraId="16D70DAD">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    址：</w:t>
      </w:r>
      <w:r>
        <w:rPr>
          <w:rFonts w:hint="eastAsia" w:ascii="宋体" w:hAnsi="宋体" w:eastAsia="宋体" w:cs="宋体"/>
          <w:bCs/>
          <w:color w:val="000000"/>
          <w:sz w:val="24"/>
          <w:u w:val="single"/>
        </w:rPr>
        <w:t>_________________________</w:t>
      </w:r>
      <w:r>
        <w:rPr>
          <w:rFonts w:hint="eastAsia" w:ascii="宋体" w:hAnsi="宋体" w:eastAsia="宋体" w:cs="宋体"/>
          <w:color w:val="000000"/>
          <w:sz w:val="24"/>
          <w:szCs w:val="20"/>
        </w:rPr>
        <w:t xml:space="preserve">      </w:t>
      </w:r>
    </w:p>
    <w:p w14:paraId="14326578">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传    真：</w:t>
      </w:r>
      <w:r>
        <w:rPr>
          <w:rFonts w:hint="eastAsia" w:ascii="宋体" w:hAnsi="宋体" w:eastAsia="宋体" w:cs="宋体"/>
          <w:bCs/>
          <w:color w:val="000000"/>
          <w:sz w:val="24"/>
          <w:u w:val="single"/>
        </w:rPr>
        <w:t>_________________________</w:t>
      </w:r>
    </w:p>
    <w:p w14:paraId="51385BB9">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    话：</w:t>
      </w:r>
      <w:r>
        <w:rPr>
          <w:rFonts w:hint="eastAsia" w:ascii="宋体" w:hAnsi="宋体" w:eastAsia="宋体" w:cs="宋体"/>
          <w:bCs/>
          <w:color w:val="000000"/>
          <w:sz w:val="24"/>
          <w:u w:val="single"/>
        </w:rPr>
        <w:t>_________________________</w:t>
      </w:r>
      <w:r>
        <w:rPr>
          <w:rFonts w:hint="eastAsia" w:ascii="宋体" w:hAnsi="宋体" w:eastAsia="宋体" w:cs="宋体"/>
          <w:color w:val="000000"/>
          <w:sz w:val="24"/>
          <w:szCs w:val="20"/>
        </w:rPr>
        <w:t xml:space="preserve">      </w:t>
      </w:r>
    </w:p>
    <w:p w14:paraId="2604DD14">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电子函件：</w:t>
      </w:r>
      <w:r>
        <w:rPr>
          <w:rFonts w:hint="eastAsia" w:ascii="宋体" w:hAnsi="宋体" w:eastAsia="宋体" w:cs="宋体"/>
          <w:bCs/>
          <w:color w:val="000000"/>
          <w:sz w:val="24"/>
          <w:u w:val="single"/>
        </w:rPr>
        <w:t>_________________________</w:t>
      </w:r>
    </w:p>
    <w:p w14:paraId="4A1BF183">
      <w:pPr>
        <w:tabs>
          <w:tab w:val="left" w:pos="5580"/>
        </w:tabs>
        <w:spacing w:line="360" w:lineRule="auto"/>
        <w:ind w:left="420"/>
        <w:rPr>
          <w:rFonts w:hint="eastAsia" w:ascii="宋体" w:hAnsi="宋体" w:eastAsia="宋体" w:cs="宋体"/>
          <w:color w:val="000000"/>
          <w:sz w:val="24"/>
          <w:szCs w:val="20"/>
        </w:rPr>
      </w:pPr>
    </w:p>
    <w:p w14:paraId="1F574F1C">
      <w:pPr>
        <w:tabs>
          <w:tab w:val="left" w:pos="5580"/>
        </w:tabs>
        <w:spacing w:line="360" w:lineRule="auto"/>
        <w:ind w:left="420"/>
        <w:rPr>
          <w:rFonts w:hint="eastAsia" w:ascii="宋体" w:hAnsi="宋体" w:eastAsia="宋体" w:cs="宋体"/>
          <w:color w:val="000000"/>
          <w:sz w:val="24"/>
          <w:szCs w:val="20"/>
        </w:rPr>
      </w:pPr>
    </w:p>
    <w:p w14:paraId="3971B501">
      <w:pPr>
        <w:tabs>
          <w:tab w:val="left" w:pos="5580"/>
        </w:tabs>
        <w:spacing w:line="360" w:lineRule="auto"/>
        <w:ind w:left="420"/>
        <w:rPr>
          <w:rFonts w:hint="eastAsia" w:ascii="宋体" w:hAnsi="宋体" w:eastAsia="宋体" w:cs="宋体"/>
          <w:color w:val="000000"/>
          <w:sz w:val="24"/>
          <w:szCs w:val="20"/>
        </w:rPr>
      </w:pPr>
    </w:p>
    <w:p w14:paraId="0E14EBA9">
      <w:pPr>
        <w:autoSpaceDE w:val="0"/>
        <w:autoSpaceDN w:val="0"/>
        <w:adjustRightInd w:val="0"/>
        <w:snapToGrid w:val="0"/>
        <w:spacing w:before="25" w:after="25" w:line="360" w:lineRule="auto"/>
        <w:ind w:right="360" w:firstLine="360" w:firstLineChars="150"/>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u w:val="single"/>
        </w:rPr>
        <w:t>______</w:t>
      </w:r>
    </w:p>
    <w:p w14:paraId="18E6006D">
      <w:pPr>
        <w:tabs>
          <w:tab w:val="left" w:pos="5580"/>
        </w:tabs>
        <w:spacing w:line="360" w:lineRule="auto"/>
        <w:ind w:firstLine="360" w:firstLineChars="150"/>
        <w:rPr>
          <w:rFonts w:hint="eastAsia" w:ascii="宋体" w:hAnsi="宋体" w:eastAsia="宋体" w:cs="宋体"/>
          <w:color w:val="000000"/>
          <w:sz w:val="24"/>
          <w:szCs w:val="20"/>
        </w:rPr>
      </w:pPr>
      <w:r>
        <w:rPr>
          <w:rFonts w:hint="eastAsia" w:ascii="宋体" w:hAnsi="宋体" w:eastAsia="宋体" w:cs="宋体"/>
          <w:color w:val="000000"/>
          <w:sz w:val="24"/>
          <w:szCs w:val="20"/>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 xml:space="preserve">日  </w:t>
      </w:r>
    </w:p>
    <w:p w14:paraId="5DA4C5FD">
      <w:pPr>
        <w:tabs>
          <w:tab w:val="left" w:pos="5580"/>
        </w:tabs>
        <w:spacing w:line="360" w:lineRule="auto"/>
        <w:rPr>
          <w:rFonts w:hint="eastAsia" w:ascii="宋体" w:hAnsi="宋体" w:eastAsia="宋体" w:cs="宋体"/>
          <w:sz w:val="24"/>
        </w:rPr>
      </w:pPr>
    </w:p>
    <w:p w14:paraId="69425379">
      <w:pPr>
        <w:widowControl/>
        <w:jc w:val="left"/>
        <w:rPr>
          <w:rFonts w:hint="eastAsia" w:ascii="宋体" w:hAnsi="宋体" w:eastAsia="宋体" w:cs="宋体"/>
          <w:sz w:val="24"/>
        </w:rPr>
      </w:pPr>
      <w:r>
        <w:rPr>
          <w:rFonts w:hint="eastAsia" w:ascii="宋体" w:hAnsi="宋体" w:eastAsia="宋体" w:cs="宋体"/>
          <w:sz w:val="24"/>
        </w:rPr>
        <w:br w:type="page"/>
      </w:r>
    </w:p>
    <w:p w14:paraId="2B62333E">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6 授权委托书</w:t>
      </w:r>
    </w:p>
    <w:p w14:paraId="4F0B33F1">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14:paraId="5951D002">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（姓名）系</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（供应商名称）的法定代表人（单位负责人），现委托</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（项目名称）响应文件和处理有关事宜，其法律后果由我方承担。</w:t>
      </w:r>
    </w:p>
    <w:p w14:paraId="495C7ADD">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14:paraId="4AF078D5">
      <w:pPr>
        <w:spacing w:line="360" w:lineRule="auto"/>
        <w:ind w:firstLine="420"/>
        <w:rPr>
          <w:rFonts w:hint="eastAsia" w:ascii="宋体" w:hAnsi="宋体" w:eastAsia="宋体" w:cs="宋体"/>
          <w:color w:val="000000"/>
          <w:sz w:val="24"/>
          <w:lang w:val="zh-CN"/>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szCs w:val="20"/>
          <w:u w:val="single"/>
        </w:rPr>
        <w:t>______________</w:t>
      </w:r>
    </w:p>
    <w:p w14:paraId="6ED79188">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法定代表人（单位负责人）（签字或签章）：</w:t>
      </w:r>
      <w:r>
        <w:rPr>
          <w:rFonts w:hint="eastAsia" w:ascii="宋体" w:hAnsi="宋体" w:eastAsia="宋体" w:cs="宋体"/>
          <w:color w:val="000000"/>
          <w:sz w:val="24"/>
          <w:szCs w:val="20"/>
          <w:u w:val="single"/>
        </w:rPr>
        <w:t>______________</w:t>
      </w:r>
    </w:p>
    <w:p w14:paraId="450DD6F7">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w:t>
      </w:r>
      <w:r>
        <w:rPr>
          <w:rFonts w:hint="eastAsia" w:ascii="宋体" w:hAnsi="宋体" w:eastAsia="宋体" w:cs="宋体"/>
          <w:color w:val="000000"/>
          <w:sz w:val="24"/>
          <w:szCs w:val="20"/>
        </w:rPr>
        <w:t>/签章</w:t>
      </w:r>
      <w:r>
        <w:rPr>
          <w:rFonts w:hint="eastAsia" w:ascii="宋体" w:hAnsi="宋体" w:eastAsia="宋体" w:cs="宋体"/>
          <w:color w:val="000000"/>
          <w:sz w:val="24"/>
        </w:rPr>
        <w:t>）：</w:t>
      </w:r>
      <w:r>
        <w:rPr>
          <w:rFonts w:hint="eastAsia" w:ascii="宋体" w:hAnsi="宋体" w:eastAsia="宋体" w:cs="宋体"/>
          <w:color w:val="000000"/>
          <w:sz w:val="24"/>
          <w:szCs w:val="20"/>
          <w:u w:val="single"/>
        </w:rPr>
        <w:t>______________</w:t>
      </w:r>
      <w:r>
        <w:rPr>
          <w:rFonts w:hint="eastAsia" w:ascii="宋体" w:hAnsi="宋体" w:eastAsia="宋体" w:cs="宋体"/>
          <w:color w:val="000000"/>
          <w:sz w:val="24"/>
          <w:lang w:val="zh-CN"/>
        </w:rPr>
        <w:t xml:space="preserve">        </w:t>
      </w:r>
    </w:p>
    <w:p w14:paraId="1D060BA7">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rPr>
        <w:t>日</w:t>
      </w:r>
    </w:p>
    <w:p w14:paraId="2FF9510E">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9634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6F05F08">
            <w:pPr>
              <w:tabs>
                <w:tab w:val="left" w:pos="5580"/>
              </w:tabs>
              <w:spacing w:line="360" w:lineRule="auto"/>
              <w:jc w:val="left"/>
              <w:rPr>
                <w:rFonts w:hint="eastAsia" w:ascii="宋体" w:hAnsi="宋体" w:eastAsia="宋体" w:cs="宋体"/>
                <w:color w:val="000000"/>
                <w:sz w:val="24"/>
                <w:szCs w:val="20"/>
              </w:rPr>
            </w:pPr>
          </w:p>
          <w:p w14:paraId="6693BF2F">
            <w:pPr>
              <w:tabs>
                <w:tab w:val="left" w:pos="5580"/>
              </w:tabs>
              <w:spacing w:line="360" w:lineRule="auto"/>
              <w:jc w:val="left"/>
              <w:rPr>
                <w:rFonts w:hint="eastAsia" w:ascii="宋体" w:hAnsi="宋体" w:eastAsia="宋体" w:cs="宋体"/>
                <w:color w:val="000000"/>
                <w:sz w:val="24"/>
                <w:szCs w:val="20"/>
              </w:rPr>
            </w:pPr>
          </w:p>
          <w:p w14:paraId="75C8D35F">
            <w:pPr>
              <w:tabs>
                <w:tab w:val="left" w:pos="5580"/>
              </w:tabs>
              <w:spacing w:line="360" w:lineRule="auto"/>
              <w:jc w:val="left"/>
              <w:rPr>
                <w:rFonts w:hint="eastAsia" w:ascii="宋体" w:hAnsi="宋体" w:eastAsia="宋体" w:cs="宋体"/>
                <w:color w:val="000000"/>
                <w:sz w:val="24"/>
                <w:szCs w:val="20"/>
              </w:rPr>
            </w:pPr>
          </w:p>
        </w:tc>
        <w:tc>
          <w:tcPr>
            <w:tcW w:w="4536" w:type="dxa"/>
          </w:tcPr>
          <w:p w14:paraId="5BDDA171">
            <w:pPr>
              <w:tabs>
                <w:tab w:val="left" w:pos="5580"/>
              </w:tabs>
              <w:spacing w:line="360" w:lineRule="auto"/>
              <w:jc w:val="left"/>
              <w:rPr>
                <w:rFonts w:hint="eastAsia" w:ascii="宋体" w:hAnsi="宋体" w:eastAsia="宋体" w:cs="宋体"/>
                <w:color w:val="000000"/>
                <w:sz w:val="24"/>
                <w:szCs w:val="20"/>
              </w:rPr>
            </w:pPr>
          </w:p>
          <w:p w14:paraId="797ED284">
            <w:pPr>
              <w:tabs>
                <w:tab w:val="left" w:pos="5580"/>
              </w:tabs>
              <w:spacing w:line="360" w:lineRule="auto"/>
              <w:jc w:val="left"/>
              <w:rPr>
                <w:rFonts w:hint="eastAsia" w:ascii="宋体" w:hAnsi="宋体" w:eastAsia="宋体" w:cs="宋体"/>
                <w:color w:val="000000"/>
                <w:sz w:val="24"/>
                <w:szCs w:val="20"/>
              </w:rPr>
            </w:pPr>
          </w:p>
          <w:p w14:paraId="1C347ADD">
            <w:pPr>
              <w:tabs>
                <w:tab w:val="left" w:pos="5580"/>
              </w:tabs>
              <w:spacing w:line="360" w:lineRule="auto"/>
              <w:jc w:val="left"/>
              <w:rPr>
                <w:rFonts w:hint="eastAsia" w:ascii="宋体" w:hAnsi="宋体" w:eastAsia="宋体" w:cs="宋体"/>
                <w:color w:val="000000"/>
                <w:sz w:val="24"/>
                <w:szCs w:val="20"/>
              </w:rPr>
            </w:pPr>
          </w:p>
        </w:tc>
      </w:tr>
    </w:tbl>
    <w:p w14:paraId="453DC5DF">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539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376B1C3">
            <w:pPr>
              <w:tabs>
                <w:tab w:val="left" w:pos="5580"/>
              </w:tabs>
              <w:spacing w:line="360" w:lineRule="auto"/>
              <w:jc w:val="left"/>
              <w:rPr>
                <w:rFonts w:hint="eastAsia" w:ascii="宋体" w:hAnsi="宋体" w:eastAsia="宋体" w:cs="宋体"/>
                <w:color w:val="000000"/>
                <w:sz w:val="24"/>
                <w:szCs w:val="20"/>
              </w:rPr>
            </w:pPr>
          </w:p>
          <w:p w14:paraId="2EEE1F99">
            <w:pPr>
              <w:tabs>
                <w:tab w:val="left" w:pos="5580"/>
              </w:tabs>
              <w:spacing w:line="360" w:lineRule="auto"/>
              <w:jc w:val="left"/>
              <w:rPr>
                <w:rFonts w:hint="eastAsia" w:ascii="宋体" w:hAnsi="宋体" w:eastAsia="宋体" w:cs="宋体"/>
                <w:color w:val="000000"/>
                <w:sz w:val="24"/>
                <w:szCs w:val="20"/>
              </w:rPr>
            </w:pPr>
          </w:p>
          <w:p w14:paraId="54B69FBD">
            <w:pPr>
              <w:tabs>
                <w:tab w:val="left" w:pos="5580"/>
              </w:tabs>
              <w:spacing w:line="360" w:lineRule="auto"/>
              <w:jc w:val="left"/>
              <w:rPr>
                <w:rFonts w:hint="eastAsia" w:ascii="宋体" w:hAnsi="宋体" w:eastAsia="宋体" w:cs="宋体"/>
                <w:color w:val="000000"/>
                <w:sz w:val="24"/>
                <w:szCs w:val="20"/>
              </w:rPr>
            </w:pPr>
          </w:p>
        </w:tc>
        <w:tc>
          <w:tcPr>
            <w:tcW w:w="4536" w:type="dxa"/>
          </w:tcPr>
          <w:p w14:paraId="0CBE2E59">
            <w:pPr>
              <w:tabs>
                <w:tab w:val="left" w:pos="5580"/>
              </w:tabs>
              <w:spacing w:line="360" w:lineRule="auto"/>
              <w:jc w:val="left"/>
              <w:rPr>
                <w:rFonts w:hint="eastAsia" w:ascii="宋体" w:hAnsi="宋体" w:eastAsia="宋体" w:cs="宋体"/>
                <w:color w:val="000000"/>
                <w:sz w:val="24"/>
                <w:szCs w:val="20"/>
              </w:rPr>
            </w:pPr>
          </w:p>
          <w:p w14:paraId="7BC37B71">
            <w:pPr>
              <w:tabs>
                <w:tab w:val="left" w:pos="5580"/>
              </w:tabs>
              <w:spacing w:line="360" w:lineRule="auto"/>
              <w:jc w:val="left"/>
              <w:rPr>
                <w:rFonts w:hint="eastAsia" w:ascii="宋体" w:hAnsi="宋体" w:eastAsia="宋体" w:cs="宋体"/>
                <w:color w:val="000000"/>
                <w:sz w:val="24"/>
                <w:szCs w:val="20"/>
              </w:rPr>
            </w:pPr>
          </w:p>
          <w:p w14:paraId="76E83C6F">
            <w:pPr>
              <w:tabs>
                <w:tab w:val="left" w:pos="5580"/>
              </w:tabs>
              <w:spacing w:line="360" w:lineRule="auto"/>
              <w:jc w:val="left"/>
              <w:rPr>
                <w:rFonts w:hint="eastAsia" w:ascii="宋体" w:hAnsi="宋体" w:eastAsia="宋体" w:cs="宋体"/>
                <w:color w:val="000000"/>
                <w:sz w:val="24"/>
                <w:szCs w:val="20"/>
              </w:rPr>
            </w:pPr>
          </w:p>
        </w:tc>
      </w:tr>
    </w:tbl>
    <w:p w14:paraId="031546D1">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1A91362B">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1.若供应商为事业单位或其他组织或分支机构（仅当磋商文件注明允许分支机构响应的），则法定代表人（单位负责人）处的签署人可为单位负责人。</w:t>
      </w:r>
    </w:p>
    <w:p w14:paraId="156E9A3F">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2.若响应文件中签字之处均为法定代表人（单位负责人）本人签署，则可不提供本《授权委托书》，但须提供《法定代表人（单位负责人）身份证明》（实质性格式）。</w:t>
      </w:r>
    </w:p>
    <w:p w14:paraId="66A60717">
      <w:pPr>
        <w:tabs>
          <w:tab w:val="left" w:pos="5580"/>
        </w:tabs>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3.供应商为自然人的情形，可不提供本《授权委托书》。</w:t>
      </w:r>
    </w:p>
    <w:p w14:paraId="78850C2B">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6D44F781">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附：法定代表人（单位负责人）身份证明</w:t>
      </w:r>
    </w:p>
    <w:p w14:paraId="77DA5306">
      <w:pPr>
        <w:kinsoku w:val="0"/>
        <w:overflowPunct w:val="0"/>
        <w:spacing w:line="200" w:lineRule="exact"/>
        <w:rPr>
          <w:rFonts w:hint="eastAsia" w:ascii="宋体" w:hAnsi="宋体" w:eastAsia="宋体" w:cs="宋体"/>
          <w:sz w:val="20"/>
          <w:szCs w:val="20"/>
        </w:rPr>
      </w:pPr>
    </w:p>
    <w:p w14:paraId="039D5776">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szCs w:val="20"/>
          <w:u w:val="single"/>
        </w:rPr>
        <w:t>____</w:t>
      </w:r>
      <w:r>
        <w:rPr>
          <w:rFonts w:hint="eastAsia" w:ascii="宋体" w:hAnsi="宋体" w:eastAsia="宋体" w:cs="宋体"/>
          <w:color w:val="000000"/>
          <w:sz w:val="24"/>
        </w:rPr>
        <w:t>（采购人）</w:t>
      </w:r>
    </w:p>
    <w:p w14:paraId="23ECED4B">
      <w:pPr>
        <w:pStyle w:val="6"/>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14:paraId="312CAE11">
      <w:pPr>
        <w:pStyle w:val="6"/>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w:t>
      </w:r>
      <w:r>
        <w:rPr>
          <w:rFonts w:hint="eastAsia" w:ascii="宋体" w:hAnsi="宋体" w:eastAsia="宋体" w:cs="宋体"/>
          <w:color w:val="000000"/>
          <w:szCs w:val="20"/>
          <w:u w:val="single"/>
        </w:rPr>
        <w:t>____</w:t>
      </w:r>
      <w:r>
        <w:rPr>
          <w:rFonts w:hint="eastAsia" w:ascii="宋体" w:hAnsi="宋体" w:eastAsia="宋体" w:cs="宋体"/>
        </w:rPr>
        <w:t>性别：</w:t>
      </w:r>
      <w:r>
        <w:rPr>
          <w:rFonts w:hint="eastAsia" w:ascii="宋体" w:hAnsi="宋体" w:eastAsia="宋体" w:cs="宋体"/>
          <w:color w:val="000000"/>
          <w:szCs w:val="20"/>
          <w:u w:val="single"/>
        </w:rPr>
        <w:t>____</w:t>
      </w:r>
      <w:r>
        <w:rPr>
          <w:rFonts w:hint="eastAsia" w:ascii="宋体" w:hAnsi="宋体" w:eastAsia="宋体" w:cs="宋体"/>
        </w:rPr>
        <w:t>年龄：</w:t>
      </w:r>
      <w:r>
        <w:rPr>
          <w:rFonts w:hint="eastAsia" w:ascii="宋体" w:hAnsi="宋体" w:eastAsia="宋体" w:cs="宋体"/>
          <w:color w:val="000000"/>
          <w:szCs w:val="20"/>
          <w:u w:val="single"/>
        </w:rPr>
        <w:t>____</w:t>
      </w:r>
      <w:r>
        <w:rPr>
          <w:rFonts w:hint="eastAsia" w:ascii="宋体" w:hAnsi="宋体" w:eastAsia="宋体" w:cs="宋体"/>
        </w:rPr>
        <w:t>职务：</w:t>
      </w:r>
      <w:r>
        <w:rPr>
          <w:rFonts w:hint="eastAsia" w:ascii="宋体" w:hAnsi="宋体" w:eastAsia="宋体" w:cs="宋体"/>
          <w:color w:val="000000"/>
          <w:szCs w:val="20"/>
          <w:u w:val="single"/>
        </w:rPr>
        <w:t>____</w:t>
      </w:r>
    </w:p>
    <w:p w14:paraId="7819CDCE">
      <w:pPr>
        <w:pStyle w:val="6"/>
        <w:tabs>
          <w:tab w:val="left" w:pos="2412"/>
          <w:tab w:val="left" w:pos="3883"/>
          <w:tab w:val="left" w:pos="5352"/>
          <w:tab w:val="left" w:pos="6821"/>
        </w:tabs>
        <w:kinsoku w:val="0"/>
        <w:overflowPunct w:val="0"/>
        <w:spacing w:line="335" w:lineRule="exact"/>
        <w:rPr>
          <w:rFonts w:hint="eastAsia" w:ascii="宋体" w:hAnsi="宋体" w:eastAsia="宋体" w:cs="宋体"/>
        </w:rPr>
      </w:pPr>
    </w:p>
    <w:p w14:paraId="4E75BAB8">
      <w:pPr>
        <w:pStyle w:val="6"/>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color w:val="000000"/>
          <w:szCs w:val="20"/>
          <w:u w:val="single"/>
        </w:rPr>
        <w:t>__________</w:t>
      </w:r>
      <w:r>
        <w:rPr>
          <w:rFonts w:hint="eastAsia" w:ascii="宋体" w:hAnsi="宋体" w:eastAsia="宋体" w:cs="宋体"/>
        </w:rPr>
        <w:t>（供应商名称）的法定代表人（单位负责人）。</w:t>
      </w:r>
    </w:p>
    <w:p w14:paraId="2A682A72">
      <w:pPr>
        <w:pStyle w:val="6"/>
        <w:tabs>
          <w:tab w:val="left" w:pos="2412"/>
          <w:tab w:val="left" w:pos="3883"/>
          <w:tab w:val="left" w:pos="5352"/>
          <w:tab w:val="left" w:pos="6821"/>
        </w:tabs>
        <w:kinsoku w:val="0"/>
        <w:overflowPunct w:val="0"/>
        <w:spacing w:line="335" w:lineRule="exact"/>
        <w:rPr>
          <w:rFonts w:hint="eastAsia" w:ascii="宋体" w:hAnsi="宋体" w:eastAsia="宋体" w:cs="宋体"/>
        </w:rPr>
      </w:pPr>
    </w:p>
    <w:p w14:paraId="39EDF456">
      <w:pPr>
        <w:pStyle w:val="6"/>
        <w:kinsoku w:val="0"/>
        <w:overflowPunct w:val="0"/>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14"/>
        <w:tblW w:w="91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2"/>
        <w:gridCol w:w="4611"/>
      </w:tblGrid>
      <w:tr w14:paraId="3CF23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582" w:type="dxa"/>
          </w:tcPr>
          <w:p w14:paraId="2BC5C07B">
            <w:pPr>
              <w:tabs>
                <w:tab w:val="left" w:pos="5580"/>
              </w:tabs>
              <w:spacing w:line="360" w:lineRule="auto"/>
              <w:jc w:val="left"/>
              <w:rPr>
                <w:rFonts w:hint="eastAsia" w:ascii="宋体" w:hAnsi="宋体" w:eastAsia="宋体" w:cs="宋体"/>
                <w:color w:val="000000"/>
                <w:sz w:val="24"/>
                <w:szCs w:val="20"/>
              </w:rPr>
            </w:pPr>
          </w:p>
          <w:p w14:paraId="0490A9A5">
            <w:pPr>
              <w:tabs>
                <w:tab w:val="left" w:pos="5580"/>
              </w:tabs>
              <w:spacing w:line="360" w:lineRule="auto"/>
              <w:jc w:val="left"/>
              <w:rPr>
                <w:rFonts w:hint="eastAsia" w:ascii="宋体" w:hAnsi="宋体" w:eastAsia="宋体" w:cs="宋体"/>
                <w:color w:val="000000"/>
                <w:sz w:val="24"/>
                <w:szCs w:val="20"/>
              </w:rPr>
            </w:pPr>
          </w:p>
          <w:p w14:paraId="657BCD93">
            <w:pPr>
              <w:tabs>
                <w:tab w:val="left" w:pos="5580"/>
              </w:tabs>
              <w:spacing w:line="360" w:lineRule="auto"/>
              <w:jc w:val="left"/>
              <w:rPr>
                <w:rFonts w:hint="eastAsia" w:ascii="宋体" w:hAnsi="宋体" w:eastAsia="宋体" w:cs="宋体"/>
                <w:color w:val="000000"/>
                <w:sz w:val="24"/>
                <w:szCs w:val="20"/>
              </w:rPr>
            </w:pPr>
          </w:p>
        </w:tc>
        <w:tc>
          <w:tcPr>
            <w:tcW w:w="4611" w:type="dxa"/>
          </w:tcPr>
          <w:p w14:paraId="1F40C754">
            <w:pPr>
              <w:tabs>
                <w:tab w:val="left" w:pos="5580"/>
              </w:tabs>
              <w:spacing w:line="360" w:lineRule="auto"/>
              <w:jc w:val="left"/>
              <w:rPr>
                <w:rFonts w:hint="eastAsia" w:ascii="宋体" w:hAnsi="宋体" w:eastAsia="宋体" w:cs="宋体"/>
                <w:color w:val="000000"/>
                <w:sz w:val="24"/>
                <w:szCs w:val="20"/>
              </w:rPr>
            </w:pPr>
          </w:p>
          <w:p w14:paraId="32D8EDE1">
            <w:pPr>
              <w:tabs>
                <w:tab w:val="left" w:pos="5580"/>
              </w:tabs>
              <w:spacing w:line="360" w:lineRule="auto"/>
              <w:jc w:val="left"/>
              <w:rPr>
                <w:rFonts w:hint="eastAsia" w:ascii="宋体" w:hAnsi="宋体" w:eastAsia="宋体" w:cs="宋体"/>
                <w:color w:val="000000"/>
                <w:sz w:val="24"/>
                <w:szCs w:val="20"/>
              </w:rPr>
            </w:pPr>
          </w:p>
          <w:p w14:paraId="5F40BF73">
            <w:pPr>
              <w:tabs>
                <w:tab w:val="left" w:pos="5580"/>
              </w:tabs>
              <w:spacing w:line="360" w:lineRule="auto"/>
              <w:jc w:val="left"/>
              <w:rPr>
                <w:rFonts w:hint="eastAsia" w:ascii="宋体" w:hAnsi="宋体" w:eastAsia="宋体" w:cs="宋体"/>
                <w:color w:val="000000"/>
                <w:sz w:val="24"/>
                <w:szCs w:val="20"/>
              </w:rPr>
            </w:pPr>
          </w:p>
        </w:tc>
      </w:tr>
    </w:tbl>
    <w:p w14:paraId="0259C2DB">
      <w:pPr>
        <w:pStyle w:val="6"/>
        <w:kinsoku w:val="0"/>
        <w:overflowPunct w:val="0"/>
        <w:spacing w:line="583" w:lineRule="auto"/>
        <w:ind w:right="4305"/>
        <w:rPr>
          <w:rFonts w:hint="eastAsia" w:ascii="宋体" w:hAnsi="宋体" w:eastAsia="宋体" w:cs="宋体"/>
          <w:spacing w:val="-3"/>
        </w:rPr>
      </w:pPr>
    </w:p>
    <w:p w14:paraId="56EF30FA">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u w:val="single"/>
        </w:rPr>
        <w:t>______</w:t>
      </w:r>
    </w:p>
    <w:p w14:paraId="1CD0B350">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spacing w:val="-3"/>
          <w:sz w:val="24"/>
        </w:rPr>
        <w:t>法定代表人（</w:t>
      </w:r>
      <w:r>
        <w:rPr>
          <w:rFonts w:hint="eastAsia" w:ascii="宋体" w:hAnsi="宋体" w:eastAsia="宋体" w:cs="宋体"/>
          <w:sz w:val="24"/>
        </w:rPr>
        <w:t>单位负责人</w:t>
      </w:r>
      <w:r>
        <w:rPr>
          <w:rFonts w:hint="eastAsia" w:ascii="宋体" w:hAnsi="宋体" w:eastAsia="宋体" w:cs="宋体"/>
          <w:spacing w:val="-3"/>
          <w:sz w:val="24"/>
        </w:rPr>
        <w:t>）（</w:t>
      </w:r>
      <w:r>
        <w:rPr>
          <w:rFonts w:hint="eastAsia" w:ascii="宋体" w:hAnsi="宋体" w:eastAsia="宋体" w:cs="宋体"/>
          <w:color w:val="000000"/>
          <w:sz w:val="24"/>
          <w:szCs w:val="20"/>
        </w:rPr>
        <w:t>签字或签章</w:t>
      </w:r>
      <w:r>
        <w:rPr>
          <w:rFonts w:hint="eastAsia" w:ascii="宋体" w:hAnsi="宋体" w:eastAsia="宋体" w:cs="宋体"/>
          <w:spacing w:val="-3"/>
          <w:sz w:val="24"/>
        </w:rPr>
        <w:t>）：</w:t>
      </w:r>
      <w:r>
        <w:rPr>
          <w:rFonts w:hint="eastAsia" w:ascii="宋体" w:hAnsi="宋体" w:eastAsia="宋体" w:cs="宋体"/>
          <w:sz w:val="24"/>
          <w:u w:val="single"/>
        </w:rPr>
        <w:t>______</w:t>
      </w:r>
    </w:p>
    <w:p w14:paraId="3744CDFB">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日</w:t>
      </w:r>
    </w:p>
    <w:p w14:paraId="4A5F53B4">
      <w:pPr>
        <w:tabs>
          <w:tab w:val="left" w:pos="5580"/>
        </w:tabs>
        <w:spacing w:line="360" w:lineRule="auto"/>
        <w:rPr>
          <w:rFonts w:hint="eastAsia" w:ascii="宋体" w:hAnsi="宋体" w:eastAsia="宋体" w:cs="宋体"/>
          <w:sz w:val="24"/>
        </w:rPr>
      </w:pPr>
    </w:p>
    <w:p w14:paraId="6643136A">
      <w:pPr>
        <w:widowControl/>
        <w:jc w:val="left"/>
        <w:rPr>
          <w:rFonts w:hint="eastAsia" w:ascii="宋体" w:hAnsi="宋体" w:eastAsia="宋体" w:cs="宋体"/>
          <w:sz w:val="24"/>
        </w:rPr>
      </w:pPr>
      <w:r>
        <w:rPr>
          <w:rFonts w:hint="eastAsia" w:ascii="宋体" w:hAnsi="宋体" w:eastAsia="宋体" w:cs="宋体"/>
          <w:sz w:val="24"/>
        </w:rPr>
        <w:br w:type="page"/>
      </w:r>
    </w:p>
    <w:p w14:paraId="26769812">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7 报价一览表</w:t>
      </w:r>
    </w:p>
    <w:p w14:paraId="4F2628CC">
      <w:pPr>
        <w:spacing w:line="360" w:lineRule="auto"/>
        <w:jc w:val="center"/>
        <w:rPr>
          <w:rFonts w:hint="eastAsia" w:ascii="宋体" w:hAnsi="宋体" w:eastAsia="宋体" w:cs="宋体"/>
          <w:b/>
          <w:color w:val="000000"/>
          <w:sz w:val="36"/>
          <w:szCs w:val="36"/>
        </w:rPr>
      </w:pPr>
      <w:bookmarkStart w:id="1108" w:name="_Toc226965748"/>
      <w:bookmarkStart w:id="1109" w:name="_Toc305158900"/>
      <w:bookmarkStart w:id="1110" w:name="_Toc265228396"/>
      <w:bookmarkStart w:id="1111" w:name="_Toc226309802"/>
      <w:bookmarkStart w:id="1112" w:name="_Toc264969248"/>
      <w:bookmarkStart w:id="1113" w:name="_Toc305158826"/>
      <w:bookmarkStart w:id="1114" w:name="_Toc164608672"/>
      <w:bookmarkStart w:id="1115" w:name="_Toc226337254"/>
      <w:bookmarkStart w:id="1116" w:name="_Toc164608827"/>
      <w:bookmarkStart w:id="1117" w:name="_Toc226965831"/>
      <w:bookmarkStart w:id="1118" w:name="_Toc195842923"/>
      <w:r>
        <w:rPr>
          <w:rFonts w:hint="eastAsia" w:ascii="宋体" w:hAnsi="宋体" w:eastAsia="宋体" w:cs="宋体"/>
          <w:b/>
          <w:color w:val="000000"/>
          <w:sz w:val="36"/>
          <w:szCs w:val="36"/>
        </w:rPr>
        <w:t>报价一览表</w:t>
      </w:r>
      <w:bookmarkEnd w:id="1108"/>
      <w:bookmarkEnd w:id="1109"/>
      <w:bookmarkEnd w:id="1110"/>
      <w:bookmarkEnd w:id="1111"/>
      <w:bookmarkEnd w:id="1112"/>
      <w:bookmarkEnd w:id="1113"/>
      <w:bookmarkEnd w:id="1114"/>
      <w:bookmarkEnd w:id="1115"/>
      <w:bookmarkEnd w:id="1116"/>
      <w:bookmarkEnd w:id="1117"/>
      <w:bookmarkEnd w:id="1118"/>
    </w:p>
    <w:p w14:paraId="1DA508CD">
      <w:pPr>
        <w:spacing w:line="360" w:lineRule="auto"/>
        <w:jc w:val="left"/>
        <w:rPr>
          <w:rFonts w:hint="eastAsia" w:ascii="宋体" w:hAnsi="宋体" w:eastAsia="宋体" w:cs="宋体"/>
          <w:b/>
          <w:color w:val="000000"/>
          <w:sz w:val="36"/>
          <w:szCs w:val="36"/>
        </w:rPr>
      </w:pPr>
      <w:r>
        <w:rPr>
          <w:rFonts w:hint="eastAsia" w:ascii="宋体" w:hAnsi="宋体" w:eastAsia="宋体" w:cs="宋体"/>
          <w:color w:val="000000"/>
          <w:sz w:val="24"/>
        </w:rPr>
        <w:t>项目编号：</w:t>
      </w:r>
      <w:r>
        <w:rPr>
          <w:rFonts w:hint="eastAsia" w:ascii="宋体" w:hAnsi="宋体" w:eastAsia="宋体" w:cs="宋体"/>
          <w:sz w:val="24"/>
          <w:u w:val="single"/>
        </w:rPr>
        <w:t>___________</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项目名称：</w:t>
      </w:r>
      <w:r>
        <w:rPr>
          <w:rFonts w:hint="eastAsia" w:ascii="宋体" w:hAnsi="宋体" w:eastAsia="宋体" w:cs="宋体"/>
          <w:sz w:val="24"/>
          <w:u w:val="single"/>
        </w:rPr>
        <w:t xml:space="preserve">___________  </w:t>
      </w:r>
      <w:r>
        <w:rPr>
          <w:rFonts w:hint="eastAsia" w:ascii="宋体" w:hAnsi="宋体" w:eastAsia="宋体" w:cs="宋体"/>
          <w:sz w:val="24"/>
        </w:rPr>
        <w:t xml:space="preserve">  </w:t>
      </w:r>
    </w:p>
    <w:tbl>
      <w:tblPr>
        <w:tblStyle w:val="14"/>
        <w:tblW w:w="91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3580"/>
        <w:gridCol w:w="2264"/>
        <w:gridCol w:w="2388"/>
      </w:tblGrid>
      <w:tr w14:paraId="45470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jc w:val="center"/>
        </w:trPr>
        <w:tc>
          <w:tcPr>
            <w:tcW w:w="910" w:type="dxa"/>
            <w:vMerge w:val="restart"/>
            <w:tcBorders>
              <w:bottom w:val="nil"/>
            </w:tcBorders>
            <w:shd w:val="clear" w:color="auto" w:fill="auto"/>
          </w:tcPr>
          <w:p w14:paraId="27AD50F3">
            <w:pPr>
              <w:autoSpaceDE w:val="0"/>
              <w:autoSpaceDN w:val="0"/>
              <w:spacing w:line="360" w:lineRule="auto"/>
              <w:rPr>
                <w:rFonts w:hint="eastAsia" w:ascii="宋体" w:hAnsi="宋体" w:eastAsia="宋体" w:cs="宋体"/>
                <w:sz w:val="22"/>
              </w:rPr>
            </w:pPr>
          </w:p>
          <w:p w14:paraId="25614CE3">
            <w:pPr>
              <w:autoSpaceDE w:val="0"/>
              <w:autoSpaceDN w:val="0"/>
              <w:spacing w:before="78" w:line="360" w:lineRule="auto"/>
              <w:ind w:left="174"/>
              <w:rPr>
                <w:rFonts w:hint="eastAsia" w:ascii="宋体" w:hAnsi="宋体" w:eastAsia="宋体" w:cs="宋体"/>
                <w:sz w:val="24"/>
              </w:rPr>
            </w:pPr>
            <w:r>
              <w:rPr>
                <w:rFonts w:hint="eastAsia" w:ascii="宋体" w:hAnsi="宋体" w:eastAsia="宋体" w:cs="宋体"/>
                <w:spacing w:val="-3"/>
                <w:sz w:val="24"/>
              </w:rPr>
              <w:t>序号</w:t>
            </w:r>
          </w:p>
        </w:tc>
        <w:tc>
          <w:tcPr>
            <w:tcW w:w="3580" w:type="dxa"/>
            <w:vMerge w:val="restart"/>
            <w:tcBorders>
              <w:bottom w:val="nil"/>
            </w:tcBorders>
            <w:shd w:val="clear" w:color="auto" w:fill="auto"/>
          </w:tcPr>
          <w:p w14:paraId="1568B2DF">
            <w:pPr>
              <w:autoSpaceDE w:val="0"/>
              <w:autoSpaceDN w:val="0"/>
              <w:spacing w:line="360" w:lineRule="auto"/>
              <w:rPr>
                <w:rFonts w:hint="eastAsia" w:ascii="宋体" w:hAnsi="宋体" w:eastAsia="宋体" w:cs="宋体"/>
                <w:sz w:val="22"/>
              </w:rPr>
            </w:pPr>
          </w:p>
          <w:p w14:paraId="4F547DC3">
            <w:pPr>
              <w:autoSpaceDE w:val="0"/>
              <w:autoSpaceDN w:val="0"/>
              <w:spacing w:before="78" w:line="360" w:lineRule="auto"/>
              <w:ind w:left="1006"/>
              <w:rPr>
                <w:rFonts w:hint="eastAsia" w:ascii="宋体" w:hAnsi="宋体" w:eastAsia="宋体" w:cs="宋体"/>
                <w:sz w:val="24"/>
              </w:rPr>
            </w:pPr>
            <w:r>
              <w:rPr>
                <w:rFonts w:hint="eastAsia" w:ascii="宋体" w:hAnsi="宋体" w:eastAsia="宋体" w:cs="宋体"/>
                <w:spacing w:val="-1"/>
                <w:sz w:val="24"/>
              </w:rPr>
              <w:t>供应商名称</w:t>
            </w:r>
          </w:p>
        </w:tc>
        <w:tc>
          <w:tcPr>
            <w:tcW w:w="4652" w:type="dxa"/>
            <w:gridSpan w:val="2"/>
            <w:shd w:val="clear" w:color="auto" w:fill="auto"/>
          </w:tcPr>
          <w:p w14:paraId="7C3E7D56">
            <w:pPr>
              <w:autoSpaceDE w:val="0"/>
              <w:autoSpaceDN w:val="0"/>
              <w:spacing w:before="150" w:line="360" w:lineRule="auto"/>
              <w:ind w:left="1844"/>
              <w:rPr>
                <w:rFonts w:hint="eastAsia" w:ascii="宋体" w:hAnsi="宋体" w:eastAsia="宋体" w:cs="宋体"/>
                <w:sz w:val="24"/>
              </w:rPr>
            </w:pPr>
            <w:r>
              <w:rPr>
                <w:rFonts w:hint="eastAsia" w:ascii="宋体" w:hAnsi="宋体" w:eastAsia="宋体" w:cs="宋体"/>
                <w:spacing w:val="-2"/>
                <w:sz w:val="24"/>
              </w:rPr>
              <w:t>报价（元）</w:t>
            </w:r>
          </w:p>
        </w:tc>
      </w:tr>
      <w:tr w14:paraId="0481D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910" w:type="dxa"/>
            <w:vMerge w:val="continue"/>
            <w:tcBorders>
              <w:top w:val="nil"/>
            </w:tcBorders>
            <w:shd w:val="clear" w:color="auto" w:fill="auto"/>
          </w:tcPr>
          <w:p w14:paraId="13C6EE46">
            <w:pPr>
              <w:autoSpaceDE w:val="0"/>
              <w:autoSpaceDN w:val="0"/>
              <w:spacing w:line="360" w:lineRule="auto"/>
              <w:rPr>
                <w:rFonts w:hint="eastAsia" w:ascii="宋体" w:hAnsi="宋体" w:eastAsia="宋体" w:cs="宋体"/>
                <w:sz w:val="22"/>
              </w:rPr>
            </w:pPr>
          </w:p>
        </w:tc>
        <w:tc>
          <w:tcPr>
            <w:tcW w:w="3580" w:type="dxa"/>
            <w:vMerge w:val="continue"/>
            <w:tcBorders>
              <w:top w:val="nil"/>
            </w:tcBorders>
            <w:shd w:val="clear" w:color="auto" w:fill="auto"/>
          </w:tcPr>
          <w:p w14:paraId="32F6D848">
            <w:pPr>
              <w:autoSpaceDE w:val="0"/>
              <w:autoSpaceDN w:val="0"/>
              <w:spacing w:line="360" w:lineRule="auto"/>
              <w:rPr>
                <w:rFonts w:hint="eastAsia" w:ascii="宋体" w:hAnsi="宋体" w:eastAsia="宋体" w:cs="宋体"/>
                <w:sz w:val="22"/>
              </w:rPr>
            </w:pPr>
          </w:p>
        </w:tc>
        <w:tc>
          <w:tcPr>
            <w:tcW w:w="2264" w:type="dxa"/>
            <w:shd w:val="clear" w:color="auto" w:fill="auto"/>
          </w:tcPr>
          <w:p w14:paraId="0D4D8E10">
            <w:pPr>
              <w:autoSpaceDE w:val="0"/>
              <w:autoSpaceDN w:val="0"/>
              <w:spacing w:before="217" w:line="360" w:lineRule="auto"/>
              <w:ind w:left="783"/>
              <w:rPr>
                <w:rFonts w:hint="eastAsia" w:ascii="宋体" w:hAnsi="宋体" w:eastAsia="宋体" w:cs="宋体"/>
                <w:sz w:val="24"/>
              </w:rPr>
            </w:pPr>
            <w:r>
              <w:rPr>
                <w:rFonts w:hint="eastAsia" w:ascii="宋体" w:hAnsi="宋体" w:eastAsia="宋体" w:cs="宋体"/>
                <w:spacing w:val="-4"/>
                <w:sz w:val="24"/>
              </w:rPr>
              <w:t>大</w:t>
            </w:r>
            <w:r>
              <w:rPr>
                <w:rFonts w:hint="eastAsia" w:ascii="宋体" w:hAnsi="宋体" w:eastAsia="宋体" w:cs="宋体"/>
                <w:spacing w:val="-3"/>
                <w:sz w:val="24"/>
              </w:rPr>
              <w:t>写</w:t>
            </w:r>
          </w:p>
        </w:tc>
        <w:tc>
          <w:tcPr>
            <w:tcW w:w="2388" w:type="dxa"/>
            <w:shd w:val="clear" w:color="auto" w:fill="auto"/>
          </w:tcPr>
          <w:p w14:paraId="5A62BAC8">
            <w:pPr>
              <w:autoSpaceDE w:val="0"/>
              <w:autoSpaceDN w:val="0"/>
              <w:spacing w:before="217" w:line="360" w:lineRule="auto"/>
              <w:ind w:left="840"/>
              <w:rPr>
                <w:rFonts w:hint="eastAsia" w:ascii="宋体" w:hAnsi="宋体" w:eastAsia="宋体" w:cs="宋体"/>
                <w:sz w:val="24"/>
              </w:rPr>
            </w:pPr>
            <w:r>
              <w:rPr>
                <w:rFonts w:hint="eastAsia" w:ascii="宋体" w:hAnsi="宋体" w:eastAsia="宋体" w:cs="宋体"/>
                <w:spacing w:val="-4"/>
                <w:sz w:val="24"/>
              </w:rPr>
              <w:t>小写</w:t>
            </w:r>
          </w:p>
        </w:tc>
      </w:tr>
      <w:tr w14:paraId="3B1B8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jc w:val="center"/>
        </w:trPr>
        <w:tc>
          <w:tcPr>
            <w:tcW w:w="910" w:type="dxa"/>
            <w:shd w:val="clear" w:color="auto" w:fill="auto"/>
          </w:tcPr>
          <w:p w14:paraId="2799E6B2">
            <w:pPr>
              <w:autoSpaceDE w:val="0"/>
              <w:autoSpaceDN w:val="0"/>
              <w:spacing w:line="360" w:lineRule="auto"/>
              <w:rPr>
                <w:rFonts w:hint="eastAsia" w:ascii="宋体" w:hAnsi="宋体" w:eastAsia="宋体" w:cs="宋体"/>
                <w:sz w:val="22"/>
              </w:rPr>
            </w:pPr>
          </w:p>
        </w:tc>
        <w:tc>
          <w:tcPr>
            <w:tcW w:w="3580" w:type="dxa"/>
            <w:shd w:val="clear" w:color="auto" w:fill="auto"/>
          </w:tcPr>
          <w:p w14:paraId="77215AAB">
            <w:pPr>
              <w:autoSpaceDE w:val="0"/>
              <w:autoSpaceDN w:val="0"/>
              <w:spacing w:line="360" w:lineRule="auto"/>
              <w:rPr>
                <w:rFonts w:hint="eastAsia" w:ascii="宋体" w:hAnsi="宋体" w:eastAsia="宋体" w:cs="宋体"/>
                <w:sz w:val="22"/>
              </w:rPr>
            </w:pPr>
          </w:p>
        </w:tc>
        <w:tc>
          <w:tcPr>
            <w:tcW w:w="2264" w:type="dxa"/>
            <w:shd w:val="clear" w:color="auto" w:fill="auto"/>
          </w:tcPr>
          <w:p w14:paraId="539320D6">
            <w:pPr>
              <w:autoSpaceDE w:val="0"/>
              <w:autoSpaceDN w:val="0"/>
              <w:spacing w:line="360" w:lineRule="auto"/>
              <w:rPr>
                <w:rFonts w:hint="eastAsia" w:ascii="宋体" w:hAnsi="宋体" w:eastAsia="宋体" w:cs="宋体"/>
                <w:sz w:val="22"/>
              </w:rPr>
            </w:pPr>
          </w:p>
        </w:tc>
        <w:tc>
          <w:tcPr>
            <w:tcW w:w="2388" w:type="dxa"/>
            <w:shd w:val="clear" w:color="auto" w:fill="auto"/>
          </w:tcPr>
          <w:p w14:paraId="39B1C64F">
            <w:pPr>
              <w:autoSpaceDE w:val="0"/>
              <w:autoSpaceDN w:val="0"/>
              <w:spacing w:line="360" w:lineRule="auto"/>
              <w:rPr>
                <w:rFonts w:hint="eastAsia" w:ascii="宋体" w:hAnsi="宋体" w:eastAsia="宋体" w:cs="宋体"/>
                <w:sz w:val="22"/>
              </w:rPr>
            </w:pPr>
          </w:p>
        </w:tc>
      </w:tr>
    </w:tbl>
    <w:p w14:paraId="23535BF5">
      <w:pPr>
        <w:tabs>
          <w:tab w:val="left" w:pos="1800"/>
          <w:tab w:val="left" w:pos="5580"/>
        </w:tabs>
        <w:spacing w:line="360" w:lineRule="auto"/>
        <w:ind w:firstLine="240" w:firstLineChars="100"/>
        <w:jc w:val="left"/>
        <w:rPr>
          <w:rFonts w:hint="eastAsia" w:ascii="宋体" w:hAnsi="宋体" w:eastAsia="宋体" w:cs="宋体"/>
          <w:color w:val="000000"/>
          <w:sz w:val="24"/>
          <w:u w:val="single"/>
        </w:rPr>
      </w:pPr>
    </w:p>
    <w:p w14:paraId="13533708">
      <w:pPr>
        <w:autoSpaceDE w:val="0"/>
        <w:autoSpaceDN w:val="0"/>
        <w:adjustRightInd w:val="0"/>
        <w:jc w:val="left"/>
        <w:rPr>
          <w:rFonts w:hint="eastAsia" w:ascii="宋体" w:hAnsi="宋体" w:eastAsia="宋体" w:cs="宋体"/>
          <w:color w:val="000000"/>
          <w:sz w:val="24"/>
          <w:szCs w:val="20"/>
        </w:rPr>
      </w:pPr>
      <w:r>
        <w:rPr>
          <w:rFonts w:hint="eastAsia" w:ascii="宋体" w:hAnsi="宋体" w:eastAsia="宋体" w:cs="宋体"/>
          <w:color w:val="000000"/>
          <w:kern w:val="0"/>
          <w:sz w:val="24"/>
        </w:rPr>
        <w:t>注：</w:t>
      </w:r>
      <w:r>
        <w:rPr>
          <w:rFonts w:hint="eastAsia" w:ascii="宋体" w:hAnsi="宋体" w:eastAsia="宋体" w:cs="宋体"/>
          <w:color w:val="000000"/>
          <w:sz w:val="24"/>
          <w:szCs w:val="20"/>
        </w:rPr>
        <w:t>本表必须按包分别填写。</w:t>
      </w:r>
    </w:p>
    <w:p w14:paraId="7CDFE994">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7EEAFDA7">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u w:val="single"/>
        </w:rPr>
        <w:t>___________</w:t>
      </w:r>
    </w:p>
    <w:p w14:paraId="1A6D6730">
      <w:pPr>
        <w:autoSpaceDE w:val="0"/>
        <w:autoSpaceDN w:val="0"/>
        <w:adjustRightInd w:val="0"/>
        <w:snapToGrid w:val="0"/>
        <w:spacing w:line="360" w:lineRule="auto"/>
        <w:rPr>
          <w:rFonts w:hint="eastAsia" w:ascii="宋体" w:hAnsi="宋体" w:eastAsia="宋体" w:cs="宋体"/>
          <w:color w:val="000000"/>
          <w:sz w:val="24"/>
          <w:szCs w:val="20"/>
        </w:rPr>
      </w:pPr>
      <w:r>
        <w:rPr>
          <w:rFonts w:hint="eastAsia" w:ascii="宋体" w:hAnsi="宋体" w:eastAsia="宋体" w:cs="宋体"/>
          <w:color w:val="000000"/>
          <w:sz w:val="24"/>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日</w:t>
      </w:r>
    </w:p>
    <w:p w14:paraId="61B63A24">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29402ECD">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分项报价表</w:t>
      </w:r>
    </w:p>
    <w:p w14:paraId="40868675">
      <w:pPr>
        <w:autoSpaceDE w:val="0"/>
        <w:autoSpaceDN w:val="0"/>
        <w:adjustRightInd w:val="0"/>
        <w:snapToGrid w:val="0"/>
        <w:spacing w:line="360" w:lineRule="auto"/>
        <w:rPr>
          <w:rFonts w:hint="eastAsia" w:ascii="宋体" w:hAnsi="宋体" w:eastAsia="宋体" w:cs="宋体"/>
          <w:color w:val="000000"/>
          <w:sz w:val="24"/>
          <w:szCs w:val="20"/>
        </w:rPr>
      </w:pPr>
    </w:p>
    <w:p w14:paraId="083B0920">
      <w:pPr>
        <w:tabs>
          <w:tab w:val="left" w:pos="5580"/>
        </w:tabs>
        <w:spacing w:line="360" w:lineRule="auto"/>
        <w:rPr>
          <w:rFonts w:hint="eastAsia" w:ascii="宋体" w:hAnsi="宋体" w:eastAsia="宋体" w:cs="宋体"/>
          <w:sz w:val="24"/>
        </w:rPr>
      </w:pPr>
    </w:p>
    <w:p w14:paraId="131B4D1E">
      <w:pPr>
        <w:widowControl/>
        <w:jc w:val="left"/>
        <w:rPr>
          <w:rFonts w:hint="eastAsia" w:ascii="宋体" w:hAnsi="宋体" w:eastAsia="宋体" w:cs="宋体"/>
          <w:sz w:val="24"/>
        </w:rPr>
      </w:pPr>
      <w:r>
        <w:rPr>
          <w:rFonts w:hint="eastAsia" w:ascii="宋体" w:hAnsi="宋体" w:eastAsia="宋体" w:cs="宋体"/>
          <w:sz w:val="24"/>
        </w:rPr>
        <w:br w:type="page"/>
      </w:r>
    </w:p>
    <w:p w14:paraId="46B0C67D">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 xml:space="preserve">9 </w:t>
      </w:r>
      <w:bookmarkStart w:id="1119" w:name="_Toc305158904"/>
      <w:bookmarkStart w:id="1120" w:name="_Toc150774765"/>
      <w:bookmarkStart w:id="1121" w:name="_Toc142311062"/>
      <w:bookmarkStart w:id="1122" w:name="_Toc226337258"/>
      <w:bookmarkStart w:id="1123" w:name="_Toc264969252"/>
      <w:bookmarkStart w:id="1124" w:name="_Toc150480798"/>
      <w:bookmarkStart w:id="1125" w:name="_Toc226965835"/>
      <w:bookmarkStart w:id="1126" w:name="_Toc127151562"/>
      <w:bookmarkStart w:id="1127" w:name="_Toc195842927"/>
      <w:bookmarkStart w:id="1128" w:name="_Toc265228400"/>
      <w:bookmarkStart w:id="1129" w:name="_Toc226965752"/>
      <w:bookmarkStart w:id="1130" w:name="_Toc226309806"/>
      <w:bookmarkStart w:id="1131" w:name="_Toc305158830"/>
      <w:r>
        <w:rPr>
          <w:rFonts w:hint="eastAsia" w:ascii="宋体" w:hAnsi="宋体" w:eastAsia="宋体" w:cs="宋体"/>
          <w:sz w:val="24"/>
        </w:rPr>
        <w:t>合同条款偏离表</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14:paraId="7418DEBD">
      <w:pPr>
        <w:spacing w:line="360" w:lineRule="auto"/>
        <w:rPr>
          <w:rFonts w:hint="eastAsia" w:ascii="宋体" w:hAnsi="宋体" w:eastAsia="宋体" w:cs="宋体"/>
          <w:color w:val="000000"/>
          <w:sz w:val="24"/>
          <w:szCs w:val="20"/>
        </w:rPr>
      </w:pPr>
    </w:p>
    <w:p w14:paraId="120D4A61">
      <w:pPr>
        <w:tabs>
          <w:tab w:val="left" w:pos="2775"/>
          <w:tab w:val="center" w:pos="4153"/>
        </w:tabs>
        <w:autoSpaceDE w:val="0"/>
        <w:autoSpaceDN w:val="0"/>
        <w:adjustRightInd w:val="0"/>
        <w:spacing w:line="360" w:lineRule="auto"/>
        <w:jc w:val="left"/>
        <w:rPr>
          <w:rFonts w:hint="eastAsia" w:ascii="宋体" w:hAnsi="宋体" w:eastAsia="宋体" w:cs="宋体"/>
          <w:b/>
          <w:color w:val="000000"/>
          <w:sz w:val="36"/>
          <w:szCs w:val="36"/>
        </w:rPr>
      </w:pPr>
      <w:r>
        <w:rPr>
          <w:rFonts w:hint="eastAsia" w:ascii="宋体" w:hAnsi="宋体" w:eastAsia="宋体" w:cs="宋体"/>
          <w:color w:val="000000"/>
          <w:sz w:val="36"/>
          <w:szCs w:val="36"/>
        </w:rPr>
        <w:tab/>
      </w:r>
      <w:r>
        <w:rPr>
          <w:rFonts w:hint="eastAsia" w:ascii="宋体" w:hAnsi="宋体" w:eastAsia="宋体" w:cs="宋体"/>
          <w:b/>
          <w:color w:val="000000"/>
          <w:sz w:val="36"/>
          <w:szCs w:val="36"/>
        </w:rPr>
        <w:tab/>
      </w:r>
      <w:r>
        <w:rPr>
          <w:rFonts w:hint="eastAsia" w:ascii="宋体" w:hAnsi="宋体" w:eastAsia="宋体" w:cs="宋体"/>
          <w:b/>
          <w:color w:val="000000"/>
          <w:sz w:val="36"/>
          <w:szCs w:val="36"/>
        </w:rPr>
        <w:t>合同条款偏离表</w:t>
      </w:r>
    </w:p>
    <w:p w14:paraId="3937E8D1">
      <w:pPr>
        <w:tabs>
          <w:tab w:val="left" w:pos="1800"/>
          <w:tab w:val="left" w:pos="5580"/>
        </w:tabs>
        <w:spacing w:line="360" w:lineRule="auto"/>
        <w:ind w:firstLine="360" w:firstLineChars="15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rPr>
        <w:t xml:space="preserve">_______________ </w:t>
      </w:r>
      <w:r>
        <w:rPr>
          <w:rFonts w:hint="eastAsia" w:ascii="宋体" w:hAnsi="宋体" w:eastAsia="宋体" w:cs="宋体"/>
          <w:color w:val="000000"/>
          <w:sz w:val="24"/>
        </w:rPr>
        <w:t xml:space="preserve">    项目名称：</w:t>
      </w:r>
      <w:r>
        <w:rPr>
          <w:rFonts w:hint="eastAsia" w:ascii="宋体" w:hAnsi="宋体" w:eastAsia="宋体" w:cs="宋体"/>
          <w:color w:val="000000"/>
          <w:sz w:val="24"/>
          <w:u w:val="single"/>
        </w:rPr>
        <w:t>_______________</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496"/>
        <w:gridCol w:w="1428"/>
        <w:gridCol w:w="1732"/>
        <w:gridCol w:w="2144"/>
        <w:gridCol w:w="729"/>
      </w:tblGrid>
      <w:tr w14:paraId="36FD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01B0CD0">
            <w:pPr>
              <w:adjustRightInd w:val="0"/>
              <w:snapToGrid w:val="0"/>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14:paraId="15777641">
            <w:pPr>
              <w:adjustRightInd w:val="0"/>
              <w:snapToGrid w:val="0"/>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14:paraId="104DDD34">
            <w:pPr>
              <w:adjustRightInd w:val="0"/>
              <w:snapToGrid w:val="0"/>
              <w:spacing w:line="360" w:lineRule="auto"/>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如有负偏离，</w:t>
            </w:r>
            <w:r>
              <w:rPr>
                <w:rFonts w:hint="eastAsia" w:ascii="宋体" w:hAnsi="宋体" w:eastAsia="宋体" w:cs="宋体"/>
                <w:color w:val="000000"/>
                <w:sz w:val="24"/>
              </w:rPr>
              <w:t>则须在本表中对负偏离项逐一列明）</w:t>
            </w:r>
          </w:p>
        </w:tc>
      </w:tr>
      <w:tr w14:paraId="057B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7F8FDE8F">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96" w:type="dxa"/>
            <w:vAlign w:val="center"/>
          </w:tcPr>
          <w:p w14:paraId="3CE516DB">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条目号（页码）</w:t>
            </w:r>
          </w:p>
        </w:tc>
        <w:tc>
          <w:tcPr>
            <w:tcW w:w="1428" w:type="dxa"/>
            <w:vAlign w:val="center"/>
          </w:tcPr>
          <w:p w14:paraId="6721A9A9">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szCs w:val="21"/>
              </w:rPr>
              <w:t>竞争性磋商文件</w:t>
            </w:r>
            <w:r>
              <w:rPr>
                <w:rFonts w:hint="eastAsia" w:ascii="宋体" w:hAnsi="宋体" w:eastAsia="宋体" w:cs="宋体"/>
                <w:color w:val="000000"/>
                <w:sz w:val="24"/>
              </w:rPr>
              <w:t>要求</w:t>
            </w:r>
          </w:p>
        </w:tc>
        <w:tc>
          <w:tcPr>
            <w:tcW w:w="1732" w:type="dxa"/>
            <w:vAlign w:val="center"/>
          </w:tcPr>
          <w:p w14:paraId="26A198D0">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响应文件内容</w:t>
            </w:r>
          </w:p>
        </w:tc>
        <w:tc>
          <w:tcPr>
            <w:tcW w:w="2144" w:type="dxa"/>
            <w:vAlign w:val="center"/>
          </w:tcPr>
          <w:p w14:paraId="6BEE8E89">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偏离情况</w:t>
            </w:r>
          </w:p>
          <w:p w14:paraId="6B1F5FEE">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（据实填写）</w:t>
            </w:r>
          </w:p>
        </w:tc>
        <w:tc>
          <w:tcPr>
            <w:tcW w:w="729" w:type="dxa"/>
            <w:vAlign w:val="center"/>
          </w:tcPr>
          <w:p w14:paraId="1BDEF9F3">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6A20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2E83B4E0">
            <w:pPr>
              <w:adjustRightInd w:val="0"/>
              <w:snapToGrid w:val="0"/>
              <w:spacing w:line="360" w:lineRule="auto"/>
              <w:jc w:val="center"/>
              <w:rPr>
                <w:rFonts w:hint="eastAsia" w:ascii="宋体" w:hAnsi="宋体" w:eastAsia="宋体" w:cs="宋体"/>
                <w:color w:val="000000"/>
                <w:sz w:val="24"/>
              </w:rPr>
            </w:pPr>
          </w:p>
        </w:tc>
        <w:tc>
          <w:tcPr>
            <w:tcW w:w="1496" w:type="dxa"/>
            <w:vAlign w:val="center"/>
          </w:tcPr>
          <w:p w14:paraId="73ED2726">
            <w:pPr>
              <w:adjustRightInd w:val="0"/>
              <w:snapToGrid w:val="0"/>
              <w:spacing w:line="360" w:lineRule="auto"/>
              <w:jc w:val="center"/>
              <w:rPr>
                <w:rFonts w:hint="eastAsia" w:ascii="宋体" w:hAnsi="宋体" w:eastAsia="宋体" w:cs="宋体"/>
                <w:color w:val="000000"/>
                <w:sz w:val="24"/>
              </w:rPr>
            </w:pPr>
          </w:p>
        </w:tc>
        <w:tc>
          <w:tcPr>
            <w:tcW w:w="1428" w:type="dxa"/>
            <w:vAlign w:val="center"/>
          </w:tcPr>
          <w:p w14:paraId="4409EBB8">
            <w:pPr>
              <w:adjustRightInd w:val="0"/>
              <w:snapToGrid w:val="0"/>
              <w:spacing w:line="360" w:lineRule="auto"/>
              <w:jc w:val="center"/>
              <w:rPr>
                <w:rFonts w:hint="eastAsia" w:ascii="宋体" w:hAnsi="宋体" w:eastAsia="宋体" w:cs="宋体"/>
                <w:color w:val="000000"/>
                <w:sz w:val="24"/>
              </w:rPr>
            </w:pPr>
          </w:p>
        </w:tc>
        <w:tc>
          <w:tcPr>
            <w:tcW w:w="1732" w:type="dxa"/>
            <w:vAlign w:val="center"/>
          </w:tcPr>
          <w:p w14:paraId="354BF964">
            <w:pPr>
              <w:adjustRightInd w:val="0"/>
              <w:snapToGrid w:val="0"/>
              <w:spacing w:line="360" w:lineRule="auto"/>
              <w:jc w:val="center"/>
              <w:rPr>
                <w:rFonts w:hint="eastAsia" w:ascii="宋体" w:hAnsi="宋体" w:eastAsia="宋体" w:cs="宋体"/>
                <w:color w:val="000000"/>
                <w:sz w:val="24"/>
              </w:rPr>
            </w:pPr>
          </w:p>
        </w:tc>
        <w:tc>
          <w:tcPr>
            <w:tcW w:w="2144" w:type="dxa"/>
            <w:vAlign w:val="center"/>
          </w:tcPr>
          <w:p w14:paraId="4CF7DADC">
            <w:pPr>
              <w:adjustRightInd w:val="0"/>
              <w:snapToGrid w:val="0"/>
              <w:spacing w:line="360" w:lineRule="auto"/>
              <w:jc w:val="center"/>
              <w:rPr>
                <w:rFonts w:hint="eastAsia" w:ascii="宋体" w:hAnsi="宋体" w:eastAsia="宋体" w:cs="宋体"/>
                <w:color w:val="000000"/>
                <w:sz w:val="24"/>
              </w:rPr>
            </w:pPr>
          </w:p>
        </w:tc>
        <w:tc>
          <w:tcPr>
            <w:tcW w:w="729" w:type="dxa"/>
            <w:vAlign w:val="center"/>
          </w:tcPr>
          <w:p w14:paraId="61019B21">
            <w:pPr>
              <w:adjustRightInd w:val="0"/>
              <w:snapToGrid w:val="0"/>
              <w:spacing w:line="360" w:lineRule="auto"/>
              <w:jc w:val="center"/>
              <w:rPr>
                <w:rFonts w:hint="eastAsia" w:ascii="宋体" w:hAnsi="宋体" w:eastAsia="宋体" w:cs="宋体"/>
                <w:color w:val="000000"/>
                <w:sz w:val="24"/>
              </w:rPr>
            </w:pPr>
          </w:p>
        </w:tc>
      </w:tr>
      <w:tr w14:paraId="6BE19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3F7436E2">
            <w:pPr>
              <w:adjustRightInd w:val="0"/>
              <w:snapToGrid w:val="0"/>
              <w:spacing w:line="360" w:lineRule="auto"/>
              <w:jc w:val="center"/>
              <w:rPr>
                <w:rFonts w:hint="eastAsia" w:ascii="宋体" w:hAnsi="宋体" w:eastAsia="宋体" w:cs="宋体"/>
                <w:color w:val="000000"/>
                <w:sz w:val="24"/>
              </w:rPr>
            </w:pPr>
          </w:p>
        </w:tc>
        <w:tc>
          <w:tcPr>
            <w:tcW w:w="1496" w:type="dxa"/>
            <w:vAlign w:val="center"/>
          </w:tcPr>
          <w:p w14:paraId="77EC599E">
            <w:pPr>
              <w:adjustRightInd w:val="0"/>
              <w:snapToGrid w:val="0"/>
              <w:spacing w:line="360" w:lineRule="auto"/>
              <w:jc w:val="center"/>
              <w:rPr>
                <w:rFonts w:hint="eastAsia" w:ascii="宋体" w:hAnsi="宋体" w:eastAsia="宋体" w:cs="宋体"/>
                <w:color w:val="000000"/>
                <w:sz w:val="24"/>
              </w:rPr>
            </w:pPr>
          </w:p>
        </w:tc>
        <w:tc>
          <w:tcPr>
            <w:tcW w:w="1428" w:type="dxa"/>
            <w:vAlign w:val="center"/>
          </w:tcPr>
          <w:p w14:paraId="3CF243FF">
            <w:pPr>
              <w:adjustRightInd w:val="0"/>
              <w:snapToGrid w:val="0"/>
              <w:spacing w:line="360" w:lineRule="auto"/>
              <w:jc w:val="center"/>
              <w:rPr>
                <w:rFonts w:hint="eastAsia" w:ascii="宋体" w:hAnsi="宋体" w:eastAsia="宋体" w:cs="宋体"/>
                <w:color w:val="000000"/>
                <w:sz w:val="24"/>
              </w:rPr>
            </w:pPr>
          </w:p>
        </w:tc>
        <w:tc>
          <w:tcPr>
            <w:tcW w:w="1732" w:type="dxa"/>
            <w:vAlign w:val="center"/>
          </w:tcPr>
          <w:p w14:paraId="69245F6A">
            <w:pPr>
              <w:adjustRightInd w:val="0"/>
              <w:snapToGrid w:val="0"/>
              <w:spacing w:line="360" w:lineRule="auto"/>
              <w:jc w:val="center"/>
              <w:rPr>
                <w:rFonts w:hint="eastAsia" w:ascii="宋体" w:hAnsi="宋体" w:eastAsia="宋体" w:cs="宋体"/>
                <w:color w:val="000000"/>
                <w:sz w:val="24"/>
              </w:rPr>
            </w:pPr>
          </w:p>
        </w:tc>
        <w:tc>
          <w:tcPr>
            <w:tcW w:w="2144" w:type="dxa"/>
            <w:vAlign w:val="center"/>
          </w:tcPr>
          <w:p w14:paraId="67E91F5F">
            <w:pPr>
              <w:adjustRightInd w:val="0"/>
              <w:snapToGrid w:val="0"/>
              <w:spacing w:line="360" w:lineRule="auto"/>
              <w:jc w:val="center"/>
              <w:rPr>
                <w:rFonts w:hint="eastAsia" w:ascii="宋体" w:hAnsi="宋体" w:eastAsia="宋体" w:cs="宋体"/>
                <w:color w:val="000000"/>
                <w:sz w:val="24"/>
              </w:rPr>
            </w:pPr>
          </w:p>
        </w:tc>
        <w:tc>
          <w:tcPr>
            <w:tcW w:w="729" w:type="dxa"/>
            <w:vAlign w:val="center"/>
          </w:tcPr>
          <w:p w14:paraId="315E2AC3">
            <w:pPr>
              <w:adjustRightInd w:val="0"/>
              <w:snapToGrid w:val="0"/>
              <w:spacing w:line="360" w:lineRule="auto"/>
              <w:jc w:val="center"/>
              <w:rPr>
                <w:rFonts w:hint="eastAsia" w:ascii="宋体" w:hAnsi="宋体" w:eastAsia="宋体" w:cs="宋体"/>
                <w:color w:val="000000"/>
                <w:sz w:val="24"/>
              </w:rPr>
            </w:pPr>
          </w:p>
        </w:tc>
      </w:tr>
      <w:tr w14:paraId="0468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00DC2223">
            <w:pPr>
              <w:adjustRightInd w:val="0"/>
              <w:snapToGrid w:val="0"/>
              <w:spacing w:line="360" w:lineRule="auto"/>
              <w:jc w:val="center"/>
              <w:rPr>
                <w:rFonts w:hint="eastAsia" w:ascii="宋体" w:hAnsi="宋体" w:eastAsia="宋体" w:cs="宋体"/>
                <w:color w:val="000000"/>
                <w:sz w:val="24"/>
              </w:rPr>
            </w:pPr>
          </w:p>
        </w:tc>
        <w:tc>
          <w:tcPr>
            <w:tcW w:w="1496" w:type="dxa"/>
            <w:vAlign w:val="center"/>
          </w:tcPr>
          <w:p w14:paraId="5192E82C">
            <w:pPr>
              <w:adjustRightInd w:val="0"/>
              <w:snapToGrid w:val="0"/>
              <w:spacing w:line="360" w:lineRule="auto"/>
              <w:jc w:val="center"/>
              <w:rPr>
                <w:rFonts w:hint="eastAsia" w:ascii="宋体" w:hAnsi="宋体" w:eastAsia="宋体" w:cs="宋体"/>
                <w:color w:val="000000"/>
                <w:sz w:val="24"/>
              </w:rPr>
            </w:pPr>
          </w:p>
        </w:tc>
        <w:tc>
          <w:tcPr>
            <w:tcW w:w="1428" w:type="dxa"/>
            <w:vAlign w:val="center"/>
          </w:tcPr>
          <w:p w14:paraId="3D5C902D">
            <w:pPr>
              <w:adjustRightInd w:val="0"/>
              <w:snapToGrid w:val="0"/>
              <w:spacing w:line="360" w:lineRule="auto"/>
              <w:jc w:val="center"/>
              <w:rPr>
                <w:rFonts w:hint="eastAsia" w:ascii="宋体" w:hAnsi="宋体" w:eastAsia="宋体" w:cs="宋体"/>
                <w:color w:val="000000"/>
                <w:sz w:val="24"/>
              </w:rPr>
            </w:pPr>
          </w:p>
        </w:tc>
        <w:tc>
          <w:tcPr>
            <w:tcW w:w="1732" w:type="dxa"/>
            <w:vAlign w:val="center"/>
          </w:tcPr>
          <w:p w14:paraId="40C5D7FD">
            <w:pPr>
              <w:adjustRightInd w:val="0"/>
              <w:snapToGrid w:val="0"/>
              <w:spacing w:line="360" w:lineRule="auto"/>
              <w:jc w:val="center"/>
              <w:rPr>
                <w:rFonts w:hint="eastAsia" w:ascii="宋体" w:hAnsi="宋体" w:eastAsia="宋体" w:cs="宋体"/>
                <w:color w:val="000000"/>
                <w:sz w:val="24"/>
              </w:rPr>
            </w:pPr>
          </w:p>
        </w:tc>
        <w:tc>
          <w:tcPr>
            <w:tcW w:w="2144" w:type="dxa"/>
            <w:vAlign w:val="center"/>
          </w:tcPr>
          <w:p w14:paraId="282F0B8B">
            <w:pPr>
              <w:adjustRightInd w:val="0"/>
              <w:snapToGrid w:val="0"/>
              <w:spacing w:line="360" w:lineRule="auto"/>
              <w:jc w:val="center"/>
              <w:rPr>
                <w:rFonts w:hint="eastAsia" w:ascii="宋体" w:hAnsi="宋体" w:eastAsia="宋体" w:cs="宋体"/>
                <w:color w:val="000000"/>
                <w:sz w:val="24"/>
              </w:rPr>
            </w:pPr>
          </w:p>
        </w:tc>
        <w:tc>
          <w:tcPr>
            <w:tcW w:w="729" w:type="dxa"/>
            <w:vAlign w:val="center"/>
          </w:tcPr>
          <w:p w14:paraId="6106F6C2">
            <w:pPr>
              <w:adjustRightInd w:val="0"/>
              <w:snapToGrid w:val="0"/>
              <w:spacing w:line="360" w:lineRule="auto"/>
              <w:jc w:val="center"/>
              <w:rPr>
                <w:rFonts w:hint="eastAsia" w:ascii="宋体" w:hAnsi="宋体" w:eastAsia="宋体" w:cs="宋体"/>
                <w:color w:val="000000"/>
                <w:sz w:val="24"/>
              </w:rPr>
            </w:pPr>
          </w:p>
        </w:tc>
      </w:tr>
      <w:tr w14:paraId="731E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1E400184">
            <w:pPr>
              <w:adjustRightInd w:val="0"/>
              <w:snapToGrid w:val="0"/>
              <w:spacing w:line="360" w:lineRule="auto"/>
              <w:jc w:val="center"/>
              <w:rPr>
                <w:rFonts w:hint="eastAsia" w:ascii="宋体" w:hAnsi="宋体" w:eastAsia="宋体" w:cs="宋体"/>
                <w:color w:val="000000"/>
                <w:sz w:val="24"/>
              </w:rPr>
            </w:pPr>
          </w:p>
        </w:tc>
        <w:tc>
          <w:tcPr>
            <w:tcW w:w="1496" w:type="dxa"/>
            <w:vAlign w:val="center"/>
          </w:tcPr>
          <w:p w14:paraId="53ACB9F5">
            <w:pPr>
              <w:adjustRightInd w:val="0"/>
              <w:snapToGrid w:val="0"/>
              <w:spacing w:line="360" w:lineRule="auto"/>
              <w:jc w:val="center"/>
              <w:rPr>
                <w:rFonts w:hint="eastAsia" w:ascii="宋体" w:hAnsi="宋体" w:eastAsia="宋体" w:cs="宋体"/>
                <w:color w:val="000000"/>
                <w:sz w:val="24"/>
              </w:rPr>
            </w:pPr>
          </w:p>
        </w:tc>
        <w:tc>
          <w:tcPr>
            <w:tcW w:w="1428" w:type="dxa"/>
            <w:vAlign w:val="center"/>
          </w:tcPr>
          <w:p w14:paraId="2FEBE909">
            <w:pPr>
              <w:adjustRightInd w:val="0"/>
              <w:snapToGrid w:val="0"/>
              <w:spacing w:line="360" w:lineRule="auto"/>
              <w:jc w:val="center"/>
              <w:rPr>
                <w:rFonts w:hint="eastAsia" w:ascii="宋体" w:hAnsi="宋体" w:eastAsia="宋体" w:cs="宋体"/>
                <w:color w:val="000000"/>
                <w:sz w:val="24"/>
              </w:rPr>
            </w:pPr>
          </w:p>
        </w:tc>
        <w:tc>
          <w:tcPr>
            <w:tcW w:w="1732" w:type="dxa"/>
            <w:vAlign w:val="center"/>
          </w:tcPr>
          <w:p w14:paraId="5D46E4AB">
            <w:pPr>
              <w:adjustRightInd w:val="0"/>
              <w:snapToGrid w:val="0"/>
              <w:spacing w:line="360" w:lineRule="auto"/>
              <w:jc w:val="center"/>
              <w:rPr>
                <w:rFonts w:hint="eastAsia" w:ascii="宋体" w:hAnsi="宋体" w:eastAsia="宋体" w:cs="宋体"/>
                <w:color w:val="000000"/>
                <w:sz w:val="24"/>
              </w:rPr>
            </w:pPr>
          </w:p>
        </w:tc>
        <w:tc>
          <w:tcPr>
            <w:tcW w:w="2144" w:type="dxa"/>
            <w:vAlign w:val="center"/>
          </w:tcPr>
          <w:p w14:paraId="02098E21">
            <w:pPr>
              <w:adjustRightInd w:val="0"/>
              <w:snapToGrid w:val="0"/>
              <w:spacing w:line="360" w:lineRule="auto"/>
              <w:jc w:val="center"/>
              <w:rPr>
                <w:rFonts w:hint="eastAsia" w:ascii="宋体" w:hAnsi="宋体" w:eastAsia="宋体" w:cs="宋体"/>
                <w:color w:val="000000"/>
                <w:sz w:val="24"/>
              </w:rPr>
            </w:pPr>
          </w:p>
        </w:tc>
        <w:tc>
          <w:tcPr>
            <w:tcW w:w="729" w:type="dxa"/>
            <w:vAlign w:val="center"/>
          </w:tcPr>
          <w:p w14:paraId="2095CEBB">
            <w:pPr>
              <w:adjustRightInd w:val="0"/>
              <w:snapToGrid w:val="0"/>
              <w:spacing w:line="360" w:lineRule="auto"/>
              <w:jc w:val="center"/>
              <w:rPr>
                <w:rFonts w:hint="eastAsia" w:ascii="宋体" w:hAnsi="宋体" w:eastAsia="宋体" w:cs="宋体"/>
                <w:color w:val="000000"/>
                <w:sz w:val="24"/>
              </w:rPr>
            </w:pPr>
          </w:p>
        </w:tc>
      </w:tr>
    </w:tbl>
    <w:p w14:paraId="32B6A00B">
      <w:pPr>
        <w:tabs>
          <w:tab w:val="left" w:pos="1800"/>
          <w:tab w:val="left" w:pos="5580"/>
        </w:tabs>
        <w:jc w:val="left"/>
        <w:rPr>
          <w:rFonts w:hint="eastAsia" w:ascii="宋体" w:hAnsi="宋体" w:eastAsia="宋体" w:cs="宋体"/>
          <w:color w:val="000000"/>
          <w:sz w:val="24"/>
        </w:rPr>
      </w:pPr>
    </w:p>
    <w:p w14:paraId="6951A41E">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注：</w:t>
      </w:r>
    </w:p>
    <w:p w14:paraId="1441740A">
      <w:pPr>
        <w:tabs>
          <w:tab w:val="left" w:pos="1800"/>
          <w:tab w:val="left" w:pos="5580"/>
        </w:tabs>
        <w:spacing w:line="360" w:lineRule="auto"/>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14:paraId="21049214">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14:paraId="33405383">
      <w:pPr>
        <w:spacing w:line="360" w:lineRule="auto"/>
        <w:rPr>
          <w:rFonts w:hint="eastAsia" w:ascii="宋体" w:hAnsi="宋体" w:eastAsia="宋体" w:cs="宋体"/>
          <w:color w:val="000000"/>
          <w:sz w:val="24"/>
          <w:szCs w:val="20"/>
        </w:rPr>
      </w:pPr>
    </w:p>
    <w:p w14:paraId="79292CD8">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color w:val="000000"/>
          <w:sz w:val="24"/>
          <w:u w:val="single"/>
        </w:rPr>
        <w:t>_______________</w:t>
      </w:r>
    </w:p>
    <w:p w14:paraId="2BCC77CB">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 xml:space="preserve">日    </w:t>
      </w:r>
    </w:p>
    <w:p w14:paraId="34FBAD3D">
      <w:pPr>
        <w:tabs>
          <w:tab w:val="left" w:pos="360"/>
        </w:tabs>
        <w:snapToGrid w:val="0"/>
        <w:spacing w:line="360" w:lineRule="auto"/>
        <w:outlineLvl w:val="1"/>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eastAsia="宋体" w:cs="宋体"/>
          <w:sz w:val="24"/>
        </w:rPr>
        <w:t>10  采购需求偏离表</w:t>
      </w:r>
    </w:p>
    <w:p w14:paraId="31B3CF3C">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14:paraId="7E8B1A6A">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rPr>
        <w:t xml:space="preserve">_______________  </w:t>
      </w:r>
      <w:r>
        <w:rPr>
          <w:rFonts w:hint="eastAsia" w:ascii="宋体" w:hAnsi="宋体" w:eastAsia="宋体" w:cs="宋体"/>
          <w:color w:val="000000"/>
          <w:sz w:val="24"/>
        </w:rPr>
        <w:t xml:space="preserve">   项目名称：</w:t>
      </w:r>
      <w:r>
        <w:rPr>
          <w:rFonts w:hint="eastAsia" w:ascii="宋体" w:hAnsi="宋体" w:eastAsia="宋体" w:cs="宋体"/>
          <w:color w:val="000000"/>
          <w:sz w:val="24"/>
          <w:u w:val="single"/>
        </w:rPr>
        <w:t>_______________</w:t>
      </w:r>
    </w:p>
    <w:tbl>
      <w:tblPr>
        <w:tblStyle w:val="1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0D8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F1299AF">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vAlign w:val="center"/>
          </w:tcPr>
          <w:p w14:paraId="3944DC5B">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竞争性磋商文件条目号(页码)</w:t>
            </w:r>
          </w:p>
        </w:tc>
        <w:tc>
          <w:tcPr>
            <w:tcW w:w="2384" w:type="dxa"/>
            <w:vAlign w:val="center"/>
          </w:tcPr>
          <w:p w14:paraId="2D21A9FE">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竞争性磋商文件要求</w:t>
            </w:r>
          </w:p>
        </w:tc>
        <w:tc>
          <w:tcPr>
            <w:tcW w:w="2126" w:type="dxa"/>
            <w:vAlign w:val="center"/>
          </w:tcPr>
          <w:p w14:paraId="14DA3E91">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响应内容</w:t>
            </w:r>
          </w:p>
        </w:tc>
        <w:tc>
          <w:tcPr>
            <w:tcW w:w="1875" w:type="dxa"/>
            <w:vAlign w:val="center"/>
          </w:tcPr>
          <w:p w14:paraId="1B555AEC">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偏离情况</w:t>
            </w:r>
          </w:p>
          <w:p w14:paraId="29D8B438">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szCs w:val="21"/>
              </w:rPr>
              <w:t>（据实填写）</w:t>
            </w:r>
          </w:p>
        </w:tc>
        <w:tc>
          <w:tcPr>
            <w:tcW w:w="1009" w:type="dxa"/>
            <w:vAlign w:val="center"/>
          </w:tcPr>
          <w:p w14:paraId="2BB8F61B">
            <w:pPr>
              <w:adjustRightInd w:val="0"/>
              <w:snapToGrid w:val="0"/>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3408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1A33E0">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180DAA79">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633AD23E">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58030200">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68C53177">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64FD4E71">
            <w:pPr>
              <w:adjustRightInd w:val="0"/>
              <w:snapToGrid w:val="0"/>
              <w:spacing w:line="360" w:lineRule="auto"/>
              <w:jc w:val="center"/>
              <w:rPr>
                <w:rFonts w:hint="eastAsia" w:ascii="宋体" w:hAnsi="宋体" w:eastAsia="宋体" w:cs="宋体"/>
                <w:color w:val="000000"/>
                <w:sz w:val="24"/>
              </w:rPr>
            </w:pPr>
          </w:p>
        </w:tc>
      </w:tr>
      <w:tr w14:paraId="0402E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004F60D">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372A3055">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38A6E88C">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256EA3AC">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20E84DFF">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3ECE7AB2">
            <w:pPr>
              <w:adjustRightInd w:val="0"/>
              <w:snapToGrid w:val="0"/>
              <w:spacing w:line="360" w:lineRule="auto"/>
              <w:jc w:val="center"/>
              <w:rPr>
                <w:rFonts w:hint="eastAsia" w:ascii="宋体" w:hAnsi="宋体" w:eastAsia="宋体" w:cs="宋体"/>
                <w:color w:val="000000"/>
                <w:sz w:val="24"/>
              </w:rPr>
            </w:pPr>
          </w:p>
        </w:tc>
      </w:tr>
      <w:tr w14:paraId="12F9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CEC2EB">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287A8608">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31866441">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76EC943E">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430DA9F4">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141320F2">
            <w:pPr>
              <w:adjustRightInd w:val="0"/>
              <w:snapToGrid w:val="0"/>
              <w:spacing w:line="360" w:lineRule="auto"/>
              <w:jc w:val="center"/>
              <w:rPr>
                <w:rFonts w:hint="eastAsia" w:ascii="宋体" w:hAnsi="宋体" w:eastAsia="宋体" w:cs="宋体"/>
                <w:color w:val="000000"/>
                <w:sz w:val="24"/>
              </w:rPr>
            </w:pPr>
          </w:p>
        </w:tc>
      </w:tr>
      <w:tr w14:paraId="7640A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E3F8BAB">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22326EB3">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790A8CAE">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182DA5DC">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68F3993D">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58150A31">
            <w:pPr>
              <w:adjustRightInd w:val="0"/>
              <w:snapToGrid w:val="0"/>
              <w:spacing w:line="360" w:lineRule="auto"/>
              <w:jc w:val="center"/>
              <w:rPr>
                <w:rFonts w:hint="eastAsia" w:ascii="宋体" w:hAnsi="宋体" w:eastAsia="宋体" w:cs="宋体"/>
                <w:color w:val="000000"/>
                <w:sz w:val="24"/>
              </w:rPr>
            </w:pPr>
          </w:p>
        </w:tc>
      </w:tr>
      <w:tr w14:paraId="3647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F37FE4">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71DEFA4A">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37E204D7">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11CB20AD">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0B4ED094">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47EF6771">
            <w:pPr>
              <w:adjustRightInd w:val="0"/>
              <w:snapToGrid w:val="0"/>
              <w:spacing w:line="360" w:lineRule="auto"/>
              <w:jc w:val="center"/>
              <w:rPr>
                <w:rFonts w:hint="eastAsia" w:ascii="宋体" w:hAnsi="宋体" w:eastAsia="宋体" w:cs="宋体"/>
                <w:color w:val="000000"/>
                <w:sz w:val="24"/>
              </w:rPr>
            </w:pPr>
          </w:p>
        </w:tc>
      </w:tr>
      <w:tr w14:paraId="3C42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987FC94">
            <w:pPr>
              <w:adjustRightInd w:val="0"/>
              <w:snapToGrid w:val="0"/>
              <w:spacing w:line="360" w:lineRule="auto"/>
              <w:jc w:val="center"/>
              <w:rPr>
                <w:rFonts w:hint="eastAsia" w:ascii="宋体" w:hAnsi="宋体" w:eastAsia="宋体" w:cs="宋体"/>
                <w:color w:val="000000"/>
                <w:sz w:val="24"/>
              </w:rPr>
            </w:pPr>
          </w:p>
        </w:tc>
        <w:tc>
          <w:tcPr>
            <w:tcW w:w="1482" w:type="dxa"/>
            <w:vAlign w:val="center"/>
          </w:tcPr>
          <w:p w14:paraId="4030B20E">
            <w:pPr>
              <w:adjustRightInd w:val="0"/>
              <w:snapToGrid w:val="0"/>
              <w:spacing w:line="360" w:lineRule="auto"/>
              <w:jc w:val="center"/>
              <w:rPr>
                <w:rFonts w:hint="eastAsia" w:ascii="宋体" w:hAnsi="宋体" w:eastAsia="宋体" w:cs="宋体"/>
                <w:color w:val="000000"/>
                <w:sz w:val="24"/>
              </w:rPr>
            </w:pPr>
          </w:p>
        </w:tc>
        <w:tc>
          <w:tcPr>
            <w:tcW w:w="2384" w:type="dxa"/>
            <w:vAlign w:val="center"/>
          </w:tcPr>
          <w:p w14:paraId="63015150">
            <w:pPr>
              <w:adjustRightInd w:val="0"/>
              <w:snapToGrid w:val="0"/>
              <w:spacing w:line="360" w:lineRule="auto"/>
              <w:jc w:val="center"/>
              <w:rPr>
                <w:rFonts w:hint="eastAsia" w:ascii="宋体" w:hAnsi="宋体" w:eastAsia="宋体" w:cs="宋体"/>
                <w:color w:val="000000"/>
                <w:sz w:val="24"/>
              </w:rPr>
            </w:pPr>
          </w:p>
        </w:tc>
        <w:tc>
          <w:tcPr>
            <w:tcW w:w="2126" w:type="dxa"/>
            <w:vAlign w:val="center"/>
          </w:tcPr>
          <w:p w14:paraId="3DA5B6F8">
            <w:pPr>
              <w:adjustRightInd w:val="0"/>
              <w:snapToGrid w:val="0"/>
              <w:spacing w:line="360" w:lineRule="auto"/>
              <w:jc w:val="center"/>
              <w:rPr>
                <w:rFonts w:hint="eastAsia" w:ascii="宋体" w:hAnsi="宋体" w:eastAsia="宋体" w:cs="宋体"/>
                <w:color w:val="000000"/>
                <w:sz w:val="24"/>
              </w:rPr>
            </w:pPr>
          </w:p>
        </w:tc>
        <w:tc>
          <w:tcPr>
            <w:tcW w:w="1875" w:type="dxa"/>
            <w:vAlign w:val="center"/>
          </w:tcPr>
          <w:p w14:paraId="2E695255">
            <w:pPr>
              <w:adjustRightInd w:val="0"/>
              <w:snapToGrid w:val="0"/>
              <w:spacing w:line="360" w:lineRule="auto"/>
              <w:jc w:val="center"/>
              <w:rPr>
                <w:rFonts w:hint="eastAsia" w:ascii="宋体" w:hAnsi="宋体" w:eastAsia="宋体" w:cs="宋体"/>
                <w:color w:val="000000"/>
                <w:sz w:val="24"/>
              </w:rPr>
            </w:pPr>
          </w:p>
        </w:tc>
        <w:tc>
          <w:tcPr>
            <w:tcW w:w="1009" w:type="dxa"/>
            <w:vAlign w:val="center"/>
          </w:tcPr>
          <w:p w14:paraId="5909779F">
            <w:pPr>
              <w:adjustRightInd w:val="0"/>
              <w:snapToGrid w:val="0"/>
              <w:spacing w:line="360" w:lineRule="auto"/>
              <w:jc w:val="center"/>
              <w:rPr>
                <w:rFonts w:hint="eastAsia" w:ascii="宋体" w:hAnsi="宋体" w:eastAsia="宋体" w:cs="宋体"/>
                <w:color w:val="000000"/>
                <w:sz w:val="24"/>
              </w:rPr>
            </w:pPr>
          </w:p>
        </w:tc>
      </w:tr>
    </w:tbl>
    <w:p w14:paraId="428CB2AC">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注：</w:t>
      </w:r>
    </w:p>
    <w:p w14:paraId="33019DE9">
      <w:pPr>
        <w:tabs>
          <w:tab w:val="left" w:pos="1800"/>
          <w:tab w:val="left" w:pos="5580"/>
        </w:tabs>
        <w:spacing w:line="360" w:lineRule="auto"/>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eastAsia="宋体" w:cs="宋体"/>
          <w:b/>
          <w:sz w:val="24"/>
        </w:rPr>
        <w:t>响应无效</w:t>
      </w:r>
      <w:r>
        <w:rPr>
          <w:rFonts w:hint="eastAsia" w:ascii="宋体" w:hAnsi="宋体" w:eastAsia="宋体" w:cs="宋体"/>
          <w:sz w:val="24"/>
        </w:rPr>
        <w:t>。</w:t>
      </w:r>
    </w:p>
    <w:p w14:paraId="575B254A">
      <w:pPr>
        <w:tabs>
          <w:tab w:val="left" w:pos="1800"/>
          <w:tab w:val="left" w:pos="5580"/>
        </w:tabs>
        <w:spacing w:line="360" w:lineRule="auto"/>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填写“无偏离”、“正偏离”或“负偏离”。</w:t>
      </w:r>
    </w:p>
    <w:p w14:paraId="7C6EE44B">
      <w:pPr>
        <w:rPr>
          <w:rFonts w:hint="eastAsia" w:ascii="宋体" w:hAnsi="宋体" w:eastAsia="宋体" w:cs="宋体"/>
          <w:color w:val="000000"/>
          <w:sz w:val="24"/>
          <w:szCs w:val="20"/>
        </w:rPr>
      </w:pPr>
    </w:p>
    <w:p w14:paraId="693A58EE">
      <w:pPr>
        <w:autoSpaceDE w:val="0"/>
        <w:autoSpaceDN w:val="0"/>
        <w:adjustRightInd w:val="0"/>
        <w:snapToGrid w:val="0"/>
        <w:spacing w:before="25" w:after="25" w:line="360" w:lineRule="auto"/>
        <w:ind w:right="360"/>
        <w:jc w:val="lef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u w:val="single"/>
        </w:rPr>
        <w:t>______</w:t>
      </w:r>
    </w:p>
    <w:p w14:paraId="3CDA4B24">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cs="宋体"/>
          <w:color w:val="000000"/>
          <w:sz w:val="24"/>
          <w:szCs w:val="20"/>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 xml:space="preserve">日 </w:t>
      </w:r>
    </w:p>
    <w:p w14:paraId="6B722A23">
      <w:pPr>
        <w:tabs>
          <w:tab w:val="left" w:pos="5580"/>
        </w:tabs>
        <w:spacing w:line="360" w:lineRule="auto"/>
        <w:rPr>
          <w:rFonts w:hint="eastAsia" w:ascii="宋体" w:hAnsi="宋体" w:eastAsia="宋体" w:cs="宋体"/>
          <w:sz w:val="24"/>
        </w:rPr>
      </w:pPr>
    </w:p>
    <w:p w14:paraId="6BA8562F">
      <w:pPr>
        <w:widowControl/>
        <w:jc w:val="left"/>
        <w:rPr>
          <w:rFonts w:hint="eastAsia" w:ascii="宋体" w:hAnsi="宋体" w:eastAsia="宋体" w:cs="宋体"/>
          <w:sz w:val="24"/>
        </w:rPr>
      </w:pPr>
      <w:r>
        <w:rPr>
          <w:rFonts w:hint="eastAsia" w:ascii="宋体" w:hAnsi="宋体" w:eastAsia="宋体" w:cs="宋体"/>
          <w:sz w:val="24"/>
        </w:rPr>
        <w:br w:type="page"/>
      </w:r>
    </w:p>
    <w:p w14:paraId="4443DD24">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11  竞争性磋商文件要求提供或供应商认为应附的其他材料</w:t>
      </w:r>
    </w:p>
    <w:p w14:paraId="28EA3870">
      <w:pPr>
        <w:widowControl/>
        <w:jc w:val="left"/>
        <w:rPr>
          <w:rFonts w:hint="eastAsia" w:ascii="宋体" w:hAnsi="宋体" w:eastAsia="宋体" w:cs="宋体"/>
          <w:sz w:val="24"/>
        </w:rPr>
      </w:pPr>
      <w:r>
        <w:rPr>
          <w:rFonts w:hint="eastAsia" w:ascii="宋体" w:hAnsi="宋体" w:eastAsia="宋体" w:cs="宋体"/>
          <w:sz w:val="24"/>
        </w:rPr>
        <w:br w:type="page"/>
      </w:r>
    </w:p>
    <w:p w14:paraId="2437B393">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12  最后报价一览表（此表格仅作为通过资格性与符合性的供应商磋商二次报价用，此表将在磋商现场由招标代理机构发放给供应商）</w:t>
      </w:r>
    </w:p>
    <w:p w14:paraId="4EA31F50">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报价一览表</w:t>
      </w:r>
    </w:p>
    <w:p w14:paraId="643445A8">
      <w:pPr>
        <w:spacing w:line="360" w:lineRule="auto"/>
        <w:jc w:val="left"/>
        <w:rPr>
          <w:rFonts w:hint="eastAsia" w:ascii="宋体" w:hAnsi="宋体" w:eastAsia="宋体" w:cs="宋体"/>
          <w:b/>
          <w:color w:val="000000"/>
          <w:sz w:val="36"/>
          <w:szCs w:val="36"/>
        </w:rPr>
      </w:pPr>
      <w:r>
        <w:rPr>
          <w:rFonts w:hint="eastAsia" w:ascii="宋体" w:hAnsi="宋体" w:eastAsia="宋体" w:cs="宋体"/>
          <w:color w:val="000000"/>
          <w:sz w:val="24"/>
        </w:rPr>
        <w:t>项目编号：</w:t>
      </w:r>
      <w:r>
        <w:rPr>
          <w:rFonts w:hint="eastAsia" w:ascii="宋体" w:hAnsi="宋体" w:eastAsia="宋体" w:cs="宋体"/>
          <w:sz w:val="24"/>
          <w:u w:val="single"/>
        </w:rPr>
        <w:t>___________</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项目名称：</w:t>
      </w:r>
      <w:r>
        <w:rPr>
          <w:rFonts w:hint="eastAsia" w:ascii="宋体" w:hAnsi="宋体" w:eastAsia="宋体" w:cs="宋体"/>
          <w:sz w:val="24"/>
          <w:u w:val="single"/>
        </w:rPr>
        <w:t xml:space="preserve">___________  </w:t>
      </w:r>
      <w:r>
        <w:rPr>
          <w:rFonts w:hint="eastAsia" w:ascii="宋体" w:hAnsi="宋体" w:eastAsia="宋体" w:cs="宋体"/>
          <w:sz w:val="24"/>
        </w:rPr>
        <w:t xml:space="preserve">  </w:t>
      </w:r>
    </w:p>
    <w:tbl>
      <w:tblPr>
        <w:tblStyle w:val="14"/>
        <w:tblW w:w="91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3580"/>
        <w:gridCol w:w="2490"/>
        <w:gridCol w:w="2162"/>
      </w:tblGrid>
      <w:tr w14:paraId="2BB7A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jc w:val="center"/>
        </w:trPr>
        <w:tc>
          <w:tcPr>
            <w:tcW w:w="910" w:type="dxa"/>
            <w:vMerge w:val="restart"/>
            <w:tcBorders>
              <w:bottom w:val="nil"/>
            </w:tcBorders>
            <w:shd w:val="clear" w:color="auto" w:fill="auto"/>
          </w:tcPr>
          <w:p w14:paraId="729AC481">
            <w:pPr>
              <w:autoSpaceDE w:val="0"/>
              <w:autoSpaceDN w:val="0"/>
              <w:spacing w:line="360" w:lineRule="auto"/>
              <w:rPr>
                <w:rFonts w:hint="eastAsia" w:ascii="宋体" w:hAnsi="宋体" w:eastAsia="宋体" w:cs="宋体"/>
                <w:sz w:val="22"/>
              </w:rPr>
            </w:pPr>
          </w:p>
          <w:p w14:paraId="366FEDF0">
            <w:pPr>
              <w:autoSpaceDE w:val="0"/>
              <w:autoSpaceDN w:val="0"/>
              <w:spacing w:before="78" w:line="360" w:lineRule="auto"/>
              <w:ind w:left="174"/>
              <w:rPr>
                <w:rFonts w:hint="eastAsia" w:ascii="宋体" w:hAnsi="宋体" w:eastAsia="宋体" w:cs="宋体"/>
                <w:sz w:val="24"/>
              </w:rPr>
            </w:pPr>
            <w:r>
              <w:rPr>
                <w:rFonts w:hint="eastAsia" w:ascii="宋体" w:hAnsi="宋体" w:eastAsia="宋体" w:cs="宋体"/>
                <w:spacing w:val="-3"/>
                <w:sz w:val="24"/>
              </w:rPr>
              <w:t>序号</w:t>
            </w:r>
          </w:p>
        </w:tc>
        <w:tc>
          <w:tcPr>
            <w:tcW w:w="3580" w:type="dxa"/>
            <w:vMerge w:val="restart"/>
            <w:tcBorders>
              <w:bottom w:val="nil"/>
            </w:tcBorders>
            <w:shd w:val="clear" w:color="auto" w:fill="auto"/>
          </w:tcPr>
          <w:p w14:paraId="5DA365FE">
            <w:pPr>
              <w:autoSpaceDE w:val="0"/>
              <w:autoSpaceDN w:val="0"/>
              <w:spacing w:line="360" w:lineRule="auto"/>
              <w:rPr>
                <w:rFonts w:hint="eastAsia" w:ascii="宋体" w:hAnsi="宋体" w:eastAsia="宋体" w:cs="宋体"/>
                <w:sz w:val="22"/>
              </w:rPr>
            </w:pPr>
          </w:p>
          <w:p w14:paraId="223B2D94">
            <w:pPr>
              <w:autoSpaceDE w:val="0"/>
              <w:autoSpaceDN w:val="0"/>
              <w:spacing w:before="78" w:line="360" w:lineRule="auto"/>
              <w:ind w:left="1006"/>
              <w:rPr>
                <w:rFonts w:hint="eastAsia" w:ascii="宋体" w:hAnsi="宋体" w:eastAsia="宋体" w:cs="宋体"/>
                <w:sz w:val="24"/>
              </w:rPr>
            </w:pPr>
            <w:r>
              <w:rPr>
                <w:rFonts w:hint="eastAsia" w:ascii="宋体" w:hAnsi="宋体" w:eastAsia="宋体" w:cs="宋体"/>
                <w:spacing w:val="-1"/>
                <w:sz w:val="24"/>
              </w:rPr>
              <w:t>供应商名称</w:t>
            </w:r>
          </w:p>
        </w:tc>
        <w:tc>
          <w:tcPr>
            <w:tcW w:w="4652" w:type="dxa"/>
            <w:gridSpan w:val="2"/>
            <w:shd w:val="clear" w:color="auto" w:fill="auto"/>
          </w:tcPr>
          <w:p w14:paraId="22BFC6FD">
            <w:pPr>
              <w:autoSpaceDE w:val="0"/>
              <w:autoSpaceDN w:val="0"/>
              <w:spacing w:before="150" w:line="360" w:lineRule="auto"/>
              <w:ind w:left="1844"/>
              <w:rPr>
                <w:rFonts w:hint="eastAsia" w:ascii="宋体" w:hAnsi="宋体" w:eastAsia="宋体" w:cs="宋体"/>
                <w:sz w:val="24"/>
              </w:rPr>
            </w:pPr>
            <w:r>
              <w:rPr>
                <w:rFonts w:hint="eastAsia" w:ascii="宋体" w:hAnsi="宋体" w:eastAsia="宋体" w:cs="宋体"/>
                <w:spacing w:val="-2"/>
                <w:sz w:val="24"/>
              </w:rPr>
              <w:t>报价（元）</w:t>
            </w:r>
          </w:p>
        </w:tc>
      </w:tr>
      <w:tr w14:paraId="62E25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jc w:val="center"/>
        </w:trPr>
        <w:tc>
          <w:tcPr>
            <w:tcW w:w="910" w:type="dxa"/>
            <w:vMerge w:val="continue"/>
            <w:tcBorders>
              <w:top w:val="nil"/>
            </w:tcBorders>
            <w:shd w:val="clear" w:color="auto" w:fill="auto"/>
          </w:tcPr>
          <w:p w14:paraId="58380F4F">
            <w:pPr>
              <w:autoSpaceDE w:val="0"/>
              <w:autoSpaceDN w:val="0"/>
              <w:spacing w:line="360" w:lineRule="auto"/>
              <w:rPr>
                <w:rFonts w:hint="eastAsia" w:ascii="宋体" w:hAnsi="宋体" w:eastAsia="宋体" w:cs="宋体"/>
                <w:sz w:val="22"/>
              </w:rPr>
            </w:pPr>
          </w:p>
        </w:tc>
        <w:tc>
          <w:tcPr>
            <w:tcW w:w="3580" w:type="dxa"/>
            <w:vMerge w:val="continue"/>
            <w:tcBorders>
              <w:top w:val="nil"/>
            </w:tcBorders>
            <w:shd w:val="clear" w:color="auto" w:fill="auto"/>
          </w:tcPr>
          <w:p w14:paraId="7CA06531">
            <w:pPr>
              <w:autoSpaceDE w:val="0"/>
              <w:autoSpaceDN w:val="0"/>
              <w:spacing w:line="360" w:lineRule="auto"/>
              <w:rPr>
                <w:rFonts w:hint="eastAsia" w:ascii="宋体" w:hAnsi="宋体" w:eastAsia="宋体" w:cs="宋体"/>
                <w:sz w:val="22"/>
              </w:rPr>
            </w:pPr>
          </w:p>
        </w:tc>
        <w:tc>
          <w:tcPr>
            <w:tcW w:w="2490" w:type="dxa"/>
            <w:shd w:val="clear" w:color="auto" w:fill="auto"/>
          </w:tcPr>
          <w:p w14:paraId="2CF16D0D">
            <w:pPr>
              <w:autoSpaceDE w:val="0"/>
              <w:autoSpaceDN w:val="0"/>
              <w:spacing w:before="217" w:line="360" w:lineRule="auto"/>
              <w:ind w:left="783"/>
              <w:rPr>
                <w:rFonts w:hint="eastAsia" w:ascii="宋体" w:hAnsi="宋体" w:eastAsia="宋体" w:cs="宋体"/>
                <w:sz w:val="24"/>
              </w:rPr>
            </w:pPr>
            <w:r>
              <w:rPr>
                <w:rFonts w:hint="eastAsia" w:ascii="宋体" w:hAnsi="宋体" w:eastAsia="宋体" w:cs="宋体"/>
                <w:spacing w:val="-4"/>
                <w:sz w:val="24"/>
              </w:rPr>
              <w:t>大</w:t>
            </w:r>
            <w:r>
              <w:rPr>
                <w:rFonts w:hint="eastAsia" w:ascii="宋体" w:hAnsi="宋体" w:eastAsia="宋体" w:cs="宋体"/>
                <w:spacing w:val="-3"/>
                <w:sz w:val="24"/>
              </w:rPr>
              <w:t>写</w:t>
            </w:r>
          </w:p>
        </w:tc>
        <w:tc>
          <w:tcPr>
            <w:tcW w:w="2162" w:type="dxa"/>
            <w:shd w:val="clear" w:color="auto" w:fill="auto"/>
          </w:tcPr>
          <w:p w14:paraId="695A7E63">
            <w:pPr>
              <w:autoSpaceDE w:val="0"/>
              <w:autoSpaceDN w:val="0"/>
              <w:spacing w:before="217" w:line="360" w:lineRule="auto"/>
              <w:ind w:left="840"/>
              <w:rPr>
                <w:rFonts w:hint="eastAsia" w:ascii="宋体" w:hAnsi="宋体" w:eastAsia="宋体" w:cs="宋体"/>
                <w:sz w:val="24"/>
              </w:rPr>
            </w:pPr>
            <w:r>
              <w:rPr>
                <w:rFonts w:hint="eastAsia" w:ascii="宋体" w:hAnsi="宋体" w:eastAsia="宋体" w:cs="宋体"/>
                <w:spacing w:val="-4"/>
                <w:sz w:val="24"/>
              </w:rPr>
              <w:t>小写</w:t>
            </w:r>
          </w:p>
        </w:tc>
      </w:tr>
      <w:tr w14:paraId="39D0B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jc w:val="center"/>
        </w:trPr>
        <w:tc>
          <w:tcPr>
            <w:tcW w:w="910" w:type="dxa"/>
            <w:shd w:val="clear" w:color="auto" w:fill="auto"/>
          </w:tcPr>
          <w:p w14:paraId="56298C63">
            <w:pPr>
              <w:autoSpaceDE w:val="0"/>
              <w:autoSpaceDN w:val="0"/>
              <w:spacing w:line="360" w:lineRule="auto"/>
              <w:rPr>
                <w:rFonts w:hint="eastAsia" w:ascii="宋体" w:hAnsi="宋体" w:eastAsia="宋体" w:cs="宋体"/>
                <w:sz w:val="22"/>
              </w:rPr>
            </w:pPr>
          </w:p>
        </w:tc>
        <w:tc>
          <w:tcPr>
            <w:tcW w:w="3580" w:type="dxa"/>
            <w:shd w:val="clear" w:color="auto" w:fill="auto"/>
          </w:tcPr>
          <w:p w14:paraId="740D16D5">
            <w:pPr>
              <w:autoSpaceDE w:val="0"/>
              <w:autoSpaceDN w:val="0"/>
              <w:spacing w:line="360" w:lineRule="auto"/>
              <w:rPr>
                <w:rFonts w:hint="eastAsia" w:ascii="宋体" w:hAnsi="宋体" w:eastAsia="宋体" w:cs="宋体"/>
                <w:sz w:val="22"/>
              </w:rPr>
            </w:pPr>
          </w:p>
        </w:tc>
        <w:tc>
          <w:tcPr>
            <w:tcW w:w="2490" w:type="dxa"/>
            <w:shd w:val="clear" w:color="auto" w:fill="auto"/>
          </w:tcPr>
          <w:p w14:paraId="7AAB9510">
            <w:pPr>
              <w:autoSpaceDE w:val="0"/>
              <w:autoSpaceDN w:val="0"/>
              <w:spacing w:line="360" w:lineRule="auto"/>
              <w:rPr>
                <w:rFonts w:hint="eastAsia" w:ascii="宋体" w:hAnsi="宋体" w:eastAsia="宋体" w:cs="宋体"/>
                <w:sz w:val="22"/>
              </w:rPr>
            </w:pPr>
          </w:p>
        </w:tc>
        <w:tc>
          <w:tcPr>
            <w:tcW w:w="2162" w:type="dxa"/>
            <w:shd w:val="clear" w:color="auto" w:fill="auto"/>
          </w:tcPr>
          <w:p w14:paraId="0BEC2988">
            <w:pPr>
              <w:autoSpaceDE w:val="0"/>
              <w:autoSpaceDN w:val="0"/>
              <w:spacing w:line="360" w:lineRule="auto"/>
              <w:rPr>
                <w:rFonts w:hint="eastAsia" w:ascii="宋体" w:hAnsi="宋体" w:eastAsia="宋体" w:cs="宋体"/>
                <w:sz w:val="22"/>
              </w:rPr>
            </w:pPr>
          </w:p>
        </w:tc>
      </w:tr>
    </w:tbl>
    <w:p w14:paraId="1E6BC09F">
      <w:pPr>
        <w:tabs>
          <w:tab w:val="left" w:pos="1800"/>
          <w:tab w:val="left" w:pos="5580"/>
        </w:tabs>
        <w:spacing w:line="360" w:lineRule="auto"/>
        <w:ind w:firstLine="240" w:firstLineChars="100"/>
        <w:jc w:val="left"/>
        <w:rPr>
          <w:rFonts w:hint="eastAsia" w:ascii="宋体" w:hAnsi="宋体" w:eastAsia="宋体" w:cs="宋体"/>
          <w:color w:val="000000"/>
          <w:sz w:val="24"/>
          <w:u w:val="single"/>
        </w:rPr>
      </w:pPr>
    </w:p>
    <w:p w14:paraId="2689B563">
      <w:pPr>
        <w:autoSpaceDE w:val="0"/>
        <w:autoSpaceDN w:val="0"/>
        <w:adjustRightInd w:val="0"/>
        <w:jc w:val="left"/>
        <w:rPr>
          <w:rFonts w:hint="eastAsia" w:ascii="宋体" w:hAnsi="宋体" w:eastAsia="宋体" w:cs="宋体"/>
          <w:color w:val="000000"/>
          <w:sz w:val="24"/>
          <w:szCs w:val="20"/>
        </w:rPr>
      </w:pPr>
      <w:r>
        <w:rPr>
          <w:rFonts w:hint="eastAsia" w:ascii="宋体" w:hAnsi="宋体" w:eastAsia="宋体" w:cs="宋体"/>
          <w:color w:val="000000"/>
          <w:kern w:val="0"/>
          <w:sz w:val="24"/>
        </w:rPr>
        <w:t>注：</w:t>
      </w:r>
      <w:r>
        <w:rPr>
          <w:rFonts w:hint="eastAsia" w:ascii="宋体" w:hAnsi="宋体" w:eastAsia="宋体" w:cs="宋体"/>
          <w:color w:val="000000"/>
          <w:sz w:val="24"/>
          <w:szCs w:val="20"/>
        </w:rPr>
        <w:t>本表必须按包分别填写。</w:t>
      </w:r>
    </w:p>
    <w:p w14:paraId="7457DC14">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7EEFC4E6">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sz w:val="24"/>
        </w:rPr>
        <w:t>供应商授权代表签字（或加盖供应商公章）</w:t>
      </w:r>
      <w:r>
        <w:rPr>
          <w:rFonts w:hint="eastAsia" w:ascii="宋体" w:hAnsi="宋体" w:eastAsia="宋体" w:cs="宋体"/>
          <w:color w:val="000000"/>
          <w:sz w:val="24"/>
          <w:lang w:val="zh-CN"/>
        </w:rPr>
        <w:t>：</w:t>
      </w:r>
      <w:r>
        <w:rPr>
          <w:rFonts w:hint="eastAsia" w:ascii="宋体" w:hAnsi="宋体" w:eastAsia="宋体" w:cs="宋体"/>
          <w:sz w:val="24"/>
          <w:u w:val="single"/>
        </w:rPr>
        <w:t>___________</w:t>
      </w:r>
    </w:p>
    <w:p w14:paraId="28540D08">
      <w:pPr>
        <w:autoSpaceDE w:val="0"/>
        <w:autoSpaceDN w:val="0"/>
        <w:adjustRightInd w:val="0"/>
        <w:snapToGrid w:val="0"/>
        <w:spacing w:line="360" w:lineRule="auto"/>
        <w:rPr>
          <w:rFonts w:hint="eastAsia" w:ascii="宋体" w:hAnsi="宋体" w:eastAsia="宋体" w:cs="宋体"/>
          <w:color w:val="000000"/>
          <w:sz w:val="24"/>
          <w:szCs w:val="20"/>
        </w:rPr>
      </w:pPr>
      <w:r>
        <w:rPr>
          <w:rFonts w:hint="eastAsia" w:ascii="宋体" w:hAnsi="宋体" w:eastAsia="宋体" w:cs="宋体"/>
          <w:color w:val="000000"/>
          <w:sz w:val="24"/>
        </w:rPr>
        <w:t>日期：</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年</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月</w:t>
      </w:r>
      <w:r>
        <w:rPr>
          <w:rFonts w:hint="eastAsia" w:ascii="宋体" w:hAnsi="宋体" w:eastAsia="宋体" w:cs="宋体"/>
          <w:color w:val="000000"/>
          <w:sz w:val="24"/>
          <w:szCs w:val="20"/>
          <w:u w:val="single"/>
        </w:rPr>
        <w:t>____</w:t>
      </w:r>
      <w:r>
        <w:rPr>
          <w:rFonts w:hint="eastAsia" w:ascii="宋体" w:hAnsi="宋体" w:eastAsia="宋体" w:cs="宋体"/>
          <w:color w:val="000000"/>
          <w:sz w:val="24"/>
          <w:szCs w:val="20"/>
        </w:rPr>
        <w:t>日</w:t>
      </w:r>
    </w:p>
    <w:sectPr>
      <w:headerReference r:id="rId1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docPartObj>
        <w:docPartGallery w:val="autotext"/>
      </w:docPartObj>
    </w:sdtPr>
    <w:sdtEndPr>
      <w:rPr>
        <w:rFonts w:ascii="宋体" w:hAnsi="宋体"/>
      </w:rPr>
    </w:sdtEndPr>
    <w:sdtContent>
      <w:p w14:paraId="006B20B9">
        <w:pPr>
          <w:pStyle w:val="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6E112">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0CBEF">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14D1C">
    <w:pPr>
      <w:pStyle w:val="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rPr>
      <w:t>213</w:t>
    </w:r>
    <w:r>
      <w:rPr>
        <w:rFonts w:ascii="宋体" w:hAns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FB7F8">
    <w:pPr>
      <w:pStyle w:val="8"/>
      <w:ind w:firstLine="40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ED9D0">
    <w:pPr>
      <w:pStyle w:val="8"/>
      <w:ind w:firstLine="4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B597E">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47C6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B2AF0">
    <w:pPr>
      <w:pStyle w:val="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732AF">
    <w:pPr>
      <w:pStyle w:val="9"/>
      <w:ind w:left="4410" w:firstLine="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BB182">
    <w:pPr>
      <w:pStyle w:val="9"/>
      <w:ind w:left="4410" w:firstLine="420"/>
    </w:pPr>
    <w:r>
      <w:t>2017-2018年密云水库采集系统应用平台维护招标文件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BD66E">
    <w:pPr>
      <w:pStyle w:val="9"/>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4B54D"/>
    <w:multiLevelType w:val="singleLevel"/>
    <w:tmpl w:val="8864B54D"/>
    <w:lvl w:ilvl="0" w:tentative="0">
      <w:start w:val="4"/>
      <w:numFmt w:val="decimal"/>
      <w:lvlText w:val="%1."/>
      <w:lvlJc w:val="left"/>
      <w:pPr>
        <w:tabs>
          <w:tab w:val="left" w:pos="312"/>
        </w:tabs>
        <w:ind w:left="480" w:firstLine="0"/>
      </w:pPr>
    </w:lvl>
  </w:abstractNum>
  <w:abstractNum w:abstractNumId="1">
    <w:nsid w:val="EFB62654"/>
    <w:multiLevelType w:val="singleLevel"/>
    <w:tmpl w:val="EFB62654"/>
    <w:lvl w:ilvl="0" w:tentative="0">
      <w:start w:val="5"/>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69E4EF62"/>
    <w:multiLevelType w:val="singleLevel"/>
    <w:tmpl w:val="69E4EF62"/>
    <w:lvl w:ilvl="0" w:tentative="0">
      <w:start w:val="5"/>
      <w:numFmt w:val="chineseCounting"/>
      <w:suff w:val="space"/>
      <w:lvlText w:val="第%1章"/>
      <w:lvlJc w:val="left"/>
      <w:rPr>
        <w:rFonts w:hint="eastAsia"/>
      </w:rPr>
    </w:lvl>
  </w:abstractNum>
  <w:num w:numId="1">
    <w:abstractNumId w:val="0"/>
  </w:num>
  <w:num w:numId="2">
    <w:abstractNumId w:val="3"/>
  </w:num>
  <w:num w:numId="3">
    <w:abstractNumId w:val="5"/>
  </w:num>
  <w:num w:numId="4">
    <w:abstractNumId w:val="2"/>
  </w:num>
  <w:num w:numId="5">
    <w:abstractNumId w:val="4"/>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D1"/>
    <w:rsid w:val="000D13B5"/>
    <w:rsid w:val="00110FEE"/>
    <w:rsid w:val="00121FCD"/>
    <w:rsid w:val="00181E8E"/>
    <w:rsid w:val="00186F0A"/>
    <w:rsid w:val="001E425D"/>
    <w:rsid w:val="00343516"/>
    <w:rsid w:val="003F2343"/>
    <w:rsid w:val="00400004"/>
    <w:rsid w:val="00472B9B"/>
    <w:rsid w:val="004778D5"/>
    <w:rsid w:val="004836D1"/>
    <w:rsid w:val="004E6354"/>
    <w:rsid w:val="00676AF0"/>
    <w:rsid w:val="007D40D1"/>
    <w:rsid w:val="008131B6"/>
    <w:rsid w:val="00830008"/>
    <w:rsid w:val="00830161"/>
    <w:rsid w:val="009A1F1C"/>
    <w:rsid w:val="00A17DEC"/>
    <w:rsid w:val="00A76C5C"/>
    <w:rsid w:val="00AC0CD0"/>
    <w:rsid w:val="00B16BBB"/>
    <w:rsid w:val="00C17C32"/>
    <w:rsid w:val="00C9615B"/>
    <w:rsid w:val="00CD3893"/>
    <w:rsid w:val="00D3235B"/>
    <w:rsid w:val="00D94CDB"/>
    <w:rsid w:val="00ED5916"/>
    <w:rsid w:val="00FA4FDA"/>
    <w:rsid w:val="00FF27CC"/>
    <w:rsid w:val="00FF54B7"/>
    <w:rsid w:val="02810B64"/>
    <w:rsid w:val="049E37C8"/>
    <w:rsid w:val="04FC1CCC"/>
    <w:rsid w:val="0B030821"/>
    <w:rsid w:val="18322A41"/>
    <w:rsid w:val="18DE29A0"/>
    <w:rsid w:val="28EE0971"/>
    <w:rsid w:val="293B5204"/>
    <w:rsid w:val="29C94854"/>
    <w:rsid w:val="2BFF2E04"/>
    <w:rsid w:val="39F07283"/>
    <w:rsid w:val="3F7C1DAA"/>
    <w:rsid w:val="422D1A69"/>
    <w:rsid w:val="44C009B8"/>
    <w:rsid w:val="47C766DF"/>
    <w:rsid w:val="4BB22E53"/>
    <w:rsid w:val="550F6A5B"/>
    <w:rsid w:val="568A1808"/>
    <w:rsid w:val="5AE470AA"/>
    <w:rsid w:val="5DEE219A"/>
    <w:rsid w:val="5FDBF343"/>
    <w:rsid w:val="630E7361"/>
    <w:rsid w:val="649A3AF0"/>
    <w:rsid w:val="65411F0B"/>
    <w:rsid w:val="69AF9A33"/>
    <w:rsid w:val="6B8A0A6F"/>
    <w:rsid w:val="6C7D72C3"/>
    <w:rsid w:val="7164452C"/>
    <w:rsid w:val="721B697B"/>
    <w:rsid w:val="771C067A"/>
    <w:rsid w:val="7E5A2855"/>
    <w:rsid w:val="7E8B4B61"/>
    <w:rsid w:val="DF5FAF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semiHidden="0"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paragraph" w:styleId="3">
    <w:name w:val="heading 2"/>
    <w:basedOn w:val="1"/>
    <w:next w:val="1"/>
    <w:link w:val="2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36"/>
    <w:semiHidden/>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35"/>
    <w:unhideWhenUsed/>
    <w:qFormat/>
    <w:uiPriority w:val="0"/>
    <w:pPr>
      <w:ind w:firstLine="420" w:firstLineChars="200"/>
    </w:pPr>
  </w:style>
  <w:style w:type="paragraph" w:styleId="5">
    <w:name w:val="annotation text"/>
    <w:basedOn w:val="1"/>
    <w:link w:val="27"/>
    <w:qFormat/>
    <w:uiPriority w:val="99"/>
    <w:pPr>
      <w:jc w:val="left"/>
    </w:pPr>
  </w:style>
  <w:style w:type="paragraph" w:styleId="6">
    <w:name w:val="Body Text"/>
    <w:basedOn w:val="1"/>
    <w:link w:val="38"/>
    <w:qFormat/>
    <w:uiPriority w:val="0"/>
    <w:pPr>
      <w:tabs>
        <w:tab w:val="left" w:pos="567"/>
      </w:tabs>
      <w:spacing w:before="120" w:line="22" w:lineRule="atLeast"/>
    </w:pPr>
    <w:rPr>
      <w:rFonts w:ascii="宋体" w:hAnsi="宋体"/>
      <w:sz w:val="24"/>
    </w:rPr>
  </w:style>
  <w:style w:type="paragraph" w:styleId="7">
    <w:name w:val="Plain Text"/>
    <w:basedOn w:val="1"/>
    <w:link w:val="29"/>
    <w:qFormat/>
    <w:uiPriority w:val="0"/>
    <w:rPr>
      <w:rFonts w:ascii="宋体" w:hAnsi="Courier New"/>
      <w:szCs w:val="20"/>
    </w:rPr>
  </w:style>
  <w:style w:type="paragraph" w:styleId="8">
    <w:name w:val="footer"/>
    <w:basedOn w:val="1"/>
    <w:link w:val="21"/>
    <w:unhideWhenUsed/>
    <w:qFormat/>
    <w:uiPriority w:val="99"/>
    <w:pPr>
      <w:tabs>
        <w:tab w:val="center" w:pos="4153"/>
        <w:tab w:val="right" w:pos="8306"/>
      </w:tabs>
      <w:snapToGrid w:val="0"/>
      <w:jc w:val="left"/>
    </w:pPr>
    <w:rPr>
      <w:sz w:val="18"/>
      <w:szCs w:val="18"/>
    </w:rPr>
  </w:style>
  <w:style w:type="paragraph" w:styleId="9">
    <w:name w:val="header"/>
    <w:basedOn w:val="1"/>
    <w:link w:val="20"/>
    <w:unhideWhenUsed/>
    <w:qFormat/>
    <w:uiPriority w:val="0"/>
    <w:pPr>
      <w:tabs>
        <w:tab w:val="center" w:pos="4153"/>
        <w:tab w:val="right" w:pos="8306"/>
      </w:tabs>
      <w:snapToGrid w:val="0"/>
      <w:jc w:val="center"/>
    </w:pPr>
    <w:rPr>
      <w:sz w:val="18"/>
      <w:szCs w:val="18"/>
    </w:rPr>
  </w:style>
  <w:style w:type="paragraph" w:styleId="10">
    <w:name w:val="toc 1"/>
    <w:basedOn w:val="1"/>
    <w:next w:val="1"/>
    <w:unhideWhenUsed/>
    <w:qFormat/>
    <w:uiPriority w:val="39"/>
    <w:pPr>
      <w:tabs>
        <w:tab w:val="right" w:leader="dot" w:pos="8835"/>
      </w:tabs>
      <w:spacing w:line="720" w:lineRule="auto"/>
      <w:jc w:val="center"/>
    </w:pPr>
    <w:rPr>
      <w:rFonts w:ascii="宋体" w:hAnsi="宋体"/>
      <w:b/>
      <w:sz w:val="28"/>
      <w:szCs w:val="28"/>
    </w:rPr>
  </w:style>
  <w:style w:type="paragraph" w:styleId="11">
    <w:name w:val="List"/>
    <w:basedOn w:val="1"/>
    <w:qFormat/>
    <w:uiPriority w:val="0"/>
    <w:pPr>
      <w:ind w:firstLine="0" w:firstLineChars="0"/>
      <w:contextualSpacing/>
      <w:jc w:val="center"/>
    </w:pPr>
    <w:rPr>
      <w:b/>
      <w:kern w:val="0"/>
      <w:sz w:val="24"/>
    </w:rPr>
  </w:style>
  <w:style w:type="paragraph" w:styleId="12">
    <w:name w:val="index 9"/>
    <w:next w:val="1"/>
    <w:unhideWhenUsed/>
    <w:qFormat/>
    <w:uiPriority w:val="99"/>
    <w:pPr>
      <w:widowControl w:val="0"/>
      <w:ind w:left="1600" w:leftChars="1600"/>
      <w:jc w:val="both"/>
    </w:pPr>
    <w:rPr>
      <w:rFonts w:ascii="Calibri" w:hAnsi="Calibri" w:eastAsia="宋体" w:cs="Times New Roman"/>
      <w:kern w:val="2"/>
      <w:sz w:val="21"/>
      <w:szCs w:val="24"/>
      <w:lang w:val="en-US" w:eastAsia="zh-CN" w:bidi="ar-SA"/>
    </w:rPr>
  </w:style>
  <w:style w:type="paragraph" w:styleId="13">
    <w:name w:val="toc 2"/>
    <w:basedOn w:val="1"/>
    <w:next w:val="1"/>
    <w:unhideWhenUsed/>
    <w:qFormat/>
    <w:uiPriority w:val="39"/>
    <w:pPr>
      <w:ind w:left="420" w:leftChars="200"/>
    </w:pPr>
  </w:style>
  <w:style w:type="table" w:styleId="15">
    <w:name w:val="Table Grid"/>
    <w:basedOn w:val="1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467886" w:themeColor="hyperlink"/>
      <w:u w:val="single"/>
      <w14:textFill>
        <w14:solidFill>
          <w14:schemeClr w14:val="hlink"/>
        </w14:solidFill>
      </w14:textFill>
    </w:rPr>
  </w:style>
  <w:style w:type="character" w:styleId="18">
    <w:name w:val="annotation reference"/>
    <w:qFormat/>
    <w:uiPriority w:val="99"/>
    <w:rPr>
      <w:sz w:val="21"/>
      <w:szCs w:val="21"/>
    </w:rPr>
  </w:style>
  <w:style w:type="paragraph" w:styleId="19">
    <w:name w:val="List Paragraph"/>
    <w:basedOn w:val="1"/>
    <w:link w:val="33"/>
    <w:qFormat/>
    <w:uiPriority w:val="34"/>
    <w:pPr>
      <w:ind w:firstLine="420" w:firstLineChars="200"/>
    </w:pPr>
    <w:rPr>
      <w:rFonts w:ascii="Calibri" w:hAnsi="Calibri" w:cstheme="minorBidi"/>
      <w:szCs w:val="22"/>
      <w14:ligatures w14:val="standardContextual"/>
    </w:rPr>
  </w:style>
  <w:style w:type="character" w:customStyle="1" w:styleId="20">
    <w:name w:val="页眉 字符"/>
    <w:basedOn w:val="16"/>
    <w:link w:val="9"/>
    <w:qFormat/>
    <w:uiPriority w:val="99"/>
    <w:rPr>
      <w:sz w:val="18"/>
      <w:szCs w:val="18"/>
    </w:rPr>
  </w:style>
  <w:style w:type="character" w:customStyle="1" w:styleId="21">
    <w:name w:val="页脚 字符"/>
    <w:basedOn w:val="16"/>
    <w:link w:val="8"/>
    <w:qFormat/>
    <w:uiPriority w:val="99"/>
    <w:rPr>
      <w:sz w:val="18"/>
      <w:szCs w:val="18"/>
    </w:rPr>
  </w:style>
  <w:style w:type="character" w:styleId="22">
    <w:name w:val="Placeholder Text"/>
    <w:basedOn w:val="16"/>
    <w:semiHidden/>
    <w:qFormat/>
    <w:uiPriority w:val="99"/>
    <w:rPr>
      <w:color w:val="666666"/>
    </w:rPr>
  </w:style>
  <w:style w:type="character" w:customStyle="1" w:styleId="23">
    <w:name w:val="页眉 Char1"/>
    <w:qFormat/>
    <w:uiPriority w:val="99"/>
    <w:rPr>
      <w:rFonts w:eastAsia="宋体"/>
      <w:kern w:val="2"/>
      <w:sz w:val="18"/>
      <w:szCs w:val="18"/>
      <w:lang w:val="en-US" w:eastAsia="zh-CN" w:bidi="ar-SA"/>
    </w:rPr>
  </w:style>
  <w:style w:type="character" w:customStyle="1" w:styleId="24">
    <w:name w:val="标题 2 字符"/>
    <w:basedOn w:val="16"/>
    <w:semiHidden/>
    <w:qFormat/>
    <w:uiPriority w:val="9"/>
    <w:rPr>
      <w:rFonts w:asciiTheme="majorHAnsi" w:hAnsiTheme="majorHAnsi" w:eastAsiaTheme="majorEastAsia" w:cstheme="majorBidi"/>
      <w:b/>
      <w:bCs/>
      <w:sz w:val="32"/>
      <w:szCs w:val="32"/>
      <w14:ligatures w14:val="none"/>
    </w:rPr>
  </w:style>
  <w:style w:type="character" w:customStyle="1" w:styleId="25">
    <w:name w:val="标题 2 字符1"/>
    <w:link w:val="3"/>
    <w:qFormat/>
    <w:uiPriority w:val="0"/>
    <w:rPr>
      <w:rFonts w:ascii="Arial" w:hAnsi="Arial" w:eastAsia="黑体" w:cs="Times New Roman"/>
      <w:b/>
      <w:kern w:val="0"/>
      <w:sz w:val="30"/>
      <w:szCs w:val="20"/>
      <w14:ligatures w14:val="none"/>
    </w:rPr>
  </w:style>
  <w:style w:type="character" w:customStyle="1" w:styleId="26">
    <w:name w:val="批注文字 字符"/>
    <w:basedOn w:val="16"/>
    <w:semiHidden/>
    <w:qFormat/>
    <w:uiPriority w:val="99"/>
    <w:rPr>
      <w:rFonts w:ascii="Times New Roman" w:hAnsi="Times New Roman" w:eastAsia="宋体" w:cs="Times New Roman"/>
      <w:szCs w:val="24"/>
      <w14:ligatures w14:val="none"/>
    </w:rPr>
  </w:style>
  <w:style w:type="character" w:customStyle="1" w:styleId="27">
    <w:name w:val="批注文字 字符1"/>
    <w:link w:val="5"/>
    <w:qFormat/>
    <w:uiPriority w:val="99"/>
    <w:rPr>
      <w:rFonts w:ascii="Times New Roman" w:hAnsi="Times New Roman" w:eastAsia="宋体" w:cs="Times New Roman"/>
      <w:szCs w:val="24"/>
      <w14:ligatures w14:val="none"/>
    </w:rPr>
  </w:style>
  <w:style w:type="character" w:customStyle="1" w:styleId="28">
    <w:name w:val="纯文本 字符"/>
    <w:basedOn w:val="16"/>
    <w:semiHidden/>
    <w:qFormat/>
    <w:uiPriority w:val="99"/>
    <w:rPr>
      <w:rFonts w:hAnsi="Courier New" w:cs="Courier New" w:asciiTheme="minorEastAsia"/>
      <w:szCs w:val="24"/>
      <w14:ligatures w14:val="none"/>
    </w:rPr>
  </w:style>
  <w:style w:type="character" w:customStyle="1" w:styleId="29">
    <w:name w:val="纯文本 字符1"/>
    <w:link w:val="7"/>
    <w:qFormat/>
    <w:uiPriority w:val="0"/>
    <w:rPr>
      <w:rFonts w:ascii="宋体" w:hAnsi="Courier New" w:eastAsia="宋体" w:cs="Times New Roman"/>
      <w:szCs w:val="20"/>
      <w14:ligatures w14:val="none"/>
    </w:rPr>
  </w:style>
  <w:style w:type="character" w:customStyle="1" w:styleId="30">
    <w:name w:val="中等深浅网格 1 - 强调文字颜色 2 Char"/>
    <w:link w:val="31"/>
    <w:qFormat/>
    <w:uiPriority w:val="0"/>
    <w:rPr>
      <w:szCs w:val="24"/>
      <w:lang w:val="zh-CN"/>
    </w:rPr>
  </w:style>
  <w:style w:type="paragraph" w:customStyle="1" w:styleId="31">
    <w:name w:val="1"/>
    <w:link w:val="30"/>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2">
    <w:name w:val="NormalCharacter"/>
    <w:semiHidden/>
    <w:qFormat/>
    <w:uiPriority w:val="0"/>
  </w:style>
  <w:style w:type="character" w:customStyle="1" w:styleId="33">
    <w:name w:val="列表段落 字符"/>
    <w:link w:val="19"/>
    <w:qFormat/>
    <w:uiPriority w:val="34"/>
    <w:rPr>
      <w:rFonts w:ascii="Calibri" w:hAnsi="Calibri" w:eastAsia="宋体"/>
      <w:kern w:val="2"/>
      <w:sz w:val="21"/>
      <w:szCs w:val="22"/>
      <w:lang w:val="en-US" w:eastAsia="zh-CN" w:bidi="ar-SA"/>
    </w:rPr>
  </w:style>
  <w:style w:type="paragraph" w:customStyle="1" w:styleId="34">
    <w:name w:val="_Style 25"/>
    <w:basedOn w:val="1"/>
    <w:next w:val="19"/>
    <w:qFormat/>
    <w:uiPriority w:val="34"/>
    <w:pPr>
      <w:ind w:firstLine="420" w:firstLineChars="200"/>
    </w:pPr>
    <w:rPr>
      <w:rFonts w:ascii="Calibri" w:hAnsi="Calibri"/>
      <w:szCs w:val="22"/>
    </w:rPr>
  </w:style>
  <w:style w:type="character" w:customStyle="1" w:styleId="35">
    <w:name w:val="正文缩进 字符"/>
    <w:link w:val="2"/>
    <w:qFormat/>
    <w:uiPriority w:val="0"/>
    <w:rPr>
      <w:rFonts w:ascii="Times New Roman" w:hAnsi="Times New Roman" w:eastAsia="宋体" w:cs="Times New Roman"/>
      <w:szCs w:val="24"/>
      <w14:ligatures w14:val="none"/>
    </w:rPr>
  </w:style>
  <w:style w:type="character" w:customStyle="1" w:styleId="36">
    <w:name w:val="标题 3 字符"/>
    <w:basedOn w:val="16"/>
    <w:link w:val="4"/>
    <w:semiHidden/>
    <w:qFormat/>
    <w:uiPriority w:val="9"/>
    <w:rPr>
      <w:rFonts w:ascii="Times New Roman" w:hAnsi="Times New Roman" w:eastAsia="宋体" w:cs="Times New Roman"/>
      <w:b/>
      <w:bCs/>
      <w:sz w:val="32"/>
      <w:szCs w:val="32"/>
      <w14:ligatures w14:val="none"/>
    </w:rPr>
  </w:style>
  <w:style w:type="character" w:customStyle="1" w:styleId="37">
    <w:name w:val="正文文本 字符"/>
    <w:basedOn w:val="16"/>
    <w:semiHidden/>
    <w:qFormat/>
    <w:uiPriority w:val="99"/>
    <w:rPr>
      <w:rFonts w:ascii="Times New Roman" w:hAnsi="Times New Roman" w:eastAsia="宋体" w:cs="Times New Roman"/>
      <w:szCs w:val="24"/>
      <w14:ligatures w14:val="none"/>
    </w:rPr>
  </w:style>
  <w:style w:type="character" w:customStyle="1" w:styleId="38">
    <w:name w:val="正文文本 字符1"/>
    <w:link w:val="6"/>
    <w:qFormat/>
    <w:uiPriority w:val="0"/>
    <w:rPr>
      <w:rFonts w:ascii="宋体" w:hAnsi="宋体" w:eastAsia="宋体" w:cs="Times New Roman"/>
      <w:sz w:val="24"/>
      <w:szCs w:val="24"/>
      <w14:ligatures w14:val="none"/>
    </w:rPr>
  </w:style>
  <w:style w:type="table" w:customStyle="1" w:styleId="39">
    <w:name w:val="网格型6"/>
    <w:basedOn w:val="14"/>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158</Pages>
  <Words>84233</Words>
  <Characters>90085</Characters>
  <Lines>177</Lines>
  <Paragraphs>49</Paragraphs>
  <TotalTime>195</TotalTime>
  <ScaleCrop>false</ScaleCrop>
  <LinksUpToDate>false</LinksUpToDate>
  <CharactersWithSpaces>93515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2024-05-03T10:27:00Z</dcterms:created>
  <dc:creator>静静 张</dc:creator>
  <cp:lastModifiedBy>SnowKiss</cp:lastModifiedBy>
  <cp:lastPrinted>2025-02-21T02:49:44Z</cp:lastPrinted>
  <dcterms:modified xsi:type="dcterms:W3CDTF">2025-02-21T07:23:11Z</dcterms:modified>
  <dc:title>红红火火恍恍惚惚</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4112581CCF564079A9473A1B8401043D_13</vt:lpwstr>
  </property>
  <property fmtid="{D5CDD505-2E9C-101B-9397-08002B2CF9AE}" pid="4" name="KSOTemplateDocerSaveRecord">
    <vt:lpwstr>eyJoZGlkIjoiMGQ1ZTE1ODc4ZjQ5NjQ2ODE2YThiODc5ZDM1M2FlYTYiLCJ1c2VySWQiOiIxMjEzNjE3NTQzIn0=</vt:lpwstr>
  </property>
</Properties>
</file>